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hint="eastAsia" w:ascii="宋体" w:hAnsi="宋体"/>
          <w:b/>
          <w:bCs/>
          <w:sz w:val="48"/>
          <w:szCs w:val="48"/>
        </w:rPr>
      </w:pPr>
    </w:p>
    <w:p>
      <w:pPr>
        <w:tabs>
          <w:tab w:val="left" w:pos="426"/>
        </w:tabs>
        <w:spacing w:line="360" w:lineRule="auto"/>
        <w:jc w:val="center"/>
        <w:rPr>
          <w:rFonts w:ascii="宋体" w:hAnsi="宋体"/>
          <w:sz w:val="36"/>
          <w:szCs w:val="36"/>
        </w:rPr>
      </w:pPr>
      <w:bookmarkStart w:id="0" w:name="_Hlk105515615"/>
      <w:r>
        <w:rPr>
          <w:rFonts w:hint="eastAsia" w:ascii="宋体" w:hAnsi="宋体"/>
          <w:sz w:val="36"/>
          <w:szCs w:val="36"/>
        </w:rPr>
        <w:t>镇海区“数字治气”应用项目</w:t>
      </w:r>
      <w:bookmarkEnd w:id="0"/>
    </w:p>
    <w:p>
      <w:pPr>
        <w:spacing w:after="120"/>
        <w:jc w:val="center"/>
        <w:rPr>
          <w:rFonts w:ascii="宋体" w:hAnsi="宋体" w:cs="宋体"/>
          <w:sz w:val="32"/>
          <w:szCs w:val="32"/>
        </w:rPr>
      </w:pPr>
      <w:r>
        <w:rPr>
          <w:rFonts w:hint="eastAsia" w:ascii="宋体" w:hAnsi="宋体" w:cs="宋体"/>
          <w:sz w:val="32"/>
          <w:szCs w:val="32"/>
        </w:rPr>
        <w:t>项目编号：</w:t>
      </w:r>
      <w:r>
        <w:rPr>
          <w:rFonts w:ascii="宋体" w:hAnsi="宋体" w:cs="宋体"/>
          <w:sz w:val="32"/>
          <w:szCs w:val="32"/>
        </w:rPr>
        <w:t>NBMC-</w:t>
      </w:r>
      <w:r>
        <w:rPr>
          <w:rFonts w:hint="eastAsia" w:ascii="宋体" w:hAnsi="宋体" w:cs="宋体"/>
          <w:sz w:val="32"/>
          <w:szCs w:val="32"/>
        </w:rPr>
        <w:t>20239107G</w:t>
      </w: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240"/>
        <w:jc w:val="center"/>
        <w:rPr>
          <w:rFonts w:ascii="宋体" w:hAnsi="宋体" w:cs="宋体"/>
          <w:b/>
          <w:bCs/>
          <w:sz w:val="72"/>
          <w:szCs w:val="72"/>
        </w:rPr>
      </w:pPr>
      <w:r>
        <w:rPr>
          <w:rFonts w:hint="eastAsia" w:ascii="宋体" w:hAnsi="宋体" w:cs="宋体"/>
          <w:b/>
          <w:bCs/>
          <w:sz w:val="72"/>
          <w:szCs w:val="72"/>
        </w:rPr>
        <w:t>公开招标文件</w:t>
      </w:r>
    </w:p>
    <w:p>
      <w:pPr>
        <w:spacing w:after="240"/>
        <w:jc w:val="center"/>
        <w:rPr>
          <w:rFonts w:ascii="宋体" w:hAnsi="宋体"/>
          <w:sz w:val="32"/>
          <w:szCs w:val="32"/>
        </w:rPr>
      </w:pPr>
      <w:r>
        <w:rPr>
          <w:rFonts w:hint="eastAsia" w:ascii="宋体" w:hAnsi="宋体"/>
          <w:sz w:val="32"/>
          <w:szCs w:val="32"/>
        </w:rPr>
        <w:t>（政府采购电子交易项目</w:t>
      </w:r>
      <w:r>
        <w:rPr>
          <w:rFonts w:hint="eastAsia" w:asciiTheme="minorEastAsia" w:hAnsiTheme="minorEastAsia" w:eastAsiaTheme="minorEastAsia"/>
          <w:sz w:val="32"/>
          <w:szCs w:val="32"/>
        </w:rPr>
        <w:t>·服务类</w:t>
      </w:r>
      <w:r>
        <w:rPr>
          <w:rFonts w:hint="eastAsia" w:ascii="宋体" w:hAnsi="宋体"/>
          <w:sz w:val="32"/>
          <w:szCs w:val="32"/>
        </w:rPr>
        <w:t>）</w:t>
      </w: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jc w:val="center"/>
        <w:outlineLvl w:val="0"/>
        <w:rPr>
          <w:rFonts w:ascii="宋体" w:hAnsi="宋体"/>
          <w:b/>
          <w:bCs/>
          <w:sz w:val="44"/>
          <w:szCs w:val="44"/>
        </w:rPr>
      </w:pPr>
    </w:p>
    <w:p>
      <w:pPr>
        <w:jc w:val="center"/>
        <w:rPr>
          <w:rFonts w:ascii="宋体" w:hAnsi="宋体"/>
          <w:sz w:val="32"/>
          <w:szCs w:val="32"/>
        </w:rPr>
      </w:pPr>
      <w:r>
        <w:rPr>
          <w:rFonts w:hint="eastAsia" w:ascii="宋体" w:hAnsi="宋体"/>
          <w:sz w:val="32"/>
          <w:szCs w:val="32"/>
        </w:rPr>
        <w:t>采购人：宁波市生态环境局镇海分局</w:t>
      </w:r>
    </w:p>
    <w:p>
      <w:pPr>
        <w:jc w:val="center"/>
        <w:rPr>
          <w:rFonts w:ascii="宋体" w:hAnsi="宋体"/>
          <w:sz w:val="32"/>
          <w:szCs w:val="32"/>
        </w:rPr>
      </w:pPr>
      <w:r>
        <w:rPr>
          <w:rFonts w:hint="eastAsia" w:ascii="宋体" w:hAnsi="宋体"/>
          <w:sz w:val="32"/>
          <w:szCs w:val="32"/>
        </w:rPr>
        <w:t>代理机构：宁波名诚招标代理有限公司</w:t>
      </w:r>
    </w:p>
    <w:p>
      <w:pPr>
        <w:jc w:val="center"/>
        <w:rPr>
          <w:rFonts w:ascii="宋体" w:hAnsi="宋体"/>
          <w:sz w:val="32"/>
          <w:szCs w:val="32"/>
        </w:rPr>
      </w:pPr>
      <w:r>
        <w:rPr>
          <w:rFonts w:hint="eastAsia" w:ascii="宋体" w:hAnsi="宋体"/>
          <w:sz w:val="32"/>
          <w:szCs w:val="32"/>
        </w:rPr>
        <w:t>编制日期：2023</w:t>
      </w:r>
      <w:r>
        <w:rPr>
          <w:rFonts w:ascii="宋体" w:hAnsi="宋体"/>
          <w:sz w:val="32"/>
          <w:szCs w:val="32"/>
        </w:rPr>
        <w:t>年</w:t>
      </w:r>
      <w:r>
        <w:rPr>
          <w:rFonts w:hint="eastAsia" w:ascii="宋体" w:hAnsi="宋体"/>
          <w:sz w:val="32"/>
          <w:szCs w:val="32"/>
        </w:rPr>
        <w:t>11</w:t>
      </w:r>
      <w:r>
        <w:rPr>
          <w:rFonts w:ascii="宋体" w:hAnsi="宋体"/>
          <w:sz w:val="32"/>
          <w:szCs w:val="32"/>
        </w:rPr>
        <w:t>月</w:t>
      </w:r>
    </w:p>
    <w:p>
      <w:pPr>
        <w:jc w:val="center"/>
        <w:rPr>
          <w:rFonts w:ascii="宋体" w:hAnsi="宋体"/>
          <w:sz w:val="32"/>
          <w:szCs w:val="32"/>
        </w:rPr>
      </w:pPr>
    </w:p>
    <w:p>
      <w:pPr>
        <w:spacing w:line="360" w:lineRule="auto"/>
        <w:rPr>
          <w:rFonts w:hAnsi="宋体"/>
        </w:rPr>
      </w:pPr>
    </w:p>
    <w:p>
      <w:pPr>
        <w:pStyle w:val="27"/>
        <w:spacing w:beforeLines="0" w:afterLines="0" w:line="360" w:lineRule="auto"/>
        <w:jc w:val="center"/>
        <w:rPr>
          <w:rFonts w:hAnsi="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610" w:header="851" w:footer="851" w:gutter="0"/>
          <w:cols w:space="720" w:num="1"/>
          <w:titlePg/>
          <w:docGrid w:linePitch="312" w:charSpace="0"/>
        </w:sectPr>
      </w:pPr>
    </w:p>
    <w:p>
      <w:pPr>
        <w:pStyle w:val="278"/>
        <w:spacing w:before="0" w:after="0" w:line="360" w:lineRule="auto"/>
        <w:jc w:val="center"/>
        <w:rPr>
          <w:rFonts w:ascii="宋体" w:hAnsi="宋体"/>
          <w:sz w:val="24"/>
        </w:rPr>
      </w:pPr>
      <w:r>
        <w:rPr>
          <w:rFonts w:ascii="宋体" w:hAnsi="宋体"/>
          <w:sz w:val="24"/>
        </w:rPr>
        <w:t>目录</w:t>
      </w:r>
    </w:p>
    <w:p>
      <w:pPr>
        <w:pStyle w:val="33"/>
        <w:tabs>
          <w:tab w:val="right" w:leader="dot" w:pos="8856"/>
        </w:tabs>
        <w:spacing w:line="480" w:lineRule="auto"/>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"_Toc32543" </w:instrText>
      </w:r>
      <w:r>
        <w:fldChar w:fldCharType="separate"/>
      </w:r>
      <w:r>
        <w:rPr>
          <w:rFonts w:hint="eastAsia" w:ascii="宋体" w:hAnsi="宋体"/>
        </w:rPr>
        <w:t>第一章  投标邀请</w:t>
      </w:r>
      <w:r>
        <w:tab/>
      </w:r>
      <w:r>
        <w:fldChar w:fldCharType="begin"/>
      </w:r>
      <w:r>
        <w:instrText xml:space="preserve"> PAGEREF _Toc32543 \h </w:instrText>
      </w:r>
      <w:r>
        <w:fldChar w:fldCharType="separate"/>
      </w:r>
      <w:r>
        <w:t>2</w:t>
      </w:r>
      <w:r>
        <w:fldChar w:fldCharType="end"/>
      </w:r>
      <w:r>
        <w:fldChar w:fldCharType="end"/>
      </w:r>
    </w:p>
    <w:p>
      <w:pPr>
        <w:pStyle w:val="33"/>
        <w:tabs>
          <w:tab w:val="right" w:leader="dot" w:pos="8856"/>
        </w:tabs>
        <w:spacing w:line="480" w:lineRule="auto"/>
      </w:pPr>
      <w:r>
        <w:fldChar w:fldCharType="begin"/>
      </w:r>
      <w:r>
        <w:instrText xml:space="preserve"> HYPERLINK \l "_Toc19147" </w:instrText>
      </w:r>
      <w:r>
        <w:fldChar w:fldCharType="separate"/>
      </w:r>
      <w:r>
        <w:rPr>
          <w:rFonts w:hint="eastAsia" w:ascii="宋体" w:hAnsi="宋体"/>
        </w:rPr>
        <w:t>第二章  采购需求</w:t>
      </w:r>
      <w:r>
        <w:tab/>
      </w:r>
      <w:r>
        <w:fldChar w:fldCharType="begin"/>
      </w:r>
      <w:r>
        <w:instrText xml:space="preserve"> PAGEREF _Toc19147 \h </w:instrText>
      </w:r>
      <w:r>
        <w:fldChar w:fldCharType="separate"/>
      </w:r>
      <w:r>
        <w:t>5</w:t>
      </w:r>
      <w:r>
        <w:fldChar w:fldCharType="end"/>
      </w:r>
      <w:r>
        <w:fldChar w:fldCharType="end"/>
      </w:r>
    </w:p>
    <w:p>
      <w:pPr>
        <w:pStyle w:val="33"/>
        <w:tabs>
          <w:tab w:val="right" w:leader="dot" w:pos="8856"/>
        </w:tabs>
        <w:spacing w:line="480" w:lineRule="auto"/>
      </w:pPr>
      <w:r>
        <w:fldChar w:fldCharType="begin"/>
      </w:r>
      <w:r>
        <w:instrText xml:space="preserve"> HYPERLINK \l "_Toc6846" </w:instrText>
      </w:r>
      <w:r>
        <w:fldChar w:fldCharType="separate"/>
      </w:r>
      <w:r>
        <w:rPr>
          <w:rFonts w:hint="eastAsia" w:ascii="宋体" w:hAnsi="宋体"/>
        </w:rPr>
        <w:t>第三章  投标人须知</w:t>
      </w:r>
      <w:r>
        <w:tab/>
      </w:r>
      <w:r>
        <w:fldChar w:fldCharType="begin"/>
      </w:r>
      <w:r>
        <w:instrText xml:space="preserve"> PAGEREF _Toc6846 \h </w:instrText>
      </w:r>
      <w:r>
        <w:fldChar w:fldCharType="separate"/>
      </w:r>
      <w:r>
        <w:t>28</w:t>
      </w:r>
      <w:r>
        <w:fldChar w:fldCharType="end"/>
      </w:r>
      <w:r>
        <w:fldChar w:fldCharType="end"/>
      </w:r>
    </w:p>
    <w:p>
      <w:pPr>
        <w:pStyle w:val="33"/>
        <w:tabs>
          <w:tab w:val="right" w:leader="dot" w:pos="8856"/>
        </w:tabs>
        <w:spacing w:line="480" w:lineRule="auto"/>
      </w:pPr>
      <w:r>
        <w:fldChar w:fldCharType="begin"/>
      </w:r>
      <w:r>
        <w:instrText xml:space="preserve"> HYPERLINK \l "_Toc27125" </w:instrText>
      </w:r>
      <w:r>
        <w:fldChar w:fldCharType="separate"/>
      </w:r>
      <w:r>
        <w:rPr>
          <w:rFonts w:hint="eastAsia" w:ascii="宋体" w:hAnsi="宋体"/>
        </w:rPr>
        <w:t xml:space="preserve">第四章  </w:t>
      </w:r>
      <w:r>
        <w:rPr>
          <w:rFonts w:ascii="宋体" w:hAnsi="宋体"/>
        </w:rPr>
        <w:t>评标</w:t>
      </w:r>
      <w:r>
        <w:rPr>
          <w:rFonts w:hint="eastAsia" w:ascii="宋体" w:hAnsi="宋体"/>
        </w:rPr>
        <w:t>方法</w:t>
      </w:r>
      <w:r>
        <w:rPr>
          <w:rFonts w:ascii="宋体" w:hAnsi="宋体"/>
        </w:rPr>
        <w:t>及</w:t>
      </w:r>
      <w:r>
        <w:rPr>
          <w:rFonts w:hint="eastAsia" w:ascii="宋体" w:hAnsi="宋体"/>
        </w:rPr>
        <w:t>评标</w:t>
      </w:r>
      <w:r>
        <w:rPr>
          <w:rFonts w:ascii="宋体" w:hAnsi="宋体"/>
        </w:rPr>
        <w:t>标准</w:t>
      </w:r>
      <w:r>
        <w:tab/>
      </w:r>
      <w:r>
        <w:fldChar w:fldCharType="begin"/>
      </w:r>
      <w:r>
        <w:instrText xml:space="preserve"> PAGEREF _Toc27125 \h </w:instrText>
      </w:r>
      <w:r>
        <w:fldChar w:fldCharType="separate"/>
      </w:r>
      <w:r>
        <w:t>40</w:t>
      </w:r>
      <w:r>
        <w:fldChar w:fldCharType="end"/>
      </w:r>
      <w:r>
        <w:fldChar w:fldCharType="end"/>
      </w:r>
    </w:p>
    <w:p>
      <w:pPr>
        <w:pStyle w:val="33"/>
        <w:tabs>
          <w:tab w:val="right" w:leader="dot" w:pos="8856"/>
        </w:tabs>
        <w:spacing w:line="480" w:lineRule="auto"/>
      </w:pPr>
      <w:r>
        <w:fldChar w:fldCharType="begin"/>
      </w:r>
      <w:r>
        <w:instrText xml:space="preserve"> HYPERLINK \l "_Toc30543" </w:instrText>
      </w:r>
      <w:r>
        <w:fldChar w:fldCharType="separate"/>
      </w:r>
      <w:r>
        <w:rPr>
          <w:rFonts w:hint="eastAsia" w:ascii="宋体" w:hAnsi="宋体"/>
        </w:rPr>
        <w:t>第五章  合同文本</w:t>
      </w:r>
      <w:r>
        <w:tab/>
      </w:r>
      <w:r>
        <w:fldChar w:fldCharType="begin"/>
      </w:r>
      <w:r>
        <w:instrText xml:space="preserve"> PAGEREF _Toc30543 \h </w:instrText>
      </w:r>
      <w:r>
        <w:fldChar w:fldCharType="separate"/>
      </w:r>
      <w:r>
        <w:t>45</w:t>
      </w:r>
      <w:r>
        <w:fldChar w:fldCharType="end"/>
      </w:r>
      <w:r>
        <w:fldChar w:fldCharType="end"/>
      </w:r>
    </w:p>
    <w:p>
      <w:pPr>
        <w:spacing w:line="360" w:lineRule="auto"/>
        <w:rPr>
          <w:rFonts w:ascii="宋体" w:hAnsi="宋体"/>
        </w:rPr>
      </w:pPr>
      <w:r>
        <w:rPr>
          <w:rFonts w:ascii="宋体" w:hAnsi="宋体"/>
          <w:bCs/>
          <w:lang w:val="zh-CN"/>
        </w:rPr>
        <w:fldChar w:fldCharType="end"/>
      </w:r>
    </w:p>
    <w:p>
      <w:pPr>
        <w:pStyle w:val="27"/>
        <w:snapToGrid w:val="0"/>
        <w:spacing w:beforeLines="0" w:afterLines="0" w:line="360" w:lineRule="auto"/>
        <w:jc w:val="center"/>
        <w:outlineLvl w:val="0"/>
        <w:rPr>
          <w:rFonts w:hAnsi="宋体"/>
          <w:sz w:val="28"/>
          <w:szCs w:val="28"/>
        </w:rPr>
      </w:pPr>
    </w:p>
    <w:p>
      <w:pPr>
        <w:pStyle w:val="27"/>
        <w:snapToGrid w:val="0"/>
        <w:spacing w:beforeLines="0" w:afterLines="0" w:line="360" w:lineRule="auto"/>
        <w:jc w:val="center"/>
        <w:outlineLvl w:val="0"/>
        <w:rPr>
          <w:rFonts w:hAnsi="宋体"/>
          <w:sz w:val="28"/>
          <w:szCs w:val="28"/>
        </w:rPr>
      </w:pPr>
    </w:p>
    <w:p>
      <w:pPr>
        <w:pStyle w:val="27"/>
        <w:snapToGrid w:val="0"/>
        <w:spacing w:beforeLines="0" w:afterLines="0" w:line="360" w:lineRule="auto"/>
        <w:jc w:val="center"/>
        <w:outlineLvl w:val="0"/>
        <w:rPr>
          <w:rFonts w:hAnsi="宋体"/>
          <w:sz w:val="28"/>
          <w:szCs w:val="28"/>
        </w:rPr>
      </w:pPr>
    </w:p>
    <w:p>
      <w:pPr>
        <w:pStyle w:val="27"/>
        <w:snapToGrid w:val="0"/>
        <w:spacing w:beforeLines="0" w:afterLines="0" w:line="360" w:lineRule="auto"/>
        <w:jc w:val="center"/>
        <w:outlineLvl w:val="0"/>
        <w:rPr>
          <w:rFonts w:hAnsi="宋体"/>
          <w:sz w:val="28"/>
          <w:szCs w:val="28"/>
        </w:rPr>
        <w:sectPr>
          <w:footerReference r:id="rId10" w:type="first"/>
          <w:footerReference r:id="rId9" w:type="default"/>
          <w:pgSz w:w="11906" w:h="16838"/>
          <w:pgMar w:top="1440" w:right="1440" w:bottom="1440" w:left="1610" w:header="851" w:footer="851" w:gutter="0"/>
          <w:pgNumType w:start="1"/>
          <w:cols w:space="720" w:num="1"/>
          <w:docGrid w:linePitch="312" w:charSpace="0"/>
        </w:sectPr>
      </w:pPr>
    </w:p>
    <w:p>
      <w:pPr>
        <w:pStyle w:val="42"/>
        <w:spacing w:line="360" w:lineRule="auto"/>
        <w:rPr>
          <w:rFonts w:ascii="宋体" w:hAnsi="宋体" w:eastAsia="宋体"/>
          <w:sz w:val="24"/>
        </w:rPr>
      </w:pPr>
      <w:bookmarkStart w:id="1" w:name="_Toc32543"/>
      <w:r>
        <w:rPr>
          <w:rFonts w:hint="eastAsia" w:ascii="宋体" w:hAnsi="宋体" w:eastAsia="宋体"/>
          <w:sz w:val="24"/>
        </w:rPr>
        <w:t>第一章  投标邀请</w:t>
      </w:r>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olor w:val="auto"/>
          <w:szCs w:val="28"/>
        </w:rPr>
      </w:pPr>
      <w:bookmarkStart w:id="2" w:name="_Hlk105579763"/>
      <w:r>
        <w:rPr>
          <w:rFonts w:hint="eastAsia" w:ascii="宋体" w:hAnsi="宋体"/>
          <w:szCs w:val="28"/>
          <w:u w:val="single"/>
        </w:rPr>
        <w:t>镇海区“数字治气”应用项目</w:t>
      </w:r>
      <w:bookmarkEnd w:id="2"/>
      <w:r>
        <w:rPr>
          <w:rFonts w:hint="eastAsia" w:ascii="宋体" w:hAnsi="宋体"/>
          <w:szCs w:val="28"/>
        </w:rPr>
        <w:t>招标项目</w:t>
      </w:r>
      <w:r>
        <w:rPr>
          <w:rFonts w:hint="eastAsia" w:ascii="宋体" w:hAnsi="宋体"/>
          <w:color w:val="auto"/>
          <w:szCs w:val="28"/>
        </w:rPr>
        <w:t>的潜在投标人应在</w:t>
      </w:r>
      <w:r>
        <w:rPr>
          <w:rFonts w:hint="eastAsia" w:ascii="宋体" w:hAnsi="宋体"/>
          <w:color w:val="auto"/>
          <w:u w:val="single"/>
        </w:rPr>
        <w:t>政采云平台（https://www.zcygov.cn）</w:t>
      </w:r>
      <w:r>
        <w:rPr>
          <w:rFonts w:hint="eastAsia" w:ascii="宋体" w:hAnsi="宋体"/>
          <w:color w:val="auto"/>
          <w:szCs w:val="28"/>
        </w:rPr>
        <w:t>获取招标文件，并于</w:t>
      </w:r>
      <w:r>
        <w:rPr>
          <w:rFonts w:hint="eastAsia" w:ascii="宋体" w:hAnsi="宋体"/>
          <w:color w:val="auto"/>
          <w:szCs w:val="28"/>
          <w:u w:val="single"/>
        </w:rPr>
        <w:t>2023</w:t>
      </w:r>
      <w:r>
        <w:rPr>
          <w:rFonts w:hint="eastAsia" w:ascii="宋体" w:hAnsi="宋体"/>
          <w:bCs/>
          <w:color w:val="auto"/>
          <w:szCs w:val="28"/>
          <w:u w:val="single"/>
        </w:rPr>
        <w:t>年</w:t>
      </w:r>
      <w:r>
        <w:rPr>
          <w:rFonts w:ascii="宋体" w:hAnsi="宋体"/>
          <w:bCs/>
          <w:color w:val="auto"/>
          <w:szCs w:val="28"/>
          <w:u w:val="single"/>
        </w:rPr>
        <w:t>11</w:t>
      </w:r>
      <w:r>
        <w:rPr>
          <w:rFonts w:hint="eastAsia" w:ascii="宋体" w:hAnsi="宋体"/>
          <w:bCs/>
          <w:color w:val="auto"/>
          <w:szCs w:val="28"/>
          <w:u w:val="single"/>
        </w:rPr>
        <w:t>月</w:t>
      </w:r>
      <w:r>
        <w:rPr>
          <w:rFonts w:ascii="宋体" w:hAnsi="宋体"/>
          <w:bCs/>
          <w:color w:val="auto"/>
          <w:szCs w:val="28"/>
          <w:u w:val="single"/>
        </w:rPr>
        <w:t>29</w:t>
      </w:r>
      <w:r>
        <w:rPr>
          <w:rFonts w:hint="eastAsia" w:ascii="宋体" w:hAnsi="宋体"/>
          <w:bCs/>
          <w:color w:val="auto"/>
          <w:szCs w:val="28"/>
          <w:u w:val="single"/>
        </w:rPr>
        <w:t>日</w:t>
      </w:r>
      <w:r>
        <w:rPr>
          <w:rFonts w:ascii="宋体" w:hAnsi="宋体"/>
          <w:bCs/>
          <w:color w:val="auto"/>
          <w:szCs w:val="28"/>
          <w:u w:val="single"/>
        </w:rPr>
        <w:t>14</w:t>
      </w:r>
      <w:r>
        <w:rPr>
          <w:rFonts w:hint="eastAsia" w:ascii="宋体" w:hAnsi="宋体"/>
          <w:bCs/>
          <w:color w:val="auto"/>
          <w:szCs w:val="28"/>
          <w:u w:val="single"/>
        </w:rPr>
        <w:t>点0</w:t>
      </w:r>
      <w:r>
        <w:rPr>
          <w:rFonts w:ascii="宋体" w:hAnsi="宋体"/>
          <w:bCs/>
          <w:color w:val="auto"/>
          <w:szCs w:val="28"/>
          <w:u w:val="single"/>
        </w:rPr>
        <w:t>0</w:t>
      </w:r>
      <w:r>
        <w:rPr>
          <w:rFonts w:hint="eastAsia" w:ascii="宋体" w:hAnsi="宋体"/>
          <w:bCs/>
          <w:color w:val="auto"/>
          <w:szCs w:val="28"/>
          <w:u w:val="single"/>
        </w:rPr>
        <w:t>分</w:t>
      </w:r>
      <w:r>
        <w:rPr>
          <w:rFonts w:hint="eastAsia" w:ascii="宋体" w:hAnsi="宋体"/>
          <w:bCs/>
          <w:color w:val="auto"/>
          <w:szCs w:val="28"/>
        </w:rPr>
        <w:t>（北京时间）前递交投标</w:t>
      </w:r>
      <w:r>
        <w:rPr>
          <w:rFonts w:ascii="宋体" w:hAnsi="宋体"/>
          <w:bCs/>
          <w:color w:val="auto"/>
          <w:szCs w:val="28"/>
        </w:rPr>
        <w:t>文件</w:t>
      </w:r>
      <w:r>
        <w:rPr>
          <w:rFonts w:hint="eastAsia" w:ascii="宋体" w:hAnsi="宋体"/>
          <w:color w:val="auto"/>
          <w:szCs w:val="28"/>
        </w:rPr>
        <w:t>。</w:t>
      </w:r>
    </w:p>
    <w:p>
      <w:pPr>
        <w:snapToGrid w:val="0"/>
        <w:spacing w:line="400" w:lineRule="exact"/>
        <w:rPr>
          <w:rFonts w:ascii="宋体" w:hAnsi="宋体" w:cs="Arial"/>
          <w:color w:val="auto"/>
          <w:szCs w:val="21"/>
        </w:rPr>
      </w:pPr>
      <w:bookmarkStart w:id="3" w:name="_Toc28359002"/>
      <w:bookmarkStart w:id="4" w:name="_Toc35393621"/>
      <w:bookmarkStart w:id="5" w:name="_Toc35393790"/>
      <w:bookmarkStart w:id="6" w:name="_Toc28359079"/>
      <w:bookmarkStart w:id="7" w:name="_Hlk24379207"/>
      <w:r>
        <w:rPr>
          <w:rFonts w:hint="eastAsia" w:ascii="宋体" w:hAnsi="宋体" w:cs="Arial"/>
          <w:color w:val="auto"/>
          <w:szCs w:val="21"/>
        </w:rPr>
        <w:t>一、项目基本情况</w:t>
      </w:r>
      <w:bookmarkEnd w:id="3"/>
      <w:bookmarkEnd w:id="4"/>
      <w:bookmarkEnd w:id="5"/>
      <w:bookmarkEnd w:id="6"/>
    </w:p>
    <w:p>
      <w:pPr>
        <w:spacing w:line="400" w:lineRule="exact"/>
        <w:ind w:firstLine="420" w:firstLineChars="200"/>
        <w:rPr>
          <w:rFonts w:ascii="宋体" w:hAnsi="宋体"/>
          <w:color w:val="auto"/>
          <w:szCs w:val="21"/>
        </w:rPr>
      </w:pPr>
      <w:r>
        <w:rPr>
          <w:rFonts w:hint="eastAsia" w:ascii="宋体" w:hAnsi="宋体"/>
          <w:color w:val="auto"/>
          <w:szCs w:val="21"/>
        </w:rPr>
        <w:t>项目编号：NBMC-20239107G</w:t>
      </w:r>
    </w:p>
    <w:p>
      <w:pPr>
        <w:spacing w:line="400" w:lineRule="exact"/>
        <w:ind w:firstLine="420" w:firstLineChars="200"/>
        <w:rPr>
          <w:rFonts w:ascii="宋体" w:hAnsi="宋体"/>
          <w:color w:val="auto"/>
          <w:szCs w:val="21"/>
        </w:rPr>
      </w:pPr>
      <w:r>
        <w:rPr>
          <w:rFonts w:hint="eastAsia" w:ascii="宋体" w:hAnsi="宋体"/>
          <w:color w:val="auto"/>
          <w:szCs w:val="21"/>
        </w:rPr>
        <w:t>项目名称：镇海区“数字治气”应用项目</w:t>
      </w:r>
    </w:p>
    <w:bookmarkEnd w:id="7"/>
    <w:p>
      <w:pPr>
        <w:spacing w:line="400" w:lineRule="exact"/>
        <w:ind w:firstLine="420" w:firstLineChars="200"/>
        <w:rPr>
          <w:rFonts w:ascii="宋体" w:hAnsi="宋体"/>
          <w:color w:val="auto"/>
          <w:szCs w:val="21"/>
        </w:rPr>
      </w:pPr>
      <w:r>
        <w:rPr>
          <w:rFonts w:hint="eastAsia" w:ascii="宋体" w:hAnsi="宋体"/>
          <w:color w:val="auto"/>
          <w:szCs w:val="21"/>
        </w:rPr>
        <w:t>预算金额（元）：3240000</w:t>
      </w:r>
    </w:p>
    <w:p>
      <w:pPr>
        <w:spacing w:line="400" w:lineRule="exact"/>
        <w:ind w:firstLine="420" w:firstLineChars="200"/>
        <w:rPr>
          <w:rFonts w:ascii="宋体" w:hAnsi="宋体"/>
          <w:color w:val="auto"/>
          <w:szCs w:val="21"/>
        </w:rPr>
      </w:pPr>
      <w:r>
        <w:rPr>
          <w:rFonts w:hint="eastAsia" w:ascii="宋体" w:hAnsi="宋体"/>
          <w:color w:val="auto"/>
          <w:szCs w:val="21"/>
        </w:rPr>
        <w:t>最高限价（元）：3240000</w:t>
      </w:r>
    </w:p>
    <w:p>
      <w:pPr>
        <w:spacing w:line="400" w:lineRule="exact"/>
        <w:ind w:firstLine="420" w:firstLineChars="200"/>
        <w:rPr>
          <w:rFonts w:ascii="宋体" w:hAnsi="宋体"/>
          <w:color w:val="auto"/>
          <w:szCs w:val="21"/>
        </w:rPr>
      </w:pPr>
      <w:r>
        <w:rPr>
          <w:rFonts w:hint="eastAsia" w:ascii="宋体" w:hAnsi="宋体"/>
          <w:color w:val="auto"/>
          <w:szCs w:val="21"/>
        </w:rPr>
        <w:t>标的名称：镇海区“数字治气”应用项目</w:t>
      </w:r>
    </w:p>
    <w:p>
      <w:pPr>
        <w:spacing w:line="400" w:lineRule="exact"/>
        <w:ind w:firstLine="420" w:firstLineChars="200"/>
        <w:rPr>
          <w:rFonts w:ascii="宋体" w:hAnsi="宋体"/>
          <w:color w:val="auto"/>
          <w:szCs w:val="21"/>
        </w:rPr>
      </w:pPr>
      <w:r>
        <w:rPr>
          <w:rFonts w:hint="eastAsia" w:ascii="宋体" w:hAnsi="宋体"/>
          <w:color w:val="auto"/>
          <w:szCs w:val="21"/>
        </w:rPr>
        <w:t>数量：1项</w:t>
      </w:r>
    </w:p>
    <w:p>
      <w:pPr>
        <w:spacing w:line="400" w:lineRule="exact"/>
        <w:ind w:firstLine="420" w:firstLineChars="200"/>
        <w:rPr>
          <w:rFonts w:ascii="宋体" w:hAnsi="宋体"/>
          <w:szCs w:val="21"/>
        </w:rPr>
      </w:pPr>
      <w:r>
        <w:rPr>
          <w:rFonts w:hint="eastAsia" w:ascii="宋体" w:hAnsi="宋体"/>
          <w:szCs w:val="21"/>
        </w:rPr>
        <w:t>简要技术需求或服务要求：建设镇海区“数字治气”应用，开发污染源监管数字孪生地图、LDAR检测数据实时审核、高值（异味）溯源管控、数字治气专题导航舱等场景，构建LDAR服务监管体系和高值（异味）溯源体系。详细内容要求详见招标文件“第二章采购需求”。</w:t>
      </w:r>
    </w:p>
    <w:p>
      <w:pPr>
        <w:spacing w:line="400" w:lineRule="exact"/>
        <w:ind w:firstLine="420" w:firstLineChars="200"/>
        <w:rPr>
          <w:rFonts w:ascii="宋体" w:hAnsi="宋体"/>
          <w:szCs w:val="21"/>
        </w:rPr>
      </w:pPr>
      <w:r>
        <w:rPr>
          <w:rFonts w:hint="eastAsia" w:ascii="宋体" w:hAnsi="宋体"/>
          <w:szCs w:val="21"/>
        </w:rPr>
        <w:t>备注：/</w:t>
      </w:r>
    </w:p>
    <w:p>
      <w:pPr>
        <w:spacing w:line="400" w:lineRule="exact"/>
        <w:ind w:firstLine="420" w:firstLineChars="200"/>
        <w:rPr>
          <w:rFonts w:ascii="宋体" w:hAnsi="宋体"/>
          <w:szCs w:val="21"/>
        </w:rPr>
      </w:pPr>
      <w:r>
        <w:rPr>
          <w:rFonts w:hint="eastAsia" w:ascii="宋体" w:hAnsi="宋体"/>
          <w:szCs w:val="21"/>
        </w:rPr>
        <w:t>合同履行期限：2024年10月底前完成。</w:t>
      </w:r>
    </w:p>
    <w:p>
      <w:pPr>
        <w:spacing w:line="400" w:lineRule="exact"/>
        <w:ind w:firstLine="420" w:firstLineChars="200"/>
        <w:rPr>
          <w:rFonts w:ascii="宋体" w:hAnsi="宋体"/>
          <w:szCs w:val="21"/>
        </w:rPr>
      </w:pPr>
      <w:r>
        <w:rPr>
          <w:rFonts w:hint="eastAsia" w:ascii="宋体" w:hAnsi="宋体"/>
          <w:szCs w:val="21"/>
        </w:rPr>
        <w:t>本项目（否）接受联合体投标。</w:t>
      </w:r>
    </w:p>
    <w:p>
      <w:pPr>
        <w:snapToGrid w:val="0"/>
        <w:spacing w:line="400" w:lineRule="exact"/>
        <w:rPr>
          <w:rFonts w:ascii="宋体" w:hAnsi="宋体" w:cs="Arial"/>
          <w:szCs w:val="21"/>
        </w:rPr>
      </w:pPr>
      <w:bookmarkStart w:id="8" w:name="_Toc35393622"/>
      <w:bookmarkStart w:id="9" w:name="_Toc28359003"/>
      <w:bookmarkStart w:id="10" w:name="_Toc35393791"/>
      <w:bookmarkStart w:id="11" w:name="_Toc28359080"/>
      <w:r>
        <w:rPr>
          <w:rFonts w:hint="eastAsia" w:ascii="宋体" w:hAnsi="宋体" w:cs="Arial"/>
          <w:szCs w:val="21"/>
        </w:rPr>
        <w:t>二、申请人的资格要求：</w:t>
      </w:r>
      <w:bookmarkEnd w:id="8"/>
      <w:bookmarkEnd w:id="9"/>
      <w:bookmarkEnd w:id="10"/>
      <w:bookmarkEnd w:id="11"/>
    </w:p>
    <w:p>
      <w:pPr>
        <w:spacing w:line="400" w:lineRule="exact"/>
        <w:ind w:firstLine="420" w:firstLineChars="200"/>
        <w:rPr>
          <w:rFonts w:ascii="宋体" w:hAnsi="宋体"/>
          <w:szCs w:val="21"/>
        </w:rPr>
      </w:pPr>
      <w:r>
        <w:rPr>
          <w:rFonts w:hint="eastAsia" w:ascii="宋体" w:hAnsi="宋体"/>
          <w:szCs w:val="21"/>
        </w:rPr>
        <w:t>1.满足《中华人民共和国政府采购法》第二十二条</w:t>
      </w:r>
      <w:r>
        <w:rPr>
          <w:rFonts w:hint="eastAsia" w:ascii="宋体" w:hAnsi="宋体"/>
        </w:rPr>
        <w:t>第一款的</w:t>
      </w:r>
      <w:r>
        <w:rPr>
          <w:rFonts w:hint="eastAsia" w:ascii="宋体" w:hAnsi="宋体"/>
          <w:szCs w:val="21"/>
        </w:rPr>
        <w:t>规定；</w:t>
      </w:r>
    </w:p>
    <w:p>
      <w:pPr>
        <w:spacing w:line="400" w:lineRule="exact"/>
        <w:ind w:firstLine="420" w:firstLineChars="200"/>
        <w:rPr>
          <w:rFonts w:ascii="宋体" w:hAnsi="宋体"/>
          <w:color w:val="auto"/>
        </w:rPr>
      </w:pPr>
      <w:r>
        <w:rPr>
          <w:rFonts w:hint="eastAsia" w:ascii="宋体" w:hAnsi="宋体"/>
          <w:szCs w:val="21"/>
        </w:rPr>
        <w:t>2.</w:t>
      </w:r>
      <w:r>
        <w:rPr>
          <w:rFonts w:hint="eastAsia" w:ascii="宋体" w:hAnsi="宋体"/>
        </w:rPr>
        <w:t>未被“信用中国”网站</w:t>
      </w:r>
      <w:r>
        <w:rPr>
          <w:rFonts w:ascii="宋体" w:hAnsi="宋体"/>
          <w:color w:val="auto"/>
        </w:rPr>
        <w:t xml:space="preserve">(www.creditchina.gov.cn) </w:t>
      </w:r>
      <w:r>
        <w:rPr>
          <w:rFonts w:hint="eastAsia" w:ascii="宋体" w:hAnsi="宋体"/>
          <w:color w:val="auto"/>
        </w:rPr>
        <w:t>列入“失信被执行人或重大税收违法案件当事人名单或政府采购严重违法失信行为记录名单”；未被中国政府采购网</w:t>
      </w:r>
      <w:r>
        <w:rPr>
          <w:rFonts w:ascii="宋体" w:hAnsi="宋体"/>
          <w:color w:val="auto"/>
        </w:rPr>
        <w:t>(www.ccgp.gov.cn)“政府采购严重违法失信行为信息记录”中列入禁止参加政府采购活动期间。</w:t>
      </w:r>
    </w:p>
    <w:p>
      <w:pPr>
        <w:spacing w:line="400" w:lineRule="exact"/>
        <w:ind w:firstLine="420" w:firstLineChars="200"/>
        <w:rPr>
          <w:rFonts w:ascii="宋体" w:hAnsi="宋体"/>
          <w:iCs/>
          <w:color w:val="auto"/>
          <w:szCs w:val="21"/>
          <w:u w:val="single"/>
        </w:rPr>
      </w:pPr>
      <w:bookmarkStart w:id="12" w:name="_Toc28359081"/>
      <w:bookmarkStart w:id="13" w:name="_Toc28359004"/>
      <w:r>
        <w:rPr>
          <w:rFonts w:ascii="宋体" w:hAnsi="宋体"/>
          <w:color w:val="auto"/>
          <w:szCs w:val="21"/>
        </w:rPr>
        <w:t>3</w:t>
      </w:r>
      <w:r>
        <w:rPr>
          <w:rFonts w:hint="eastAsia" w:ascii="宋体" w:hAnsi="宋体"/>
          <w:color w:val="auto"/>
          <w:szCs w:val="21"/>
        </w:rPr>
        <w:t>.落实政府采购政策需满足的资格要求：无。</w:t>
      </w:r>
    </w:p>
    <w:p>
      <w:pPr>
        <w:spacing w:line="400" w:lineRule="exact"/>
        <w:ind w:firstLine="420" w:firstLineChars="200"/>
        <w:rPr>
          <w:rFonts w:ascii="宋体" w:hAnsi="宋体"/>
          <w:iCs/>
          <w:color w:val="auto"/>
          <w:szCs w:val="21"/>
          <w:u w:val="single"/>
        </w:rPr>
      </w:pPr>
      <w:r>
        <w:rPr>
          <w:rFonts w:ascii="宋体" w:hAnsi="宋体"/>
          <w:color w:val="auto"/>
          <w:szCs w:val="21"/>
        </w:rPr>
        <w:t>4</w:t>
      </w:r>
      <w:r>
        <w:rPr>
          <w:rFonts w:hint="eastAsia" w:ascii="宋体" w:hAnsi="宋体"/>
          <w:color w:val="auto"/>
          <w:szCs w:val="21"/>
        </w:rPr>
        <w:t>.本项目的特定资格要求：</w:t>
      </w:r>
      <w:r>
        <w:rPr>
          <w:rFonts w:hint="eastAsia" w:ascii="宋体" w:hAnsi="宋体"/>
          <w:iCs/>
          <w:color w:val="auto"/>
          <w:szCs w:val="21"/>
        </w:rPr>
        <w:t>无。</w:t>
      </w:r>
    </w:p>
    <w:p>
      <w:pPr>
        <w:snapToGrid w:val="0"/>
        <w:spacing w:line="400" w:lineRule="exact"/>
        <w:rPr>
          <w:rFonts w:ascii="宋体" w:hAnsi="宋体" w:cs="Arial"/>
          <w:color w:val="auto"/>
          <w:szCs w:val="21"/>
        </w:rPr>
      </w:pPr>
      <w:bookmarkStart w:id="14" w:name="_Toc35393623"/>
      <w:bookmarkStart w:id="15" w:name="_Toc35393792"/>
      <w:r>
        <w:rPr>
          <w:rFonts w:hint="eastAsia" w:ascii="宋体" w:hAnsi="宋体" w:cs="Arial"/>
          <w:color w:val="auto"/>
          <w:szCs w:val="21"/>
        </w:rPr>
        <w:t>三、获取招标文件</w:t>
      </w:r>
      <w:bookmarkEnd w:id="12"/>
      <w:bookmarkEnd w:id="13"/>
      <w:bookmarkEnd w:id="14"/>
      <w:bookmarkEnd w:id="15"/>
    </w:p>
    <w:p>
      <w:pPr>
        <w:snapToGrid w:val="0"/>
        <w:spacing w:line="400" w:lineRule="exact"/>
        <w:ind w:firstLine="411" w:firstLineChars="196"/>
        <w:rPr>
          <w:rFonts w:ascii="宋体" w:hAnsi="宋体" w:cs="宋体"/>
          <w:b/>
          <w:color w:val="auto"/>
          <w:szCs w:val="21"/>
        </w:rPr>
      </w:pPr>
      <w:r>
        <w:rPr>
          <w:rFonts w:hint="eastAsia" w:ascii="宋体" w:hAnsi="宋体" w:cs="宋体"/>
          <w:color w:val="auto"/>
          <w:szCs w:val="21"/>
        </w:rPr>
        <w:t>时间：2023年</w:t>
      </w:r>
      <w:r>
        <w:rPr>
          <w:rFonts w:ascii="宋体" w:hAnsi="宋体" w:cs="宋体"/>
          <w:color w:val="auto"/>
          <w:szCs w:val="21"/>
        </w:rPr>
        <w:t>11</w:t>
      </w:r>
      <w:r>
        <w:rPr>
          <w:rFonts w:hint="eastAsia" w:ascii="宋体" w:hAnsi="宋体" w:cs="宋体"/>
          <w:color w:val="auto"/>
          <w:szCs w:val="21"/>
        </w:rPr>
        <w:t>月</w:t>
      </w:r>
      <w:r>
        <w:rPr>
          <w:rFonts w:ascii="宋体" w:hAnsi="宋体" w:cs="宋体"/>
          <w:color w:val="auto"/>
          <w:szCs w:val="21"/>
        </w:rPr>
        <w:t>8</w:t>
      </w:r>
      <w:r>
        <w:rPr>
          <w:rFonts w:hint="eastAsia" w:ascii="宋体" w:hAnsi="宋体" w:cs="宋体"/>
          <w:color w:val="auto"/>
          <w:szCs w:val="21"/>
        </w:rPr>
        <w:t>日至2023年</w:t>
      </w:r>
      <w:r>
        <w:rPr>
          <w:rFonts w:ascii="宋体" w:hAnsi="宋体" w:cs="宋体"/>
          <w:color w:val="auto"/>
          <w:szCs w:val="21"/>
        </w:rPr>
        <w:t>11</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日，每天上午</w:t>
      </w:r>
      <w:r>
        <w:rPr>
          <w:rFonts w:hint="eastAsia" w:ascii="宋体" w:hAnsi="宋体" w:cs="宋体"/>
          <w:color w:val="auto"/>
          <w:szCs w:val="21"/>
          <w:u w:val="single"/>
        </w:rPr>
        <w:t>00：00</w:t>
      </w:r>
      <w:r>
        <w:rPr>
          <w:rFonts w:hint="eastAsia" w:ascii="宋体" w:hAnsi="宋体" w:cs="宋体"/>
          <w:color w:val="auto"/>
          <w:szCs w:val="21"/>
        </w:rPr>
        <w:t>至</w:t>
      </w:r>
      <w:r>
        <w:rPr>
          <w:rFonts w:hint="eastAsia" w:ascii="宋体" w:hAnsi="宋体" w:cs="宋体"/>
          <w:color w:val="auto"/>
          <w:szCs w:val="21"/>
          <w:u w:val="single"/>
        </w:rPr>
        <w:t>12：00</w:t>
      </w:r>
      <w:r>
        <w:rPr>
          <w:rFonts w:hint="eastAsia" w:ascii="宋体" w:hAnsi="宋体" w:cs="宋体"/>
          <w:color w:val="auto"/>
          <w:szCs w:val="21"/>
        </w:rPr>
        <w:t>，下午</w:t>
      </w:r>
      <w:r>
        <w:rPr>
          <w:rFonts w:hint="eastAsia" w:ascii="宋体" w:hAnsi="宋体" w:cs="宋体"/>
          <w:color w:val="auto"/>
          <w:szCs w:val="21"/>
          <w:u w:val="single"/>
        </w:rPr>
        <w:t>12：00</w:t>
      </w:r>
      <w:r>
        <w:rPr>
          <w:rFonts w:hint="eastAsia" w:ascii="宋体" w:hAnsi="宋体" w:cs="宋体"/>
          <w:color w:val="auto"/>
          <w:szCs w:val="21"/>
        </w:rPr>
        <w:t>至</w:t>
      </w:r>
      <w:r>
        <w:rPr>
          <w:rFonts w:hint="eastAsia" w:ascii="宋体" w:hAnsi="宋体" w:cs="宋体"/>
          <w:color w:val="auto"/>
          <w:szCs w:val="21"/>
          <w:u w:val="single"/>
        </w:rPr>
        <w:t>23：59</w:t>
      </w:r>
      <w:r>
        <w:rPr>
          <w:rFonts w:hint="eastAsia" w:ascii="宋体" w:hAnsi="宋体" w:cs="宋体"/>
          <w:color w:val="auto"/>
          <w:szCs w:val="21"/>
        </w:rPr>
        <w:t>（北京时间）</w:t>
      </w:r>
    </w:p>
    <w:p>
      <w:pPr>
        <w:snapToGrid w:val="0"/>
        <w:spacing w:line="400" w:lineRule="exact"/>
        <w:ind w:firstLine="411" w:firstLineChars="196"/>
        <w:rPr>
          <w:rFonts w:ascii="宋体" w:hAnsi="宋体" w:cs="宋体"/>
          <w:color w:val="auto"/>
          <w:szCs w:val="21"/>
          <w:u w:val="single"/>
        </w:rPr>
      </w:pPr>
      <w:r>
        <w:rPr>
          <w:rFonts w:hint="eastAsia" w:ascii="宋体" w:hAnsi="宋体" w:cs="宋体"/>
          <w:color w:val="auto"/>
          <w:szCs w:val="21"/>
        </w:rPr>
        <w:t>地点：</w:t>
      </w:r>
      <w:r>
        <w:rPr>
          <w:rFonts w:hint="eastAsia" w:ascii="宋体" w:hAnsi="宋体"/>
          <w:color w:val="auto"/>
          <w:u w:val="single"/>
        </w:rPr>
        <w:t>政采云平台（https://www.zcygov.cn）</w:t>
      </w:r>
    </w:p>
    <w:p>
      <w:pPr>
        <w:snapToGrid w:val="0"/>
        <w:spacing w:line="400" w:lineRule="exact"/>
        <w:ind w:firstLine="411" w:firstLineChars="196"/>
        <w:rPr>
          <w:rFonts w:asciiTheme="minorEastAsia" w:hAnsiTheme="minorEastAsia" w:eastAsiaTheme="minorEastAsia"/>
          <w:szCs w:val="21"/>
        </w:rPr>
      </w:pPr>
      <w:r>
        <w:rPr>
          <w:rFonts w:hint="eastAsia" w:cs="宋体" w:asciiTheme="minorEastAsia" w:hAnsiTheme="minorEastAsia" w:eastAsiaTheme="minorEastAsia"/>
          <w:szCs w:val="21"/>
        </w:rPr>
        <w:t>方式：</w:t>
      </w:r>
      <w:r>
        <w:rPr>
          <w:rFonts w:hint="eastAsia" w:asciiTheme="minorEastAsia" w:hAnsiTheme="minorEastAsia" w:eastAsiaTheme="minorEastAsia"/>
          <w:szCs w:val="21"/>
        </w:rPr>
        <w:t>依法</w:t>
      </w:r>
      <w:r>
        <w:rPr>
          <w:rFonts w:asciiTheme="minorEastAsia" w:hAnsiTheme="minorEastAsia" w:eastAsiaTheme="minorEastAsia"/>
          <w:szCs w:val="21"/>
        </w:rPr>
        <w:t>获取</w:t>
      </w:r>
      <w:r>
        <w:rPr>
          <w:rFonts w:hint="eastAsia" w:asciiTheme="minorEastAsia" w:hAnsiTheme="minorEastAsia" w:eastAsiaTheme="minorEastAsia"/>
          <w:szCs w:val="21"/>
        </w:rPr>
        <w:t>本项目招标文件的</w:t>
      </w:r>
      <w:r>
        <w:rPr>
          <w:rFonts w:asciiTheme="minorEastAsia" w:hAnsiTheme="minorEastAsia" w:eastAsiaTheme="minorEastAsia"/>
          <w:szCs w:val="21"/>
        </w:rPr>
        <w:t>方式</w:t>
      </w:r>
      <w:r>
        <w:rPr>
          <w:rFonts w:hint="eastAsia" w:asciiTheme="minorEastAsia" w:hAnsiTheme="minorEastAsia" w:eastAsiaTheme="minorEastAsia"/>
          <w:szCs w:val="21"/>
        </w:rPr>
        <w:t>为</w:t>
      </w:r>
      <w:r>
        <w:rPr>
          <w:rFonts w:hint="eastAsia" w:cs="Arial" w:asciiTheme="minorEastAsia" w:hAnsiTheme="minorEastAsia" w:eastAsiaTheme="minorEastAsia"/>
          <w:szCs w:val="21"/>
        </w:rPr>
        <w:t>潜在投标人登陆政采云平台，根据政采云平台的规定步骤进行操作并在线申请获取招标文件。仅需浏览招标文件的只需点击“游客，浏览采购文件”直接下载招标文件进行浏览。</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szCs w:val="21"/>
        </w:rPr>
        <w:t>文件</w:t>
      </w:r>
      <w:r>
        <w:rPr>
          <w:rFonts w:hint="eastAsia" w:cs="Arial" w:asciiTheme="minorEastAsia" w:hAnsiTheme="minorEastAsia" w:eastAsiaTheme="minorEastAsia"/>
          <w:szCs w:val="21"/>
        </w:rPr>
        <w:t>的投标人提交的投标文件。</w:t>
      </w:r>
    </w:p>
    <w:p>
      <w:pPr>
        <w:spacing w:line="400" w:lineRule="exact"/>
        <w:ind w:firstLine="540"/>
        <w:rPr>
          <w:rFonts w:ascii="宋体" w:hAnsi="宋体" w:cs="宋体"/>
          <w:szCs w:val="21"/>
        </w:rPr>
      </w:pPr>
      <w:r>
        <w:rPr>
          <w:rFonts w:hint="eastAsia" w:ascii="宋体" w:hAnsi="宋体" w:cs="宋体"/>
          <w:szCs w:val="21"/>
        </w:rPr>
        <w:t>售价：0元</w:t>
      </w:r>
    </w:p>
    <w:p>
      <w:pPr>
        <w:snapToGrid w:val="0"/>
        <w:spacing w:line="400" w:lineRule="exact"/>
        <w:rPr>
          <w:rFonts w:ascii="宋体" w:hAnsi="宋体" w:cs="Arial"/>
          <w:color w:val="auto"/>
          <w:szCs w:val="21"/>
        </w:rPr>
      </w:pPr>
      <w:bookmarkStart w:id="16" w:name="_Toc28359082"/>
      <w:bookmarkStart w:id="17" w:name="_Toc28359005"/>
      <w:bookmarkStart w:id="18" w:name="_Toc35393793"/>
      <w:bookmarkStart w:id="19" w:name="_Toc35393624"/>
      <w:r>
        <w:rPr>
          <w:rFonts w:hint="eastAsia" w:ascii="宋体" w:hAnsi="宋体" w:cs="Arial"/>
          <w:szCs w:val="21"/>
        </w:rPr>
        <w:t>四、提交投标文件</w:t>
      </w:r>
      <w:bookmarkEnd w:id="16"/>
      <w:bookmarkEnd w:id="17"/>
      <w:r>
        <w:rPr>
          <w:rFonts w:hint="eastAsia" w:ascii="宋体" w:hAnsi="宋体" w:cs="Arial"/>
          <w:szCs w:val="21"/>
        </w:rPr>
        <w:t>截</w:t>
      </w:r>
      <w:r>
        <w:rPr>
          <w:rFonts w:hint="eastAsia" w:ascii="宋体" w:hAnsi="宋体" w:cs="Arial"/>
          <w:color w:val="auto"/>
          <w:szCs w:val="21"/>
        </w:rPr>
        <w:t>止时间、开标时间和地点</w:t>
      </w:r>
      <w:bookmarkEnd w:id="18"/>
      <w:bookmarkEnd w:id="19"/>
    </w:p>
    <w:p>
      <w:pPr>
        <w:spacing w:line="400" w:lineRule="exact"/>
        <w:ind w:firstLine="420" w:firstLineChars="200"/>
        <w:rPr>
          <w:rFonts w:ascii="宋体" w:hAnsi="宋体"/>
          <w:bCs/>
          <w:color w:val="auto"/>
          <w:szCs w:val="21"/>
        </w:rPr>
      </w:pPr>
      <w:r>
        <w:rPr>
          <w:rFonts w:hint="eastAsia" w:ascii="宋体" w:hAnsi="宋体" w:cs="Arial"/>
          <w:color w:val="auto"/>
          <w:szCs w:val="21"/>
        </w:rPr>
        <w:t>提交投标文件截止时间：</w:t>
      </w:r>
      <w:r>
        <w:rPr>
          <w:rFonts w:hint="eastAsia" w:ascii="宋体" w:hAnsi="宋体"/>
          <w:bCs/>
          <w:color w:val="auto"/>
          <w:szCs w:val="21"/>
          <w:u w:val="single"/>
        </w:rPr>
        <w:t>2023年</w:t>
      </w:r>
      <w:r>
        <w:rPr>
          <w:rFonts w:ascii="宋体" w:hAnsi="宋体"/>
          <w:bCs/>
          <w:color w:val="auto"/>
          <w:szCs w:val="21"/>
          <w:u w:val="single"/>
        </w:rPr>
        <w:t>11</w:t>
      </w:r>
      <w:r>
        <w:rPr>
          <w:rFonts w:hint="eastAsia" w:ascii="宋体" w:hAnsi="宋体"/>
          <w:bCs/>
          <w:color w:val="auto"/>
          <w:szCs w:val="21"/>
          <w:u w:val="single"/>
        </w:rPr>
        <w:t>月</w:t>
      </w:r>
      <w:r>
        <w:rPr>
          <w:rFonts w:ascii="宋体" w:hAnsi="宋体"/>
          <w:bCs/>
          <w:color w:val="auto"/>
          <w:szCs w:val="21"/>
          <w:u w:val="single"/>
        </w:rPr>
        <w:t>29</w:t>
      </w:r>
      <w:r>
        <w:rPr>
          <w:rFonts w:hint="eastAsia" w:ascii="宋体" w:hAnsi="宋体"/>
          <w:bCs/>
          <w:color w:val="auto"/>
          <w:szCs w:val="21"/>
          <w:u w:val="single"/>
        </w:rPr>
        <w:t>日</w:t>
      </w:r>
      <w:r>
        <w:rPr>
          <w:rFonts w:ascii="宋体" w:hAnsi="宋体"/>
          <w:bCs/>
          <w:color w:val="auto"/>
          <w:szCs w:val="21"/>
          <w:u w:val="single"/>
        </w:rPr>
        <w:t>14</w:t>
      </w:r>
      <w:r>
        <w:rPr>
          <w:rFonts w:hint="eastAsia" w:ascii="宋体" w:hAnsi="宋体"/>
          <w:bCs/>
          <w:color w:val="auto"/>
          <w:szCs w:val="21"/>
          <w:u w:val="single"/>
        </w:rPr>
        <w:t>点</w:t>
      </w:r>
      <w:r>
        <w:rPr>
          <w:rFonts w:ascii="宋体" w:hAnsi="宋体"/>
          <w:bCs/>
          <w:color w:val="auto"/>
          <w:szCs w:val="21"/>
          <w:u w:val="single"/>
        </w:rPr>
        <w:t>00</w:t>
      </w:r>
      <w:r>
        <w:rPr>
          <w:rFonts w:hint="eastAsia" w:ascii="宋体" w:hAnsi="宋体"/>
          <w:bCs/>
          <w:color w:val="auto"/>
          <w:szCs w:val="21"/>
          <w:u w:val="single"/>
        </w:rPr>
        <w:t>分</w:t>
      </w:r>
      <w:r>
        <w:rPr>
          <w:rFonts w:hint="eastAsia" w:ascii="宋体" w:hAnsi="宋体"/>
          <w:bCs/>
          <w:color w:val="auto"/>
          <w:szCs w:val="21"/>
        </w:rPr>
        <w:t>（北京时间）</w:t>
      </w:r>
    </w:p>
    <w:p>
      <w:pPr>
        <w:spacing w:line="400" w:lineRule="exact"/>
        <w:ind w:firstLine="420" w:firstLineChars="200"/>
        <w:rPr>
          <w:rFonts w:ascii="宋体" w:hAnsi="宋体"/>
          <w:bCs/>
          <w:color w:val="auto"/>
          <w:szCs w:val="21"/>
        </w:rPr>
      </w:pPr>
      <w:r>
        <w:rPr>
          <w:rFonts w:hint="eastAsia" w:ascii="宋体" w:hAnsi="宋体" w:cs="Arial"/>
          <w:color w:val="auto"/>
          <w:szCs w:val="21"/>
        </w:rPr>
        <w:t>提交投标文件</w:t>
      </w:r>
      <w:r>
        <w:rPr>
          <w:rFonts w:hint="eastAsia" w:ascii="宋体" w:hAnsi="宋体"/>
          <w:bCs/>
          <w:color w:val="auto"/>
          <w:szCs w:val="21"/>
        </w:rPr>
        <w:t>地点（网址）：</w:t>
      </w:r>
      <w:r>
        <w:rPr>
          <w:rFonts w:cs="Arial" w:asciiTheme="minorEastAsia" w:hAnsiTheme="minorEastAsia" w:eastAsiaTheme="minorEastAsia"/>
          <w:color w:val="auto"/>
          <w:szCs w:val="21"/>
        </w:rPr>
        <w:t>本项目通过“政府采购云平台（www.zcygov.cn）”实行在线提交投标文件（电子投标）</w:t>
      </w:r>
      <w:r>
        <w:rPr>
          <w:rFonts w:hint="eastAsia" w:cs="Arial" w:asciiTheme="minorEastAsia" w:hAnsiTheme="minorEastAsia" w:eastAsiaTheme="minorEastAsia"/>
          <w:color w:val="auto"/>
          <w:szCs w:val="21"/>
        </w:rPr>
        <w:t>。</w:t>
      </w:r>
    </w:p>
    <w:p>
      <w:pPr>
        <w:spacing w:line="400" w:lineRule="exact"/>
        <w:ind w:firstLine="420" w:firstLineChars="200"/>
        <w:rPr>
          <w:rFonts w:ascii="宋体" w:hAnsi="宋体"/>
          <w:bCs/>
          <w:color w:val="auto"/>
          <w:szCs w:val="21"/>
        </w:rPr>
      </w:pPr>
      <w:r>
        <w:rPr>
          <w:rFonts w:hint="eastAsia" w:ascii="宋体" w:hAnsi="宋体"/>
          <w:bCs/>
          <w:color w:val="auto"/>
          <w:szCs w:val="21"/>
        </w:rPr>
        <w:t>开标时间：</w:t>
      </w:r>
      <w:r>
        <w:rPr>
          <w:rFonts w:hint="eastAsia" w:ascii="宋体" w:hAnsi="宋体"/>
          <w:bCs/>
          <w:color w:val="auto"/>
          <w:szCs w:val="21"/>
          <w:u w:val="single"/>
        </w:rPr>
        <w:t>2023年</w:t>
      </w:r>
      <w:r>
        <w:rPr>
          <w:rFonts w:ascii="宋体" w:hAnsi="宋体"/>
          <w:bCs/>
          <w:color w:val="auto"/>
          <w:szCs w:val="21"/>
          <w:u w:val="single"/>
        </w:rPr>
        <w:t>11</w:t>
      </w:r>
      <w:r>
        <w:rPr>
          <w:rFonts w:hint="eastAsia" w:ascii="宋体" w:hAnsi="宋体"/>
          <w:bCs/>
          <w:color w:val="auto"/>
          <w:szCs w:val="21"/>
          <w:u w:val="single"/>
        </w:rPr>
        <w:t>月</w:t>
      </w:r>
      <w:r>
        <w:rPr>
          <w:rFonts w:ascii="宋体" w:hAnsi="宋体"/>
          <w:bCs/>
          <w:color w:val="auto"/>
          <w:szCs w:val="21"/>
          <w:u w:val="single"/>
        </w:rPr>
        <w:t>29</w:t>
      </w:r>
      <w:r>
        <w:rPr>
          <w:rFonts w:hint="eastAsia" w:ascii="宋体" w:hAnsi="宋体"/>
          <w:bCs/>
          <w:color w:val="auto"/>
          <w:szCs w:val="21"/>
          <w:u w:val="single"/>
        </w:rPr>
        <w:t>日</w:t>
      </w:r>
      <w:r>
        <w:rPr>
          <w:rFonts w:ascii="宋体" w:hAnsi="宋体"/>
          <w:bCs/>
          <w:color w:val="auto"/>
          <w:szCs w:val="21"/>
          <w:u w:val="single"/>
        </w:rPr>
        <w:t>14</w:t>
      </w:r>
      <w:r>
        <w:rPr>
          <w:rFonts w:hint="eastAsia" w:ascii="宋体" w:hAnsi="宋体"/>
          <w:bCs/>
          <w:color w:val="auto"/>
          <w:szCs w:val="21"/>
          <w:u w:val="single"/>
        </w:rPr>
        <w:t>点</w:t>
      </w:r>
      <w:r>
        <w:rPr>
          <w:rFonts w:ascii="宋体" w:hAnsi="宋体"/>
          <w:bCs/>
          <w:color w:val="auto"/>
          <w:szCs w:val="21"/>
          <w:u w:val="single"/>
        </w:rPr>
        <w:t>00</w:t>
      </w:r>
      <w:r>
        <w:rPr>
          <w:rFonts w:hint="eastAsia" w:ascii="宋体" w:hAnsi="宋体"/>
          <w:bCs/>
          <w:color w:val="auto"/>
          <w:szCs w:val="21"/>
          <w:u w:val="single"/>
        </w:rPr>
        <w:t>分（北京时间）</w:t>
      </w:r>
    </w:p>
    <w:p>
      <w:pPr>
        <w:spacing w:line="400" w:lineRule="exact"/>
        <w:ind w:firstLine="420" w:firstLineChars="200"/>
        <w:rPr>
          <w:rFonts w:ascii="宋体" w:hAnsi="宋体"/>
          <w:bCs/>
          <w:color w:val="auto"/>
          <w:szCs w:val="21"/>
        </w:rPr>
      </w:pPr>
      <w:r>
        <w:rPr>
          <w:rFonts w:hint="eastAsia" w:ascii="宋体" w:hAnsi="宋体"/>
          <w:bCs/>
          <w:color w:val="auto"/>
          <w:szCs w:val="21"/>
        </w:rPr>
        <w:t>开标地点（网址）：</w:t>
      </w:r>
      <w:bookmarkStart w:id="20" w:name="_Toc35393625"/>
      <w:bookmarkStart w:id="21" w:name="_Toc28359007"/>
      <w:bookmarkStart w:id="22" w:name="_Toc35393794"/>
      <w:bookmarkStart w:id="23" w:name="_Toc28359084"/>
      <w:r>
        <w:rPr>
          <w:rFonts w:hint="eastAsia" w:cs="Arial" w:asciiTheme="minorEastAsia" w:hAnsiTheme="minorEastAsia" w:eastAsiaTheme="minorEastAsia"/>
          <w:color w:val="auto"/>
          <w:szCs w:val="21"/>
        </w:rPr>
        <w:t>本项目通过</w:t>
      </w:r>
      <w:r>
        <w:rPr>
          <w:rFonts w:hint="eastAsia" w:asciiTheme="minorEastAsia" w:hAnsiTheme="minorEastAsia" w:eastAsiaTheme="minorEastAsia"/>
          <w:color w:val="auto"/>
          <w:u w:val="single"/>
        </w:rPr>
        <w:t>政采云平台（https://www.zcygov.cn）</w:t>
      </w:r>
      <w:r>
        <w:rPr>
          <w:rFonts w:hint="eastAsia" w:asciiTheme="minorEastAsia" w:hAnsiTheme="minorEastAsia" w:eastAsiaTheme="minorEastAsia"/>
          <w:color w:val="auto"/>
        </w:rPr>
        <w:t>实行线上开标。</w:t>
      </w:r>
    </w:p>
    <w:p>
      <w:pPr>
        <w:snapToGrid w:val="0"/>
        <w:spacing w:line="400" w:lineRule="exact"/>
        <w:rPr>
          <w:rFonts w:ascii="宋体" w:hAnsi="宋体" w:cs="Arial"/>
          <w:color w:val="auto"/>
          <w:szCs w:val="21"/>
        </w:rPr>
      </w:pPr>
      <w:r>
        <w:rPr>
          <w:rFonts w:hint="eastAsia" w:ascii="宋体" w:hAnsi="宋体" w:cs="Arial"/>
          <w:color w:val="auto"/>
          <w:szCs w:val="21"/>
        </w:rPr>
        <w:t>五、公告期限</w:t>
      </w:r>
      <w:bookmarkEnd w:id="20"/>
      <w:bookmarkEnd w:id="21"/>
      <w:bookmarkEnd w:id="22"/>
      <w:bookmarkEnd w:id="23"/>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snapToGrid w:val="0"/>
        <w:spacing w:line="400" w:lineRule="exact"/>
        <w:rPr>
          <w:rFonts w:ascii="宋体" w:hAnsi="宋体" w:cs="Arial"/>
          <w:szCs w:val="21"/>
        </w:rPr>
      </w:pPr>
      <w:bookmarkStart w:id="24" w:name="_Toc35393626"/>
      <w:bookmarkStart w:id="25" w:name="_Toc35393795"/>
      <w:r>
        <w:rPr>
          <w:rFonts w:hint="eastAsia" w:ascii="宋体" w:hAnsi="宋体" w:cs="Arial"/>
          <w:szCs w:val="21"/>
        </w:rPr>
        <w:t>六、其他补充事宜</w:t>
      </w:r>
      <w:bookmarkEnd w:id="24"/>
      <w:bookmarkEnd w:id="25"/>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w:t>
      </w:r>
      <w:r>
        <w:rPr>
          <w:rFonts w:cs="Arial" w:asciiTheme="minorEastAsia" w:hAnsiTheme="minorEastAsia" w:eastAsiaTheme="minorEastAsia"/>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2.其他事项：</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2.1</w:t>
      </w:r>
      <w:r>
        <w:rPr>
          <w:rFonts w:hint="eastAsia" w:cs="Arial" w:asciiTheme="minorEastAsia" w:hAnsiTheme="minorEastAsia" w:eastAsiaTheme="minorEastAsia"/>
          <w:szCs w:val="21"/>
        </w:rPr>
        <w:t>为依法获取本项目招标文件及投标响应，潜在投标人应当按照《浙江省政府采购供应商注册及诚信管理暂行办法》的规定在“浙江政府采购网(</w:t>
      </w:r>
      <w:r>
        <w:rPr>
          <w:rFonts w:cs="Arial" w:asciiTheme="minorEastAsia" w:hAnsiTheme="minorEastAsia" w:eastAsiaTheme="minorEastAsia"/>
          <w:szCs w:val="21"/>
        </w:rPr>
        <w:t>http://zfcg.czt.zj.gov.cn/</w:t>
      </w:r>
      <w:r>
        <w:rPr>
          <w:rFonts w:hint="eastAsia" w:cs="Arial" w:asciiTheme="minorEastAsia" w:hAnsiTheme="minorEastAsia" w:eastAsiaTheme="minorEastAsia"/>
          <w:szCs w:val="21"/>
        </w:rPr>
        <w:t>)”政采云平台注册登记。中标人必须成为注册供应商，未注册的投标人，请注意注册所需时间，由此产生的后果自行承担。</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2.2</w:t>
      </w:r>
      <w:r>
        <w:rPr>
          <w:rFonts w:hint="eastAsia" w:cs="Arial" w:asciiTheme="minorEastAsia" w:hAnsiTheme="minorEastAsia" w:eastAsiaTheme="minorEastAsia"/>
          <w:szCs w:val="21"/>
        </w:rPr>
        <w:t>本项目依据《浙江省政府采购项目电子交易管理暂行办法》，通过政采云平台（</w:t>
      </w:r>
      <w:r>
        <w:rPr>
          <w:rFonts w:hint="eastAsia" w:ascii="宋体" w:hAnsi="宋体"/>
          <w:u w:val="single"/>
        </w:rPr>
        <w:t>https://www.zcygov.cn</w:t>
      </w:r>
      <w:r>
        <w:rPr>
          <w:rFonts w:hint="eastAsia" w:cs="Arial" w:asciiTheme="minorEastAsia" w:hAnsiTheme="minorEastAsia" w:eastAsiaTheme="minorEastAsia"/>
          <w:szCs w:val="21"/>
        </w:rPr>
        <w:t>）实行电子交易（在线投标响应）。潜在投标人在参与本项目投标前应当完成“政府采购云平台”的账号注册、身份认证（CA数字证书申领）、“政采云电子交易客户端”下载安装，相关操作指南参考如下：</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1）供应商注册（入驻）：https://middle.zcygov.cn/v-settle-front/registry；</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w:t>
      </w:r>
      <w:r>
        <w:rPr>
          <w:rFonts w:hint="eastAsia" w:cs="Arial" w:asciiTheme="minorEastAsia" w:hAnsiTheme="minorEastAsia" w:eastAsiaTheme="minorEastAsia"/>
          <w:szCs w:val="21"/>
        </w:rPr>
        <w:t>）浙江省“电子交易/不见面开评标”学习专题（网址https://edu.zcygov.cn/luban/e-biding）</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3）“政府采购云平台”服务热线电话：400-881-7190。</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2.3</w:t>
      </w:r>
      <w:r>
        <w:rPr>
          <w:rFonts w:hint="eastAsia" w:cs="Arial" w:asciiTheme="minorEastAsia" w:hAnsiTheme="minorEastAsia" w:eastAsiaTheme="minorEastAsia"/>
          <w:szCs w:val="21"/>
        </w:rPr>
        <w:t>对符合财政扶持政策的中小企业（小型、微型）、残疾人福利性单位给予价格优惠，执行扶持不发达地区和少数民族地区政府采购政策。</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2.4</w:t>
      </w:r>
      <w:r>
        <w:rPr>
          <w:rFonts w:hint="eastAsia" w:cs="Arial" w:asciiTheme="minorEastAsia" w:hAnsiTheme="minorEastAsia" w:eastAsiaTheme="minorEastAsia"/>
          <w:szCs w:val="21"/>
        </w:rPr>
        <w:t>电子投标注意事项</w:t>
      </w:r>
    </w:p>
    <w:p>
      <w:pPr>
        <w:snapToGrid w:val="0"/>
        <w:spacing w:line="400" w:lineRule="exact"/>
        <w:ind w:firstLine="411" w:firstLineChars="196"/>
        <w:rPr>
          <w:rFonts w:cs="宋体" w:asciiTheme="minorEastAsia" w:hAnsiTheme="minorEastAsia" w:eastAsiaTheme="minorEastAsia"/>
          <w:szCs w:val="21"/>
        </w:rPr>
      </w:pPr>
      <w:r>
        <w:rPr>
          <w:rFonts w:hint="eastAsia" w:cs="Arial" w:asciiTheme="minorEastAsia" w:hAnsiTheme="minorEastAsia" w:eastAsiaTheme="minorEastAsia"/>
          <w:szCs w:val="21"/>
        </w:rPr>
        <w:t>1）投标人应于提交投标文件截止时间前将电子加密投标文件上传到政府采购云平台（</w:t>
      </w:r>
      <w:r>
        <w:rPr>
          <w:rFonts w:hint="eastAsia" w:ascii="宋体" w:hAnsi="宋体"/>
          <w:u w:val="single"/>
        </w:rPr>
        <w:t>https://www.zcygov.cn</w:t>
      </w:r>
      <w:r>
        <w:rPr>
          <w:rFonts w:hint="eastAsia" w:cs="Arial" w:asciiTheme="minorEastAsia" w:hAnsiTheme="minorEastAsia" w:eastAsiaTheme="minorEastAsia"/>
          <w:szCs w:val="21"/>
        </w:rPr>
        <w:t>）</w:t>
      </w:r>
      <w:r>
        <w:rPr>
          <w:rFonts w:hint="eastAsia" w:cs="宋体" w:asciiTheme="minorEastAsia" w:hAnsiTheme="minorEastAsia" w:eastAsiaTheme="minorEastAsia"/>
          <w:szCs w:val="21"/>
        </w:rPr>
        <w:t>，未按规定上传电子加密投标文件，视为投标人放弃投标。</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2）投标人在“政府采购云平台”完成“电子加密投标文件”的上传提交之外，还可以在投标截止时间前提交以U盘为介质存储的备份投标文件，备份投标文件递交可采用现场或邮寄递交的方式，但此项并非强制要求。</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Theme="minorEastAsia" w:hAnsiTheme="minorEastAsia" w:eastAsiaTheme="minorEastAsia"/>
          <w:b/>
          <w:szCs w:val="21"/>
        </w:rPr>
        <w:t>视为投标人放弃投标</w:t>
      </w:r>
      <w:r>
        <w:rPr>
          <w:rFonts w:hint="eastAsia" w:asciiTheme="minorEastAsia" w:hAnsiTheme="minorEastAsia" w:eastAsiaTheme="minorEastAsia"/>
          <w:szCs w:val="21"/>
        </w:rPr>
        <w:t>，因此产生的后果投标人自行承担</w:t>
      </w:r>
      <w:r>
        <w:rPr>
          <w:rFonts w:hint="eastAsia" w:cs="宋体" w:asciiTheme="minorEastAsia" w:hAnsiTheme="minorEastAsia" w:eastAsiaTheme="minorEastAsia"/>
          <w:szCs w:val="21"/>
        </w:rPr>
        <w:t>。</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电子加密投标文件按时解密的，备份投标文件自动失效。</w:t>
      </w:r>
    </w:p>
    <w:p>
      <w:pPr>
        <w:snapToGrid w:val="0"/>
        <w:spacing w:line="400" w:lineRule="exact"/>
        <w:ind w:firstLine="413"/>
        <w:rPr>
          <w:rFonts w:ascii="宋体" w:hAnsi="宋体" w:cs="Arial"/>
          <w:szCs w:val="21"/>
        </w:rPr>
      </w:pPr>
      <w:r>
        <w:rPr>
          <w:rFonts w:cs="Arial" w:asciiTheme="minorEastAsia" w:hAnsiTheme="minorEastAsia" w:eastAsiaTheme="minorEastAsia"/>
          <w:szCs w:val="21"/>
        </w:rPr>
        <w:t>2.5</w:t>
      </w:r>
      <w:r>
        <w:rPr>
          <w:rFonts w:hint="eastAsia" w:cs="Arial" w:asciiTheme="minorEastAsia" w:hAnsiTheme="minorEastAsia" w:eastAsiaTheme="minorEastAsia"/>
          <w:szCs w:val="21"/>
        </w:rPr>
        <w:t>本次政府采购活动有关信息在浙江政府采购网、宁波政府采购网、宁波市公共资源交易网（镇海区分网）网站上公布，发布信息视同送达所有潜在供应商，参加投标的供应商有义务在采购活动期间浏览公告发布网站。</w:t>
      </w:r>
    </w:p>
    <w:p>
      <w:pPr>
        <w:snapToGrid w:val="0"/>
        <w:spacing w:line="400" w:lineRule="exact"/>
        <w:rPr>
          <w:rFonts w:ascii="宋体" w:hAnsi="宋体" w:cs="Arial"/>
          <w:szCs w:val="21"/>
        </w:rPr>
      </w:pPr>
      <w:bookmarkStart w:id="26" w:name="_Toc28359008"/>
      <w:bookmarkStart w:id="27" w:name="_Toc35393796"/>
      <w:bookmarkStart w:id="28" w:name="_Toc28359085"/>
      <w:bookmarkStart w:id="29" w:name="_Toc35393627"/>
      <w:r>
        <w:rPr>
          <w:rFonts w:hint="eastAsia" w:ascii="宋体" w:hAnsi="宋体" w:cs="Arial"/>
          <w:szCs w:val="21"/>
        </w:rPr>
        <w:t>七、对本次招标提出询问，请按</w:t>
      </w:r>
      <w:r>
        <w:rPr>
          <w:rFonts w:ascii="宋体" w:hAnsi="宋体" w:cs="Arial"/>
          <w:szCs w:val="21"/>
        </w:rPr>
        <w:t>以下方式</w:t>
      </w:r>
      <w:r>
        <w:rPr>
          <w:rFonts w:hint="eastAsia" w:ascii="宋体" w:hAnsi="宋体" w:cs="Arial"/>
          <w:szCs w:val="21"/>
        </w:rPr>
        <w:t>联系。</w:t>
      </w:r>
      <w:bookmarkEnd w:id="26"/>
      <w:bookmarkEnd w:id="27"/>
      <w:bookmarkEnd w:id="28"/>
      <w:bookmarkEnd w:id="29"/>
    </w:p>
    <w:p>
      <w:pPr>
        <w:snapToGrid w:val="0"/>
        <w:spacing w:line="400" w:lineRule="exact"/>
        <w:ind w:firstLine="411" w:firstLineChars="196"/>
        <w:rPr>
          <w:rFonts w:ascii="宋体" w:hAnsi="宋体"/>
          <w:szCs w:val="21"/>
        </w:rPr>
      </w:pPr>
      <w:r>
        <w:rPr>
          <w:rFonts w:hint="eastAsia" w:ascii="宋体" w:hAnsi="宋体" w:cs="宋体"/>
          <w:szCs w:val="21"/>
        </w:rPr>
        <w:t>1.采购人信息</w:t>
      </w:r>
    </w:p>
    <w:p>
      <w:pPr>
        <w:snapToGrid w:val="0"/>
        <w:spacing w:line="400" w:lineRule="exact"/>
        <w:ind w:firstLine="411" w:firstLineChars="196"/>
        <w:rPr>
          <w:rFonts w:ascii="宋体" w:hAnsi="宋体"/>
          <w:szCs w:val="21"/>
        </w:rPr>
      </w:pPr>
      <w:r>
        <w:rPr>
          <w:rFonts w:hint="eastAsia" w:ascii="宋体" w:hAnsi="宋体"/>
          <w:szCs w:val="21"/>
        </w:rPr>
        <w:t>名称：宁波市生态环境局镇海分局</w:t>
      </w:r>
    </w:p>
    <w:p>
      <w:pPr>
        <w:snapToGrid w:val="0"/>
        <w:spacing w:line="400" w:lineRule="exact"/>
        <w:ind w:firstLine="411" w:firstLineChars="196"/>
        <w:rPr>
          <w:rFonts w:ascii="宋体" w:hAnsi="宋体"/>
          <w:szCs w:val="21"/>
        </w:rPr>
      </w:pPr>
      <w:r>
        <w:rPr>
          <w:rFonts w:hint="eastAsia" w:ascii="宋体" w:hAnsi="宋体"/>
          <w:szCs w:val="21"/>
        </w:rPr>
        <w:t>地址：宁波市镇海区雄镇路969号</w:t>
      </w:r>
    </w:p>
    <w:p>
      <w:pPr>
        <w:snapToGrid w:val="0"/>
        <w:spacing w:line="400" w:lineRule="exact"/>
        <w:ind w:firstLine="411" w:firstLineChars="196"/>
        <w:rPr>
          <w:rFonts w:ascii="宋体" w:hAnsi="宋体"/>
          <w:szCs w:val="21"/>
        </w:rPr>
      </w:pPr>
      <w:r>
        <w:rPr>
          <w:rFonts w:hint="eastAsia" w:ascii="宋体" w:hAnsi="宋体"/>
          <w:szCs w:val="21"/>
        </w:rPr>
        <w:t>联系人：陈老师</w:t>
      </w:r>
    </w:p>
    <w:p>
      <w:pPr>
        <w:snapToGrid w:val="0"/>
        <w:spacing w:line="400" w:lineRule="exact"/>
        <w:ind w:firstLine="411" w:firstLineChars="196"/>
        <w:rPr>
          <w:rFonts w:ascii="宋体" w:hAnsi="宋体"/>
          <w:szCs w:val="21"/>
        </w:rPr>
      </w:pPr>
      <w:r>
        <w:rPr>
          <w:rFonts w:hint="eastAsia" w:ascii="宋体" w:hAnsi="宋体"/>
          <w:szCs w:val="21"/>
        </w:rPr>
        <w:t>联系方式：</w:t>
      </w:r>
      <w:bookmarkStart w:id="30" w:name="_Toc28359009"/>
      <w:bookmarkStart w:id="31" w:name="_Toc28359086"/>
      <w:r>
        <w:rPr>
          <w:rFonts w:hint="eastAsia" w:ascii="宋体" w:hAnsi="宋体"/>
          <w:szCs w:val="21"/>
        </w:rPr>
        <w:t>0</w:t>
      </w:r>
      <w:r>
        <w:rPr>
          <w:rFonts w:ascii="宋体" w:hAnsi="宋体"/>
          <w:szCs w:val="21"/>
        </w:rPr>
        <w:t>574-86282315</w:t>
      </w:r>
    </w:p>
    <w:p>
      <w:pPr>
        <w:snapToGrid w:val="0"/>
        <w:spacing w:line="400" w:lineRule="exact"/>
        <w:ind w:firstLine="411" w:firstLineChars="196"/>
        <w:rPr>
          <w:rFonts w:ascii="宋体" w:hAnsi="宋体"/>
          <w:szCs w:val="21"/>
        </w:rPr>
      </w:pPr>
      <w:r>
        <w:rPr>
          <w:rFonts w:hint="eastAsia" w:ascii="宋体" w:hAnsi="宋体"/>
          <w:szCs w:val="21"/>
        </w:rPr>
        <w:t>质疑联系人：董老师</w:t>
      </w:r>
    </w:p>
    <w:p>
      <w:pPr>
        <w:snapToGrid w:val="0"/>
        <w:spacing w:line="400" w:lineRule="exact"/>
        <w:ind w:firstLine="411" w:firstLineChars="196"/>
        <w:rPr>
          <w:rFonts w:ascii="宋体" w:hAnsi="宋体"/>
          <w:szCs w:val="21"/>
        </w:rPr>
      </w:pPr>
      <w:r>
        <w:rPr>
          <w:rFonts w:hint="eastAsia" w:ascii="宋体" w:hAnsi="宋体"/>
          <w:szCs w:val="21"/>
        </w:rPr>
        <w:t>质疑联系人电话：0</w:t>
      </w:r>
      <w:r>
        <w:rPr>
          <w:rFonts w:ascii="宋体" w:hAnsi="宋体"/>
          <w:szCs w:val="21"/>
        </w:rPr>
        <w:t>574-86296392</w:t>
      </w:r>
    </w:p>
    <w:p>
      <w:pPr>
        <w:snapToGrid w:val="0"/>
        <w:spacing w:line="400" w:lineRule="exact"/>
        <w:ind w:firstLine="411" w:firstLineChars="196"/>
        <w:rPr>
          <w:rFonts w:ascii="宋体" w:hAnsi="宋体"/>
          <w:szCs w:val="21"/>
        </w:rPr>
      </w:pPr>
      <w:r>
        <w:rPr>
          <w:rFonts w:hint="eastAsia" w:ascii="宋体" w:hAnsi="宋体" w:cs="宋体"/>
          <w:szCs w:val="21"/>
        </w:rPr>
        <w:t>2.采购代理机构信息</w:t>
      </w:r>
      <w:bookmarkEnd w:id="30"/>
      <w:bookmarkEnd w:id="31"/>
    </w:p>
    <w:p>
      <w:pPr>
        <w:snapToGrid w:val="0"/>
        <w:spacing w:line="400" w:lineRule="exact"/>
        <w:ind w:firstLine="411" w:firstLineChars="196"/>
        <w:rPr>
          <w:rFonts w:ascii="宋体" w:hAnsi="宋体"/>
          <w:szCs w:val="21"/>
        </w:rPr>
      </w:pPr>
      <w:r>
        <w:rPr>
          <w:rFonts w:hint="eastAsia" w:ascii="宋体" w:hAnsi="宋体"/>
          <w:szCs w:val="21"/>
        </w:rPr>
        <w:t>名称：宁波名诚招标代理有限公司</w:t>
      </w:r>
    </w:p>
    <w:p>
      <w:pPr>
        <w:snapToGrid w:val="0"/>
        <w:spacing w:line="400" w:lineRule="exact"/>
        <w:ind w:firstLine="411" w:firstLineChars="196"/>
        <w:rPr>
          <w:rFonts w:ascii="宋体" w:hAnsi="宋体"/>
          <w:szCs w:val="21"/>
        </w:rPr>
      </w:pPr>
      <w:bookmarkStart w:id="32" w:name="_Toc28359087"/>
      <w:bookmarkStart w:id="33" w:name="_Toc28359010"/>
      <w:r>
        <w:rPr>
          <w:rFonts w:hint="eastAsia" w:ascii="宋体" w:hAnsi="宋体"/>
          <w:szCs w:val="21"/>
        </w:rPr>
        <w:t>地址：宁波市海曙区青石巷5号永煌大厦9楼</w:t>
      </w:r>
    </w:p>
    <w:p>
      <w:pPr>
        <w:snapToGrid w:val="0"/>
        <w:spacing w:line="400" w:lineRule="exact"/>
        <w:ind w:firstLine="411" w:firstLineChars="196"/>
        <w:rPr>
          <w:szCs w:val="21"/>
          <w:shd w:val="clear" w:color="auto" w:fill="FFFFFF"/>
        </w:rPr>
      </w:pPr>
      <w:r>
        <w:rPr>
          <w:szCs w:val="21"/>
          <w:shd w:val="clear" w:color="auto" w:fill="FFFFFF"/>
        </w:rPr>
        <w:t>项目联系人（询问）：万修文、</w:t>
      </w:r>
      <w:r>
        <w:rPr>
          <w:rFonts w:hint="eastAsia"/>
          <w:szCs w:val="21"/>
          <w:shd w:val="clear" w:color="auto" w:fill="FFFFFF"/>
        </w:rPr>
        <w:t>洪心怡、王裕挺</w:t>
      </w:r>
    </w:p>
    <w:p>
      <w:pPr>
        <w:snapToGrid w:val="0"/>
        <w:spacing w:line="400" w:lineRule="exact"/>
        <w:ind w:firstLine="411" w:firstLineChars="196"/>
        <w:rPr>
          <w:rFonts w:ascii="宋体" w:hAnsi="宋体" w:cs="Arial"/>
          <w:szCs w:val="21"/>
        </w:rPr>
      </w:pPr>
      <w:r>
        <w:rPr>
          <w:szCs w:val="21"/>
          <w:shd w:val="clear" w:color="auto" w:fill="FFFFFF"/>
        </w:rPr>
        <w:t>项目联系方式（询问）：</w:t>
      </w:r>
      <w:r>
        <w:rPr>
          <w:rFonts w:ascii="宋体" w:hAnsi="宋体" w:cs="Arial"/>
          <w:szCs w:val="21"/>
        </w:rPr>
        <w:t>0574-</w:t>
      </w:r>
      <w:r>
        <w:rPr>
          <w:rFonts w:hint="eastAsia" w:ascii="宋体" w:hAnsi="宋体" w:cs="Arial"/>
          <w:szCs w:val="21"/>
        </w:rPr>
        <w:t>83860503</w:t>
      </w:r>
    </w:p>
    <w:p>
      <w:pPr>
        <w:snapToGrid w:val="0"/>
        <w:spacing w:line="400" w:lineRule="exact"/>
        <w:ind w:firstLine="411" w:firstLineChars="196"/>
        <w:rPr>
          <w:rFonts w:ascii="宋体" w:hAnsi="宋体"/>
          <w:bCs/>
          <w:szCs w:val="21"/>
        </w:rPr>
      </w:pPr>
      <w:r>
        <w:rPr>
          <w:rFonts w:hint="eastAsia" w:ascii="宋体" w:hAnsi="宋体"/>
          <w:bCs/>
          <w:szCs w:val="21"/>
        </w:rPr>
        <w:t>质疑联系人：方芳</w:t>
      </w:r>
    </w:p>
    <w:p>
      <w:pPr>
        <w:snapToGrid w:val="0"/>
        <w:spacing w:line="400" w:lineRule="exact"/>
        <w:ind w:firstLine="411" w:firstLineChars="196"/>
        <w:rPr>
          <w:rFonts w:ascii="宋体" w:hAnsi="宋体"/>
          <w:bCs/>
          <w:szCs w:val="21"/>
        </w:rPr>
      </w:pPr>
      <w:r>
        <w:rPr>
          <w:rFonts w:hint="eastAsia" w:ascii="宋体" w:hAnsi="宋体"/>
          <w:bCs/>
          <w:szCs w:val="21"/>
        </w:rPr>
        <w:t>质疑联系人电话：0574-87101271</w:t>
      </w:r>
    </w:p>
    <w:p>
      <w:pPr>
        <w:snapToGrid w:val="0"/>
        <w:spacing w:line="400" w:lineRule="exact"/>
        <w:ind w:firstLine="411" w:firstLineChars="196"/>
        <w:rPr>
          <w:rFonts w:ascii="宋体" w:hAnsi="宋体" w:cs="宋体"/>
          <w:szCs w:val="21"/>
        </w:rPr>
      </w:pPr>
      <w:r>
        <w:rPr>
          <w:rFonts w:hint="eastAsia" w:ascii="宋体" w:hAnsi="宋体" w:cs="宋体"/>
          <w:szCs w:val="21"/>
        </w:rPr>
        <w:t>3.</w:t>
      </w:r>
      <w:bookmarkEnd w:id="32"/>
      <w:bookmarkEnd w:id="33"/>
      <w:r>
        <w:rPr>
          <w:rFonts w:hint="eastAsia" w:ascii="宋体" w:hAnsi="宋体" w:cs="宋体"/>
          <w:szCs w:val="21"/>
        </w:rPr>
        <w:t xml:space="preserve"> 同级政府采购监督管理部门</w:t>
      </w:r>
    </w:p>
    <w:p>
      <w:pPr>
        <w:snapToGrid w:val="0"/>
        <w:spacing w:line="400" w:lineRule="exact"/>
        <w:ind w:firstLine="411" w:firstLineChars="196"/>
        <w:rPr>
          <w:rFonts w:ascii="宋体" w:hAnsi="宋体" w:cs="宋体"/>
          <w:szCs w:val="21"/>
        </w:rPr>
      </w:pPr>
      <w:r>
        <w:rPr>
          <w:rFonts w:hint="eastAsia" w:ascii="宋体" w:hAnsi="宋体" w:cs="宋体"/>
          <w:szCs w:val="21"/>
        </w:rPr>
        <w:t>名称：镇海区政府采购管理办公室</w:t>
      </w:r>
    </w:p>
    <w:p>
      <w:pPr>
        <w:snapToGrid w:val="0"/>
        <w:spacing w:line="400" w:lineRule="exact"/>
        <w:ind w:firstLine="411" w:firstLineChars="196"/>
        <w:rPr>
          <w:szCs w:val="21"/>
          <w:shd w:val="clear" w:color="auto" w:fill="FFFFFF"/>
        </w:rPr>
      </w:pPr>
      <w:r>
        <w:rPr>
          <w:rFonts w:hint="eastAsia"/>
          <w:szCs w:val="21"/>
          <w:shd w:val="clear" w:color="auto" w:fill="FFFFFF"/>
        </w:rPr>
        <w:t xml:space="preserve">联系人 ：金老师  </w:t>
      </w:r>
    </w:p>
    <w:p>
      <w:pPr>
        <w:snapToGrid w:val="0"/>
        <w:spacing w:line="400" w:lineRule="exact"/>
        <w:ind w:firstLine="411" w:firstLineChars="196"/>
        <w:rPr>
          <w:szCs w:val="21"/>
          <w:shd w:val="clear" w:color="auto" w:fill="FFFFFF"/>
        </w:rPr>
      </w:pPr>
      <w:r>
        <w:rPr>
          <w:rFonts w:hint="eastAsia"/>
          <w:szCs w:val="21"/>
          <w:shd w:val="clear" w:color="auto" w:fill="FFFFFF"/>
        </w:rPr>
        <w:t>监督投诉电话：0574-89389666</w:t>
      </w:r>
    </w:p>
    <w:p>
      <w:pPr>
        <w:snapToGrid w:val="0"/>
        <w:spacing w:line="400" w:lineRule="exact"/>
        <w:ind w:firstLine="411" w:firstLineChars="196"/>
        <w:rPr>
          <w:rFonts w:asciiTheme="minorEastAsia" w:hAnsiTheme="minorEastAsia" w:eastAsiaTheme="minorEastAsia"/>
          <w:szCs w:val="21"/>
        </w:rPr>
      </w:pPr>
      <w:r>
        <w:rPr>
          <w:rFonts w:hint="eastAsia"/>
          <w:szCs w:val="21"/>
          <w:shd w:val="clear" w:color="auto" w:fill="FFFFFF"/>
        </w:rPr>
        <w:t>联系地址： 宁波市镇海区镇海大道中段670号</w:t>
      </w:r>
    </w:p>
    <w:p>
      <w:pPr>
        <w:spacing w:line="400" w:lineRule="exact"/>
        <w:ind w:firstLine="315" w:firstLineChars="150"/>
        <w:rPr>
          <w:szCs w:val="21"/>
          <w:shd w:val="clear" w:color="auto" w:fill="FFFFFF"/>
        </w:rPr>
      </w:pPr>
      <w:r>
        <w:rPr>
          <w:szCs w:val="21"/>
          <w:shd w:val="clear" w:color="auto" w:fill="FFFFFF"/>
        </w:rPr>
        <w:t xml:space="preserve">若对项目采购电子交易系统操作有疑问，可登录政采云（https://www.zcygov.cn/），点击右侧咨询小采，获取采小蜜智能服务管家帮助，或拨打政采云服务热线400-881-7190获取热线服务帮助。 </w:t>
      </w:r>
    </w:p>
    <w:p>
      <w:pPr>
        <w:snapToGrid w:val="0"/>
        <w:spacing w:line="400" w:lineRule="exact"/>
        <w:ind w:firstLine="411" w:firstLineChars="196"/>
        <w:rPr>
          <w:rFonts w:ascii="宋体" w:hAnsi="宋体"/>
          <w:szCs w:val="21"/>
          <w:u w:val="single"/>
        </w:rPr>
      </w:pPr>
      <w:r>
        <w:rPr>
          <w:szCs w:val="21"/>
          <w:shd w:val="clear" w:color="auto" w:fill="FFFFFF"/>
        </w:rPr>
        <w:t>CA问题联系电话（人工）：汇信CA 400-888-4636；天谷CA 400-087-8198。</w:t>
      </w:r>
    </w:p>
    <w:p>
      <w:pPr>
        <w:rPr>
          <w:rFonts w:ascii="宋体" w:hAnsi="宋体"/>
          <w:sz w:val="24"/>
        </w:rPr>
      </w:pPr>
      <w:bookmarkStart w:id="34" w:name="_Toc19147"/>
      <w:r>
        <w:rPr>
          <w:rFonts w:hint="eastAsia" w:ascii="宋体" w:hAnsi="宋体"/>
          <w:sz w:val="24"/>
        </w:rPr>
        <w:br w:type="page"/>
      </w:r>
    </w:p>
    <w:p>
      <w:pPr>
        <w:pStyle w:val="42"/>
        <w:spacing w:line="360" w:lineRule="auto"/>
        <w:rPr>
          <w:rFonts w:ascii="宋体" w:hAnsi="宋体" w:eastAsia="宋体"/>
          <w:sz w:val="32"/>
        </w:rPr>
      </w:pPr>
      <w:r>
        <w:rPr>
          <w:rFonts w:hint="eastAsia" w:ascii="宋体" w:hAnsi="宋体" w:eastAsia="宋体"/>
          <w:sz w:val="24"/>
        </w:rPr>
        <w:t>第二章  采购需求</w:t>
      </w:r>
      <w:bookmarkEnd w:id="34"/>
    </w:p>
    <w:p>
      <w:pPr>
        <w:spacing w:line="360" w:lineRule="auto"/>
        <w:rPr>
          <w:rFonts w:ascii="宋体" w:hAnsi="宋体"/>
          <w:b/>
          <w:kern w:val="1"/>
          <w:szCs w:val="21"/>
        </w:rPr>
      </w:pPr>
      <w:r>
        <w:rPr>
          <w:rFonts w:hint="eastAsia" w:ascii="宋体" w:hAnsi="宋体"/>
          <w:b/>
          <w:kern w:val="1"/>
          <w:szCs w:val="21"/>
        </w:rPr>
        <w:t>一、技术需求</w:t>
      </w:r>
    </w:p>
    <w:p>
      <w:pPr>
        <w:spacing w:line="360" w:lineRule="auto"/>
        <w:rPr>
          <w:b/>
          <w:bCs/>
        </w:rPr>
      </w:pPr>
      <w:r>
        <w:rPr>
          <w:rFonts w:hint="eastAsia"/>
          <w:b/>
          <w:bCs/>
        </w:rPr>
        <w:t>（一）项目背景</w:t>
      </w:r>
    </w:p>
    <w:p>
      <w:pPr>
        <w:spacing w:line="360" w:lineRule="auto"/>
        <w:ind w:firstLine="420" w:firstLineChars="200"/>
      </w:pPr>
      <w:r>
        <w:rPr>
          <w:rFonts w:hint="eastAsia"/>
        </w:rPr>
        <w:t>党的二十大报告指出，深入推进环境污染防治，持续深入打好蓝天、碧水、净土保卫战，加强污染物协同控制，基本消除重污染天气。2022年11月10日，生态环境部等15个部门印发实施《深入打好重污染天气消除、臭氧污染防治和柴油货车污染治理攻坚战行动方案》（环大气〔2022〕68号），打好重污染天气消除、臭氧污染防治等标志性战役，持续改善空气质量。国家《臭氧污染防治攻坚行动方案》提出坚持协同减排、源头防控，聚焦臭氧前体物VOCs和氮氧化物，强化臭氧污染防治科技支撑，完善臭氧和VOCs监测体系，提高治理设施运维管理水平，精准有效开展臭氧污染防治监督帮扶，提升执法监管能力。</w:t>
      </w:r>
    </w:p>
    <w:p>
      <w:pPr>
        <w:spacing w:line="360" w:lineRule="auto"/>
        <w:ind w:firstLine="420" w:firstLineChars="200"/>
      </w:pPr>
      <w:r>
        <w:rPr>
          <w:rFonts w:hint="eastAsia"/>
        </w:rPr>
        <w:t>2022年下半年，镇海区陆续发布《宁波市镇海区人民政府办公室关于印发&lt;镇海区清新空气行动方案（2022-2025）&gt;的通知》（镇政办发〔2022〕43号）、《宁波市镇海区人民政府办公室关于印发镇海区环境质量改善提质行动攻坚方案的通知》（镇政办发〔2022〕73号）等文件，要求到2025年，减少以O3为首要污染物的超标天数，进一步改善环境空气质量，主要指标处于宁波市前列。</w:t>
      </w:r>
    </w:p>
    <w:p>
      <w:pPr>
        <w:spacing w:line="360" w:lineRule="auto"/>
        <w:ind w:firstLine="420" w:firstLineChars="200"/>
      </w:pPr>
      <w:r>
        <w:rPr>
          <w:rFonts w:hint="eastAsia"/>
        </w:rPr>
        <w:t>2023年4月，市生态环境局发布《宁波市生态环境系统2023-2025年拟建数字化改革场景清单》（第一批），“数字治气”应用成功入选市级试点应用，要求在镇海区推进石化行业生态环境数字化监管，打造具有镇海治理模式创新特色的应用场景，力争省揭榜挂帅。</w:t>
      </w:r>
    </w:p>
    <w:p>
      <w:pPr>
        <w:spacing w:line="360" w:lineRule="auto"/>
        <w:rPr>
          <w:b/>
          <w:bCs/>
        </w:rPr>
      </w:pPr>
      <w:r>
        <w:rPr>
          <w:rFonts w:hint="eastAsia"/>
          <w:b/>
          <w:bCs/>
        </w:rPr>
        <w:t>（二）工作目标要求</w:t>
      </w:r>
    </w:p>
    <w:p>
      <w:pPr>
        <w:spacing w:line="360" w:lineRule="auto"/>
        <w:ind w:firstLine="420" w:firstLineChars="200"/>
      </w:pPr>
      <w:r>
        <w:rPr>
          <w:rFonts w:hint="eastAsia"/>
        </w:rPr>
        <w:t>“以大气环境问题为导向，以涉气监测为基础，以数据为依据，以监管为抓手”，全面改善镇海区大气环境质量为目标，在构建涉气污染源全过程全要素监管体系、大气问题预警体系和大气治理服务体系基础上，实现从末端废气排放监管向过程监管转变、从被动应对问题向主动发现问题、解决问题转变、从不定时现场人工监管向全景全天候24小时智慧监管转变，实现大气环境问题追根溯源、推演复盘、预警预测、闭环管理，切实提升大气环境领域的监管服务效能。</w:t>
      </w:r>
    </w:p>
    <w:p>
      <w:pPr>
        <w:spacing w:line="360" w:lineRule="auto"/>
        <w:rPr>
          <w:b/>
          <w:bCs/>
        </w:rPr>
      </w:pPr>
      <w:r>
        <w:rPr>
          <w:rFonts w:hint="eastAsia"/>
          <w:b/>
          <w:bCs/>
        </w:rPr>
        <w:t>（三）项目需求介绍</w:t>
      </w:r>
    </w:p>
    <w:p>
      <w:pPr>
        <w:spacing w:line="360" w:lineRule="auto"/>
        <w:ind w:firstLine="420" w:firstLineChars="200"/>
      </w:pPr>
      <w:r>
        <w:rPr>
          <w:rFonts w:hint="eastAsia"/>
        </w:rPr>
        <w:t>本项目需求要求主要涉及宁波市生态环境局镇海分局日常监管内容，紧紧围绕“深入打好污染防治攻坚战”和“减污降碳协同增效”等相关工作要求，以全流程环境危害识别与管控项目排查工作成果为基础，建设大气环境监管业务数字化管控应用，创新引入数字孪生地图技术，实现环境监测感知网络、污染源网络三维立体一屏通览，搭建“数字治气”应用，全面提升区域大气污染防治精细化管理水平，实现大气环境问题全方面监管，切实提升大气环境领域的监管服务效能。</w:t>
      </w:r>
    </w:p>
    <w:p/>
    <w:p>
      <w:pPr>
        <w:spacing w:line="360" w:lineRule="auto"/>
        <w:ind w:firstLine="420" w:firstLineChars="200"/>
      </w:pPr>
      <w:r>
        <w:rPr>
          <w:rFonts w:hint="eastAsia"/>
        </w:rPr>
        <w:t>3.1数据结构与数据资源共享需求要求</w:t>
      </w:r>
    </w:p>
    <w:p>
      <w:pPr>
        <w:spacing w:line="360" w:lineRule="auto"/>
        <w:ind w:firstLine="420" w:firstLineChars="200"/>
      </w:pPr>
      <w:r>
        <w:rPr>
          <w:rFonts w:hint="eastAsia"/>
        </w:rPr>
        <w:t>3.1.1数据结构</w:t>
      </w:r>
    </w:p>
    <w:p>
      <w:pPr>
        <w:pStyle w:val="2"/>
      </w:pPr>
    </w:p>
    <w:p>
      <w:pPr>
        <w:spacing w:line="360" w:lineRule="auto"/>
        <w:ind w:firstLine="420" w:firstLineChars="200"/>
      </w:pPr>
      <w:r>
        <w:rPr>
          <w:rFonts w:hint="eastAsia"/>
        </w:rPr>
        <w:t>本项目涉及的信息为监测数据、地面资料数据、异味数据专题数据、密封点台账数据、LDAR检测数据、LDAR复测数据、密封点延迟修复信息、LDAR检测视频数据、密封点图片数据等。</w:t>
      </w:r>
    </w:p>
    <w:p>
      <w:pPr>
        <w:spacing w:line="360" w:lineRule="auto"/>
        <w:ind w:firstLine="420" w:firstLineChars="200"/>
      </w:pPr>
      <w:r>
        <w:rPr>
          <w:rFonts w:hint="eastAsia"/>
        </w:rPr>
        <w:t>3.1.1数据共享需求分析</w:t>
      </w:r>
    </w:p>
    <w:p>
      <w:pPr>
        <w:spacing w:line="360" w:lineRule="auto"/>
        <w:ind w:firstLine="420" w:firstLineChars="200"/>
      </w:pPr>
      <w:r>
        <w:rPr>
          <w:rFonts w:hint="eastAsia"/>
        </w:rPr>
        <w:t>本项目相关的系统的数据接入共享的要求如下表：</w:t>
      </w:r>
    </w:p>
    <w:tbl>
      <w:tblPr>
        <w:tblStyle w:val="45"/>
        <w:tblpPr w:leftFromText="180" w:rightFromText="180" w:vertAnchor="text" w:horzAnchor="page" w:tblpX="1978" w:tblpY="3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121"/>
        <w:gridCol w:w="1923"/>
        <w:gridCol w:w="1398"/>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10" w:type="dxa"/>
            <w:vAlign w:val="center"/>
          </w:tcPr>
          <w:p>
            <w:pPr>
              <w:jc w:val="center"/>
              <w:rPr>
                <w:b/>
                <w:bCs/>
              </w:rPr>
            </w:pPr>
            <w:r>
              <w:t>序号</w:t>
            </w:r>
          </w:p>
        </w:tc>
        <w:tc>
          <w:tcPr>
            <w:tcW w:w="2121" w:type="dxa"/>
            <w:vAlign w:val="center"/>
          </w:tcPr>
          <w:p>
            <w:pPr>
              <w:jc w:val="center"/>
              <w:rPr>
                <w:b/>
                <w:bCs/>
              </w:rPr>
            </w:pPr>
            <w:r>
              <w:t>数据名称</w:t>
            </w:r>
          </w:p>
        </w:tc>
        <w:tc>
          <w:tcPr>
            <w:tcW w:w="1923" w:type="dxa"/>
            <w:vAlign w:val="center"/>
          </w:tcPr>
          <w:p>
            <w:pPr>
              <w:jc w:val="center"/>
              <w:rPr>
                <w:b/>
                <w:bCs/>
              </w:rPr>
            </w:pPr>
            <w:r>
              <w:t>数源系统</w:t>
            </w:r>
          </w:p>
        </w:tc>
        <w:tc>
          <w:tcPr>
            <w:tcW w:w="1398" w:type="dxa"/>
            <w:vAlign w:val="center"/>
          </w:tcPr>
          <w:p>
            <w:pPr>
              <w:jc w:val="center"/>
              <w:rPr>
                <w:b/>
                <w:bCs/>
              </w:rPr>
            </w:pPr>
            <w:r>
              <w:t>共享方式</w:t>
            </w:r>
          </w:p>
        </w:tc>
        <w:tc>
          <w:tcPr>
            <w:tcW w:w="1565" w:type="dxa"/>
            <w:vAlign w:val="center"/>
          </w:tcPr>
          <w:p>
            <w:pPr>
              <w:jc w:val="center"/>
              <w:rPr>
                <w:b/>
                <w:bCs/>
              </w:rPr>
            </w:pPr>
            <w:r>
              <w:t>更新频率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10" w:type="dxa"/>
            <w:vAlign w:val="center"/>
          </w:tcPr>
          <w:p>
            <w:pPr>
              <w:jc w:val="center"/>
            </w:pPr>
            <w:r>
              <w:t>1</w:t>
            </w:r>
          </w:p>
        </w:tc>
        <w:tc>
          <w:tcPr>
            <w:tcW w:w="2121" w:type="dxa"/>
            <w:vAlign w:val="center"/>
          </w:tcPr>
          <w:p>
            <w:pPr>
              <w:jc w:val="center"/>
            </w:pPr>
            <w:r>
              <w:t>企业信息</w:t>
            </w:r>
          </w:p>
        </w:tc>
        <w:tc>
          <w:tcPr>
            <w:tcW w:w="1923" w:type="dxa"/>
            <w:vAlign w:val="center"/>
          </w:tcPr>
          <w:p>
            <w:pPr>
              <w:jc w:val="center"/>
            </w:pPr>
            <w:r>
              <w:t>生态环境一张图</w:t>
            </w:r>
          </w:p>
        </w:tc>
        <w:tc>
          <w:tcPr>
            <w:tcW w:w="1398" w:type="dxa"/>
            <w:vAlign w:val="center"/>
          </w:tcPr>
          <w:p>
            <w:pPr>
              <w:jc w:val="center"/>
            </w:pPr>
            <w:r>
              <w:t>数据接口</w:t>
            </w:r>
          </w:p>
        </w:tc>
        <w:tc>
          <w:tcPr>
            <w:tcW w:w="1565" w:type="dxa"/>
            <w:vAlign w:val="center"/>
          </w:tcPr>
          <w:p>
            <w:pPr>
              <w:jc w:val="center"/>
            </w:pPr>
            <w:r>
              <w:t>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trPr>
        <w:tc>
          <w:tcPr>
            <w:tcW w:w="810" w:type="dxa"/>
            <w:vAlign w:val="center"/>
          </w:tcPr>
          <w:p>
            <w:pPr>
              <w:jc w:val="center"/>
            </w:pPr>
            <w:r>
              <w:t>2</w:t>
            </w:r>
          </w:p>
        </w:tc>
        <w:tc>
          <w:tcPr>
            <w:tcW w:w="2121" w:type="dxa"/>
            <w:vAlign w:val="center"/>
          </w:tcPr>
          <w:p>
            <w:pPr>
              <w:jc w:val="center"/>
            </w:pPr>
            <w:r>
              <w:t>污染源监测数据</w:t>
            </w:r>
          </w:p>
        </w:tc>
        <w:tc>
          <w:tcPr>
            <w:tcW w:w="1923" w:type="dxa"/>
            <w:vAlign w:val="center"/>
          </w:tcPr>
          <w:p>
            <w:pPr>
              <w:jc w:val="center"/>
            </w:pPr>
            <w:r>
              <w:t>生态环境一张图</w:t>
            </w:r>
          </w:p>
        </w:tc>
        <w:tc>
          <w:tcPr>
            <w:tcW w:w="1398" w:type="dxa"/>
            <w:vAlign w:val="center"/>
          </w:tcPr>
          <w:p>
            <w:pPr>
              <w:jc w:val="center"/>
            </w:pPr>
            <w:r>
              <w:t>数据接口</w:t>
            </w:r>
          </w:p>
        </w:tc>
        <w:tc>
          <w:tcPr>
            <w:tcW w:w="1565" w:type="dxa"/>
            <w:vAlign w:val="center"/>
          </w:tcPr>
          <w:p>
            <w:pPr>
              <w:jc w:val="center"/>
            </w:pPr>
            <w:r>
              <w:t>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10" w:type="dxa"/>
            <w:vAlign w:val="center"/>
          </w:tcPr>
          <w:p>
            <w:pPr>
              <w:jc w:val="center"/>
            </w:pPr>
            <w:r>
              <w:t>3</w:t>
            </w:r>
          </w:p>
        </w:tc>
        <w:tc>
          <w:tcPr>
            <w:tcW w:w="2121" w:type="dxa"/>
            <w:vAlign w:val="center"/>
          </w:tcPr>
          <w:p>
            <w:pPr>
              <w:jc w:val="center"/>
            </w:pPr>
            <w:r>
              <w:t>环境监测数据</w:t>
            </w:r>
          </w:p>
        </w:tc>
        <w:tc>
          <w:tcPr>
            <w:tcW w:w="1923" w:type="dxa"/>
            <w:vAlign w:val="center"/>
          </w:tcPr>
          <w:p>
            <w:pPr>
              <w:jc w:val="center"/>
            </w:pPr>
            <w:r>
              <w:t>生态环境一张图</w:t>
            </w:r>
          </w:p>
        </w:tc>
        <w:tc>
          <w:tcPr>
            <w:tcW w:w="1398" w:type="dxa"/>
            <w:vAlign w:val="center"/>
          </w:tcPr>
          <w:p>
            <w:pPr>
              <w:jc w:val="center"/>
            </w:pPr>
            <w:r>
              <w:t>数据接口</w:t>
            </w:r>
          </w:p>
        </w:tc>
        <w:tc>
          <w:tcPr>
            <w:tcW w:w="1565" w:type="dxa"/>
            <w:vAlign w:val="center"/>
          </w:tcPr>
          <w:p>
            <w:pPr>
              <w:jc w:val="center"/>
            </w:pPr>
            <w:r>
              <w:t>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10" w:type="dxa"/>
            <w:vAlign w:val="center"/>
          </w:tcPr>
          <w:p>
            <w:pPr>
              <w:jc w:val="center"/>
            </w:pPr>
            <w:r>
              <w:t>4</w:t>
            </w:r>
          </w:p>
        </w:tc>
        <w:tc>
          <w:tcPr>
            <w:tcW w:w="2121" w:type="dxa"/>
            <w:vAlign w:val="center"/>
          </w:tcPr>
          <w:p>
            <w:pPr>
              <w:jc w:val="center"/>
            </w:pPr>
            <w:r>
              <w:t>项目立项数据</w:t>
            </w:r>
          </w:p>
        </w:tc>
        <w:tc>
          <w:tcPr>
            <w:tcW w:w="1923" w:type="dxa"/>
            <w:vAlign w:val="center"/>
          </w:tcPr>
          <w:p>
            <w:pPr>
              <w:jc w:val="center"/>
            </w:pPr>
            <w:r>
              <w:t>在线投资项目平台</w:t>
            </w:r>
          </w:p>
        </w:tc>
        <w:tc>
          <w:tcPr>
            <w:tcW w:w="1398" w:type="dxa"/>
            <w:vAlign w:val="center"/>
          </w:tcPr>
          <w:p>
            <w:pPr>
              <w:jc w:val="center"/>
            </w:pPr>
            <w:r>
              <w:t>数据接口</w:t>
            </w:r>
          </w:p>
        </w:tc>
        <w:tc>
          <w:tcPr>
            <w:tcW w:w="1565" w:type="dxa"/>
            <w:vAlign w:val="center"/>
          </w:tcPr>
          <w:p>
            <w:pPr>
              <w:jc w:val="center"/>
            </w:pPr>
            <w:r>
              <w:t>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10" w:type="dxa"/>
            <w:vAlign w:val="center"/>
          </w:tcPr>
          <w:p>
            <w:pPr>
              <w:jc w:val="center"/>
            </w:pPr>
            <w:r>
              <w:t>5</w:t>
            </w:r>
          </w:p>
        </w:tc>
        <w:tc>
          <w:tcPr>
            <w:tcW w:w="2121" w:type="dxa"/>
            <w:vAlign w:val="center"/>
          </w:tcPr>
          <w:p>
            <w:pPr>
              <w:jc w:val="center"/>
            </w:pPr>
            <w:r>
              <w:t>排污许可证数据</w:t>
            </w:r>
          </w:p>
        </w:tc>
        <w:tc>
          <w:tcPr>
            <w:tcW w:w="1923" w:type="dxa"/>
            <w:vAlign w:val="center"/>
          </w:tcPr>
          <w:p>
            <w:pPr>
              <w:jc w:val="center"/>
            </w:pPr>
            <w:r>
              <w:t>省协同平台</w:t>
            </w:r>
          </w:p>
        </w:tc>
        <w:tc>
          <w:tcPr>
            <w:tcW w:w="1398" w:type="dxa"/>
            <w:vAlign w:val="center"/>
          </w:tcPr>
          <w:p>
            <w:pPr>
              <w:jc w:val="center"/>
            </w:pPr>
            <w:r>
              <w:t>数据接口</w:t>
            </w:r>
          </w:p>
        </w:tc>
        <w:tc>
          <w:tcPr>
            <w:tcW w:w="1565" w:type="dxa"/>
            <w:vAlign w:val="center"/>
          </w:tcPr>
          <w:p>
            <w:pPr>
              <w:jc w:val="center"/>
            </w:pPr>
            <w:r>
              <w:t>实时</w:t>
            </w:r>
          </w:p>
        </w:tc>
      </w:tr>
    </w:tbl>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
    <w:p>
      <w:pPr>
        <w:spacing w:line="360" w:lineRule="auto"/>
      </w:pPr>
    </w:p>
    <w:p>
      <w:pPr>
        <w:spacing w:line="360" w:lineRule="auto"/>
      </w:pPr>
    </w:p>
    <w:p>
      <w:pPr>
        <w:spacing w:line="360" w:lineRule="auto"/>
        <w:ind w:firstLine="420" w:firstLineChars="200"/>
      </w:pPr>
      <w:r>
        <w:rPr>
          <w:rFonts w:hint="eastAsia"/>
        </w:rPr>
        <w:t>3.1.3数据处理需求</w:t>
      </w:r>
    </w:p>
    <w:p>
      <w:pPr>
        <w:spacing w:line="360" w:lineRule="auto"/>
        <w:ind w:firstLine="420" w:firstLineChars="200"/>
      </w:pPr>
      <w:r>
        <w:rPr>
          <w:rFonts w:hint="eastAsia"/>
        </w:rPr>
        <w:t>由于数字治气业务数据资源种类多样，需要依托于多种覆盖数据处理逻辑的数据处理工具，对接入及导入的数据进行处理，并建立标准化的数据处理模式与流程。</w:t>
      </w:r>
    </w:p>
    <w:p>
      <w:pPr>
        <w:spacing w:line="360" w:lineRule="auto"/>
        <w:ind w:firstLine="420" w:firstLineChars="200"/>
      </w:pPr>
      <w:r>
        <w:rPr>
          <w:rFonts w:hint="eastAsia"/>
        </w:rPr>
        <w:t>3.1.4数据库建设需求</w:t>
      </w:r>
    </w:p>
    <w:p>
      <w:pPr>
        <w:spacing w:line="360" w:lineRule="auto"/>
        <w:ind w:firstLine="420" w:firstLineChars="200"/>
      </w:pPr>
      <w:r>
        <w:rPr>
          <w:rFonts w:hint="eastAsia"/>
        </w:rPr>
        <w:t>基于基础设施层所采集的各类数据，前期化工全过程环境审计项目调研梳理的企业数据，结合省市系统对接的各类数据，前期自建平台归集的各类数据等，根据业务需求，建设监测数据库、地面资料数据库、异味数据库、污染源信息数据库、LDAR检测数据库等。数据库建设要求如下：</w:t>
      </w:r>
    </w:p>
    <w:p>
      <w:pPr>
        <w:spacing w:line="360" w:lineRule="auto"/>
        <w:ind w:firstLine="420" w:firstLineChars="200"/>
      </w:pPr>
      <w:r>
        <w:rPr>
          <w:rFonts w:hint="eastAsia"/>
        </w:rPr>
        <w:t>1）获取的相关数据必须符合国家、行业相关标准，采集的数据需要及时可靠，系统具有较高的安全性和保护、告警等功能。</w:t>
      </w:r>
    </w:p>
    <w:p>
      <w:pPr>
        <w:spacing w:line="360" w:lineRule="auto"/>
        <w:ind w:firstLine="420" w:firstLineChars="200"/>
      </w:pPr>
      <w:r>
        <w:rPr>
          <w:rFonts w:hint="eastAsia"/>
        </w:rPr>
        <w:t>2）应支持主流的数据库系统；需采用构件化设计，界面友好，可做到灵活扩展，并具备数据维护自动纠错和查重功能。</w:t>
      </w:r>
    </w:p>
    <w:p>
      <w:pPr>
        <w:spacing w:line="360" w:lineRule="auto"/>
        <w:ind w:firstLine="420" w:firstLineChars="200"/>
      </w:pPr>
      <w:r>
        <w:rPr>
          <w:rFonts w:hint="eastAsia"/>
        </w:rPr>
        <w:t>3.2功能需求</w:t>
      </w:r>
    </w:p>
    <w:p>
      <w:pPr>
        <w:spacing w:line="360" w:lineRule="auto"/>
        <w:ind w:firstLine="420" w:firstLineChars="200"/>
      </w:pPr>
      <w:r>
        <w:rPr>
          <w:rFonts w:hint="eastAsia"/>
        </w:rPr>
        <w:t>3.2.1应用系统功能需求</w:t>
      </w:r>
    </w:p>
    <w:p>
      <w:pPr>
        <w:spacing w:line="360" w:lineRule="auto"/>
        <w:ind w:firstLine="420" w:firstLineChars="200"/>
      </w:pPr>
      <w:r>
        <w:rPr>
          <w:rFonts w:hint="eastAsia"/>
        </w:rPr>
        <w:t>3.2.1.1污染源监管数字孪生地图</w:t>
      </w:r>
    </w:p>
    <w:p>
      <w:pPr>
        <w:spacing w:line="360" w:lineRule="auto"/>
        <w:ind w:firstLine="420" w:firstLineChars="200"/>
      </w:pPr>
      <w:r>
        <w:rPr>
          <w:rFonts w:hint="eastAsia"/>
        </w:rPr>
        <w:t>基于三维技术，通过模拟或超现实景，结合地理信息，建立污染源监管数字孪生地图，全方位展示石化园区整体情况，用户可通过平台，直接在虚拟环境中一览整个园区VOCs污染排放现状，为精细化管理提供支撑。支持用户直观查看单个企业内VOCs无组织排放点位信息、有组织排放口点位信息及监测数据等，掌握污染源排放的全景全貌。在原有石化园区数字孪生地图上进行开发，新增对排放口监测感知设备的点位和数据、报警和统计分析。通过集成可视化的场景，实现统一管控、信息共享、联动管理，提高工作效率，降低人力成本，助力高效的运维和服务。</w:t>
      </w:r>
    </w:p>
    <w:p>
      <w:pPr>
        <w:spacing w:line="360" w:lineRule="auto"/>
        <w:ind w:firstLine="420" w:firstLineChars="200"/>
      </w:pPr>
      <w:r>
        <w:rPr>
          <w:rFonts w:hint="eastAsia"/>
        </w:rPr>
        <w:t>3.2.1.2 LDAR检测数据实时审核</w:t>
      </w:r>
    </w:p>
    <w:p>
      <w:pPr>
        <w:spacing w:line="360" w:lineRule="auto"/>
        <w:ind w:firstLine="420" w:firstLineChars="200"/>
      </w:pPr>
      <w:r>
        <w:rPr>
          <w:rFonts w:hint="eastAsia"/>
        </w:rPr>
        <w:t>LDAR检测实时审核系统主要基于现场采集的LDAR检测数据/检测过程视频数据，建立实时监控、系统审核、系统审核报警及处理、人工审核、审核发现的异常数据汇总、审核报告管理、统计和分析、第三方检测机构绩效管理等业务应用，形成从异常数据发现→异常数据审核确认→出具审核报告→第三方检测服务机构考核管理全过程的数字化。</w:t>
      </w:r>
    </w:p>
    <w:p>
      <w:pPr>
        <w:spacing w:line="360" w:lineRule="auto"/>
        <w:ind w:firstLine="420" w:firstLineChars="200"/>
      </w:pPr>
      <w:r>
        <w:rPr>
          <w:rFonts w:hint="eastAsia"/>
        </w:rPr>
        <w:t>3.2.1.3 高值溯源管控</w:t>
      </w:r>
    </w:p>
    <w:p>
      <w:pPr>
        <w:spacing w:line="360" w:lineRule="auto"/>
        <w:ind w:firstLine="420" w:firstLineChars="200"/>
      </w:pPr>
      <w:r>
        <w:rPr>
          <w:rFonts w:hint="eastAsia"/>
        </w:rPr>
        <w:t>系统须对异味浓度进行量化评价并进行预警，超标时向企业推送自查清单，结合全过程监控数据判断是否存在问题，实现异味事件的快速处置。主要的功能包括异味预警预报、异味溯源分析、异味应急处置闭环。</w:t>
      </w:r>
    </w:p>
    <w:p>
      <w:pPr>
        <w:spacing w:line="360" w:lineRule="auto"/>
        <w:ind w:firstLine="420" w:firstLineChars="200"/>
      </w:pPr>
      <w:r>
        <w:rPr>
          <w:rFonts w:hint="eastAsia"/>
        </w:rPr>
        <w:t>3.2.1.4 数字治气专题导航舱</w:t>
      </w:r>
    </w:p>
    <w:p>
      <w:pPr>
        <w:spacing w:line="360" w:lineRule="auto"/>
        <w:ind w:firstLine="420" w:firstLineChars="200"/>
      </w:pPr>
      <w:r>
        <w:rPr>
          <w:rFonts w:hint="eastAsia"/>
        </w:rPr>
        <w:t>基于数字治气业务，对关键数据指标进行提取，利用多种图表形式，搭建数字治气可视化大屏，实现治气工作动态监测、智能研判、风险预警，形成全局一屏统览、一键协同处置、一体化高效闭环的治气场景。导航舱根据场景内容分为三个专题，主要包含环境空气态势专题、VOCs（异味）态势专题、污染源态势专题。</w:t>
      </w:r>
    </w:p>
    <w:p>
      <w:pPr>
        <w:spacing w:line="360" w:lineRule="auto"/>
        <w:ind w:firstLine="420" w:firstLineChars="200"/>
      </w:pPr>
      <w:r>
        <w:rPr>
          <w:rFonts w:hint="eastAsia"/>
        </w:rPr>
        <w:t>3.2.2应用发布端需求</w:t>
      </w:r>
    </w:p>
    <w:p>
      <w:pPr>
        <w:spacing w:line="360" w:lineRule="auto"/>
        <w:ind w:firstLine="420" w:firstLineChars="200"/>
      </w:pPr>
      <w:r>
        <w:rPr>
          <w:rFonts w:hint="eastAsia"/>
        </w:rPr>
        <w:t>本项目用户涉及生态环境监管部门、污染源企业，系统需满足多种发布需求，其中：生态环境监管部门需提供PC端和“浙政钉”发布功能，企业服务端需提供浙江省政务服务网端和“浙里办”发布功能。</w:t>
      </w:r>
    </w:p>
    <w:p>
      <w:pPr>
        <w:spacing w:line="360" w:lineRule="auto"/>
        <w:ind w:firstLine="420" w:firstLineChars="200"/>
      </w:pPr>
      <w:r>
        <w:rPr>
          <w:rFonts w:hint="eastAsia"/>
        </w:rPr>
        <w:t>3.2.3应用支撑需求</w:t>
      </w:r>
    </w:p>
    <w:p>
      <w:pPr>
        <w:spacing w:line="360" w:lineRule="auto"/>
        <w:ind w:firstLine="420" w:firstLineChars="200"/>
      </w:pPr>
      <w:r>
        <w:rPr>
          <w:rFonts w:hint="eastAsia"/>
        </w:rPr>
        <w:t>本项目应用支撑层设计将利用现有及新建的应用支撑组件或工具进行建设，主要包括统一身份认证、用户管理、权限管理、日志管理、地理信息共享服务、数据采集工具、异味预测模型、VOCs和恶臭因子精细化反演和溯源、数据审核算法、图像审核算法、工作流引擎、LDAR异常数据识别模型、LDAR异常检测过程识别模型、业务办理闭环、污染源一体化闭环管理等作为业务应用支撑。其中共享利旧的应用支撑有统一身份认证、用户管理、权限管理、日志管理、地理信息共享服务、数据采集工具、工作流引擎。</w:t>
      </w:r>
    </w:p>
    <w:p>
      <w:pPr>
        <w:spacing w:line="360" w:lineRule="auto"/>
        <w:ind w:firstLine="420" w:firstLineChars="200"/>
      </w:pPr>
      <w:r>
        <w:rPr>
          <w:rFonts w:hint="eastAsia"/>
        </w:rPr>
        <w:t>统一身份认证：基于浙江政务服务网用户认证中心进行法人和个人用户实名认证，完成PC端应用与浙江政务服务网用户信息的同步。利用AD/LDAP技术提供面向基于客户端、服务器和应用程序的统一管理，实现单点登录。</w:t>
      </w:r>
    </w:p>
    <w:p>
      <w:pPr>
        <w:spacing w:line="360" w:lineRule="auto"/>
        <w:ind w:firstLine="420" w:firstLineChars="200"/>
      </w:pPr>
      <w:r>
        <w:rPr>
          <w:rFonts w:hint="eastAsia"/>
        </w:rPr>
        <w:t>用户管理：用户管理包括账号、部门、角色管理。</w:t>
      </w:r>
    </w:p>
    <w:p>
      <w:pPr>
        <w:spacing w:line="360" w:lineRule="auto"/>
        <w:ind w:firstLine="420" w:firstLineChars="200"/>
      </w:pPr>
      <w:r>
        <w:rPr>
          <w:rFonts w:hint="eastAsia"/>
        </w:rPr>
        <w:t>地理信息共享服务：地理信息共享是指将各类地理信息进行整合和共享的过程。地理信息主要包括各类地理位置数据、地形地貌数据、地质地貌数据等，形成地理信息数据库，将这些数据进行统一编码和标准化，实现数据共享和查询，为其他业务系统提供数据支撑。</w:t>
      </w:r>
    </w:p>
    <w:p>
      <w:pPr>
        <w:spacing w:line="360" w:lineRule="auto"/>
        <w:ind w:firstLine="420" w:firstLineChars="200"/>
      </w:pPr>
      <w:r>
        <w:rPr>
          <w:rFonts w:hint="eastAsia"/>
        </w:rPr>
        <w:t>异味预测模型：利用模型计算污染物扩散浓度，预测敏感点浓度信息，实现异味事件的预报功能。</w:t>
      </w:r>
    </w:p>
    <w:p>
      <w:pPr>
        <w:spacing w:line="360" w:lineRule="auto"/>
        <w:ind w:firstLine="420" w:firstLineChars="200"/>
      </w:pPr>
      <w:r>
        <w:rPr>
          <w:rFonts w:hint="eastAsia"/>
        </w:rPr>
        <w:t>VOCs和恶臭因子精细化反演和溯源：建立石化园区污染源排放清单，当发生异味事件，结合气象模型、大气扩散模型、机器学习法等多维模型实时反演污染源源强，模拟恶臭发生点位的主控污染因子贡献率，快速精准锁定嫌疑企业和嫌疑排口（装置）。</w:t>
      </w:r>
    </w:p>
    <w:p>
      <w:pPr>
        <w:spacing w:line="360" w:lineRule="auto"/>
        <w:ind w:firstLine="420" w:firstLineChars="200"/>
      </w:pPr>
      <w:r>
        <w:rPr>
          <w:rFonts w:hint="eastAsia"/>
        </w:rPr>
        <w:t>LDAR异常数据识别模型：依托LDAR基础台账数据算法、常规检测数据算法、复测数据算法等，识别出第三方检测机构异常检测数据。</w:t>
      </w:r>
    </w:p>
    <w:p>
      <w:pPr>
        <w:spacing w:line="360" w:lineRule="auto"/>
        <w:ind w:firstLine="420" w:firstLineChars="200"/>
      </w:pPr>
      <w:r>
        <w:rPr>
          <w:rFonts w:hint="eastAsia"/>
        </w:rPr>
        <w:t>LDAR异常检测过程识别算法：依托于图像算法，通过实时现场检测视频，识别检测人员的异常检测过程。</w:t>
      </w:r>
    </w:p>
    <w:p>
      <w:pPr>
        <w:spacing w:line="360" w:lineRule="auto"/>
        <w:ind w:firstLine="420" w:firstLineChars="200"/>
      </w:pPr>
      <w:r>
        <w:rPr>
          <w:rFonts w:hint="eastAsia"/>
        </w:rPr>
        <w:t>业务办理闭环：利用业务办理闭环流程，实现局内部各科室间的业务流转闭环。</w:t>
      </w:r>
    </w:p>
    <w:p>
      <w:pPr>
        <w:spacing w:line="360" w:lineRule="auto"/>
        <w:ind w:firstLine="420" w:firstLineChars="200"/>
      </w:pPr>
      <w:r>
        <w:rPr>
          <w:rFonts w:hint="eastAsia"/>
        </w:rPr>
        <w:t>污染源一体化闭环管理：利用污染源一体化闭环管理，实现监管部门与污染源企业之间的问题推送—反馈—审核的闭环机制。</w:t>
      </w:r>
    </w:p>
    <w:p>
      <w:pPr>
        <w:spacing w:line="360" w:lineRule="auto"/>
        <w:ind w:firstLine="420" w:firstLineChars="200"/>
      </w:pPr>
      <w:r>
        <w:rPr>
          <w:rFonts w:hint="eastAsia"/>
        </w:rPr>
        <w:t>3.2.4基础设施需求</w:t>
      </w:r>
    </w:p>
    <w:p>
      <w:pPr>
        <w:spacing w:line="360" w:lineRule="auto"/>
        <w:ind w:firstLine="420" w:firstLineChars="200"/>
      </w:pPr>
      <w:r>
        <w:rPr>
          <w:rFonts w:hint="eastAsia"/>
        </w:rPr>
        <w:t>本项目后端基础设施需依托于宁波市一体化智能化公共数据平台政务云资源，统一为上层提供网络资源、计算资源、存储资源等云计算基础资源服务。</w:t>
      </w:r>
    </w:p>
    <w:p>
      <w:pPr>
        <w:spacing w:line="360" w:lineRule="auto"/>
        <w:ind w:firstLine="420" w:firstLineChars="200"/>
      </w:pPr>
      <w:r>
        <w:rPr>
          <w:rFonts w:hint="eastAsia"/>
        </w:rPr>
        <w:t>系统分别部署在资源共享区和公众服务区两个区域，资源共享区主要用于部署污染源监管数字孪生地图应用及三维地图，共申请2台云资源；公众服务区主要用于部署LDAR检测数据实时审核、高值点溯源管控等应用，共申请5台云资源。根据部署需求，本项目所需云资源需求如下表所示：</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636"/>
        <w:gridCol w:w="777"/>
        <w:gridCol w:w="1980"/>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1271" w:type="dxa"/>
            <w:vAlign w:val="center"/>
          </w:tcPr>
          <w:p>
            <w:pPr>
              <w:jc w:val="center"/>
              <w:rPr>
                <w:rFonts w:ascii="宋体" w:hAnsi="宋体" w:cs="宋体"/>
                <w:b/>
                <w:bCs/>
              </w:rPr>
            </w:pPr>
            <w:bookmarkStart w:id="35" w:name="_Hlk143178072"/>
            <w:r>
              <w:rPr>
                <w:rFonts w:hint="eastAsia" w:ascii="宋体" w:hAnsi="宋体" w:cs="宋体"/>
                <w:b/>
                <w:bCs/>
              </w:rPr>
              <w:t>资源名称</w:t>
            </w:r>
          </w:p>
        </w:tc>
        <w:tc>
          <w:tcPr>
            <w:tcW w:w="2636" w:type="dxa"/>
            <w:vAlign w:val="center"/>
          </w:tcPr>
          <w:p>
            <w:pPr>
              <w:jc w:val="center"/>
              <w:rPr>
                <w:rFonts w:ascii="宋体" w:hAnsi="宋体" w:cs="宋体"/>
                <w:b/>
                <w:bCs/>
              </w:rPr>
            </w:pPr>
            <w:r>
              <w:rPr>
                <w:rFonts w:hint="eastAsia" w:ascii="宋体" w:hAnsi="宋体" w:cs="宋体"/>
                <w:b/>
                <w:bCs/>
              </w:rPr>
              <w:t>配置要求</w:t>
            </w:r>
          </w:p>
        </w:tc>
        <w:tc>
          <w:tcPr>
            <w:tcW w:w="777" w:type="dxa"/>
            <w:vAlign w:val="center"/>
          </w:tcPr>
          <w:p>
            <w:pPr>
              <w:jc w:val="center"/>
              <w:rPr>
                <w:rFonts w:ascii="宋体" w:hAnsi="宋体" w:cs="宋体"/>
                <w:b/>
                <w:bCs/>
              </w:rPr>
            </w:pPr>
            <w:r>
              <w:rPr>
                <w:rFonts w:hint="eastAsia" w:ascii="宋体" w:hAnsi="宋体" w:cs="宋体"/>
                <w:b/>
                <w:bCs/>
              </w:rPr>
              <w:t>数量</w:t>
            </w:r>
          </w:p>
        </w:tc>
        <w:tc>
          <w:tcPr>
            <w:tcW w:w="1980" w:type="dxa"/>
            <w:vAlign w:val="center"/>
          </w:tcPr>
          <w:p>
            <w:pPr>
              <w:jc w:val="center"/>
              <w:rPr>
                <w:rFonts w:ascii="宋体" w:hAnsi="宋体" w:cs="宋体"/>
                <w:b/>
                <w:bCs/>
              </w:rPr>
            </w:pPr>
            <w:r>
              <w:rPr>
                <w:rFonts w:hint="eastAsia" w:ascii="宋体" w:hAnsi="宋体" w:cs="宋体"/>
                <w:b/>
                <w:bCs/>
              </w:rPr>
              <w:t>用途</w:t>
            </w:r>
          </w:p>
        </w:tc>
        <w:tc>
          <w:tcPr>
            <w:tcW w:w="1482" w:type="dxa"/>
            <w:vAlign w:val="center"/>
          </w:tcPr>
          <w:p>
            <w:pPr>
              <w:jc w:val="center"/>
              <w:rPr>
                <w:rFonts w:ascii="宋体" w:hAnsi="宋体" w:cs="宋体"/>
                <w:b/>
                <w:bCs/>
              </w:rPr>
            </w:pPr>
            <w:r>
              <w:rPr>
                <w:rFonts w:hint="eastAsia" w:ascii="宋体" w:hAnsi="宋体" w:cs="宋体"/>
                <w:b/>
                <w:bCs/>
              </w:rPr>
              <w:t>部署区域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71" w:type="dxa"/>
            <w:vAlign w:val="center"/>
          </w:tcPr>
          <w:p>
            <w:pPr>
              <w:jc w:val="center"/>
              <w:rPr>
                <w:rFonts w:ascii="宋体" w:hAnsi="宋体" w:cs="宋体"/>
              </w:rPr>
            </w:pPr>
            <w:r>
              <w:rPr>
                <w:rFonts w:hint="eastAsia" w:ascii="宋体" w:hAnsi="宋体" w:cs="宋体"/>
                <w:kern w:val="0"/>
              </w:rPr>
              <w:t>ECS</w:t>
            </w:r>
          </w:p>
        </w:tc>
        <w:tc>
          <w:tcPr>
            <w:tcW w:w="2636" w:type="dxa"/>
            <w:vAlign w:val="center"/>
          </w:tcPr>
          <w:p>
            <w:pPr>
              <w:rPr>
                <w:rFonts w:ascii="宋体" w:hAnsi="宋体" w:cs="宋体"/>
              </w:rPr>
            </w:pPr>
            <w:r>
              <w:rPr>
                <w:rFonts w:hint="eastAsia" w:ascii="宋体" w:hAnsi="宋体" w:cs="宋体"/>
              </w:rPr>
              <w:t>8核，16GB及以上，系统盘200G，数据盘1TB</w:t>
            </w:r>
          </w:p>
        </w:tc>
        <w:tc>
          <w:tcPr>
            <w:tcW w:w="777" w:type="dxa"/>
            <w:vAlign w:val="center"/>
          </w:tcPr>
          <w:p>
            <w:pPr>
              <w:jc w:val="center"/>
              <w:rPr>
                <w:rFonts w:ascii="宋体" w:hAnsi="宋体" w:cs="宋体"/>
              </w:rPr>
            </w:pPr>
            <w:r>
              <w:rPr>
                <w:rFonts w:hint="eastAsia" w:ascii="宋体" w:hAnsi="宋体" w:cs="宋体"/>
              </w:rPr>
              <w:t>1</w:t>
            </w:r>
          </w:p>
        </w:tc>
        <w:tc>
          <w:tcPr>
            <w:tcW w:w="1980" w:type="dxa"/>
            <w:vAlign w:val="center"/>
          </w:tcPr>
          <w:p>
            <w:pPr>
              <w:rPr>
                <w:rFonts w:ascii="宋体" w:hAnsi="宋体" w:cs="宋体"/>
              </w:rPr>
            </w:pPr>
            <w:r>
              <w:rPr>
                <w:rFonts w:hint="eastAsia" w:ascii="宋体" w:hAnsi="宋体" w:cs="宋体"/>
                <w:kern w:val="0"/>
              </w:rPr>
              <w:t>三维地图部署服务器</w:t>
            </w:r>
          </w:p>
        </w:tc>
        <w:tc>
          <w:tcPr>
            <w:tcW w:w="1482" w:type="dxa"/>
            <w:vAlign w:val="center"/>
          </w:tcPr>
          <w:p>
            <w:pPr>
              <w:jc w:val="center"/>
              <w:rPr>
                <w:rFonts w:ascii="宋体" w:hAnsi="宋体" w:cs="宋体"/>
              </w:rPr>
            </w:pPr>
            <w:r>
              <w:rPr>
                <w:rFonts w:hint="eastAsia" w:ascii="宋体" w:hAnsi="宋体" w:cs="宋体"/>
                <w:kern w:val="0"/>
              </w:rPr>
              <w:t>资源共享区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71" w:type="dxa"/>
            <w:vAlign w:val="center"/>
          </w:tcPr>
          <w:p>
            <w:pPr>
              <w:jc w:val="center"/>
              <w:rPr>
                <w:rFonts w:ascii="宋体" w:hAnsi="宋体" w:cs="宋体"/>
              </w:rPr>
            </w:pPr>
            <w:r>
              <w:rPr>
                <w:rFonts w:hint="eastAsia" w:ascii="宋体" w:hAnsi="宋体" w:cs="宋体"/>
                <w:kern w:val="0"/>
              </w:rPr>
              <w:t>ECS</w:t>
            </w:r>
          </w:p>
        </w:tc>
        <w:tc>
          <w:tcPr>
            <w:tcW w:w="2636" w:type="dxa"/>
            <w:vAlign w:val="center"/>
          </w:tcPr>
          <w:p>
            <w:pPr>
              <w:rPr>
                <w:rFonts w:ascii="宋体" w:hAnsi="宋体" w:cs="宋体"/>
              </w:rPr>
            </w:pPr>
            <w:r>
              <w:rPr>
                <w:rFonts w:hint="eastAsia" w:ascii="宋体" w:hAnsi="宋体" w:cs="宋体"/>
              </w:rPr>
              <w:t>8核，16GB及以上，系统盘200G，数据盘500GB</w:t>
            </w:r>
          </w:p>
        </w:tc>
        <w:tc>
          <w:tcPr>
            <w:tcW w:w="777" w:type="dxa"/>
            <w:vAlign w:val="center"/>
          </w:tcPr>
          <w:p>
            <w:pPr>
              <w:jc w:val="center"/>
              <w:rPr>
                <w:rFonts w:ascii="宋体" w:hAnsi="宋体" w:cs="宋体"/>
              </w:rPr>
            </w:pPr>
            <w:r>
              <w:rPr>
                <w:rFonts w:hint="eastAsia" w:ascii="宋体" w:hAnsi="宋体" w:cs="宋体"/>
              </w:rPr>
              <w:t>1</w:t>
            </w:r>
          </w:p>
        </w:tc>
        <w:tc>
          <w:tcPr>
            <w:tcW w:w="1980" w:type="dxa"/>
            <w:vAlign w:val="center"/>
          </w:tcPr>
          <w:p>
            <w:pPr>
              <w:rPr>
                <w:rFonts w:ascii="宋体" w:hAnsi="宋体" w:cs="宋体"/>
              </w:rPr>
            </w:pPr>
            <w:r>
              <w:rPr>
                <w:rFonts w:hint="eastAsia" w:ascii="宋体" w:hAnsi="宋体" w:cs="宋体"/>
                <w:kern w:val="0"/>
              </w:rPr>
              <w:t>数字孪生地图应用服务器</w:t>
            </w:r>
          </w:p>
        </w:tc>
        <w:tc>
          <w:tcPr>
            <w:tcW w:w="1482" w:type="dxa"/>
            <w:vAlign w:val="center"/>
          </w:tcPr>
          <w:p>
            <w:pPr>
              <w:jc w:val="center"/>
              <w:rPr>
                <w:rFonts w:ascii="宋体" w:hAnsi="宋体" w:cs="宋体"/>
              </w:rPr>
            </w:pPr>
            <w:r>
              <w:rPr>
                <w:rFonts w:hint="eastAsia" w:ascii="宋体" w:hAnsi="宋体" w:cs="宋体"/>
                <w:kern w:val="0"/>
              </w:rPr>
              <w:t>资源共享区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71" w:type="dxa"/>
            <w:vAlign w:val="center"/>
          </w:tcPr>
          <w:p>
            <w:pPr>
              <w:jc w:val="center"/>
              <w:rPr>
                <w:rFonts w:ascii="宋体" w:hAnsi="宋体" w:cs="宋体"/>
                <w:kern w:val="0"/>
              </w:rPr>
            </w:pPr>
            <w:r>
              <w:rPr>
                <w:rFonts w:hint="eastAsia" w:ascii="宋体" w:hAnsi="宋体" w:cs="宋体"/>
                <w:kern w:val="0"/>
              </w:rPr>
              <w:t>ECS</w:t>
            </w:r>
          </w:p>
        </w:tc>
        <w:tc>
          <w:tcPr>
            <w:tcW w:w="2636" w:type="dxa"/>
            <w:vAlign w:val="center"/>
          </w:tcPr>
          <w:p>
            <w:pPr>
              <w:rPr>
                <w:rFonts w:ascii="宋体" w:hAnsi="宋体" w:cs="宋体"/>
                <w:kern w:val="0"/>
              </w:rPr>
            </w:pPr>
            <w:r>
              <w:rPr>
                <w:rFonts w:hint="eastAsia" w:ascii="宋体" w:hAnsi="宋体" w:cs="宋体"/>
                <w:kern w:val="0"/>
              </w:rPr>
              <w:t>8 核，16GB 及以上，系统盘200G</w:t>
            </w:r>
          </w:p>
          <w:p>
            <w:pPr>
              <w:rPr>
                <w:rFonts w:ascii="宋体" w:hAnsi="宋体" w:cs="宋体"/>
                <w:kern w:val="0"/>
              </w:rPr>
            </w:pPr>
            <w:r>
              <w:rPr>
                <w:rFonts w:hint="eastAsia" w:ascii="宋体" w:hAnsi="宋体" w:cs="宋体"/>
                <w:kern w:val="0"/>
              </w:rPr>
              <w:t>数据盘 5T 及以上</w:t>
            </w:r>
          </w:p>
        </w:tc>
        <w:tc>
          <w:tcPr>
            <w:tcW w:w="777" w:type="dxa"/>
            <w:vAlign w:val="center"/>
          </w:tcPr>
          <w:p>
            <w:pPr>
              <w:jc w:val="center"/>
              <w:rPr>
                <w:rFonts w:ascii="宋体" w:hAnsi="宋体" w:cs="宋体"/>
                <w:kern w:val="0"/>
              </w:rPr>
            </w:pPr>
            <w:r>
              <w:rPr>
                <w:rFonts w:hint="eastAsia" w:ascii="宋体" w:hAnsi="宋体" w:cs="宋体"/>
                <w:kern w:val="0"/>
              </w:rPr>
              <w:t>1</w:t>
            </w:r>
          </w:p>
        </w:tc>
        <w:tc>
          <w:tcPr>
            <w:tcW w:w="1980" w:type="dxa"/>
            <w:vAlign w:val="center"/>
          </w:tcPr>
          <w:p>
            <w:pPr>
              <w:rPr>
                <w:rFonts w:ascii="宋体" w:hAnsi="宋体" w:cs="宋体"/>
                <w:kern w:val="0"/>
              </w:rPr>
            </w:pPr>
            <w:r>
              <w:rPr>
                <w:rFonts w:hint="eastAsia" w:ascii="宋体" w:hAnsi="宋体" w:cs="宋体"/>
              </w:rPr>
              <w:t>LDAR检测数据实时审核应用程序部署，以及图片，视频存储服务器</w:t>
            </w:r>
          </w:p>
        </w:tc>
        <w:tc>
          <w:tcPr>
            <w:tcW w:w="1482" w:type="dxa"/>
            <w:vAlign w:val="center"/>
          </w:tcPr>
          <w:p>
            <w:pPr>
              <w:jc w:val="center"/>
              <w:rPr>
                <w:rFonts w:ascii="宋体" w:hAnsi="宋体" w:cs="宋体"/>
                <w:kern w:val="0"/>
              </w:rPr>
            </w:pPr>
            <w:r>
              <w:rPr>
                <w:rFonts w:hint="eastAsia" w:ascii="宋体" w:hAnsi="宋体" w:cs="宋体"/>
                <w:kern w:val="0"/>
              </w:rPr>
              <w:t>公众服务区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71" w:type="dxa"/>
            <w:vAlign w:val="center"/>
          </w:tcPr>
          <w:p>
            <w:pPr>
              <w:jc w:val="center"/>
              <w:rPr>
                <w:rFonts w:ascii="宋体" w:hAnsi="宋体" w:cs="宋体"/>
                <w:kern w:val="0"/>
              </w:rPr>
            </w:pPr>
            <w:r>
              <w:rPr>
                <w:rFonts w:hint="eastAsia" w:ascii="宋体" w:hAnsi="宋体" w:cs="宋体"/>
                <w:kern w:val="0"/>
              </w:rPr>
              <w:t>RDS</w:t>
            </w:r>
          </w:p>
        </w:tc>
        <w:tc>
          <w:tcPr>
            <w:tcW w:w="2636" w:type="dxa"/>
            <w:vAlign w:val="center"/>
          </w:tcPr>
          <w:p>
            <w:pPr>
              <w:rPr>
                <w:rFonts w:ascii="宋体" w:hAnsi="宋体" w:cs="宋体"/>
                <w:kern w:val="0"/>
              </w:rPr>
            </w:pPr>
            <w:r>
              <w:rPr>
                <w:rFonts w:hint="eastAsia" w:ascii="宋体" w:hAnsi="宋体" w:cs="宋体"/>
                <w:kern w:val="0"/>
              </w:rPr>
              <w:t>8 核，16GB 及以上，系统盘 200G</w:t>
            </w:r>
          </w:p>
          <w:p>
            <w:pPr>
              <w:rPr>
                <w:rFonts w:ascii="宋体" w:hAnsi="宋体" w:cs="宋体"/>
                <w:kern w:val="0"/>
              </w:rPr>
            </w:pPr>
            <w:r>
              <w:rPr>
                <w:rFonts w:hint="eastAsia" w:ascii="宋体" w:hAnsi="宋体" w:cs="宋体"/>
                <w:kern w:val="0"/>
              </w:rPr>
              <w:t>数据盘 2T 及以上</w:t>
            </w:r>
          </w:p>
        </w:tc>
        <w:tc>
          <w:tcPr>
            <w:tcW w:w="777" w:type="dxa"/>
            <w:vAlign w:val="center"/>
          </w:tcPr>
          <w:p>
            <w:pPr>
              <w:jc w:val="center"/>
              <w:rPr>
                <w:rFonts w:ascii="宋体" w:hAnsi="宋体" w:cs="宋体"/>
                <w:kern w:val="0"/>
              </w:rPr>
            </w:pPr>
            <w:r>
              <w:rPr>
                <w:rFonts w:hint="eastAsia" w:ascii="宋体" w:hAnsi="宋体" w:cs="宋体"/>
                <w:kern w:val="0"/>
              </w:rPr>
              <w:t>1</w:t>
            </w:r>
          </w:p>
        </w:tc>
        <w:tc>
          <w:tcPr>
            <w:tcW w:w="1980" w:type="dxa"/>
            <w:vAlign w:val="center"/>
          </w:tcPr>
          <w:p>
            <w:pPr>
              <w:rPr>
                <w:rFonts w:ascii="宋体" w:hAnsi="宋体" w:cs="宋体"/>
                <w:kern w:val="0"/>
              </w:rPr>
            </w:pPr>
            <w:r>
              <w:rPr>
                <w:rFonts w:hint="eastAsia" w:ascii="宋体" w:hAnsi="宋体" w:cs="宋体"/>
              </w:rPr>
              <w:t>LDAR检测数据实时审核应用数据库部署</w:t>
            </w:r>
          </w:p>
        </w:tc>
        <w:tc>
          <w:tcPr>
            <w:tcW w:w="1482" w:type="dxa"/>
            <w:vAlign w:val="center"/>
          </w:tcPr>
          <w:p>
            <w:pPr>
              <w:jc w:val="center"/>
              <w:rPr>
                <w:rFonts w:ascii="宋体" w:hAnsi="宋体" w:cs="宋体"/>
                <w:kern w:val="0"/>
              </w:rPr>
            </w:pPr>
            <w:r>
              <w:rPr>
                <w:rFonts w:hint="eastAsia" w:ascii="宋体" w:hAnsi="宋体" w:cs="宋体"/>
                <w:kern w:val="0"/>
              </w:rPr>
              <w:t>公众服务区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71" w:type="dxa"/>
            <w:vAlign w:val="center"/>
          </w:tcPr>
          <w:p>
            <w:pPr>
              <w:jc w:val="center"/>
              <w:rPr>
                <w:rFonts w:ascii="宋体" w:hAnsi="宋体" w:cs="宋体"/>
              </w:rPr>
            </w:pPr>
            <w:r>
              <w:rPr>
                <w:rFonts w:hint="eastAsia" w:ascii="宋体" w:hAnsi="宋体" w:cs="宋体"/>
                <w:kern w:val="0"/>
              </w:rPr>
              <w:t>ECS</w:t>
            </w:r>
          </w:p>
        </w:tc>
        <w:tc>
          <w:tcPr>
            <w:tcW w:w="2636" w:type="dxa"/>
            <w:vAlign w:val="center"/>
          </w:tcPr>
          <w:p>
            <w:pPr>
              <w:rPr>
                <w:rFonts w:ascii="宋体" w:hAnsi="宋体" w:cs="宋体"/>
              </w:rPr>
            </w:pPr>
            <w:r>
              <w:rPr>
                <w:rFonts w:hint="eastAsia" w:ascii="宋体" w:hAnsi="宋体" w:cs="宋体"/>
                <w:kern w:val="0"/>
              </w:rPr>
              <w:t>16核，</w:t>
            </w:r>
            <w:r>
              <w:rPr>
                <w:rFonts w:hint="eastAsia" w:ascii="宋体" w:hAnsi="宋体" w:cs="宋体"/>
              </w:rPr>
              <w:t>32G及以上，系统盘200G，数据盘2T及以上</w:t>
            </w:r>
          </w:p>
        </w:tc>
        <w:tc>
          <w:tcPr>
            <w:tcW w:w="777" w:type="dxa"/>
            <w:vAlign w:val="center"/>
          </w:tcPr>
          <w:p>
            <w:pPr>
              <w:jc w:val="center"/>
              <w:rPr>
                <w:rFonts w:ascii="宋体" w:hAnsi="宋体" w:cs="宋体"/>
              </w:rPr>
            </w:pPr>
            <w:r>
              <w:rPr>
                <w:rFonts w:hint="eastAsia" w:ascii="宋体" w:hAnsi="宋体" w:cs="宋体"/>
              </w:rPr>
              <w:t>1</w:t>
            </w:r>
          </w:p>
        </w:tc>
        <w:tc>
          <w:tcPr>
            <w:tcW w:w="1980" w:type="dxa"/>
            <w:vAlign w:val="center"/>
          </w:tcPr>
          <w:p>
            <w:pPr>
              <w:rPr>
                <w:rFonts w:ascii="宋体" w:hAnsi="宋体" w:cs="宋体"/>
              </w:rPr>
            </w:pPr>
            <w:r>
              <w:rPr>
                <w:rFonts w:hint="eastAsia" w:ascii="宋体" w:hAnsi="宋体" w:cs="宋体"/>
              </w:rPr>
              <w:t>高值溯源管控及数字治气专题导航舱应用部署</w:t>
            </w:r>
          </w:p>
        </w:tc>
        <w:tc>
          <w:tcPr>
            <w:tcW w:w="1482" w:type="dxa"/>
            <w:vAlign w:val="center"/>
          </w:tcPr>
          <w:p>
            <w:pPr>
              <w:jc w:val="center"/>
              <w:rPr>
                <w:rFonts w:ascii="宋体" w:hAnsi="宋体" w:cs="宋体"/>
              </w:rPr>
            </w:pPr>
            <w:r>
              <w:rPr>
                <w:rFonts w:hint="eastAsia" w:ascii="宋体" w:hAnsi="宋体" w:cs="宋体"/>
                <w:kern w:val="0"/>
              </w:rPr>
              <w:t>公众服务区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71" w:type="dxa"/>
            <w:vAlign w:val="center"/>
          </w:tcPr>
          <w:p>
            <w:pPr>
              <w:jc w:val="center"/>
              <w:rPr>
                <w:rFonts w:ascii="宋体" w:hAnsi="宋体" w:cs="宋体"/>
              </w:rPr>
            </w:pPr>
            <w:r>
              <w:rPr>
                <w:rFonts w:hint="eastAsia" w:ascii="宋体" w:hAnsi="宋体" w:cs="宋体"/>
                <w:kern w:val="0"/>
              </w:rPr>
              <w:t>RDS</w:t>
            </w:r>
          </w:p>
        </w:tc>
        <w:tc>
          <w:tcPr>
            <w:tcW w:w="2636" w:type="dxa"/>
            <w:vAlign w:val="center"/>
          </w:tcPr>
          <w:p>
            <w:pPr>
              <w:rPr>
                <w:rFonts w:ascii="宋体" w:hAnsi="宋体" w:cs="宋体"/>
              </w:rPr>
            </w:pPr>
            <w:r>
              <w:rPr>
                <w:rFonts w:hint="eastAsia" w:ascii="宋体" w:hAnsi="宋体" w:cs="宋体"/>
                <w:kern w:val="0"/>
              </w:rPr>
              <w:t>16核，</w:t>
            </w:r>
            <w:r>
              <w:rPr>
                <w:rFonts w:hint="eastAsia" w:ascii="宋体" w:hAnsi="宋体" w:cs="宋体"/>
              </w:rPr>
              <w:t>64G及以上，系统盘200G，硬盘5T及以上</w:t>
            </w:r>
          </w:p>
        </w:tc>
        <w:tc>
          <w:tcPr>
            <w:tcW w:w="777" w:type="dxa"/>
            <w:vAlign w:val="center"/>
          </w:tcPr>
          <w:p>
            <w:pPr>
              <w:jc w:val="center"/>
              <w:rPr>
                <w:rFonts w:ascii="宋体" w:hAnsi="宋体" w:cs="宋体"/>
              </w:rPr>
            </w:pPr>
            <w:r>
              <w:rPr>
                <w:rFonts w:hint="eastAsia" w:ascii="宋体" w:hAnsi="宋体" w:cs="宋体"/>
              </w:rPr>
              <w:t>1</w:t>
            </w:r>
          </w:p>
        </w:tc>
        <w:tc>
          <w:tcPr>
            <w:tcW w:w="1980" w:type="dxa"/>
            <w:vAlign w:val="center"/>
          </w:tcPr>
          <w:p>
            <w:pPr>
              <w:rPr>
                <w:rFonts w:ascii="宋体" w:hAnsi="宋体" w:cs="宋体"/>
              </w:rPr>
            </w:pPr>
            <w:r>
              <w:rPr>
                <w:rFonts w:hint="eastAsia" w:ascii="宋体" w:hAnsi="宋体" w:cs="宋体"/>
              </w:rPr>
              <w:t>高值溯源管控及数字治气专题导航舱数据库部署</w:t>
            </w:r>
          </w:p>
        </w:tc>
        <w:tc>
          <w:tcPr>
            <w:tcW w:w="1482" w:type="dxa"/>
            <w:vAlign w:val="center"/>
          </w:tcPr>
          <w:p>
            <w:pPr>
              <w:jc w:val="center"/>
              <w:rPr>
                <w:rFonts w:ascii="宋体" w:hAnsi="宋体" w:cs="宋体"/>
              </w:rPr>
            </w:pPr>
            <w:r>
              <w:rPr>
                <w:rFonts w:hint="eastAsia" w:ascii="宋体" w:hAnsi="宋体" w:cs="宋体"/>
                <w:kern w:val="0"/>
              </w:rPr>
              <w:t>公众服务区</w:t>
            </w:r>
          </w:p>
        </w:tc>
      </w:tr>
      <w:bookmarkEnd w:id="35"/>
    </w:tbl>
    <w:p>
      <w:pPr>
        <w:spacing w:line="360" w:lineRule="auto"/>
        <w:ind w:firstLine="420" w:firstLineChars="200"/>
      </w:pPr>
    </w:p>
    <w:p>
      <w:pPr>
        <w:spacing w:line="360" w:lineRule="auto"/>
        <w:ind w:firstLine="420" w:firstLineChars="200"/>
      </w:pPr>
      <w:r>
        <w:rPr>
          <w:rFonts w:hint="eastAsia"/>
        </w:rPr>
        <w:t>3.3</w:t>
      </w:r>
      <w:r>
        <w:t>性能需求</w:t>
      </w:r>
    </w:p>
    <w:p>
      <w:pPr>
        <w:spacing w:line="360" w:lineRule="auto"/>
        <w:ind w:firstLine="420" w:firstLineChars="200"/>
      </w:pPr>
      <w:r>
        <w:rPr>
          <w:rFonts w:hint="eastAsia"/>
        </w:rPr>
        <w:t>1）应采用B/S三层架构的体系结构，充分考虑到今后纵向和横向的扩展能力，能够满足日后模块的升级和需求的增加。</w:t>
      </w:r>
    </w:p>
    <w:p>
      <w:pPr>
        <w:spacing w:line="360" w:lineRule="auto"/>
        <w:ind w:firstLine="420" w:firstLineChars="200"/>
      </w:pPr>
      <w:r>
        <w:rPr>
          <w:rFonts w:hint="eastAsia"/>
        </w:rPr>
        <w:t>2）系统应采用模块化设计，在增加后台管理模块时，无须更改页面的代码。</w:t>
      </w:r>
    </w:p>
    <w:p>
      <w:pPr>
        <w:spacing w:line="360" w:lineRule="auto"/>
        <w:ind w:firstLine="420" w:firstLineChars="200"/>
      </w:pPr>
      <w:r>
        <w:rPr>
          <w:rFonts w:hint="eastAsia"/>
        </w:rPr>
        <w:t>3）支持7×24小时不间断运行，月平均故障时间&lt;1天，月平均故障修复时间&lt;30 分钟。</w:t>
      </w:r>
    </w:p>
    <w:p>
      <w:pPr>
        <w:spacing w:line="360" w:lineRule="auto"/>
        <w:ind w:firstLine="420" w:firstLineChars="200"/>
      </w:pPr>
      <w:r>
        <w:rPr>
          <w:rFonts w:hint="eastAsia"/>
        </w:rPr>
        <w:t>4）支持500个以上在线用户，支持100个以上并发用户。</w:t>
      </w:r>
    </w:p>
    <w:p>
      <w:pPr>
        <w:spacing w:line="360" w:lineRule="auto"/>
        <w:ind w:firstLine="420" w:firstLineChars="200"/>
      </w:pPr>
      <w:r>
        <w:rPr>
          <w:rFonts w:hint="eastAsia"/>
        </w:rPr>
        <w:t>5）在带宽稳定的情况下，一般页面加载响应时间&lt;2秒；10万条数据的简单查询及统计不超过4秒，百万条数据的查询及统计不超过8秒；一般资料保存响应时间&lt;6秒；一般图表分析响应时间&lt;10秒，比较复杂的图表分析响应时间&lt;20秒，特别复杂的图表分析响应时间＜40秒。</w:t>
      </w:r>
    </w:p>
    <w:p>
      <w:pPr>
        <w:spacing w:line="360" w:lineRule="auto"/>
        <w:ind w:firstLine="420" w:firstLineChars="200"/>
      </w:pPr>
      <w:r>
        <w:rPr>
          <w:rFonts w:hint="eastAsia"/>
        </w:rPr>
        <w:t>6）支持的年数据量大于50万记录数、50G字节的数据量。</w:t>
      </w:r>
    </w:p>
    <w:p>
      <w:pPr>
        <w:spacing w:line="360" w:lineRule="auto"/>
        <w:ind w:firstLine="420" w:firstLineChars="200"/>
      </w:pPr>
      <w:r>
        <w:rPr>
          <w:rFonts w:hint="eastAsia"/>
        </w:rPr>
        <w:t>3.7系统安全要求</w:t>
      </w:r>
    </w:p>
    <w:p>
      <w:pPr>
        <w:spacing w:line="360" w:lineRule="auto"/>
        <w:ind w:firstLine="420" w:firstLineChars="200"/>
      </w:pPr>
      <w:r>
        <w:rPr>
          <w:rFonts w:hint="eastAsia"/>
        </w:rPr>
        <w:t>依据《信息安全技术网络安全等级保护定级指南》（GB/T 22240-2020）的定级流程，本项目要求通过网络安全二级等级保护。网络安全等级保护测评由采购人确定，金额不超过5万元，费用包含在本次采购预算中。</w:t>
      </w:r>
    </w:p>
    <w:p>
      <w:pPr>
        <w:spacing w:line="360" w:lineRule="auto"/>
        <w:rPr>
          <w:b/>
          <w:bCs/>
        </w:rPr>
      </w:pPr>
      <w:r>
        <w:rPr>
          <w:rFonts w:hint="eastAsia"/>
          <w:b/>
          <w:bCs/>
        </w:rPr>
        <w:t>（四）项目详细技术要求</w:t>
      </w:r>
    </w:p>
    <w:p>
      <w:pPr>
        <w:spacing w:line="360" w:lineRule="auto"/>
        <w:ind w:firstLine="420" w:firstLineChars="200"/>
      </w:pPr>
      <w:r>
        <w:rPr>
          <w:rFonts w:hint="eastAsia"/>
        </w:rPr>
        <w:t>4.1系统总体框架设计</w:t>
      </w:r>
    </w:p>
    <w:p>
      <w:pPr>
        <w:spacing w:line="360" w:lineRule="auto"/>
        <w:ind w:firstLine="420" w:firstLineChars="200"/>
      </w:pPr>
      <w:r>
        <w:rPr>
          <w:rFonts w:hint="eastAsia"/>
        </w:rPr>
        <w:t>4.1.1系统框架设计</w:t>
      </w:r>
    </w:p>
    <w:p>
      <w:pPr>
        <w:spacing w:line="360" w:lineRule="auto"/>
        <w:ind w:firstLine="420" w:firstLineChars="200"/>
      </w:pPr>
      <w:r>
        <w:rPr>
          <w:rFonts w:hint="eastAsia"/>
        </w:rPr>
        <w:t>本项目根据省市一体化智能化公共数据平台“四横四纵”框架体系，结合镇海分局数字化应用顶层设计，按照“一个部门一个大系统”的原则，设计系统框架，主要分为基础设施层、数据资源层、应用支撑层和业务应用层。四纵即政策制度体系、标准规范体系、组织保障体系、网络安全体系：根据国家和生态环境镇海分局对信息化的安全管理需求、运行维护保障需求、数据标准化需求等，对本项目系统进行设计。</w:t>
      </w:r>
    </w:p>
    <w:p>
      <w:pPr>
        <w:spacing w:line="360" w:lineRule="auto"/>
        <w:ind w:firstLine="420" w:firstLineChars="200"/>
      </w:pPr>
      <w:bookmarkStart w:id="36" w:name="_Toc145669535"/>
      <w:bookmarkStart w:id="37" w:name="_Toc109760709"/>
      <w:bookmarkStart w:id="38" w:name="_Toc24058"/>
      <w:bookmarkStart w:id="39" w:name="_Toc24378"/>
      <w:bookmarkStart w:id="40" w:name="_Toc27042"/>
      <w:r>
        <w:rPr>
          <w:rFonts w:hint="eastAsia"/>
        </w:rPr>
        <w:t>4.1.2网络架构设计</w:t>
      </w:r>
      <w:bookmarkEnd w:id="36"/>
      <w:bookmarkEnd w:id="37"/>
      <w:bookmarkEnd w:id="38"/>
      <w:bookmarkEnd w:id="39"/>
      <w:bookmarkEnd w:id="40"/>
    </w:p>
    <w:p>
      <w:pPr>
        <w:spacing w:line="360" w:lineRule="auto"/>
        <w:ind w:firstLine="420" w:firstLineChars="200"/>
        <w:rPr>
          <w:color w:val="000000"/>
        </w:rPr>
      </w:pPr>
      <w:r>
        <w:rPr>
          <w:color w:val="000000"/>
        </w:rPr>
        <w:t>本项目部署于宁波市</w:t>
      </w:r>
      <w:r>
        <w:rPr>
          <w:rFonts w:hint="eastAsia"/>
          <w:color w:val="000000"/>
        </w:rPr>
        <w:t>信创云</w:t>
      </w:r>
      <w:r>
        <w:rPr>
          <w:color w:val="000000"/>
        </w:rPr>
        <w:t>平台，政府部门通过政务外网访问，第三方企业通过互联网访问。第三方企业的前端感知数据通过环保专网进行传输。环保专网与镇海分局政务外网区通过数据网闸等安全设备进行安全防护。</w:t>
      </w:r>
    </w:p>
    <w:p>
      <w:pPr>
        <w:spacing w:line="360" w:lineRule="auto"/>
        <w:ind w:firstLine="420" w:firstLineChars="200"/>
      </w:pPr>
      <w:bookmarkStart w:id="41" w:name="_Toc22881"/>
      <w:bookmarkStart w:id="42" w:name="_Toc29006"/>
      <w:bookmarkStart w:id="43" w:name="_Toc145669536"/>
      <w:bookmarkStart w:id="44" w:name="_Toc21477"/>
      <w:bookmarkStart w:id="45" w:name="_Toc109760710"/>
      <w:r>
        <w:rPr>
          <w:rFonts w:hint="eastAsia"/>
        </w:rPr>
        <w:t>4.2业务应用层设计</w:t>
      </w:r>
      <w:bookmarkEnd w:id="41"/>
      <w:bookmarkEnd w:id="42"/>
      <w:bookmarkEnd w:id="43"/>
      <w:bookmarkEnd w:id="44"/>
      <w:bookmarkEnd w:id="45"/>
    </w:p>
    <w:p>
      <w:pPr>
        <w:spacing w:line="360" w:lineRule="auto"/>
        <w:ind w:firstLine="420" w:firstLineChars="200"/>
      </w:pPr>
      <w:bookmarkStart w:id="46" w:name="_Toc38363643"/>
      <w:bookmarkStart w:id="47" w:name="_Toc38362916"/>
      <w:r>
        <w:rPr>
          <w:rFonts w:hint="eastAsia"/>
        </w:rPr>
        <w:t>基于三维数字模拟技术，建立污染源监管数字孪生地图。整合全流程环境危害识别与管控项目排查成果，对涉VOCs污染源的基本信息、经纬度坐标、排污权数据、执法数据、排放口信息、监测点位数据、环保治理设施运行情况等进行统一管理，生成污染源的“一源一档”。管理人员通过平台，直接在三维虚拟环境中遍览石化园区空气质量污染源状况，全方位展示石化园区整体全貌，为石化行业精细化管理提供数据和视觉支撑。</w:t>
      </w:r>
    </w:p>
    <w:bookmarkEnd w:id="46"/>
    <w:bookmarkEnd w:id="47"/>
    <w:p>
      <w:pPr>
        <w:spacing w:line="360" w:lineRule="auto"/>
        <w:ind w:firstLine="420" w:firstLineChars="200"/>
      </w:pPr>
      <w:bookmarkStart w:id="48" w:name="_Toc145669537"/>
      <w:r>
        <w:rPr>
          <w:rFonts w:hint="eastAsia"/>
        </w:rPr>
        <w:t>4.2.1污染源监管数字孪生地图</w:t>
      </w:r>
      <w:bookmarkEnd w:id="48"/>
    </w:p>
    <w:p>
      <w:pPr>
        <w:spacing w:line="360" w:lineRule="auto"/>
        <w:ind w:firstLine="420" w:firstLineChars="200"/>
      </w:pPr>
      <w:r>
        <w:rPr>
          <w:rFonts w:hint="eastAsia"/>
        </w:rPr>
        <w:t>基于三维数字模拟技术，建立污染源监管数字孪生地图。整合全流程环境危害识别与管控项目排查成果，对涉VOCs污染源的基本信息、经纬度坐标、排污权数据、执法数据、排放口信息、监测点位数据、环保治理设施运行情况等进行统一管理，生成污染源的“一源一档”。管理人员通过平台，直接在三维虚拟环境中遍览石化园区空气质量污染源状况，全方位展示石化园区整体全貌，为石化行业精细化管理提供数据和视觉支撑</w:t>
      </w:r>
      <w:r>
        <w:t>。</w:t>
      </w:r>
    </w:p>
    <w:p>
      <w:pPr>
        <w:spacing w:line="360" w:lineRule="auto"/>
        <w:ind w:firstLine="420" w:firstLineChars="200"/>
      </w:pPr>
      <w:r>
        <w:rPr>
          <w:rFonts w:hint="eastAsia"/>
        </w:rPr>
        <w:t>4.2.2LDAR检测数据实时审核</w:t>
      </w:r>
    </w:p>
    <w:p>
      <w:pPr>
        <w:spacing w:line="360" w:lineRule="auto"/>
        <w:ind w:firstLine="420" w:firstLineChars="200"/>
      </w:pPr>
      <w:r>
        <w:rPr>
          <w:rFonts w:hint="eastAsia"/>
        </w:rPr>
        <w:t>4.2.2.1 实时视频</w:t>
      </w:r>
    </w:p>
    <w:p>
      <w:pPr>
        <w:spacing w:line="360" w:lineRule="auto"/>
        <w:ind w:firstLine="420" w:firstLineChars="200"/>
      </w:pPr>
      <w:r>
        <w:rPr>
          <w:rFonts w:hint="eastAsia"/>
        </w:rPr>
        <w:t>实时视频页面主要用于实时查看平台管理的所有现场实时监测视频。实时视频是由安装在手柄中的摄像头在检测过程中，实时录像，存储视频并将视频上传到平台。</w:t>
      </w:r>
    </w:p>
    <w:p>
      <w:pPr>
        <w:spacing w:line="360" w:lineRule="auto"/>
        <w:ind w:firstLine="420" w:firstLineChars="200"/>
      </w:pPr>
      <w:r>
        <w:rPr>
          <w:rFonts w:hint="eastAsia"/>
        </w:rPr>
        <w:t>4.2.2.2 报警及处理</w:t>
      </w:r>
    </w:p>
    <w:p>
      <w:pPr>
        <w:spacing w:line="360" w:lineRule="auto"/>
        <w:ind w:firstLine="420" w:firstLineChars="200"/>
      </w:pPr>
      <w:r>
        <w:rPr>
          <w:rFonts w:hint="eastAsia"/>
        </w:rPr>
        <w:t>对于实时监控过程中，后台算法（数据逻辑算法以及图像识别算法）计算出的异常视频数据，系统将推送报警信息至实时视频页面，并在监控报警及处理页面生成报警信息。对于每条报警信息，需人工逐条进行核实确认，判断是否误报。</w:t>
      </w:r>
    </w:p>
    <w:p>
      <w:pPr>
        <w:spacing w:line="360" w:lineRule="auto"/>
        <w:ind w:firstLine="420" w:firstLineChars="200"/>
      </w:pPr>
      <w:r>
        <w:rPr>
          <w:rFonts w:hint="eastAsia"/>
        </w:rPr>
        <w:t>4.2.2.3 人工审核</w:t>
      </w:r>
    </w:p>
    <w:p>
      <w:pPr>
        <w:spacing w:line="360" w:lineRule="auto"/>
        <w:ind w:firstLine="420" w:firstLineChars="200"/>
      </w:pPr>
      <w:r>
        <w:rPr>
          <w:rFonts w:hint="eastAsia"/>
        </w:rPr>
        <w:t>人工审核页面主要用于历史视频的人工审核，系统仅暂存前一天的检测视频，视频审核人员需每日对前一天的视频数据进行人工审核。此处只需要对系统筛选出有异常数据的视频，前期因检测人员检测不规范，异常数据较多，审核量较大，后期随着检测过程不断规范，待审核量会逐步减少。</w:t>
      </w:r>
    </w:p>
    <w:p>
      <w:pPr>
        <w:spacing w:line="360" w:lineRule="auto"/>
        <w:ind w:firstLine="420" w:firstLineChars="200"/>
      </w:pPr>
      <w:r>
        <w:rPr>
          <w:rFonts w:hint="eastAsia"/>
        </w:rPr>
        <w:t>4.2.2.4 异常数据汇总</w:t>
      </w:r>
    </w:p>
    <w:p>
      <w:pPr>
        <w:spacing w:line="360" w:lineRule="auto"/>
        <w:ind w:firstLine="420" w:firstLineChars="200"/>
      </w:pPr>
      <w:r>
        <w:rPr>
          <w:rFonts w:hint="eastAsia"/>
        </w:rPr>
        <w:t>异常数据汇总页面包含：1）系统审核+人工复核；2）人工审核出的异常数据。</w:t>
      </w:r>
    </w:p>
    <w:p>
      <w:pPr>
        <w:spacing w:line="360" w:lineRule="auto"/>
        <w:ind w:firstLine="420" w:firstLineChars="200"/>
      </w:pPr>
      <w:r>
        <w:rPr>
          <w:rFonts w:hint="eastAsia"/>
        </w:rPr>
        <w:t>系统内置视频数据与检测数据的转换模型，审核出的异常视频数据最终将转换为对应的检测数据在页面显示。</w:t>
      </w:r>
    </w:p>
    <w:p>
      <w:pPr>
        <w:spacing w:line="360" w:lineRule="auto"/>
        <w:ind w:firstLine="420" w:firstLineChars="200"/>
      </w:pPr>
      <w:r>
        <w:rPr>
          <w:rFonts w:hint="eastAsia"/>
        </w:rPr>
        <w:t>4.2.2.5 抽测管理</w:t>
      </w:r>
    </w:p>
    <w:p>
      <w:pPr>
        <w:spacing w:line="360" w:lineRule="auto"/>
        <w:ind w:firstLine="420" w:firstLineChars="200"/>
      </w:pPr>
      <w:r>
        <w:rPr>
          <w:rFonts w:hint="eastAsia"/>
        </w:rPr>
        <w:t>对于LDAR的审核工作，除去对数据进行审核外，园区、省市LDAR主管机构会通过抽测的方法，确认现场检测结果的有效性。</w:t>
      </w:r>
    </w:p>
    <w:p>
      <w:pPr>
        <w:spacing w:line="360" w:lineRule="auto"/>
        <w:ind w:firstLine="420" w:firstLineChars="200"/>
      </w:pPr>
      <w:r>
        <w:rPr>
          <w:rFonts w:hint="eastAsia"/>
        </w:rPr>
        <w:t>4.2.2.6 数据上传</w:t>
      </w:r>
    </w:p>
    <w:p>
      <w:pPr>
        <w:spacing w:line="360" w:lineRule="auto"/>
        <w:ind w:firstLine="420" w:firstLineChars="200"/>
      </w:pPr>
      <w:r>
        <w:rPr>
          <w:rFonts w:hint="eastAsia"/>
        </w:rPr>
        <w:t>LDAR检测实时审核系统所需的数据分为：密封点台账、LDAR检测数据和LDAR检测视频。每季度至少上传一次，有条件的情况下每天上传。</w:t>
      </w:r>
    </w:p>
    <w:p>
      <w:pPr>
        <w:spacing w:line="360" w:lineRule="auto"/>
        <w:ind w:firstLine="420" w:firstLineChars="200"/>
      </w:pPr>
      <w:r>
        <w:rPr>
          <w:rFonts w:hint="eastAsia"/>
        </w:rPr>
        <w:t>4.2.2.7 审核报告</w:t>
      </w:r>
    </w:p>
    <w:p>
      <w:pPr>
        <w:spacing w:line="360" w:lineRule="auto"/>
        <w:ind w:firstLine="420" w:firstLineChars="200"/>
      </w:pPr>
      <w:r>
        <w:rPr>
          <w:rFonts w:hint="eastAsia"/>
        </w:rPr>
        <w:t>该功能需实现异常数据、抽测结果等自动生成审核报告。系统需内嵌标准版的LDAR审核报告模板。根据需要，生成报告时，审核人员点击导出报告按钮，导出报告，报告为PDF格式。</w:t>
      </w:r>
    </w:p>
    <w:p>
      <w:pPr>
        <w:spacing w:line="360" w:lineRule="auto"/>
        <w:ind w:firstLine="420" w:firstLineChars="200"/>
      </w:pPr>
      <w:r>
        <w:rPr>
          <w:rFonts w:hint="eastAsia"/>
        </w:rPr>
        <w:t>4.2.2.8 第三方检测机构管理</w:t>
      </w:r>
    </w:p>
    <w:p>
      <w:pPr>
        <w:spacing w:line="360" w:lineRule="auto"/>
        <w:ind w:firstLine="420" w:firstLineChars="200"/>
      </w:pPr>
      <w:r>
        <w:rPr>
          <w:rFonts w:hint="eastAsia"/>
        </w:rPr>
        <w:t>第三方检测机构管理主要用于管理园区、省市的第三方检测机构。</w:t>
      </w:r>
    </w:p>
    <w:p>
      <w:pPr>
        <w:spacing w:line="360" w:lineRule="auto"/>
        <w:ind w:firstLine="420" w:firstLineChars="200"/>
      </w:pPr>
      <w:r>
        <w:rPr>
          <w:rFonts w:hint="eastAsia"/>
        </w:rPr>
        <w:t>4.2.2.9 统计和分析</w:t>
      </w:r>
    </w:p>
    <w:p>
      <w:pPr>
        <w:spacing w:line="360" w:lineRule="auto"/>
        <w:ind w:firstLine="420" w:firstLineChars="200"/>
      </w:pPr>
      <w:r>
        <w:rPr>
          <w:rFonts w:hint="eastAsia"/>
        </w:rPr>
        <w:t>统计和分析由LDAR看板页面、LDAR统计和分析详情页面构成。</w:t>
      </w:r>
    </w:p>
    <w:p>
      <w:pPr>
        <w:spacing w:line="360" w:lineRule="auto"/>
        <w:ind w:firstLine="420" w:firstLineChars="200"/>
      </w:pPr>
      <w:r>
        <w:rPr>
          <w:rFonts w:hint="eastAsia"/>
        </w:rPr>
        <w:t>4.2.3高值点溯源管控</w:t>
      </w:r>
    </w:p>
    <w:p>
      <w:pPr>
        <w:spacing w:line="360" w:lineRule="auto"/>
        <w:ind w:firstLine="420" w:firstLineChars="200"/>
      </w:pPr>
      <w:r>
        <w:rPr>
          <w:rFonts w:hint="eastAsia"/>
        </w:rPr>
        <w:t>完善异味监控体系，实时监控异味问题，并将异味的浓度进行量化，及时发现问题、预警问题，并依托于模型分析实现智能溯源，结合石化行业在线监测数据、过程监控数据、厂界数据等，快速定位可疑区域、可疑装置，并通过数字化手段实现快速的指挥调度，安排执法人员快速到达现场进行现场检查，实现资源的整合利用，推动异味事件的快速有效处置，使监管更精准，使处置更高效，实现“测溯管治”合一的异味全过程闭环管理。</w:t>
      </w:r>
    </w:p>
    <w:p>
      <w:pPr>
        <w:spacing w:line="360" w:lineRule="auto"/>
        <w:ind w:firstLine="420" w:firstLineChars="200"/>
      </w:pPr>
      <w:r>
        <w:rPr>
          <w:rFonts w:hint="eastAsia"/>
        </w:rPr>
        <w:t>4.2.3.1 场景设计</w:t>
      </w:r>
    </w:p>
    <w:p>
      <w:pPr>
        <w:spacing w:line="360" w:lineRule="auto"/>
        <w:ind w:firstLine="420" w:firstLineChars="200"/>
      </w:pPr>
      <w:r>
        <w:rPr>
          <w:rFonts w:hint="eastAsia"/>
        </w:rPr>
        <w:t>本场景主要用于出现异味事件后的高效溯源处置，主要包括异味报警、异味溯源、异味事件处置三个子场景。</w:t>
      </w:r>
    </w:p>
    <w:p>
      <w:pPr>
        <w:spacing w:line="360" w:lineRule="auto"/>
        <w:ind w:firstLine="420" w:firstLineChars="200"/>
      </w:pPr>
      <w:r>
        <w:rPr>
          <w:rFonts w:hint="eastAsia"/>
        </w:rPr>
        <w:t>4.2.3.2 场景首页大屏</w:t>
      </w:r>
    </w:p>
    <w:p>
      <w:pPr>
        <w:spacing w:line="360" w:lineRule="auto"/>
        <w:ind w:firstLine="420" w:firstLineChars="200"/>
      </w:pPr>
      <w:r>
        <w:rPr>
          <w:rFonts w:hint="eastAsia"/>
        </w:rPr>
        <w:t>“高值点溯源管控”场景首页大屏可分为两种状态，包括“无异味超标状态”及“异味超标溯源期间”。平时点击“高值点溯源管控”场景，默认显示“无异常超标状态”界面，如在导航舱或其他界面查看发现VOCs涉异味因子数据超标或系统弹出超标信息时，点击跳转至此场景，则显示“异味超标溯源期间”状态。</w:t>
      </w:r>
    </w:p>
    <w:p>
      <w:pPr>
        <w:spacing w:line="360" w:lineRule="auto"/>
        <w:ind w:firstLine="420" w:firstLineChars="200"/>
      </w:pPr>
      <w:r>
        <w:rPr>
          <w:rFonts w:hint="eastAsia"/>
        </w:rPr>
        <w:t>4.2.3.3 异味预警预报</w:t>
      </w:r>
    </w:p>
    <w:p>
      <w:pPr>
        <w:spacing w:line="360" w:lineRule="auto"/>
        <w:ind w:firstLine="420" w:firstLineChars="200"/>
      </w:pPr>
      <w:r>
        <w:rPr>
          <w:rFonts w:hint="eastAsia"/>
        </w:rPr>
        <w:t>异味问题可通过模型预测异味数据进行预警预报，或通过走航车、特殊因子站点的监测数据超标进行报警。</w:t>
      </w:r>
    </w:p>
    <w:p>
      <w:pPr>
        <w:spacing w:line="360" w:lineRule="auto"/>
        <w:ind w:firstLine="420" w:firstLineChars="200"/>
      </w:pPr>
      <w:r>
        <w:rPr>
          <w:rFonts w:hint="eastAsia"/>
        </w:rPr>
        <w:t>4.2.3.4 异味溯源</w:t>
      </w:r>
    </w:p>
    <w:p>
      <w:pPr>
        <w:spacing w:line="360" w:lineRule="auto"/>
        <w:ind w:firstLine="420" w:firstLineChars="200"/>
      </w:pPr>
      <w:r>
        <w:rPr>
          <w:rFonts w:hint="eastAsia"/>
        </w:rPr>
        <w:t>4.2.3.4.1 异味因子溯源分析</w:t>
      </w:r>
    </w:p>
    <w:p>
      <w:pPr>
        <w:spacing w:line="360" w:lineRule="auto"/>
        <w:ind w:firstLine="420" w:firstLineChars="200"/>
      </w:pPr>
      <w:r>
        <w:rPr>
          <w:rFonts w:hint="eastAsia"/>
        </w:rPr>
        <w:t>基于环境空气质量模型和机器学习算法，通过模拟和机器学习反演异味因子源强。</w:t>
      </w:r>
    </w:p>
    <w:p>
      <w:pPr>
        <w:spacing w:line="360" w:lineRule="auto"/>
        <w:ind w:firstLine="420" w:firstLineChars="200"/>
      </w:pPr>
      <w:r>
        <w:rPr>
          <w:rFonts w:hint="eastAsia"/>
        </w:rPr>
        <w:t>4.2.3.4.2 异味影响预测分析</w:t>
      </w:r>
    </w:p>
    <w:p>
      <w:pPr>
        <w:spacing w:line="360" w:lineRule="auto"/>
        <w:ind w:firstLine="420" w:firstLineChars="200"/>
      </w:pPr>
      <w:r>
        <w:rPr>
          <w:rFonts w:hint="eastAsia"/>
        </w:rPr>
        <w:t>根据反演的异味因子源强和实际观测的气象条件，模拟异味因子对于园区和周边区域的环境影响。</w:t>
      </w:r>
    </w:p>
    <w:p>
      <w:pPr>
        <w:spacing w:line="360" w:lineRule="auto"/>
        <w:ind w:firstLine="420" w:firstLineChars="200"/>
      </w:pPr>
      <w:r>
        <w:rPr>
          <w:rFonts w:hint="eastAsia"/>
        </w:rPr>
        <w:t>4.2.3.4.3 高值影响溯源分析</w:t>
      </w:r>
    </w:p>
    <w:p>
      <w:pPr>
        <w:spacing w:line="360" w:lineRule="auto"/>
        <w:ind w:firstLine="420" w:firstLineChars="200"/>
      </w:pPr>
      <w:r>
        <w:rPr>
          <w:rFonts w:hint="eastAsia"/>
        </w:rPr>
        <w:t>对关心点进行溯源分析，以确定主要影响来源。</w:t>
      </w:r>
    </w:p>
    <w:p>
      <w:pPr>
        <w:spacing w:line="360" w:lineRule="auto"/>
        <w:ind w:firstLine="420" w:firstLineChars="200"/>
      </w:pPr>
      <w:r>
        <w:rPr>
          <w:rFonts w:hint="eastAsia"/>
        </w:rPr>
        <w:t>4.2.3.4.4 减排结果评估</w:t>
      </w:r>
    </w:p>
    <w:p>
      <w:pPr>
        <w:spacing w:line="360" w:lineRule="auto"/>
        <w:ind w:firstLine="420" w:firstLineChars="200"/>
      </w:pPr>
      <w:r>
        <w:rPr>
          <w:rFonts w:hint="eastAsia"/>
        </w:rPr>
        <w:t>用户可以基于源强反演结果对源强按比例和区域进行调整，并模拟调整后的环境影响，以评估减排效果。</w:t>
      </w:r>
    </w:p>
    <w:p>
      <w:pPr>
        <w:spacing w:line="360" w:lineRule="auto"/>
        <w:ind w:firstLine="420" w:firstLineChars="200"/>
      </w:pPr>
      <w:r>
        <w:rPr>
          <w:rFonts w:hint="eastAsia"/>
        </w:rPr>
        <w:t>4.2.3.5 异味应急处置闭环</w:t>
      </w:r>
    </w:p>
    <w:p>
      <w:pPr>
        <w:spacing w:line="360" w:lineRule="auto"/>
        <w:ind w:firstLine="420" w:firstLineChars="200"/>
      </w:pPr>
      <w:r>
        <w:rPr>
          <w:rFonts w:hint="eastAsia"/>
        </w:rPr>
        <w:t>异味预警报警期间，结合企业排污信息、企业环保设施运行状况、气象数据、企业自查任务反馈情况及溯源分析结果等，缩小范围筛选最有可能的污染来源，形成检查清单，发送给执法人员进行现场检查。执法人员现场检查确认需要整改的企业，由移动端进行填写，通过污染源一体化闭环管理系统推送问题清单，企业整改后进行反馈，由相关人员进行审核形成闭环。</w:t>
      </w:r>
    </w:p>
    <w:p>
      <w:pPr>
        <w:spacing w:line="360" w:lineRule="auto"/>
        <w:ind w:firstLine="420" w:firstLineChars="200"/>
      </w:pPr>
      <w:r>
        <w:rPr>
          <w:rFonts w:hint="eastAsia"/>
        </w:rPr>
        <w:t>4.2.4数字治气专题导航舱</w:t>
      </w:r>
    </w:p>
    <w:p>
      <w:pPr>
        <w:spacing w:line="360" w:lineRule="auto"/>
        <w:ind w:firstLine="420" w:firstLineChars="200"/>
      </w:pPr>
      <w:r>
        <w:rPr>
          <w:rFonts w:hint="eastAsia"/>
        </w:rPr>
        <w:t>基于数字治气业务，对关键数据指标进行提取，利用多种图表形式，搭建数字治气可视化大屏，实现治气工作动态监测、智能研判、风险预警，形成全局一屏统览、一键协同处置、一体化高效闭环的治气场景。导航舱根据场景内容分为三个专题，主要包含环境空气态势专题、VOCs（异味）态势专题、污染源态势专题。</w:t>
      </w:r>
    </w:p>
    <w:p>
      <w:pPr>
        <w:spacing w:line="360" w:lineRule="auto"/>
        <w:ind w:firstLine="420" w:firstLineChars="200"/>
      </w:pPr>
      <w:r>
        <w:rPr>
          <w:rFonts w:hint="eastAsia"/>
        </w:rPr>
        <w:t>4.2.5掌上治气浙政钉端</w:t>
      </w:r>
    </w:p>
    <w:p>
      <w:pPr>
        <w:spacing w:line="360" w:lineRule="auto"/>
        <w:ind w:firstLine="420" w:firstLineChars="200"/>
      </w:pPr>
      <w:r>
        <w:rPr>
          <w:rFonts w:hint="eastAsia"/>
        </w:rPr>
        <w:t>采用H5技术，开发镇海区环境应用移动端，实现现场工作人员与局内部工作人员的实时互动。支持Android、ios跨平台运行，改善分局内部沟通方式、提高工作效率。主要功能包括涉气信息查询及任务闭环管理。</w:t>
      </w:r>
    </w:p>
    <w:p>
      <w:pPr>
        <w:spacing w:line="360" w:lineRule="auto"/>
        <w:ind w:firstLine="420" w:firstLineChars="200"/>
        <w:rPr>
          <w:rFonts w:hint="eastAsia"/>
          <w:lang w:val="en-US" w:eastAsia="zh-CN"/>
        </w:rPr>
      </w:pPr>
      <w:r>
        <w:rPr>
          <w:rFonts w:hint="eastAsia"/>
          <w:lang w:val="en-US" w:eastAsia="zh-CN"/>
        </w:rPr>
        <w:t>4.2.6 企业服务端</w:t>
      </w:r>
    </w:p>
    <w:p>
      <w:pPr>
        <w:spacing w:line="360" w:lineRule="auto"/>
        <w:ind w:firstLine="420" w:firstLineChars="200"/>
        <w:rPr>
          <w:rFonts w:hint="eastAsia"/>
        </w:rPr>
      </w:pPr>
      <w:r>
        <w:t>通过建设企业服务端，实现由原有“政府主动监管，企业被动落实”转变为“政企开放服务，环境协同提升”，从根本上转变污染源企业管理思维，提升企业环境管理意识，科学规范地解决各类环境问题，积极提升企业环保管理水平。</w:t>
      </w:r>
      <w:r>
        <w:rPr>
          <w:rFonts w:hint="eastAsia"/>
          <w:lang w:val="en-US" w:eastAsia="zh-CN"/>
        </w:rPr>
        <w:t>主要功能包括</w:t>
      </w:r>
      <w:bookmarkStart w:id="49" w:name="_Toc145669565"/>
      <w:r>
        <w:rPr>
          <w:rFonts w:ascii="Times New Roman" w:hAnsi="Times New Roman"/>
        </w:rPr>
        <w:t>一体化闭环管理企业端功能</w:t>
      </w:r>
      <w:bookmarkEnd w:id="49"/>
      <w:r>
        <w:rPr>
          <w:rFonts w:hint="eastAsia"/>
          <w:lang w:val="en-US" w:eastAsia="zh-CN"/>
        </w:rPr>
        <w:t>和环保超市。一体化闭环管理企业端功能包括自助查询、问题清单及服务提醒、企业自我管理、企业减排工程上报。</w:t>
      </w:r>
    </w:p>
    <w:p>
      <w:pPr>
        <w:spacing w:line="360" w:lineRule="auto"/>
        <w:ind w:firstLine="420" w:firstLineChars="200"/>
      </w:pPr>
      <w:r>
        <w:rPr>
          <w:rFonts w:hint="eastAsia"/>
        </w:rPr>
        <w:t>4.3</w:t>
      </w:r>
      <w:r>
        <w:rPr>
          <w:szCs w:val="22"/>
        </w:rPr>
        <w:t>项目集成与</w:t>
      </w:r>
      <w:r>
        <w:t>接口</w:t>
      </w:r>
      <w:r>
        <w:rPr>
          <w:szCs w:val="22"/>
        </w:rPr>
        <w:t>设计</w:t>
      </w:r>
      <w:r>
        <w:rPr>
          <w:rFonts w:hint="eastAsia"/>
          <w:szCs w:val="22"/>
        </w:rPr>
        <w:t>要求</w:t>
      </w:r>
      <w:bookmarkStart w:id="76" w:name="_GoBack"/>
      <w:bookmarkEnd w:id="76"/>
    </w:p>
    <w:p>
      <w:pPr>
        <w:spacing w:line="360" w:lineRule="auto"/>
        <w:ind w:firstLine="420" w:firstLineChars="200"/>
      </w:pPr>
      <w:r>
        <w:rPr>
          <w:rFonts w:hint="eastAsia"/>
        </w:rPr>
        <w:t>4.3.1关联系统需求要求</w:t>
      </w:r>
    </w:p>
    <w:p>
      <w:pPr>
        <w:spacing w:line="360" w:lineRule="auto"/>
        <w:ind w:firstLine="420" w:firstLineChars="200"/>
      </w:pPr>
      <w:r>
        <w:rPr>
          <w:rFonts w:hint="eastAsia"/>
        </w:rPr>
        <w:t>本项目主要依托于前期的生态环境一张图系统进行建设并进行统一整合。在数据层面上，需要共享污染源数据、环境空气监测站点数据等。同时本项目新产生的污染源相关数据也将同步至生态环境一张图的一企一档数据中，为原有的业务系统提供更丰富的数据来源，实现更精细化的监管。在业务流程层面，依托本项目对生态环境一张图系统的现有功能进行迭代升级和功能集成，如环境监测站点数据超标时，可以依托于本项目的高值点溯源场景进行辅助分析超标原因。</w:t>
      </w:r>
    </w:p>
    <w:p>
      <w:pPr>
        <w:spacing w:line="360" w:lineRule="auto"/>
        <w:ind w:firstLine="420" w:firstLineChars="200"/>
      </w:pPr>
      <w:r>
        <w:rPr>
          <w:rFonts w:hint="eastAsia"/>
        </w:rPr>
        <w:t>4.3.2接口需求要求</w:t>
      </w:r>
    </w:p>
    <w:p>
      <w:pPr>
        <w:spacing w:line="360" w:lineRule="auto"/>
        <w:ind w:firstLine="420" w:firstLineChars="200"/>
      </w:pPr>
      <w:r>
        <w:rPr>
          <w:rFonts w:hint="eastAsia"/>
        </w:rPr>
        <w:t>（1）对外提供的接口</w:t>
      </w:r>
    </w:p>
    <w:p>
      <w:pPr>
        <w:spacing w:line="360" w:lineRule="auto"/>
        <w:ind w:firstLine="420" w:firstLineChars="200"/>
      </w:pPr>
      <w:r>
        <w:rPr>
          <w:rFonts w:hint="eastAsia"/>
        </w:rPr>
        <w:t>本项目对外部提供的接口主要为各类数据共享接口，其他需求部门可从浙江省一体化数字资源上申请数据，以数据接口的形式调用所需数据。</w:t>
      </w:r>
    </w:p>
    <w:p>
      <w:pPr>
        <w:spacing w:line="360" w:lineRule="auto"/>
        <w:ind w:firstLine="420" w:firstLineChars="200"/>
      </w:pPr>
      <w:r>
        <w:rPr>
          <w:rFonts w:hint="eastAsia"/>
        </w:rPr>
        <w:t>（2）项目需要使用的接口</w:t>
      </w:r>
    </w:p>
    <w:p>
      <w:pPr>
        <w:spacing w:line="360" w:lineRule="auto"/>
        <w:ind w:firstLine="420" w:firstLineChars="200"/>
      </w:pPr>
      <w:r>
        <w:rPr>
          <w:rFonts w:hint="eastAsia"/>
        </w:rPr>
        <w:t>本项目所需要使用的接口主要为数据接口，从浙江省一体化数字资源上申请数据，以数据接口的形式调用所需数据，为业务场景提供数据支撑。需要调用的数据包括环保部的排污许可证信息等。</w:t>
      </w:r>
    </w:p>
    <w:p>
      <w:pPr>
        <w:spacing w:line="360" w:lineRule="auto"/>
        <w:ind w:firstLine="420" w:firstLineChars="200"/>
      </w:pPr>
      <w:r>
        <w:rPr>
          <w:rFonts w:hint="eastAsia"/>
        </w:rPr>
        <w:t>4.4应用支撑层设计</w:t>
      </w:r>
    </w:p>
    <w:p>
      <w:pPr>
        <w:spacing w:line="360" w:lineRule="auto"/>
        <w:ind w:firstLine="420" w:firstLineChars="200"/>
      </w:pPr>
      <w:r>
        <w:rPr>
          <w:rFonts w:hint="eastAsia"/>
        </w:rPr>
        <w:t>本项目依托于一体化智能化公共数据平台共享组件、应用支撑组件或工具进行建设，主要建设内容包括统一身份认证、地理信息共享服务、数据采集工具、工作流引擎等，快速支撑本项目应用系统的快速高效的搭建。</w:t>
      </w:r>
    </w:p>
    <w:p>
      <w:pPr>
        <w:spacing w:line="360" w:lineRule="auto"/>
        <w:ind w:firstLine="420" w:firstLineChars="200"/>
      </w:pPr>
      <w:r>
        <w:rPr>
          <w:rFonts w:hint="eastAsia"/>
        </w:rPr>
        <w:t>4.4.1统一身份认证（共享利旧）</w:t>
      </w:r>
    </w:p>
    <w:p>
      <w:pPr>
        <w:spacing w:line="360" w:lineRule="auto"/>
        <w:ind w:firstLine="420" w:firstLineChars="200"/>
      </w:pPr>
      <w:r>
        <w:rPr>
          <w:rFonts w:hint="eastAsia"/>
        </w:rPr>
        <w:t>依托浙江政务服务网、浙里办的组织架构和用户体系，分别构建面向企业PC端和移动端的用户体系和认证体系，实现用户统一身份认证和用户信息同步，根据认证程度不同，实名认证用户可分为不同等级，不同等级的用户赋予不同的权限，具体依据浙江政务服务网和浙里办授权体系设定。</w:t>
      </w:r>
    </w:p>
    <w:p>
      <w:pPr>
        <w:spacing w:line="360" w:lineRule="auto"/>
        <w:ind w:firstLine="420" w:firstLineChars="200"/>
      </w:pPr>
      <w:r>
        <w:rPr>
          <w:rFonts w:hint="eastAsia"/>
        </w:rPr>
        <w:t>政府端应用实现与生态环境局镇海分局现有应用系统的集成和单点登录。</w:t>
      </w:r>
    </w:p>
    <w:p>
      <w:pPr>
        <w:spacing w:line="360" w:lineRule="auto"/>
        <w:ind w:firstLine="420" w:firstLineChars="200"/>
      </w:pPr>
      <w:r>
        <w:rPr>
          <w:rFonts w:hint="eastAsia"/>
        </w:rPr>
        <w:t>4.4.2用户管理（共享利旧）</w:t>
      </w:r>
    </w:p>
    <w:p>
      <w:pPr>
        <w:spacing w:line="360" w:lineRule="auto"/>
        <w:ind w:firstLine="420" w:firstLineChars="200"/>
      </w:pPr>
      <w:r>
        <w:rPr>
          <w:rFonts w:hint="eastAsia"/>
        </w:rPr>
        <w:t>用户管理包括账号、部门、角色管理。</w:t>
      </w:r>
    </w:p>
    <w:p>
      <w:pPr>
        <w:spacing w:line="360" w:lineRule="auto"/>
        <w:ind w:firstLine="420" w:firstLineChars="200"/>
      </w:pPr>
      <w:r>
        <w:rPr>
          <w:rFonts w:hint="eastAsia"/>
        </w:rPr>
        <w:t>4.4.3权限管理（共享利旧）</w:t>
      </w:r>
    </w:p>
    <w:p>
      <w:pPr>
        <w:spacing w:line="360" w:lineRule="auto"/>
        <w:ind w:firstLine="420" w:firstLineChars="200"/>
      </w:pPr>
      <w:r>
        <w:rPr>
          <w:rFonts w:hint="eastAsia"/>
        </w:rPr>
        <w:t>支持多权限集合的管理，权限集合可以自定义设置，将外部系统作为权限集合接入到用户中心进行管理，比如菜单权限、部门权限、报表权限、站点控制权限等。</w:t>
      </w:r>
    </w:p>
    <w:p>
      <w:pPr>
        <w:spacing w:line="360" w:lineRule="auto"/>
        <w:ind w:firstLine="420" w:firstLineChars="200"/>
      </w:pPr>
      <w:r>
        <w:rPr>
          <w:rFonts w:hint="eastAsia"/>
        </w:rPr>
        <w:t>4.4.4日志管理（共享利旧）</w:t>
      </w:r>
    </w:p>
    <w:p>
      <w:pPr>
        <w:spacing w:line="360" w:lineRule="auto"/>
        <w:ind w:firstLine="420" w:firstLineChars="200"/>
      </w:pPr>
      <w:r>
        <w:rPr>
          <w:rFonts w:hint="eastAsia"/>
        </w:rPr>
        <w:t>为评价本应用系统的实战实效，计算通用指标、辅助指标、业务核心指标的结果，系统具备日志功能，记录并分析应用的用户登录日志、应用访问操作日志、用户访问日志、系统报错日志、接口调用日志等，具备各类日志的统一识别、采集、分类、查询、统计等功能。可通过日志分析组件，对应用中各类日志进行统一管理，应保证运行日志的真实性、连续性和完整性；对日志文件进行备份、存档，可进行存储分析定位查看日志。</w:t>
      </w:r>
    </w:p>
    <w:p>
      <w:pPr>
        <w:spacing w:line="360" w:lineRule="auto"/>
        <w:ind w:firstLine="420" w:firstLineChars="200"/>
      </w:pPr>
      <w:r>
        <w:rPr>
          <w:rFonts w:hint="eastAsia"/>
        </w:rPr>
        <w:t>4.4.5地理信息共享服务（共享利旧）</w:t>
      </w:r>
    </w:p>
    <w:p>
      <w:pPr>
        <w:spacing w:line="360" w:lineRule="auto"/>
        <w:ind w:firstLine="420" w:firstLineChars="200"/>
      </w:pPr>
      <w:r>
        <w:rPr>
          <w:rFonts w:hint="eastAsia"/>
        </w:rPr>
        <w:t>本次项目涉及地理信息共享服务开发的有2D地图及3D数字孪生地图。</w:t>
      </w:r>
    </w:p>
    <w:p>
      <w:pPr>
        <w:spacing w:line="360" w:lineRule="auto"/>
        <w:ind w:firstLine="420" w:firstLineChars="200"/>
      </w:pPr>
      <w:r>
        <w:rPr>
          <w:rFonts w:hint="eastAsia"/>
        </w:rPr>
        <w:t>其中基于2D地图开发的应用，地理信息共享服务通过调用省自然资源厅信息中心的电子地图组件，镇海区现有地图资源，能够集中管理地理数据及相关业务数据，采用数据共享服务模式，能够直接将数据以标准服务的形式，通过系统共享给其他授权用户。</w:t>
      </w:r>
    </w:p>
    <w:p>
      <w:pPr>
        <w:spacing w:line="360" w:lineRule="auto"/>
        <w:ind w:firstLine="420" w:firstLineChars="200"/>
      </w:pPr>
      <w:r>
        <w:rPr>
          <w:rFonts w:hint="eastAsia"/>
        </w:rPr>
        <w:t>地理信息共享主要功能应包括多元数据的注册、管理（服务的创建、删除、停止、重启等操作）和服务发布，针对数据共享的服务管理、系统配置、安全管理、系统监控、日志管理、信息管理、资料管理，对GIS服务的监控管理，对运行GIS服务的硬件平台的监控管理，实现对系统各类服务、配置、用户角色和权限、并发访问、服务状态、系统日志、地图集及普通文档资料等内容和数据的统一集中管理。</w:t>
      </w:r>
    </w:p>
    <w:p>
      <w:pPr>
        <w:spacing w:line="360" w:lineRule="auto"/>
        <w:ind w:firstLine="420" w:firstLineChars="200"/>
      </w:pPr>
      <w:r>
        <w:rPr>
          <w:rFonts w:hint="eastAsia"/>
        </w:rPr>
        <w:t>基于3D数字孪生地图开发的应用，通过复用宁波石化经济技术开发区的数字孪生地图资源进行开发。</w:t>
      </w:r>
    </w:p>
    <w:p>
      <w:pPr>
        <w:spacing w:line="360" w:lineRule="auto"/>
        <w:ind w:firstLine="420" w:firstLineChars="200"/>
      </w:pPr>
      <w:r>
        <w:rPr>
          <w:rFonts w:hint="eastAsia"/>
        </w:rPr>
        <w:t>4.4.6数据采集工具（共享利旧）</w:t>
      </w:r>
    </w:p>
    <w:p>
      <w:pPr>
        <w:spacing w:line="360" w:lineRule="auto"/>
        <w:ind w:firstLine="420" w:firstLineChars="200"/>
      </w:pPr>
      <w:r>
        <w:rPr>
          <w:rFonts w:hint="eastAsia"/>
        </w:rPr>
        <w:t>提供ETL 设计与开发工具、ETL 运行引擎、ETL 监控工具、基础元数据服务等功能组件；支持多种操作系统平台，如UNIX、WINDOWS、LINUX 等；支持各类数据源，如主流关系型数据库管理系统（ORACLE、SQL SERVER等）；支持平面数据文件（文本文件，Excel，XML 文件等）；支持Oracle、SQLServer等数据库接口，支持Web Services的读写；具有并行处理能力，支持多线程处理；数据导入支持批量加载（sql loader方式）、insert模式、行删除模式等。</w:t>
      </w:r>
    </w:p>
    <w:p>
      <w:pPr>
        <w:spacing w:line="360" w:lineRule="auto"/>
        <w:ind w:firstLine="420" w:firstLineChars="200"/>
      </w:pPr>
      <w:r>
        <w:rPr>
          <w:rFonts w:hint="eastAsia"/>
        </w:rPr>
        <w:t>本项目中，将利用市公共数据平台资源，并配套数据采集工具，为从各个业务系统中获取数据、构建统一的生态环境基础数据库提供便利。</w:t>
      </w:r>
    </w:p>
    <w:p>
      <w:pPr>
        <w:spacing w:line="360" w:lineRule="auto"/>
        <w:ind w:firstLine="420" w:firstLineChars="200"/>
      </w:pPr>
      <w:r>
        <w:rPr>
          <w:rFonts w:hint="eastAsia"/>
        </w:rPr>
        <w:t>4.4.7异味预测模型</w:t>
      </w:r>
    </w:p>
    <w:p>
      <w:pPr>
        <w:spacing w:line="360" w:lineRule="auto"/>
        <w:ind w:firstLine="420" w:firstLineChars="200"/>
      </w:pPr>
      <w:r>
        <w:rPr>
          <w:rFonts w:hint="eastAsia"/>
        </w:rPr>
        <w:t>异味预测模型的数据是通过对接镇海生态环境一张图中的环境空气VOCs监测数据，分析园区现有在线监测数据中主要臭气污染物因子数据，利用大气模型计算其对敏感区域和敏感点的影响，浓度分布信息可以采用等值线图或热力图的形式在GIS中展示，同时还可通过调用历史数据展现随时间变化的动图效果。</w:t>
      </w:r>
    </w:p>
    <w:p>
      <w:pPr>
        <w:spacing w:line="360" w:lineRule="auto"/>
        <w:ind w:firstLine="420" w:firstLineChars="200"/>
      </w:pPr>
      <w:r>
        <w:rPr>
          <w:rFonts w:hint="eastAsia"/>
        </w:rPr>
        <w:t>4.4.8VOCs高值和恶臭因子精细化反演和溯源</w:t>
      </w:r>
    </w:p>
    <w:p>
      <w:pPr>
        <w:spacing w:line="360" w:lineRule="auto"/>
        <w:ind w:firstLine="420" w:firstLineChars="200"/>
      </w:pPr>
      <w:r>
        <w:rPr>
          <w:rFonts w:hint="eastAsia"/>
        </w:rPr>
        <w:t>基于镇海石化园区，</w:t>
      </w:r>
      <w:r>
        <w:t>采用贝叶斯反算技术</w:t>
      </w:r>
      <w:r>
        <w:rPr>
          <w:rFonts w:hint="eastAsia"/>
        </w:rPr>
        <w:t>运用机器学习等技术手段，结合大气扩散模型、气象模型以及现场大量监测数据，对初始污染源的迭代反演计算，实现对污染源排放量和排放时间的溯源优化分析。同时将溯源方案研究模型与本地园区平台系统连接应用，实现不同因子的排放分析展示、来源解析、预测预警等功能，支持园区恶臭和VOCs污染源精细化管理工作。该模型可应用于“高值点溯源管控”场景中实现异味事件的高效精准溯源。</w:t>
      </w:r>
    </w:p>
    <w:p>
      <w:pPr>
        <w:spacing w:line="360" w:lineRule="auto"/>
        <w:ind w:firstLine="420" w:firstLineChars="200"/>
      </w:pPr>
      <w:r>
        <w:rPr>
          <w:rFonts w:hint="eastAsia"/>
        </w:rPr>
        <w:t>4.4.9工作流引擎</w:t>
      </w:r>
    </w:p>
    <w:p>
      <w:pPr>
        <w:spacing w:line="360" w:lineRule="auto"/>
        <w:ind w:firstLine="420" w:firstLineChars="200"/>
      </w:pPr>
      <w:r>
        <w:rPr>
          <w:rFonts w:hint="eastAsia"/>
        </w:rPr>
        <w:t>4.4.9.1 通用工作流引擎（共享利旧）：利用现有工作流引擎为业务系统的流程个性化定制提供基础支撑。</w:t>
      </w:r>
    </w:p>
    <w:p>
      <w:pPr>
        <w:spacing w:line="360" w:lineRule="auto"/>
        <w:ind w:firstLine="420" w:firstLineChars="200"/>
      </w:pPr>
      <w:r>
        <w:rPr>
          <w:rFonts w:hint="eastAsia"/>
        </w:rPr>
        <w:t>4.4.9.2 业务办理闭环（新建）</w:t>
      </w:r>
    </w:p>
    <w:p>
      <w:pPr>
        <w:spacing w:line="360" w:lineRule="auto"/>
        <w:ind w:firstLine="420" w:firstLineChars="200"/>
      </w:pPr>
      <w:r>
        <w:rPr>
          <w:rFonts w:hint="eastAsia"/>
        </w:rPr>
        <w:t>大气环境管理业务相对复杂，涉及生态环境局镇海分局内部众多科室，因此亟需建立局内部工作流程，将局内部工作流程与数字治气管控应用打通，用于支撑数字治气管控应用中各大场景及未来待建场景的业务流转。环评审批、排污许可审批、监测业务管理等业务流转，产生数据可自动同步至关联企业一企一档中，相关数据为过程监管、高值点溯源管控等场景提供应用支撑。其中监测业务管理中与污染源相关的数据，如监督性监测数据等同步至污染源档案，环境监测相关数据则同步至对应点位中，为数据分析提供支撑。</w:t>
      </w:r>
    </w:p>
    <w:p>
      <w:pPr>
        <w:spacing w:line="360" w:lineRule="auto"/>
        <w:ind w:firstLine="420" w:firstLineChars="200"/>
      </w:pPr>
      <w:r>
        <w:rPr>
          <w:rFonts w:hint="eastAsia"/>
        </w:rPr>
        <w:t>4.4.9.3 污染源一体化闭环管理（新建）</w:t>
      </w:r>
    </w:p>
    <w:p>
      <w:pPr>
        <w:spacing w:line="360" w:lineRule="auto"/>
        <w:ind w:firstLine="420" w:firstLineChars="200"/>
      </w:pPr>
      <w:r>
        <w:rPr>
          <w:rFonts w:hint="eastAsia"/>
        </w:rPr>
        <w:t>镇海区“数字治气”应用中建设了多个涉气污染源监管场景，场景应用过程中如发现涉气污染源存在问题，需要打通监管部门与政府之间的沟通流程，将问题线上推送至污染源企业，企业整改完成后线上进行反馈或进行申诉等，为高值溯源管控提供闭环处置支撑。后续建设新的应用场景时，也可使用本污染源一体化闭环管理作为应用支撑，实现污染源企业与政府之间的互动及事件的处置闭环。同时，生态环境局镇海分局各管理科室在日常工作中发现的问题也可通过污染源一体化闭环管理实现问题的推送、反馈、审核闭环功能。</w:t>
      </w:r>
    </w:p>
    <w:p>
      <w:pPr>
        <w:spacing w:line="360" w:lineRule="auto"/>
        <w:ind w:firstLine="420" w:firstLineChars="200"/>
      </w:pPr>
      <w:r>
        <w:rPr>
          <w:rFonts w:hint="eastAsia"/>
        </w:rPr>
        <w:t>污染源一体化闭环管理场景主要汇集各个业务系统的发现问题，通过平台数据关联、统计等分析手段形成问题预警。根据问题严重程度，可将问题分为立整立改问题和不能立整立改的重点问题。不能立整立改的重点问题通过对应的业务系统进行分流交办，并进行闭环管理追踪。立整立改问题及各业务系统中需下派给企业的任务则由科室进行填报或由系统直接推送给企业，企业完成后进行反馈形成闭环。</w:t>
      </w:r>
    </w:p>
    <w:p>
      <w:pPr>
        <w:spacing w:line="360" w:lineRule="auto"/>
        <w:ind w:firstLine="420" w:firstLineChars="200"/>
      </w:pPr>
      <w:r>
        <w:rPr>
          <w:rFonts w:hint="eastAsia"/>
        </w:rPr>
        <w:t>4</w:t>
      </w:r>
      <w:r>
        <w:t>.4.10LDAR异常数据识别模型</w:t>
      </w:r>
    </w:p>
    <w:p>
      <w:pPr>
        <w:spacing w:line="360" w:lineRule="auto"/>
        <w:ind w:firstLine="420" w:firstLineChars="200"/>
      </w:pPr>
      <w:r>
        <w:t>数据来源于各企业上传的密封点台账数据、密封点检测数据、仪器校准漂移数据、密封点维修复测数据、排放量数据。通过密封点之间检测时间间隔、不同楼层之间间隔、密封点检测时长等规则，从数据中筛选出可疑数据。</w:t>
      </w:r>
    </w:p>
    <w:p>
      <w:pPr>
        <w:spacing w:line="360" w:lineRule="auto"/>
        <w:ind w:firstLine="420" w:firstLineChars="200"/>
      </w:pPr>
      <w:r>
        <w:t>LDAR异常数据识别模型作为LDAR检测数据实时审核系统的应用支撑，主要是指通过LDAR基础台账、LDAR检测数据、LDAR复测数据等识别LDAR异常数据的算法模型。模型内现有的算法包括：LDAR基础台账数据算法、LDAR常规检测数据算法、LDAR复测数据算法。</w:t>
      </w:r>
    </w:p>
    <w:p>
      <w:pPr>
        <w:spacing w:line="360" w:lineRule="auto"/>
        <w:ind w:firstLine="420" w:firstLineChars="200"/>
      </w:pPr>
      <w:r>
        <w:rPr>
          <w:rFonts w:hint="eastAsia"/>
        </w:rPr>
        <w:t>4.4.11LDAR异常检测过程识别模型</w:t>
      </w:r>
    </w:p>
    <w:p>
      <w:pPr>
        <w:spacing w:line="360" w:lineRule="auto"/>
        <w:ind w:firstLine="420" w:firstLineChars="200"/>
      </w:pPr>
      <w:r>
        <w:rPr>
          <w:rFonts w:hint="eastAsia"/>
        </w:rPr>
        <w:t>数据来源于各企业上传的密封点台账数据、密封点检测数据、现场的检测视频，采用图像识别模型，识别出检测视频中的异常检测过程。同时，通过模型训练，不断优化图像识别模型，提高识别率。</w:t>
      </w:r>
    </w:p>
    <w:p>
      <w:pPr>
        <w:spacing w:line="360" w:lineRule="auto"/>
        <w:ind w:firstLine="420" w:firstLineChars="200"/>
      </w:pPr>
      <w:r>
        <w:rPr>
          <w:rFonts w:hint="eastAsia"/>
        </w:rPr>
        <w:t>LDAR异常检测过程识别模型作为LDAR检测数据实时审核系统的应用支撑，主要依赖于图像算法，基于现场检测设备采集的实时检测视频，通过图像算法识别检测人员的异常检测过程。</w:t>
      </w:r>
    </w:p>
    <w:p>
      <w:pPr>
        <w:spacing w:line="360" w:lineRule="auto"/>
        <w:ind w:firstLine="420" w:firstLineChars="200"/>
      </w:pPr>
      <w:r>
        <w:rPr>
          <w:rFonts w:hint="eastAsia"/>
        </w:rPr>
        <w:t>4.5项目组件资源</w:t>
      </w:r>
    </w:p>
    <w:p>
      <w:pPr>
        <w:spacing w:line="360" w:lineRule="auto"/>
        <w:ind w:firstLine="420" w:firstLineChars="200"/>
      </w:pPr>
      <w:r>
        <w:rPr>
          <w:rFonts w:hint="eastAsia"/>
        </w:rPr>
        <w:t>4.5.1项目产生组件资源：本项目依托省市现有的组件资源进行建设，不产生新的组件资源。</w:t>
      </w:r>
    </w:p>
    <w:p>
      <w:pPr>
        <w:spacing w:line="360" w:lineRule="auto"/>
        <w:ind w:firstLine="420" w:firstLineChars="200"/>
      </w:pPr>
      <w:r>
        <w:rPr>
          <w:rFonts w:hint="eastAsia"/>
        </w:rPr>
        <w:t>4.5.2项目使用组件资源表</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64"/>
        <w:gridCol w:w="356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94"/>
              <w:jc w:val="both"/>
              <w:rPr>
                <w:rFonts w:cs="Times New Roman"/>
                <w:b/>
                <w:bCs w:val="0"/>
              </w:rPr>
            </w:pPr>
            <w:r>
              <w:rPr>
                <w:rFonts w:cs="Times New Roman"/>
                <w:b/>
                <w:bCs w:val="0"/>
              </w:rPr>
              <w:t>序号</w:t>
            </w:r>
          </w:p>
        </w:tc>
        <w:tc>
          <w:tcPr>
            <w:tcW w:w="1579"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94"/>
              <w:jc w:val="both"/>
              <w:rPr>
                <w:rFonts w:cs="Times New Roman"/>
                <w:b/>
                <w:bCs w:val="0"/>
              </w:rPr>
            </w:pPr>
            <w:r>
              <w:rPr>
                <w:rFonts w:cs="Times New Roman"/>
                <w:b/>
                <w:bCs w:val="0"/>
              </w:rPr>
              <w:t>组件名称</w:t>
            </w:r>
          </w:p>
        </w:tc>
        <w:tc>
          <w:tcPr>
            <w:tcW w:w="196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94"/>
              <w:jc w:val="both"/>
              <w:rPr>
                <w:rFonts w:cs="Times New Roman"/>
                <w:b/>
                <w:bCs w:val="0"/>
              </w:rPr>
            </w:pPr>
            <w:r>
              <w:rPr>
                <w:rFonts w:cs="Times New Roman"/>
                <w:b/>
                <w:bCs w:val="0"/>
              </w:rPr>
              <w:t>组件提供单位</w:t>
            </w:r>
          </w:p>
        </w:tc>
        <w:tc>
          <w:tcPr>
            <w:tcW w:w="1009"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394"/>
              <w:jc w:val="both"/>
              <w:rPr>
                <w:rFonts w:cs="Times New Roman"/>
                <w:b/>
                <w:bCs w:val="0"/>
              </w:rPr>
            </w:pPr>
            <w:r>
              <w:rPr>
                <w:rFonts w:cs="Times New Roman"/>
                <w:b/>
                <w:bCs w:val="0"/>
              </w:rPr>
              <w:t>是否强制组件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1</w:t>
            </w:r>
          </w:p>
        </w:tc>
        <w:tc>
          <w:tcPr>
            <w:tcW w:w="1579"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电子地图</w:t>
            </w:r>
          </w:p>
        </w:tc>
        <w:tc>
          <w:tcPr>
            <w:tcW w:w="1965"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宁波市自然资源和规划局</w:t>
            </w:r>
          </w:p>
        </w:tc>
        <w:tc>
          <w:tcPr>
            <w:tcW w:w="1009"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2</w:t>
            </w:r>
          </w:p>
        </w:tc>
        <w:tc>
          <w:tcPr>
            <w:tcW w:w="1579"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政务服务网法人用户单点登录</w:t>
            </w:r>
          </w:p>
        </w:tc>
        <w:tc>
          <w:tcPr>
            <w:tcW w:w="1965"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省大数据局</w:t>
            </w:r>
          </w:p>
        </w:tc>
        <w:tc>
          <w:tcPr>
            <w:tcW w:w="1009"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3</w:t>
            </w:r>
          </w:p>
        </w:tc>
        <w:tc>
          <w:tcPr>
            <w:tcW w:w="1579"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组织架构和用户体系</w:t>
            </w:r>
          </w:p>
        </w:tc>
        <w:tc>
          <w:tcPr>
            <w:tcW w:w="1965"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省大数据局</w:t>
            </w:r>
          </w:p>
        </w:tc>
        <w:tc>
          <w:tcPr>
            <w:tcW w:w="1009"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4</w:t>
            </w:r>
          </w:p>
        </w:tc>
        <w:tc>
          <w:tcPr>
            <w:tcW w:w="1579"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消息通知</w:t>
            </w:r>
          </w:p>
        </w:tc>
        <w:tc>
          <w:tcPr>
            <w:tcW w:w="1965"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省大数据局</w:t>
            </w:r>
          </w:p>
        </w:tc>
        <w:tc>
          <w:tcPr>
            <w:tcW w:w="1009" w:type="pct"/>
            <w:tcBorders>
              <w:top w:val="single" w:color="auto" w:sz="4" w:space="0"/>
              <w:left w:val="single" w:color="auto" w:sz="4" w:space="0"/>
              <w:bottom w:val="single" w:color="auto" w:sz="4" w:space="0"/>
              <w:right w:val="single" w:color="auto" w:sz="4" w:space="0"/>
            </w:tcBorders>
            <w:vAlign w:val="center"/>
          </w:tcPr>
          <w:p>
            <w:pPr>
              <w:pStyle w:val="394"/>
              <w:jc w:val="both"/>
              <w:rPr>
                <w:rFonts w:cs="Times New Roman"/>
              </w:rPr>
            </w:pPr>
            <w:r>
              <w:rPr>
                <w:rFonts w:cs="Times New Roman"/>
              </w:rPr>
              <w:t>是</w:t>
            </w:r>
          </w:p>
        </w:tc>
      </w:tr>
    </w:tbl>
    <w:p>
      <w:pPr>
        <w:spacing w:line="360" w:lineRule="auto"/>
        <w:ind w:firstLine="420" w:firstLineChars="200"/>
      </w:pPr>
    </w:p>
    <w:p>
      <w:pPr>
        <w:spacing w:line="360" w:lineRule="auto"/>
        <w:ind w:firstLine="420" w:firstLineChars="200"/>
      </w:pPr>
      <w:r>
        <w:rPr>
          <w:rFonts w:hint="eastAsia"/>
        </w:rPr>
        <w:t>4.6数字资源层设计</w:t>
      </w:r>
    </w:p>
    <w:p>
      <w:pPr>
        <w:spacing w:line="360" w:lineRule="auto"/>
        <w:ind w:firstLine="420" w:firstLineChars="200"/>
      </w:pPr>
      <w:r>
        <w:rPr>
          <w:rFonts w:hint="eastAsia"/>
        </w:rPr>
        <w:t>4.6.1数据采集</w:t>
      </w:r>
    </w:p>
    <w:p>
      <w:pPr>
        <w:spacing w:line="360" w:lineRule="auto"/>
        <w:ind w:firstLine="420" w:firstLineChars="200"/>
      </w:pPr>
      <w:r>
        <w:rPr>
          <w:rFonts w:hint="eastAsia"/>
        </w:rPr>
        <w:t>4.6.1.1 三维GIS数据采集（利旧）</w:t>
      </w:r>
    </w:p>
    <w:p>
      <w:pPr>
        <w:spacing w:line="360" w:lineRule="auto"/>
        <w:ind w:firstLine="420" w:firstLineChars="200"/>
      </w:pPr>
      <w:r>
        <w:rPr>
          <w:rFonts w:hint="eastAsia"/>
        </w:rPr>
        <w:t>4.6.1.2 本项目新增数据采集</w:t>
      </w:r>
    </w:p>
    <w:p>
      <w:pPr>
        <w:spacing w:line="360" w:lineRule="auto"/>
        <w:ind w:firstLine="420" w:firstLineChars="200"/>
      </w:pPr>
      <w:r>
        <w:rPr>
          <w:rFonts w:hint="eastAsia"/>
        </w:rPr>
        <w:t>根据环境数据的来源和格式，按照不同来源的更新机制及不同企业类型，将数据采集分为以下几种方式：</w:t>
      </w:r>
    </w:p>
    <w:p>
      <w:pPr>
        <w:spacing w:line="360" w:lineRule="auto"/>
        <w:ind w:firstLine="420" w:firstLineChars="200"/>
      </w:pPr>
      <w:r>
        <w:rPr>
          <w:rFonts w:hint="eastAsia"/>
        </w:rPr>
        <w:t>手动执行导入包：对于某些有固定表单格式的历史数据，如历史站点数据、历史在线监测数据、历史信访投诉数据等，利用ETL数据导入工具及相应的ETL管理工具。</w:t>
      </w:r>
    </w:p>
    <w:p>
      <w:pPr>
        <w:spacing w:line="360" w:lineRule="auto"/>
        <w:ind w:firstLine="420" w:firstLineChars="200"/>
      </w:pPr>
      <w:r>
        <w:rPr>
          <w:rFonts w:hint="eastAsia"/>
        </w:rPr>
        <w:t>手工录入：对于前期镇海石化园区全流程环境危害识别与管控项目的成果数据，由于没有业务系统支撑，且每家企业情况不同，数据格式不同，无法使用特定的表单进行导入，需要进行手工录入。主要导入数据根据采购人要求进行设置。</w:t>
      </w:r>
    </w:p>
    <w:p>
      <w:pPr>
        <w:spacing w:line="360" w:lineRule="auto"/>
        <w:ind w:firstLine="420" w:firstLineChars="200"/>
      </w:pPr>
      <w:r>
        <w:rPr>
          <w:rFonts w:hint="eastAsia"/>
        </w:rPr>
        <w:t>本期项目预计先对全流程环境危害识别与管控项目已完成排查工作的20家企业数据进行录入，后期预留录入入口，由系统建设单位或运维单位对后期排查完成的企业（预计40家或更多）相关数据进行录入，且同步至该企业一企一档数据中。</w:t>
      </w:r>
    </w:p>
    <w:p>
      <w:pPr>
        <w:spacing w:line="360" w:lineRule="auto"/>
        <w:ind w:firstLine="420" w:firstLineChars="200"/>
      </w:pPr>
      <w:r>
        <w:rPr>
          <w:rFonts w:hint="eastAsia"/>
        </w:rPr>
        <w:t>4</w:t>
      </w:r>
      <w:r>
        <w:t>.6.2数据治理</w:t>
      </w:r>
    </w:p>
    <w:p>
      <w:pPr>
        <w:spacing w:line="360" w:lineRule="auto"/>
        <w:ind w:firstLine="420" w:firstLineChars="200"/>
      </w:pPr>
      <w:r>
        <w:t>为提高数据采集的质量，通过规范化数据处理流程，经过数据清洗、数据比对、数据去重、数据补全、数据转换、数据关联、数据标识、数据整合等处理过程，实现对本项目采集数据的治理，形成符合业务及数据标准的数据库。</w:t>
      </w:r>
    </w:p>
    <w:p>
      <w:pPr>
        <w:spacing w:line="360" w:lineRule="auto"/>
        <w:ind w:firstLine="420" w:firstLineChars="200"/>
      </w:pPr>
      <w:r>
        <w:t>数据治理既可以作为数据库与源数据库之间的数据桥梁，也可作为业务数据流转的通道。在数据加工治理过程中，将源数据库向数据库迁移是一个复杂的工程，既要保证数据的完整性又要对垃圾数据进行清理，数据的格式也要进行适当的转换。使用人工编码的方式往往入和回报不成比例而且难以维护，无法适应“镇海区数字数字治气”数据库复杂多变的业务需求。</w:t>
      </w:r>
    </w:p>
    <w:p>
      <w:pPr>
        <w:spacing w:line="360" w:lineRule="auto"/>
        <w:ind w:firstLine="420" w:firstLineChars="200"/>
      </w:pPr>
      <w:r>
        <w:t>本项目基于宁波市智能公共数据平台的元数据管理体系及数据开发工具以拖拽的方式完成复杂的转换逻辑，无需任何编码流程可任意更改，为建立“镇海区数字数字治气”数据库提供了强有力的支持。</w:t>
      </w:r>
    </w:p>
    <w:p>
      <w:pPr>
        <w:spacing w:line="360" w:lineRule="auto"/>
        <w:ind w:firstLine="420" w:firstLineChars="200"/>
      </w:pPr>
      <w:r>
        <w:t>作为业务数据流转的通道，宁波市智能公共数据平台提供了多种传输协议，满足分布式应用的需求，可以在流程中植入脚本功能以实现复杂的业务逻辑。</w:t>
      </w:r>
    </w:p>
    <w:p>
      <w:pPr>
        <w:spacing w:line="360" w:lineRule="auto"/>
        <w:ind w:firstLine="420" w:firstLineChars="200"/>
      </w:pPr>
      <w:r>
        <w:rPr>
          <w:rFonts w:hint="eastAsia"/>
        </w:rPr>
        <w:t>4</w:t>
      </w:r>
      <w:r>
        <w:t>.6.3数据库建设</w:t>
      </w:r>
    </w:p>
    <w:p>
      <w:pPr>
        <w:spacing w:line="360" w:lineRule="auto"/>
        <w:ind w:firstLine="420" w:firstLineChars="200"/>
      </w:pPr>
      <w:r>
        <w:t>数据库的设计应遵循现行的国家、行业相关标准和规范，便于数据交换、共享。为了保证数据库的一致性、可操作性，数据库采用统一坐标系、统一编码体系和统一属性数据标准。</w:t>
      </w:r>
    </w:p>
    <w:p>
      <w:pPr>
        <w:spacing w:line="360" w:lineRule="auto"/>
        <w:ind w:firstLine="420" w:firstLineChars="200"/>
      </w:pPr>
      <w:r>
        <w:t>本项目根据业务应用需求，按照相关信息资源标准规范进行数据库建设，具体包括：</w:t>
      </w:r>
    </w:p>
    <w:p>
      <w:pPr>
        <w:spacing w:line="360" w:lineRule="auto"/>
        <w:ind w:firstLine="420" w:firstLineChars="200"/>
      </w:pPr>
      <w:r>
        <w:t>（1）监测数据库</w:t>
      </w:r>
    </w:p>
    <w:p>
      <w:pPr>
        <w:spacing w:line="360" w:lineRule="auto"/>
        <w:ind w:firstLine="420" w:firstLineChars="200"/>
      </w:pPr>
      <w:r>
        <w:t>（2）地面资料数据库</w:t>
      </w:r>
    </w:p>
    <w:p>
      <w:pPr>
        <w:spacing w:line="360" w:lineRule="auto"/>
        <w:ind w:firstLine="420" w:firstLineChars="200"/>
      </w:pPr>
      <w:r>
        <w:t>（3）异味数据库</w:t>
      </w:r>
    </w:p>
    <w:p>
      <w:pPr>
        <w:spacing w:line="360" w:lineRule="auto"/>
        <w:ind w:firstLine="420" w:firstLineChars="200"/>
      </w:pPr>
      <w:r>
        <w:t>（4）污染源信息数据库</w:t>
      </w:r>
    </w:p>
    <w:p>
      <w:pPr>
        <w:spacing w:line="360" w:lineRule="auto"/>
        <w:ind w:firstLine="420" w:firstLineChars="200"/>
      </w:pPr>
      <w:r>
        <w:t>（5）LDAR检测数据库</w:t>
      </w:r>
      <w:r>
        <w:rPr>
          <w:rFonts w:hint="eastAsia"/>
        </w:rPr>
        <w:t>。</w:t>
      </w:r>
    </w:p>
    <w:p>
      <w:pPr>
        <w:spacing w:line="360" w:lineRule="auto"/>
        <w:ind w:firstLine="420" w:firstLineChars="200"/>
      </w:pPr>
      <w:r>
        <w:rPr>
          <w:rFonts w:hint="eastAsia"/>
        </w:rPr>
        <w:t>4.6.4数据共享</w:t>
      </w:r>
    </w:p>
    <w:p>
      <w:pPr>
        <w:spacing w:line="360" w:lineRule="auto"/>
        <w:ind w:firstLine="420" w:firstLineChars="200"/>
      </w:pPr>
      <w:r>
        <w:rPr>
          <w:rFonts w:hint="eastAsia"/>
        </w:rPr>
        <w:t>4</w:t>
      </w:r>
      <w:r>
        <w:t>.6.4.1 数据共享与交换体系设计</w:t>
      </w:r>
    </w:p>
    <w:p>
      <w:pPr>
        <w:spacing w:line="360" w:lineRule="auto"/>
        <w:ind w:firstLine="420" w:firstLineChars="200"/>
      </w:pPr>
      <w:r>
        <w:t>（1）数据需求清单</w:t>
      </w:r>
    </w:p>
    <w:p>
      <w:pPr>
        <w:spacing w:line="360" w:lineRule="auto"/>
        <w:ind w:firstLine="420" w:firstLineChars="200"/>
      </w:pPr>
      <w:r>
        <w:t>数据需求主要包括企业信息、污染源监测数据、环境监测数据等信息，项目需要共享外部数据资源具体如下</w:t>
      </w:r>
      <w:r>
        <w:rPr>
          <w:rFonts w:hint="eastAsia"/>
        </w:rPr>
        <w:t>：</w:t>
      </w:r>
    </w:p>
    <w:tbl>
      <w:tblPr>
        <w:tblStyle w:val="46"/>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323"/>
        <w:gridCol w:w="2150"/>
        <w:gridCol w:w="655"/>
        <w:gridCol w:w="1189"/>
        <w:gridCol w:w="118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62" w:type="dxa"/>
            <w:shd w:val="clear" w:color="auto" w:fill="D8D8D8" w:themeFill="background1" w:themeFillShade="D9"/>
            <w:vAlign w:val="center"/>
          </w:tcPr>
          <w:p>
            <w:pPr>
              <w:pStyle w:val="399"/>
              <w:rPr>
                <w:rFonts w:ascii="宋体" w:hAnsi="宋体" w:cs="宋体"/>
                <w:szCs w:val="21"/>
              </w:rPr>
            </w:pPr>
            <w:r>
              <w:rPr>
                <w:rFonts w:hint="eastAsia" w:ascii="宋体" w:hAnsi="宋体" w:cs="宋体"/>
                <w:szCs w:val="21"/>
              </w:rPr>
              <w:t>序号</w:t>
            </w:r>
          </w:p>
        </w:tc>
        <w:tc>
          <w:tcPr>
            <w:tcW w:w="1323" w:type="dxa"/>
            <w:shd w:val="clear" w:color="auto" w:fill="D8D8D8" w:themeFill="background1" w:themeFillShade="D9"/>
            <w:vAlign w:val="center"/>
          </w:tcPr>
          <w:p>
            <w:pPr>
              <w:pStyle w:val="399"/>
              <w:rPr>
                <w:rFonts w:ascii="宋体" w:hAnsi="宋体" w:cs="宋体"/>
                <w:szCs w:val="21"/>
              </w:rPr>
            </w:pPr>
            <w:r>
              <w:rPr>
                <w:rFonts w:hint="eastAsia" w:ascii="宋体" w:hAnsi="宋体" w:cs="宋体"/>
                <w:szCs w:val="21"/>
              </w:rPr>
              <w:t>资源名称</w:t>
            </w:r>
          </w:p>
        </w:tc>
        <w:tc>
          <w:tcPr>
            <w:tcW w:w="2150" w:type="dxa"/>
            <w:shd w:val="clear" w:color="auto" w:fill="D8D8D8" w:themeFill="background1" w:themeFillShade="D9"/>
            <w:vAlign w:val="center"/>
          </w:tcPr>
          <w:p>
            <w:pPr>
              <w:pStyle w:val="399"/>
              <w:rPr>
                <w:rFonts w:ascii="宋体" w:hAnsi="宋体" w:cs="宋体"/>
                <w:szCs w:val="21"/>
              </w:rPr>
            </w:pPr>
            <w:r>
              <w:rPr>
                <w:rFonts w:hint="eastAsia" w:ascii="宋体" w:hAnsi="宋体" w:cs="宋体"/>
                <w:szCs w:val="21"/>
              </w:rPr>
              <w:t>数据项</w:t>
            </w:r>
          </w:p>
        </w:tc>
        <w:tc>
          <w:tcPr>
            <w:tcW w:w="655" w:type="dxa"/>
            <w:shd w:val="clear" w:color="auto" w:fill="D8D8D8" w:themeFill="background1" w:themeFillShade="D9"/>
            <w:vAlign w:val="center"/>
          </w:tcPr>
          <w:p>
            <w:pPr>
              <w:pStyle w:val="399"/>
              <w:rPr>
                <w:rFonts w:ascii="宋体" w:hAnsi="宋体" w:cs="宋体"/>
                <w:szCs w:val="21"/>
              </w:rPr>
            </w:pPr>
            <w:r>
              <w:rPr>
                <w:rFonts w:hint="eastAsia" w:ascii="宋体" w:hAnsi="宋体" w:cs="宋体"/>
                <w:szCs w:val="21"/>
              </w:rPr>
              <w:t>共享方式</w:t>
            </w:r>
          </w:p>
        </w:tc>
        <w:tc>
          <w:tcPr>
            <w:tcW w:w="1189" w:type="dxa"/>
            <w:shd w:val="clear" w:color="auto" w:fill="D8D8D8" w:themeFill="background1" w:themeFillShade="D9"/>
            <w:vAlign w:val="center"/>
          </w:tcPr>
          <w:p>
            <w:pPr>
              <w:pStyle w:val="399"/>
              <w:rPr>
                <w:rFonts w:ascii="宋体" w:hAnsi="宋体" w:cs="宋体"/>
                <w:szCs w:val="21"/>
              </w:rPr>
            </w:pPr>
            <w:r>
              <w:rPr>
                <w:rFonts w:hint="eastAsia" w:ascii="宋体" w:hAnsi="宋体" w:cs="宋体"/>
                <w:szCs w:val="21"/>
              </w:rPr>
              <w:t>更新频度</w:t>
            </w:r>
          </w:p>
        </w:tc>
        <w:tc>
          <w:tcPr>
            <w:tcW w:w="1189" w:type="dxa"/>
            <w:shd w:val="clear" w:color="auto" w:fill="D8D8D8" w:themeFill="background1" w:themeFillShade="D9"/>
            <w:vAlign w:val="center"/>
          </w:tcPr>
          <w:p>
            <w:pPr>
              <w:pStyle w:val="399"/>
              <w:rPr>
                <w:rFonts w:ascii="宋体" w:hAnsi="宋体" w:cs="宋体"/>
                <w:szCs w:val="21"/>
              </w:rPr>
            </w:pPr>
            <w:r>
              <w:rPr>
                <w:rFonts w:hint="eastAsia" w:ascii="宋体" w:hAnsi="宋体" w:cs="宋体"/>
                <w:szCs w:val="21"/>
              </w:rPr>
              <w:t>数源单位</w:t>
            </w:r>
          </w:p>
        </w:tc>
        <w:tc>
          <w:tcPr>
            <w:tcW w:w="1189" w:type="dxa"/>
            <w:shd w:val="clear" w:color="auto" w:fill="D8D8D8" w:themeFill="background1" w:themeFillShade="D9"/>
            <w:vAlign w:val="center"/>
          </w:tcPr>
          <w:p>
            <w:pPr>
              <w:pStyle w:val="399"/>
              <w:rPr>
                <w:rFonts w:ascii="宋体" w:hAnsi="宋体" w:cs="宋体"/>
                <w:szCs w:val="21"/>
              </w:rPr>
            </w:pPr>
            <w:r>
              <w:rPr>
                <w:rFonts w:hint="eastAsia" w:ascii="宋体" w:hAnsi="宋体" w:cs="宋体"/>
                <w:szCs w:val="21"/>
              </w:rPr>
              <w:t>是否可用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62" w:type="dxa"/>
            <w:vAlign w:val="center"/>
          </w:tcPr>
          <w:p>
            <w:pPr>
              <w:pStyle w:val="399"/>
              <w:rPr>
                <w:rFonts w:ascii="宋体" w:hAnsi="宋体" w:cs="宋体"/>
                <w:b w:val="0"/>
                <w:bCs/>
                <w:szCs w:val="21"/>
              </w:rPr>
            </w:pPr>
            <w:r>
              <w:rPr>
                <w:rFonts w:hint="eastAsia" w:ascii="宋体" w:hAnsi="宋体" w:cs="宋体"/>
                <w:b w:val="0"/>
                <w:bCs/>
                <w:szCs w:val="21"/>
              </w:rPr>
              <w:t>1</w:t>
            </w:r>
          </w:p>
        </w:tc>
        <w:tc>
          <w:tcPr>
            <w:tcW w:w="1323" w:type="dxa"/>
            <w:vAlign w:val="center"/>
          </w:tcPr>
          <w:p>
            <w:pPr>
              <w:pStyle w:val="399"/>
              <w:rPr>
                <w:rFonts w:ascii="宋体" w:hAnsi="宋体" w:cs="宋体"/>
                <w:b w:val="0"/>
                <w:bCs/>
                <w:szCs w:val="21"/>
              </w:rPr>
            </w:pPr>
            <w:r>
              <w:rPr>
                <w:rFonts w:hint="eastAsia" w:ascii="宋体" w:hAnsi="宋体" w:cs="宋体"/>
                <w:b w:val="0"/>
                <w:bCs/>
                <w:szCs w:val="21"/>
              </w:rPr>
              <w:t>企业信息</w:t>
            </w:r>
          </w:p>
        </w:tc>
        <w:tc>
          <w:tcPr>
            <w:tcW w:w="2150" w:type="dxa"/>
            <w:vAlign w:val="center"/>
          </w:tcPr>
          <w:p>
            <w:pPr>
              <w:pStyle w:val="399"/>
              <w:jc w:val="both"/>
              <w:rPr>
                <w:rFonts w:ascii="宋体" w:hAnsi="宋体" w:cs="宋体"/>
                <w:b w:val="0"/>
                <w:bCs/>
                <w:szCs w:val="21"/>
              </w:rPr>
            </w:pPr>
            <w:r>
              <w:rPr>
                <w:rFonts w:hint="eastAsia" w:ascii="宋体" w:hAnsi="宋体" w:cs="宋体"/>
                <w:b w:val="0"/>
                <w:bCs/>
                <w:szCs w:val="21"/>
              </w:rPr>
              <w:t>企业名称、企业地址、生产信息、业务信息、排污许可证信息等</w:t>
            </w:r>
          </w:p>
        </w:tc>
        <w:tc>
          <w:tcPr>
            <w:tcW w:w="655" w:type="dxa"/>
            <w:vAlign w:val="center"/>
          </w:tcPr>
          <w:p>
            <w:pPr>
              <w:pStyle w:val="399"/>
              <w:rPr>
                <w:rFonts w:ascii="宋体" w:hAnsi="宋体" w:cs="宋体"/>
                <w:b w:val="0"/>
                <w:bCs/>
                <w:szCs w:val="21"/>
              </w:rPr>
            </w:pPr>
            <w:r>
              <w:rPr>
                <w:rFonts w:hint="eastAsia" w:ascii="宋体" w:hAnsi="宋体" w:cs="宋体"/>
                <w:b w:val="0"/>
                <w:bCs/>
                <w:szCs w:val="21"/>
              </w:rPr>
              <w:t>数据接口</w:t>
            </w:r>
          </w:p>
        </w:tc>
        <w:tc>
          <w:tcPr>
            <w:tcW w:w="1189" w:type="dxa"/>
            <w:vAlign w:val="center"/>
          </w:tcPr>
          <w:p>
            <w:pPr>
              <w:pStyle w:val="399"/>
              <w:rPr>
                <w:rFonts w:ascii="宋体" w:hAnsi="宋体" w:cs="宋体"/>
                <w:b w:val="0"/>
                <w:bCs/>
                <w:szCs w:val="21"/>
              </w:rPr>
            </w:pPr>
            <w:r>
              <w:rPr>
                <w:rFonts w:hint="eastAsia" w:ascii="宋体" w:hAnsi="宋体" w:cs="宋体"/>
                <w:b w:val="0"/>
                <w:bCs/>
                <w:szCs w:val="21"/>
              </w:rPr>
              <w:t>实时</w:t>
            </w:r>
          </w:p>
        </w:tc>
        <w:tc>
          <w:tcPr>
            <w:tcW w:w="1189" w:type="dxa"/>
            <w:vAlign w:val="center"/>
          </w:tcPr>
          <w:p>
            <w:pPr>
              <w:pStyle w:val="399"/>
              <w:rPr>
                <w:rFonts w:ascii="宋体" w:hAnsi="宋体" w:cs="宋体"/>
                <w:b w:val="0"/>
                <w:bCs/>
                <w:szCs w:val="21"/>
              </w:rPr>
            </w:pPr>
            <w:r>
              <w:rPr>
                <w:rFonts w:hint="eastAsia" w:ascii="宋体" w:hAnsi="宋体" w:cs="宋体"/>
                <w:b w:val="0"/>
                <w:bCs/>
                <w:szCs w:val="21"/>
              </w:rPr>
              <w:t>生态环境镇海分局</w:t>
            </w:r>
          </w:p>
        </w:tc>
        <w:tc>
          <w:tcPr>
            <w:tcW w:w="1189" w:type="dxa"/>
            <w:vAlign w:val="center"/>
          </w:tcPr>
          <w:p>
            <w:pPr>
              <w:pStyle w:val="399"/>
              <w:rPr>
                <w:rFonts w:ascii="宋体" w:hAnsi="宋体" w:cs="宋体"/>
                <w:b w:val="0"/>
                <w:bCs/>
                <w:szCs w:val="21"/>
              </w:rPr>
            </w:pPr>
            <w:r>
              <w:rPr>
                <w:rFonts w:hint="eastAsia" w:ascii="宋体" w:hAnsi="宋体" w:cs="宋体"/>
                <w:b w:val="0"/>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62" w:type="dxa"/>
            <w:vAlign w:val="center"/>
          </w:tcPr>
          <w:p>
            <w:pPr>
              <w:pStyle w:val="399"/>
              <w:rPr>
                <w:rFonts w:ascii="宋体" w:hAnsi="宋体" w:cs="宋体"/>
                <w:b w:val="0"/>
                <w:bCs/>
                <w:szCs w:val="21"/>
              </w:rPr>
            </w:pPr>
            <w:r>
              <w:rPr>
                <w:rFonts w:hint="eastAsia" w:ascii="宋体" w:hAnsi="宋体" w:cs="宋体"/>
                <w:b w:val="0"/>
                <w:bCs/>
                <w:szCs w:val="21"/>
              </w:rPr>
              <w:t>2</w:t>
            </w:r>
          </w:p>
        </w:tc>
        <w:tc>
          <w:tcPr>
            <w:tcW w:w="1323" w:type="dxa"/>
            <w:vAlign w:val="center"/>
          </w:tcPr>
          <w:p>
            <w:pPr>
              <w:pStyle w:val="399"/>
              <w:rPr>
                <w:rFonts w:ascii="宋体" w:hAnsi="宋体" w:cs="宋体"/>
                <w:b w:val="0"/>
                <w:bCs/>
                <w:szCs w:val="21"/>
              </w:rPr>
            </w:pPr>
            <w:r>
              <w:rPr>
                <w:rFonts w:hint="eastAsia" w:ascii="宋体" w:hAnsi="宋体" w:cs="宋体"/>
                <w:b w:val="0"/>
                <w:bCs/>
                <w:szCs w:val="21"/>
              </w:rPr>
              <w:t>污染源监测数据</w:t>
            </w:r>
          </w:p>
        </w:tc>
        <w:tc>
          <w:tcPr>
            <w:tcW w:w="2150" w:type="dxa"/>
            <w:vAlign w:val="center"/>
          </w:tcPr>
          <w:p>
            <w:pPr>
              <w:pStyle w:val="399"/>
              <w:jc w:val="both"/>
              <w:rPr>
                <w:rFonts w:ascii="宋体" w:hAnsi="宋体" w:cs="宋体"/>
                <w:b w:val="0"/>
                <w:bCs/>
                <w:szCs w:val="21"/>
              </w:rPr>
            </w:pPr>
            <w:r>
              <w:rPr>
                <w:rFonts w:hint="eastAsia" w:ascii="宋体" w:hAnsi="宋体" w:cs="宋体"/>
                <w:b w:val="0"/>
                <w:bCs/>
                <w:szCs w:val="21"/>
              </w:rPr>
              <w:t>污染源在线监测浓度数据、流量数据等</w:t>
            </w:r>
          </w:p>
        </w:tc>
        <w:tc>
          <w:tcPr>
            <w:tcW w:w="655" w:type="dxa"/>
            <w:vAlign w:val="center"/>
          </w:tcPr>
          <w:p>
            <w:pPr>
              <w:pStyle w:val="399"/>
              <w:rPr>
                <w:rFonts w:ascii="宋体" w:hAnsi="宋体" w:cs="宋体"/>
                <w:b w:val="0"/>
                <w:bCs/>
                <w:szCs w:val="21"/>
              </w:rPr>
            </w:pPr>
            <w:r>
              <w:rPr>
                <w:rFonts w:hint="eastAsia" w:ascii="宋体" w:hAnsi="宋体" w:cs="宋体"/>
                <w:b w:val="0"/>
                <w:bCs/>
                <w:szCs w:val="21"/>
              </w:rPr>
              <w:t>数据接口</w:t>
            </w:r>
          </w:p>
        </w:tc>
        <w:tc>
          <w:tcPr>
            <w:tcW w:w="1189" w:type="dxa"/>
            <w:vAlign w:val="center"/>
          </w:tcPr>
          <w:p>
            <w:pPr>
              <w:pStyle w:val="399"/>
              <w:rPr>
                <w:rFonts w:ascii="宋体" w:hAnsi="宋体" w:cs="宋体"/>
                <w:b w:val="0"/>
                <w:bCs/>
                <w:szCs w:val="21"/>
              </w:rPr>
            </w:pPr>
            <w:r>
              <w:rPr>
                <w:rFonts w:hint="eastAsia" w:ascii="宋体" w:hAnsi="宋体" w:cs="宋体"/>
                <w:b w:val="0"/>
                <w:bCs/>
                <w:szCs w:val="21"/>
              </w:rPr>
              <w:t>实时</w:t>
            </w:r>
          </w:p>
        </w:tc>
        <w:tc>
          <w:tcPr>
            <w:tcW w:w="1189" w:type="dxa"/>
            <w:vAlign w:val="center"/>
          </w:tcPr>
          <w:p>
            <w:pPr>
              <w:pStyle w:val="399"/>
              <w:rPr>
                <w:rFonts w:ascii="宋体" w:hAnsi="宋体" w:cs="宋体"/>
                <w:b w:val="0"/>
                <w:bCs/>
                <w:szCs w:val="21"/>
              </w:rPr>
            </w:pPr>
            <w:r>
              <w:rPr>
                <w:rFonts w:hint="eastAsia" w:ascii="宋体" w:hAnsi="宋体" w:cs="宋体"/>
                <w:b w:val="0"/>
                <w:bCs/>
                <w:szCs w:val="21"/>
              </w:rPr>
              <w:t>生态环境镇海分局</w:t>
            </w:r>
          </w:p>
        </w:tc>
        <w:tc>
          <w:tcPr>
            <w:tcW w:w="1189" w:type="dxa"/>
            <w:vAlign w:val="center"/>
          </w:tcPr>
          <w:p>
            <w:pPr>
              <w:pStyle w:val="399"/>
              <w:rPr>
                <w:rFonts w:ascii="宋体" w:hAnsi="宋体" w:cs="宋体"/>
                <w:b w:val="0"/>
                <w:bCs/>
                <w:szCs w:val="21"/>
              </w:rPr>
            </w:pPr>
            <w:r>
              <w:rPr>
                <w:rFonts w:hint="eastAsia" w:ascii="宋体" w:hAnsi="宋体" w:cs="宋体"/>
                <w:b w:val="0"/>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62" w:type="dxa"/>
            <w:vAlign w:val="center"/>
          </w:tcPr>
          <w:p>
            <w:pPr>
              <w:pStyle w:val="399"/>
              <w:rPr>
                <w:rFonts w:ascii="宋体" w:hAnsi="宋体" w:cs="宋体"/>
                <w:b w:val="0"/>
                <w:bCs/>
                <w:szCs w:val="21"/>
              </w:rPr>
            </w:pPr>
            <w:r>
              <w:rPr>
                <w:rFonts w:hint="eastAsia" w:ascii="宋体" w:hAnsi="宋体" w:cs="宋体"/>
                <w:b w:val="0"/>
                <w:bCs/>
                <w:szCs w:val="21"/>
              </w:rPr>
              <w:t>3</w:t>
            </w:r>
          </w:p>
        </w:tc>
        <w:tc>
          <w:tcPr>
            <w:tcW w:w="1323" w:type="dxa"/>
            <w:vAlign w:val="center"/>
          </w:tcPr>
          <w:p>
            <w:pPr>
              <w:pStyle w:val="399"/>
              <w:rPr>
                <w:rFonts w:ascii="宋体" w:hAnsi="宋体" w:cs="宋体"/>
                <w:b w:val="0"/>
                <w:bCs/>
                <w:szCs w:val="21"/>
              </w:rPr>
            </w:pPr>
            <w:r>
              <w:rPr>
                <w:rFonts w:hint="eastAsia" w:ascii="宋体" w:hAnsi="宋体" w:cs="宋体"/>
                <w:b w:val="0"/>
                <w:bCs/>
                <w:szCs w:val="21"/>
              </w:rPr>
              <w:t>环境监测数据</w:t>
            </w:r>
          </w:p>
        </w:tc>
        <w:tc>
          <w:tcPr>
            <w:tcW w:w="2150" w:type="dxa"/>
            <w:vAlign w:val="center"/>
          </w:tcPr>
          <w:p>
            <w:pPr>
              <w:pStyle w:val="399"/>
              <w:jc w:val="both"/>
              <w:rPr>
                <w:rFonts w:ascii="宋体" w:hAnsi="宋体" w:cs="宋体"/>
                <w:b w:val="0"/>
                <w:bCs/>
                <w:szCs w:val="21"/>
              </w:rPr>
            </w:pPr>
            <w:r>
              <w:rPr>
                <w:rFonts w:hint="eastAsia" w:ascii="宋体" w:hAnsi="宋体" w:cs="宋体"/>
                <w:b w:val="0"/>
                <w:bCs/>
                <w:szCs w:val="21"/>
              </w:rPr>
              <w:t>常规空气站的常规六因子监测数据、环境空气VOCs站的VOCs监测数据、气象数据等</w:t>
            </w:r>
          </w:p>
        </w:tc>
        <w:tc>
          <w:tcPr>
            <w:tcW w:w="655" w:type="dxa"/>
            <w:vAlign w:val="center"/>
          </w:tcPr>
          <w:p>
            <w:pPr>
              <w:pStyle w:val="399"/>
              <w:rPr>
                <w:rFonts w:ascii="宋体" w:hAnsi="宋体" w:cs="宋体"/>
                <w:b w:val="0"/>
                <w:bCs/>
                <w:szCs w:val="21"/>
              </w:rPr>
            </w:pPr>
            <w:r>
              <w:rPr>
                <w:rFonts w:hint="eastAsia" w:ascii="宋体" w:hAnsi="宋体" w:cs="宋体"/>
                <w:b w:val="0"/>
                <w:bCs/>
                <w:szCs w:val="21"/>
              </w:rPr>
              <w:t>数据接口</w:t>
            </w:r>
          </w:p>
        </w:tc>
        <w:tc>
          <w:tcPr>
            <w:tcW w:w="1189" w:type="dxa"/>
            <w:vAlign w:val="center"/>
          </w:tcPr>
          <w:p>
            <w:pPr>
              <w:pStyle w:val="399"/>
              <w:rPr>
                <w:rFonts w:ascii="宋体" w:hAnsi="宋体" w:cs="宋体"/>
                <w:b w:val="0"/>
                <w:bCs/>
                <w:szCs w:val="21"/>
              </w:rPr>
            </w:pPr>
            <w:r>
              <w:rPr>
                <w:rFonts w:hint="eastAsia" w:ascii="宋体" w:hAnsi="宋体" w:cs="宋体"/>
                <w:b w:val="0"/>
                <w:bCs/>
                <w:szCs w:val="21"/>
              </w:rPr>
              <w:t>实时</w:t>
            </w:r>
          </w:p>
        </w:tc>
        <w:tc>
          <w:tcPr>
            <w:tcW w:w="1189" w:type="dxa"/>
            <w:vAlign w:val="center"/>
          </w:tcPr>
          <w:p>
            <w:pPr>
              <w:pStyle w:val="399"/>
              <w:rPr>
                <w:rFonts w:ascii="宋体" w:hAnsi="宋体" w:cs="宋体"/>
                <w:b w:val="0"/>
                <w:bCs/>
                <w:szCs w:val="21"/>
              </w:rPr>
            </w:pPr>
            <w:r>
              <w:rPr>
                <w:rFonts w:hint="eastAsia" w:ascii="宋体" w:hAnsi="宋体" w:cs="宋体"/>
                <w:b w:val="0"/>
                <w:bCs/>
                <w:szCs w:val="21"/>
              </w:rPr>
              <w:t>生态环境镇海分局</w:t>
            </w:r>
          </w:p>
        </w:tc>
        <w:tc>
          <w:tcPr>
            <w:tcW w:w="1189" w:type="dxa"/>
            <w:vAlign w:val="center"/>
          </w:tcPr>
          <w:p>
            <w:pPr>
              <w:pStyle w:val="399"/>
              <w:rPr>
                <w:rFonts w:ascii="宋体" w:hAnsi="宋体" w:cs="宋体"/>
                <w:b w:val="0"/>
                <w:bCs/>
                <w:szCs w:val="21"/>
              </w:rPr>
            </w:pPr>
            <w:r>
              <w:rPr>
                <w:rFonts w:hint="eastAsia" w:ascii="宋体" w:hAnsi="宋体" w:cs="宋体"/>
                <w:b w:val="0"/>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662" w:type="dxa"/>
            <w:vAlign w:val="center"/>
          </w:tcPr>
          <w:p>
            <w:pPr>
              <w:pStyle w:val="399"/>
              <w:rPr>
                <w:rFonts w:ascii="宋体" w:hAnsi="宋体" w:cs="宋体"/>
                <w:b w:val="0"/>
                <w:bCs/>
                <w:szCs w:val="21"/>
              </w:rPr>
            </w:pPr>
            <w:r>
              <w:rPr>
                <w:rFonts w:hint="eastAsia" w:ascii="宋体" w:hAnsi="宋体" w:cs="宋体"/>
                <w:b w:val="0"/>
                <w:bCs/>
                <w:szCs w:val="21"/>
              </w:rPr>
              <w:t>4</w:t>
            </w:r>
          </w:p>
        </w:tc>
        <w:tc>
          <w:tcPr>
            <w:tcW w:w="1323" w:type="dxa"/>
            <w:vAlign w:val="center"/>
          </w:tcPr>
          <w:p>
            <w:pPr>
              <w:pStyle w:val="399"/>
              <w:rPr>
                <w:rFonts w:ascii="宋体" w:hAnsi="宋体" w:cs="宋体"/>
                <w:b w:val="0"/>
                <w:bCs/>
                <w:szCs w:val="21"/>
              </w:rPr>
            </w:pPr>
            <w:r>
              <w:rPr>
                <w:rFonts w:hint="eastAsia" w:ascii="宋体" w:hAnsi="宋体" w:cs="宋体"/>
                <w:b w:val="0"/>
                <w:bCs/>
                <w:szCs w:val="21"/>
              </w:rPr>
              <w:t>排污许可证信息</w:t>
            </w:r>
          </w:p>
        </w:tc>
        <w:tc>
          <w:tcPr>
            <w:tcW w:w="2150" w:type="dxa"/>
            <w:vAlign w:val="center"/>
          </w:tcPr>
          <w:p>
            <w:pPr>
              <w:pStyle w:val="399"/>
              <w:jc w:val="both"/>
              <w:rPr>
                <w:rFonts w:ascii="宋体" w:hAnsi="宋体" w:cs="宋体"/>
                <w:b w:val="0"/>
                <w:bCs/>
                <w:szCs w:val="21"/>
              </w:rPr>
            </w:pPr>
            <w:r>
              <w:rPr>
                <w:rFonts w:hint="eastAsia" w:ascii="宋体" w:hAnsi="宋体" w:cs="宋体"/>
                <w:b w:val="0"/>
                <w:bCs/>
                <w:szCs w:val="21"/>
              </w:rPr>
              <w:t>企业名称、污染物种类、有组织第一年-第五年、无组织第一年-第五年、全厂合计第一年-第五年</w:t>
            </w:r>
          </w:p>
        </w:tc>
        <w:tc>
          <w:tcPr>
            <w:tcW w:w="655" w:type="dxa"/>
            <w:vAlign w:val="center"/>
          </w:tcPr>
          <w:p>
            <w:pPr>
              <w:pStyle w:val="399"/>
              <w:rPr>
                <w:rFonts w:ascii="宋体" w:hAnsi="宋体" w:cs="宋体"/>
                <w:b w:val="0"/>
                <w:bCs/>
                <w:szCs w:val="21"/>
              </w:rPr>
            </w:pPr>
            <w:r>
              <w:rPr>
                <w:rFonts w:hint="eastAsia" w:ascii="宋体" w:hAnsi="宋体" w:cs="宋体"/>
                <w:b w:val="0"/>
                <w:bCs/>
                <w:szCs w:val="21"/>
              </w:rPr>
              <w:t>数据接口</w:t>
            </w:r>
          </w:p>
        </w:tc>
        <w:tc>
          <w:tcPr>
            <w:tcW w:w="1189" w:type="dxa"/>
            <w:vAlign w:val="center"/>
          </w:tcPr>
          <w:p>
            <w:pPr>
              <w:pStyle w:val="399"/>
              <w:rPr>
                <w:rFonts w:ascii="宋体" w:hAnsi="宋体" w:cs="宋体"/>
                <w:b w:val="0"/>
                <w:bCs/>
                <w:szCs w:val="21"/>
              </w:rPr>
            </w:pPr>
            <w:r>
              <w:rPr>
                <w:rFonts w:hint="eastAsia" w:ascii="宋体" w:hAnsi="宋体" w:cs="宋体"/>
                <w:b w:val="0"/>
                <w:bCs/>
                <w:szCs w:val="21"/>
              </w:rPr>
              <w:t>实时</w:t>
            </w:r>
          </w:p>
        </w:tc>
        <w:tc>
          <w:tcPr>
            <w:tcW w:w="1189" w:type="dxa"/>
            <w:vAlign w:val="center"/>
          </w:tcPr>
          <w:p>
            <w:pPr>
              <w:pStyle w:val="399"/>
              <w:rPr>
                <w:rFonts w:ascii="宋体" w:hAnsi="宋体" w:cs="宋体"/>
                <w:b w:val="0"/>
                <w:bCs/>
                <w:szCs w:val="21"/>
              </w:rPr>
            </w:pPr>
            <w:r>
              <w:rPr>
                <w:rFonts w:hint="eastAsia" w:ascii="宋体" w:hAnsi="宋体" w:cs="宋体"/>
                <w:b w:val="0"/>
                <w:bCs/>
                <w:szCs w:val="21"/>
              </w:rPr>
              <w:t>省生态环境厅</w:t>
            </w:r>
          </w:p>
        </w:tc>
        <w:tc>
          <w:tcPr>
            <w:tcW w:w="1189" w:type="dxa"/>
            <w:vAlign w:val="center"/>
          </w:tcPr>
          <w:p>
            <w:pPr>
              <w:pStyle w:val="399"/>
              <w:rPr>
                <w:rFonts w:ascii="宋体" w:hAnsi="宋体" w:cs="宋体"/>
                <w:b w:val="0"/>
                <w:bCs/>
                <w:szCs w:val="21"/>
              </w:rPr>
            </w:pPr>
            <w:r>
              <w:rPr>
                <w:rFonts w:hint="eastAsia" w:ascii="宋体" w:hAnsi="宋体" w:cs="宋体"/>
                <w:b w:val="0"/>
                <w:bCs/>
                <w:szCs w:val="21"/>
              </w:rPr>
              <w:t>是</w:t>
            </w:r>
          </w:p>
        </w:tc>
      </w:tr>
    </w:tbl>
    <w:p>
      <w:pPr>
        <w:spacing w:line="360" w:lineRule="auto"/>
        <w:ind w:firstLine="420" w:firstLineChars="200"/>
      </w:pPr>
    </w:p>
    <w:p>
      <w:pPr>
        <w:spacing w:line="360" w:lineRule="auto"/>
        <w:ind w:firstLine="420" w:firstLineChars="200"/>
      </w:pPr>
      <w:r>
        <w:t>（2）数据开放共享目录清单</w:t>
      </w:r>
    </w:p>
    <w:tbl>
      <w:tblPr>
        <w:tblStyle w:val="45"/>
        <w:tblW w:w="8255" w:type="dxa"/>
        <w:tblInd w:w="113" w:type="dxa"/>
        <w:tblLayout w:type="fixed"/>
        <w:tblCellMar>
          <w:top w:w="0" w:type="dxa"/>
          <w:left w:w="108" w:type="dxa"/>
          <w:bottom w:w="0" w:type="dxa"/>
          <w:right w:w="108" w:type="dxa"/>
        </w:tblCellMar>
      </w:tblPr>
      <w:tblGrid>
        <w:gridCol w:w="667"/>
        <w:gridCol w:w="1323"/>
        <w:gridCol w:w="1697"/>
        <w:gridCol w:w="1260"/>
        <w:gridCol w:w="990"/>
        <w:gridCol w:w="1245"/>
        <w:gridCol w:w="1073"/>
      </w:tblGrid>
      <w:tr>
        <w:tblPrEx>
          <w:tblCellMar>
            <w:top w:w="0" w:type="dxa"/>
            <w:left w:w="108" w:type="dxa"/>
            <w:bottom w:w="0" w:type="dxa"/>
            <w:right w:w="108" w:type="dxa"/>
          </w:tblCellMar>
        </w:tblPrEx>
        <w:trPr>
          <w:trHeight w:val="479" w:hRule="atLeast"/>
        </w:trPr>
        <w:tc>
          <w:tcPr>
            <w:tcW w:w="667" w:type="dxa"/>
            <w:tcBorders>
              <w:top w:val="single" w:color="auto" w:sz="4" w:space="0"/>
              <w:left w:val="single" w:color="auto" w:sz="4" w:space="0"/>
              <w:bottom w:val="single" w:color="auto" w:sz="4" w:space="0"/>
              <w:right w:val="single" w:color="auto" w:sz="4" w:space="0"/>
            </w:tcBorders>
            <w:shd w:val="clear" w:color="000000" w:fill="D8D8D8" w:themeFill="background1" w:themeFillShade="D9"/>
            <w:noWrap/>
            <w:vAlign w:val="center"/>
          </w:tcPr>
          <w:p>
            <w:pPr>
              <w:pStyle w:val="399"/>
              <w:rPr>
                <w:sz w:val="24"/>
                <w:szCs w:val="24"/>
              </w:rPr>
            </w:pPr>
            <w:r>
              <w:rPr>
                <w:sz w:val="24"/>
                <w:szCs w:val="24"/>
              </w:rPr>
              <w:t>序号</w:t>
            </w:r>
          </w:p>
        </w:tc>
        <w:tc>
          <w:tcPr>
            <w:tcW w:w="1323" w:type="dxa"/>
            <w:tcBorders>
              <w:top w:val="single" w:color="auto" w:sz="4" w:space="0"/>
              <w:left w:val="nil"/>
              <w:bottom w:val="single" w:color="auto" w:sz="4" w:space="0"/>
              <w:right w:val="single" w:color="auto" w:sz="4" w:space="0"/>
            </w:tcBorders>
            <w:shd w:val="clear" w:color="000000" w:fill="D8D8D8" w:themeFill="background1" w:themeFillShade="D9"/>
            <w:noWrap/>
            <w:vAlign w:val="center"/>
          </w:tcPr>
          <w:p>
            <w:pPr>
              <w:pStyle w:val="399"/>
              <w:rPr>
                <w:sz w:val="24"/>
                <w:szCs w:val="24"/>
              </w:rPr>
            </w:pPr>
            <w:r>
              <w:rPr>
                <w:sz w:val="24"/>
                <w:szCs w:val="24"/>
              </w:rPr>
              <w:t>数据源名称</w:t>
            </w:r>
          </w:p>
        </w:tc>
        <w:tc>
          <w:tcPr>
            <w:tcW w:w="1697" w:type="dxa"/>
            <w:tcBorders>
              <w:top w:val="single" w:color="auto" w:sz="4" w:space="0"/>
              <w:left w:val="nil"/>
              <w:bottom w:val="single" w:color="auto" w:sz="4" w:space="0"/>
              <w:right w:val="single" w:color="auto" w:sz="4" w:space="0"/>
            </w:tcBorders>
            <w:shd w:val="clear" w:color="000000" w:fill="D8D8D8" w:themeFill="background1" w:themeFillShade="D9"/>
            <w:noWrap/>
            <w:vAlign w:val="center"/>
          </w:tcPr>
          <w:p>
            <w:pPr>
              <w:pStyle w:val="399"/>
              <w:rPr>
                <w:sz w:val="24"/>
                <w:szCs w:val="24"/>
              </w:rPr>
            </w:pPr>
            <w:r>
              <w:rPr>
                <w:sz w:val="24"/>
                <w:szCs w:val="24"/>
              </w:rPr>
              <w:t>字段名称</w:t>
            </w:r>
          </w:p>
        </w:tc>
        <w:tc>
          <w:tcPr>
            <w:tcW w:w="1260" w:type="dxa"/>
            <w:tcBorders>
              <w:top w:val="single" w:color="auto" w:sz="4" w:space="0"/>
              <w:left w:val="nil"/>
              <w:bottom w:val="single" w:color="auto" w:sz="4" w:space="0"/>
              <w:right w:val="single" w:color="auto" w:sz="4" w:space="0"/>
            </w:tcBorders>
            <w:shd w:val="clear" w:color="000000" w:fill="D8D8D8" w:themeFill="background1" w:themeFillShade="D9"/>
            <w:noWrap/>
            <w:vAlign w:val="center"/>
          </w:tcPr>
          <w:p>
            <w:pPr>
              <w:pStyle w:val="399"/>
              <w:rPr>
                <w:sz w:val="24"/>
                <w:szCs w:val="24"/>
              </w:rPr>
            </w:pPr>
            <w:r>
              <w:rPr>
                <w:sz w:val="24"/>
                <w:szCs w:val="24"/>
              </w:rPr>
              <w:t>共享条件</w:t>
            </w:r>
          </w:p>
        </w:tc>
        <w:tc>
          <w:tcPr>
            <w:tcW w:w="990" w:type="dxa"/>
            <w:tcBorders>
              <w:top w:val="single" w:color="auto" w:sz="4" w:space="0"/>
              <w:left w:val="nil"/>
              <w:bottom w:val="single" w:color="auto" w:sz="4" w:space="0"/>
              <w:right w:val="single" w:color="auto" w:sz="4" w:space="0"/>
            </w:tcBorders>
            <w:shd w:val="clear" w:color="000000" w:fill="D8D8D8" w:themeFill="background1" w:themeFillShade="D9"/>
            <w:noWrap/>
            <w:vAlign w:val="center"/>
          </w:tcPr>
          <w:p>
            <w:pPr>
              <w:pStyle w:val="399"/>
              <w:rPr>
                <w:sz w:val="24"/>
                <w:szCs w:val="24"/>
              </w:rPr>
            </w:pPr>
            <w:r>
              <w:rPr>
                <w:sz w:val="24"/>
                <w:szCs w:val="24"/>
              </w:rPr>
              <w:t>共享方式</w:t>
            </w:r>
          </w:p>
        </w:tc>
        <w:tc>
          <w:tcPr>
            <w:tcW w:w="1245" w:type="dxa"/>
            <w:tcBorders>
              <w:top w:val="single" w:color="auto" w:sz="4" w:space="0"/>
              <w:left w:val="nil"/>
              <w:bottom w:val="single" w:color="auto" w:sz="4" w:space="0"/>
              <w:right w:val="single" w:color="auto" w:sz="4" w:space="0"/>
            </w:tcBorders>
            <w:shd w:val="clear" w:color="000000" w:fill="D8D8D8" w:themeFill="background1" w:themeFillShade="D9"/>
            <w:noWrap/>
            <w:vAlign w:val="center"/>
          </w:tcPr>
          <w:p>
            <w:pPr>
              <w:pStyle w:val="399"/>
              <w:rPr>
                <w:sz w:val="24"/>
                <w:szCs w:val="24"/>
              </w:rPr>
            </w:pPr>
            <w:r>
              <w:rPr>
                <w:sz w:val="24"/>
                <w:szCs w:val="24"/>
              </w:rPr>
              <w:t>开放属性</w:t>
            </w:r>
          </w:p>
        </w:tc>
        <w:tc>
          <w:tcPr>
            <w:tcW w:w="1073" w:type="dxa"/>
            <w:tcBorders>
              <w:top w:val="single" w:color="auto" w:sz="4" w:space="0"/>
              <w:left w:val="nil"/>
              <w:bottom w:val="single" w:color="auto" w:sz="4" w:space="0"/>
              <w:right w:val="single" w:color="auto" w:sz="4" w:space="0"/>
            </w:tcBorders>
            <w:shd w:val="clear" w:color="000000" w:fill="D8D8D8" w:themeFill="background1" w:themeFillShade="D9"/>
            <w:noWrap/>
            <w:vAlign w:val="center"/>
          </w:tcPr>
          <w:p>
            <w:pPr>
              <w:pStyle w:val="399"/>
              <w:rPr>
                <w:sz w:val="24"/>
                <w:szCs w:val="24"/>
              </w:rPr>
            </w:pPr>
            <w:r>
              <w:rPr>
                <w:sz w:val="24"/>
                <w:szCs w:val="24"/>
              </w:rPr>
              <w:t>更新</w:t>
            </w:r>
          </w:p>
          <w:p>
            <w:pPr>
              <w:pStyle w:val="399"/>
              <w:rPr>
                <w:sz w:val="24"/>
                <w:szCs w:val="24"/>
              </w:rPr>
            </w:pPr>
            <w:r>
              <w:rPr>
                <w:sz w:val="24"/>
                <w:szCs w:val="24"/>
              </w:rPr>
              <w:t>频度</w:t>
            </w:r>
          </w:p>
        </w:tc>
      </w:tr>
      <w:tr>
        <w:tblPrEx>
          <w:tblCellMar>
            <w:top w:w="0" w:type="dxa"/>
            <w:left w:w="108" w:type="dxa"/>
            <w:bottom w:w="0" w:type="dxa"/>
            <w:right w:w="108" w:type="dxa"/>
          </w:tblCellMar>
        </w:tblPrEx>
        <w:trPr>
          <w:trHeight w:val="1423" w:hRule="atLeast"/>
        </w:trPr>
        <w:tc>
          <w:tcPr>
            <w:tcW w:w="66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95"/>
              <w:rPr>
                <w:rFonts w:cs="Times New Roman"/>
                <w:sz w:val="24"/>
                <w:szCs w:val="24"/>
              </w:rPr>
            </w:pPr>
            <w:r>
              <w:rPr>
                <w:rFonts w:cs="Times New Roman"/>
                <w:sz w:val="24"/>
                <w:szCs w:val="24"/>
              </w:rPr>
              <w:t>1</w:t>
            </w:r>
          </w:p>
        </w:tc>
        <w:tc>
          <w:tcPr>
            <w:tcW w:w="1323" w:type="dxa"/>
            <w:tcBorders>
              <w:top w:val="single" w:color="auto" w:sz="4" w:space="0"/>
              <w:left w:val="nil"/>
              <w:bottom w:val="single" w:color="auto" w:sz="4" w:space="0"/>
              <w:right w:val="single" w:color="auto" w:sz="4" w:space="0"/>
            </w:tcBorders>
            <w:shd w:val="clear" w:color="000000" w:fill="FFFFFF"/>
            <w:vAlign w:val="center"/>
          </w:tcPr>
          <w:p>
            <w:pPr>
              <w:pStyle w:val="395"/>
              <w:rPr>
                <w:rFonts w:cs="Times New Roman"/>
                <w:sz w:val="24"/>
                <w:szCs w:val="24"/>
              </w:rPr>
            </w:pPr>
            <w:r>
              <w:rPr>
                <w:rFonts w:cs="Times New Roman"/>
                <w:sz w:val="24"/>
                <w:szCs w:val="24"/>
              </w:rPr>
              <w:t>异味报警数据</w:t>
            </w:r>
          </w:p>
        </w:tc>
        <w:tc>
          <w:tcPr>
            <w:tcW w:w="1697" w:type="dxa"/>
            <w:tcBorders>
              <w:top w:val="single" w:color="auto" w:sz="4" w:space="0"/>
              <w:left w:val="nil"/>
              <w:bottom w:val="single" w:color="auto" w:sz="4" w:space="0"/>
              <w:right w:val="single" w:color="auto" w:sz="4" w:space="0"/>
            </w:tcBorders>
            <w:shd w:val="clear" w:color="000000" w:fill="FFFFFF"/>
            <w:vAlign w:val="center"/>
          </w:tcPr>
          <w:p>
            <w:pPr>
              <w:pStyle w:val="395"/>
              <w:rPr>
                <w:rFonts w:cs="Times New Roman"/>
                <w:sz w:val="24"/>
                <w:szCs w:val="24"/>
              </w:rPr>
            </w:pPr>
            <w:r>
              <w:rPr>
                <w:rFonts w:cs="Times New Roman"/>
                <w:sz w:val="24"/>
                <w:szCs w:val="24"/>
              </w:rPr>
              <w:t>报警点位、报警因子、报警时间、报警来源</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pStyle w:val="395"/>
              <w:rPr>
                <w:rFonts w:cs="Times New Roman"/>
                <w:sz w:val="24"/>
                <w:szCs w:val="24"/>
              </w:rPr>
            </w:pPr>
            <w:r>
              <w:rPr>
                <w:rFonts w:cs="Times New Roman"/>
                <w:sz w:val="24"/>
                <w:szCs w:val="24"/>
              </w:rPr>
              <w:t>无条件共享</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pStyle w:val="395"/>
              <w:rPr>
                <w:rFonts w:cs="Times New Roman"/>
                <w:sz w:val="24"/>
                <w:szCs w:val="24"/>
              </w:rPr>
            </w:pPr>
            <w:r>
              <w:rPr>
                <w:rFonts w:cs="Times New Roman"/>
                <w:sz w:val="24"/>
                <w:szCs w:val="24"/>
              </w:rPr>
              <w:t>数据接口</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pStyle w:val="395"/>
              <w:rPr>
                <w:rFonts w:cs="Times New Roman"/>
                <w:sz w:val="24"/>
                <w:szCs w:val="24"/>
              </w:rPr>
            </w:pPr>
            <w:r>
              <w:rPr>
                <w:rFonts w:cs="Times New Roman"/>
                <w:sz w:val="24"/>
                <w:szCs w:val="24"/>
              </w:rPr>
              <w:t>否</w:t>
            </w:r>
          </w:p>
        </w:tc>
        <w:tc>
          <w:tcPr>
            <w:tcW w:w="1073" w:type="dxa"/>
            <w:tcBorders>
              <w:top w:val="single" w:color="auto" w:sz="4" w:space="0"/>
              <w:left w:val="nil"/>
              <w:bottom w:val="single" w:color="auto" w:sz="4" w:space="0"/>
              <w:right w:val="single" w:color="auto" w:sz="4" w:space="0"/>
            </w:tcBorders>
            <w:shd w:val="clear" w:color="auto" w:fill="auto"/>
            <w:noWrap/>
            <w:vAlign w:val="center"/>
          </w:tcPr>
          <w:p>
            <w:pPr>
              <w:pStyle w:val="395"/>
              <w:rPr>
                <w:rFonts w:cs="Times New Roman"/>
                <w:sz w:val="24"/>
                <w:szCs w:val="24"/>
              </w:rPr>
            </w:pPr>
            <w:r>
              <w:rPr>
                <w:rFonts w:hint="eastAsia" w:cs="Times New Roman"/>
                <w:sz w:val="24"/>
                <w:szCs w:val="24"/>
              </w:rPr>
              <w:t>每天</w:t>
            </w:r>
          </w:p>
        </w:tc>
      </w:tr>
      <w:tr>
        <w:tblPrEx>
          <w:tblCellMar>
            <w:top w:w="0" w:type="dxa"/>
            <w:left w:w="108" w:type="dxa"/>
            <w:bottom w:w="0" w:type="dxa"/>
            <w:right w:w="108" w:type="dxa"/>
          </w:tblCellMar>
        </w:tblPrEx>
        <w:trPr>
          <w:trHeight w:val="1195" w:hRule="atLeast"/>
        </w:trPr>
        <w:tc>
          <w:tcPr>
            <w:tcW w:w="66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95"/>
              <w:rPr>
                <w:rFonts w:cs="Times New Roman"/>
                <w:sz w:val="24"/>
                <w:szCs w:val="24"/>
              </w:rPr>
            </w:pPr>
            <w:r>
              <w:rPr>
                <w:rFonts w:cs="Times New Roman"/>
                <w:sz w:val="24"/>
                <w:szCs w:val="24"/>
              </w:rPr>
              <w:t>2</w:t>
            </w:r>
          </w:p>
        </w:tc>
        <w:tc>
          <w:tcPr>
            <w:tcW w:w="1323" w:type="dxa"/>
            <w:tcBorders>
              <w:top w:val="single" w:color="auto" w:sz="4" w:space="0"/>
              <w:left w:val="nil"/>
              <w:bottom w:val="single" w:color="auto" w:sz="4" w:space="0"/>
              <w:right w:val="single" w:color="auto" w:sz="4" w:space="0"/>
            </w:tcBorders>
            <w:shd w:val="clear" w:color="000000" w:fill="FFFFFF"/>
            <w:vAlign w:val="center"/>
          </w:tcPr>
          <w:p>
            <w:pPr>
              <w:pStyle w:val="395"/>
              <w:rPr>
                <w:rFonts w:cs="Times New Roman"/>
                <w:sz w:val="24"/>
                <w:szCs w:val="24"/>
              </w:rPr>
            </w:pPr>
            <w:r>
              <w:rPr>
                <w:rFonts w:cs="Times New Roman"/>
                <w:sz w:val="24"/>
                <w:szCs w:val="24"/>
              </w:rPr>
              <w:t>LDAR可疑数据</w:t>
            </w:r>
          </w:p>
        </w:tc>
        <w:tc>
          <w:tcPr>
            <w:tcW w:w="1697" w:type="dxa"/>
            <w:tcBorders>
              <w:top w:val="single" w:color="auto" w:sz="4" w:space="0"/>
              <w:left w:val="nil"/>
              <w:bottom w:val="single" w:color="auto" w:sz="4" w:space="0"/>
              <w:right w:val="single" w:color="auto" w:sz="4" w:space="0"/>
            </w:tcBorders>
            <w:shd w:val="clear" w:color="000000" w:fill="FFFFFF"/>
            <w:vAlign w:val="center"/>
          </w:tcPr>
          <w:p>
            <w:pPr>
              <w:pStyle w:val="395"/>
              <w:rPr>
                <w:rFonts w:cs="Times New Roman"/>
                <w:sz w:val="24"/>
                <w:szCs w:val="24"/>
              </w:rPr>
            </w:pPr>
            <w:r>
              <w:rPr>
                <w:rFonts w:cs="Times New Roman"/>
                <w:sz w:val="24"/>
                <w:szCs w:val="24"/>
              </w:rPr>
              <w:t>可疑点位、可疑原因、检测值、检测视频</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pStyle w:val="395"/>
              <w:rPr>
                <w:rFonts w:cs="Times New Roman"/>
                <w:sz w:val="24"/>
                <w:szCs w:val="24"/>
              </w:rPr>
            </w:pPr>
            <w:r>
              <w:rPr>
                <w:rFonts w:cs="Times New Roman"/>
                <w:sz w:val="24"/>
                <w:szCs w:val="24"/>
              </w:rPr>
              <w:t>无条件共享</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pStyle w:val="395"/>
              <w:rPr>
                <w:rFonts w:cs="Times New Roman"/>
                <w:sz w:val="24"/>
                <w:szCs w:val="24"/>
              </w:rPr>
            </w:pPr>
            <w:r>
              <w:rPr>
                <w:rFonts w:cs="Times New Roman"/>
                <w:sz w:val="24"/>
                <w:szCs w:val="24"/>
              </w:rPr>
              <w:t>数据接口</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pStyle w:val="395"/>
              <w:rPr>
                <w:rFonts w:cs="Times New Roman"/>
                <w:sz w:val="24"/>
                <w:szCs w:val="24"/>
              </w:rPr>
            </w:pPr>
            <w:r>
              <w:rPr>
                <w:rFonts w:cs="Times New Roman"/>
                <w:sz w:val="24"/>
                <w:szCs w:val="24"/>
              </w:rPr>
              <w:t>否</w:t>
            </w:r>
          </w:p>
        </w:tc>
        <w:tc>
          <w:tcPr>
            <w:tcW w:w="1073" w:type="dxa"/>
            <w:tcBorders>
              <w:top w:val="single" w:color="auto" w:sz="4" w:space="0"/>
              <w:left w:val="nil"/>
              <w:bottom w:val="single" w:color="auto" w:sz="4" w:space="0"/>
              <w:right w:val="single" w:color="auto" w:sz="4" w:space="0"/>
            </w:tcBorders>
            <w:shd w:val="clear" w:color="auto" w:fill="auto"/>
            <w:noWrap/>
            <w:vAlign w:val="center"/>
          </w:tcPr>
          <w:p>
            <w:pPr>
              <w:pStyle w:val="395"/>
              <w:rPr>
                <w:rFonts w:cs="Times New Roman"/>
                <w:sz w:val="24"/>
                <w:szCs w:val="24"/>
              </w:rPr>
            </w:pPr>
            <w:r>
              <w:rPr>
                <w:rFonts w:cs="Times New Roman"/>
                <w:sz w:val="24"/>
                <w:szCs w:val="24"/>
              </w:rPr>
              <w:t>每天</w:t>
            </w:r>
          </w:p>
        </w:tc>
      </w:tr>
    </w:tbl>
    <w:p>
      <w:pPr>
        <w:spacing w:line="360" w:lineRule="auto"/>
        <w:ind w:firstLine="420" w:firstLineChars="200"/>
      </w:pPr>
      <w:r>
        <w:rPr>
          <w:rFonts w:hint="eastAsia"/>
        </w:rPr>
        <w:t>4</w:t>
      </w:r>
      <w:r>
        <w:t>.6.4.2 与镇海区协同部门的共享交换</w:t>
      </w:r>
    </w:p>
    <w:p>
      <w:pPr>
        <w:spacing w:line="360" w:lineRule="auto"/>
        <w:ind w:firstLine="420" w:firstLineChars="200"/>
      </w:pPr>
      <w:r>
        <w:t>本次项目将根据数据共享要求，将数字治气数据共享镇海区数据共享平台中；结合镇海区治气业务需求，按照镇海区公共数据共享交换规定，向镇海区“数字治气”应用提出数据共享需求，实现横向不同政务部门之间的数据交换共享。与镇海区大数据中心的数据共享交换频次，对于实时监测类数据，实时更新，对于非实时类数据，按照数据共享交换清单中确定的频次定期更新。</w:t>
      </w:r>
    </w:p>
    <w:p>
      <w:pPr>
        <w:spacing w:line="360" w:lineRule="auto"/>
        <w:ind w:firstLine="420" w:firstLineChars="200"/>
      </w:pPr>
      <w:r>
        <w:rPr>
          <w:rFonts w:hint="eastAsia"/>
        </w:rPr>
        <w:t>4</w:t>
      </w:r>
      <w:r>
        <w:t>.7基础设施层设计</w:t>
      </w:r>
    </w:p>
    <w:p>
      <w:pPr>
        <w:spacing w:line="360" w:lineRule="auto"/>
        <w:ind w:firstLine="420" w:firstLineChars="200"/>
      </w:pPr>
      <w:r>
        <w:t>本项目基础设施和部署方式按照一体化智能化公共数据平台架构体系进行设计。围绕三大核心业务应用，网络、云、数据中台等基础支撑设施依托于镇海区一体化公共数据平台，不新增购置云平台等基础设施。</w:t>
      </w:r>
    </w:p>
    <w:p>
      <w:pPr>
        <w:spacing w:line="360" w:lineRule="auto"/>
        <w:ind w:firstLine="420" w:firstLineChars="200"/>
      </w:pPr>
      <w:r>
        <w:rPr>
          <w:rFonts w:hint="eastAsia"/>
        </w:rPr>
        <w:t>4</w:t>
      </w:r>
      <w:r>
        <w:t>.7.1云资源部署设计</w:t>
      </w:r>
    </w:p>
    <w:p>
      <w:pPr>
        <w:spacing w:line="360" w:lineRule="auto"/>
        <w:ind w:firstLine="420" w:firstLineChars="200"/>
      </w:pPr>
      <w:r>
        <w:t>本项目政务云基础设施依托于宁波市一体化智能化公共数据平台政务云资源，统一为本项目应用场景部署运行提供网络资源、计算资源、存储资源、安全资源等云计算基础资源服务。根据本项目实际需求，政务云资源需求如下表所示。</w:t>
      </w:r>
    </w:p>
    <w:tbl>
      <w:tblPr>
        <w:tblStyle w:val="45"/>
        <w:tblW w:w="8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2234"/>
        <w:gridCol w:w="992"/>
        <w:gridCol w:w="226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blHeader/>
        </w:trPr>
        <w:tc>
          <w:tcPr>
            <w:tcW w:w="1300" w:type="dxa"/>
            <w:shd w:val="clear" w:color="auto" w:fill="D8D8D8" w:themeFill="background1" w:themeFillShade="D9"/>
            <w:vAlign w:val="center"/>
          </w:tcPr>
          <w:p>
            <w:pPr>
              <w:widowControl/>
              <w:jc w:val="center"/>
              <w:rPr>
                <w:rFonts w:eastAsiaTheme="minorEastAsia"/>
                <w:b/>
                <w:bCs/>
                <w:color w:val="000000"/>
                <w:kern w:val="0"/>
              </w:rPr>
            </w:pPr>
            <w:bookmarkStart w:id="50" w:name="RANGE!D4"/>
            <w:r>
              <w:rPr>
                <w:rFonts w:eastAsiaTheme="minorEastAsia"/>
                <w:b/>
                <w:bCs/>
                <w:color w:val="000000"/>
                <w:kern w:val="0"/>
              </w:rPr>
              <w:t>资源名称</w:t>
            </w:r>
            <w:bookmarkEnd w:id="50"/>
          </w:p>
        </w:tc>
        <w:tc>
          <w:tcPr>
            <w:tcW w:w="2234" w:type="dxa"/>
            <w:shd w:val="clear" w:color="auto" w:fill="D8D8D8" w:themeFill="background1" w:themeFillShade="D9"/>
            <w:vAlign w:val="center"/>
          </w:tcPr>
          <w:p>
            <w:pPr>
              <w:widowControl/>
              <w:jc w:val="center"/>
              <w:rPr>
                <w:rFonts w:eastAsiaTheme="minorEastAsia"/>
                <w:b/>
                <w:bCs/>
                <w:color w:val="000000"/>
                <w:kern w:val="0"/>
              </w:rPr>
            </w:pPr>
            <w:r>
              <w:rPr>
                <w:rFonts w:eastAsiaTheme="minorEastAsia"/>
                <w:b/>
                <w:bCs/>
                <w:color w:val="000000"/>
                <w:kern w:val="0"/>
              </w:rPr>
              <w:t>配置要求</w:t>
            </w:r>
          </w:p>
        </w:tc>
        <w:tc>
          <w:tcPr>
            <w:tcW w:w="992" w:type="dxa"/>
            <w:shd w:val="clear" w:color="auto" w:fill="D8D8D8" w:themeFill="background1" w:themeFillShade="D9"/>
            <w:vAlign w:val="center"/>
          </w:tcPr>
          <w:p>
            <w:pPr>
              <w:widowControl/>
              <w:jc w:val="center"/>
              <w:rPr>
                <w:rFonts w:eastAsiaTheme="minorEastAsia"/>
                <w:b/>
                <w:bCs/>
                <w:color w:val="000000"/>
                <w:kern w:val="0"/>
              </w:rPr>
            </w:pPr>
            <w:r>
              <w:rPr>
                <w:rFonts w:eastAsiaTheme="minorEastAsia"/>
                <w:b/>
                <w:bCs/>
                <w:color w:val="000000"/>
                <w:kern w:val="0"/>
              </w:rPr>
              <w:t>数量</w:t>
            </w:r>
          </w:p>
        </w:tc>
        <w:tc>
          <w:tcPr>
            <w:tcW w:w="2268" w:type="dxa"/>
            <w:shd w:val="clear" w:color="auto" w:fill="D8D8D8" w:themeFill="background1" w:themeFillShade="D9"/>
            <w:vAlign w:val="center"/>
          </w:tcPr>
          <w:p>
            <w:pPr>
              <w:widowControl/>
              <w:jc w:val="center"/>
              <w:rPr>
                <w:rFonts w:eastAsiaTheme="minorEastAsia"/>
                <w:b/>
                <w:bCs/>
                <w:color w:val="000000"/>
                <w:kern w:val="0"/>
              </w:rPr>
            </w:pPr>
            <w:r>
              <w:rPr>
                <w:rFonts w:eastAsiaTheme="minorEastAsia"/>
                <w:b/>
                <w:bCs/>
                <w:color w:val="000000"/>
                <w:kern w:val="0"/>
              </w:rPr>
              <w:t>用途</w:t>
            </w:r>
          </w:p>
        </w:tc>
        <w:tc>
          <w:tcPr>
            <w:tcW w:w="1560" w:type="dxa"/>
            <w:shd w:val="clear" w:color="auto" w:fill="D8D8D8" w:themeFill="background1" w:themeFillShade="D9"/>
            <w:vAlign w:val="center"/>
          </w:tcPr>
          <w:p>
            <w:pPr>
              <w:widowControl/>
              <w:jc w:val="center"/>
              <w:rPr>
                <w:rFonts w:eastAsiaTheme="minorEastAsia"/>
                <w:b/>
                <w:bCs/>
                <w:color w:val="000000"/>
                <w:kern w:val="0"/>
              </w:rPr>
            </w:pPr>
            <w:r>
              <w:rPr>
                <w:rFonts w:eastAsiaTheme="minorEastAsia"/>
                <w:b/>
                <w:bCs/>
                <w:color w:val="000000"/>
                <w:kern w:val="0"/>
              </w:rPr>
              <w:t>部署区域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300" w:type="dxa"/>
            <w:shd w:val="clear" w:color="auto" w:fill="auto"/>
            <w:vAlign w:val="center"/>
          </w:tcPr>
          <w:p>
            <w:pPr>
              <w:widowControl/>
              <w:jc w:val="center"/>
              <w:rPr>
                <w:rFonts w:eastAsiaTheme="minorEastAsia"/>
                <w:color w:val="000000"/>
                <w:kern w:val="0"/>
              </w:rPr>
            </w:pPr>
            <w:r>
              <w:rPr>
                <w:rFonts w:eastAsiaTheme="minorEastAsia"/>
                <w:color w:val="000000"/>
                <w:kern w:val="0"/>
              </w:rPr>
              <w:t>ECS</w:t>
            </w:r>
          </w:p>
        </w:tc>
        <w:tc>
          <w:tcPr>
            <w:tcW w:w="2234" w:type="dxa"/>
            <w:shd w:val="clear" w:color="auto" w:fill="auto"/>
            <w:vAlign w:val="center"/>
          </w:tcPr>
          <w:p>
            <w:pPr>
              <w:widowControl/>
              <w:jc w:val="left"/>
              <w:rPr>
                <w:rFonts w:eastAsiaTheme="minorEastAsia"/>
                <w:color w:val="000000"/>
                <w:kern w:val="0"/>
              </w:rPr>
            </w:pPr>
            <w:r>
              <w:rPr>
                <w:rFonts w:eastAsiaTheme="minorEastAsia"/>
                <w:color w:val="000000"/>
                <w:kern w:val="0"/>
              </w:rPr>
              <w:t>8核，16GB及以上，系统盘200G，数据盘1TB</w:t>
            </w:r>
          </w:p>
        </w:tc>
        <w:tc>
          <w:tcPr>
            <w:tcW w:w="992" w:type="dxa"/>
            <w:shd w:val="clear" w:color="auto" w:fill="auto"/>
            <w:vAlign w:val="center"/>
          </w:tcPr>
          <w:p>
            <w:pPr>
              <w:widowControl/>
              <w:jc w:val="center"/>
              <w:rPr>
                <w:rFonts w:eastAsiaTheme="minorEastAsia"/>
                <w:color w:val="000000"/>
                <w:kern w:val="0"/>
              </w:rPr>
            </w:pPr>
            <w:r>
              <w:rPr>
                <w:rFonts w:eastAsiaTheme="minorEastAsia"/>
                <w:color w:val="000000"/>
                <w:kern w:val="0"/>
              </w:rPr>
              <w:t>1</w:t>
            </w:r>
          </w:p>
        </w:tc>
        <w:tc>
          <w:tcPr>
            <w:tcW w:w="2268" w:type="dxa"/>
            <w:shd w:val="clear" w:color="auto" w:fill="auto"/>
            <w:vAlign w:val="center"/>
          </w:tcPr>
          <w:p>
            <w:pPr>
              <w:widowControl/>
              <w:jc w:val="center"/>
              <w:rPr>
                <w:rFonts w:eastAsiaTheme="minorEastAsia"/>
                <w:color w:val="000000"/>
                <w:kern w:val="0"/>
              </w:rPr>
            </w:pPr>
            <w:r>
              <w:rPr>
                <w:rFonts w:eastAsiaTheme="minorEastAsia"/>
                <w:color w:val="000000"/>
                <w:kern w:val="0"/>
              </w:rPr>
              <w:t>三维地图部署服务器</w:t>
            </w:r>
          </w:p>
        </w:tc>
        <w:tc>
          <w:tcPr>
            <w:tcW w:w="1560" w:type="dxa"/>
            <w:shd w:val="clear" w:color="auto" w:fill="auto"/>
            <w:vAlign w:val="center"/>
          </w:tcPr>
          <w:p>
            <w:pPr>
              <w:widowControl/>
              <w:jc w:val="center"/>
              <w:rPr>
                <w:rFonts w:eastAsiaTheme="minorEastAsia"/>
                <w:color w:val="000000"/>
                <w:kern w:val="0"/>
              </w:rPr>
            </w:pPr>
            <w:r>
              <w:rPr>
                <w:rFonts w:eastAsiaTheme="minorEastAsia"/>
                <w:color w:val="000000"/>
                <w:kern w:val="0"/>
              </w:rPr>
              <w:t>资源共享区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300" w:type="dxa"/>
            <w:shd w:val="clear" w:color="auto" w:fill="auto"/>
            <w:vAlign w:val="center"/>
          </w:tcPr>
          <w:p>
            <w:pPr>
              <w:widowControl/>
              <w:jc w:val="center"/>
              <w:rPr>
                <w:rFonts w:eastAsiaTheme="minorEastAsia"/>
                <w:color w:val="000000"/>
                <w:kern w:val="0"/>
              </w:rPr>
            </w:pPr>
            <w:r>
              <w:rPr>
                <w:rFonts w:eastAsiaTheme="minorEastAsia"/>
                <w:color w:val="000000"/>
                <w:kern w:val="0"/>
              </w:rPr>
              <w:t>ECS</w:t>
            </w:r>
          </w:p>
        </w:tc>
        <w:tc>
          <w:tcPr>
            <w:tcW w:w="2234" w:type="dxa"/>
            <w:shd w:val="clear" w:color="auto" w:fill="auto"/>
            <w:vAlign w:val="center"/>
          </w:tcPr>
          <w:p>
            <w:pPr>
              <w:widowControl/>
              <w:jc w:val="left"/>
              <w:rPr>
                <w:rFonts w:eastAsiaTheme="minorEastAsia"/>
                <w:color w:val="000000"/>
                <w:kern w:val="0"/>
              </w:rPr>
            </w:pPr>
            <w:r>
              <w:rPr>
                <w:rFonts w:eastAsiaTheme="minorEastAsia"/>
                <w:color w:val="000000"/>
                <w:kern w:val="0"/>
              </w:rPr>
              <w:t>8核，16GB及以上，系统盘200G，数据盘500GB</w:t>
            </w:r>
          </w:p>
        </w:tc>
        <w:tc>
          <w:tcPr>
            <w:tcW w:w="992" w:type="dxa"/>
            <w:shd w:val="clear" w:color="auto" w:fill="auto"/>
            <w:vAlign w:val="center"/>
          </w:tcPr>
          <w:p>
            <w:pPr>
              <w:widowControl/>
              <w:jc w:val="center"/>
              <w:rPr>
                <w:rFonts w:eastAsiaTheme="minorEastAsia"/>
                <w:color w:val="000000"/>
                <w:kern w:val="0"/>
              </w:rPr>
            </w:pPr>
            <w:r>
              <w:rPr>
                <w:rFonts w:eastAsiaTheme="minorEastAsia"/>
                <w:color w:val="000000"/>
                <w:kern w:val="0"/>
              </w:rPr>
              <w:t>1</w:t>
            </w:r>
          </w:p>
        </w:tc>
        <w:tc>
          <w:tcPr>
            <w:tcW w:w="2268" w:type="dxa"/>
            <w:shd w:val="clear" w:color="auto" w:fill="auto"/>
            <w:vAlign w:val="center"/>
          </w:tcPr>
          <w:p>
            <w:pPr>
              <w:widowControl/>
              <w:jc w:val="center"/>
              <w:rPr>
                <w:rFonts w:eastAsiaTheme="minorEastAsia"/>
                <w:color w:val="000000"/>
                <w:kern w:val="0"/>
              </w:rPr>
            </w:pPr>
            <w:r>
              <w:rPr>
                <w:rFonts w:eastAsiaTheme="minorEastAsia"/>
                <w:color w:val="000000"/>
                <w:kern w:val="0"/>
              </w:rPr>
              <w:t>数字孪生地图应用服务器</w:t>
            </w:r>
          </w:p>
        </w:tc>
        <w:tc>
          <w:tcPr>
            <w:tcW w:w="1560" w:type="dxa"/>
            <w:shd w:val="clear" w:color="auto" w:fill="auto"/>
            <w:vAlign w:val="center"/>
          </w:tcPr>
          <w:p>
            <w:pPr>
              <w:widowControl/>
              <w:jc w:val="center"/>
              <w:rPr>
                <w:rFonts w:eastAsiaTheme="minorEastAsia"/>
                <w:color w:val="000000"/>
                <w:kern w:val="0"/>
              </w:rPr>
            </w:pPr>
            <w:r>
              <w:rPr>
                <w:rFonts w:eastAsiaTheme="minorEastAsia"/>
                <w:color w:val="000000"/>
                <w:kern w:val="0"/>
              </w:rPr>
              <w:t>资源共享区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00" w:type="dxa"/>
            <w:vMerge w:val="restart"/>
            <w:shd w:val="clear" w:color="auto" w:fill="auto"/>
            <w:vAlign w:val="center"/>
          </w:tcPr>
          <w:p>
            <w:pPr>
              <w:widowControl/>
              <w:jc w:val="center"/>
              <w:rPr>
                <w:rFonts w:eastAsiaTheme="minorEastAsia"/>
                <w:color w:val="000000"/>
                <w:kern w:val="0"/>
              </w:rPr>
            </w:pPr>
            <w:r>
              <w:rPr>
                <w:rFonts w:eastAsiaTheme="minorEastAsia"/>
                <w:color w:val="000000"/>
                <w:kern w:val="0"/>
              </w:rPr>
              <w:t>ECS</w:t>
            </w:r>
          </w:p>
        </w:tc>
        <w:tc>
          <w:tcPr>
            <w:tcW w:w="2234" w:type="dxa"/>
            <w:shd w:val="clear" w:color="auto" w:fill="auto"/>
            <w:vAlign w:val="center"/>
          </w:tcPr>
          <w:p>
            <w:pPr>
              <w:widowControl/>
              <w:jc w:val="left"/>
              <w:rPr>
                <w:rFonts w:eastAsiaTheme="minorEastAsia"/>
                <w:color w:val="000000"/>
                <w:kern w:val="0"/>
              </w:rPr>
            </w:pPr>
            <w:r>
              <w:rPr>
                <w:rFonts w:eastAsiaTheme="minorEastAsia"/>
                <w:color w:val="000000"/>
                <w:kern w:val="0"/>
              </w:rPr>
              <w:t>8 核，16GB 及以上，系统盘200G</w:t>
            </w:r>
          </w:p>
        </w:tc>
        <w:tc>
          <w:tcPr>
            <w:tcW w:w="992" w:type="dxa"/>
            <w:vMerge w:val="restart"/>
            <w:shd w:val="clear" w:color="auto" w:fill="auto"/>
            <w:vAlign w:val="center"/>
          </w:tcPr>
          <w:p>
            <w:pPr>
              <w:widowControl/>
              <w:jc w:val="center"/>
              <w:rPr>
                <w:rFonts w:eastAsiaTheme="minorEastAsia"/>
                <w:color w:val="000000"/>
                <w:kern w:val="0"/>
              </w:rPr>
            </w:pPr>
            <w:r>
              <w:rPr>
                <w:rFonts w:eastAsiaTheme="minorEastAsia"/>
                <w:color w:val="000000"/>
                <w:kern w:val="0"/>
              </w:rPr>
              <w:t>1</w:t>
            </w:r>
          </w:p>
        </w:tc>
        <w:tc>
          <w:tcPr>
            <w:tcW w:w="2268" w:type="dxa"/>
            <w:vMerge w:val="restart"/>
            <w:shd w:val="clear" w:color="auto" w:fill="auto"/>
            <w:vAlign w:val="center"/>
          </w:tcPr>
          <w:p>
            <w:pPr>
              <w:widowControl/>
              <w:jc w:val="center"/>
              <w:rPr>
                <w:rFonts w:eastAsiaTheme="minorEastAsia"/>
                <w:color w:val="000000"/>
                <w:kern w:val="0"/>
              </w:rPr>
            </w:pPr>
            <w:r>
              <w:rPr>
                <w:rFonts w:eastAsiaTheme="minorEastAsia"/>
                <w:color w:val="000000"/>
                <w:kern w:val="0"/>
              </w:rPr>
              <w:t>LDAR检测数据实时审核应用程序部署，以及图片，视频存储服务器</w:t>
            </w:r>
          </w:p>
        </w:tc>
        <w:tc>
          <w:tcPr>
            <w:tcW w:w="1560" w:type="dxa"/>
            <w:vMerge w:val="restart"/>
            <w:shd w:val="clear" w:color="auto" w:fill="auto"/>
            <w:vAlign w:val="center"/>
          </w:tcPr>
          <w:p>
            <w:pPr>
              <w:widowControl/>
              <w:jc w:val="center"/>
              <w:rPr>
                <w:rFonts w:eastAsiaTheme="minorEastAsia"/>
                <w:color w:val="000000"/>
                <w:kern w:val="0"/>
              </w:rPr>
            </w:pPr>
            <w:r>
              <w:rPr>
                <w:rFonts w:eastAsiaTheme="minorEastAsia"/>
                <w:color w:val="000000"/>
                <w:kern w:val="0"/>
              </w:rPr>
              <w:t>公众服务区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300" w:type="dxa"/>
            <w:vMerge w:val="continue"/>
            <w:vAlign w:val="center"/>
          </w:tcPr>
          <w:p>
            <w:pPr>
              <w:widowControl/>
              <w:jc w:val="left"/>
              <w:rPr>
                <w:rFonts w:eastAsiaTheme="minorEastAsia"/>
                <w:color w:val="000000"/>
                <w:kern w:val="0"/>
              </w:rPr>
            </w:pPr>
          </w:p>
        </w:tc>
        <w:tc>
          <w:tcPr>
            <w:tcW w:w="2234" w:type="dxa"/>
            <w:shd w:val="clear" w:color="auto" w:fill="auto"/>
            <w:vAlign w:val="center"/>
          </w:tcPr>
          <w:p>
            <w:pPr>
              <w:widowControl/>
              <w:jc w:val="left"/>
              <w:rPr>
                <w:rFonts w:eastAsiaTheme="minorEastAsia"/>
                <w:color w:val="000000"/>
                <w:kern w:val="0"/>
              </w:rPr>
            </w:pPr>
            <w:r>
              <w:rPr>
                <w:rFonts w:eastAsiaTheme="minorEastAsia"/>
                <w:color w:val="000000"/>
                <w:kern w:val="0"/>
              </w:rPr>
              <w:t>数据盘 5T 及以上</w:t>
            </w:r>
          </w:p>
        </w:tc>
        <w:tc>
          <w:tcPr>
            <w:tcW w:w="992" w:type="dxa"/>
            <w:vMerge w:val="continue"/>
            <w:vAlign w:val="center"/>
          </w:tcPr>
          <w:p>
            <w:pPr>
              <w:widowControl/>
              <w:jc w:val="left"/>
              <w:rPr>
                <w:rFonts w:eastAsiaTheme="minorEastAsia"/>
                <w:color w:val="000000"/>
                <w:kern w:val="0"/>
              </w:rPr>
            </w:pPr>
          </w:p>
        </w:tc>
        <w:tc>
          <w:tcPr>
            <w:tcW w:w="2268" w:type="dxa"/>
            <w:vMerge w:val="continue"/>
            <w:vAlign w:val="center"/>
          </w:tcPr>
          <w:p>
            <w:pPr>
              <w:widowControl/>
              <w:jc w:val="left"/>
              <w:rPr>
                <w:rFonts w:eastAsiaTheme="minorEastAsia"/>
                <w:color w:val="000000"/>
                <w:kern w:val="0"/>
              </w:rPr>
            </w:pPr>
          </w:p>
        </w:tc>
        <w:tc>
          <w:tcPr>
            <w:tcW w:w="1560" w:type="dxa"/>
            <w:vMerge w:val="continue"/>
            <w:vAlign w:val="center"/>
          </w:tcPr>
          <w:p>
            <w:pPr>
              <w:widowControl/>
              <w:jc w:val="left"/>
              <w:rPr>
                <w:rFonts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300" w:type="dxa"/>
            <w:vMerge w:val="restart"/>
            <w:shd w:val="clear" w:color="auto" w:fill="auto"/>
            <w:vAlign w:val="center"/>
          </w:tcPr>
          <w:p>
            <w:pPr>
              <w:widowControl/>
              <w:jc w:val="center"/>
              <w:rPr>
                <w:rFonts w:eastAsiaTheme="minorEastAsia"/>
                <w:color w:val="000000"/>
                <w:kern w:val="0"/>
              </w:rPr>
            </w:pPr>
            <w:r>
              <w:rPr>
                <w:rFonts w:eastAsiaTheme="minorEastAsia"/>
                <w:color w:val="000000"/>
                <w:kern w:val="0"/>
              </w:rPr>
              <w:t>RDS</w:t>
            </w:r>
          </w:p>
        </w:tc>
        <w:tc>
          <w:tcPr>
            <w:tcW w:w="2234" w:type="dxa"/>
            <w:shd w:val="clear" w:color="auto" w:fill="auto"/>
            <w:vAlign w:val="center"/>
          </w:tcPr>
          <w:p>
            <w:pPr>
              <w:widowControl/>
              <w:jc w:val="left"/>
              <w:rPr>
                <w:rFonts w:eastAsiaTheme="minorEastAsia"/>
                <w:color w:val="000000"/>
                <w:kern w:val="0"/>
              </w:rPr>
            </w:pPr>
            <w:r>
              <w:rPr>
                <w:rFonts w:eastAsiaTheme="minorEastAsia"/>
                <w:color w:val="000000"/>
                <w:kern w:val="0"/>
              </w:rPr>
              <w:t>8 核，16GB 及以上，系统盘 200G</w:t>
            </w:r>
          </w:p>
        </w:tc>
        <w:tc>
          <w:tcPr>
            <w:tcW w:w="992" w:type="dxa"/>
            <w:vMerge w:val="restart"/>
            <w:shd w:val="clear" w:color="auto" w:fill="auto"/>
            <w:vAlign w:val="center"/>
          </w:tcPr>
          <w:p>
            <w:pPr>
              <w:widowControl/>
              <w:jc w:val="center"/>
              <w:rPr>
                <w:rFonts w:eastAsiaTheme="minorEastAsia"/>
                <w:color w:val="000000"/>
                <w:kern w:val="0"/>
              </w:rPr>
            </w:pPr>
            <w:r>
              <w:rPr>
                <w:rFonts w:eastAsiaTheme="minorEastAsia"/>
                <w:color w:val="000000"/>
                <w:kern w:val="0"/>
              </w:rPr>
              <w:t>1</w:t>
            </w:r>
          </w:p>
        </w:tc>
        <w:tc>
          <w:tcPr>
            <w:tcW w:w="2268" w:type="dxa"/>
            <w:vMerge w:val="restart"/>
            <w:shd w:val="clear" w:color="auto" w:fill="auto"/>
            <w:vAlign w:val="center"/>
          </w:tcPr>
          <w:p>
            <w:pPr>
              <w:widowControl/>
              <w:jc w:val="center"/>
              <w:rPr>
                <w:rFonts w:eastAsiaTheme="minorEastAsia"/>
                <w:color w:val="000000"/>
                <w:kern w:val="0"/>
              </w:rPr>
            </w:pPr>
            <w:r>
              <w:rPr>
                <w:rFonts w:eastAsiaTheme="minorEastAsia"/>
                <w:color w:val="000000"/>
                <w:kern w:val="0"/>
              </w:rPr>
              <w:t>LDAR检测数据实时审核应用数据库部署</w:t>
            </w:r>
          </w:p>
        </w:tc>
        <w:tc>
          <w:tcPr>
            <w:tcW w:w="1560" w:type="dxa"/>
            <w:vMerge w:val="restart"/>
            <w:shd w:val="clear" w:color="auto" w:fill="auto"/>
            <w:vAlign w:val="center"/>
          </w:tcPr>
          <w:p>
            <w:pPr>
              <w:widowControl/>
              <w:jc w:val="center"/>
              <w:rPr>
                <w:rFonts w:eastAsiaTheme="minorEastAsia"/>
                <w:color w:val="000000"/>
                <w:kern w:val="0"/>
              </w:rPr>
            </w:pPr>
            <w:r>
              <w:rPr>
                <w:rFonts w:eastAsiaTheme="minorEastAsia"/>
                <w:color w:val="000000"/>
                <w:kern w:val="0"/>
              </w:rPr>
              <w:t>公众服务区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300" w:type="dxa"/>
            <w:vMerge w:val="continue"/>
            <w:vAlign w:val="center"/>
          </w:tcPr>
          <w:p>
            <w:pPr>
              <w:widowControl/>
              <w:jc w:val="left"/>
              <w:rPr>
                <w:rFonts w:eastAsiaTheme="minorEastAsia"/>
                <w:color w:val="000000"/>
                <w:kern w:val="0"/>
              </w:rPr>
            </w:pPr>
          </w:p>
        </w:tc>
        <w:tc>
          <w:tcPr>
            <w:tcW w:w="2234" w:type="dxa"/>
            <w:shd w:val="clear" w:color="auto" w:fill="auto"/>
            <w:vAlign w:val="center"/>
          </w:tcPr>
          <w:p>
            <w:pPr>
              <w:widowControl/>
              <w:jc w:val="left"/>
              <w:rPr>
                <w:rFonts w:eastAsiaTheme="minorEastAsia"/>
                <w:color w:val="000000"/>
                <w:kern w:val="0"/>
              </w:rPr>
            </w:pPr>
            <w:r>
              <w:rPr>
                <w:rFonts w:eastAsiaTheme="minorEastAsia"/>
                <w:color w:val="000000"/>
                <w:kern w:val="0"/>
              </w:rPr>
              <w:t>数据盘 2T 及以上</w:t>
            </w:r>
          </w:p>
        </w:tc>
        <w:tc>
          <w:tcPr>
            <w:tcW w:w="992" w:type="dxa"/>
            <w:vMerge w:val="continue"/>
            <w:vAlign w:val="center"/>
          </w:tcPr>
          <w:p>
            <w:pPr>
              <w:widowControl/>
              <w:jc w:val="left"/>
              <w:rPr>
                <w:rFonts w:eastAsiaTheme="minorEastAsia"/>
                <w:color w:val="000000"/>
                <w:kern w:val="0"/>
              </w:rPr>
            </w:pPr>
          </w:p>
        </w:tc>
        <w:tc>
          <w:tcPr>
            <w:tcW w:w="2268" w:type="dxa"/>
            <w:vMerge w:val="continue"/>
            <w:vAlign w:val="center"/>
          </w:tcPr>
          <w:p>
            <w:pPr>
              <w:widowControl/>
              <w:jc w:val="left"/>
              <w:rPr>
                <w:rFonts w:eastAsiaTheme="minorEastAsia"/>
                <w:color w:val="000000"/>
                <w:kern w:val="0"/>
              </w:rPr>
            </w:pPr>
          </w:p>
        </w:tc>
        <w:tc>
          <w:tcPr>
            <w:tcW w:w="1560" w:type="dxa"/>
            <w:vMerge w:val="continue"/>
            <w:vAlign w:val="center"/>
          </w:tcPr>
          <w:p>
            <w:pPr>
              <w:widowControl/>
              <w:jc w:val="left"/>
              <w:rPr>
                <w:rFonts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300" w:type="dxa"/>
            <w:shd w:val="clear" w:color="auto" w:fill="auto"/>
            <w:vAlign w:val="center"/>
          </w:tcPr>
          <w:p>
            <w:pPr>
              <w:widowControl/>
              <w:jc w:val="center"/>
              <w:rPr>
                <w:rFonts w:eastAsiaTheme="minorEastAsia"/>
                <w:color w:val="000000"/>
                <w:kern w:val="0"/>
              </w:rPr>
            </w:pPr>
            <w:r>
              <w:rPr>
                <w:rFonts w:eastAsiaTheme="minorEastAsia"/>
                <w:color w:val="000000"/>
                <w:kern w:val="0"/>
              </w:rPr>
              <w:t>ECS</w:t>
            </w:r>
          </w:p>
        </w:tc>
        <w:tc>
          <w:tcPr>
            <w:tcW w:w="2234" w:type="dxa"/>
            <w:shd w:val="clear" w:color="auto" w:fill="auto"/>
            <w:vAlign w:val="center"/>
          </w:tcPr>
          <w:p>
            <w:pPr>
              <w:widowControl/>
              <w:jc w:val="left"/>
              <w:rPr>
                <w:rFonts w:eastAsiaTheme="minorEastAsia"/>
                <w:color w:val="000000"/>
                <w:kern w:val="0"/>
              </w:rPr>
            </w:pPr>
            <w:r>
              <w:rPr>
                <w:rFonts w:eastAsiaTheme="minorEastAsia"/>
                <w:color w:val="000000"/>
                <w:kern w:val="0"/>
              </w:rPr>
              <w:t>16核，32G及以上，系统盘200G，数据盘2T及以上</w:t>
            </w:r>
          </w:p>
        </w:tc>
        <w:tc>
          <w:tcPr>
            <w:tcW w:w="992" w:type="dxa"/>
            <w:shd w:val="clear" w:color="auto" w:fill="auto"/>
            <w:vAlign w:val="center"/>
          </w:tcPr>
          <w:p>
            <w:pPr>
              <w:widowControl/>
              <w:jc w:val="center"/>
              <w:rPr>
                <w:rFonts w:eastAsiaTheme="minorEastAsia"/>
                <w:color w:val="000000"/>
                <w:kern w:val="0"/>
              </w:rPr>
            </w:pPr>
            <w:r>
              <w:rPr>
                <w:rFonts w:eastAsiaTheme="minorEastAsia"/>
                <w:color w:val="000000"/>
                <w:kern w:val="0"/>
              </w:rPr>
              <w:t>1</w:t>
            </w:r>
          </w:p>
        </w:tc>
        <w:tc>
          <w:tcPr>
            <w:tcW w:w="2268" w:type="dxa"/>
            <w:shd w:val="clear" w:color="auto" w:fill="auto"/>
            <w:vAlign w:val="center"/>
          </w:tcPr>
          <w:p>
            <w:pPr>
              <w:widowControl/>
              <w:jc w:val="center"/>
              <w:rPr>
                <w:rFonts w:eastAsiaTheme="minorEastAsia"/>
                <w:color w:val="000000"/>
                <w:kern w:val="0"/>
              </w:rPr>
            </w:pPr>
            <w:r>
              <w:rPr>
                <w:rFonts w:eastAsiaTheme="minorEastAsia"/>
                <w:color w:val="000000"/>
                <w:kern w:val="0"/>
              </w:rPr>
              <w:t>高值溯源管控及数字治气专题导航舱应用部署</w:t>
            </w:r>
          </w:p>
        </w:tc>
        <w:tc>
          <w:tcPr>
            <w:tcW w:w="1560" w:type="dxa"/>
            <w:shd w:val="clear" w:color="auto" w:fill="auto"/>
            <w:vAlign w:val="center"/>
          </w:tcPr>
          <w:p>
            <w:pPr>
              <w:widowControl/>
              <w:jc w:val="center"/>
              <w:rPr>
                <w:rFonts w:eastAsiaTheme="minorEastAsia"/>
                <w:color w:val="000000"/>
                <w:kern w:val="0"/>
              </w:rPr>
            </w:pPr>
            <w:r>
              <w:rPr>
                <w:rFonts w:eastAsiaTheme="minorEastAsia"/>
                <w:color w:val="000000"/>
                <w:kern w:val="0"/>
              </w:rPr>
              <w:t>公众服务区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300" w:type="dxa"/>
            <w:shd w:val="clear" w:color="auto" w:fill="auto"/>
            <w:vAlign w:val="center"/>
          </w:tcPr>
          <w:p>
            <w:pPr>
              <w:widowControl/>
              <w:jc w:val="center"/>
              <w:rPr>
                <w:rFonts w:eastAsiaTheme="minorEastAsia"/>
                <w:color w:val="000000"/>
                <w:kern w:val="0"/>
              </w:rPr>
            </w:pPr>
            <w:r>
              <w:rPr>
                <w:rFonts w:eastAsiaTheme="minorEastAsia"/>
                <w:color w:val="000000"/>
                <w:kern w:val="0"/>
              </w:rPr>
              <w:t>RDS</w:t>
            </w:r>
          </w:p>
        </w:tc>
        <w:tc>
          <w:tcPr>
            <w:tcW w:w="2234" w:type="dxa"/>
            <w:shd w:val="clear" w:color="auto" w:fill="auto"/>
            <w:vAlign w:val="center"/>
          </w:tcPr>
          <w:p>
            <w:pPr>
              <w:widowControl/>
              <w:jc w:val="left"/>
              <w:rPr>
                <w:rFonts w:eastAsiaTheme="minorEastAsia"/>
                <w:color w:val="000000"/>
                <w:kern w:val="0"/>
              </w:rPr>
            </w:pPr>
            <w:r>
              <w:rPr>
                <w:rFonts w:eastAsiaTheme="minorEastAsia"/>
                <w:color w:val="000000"/>
                <w:kern w:val="0"/>
              </w:rPr>
              <w:t>16核，64G及以上，系统盘200G，硬盘5T及以上</w:t>
            </w:r>
          </w:p>
        </w:tc>
        <w:tc>
          <w:tcPr>
            <w:tcW w:w="992" w:type="dxa"/>
            <w:shd w:val="clear" w:color="auto" w:fill="auto"/>
            <w:vAlign w:val="center"/>
          </w:tcPr>
          <w:p>
            <w:pPr>
              <w:widowControl/>
              <w:jc w:val="center"/>
              <w:rPr>
                <w:rFonts w:eastAsiaTheme="minorEastAsia"/>
                <w:color w:val="000000"/>
                <w:kern w:val="0"/>
              </w:rPr>
            </w:pPr>
            <w:r>
              <w:rPr>
                <w:rFonts w:eastAsiaTheme="minorEastAsia"/>
                <w:color w:val="000000"/>
                <w:kern w:val="0"/>
              </w:rPr>
              <w:t>1</w:t>
            </w:r>
          </w:p>
        </w:tc>
        <w:tc>
          <w:tcPr>
            <w:tcW w:w="2268" w:type="dxa"/>
            <w:shd w:val="clear" w:color="auto" w:fill="auto"/>
            <w:vAlign w:val="center"/>
          </w:tcPr>
          <w:p>
            <w:pPr>
              <w:widowControl/>
              <w:jc w:val="center"/>
              <w:rPr>
                <w:rFonts w:eastAsiaTheme="minorEastAsia"/>
                <w:color w:val="000000"/>
                <w:kern w:val="0"/>
              </w:rPr>
            </w:pPr>
            <w:r>
              <w:rPr>
                <w:rFonts w:eastAsiaTheme="minorEastAsia"/>
                <w:color w:val="000000"/>
                <w:kern w:val="0"/>
              </w:rPr>
              <w:t>高值溯源管控及数字治气专题导航舱数据库部署</w:t>
            </w:r>
          </w:p>
        </w:tc>
        <w:tc>
          <w:tcPr>
            <w:tcW w:w="1560" w:type="dxa"/>
            <w:shd w:val="clear" w:color="auto" w:fill="auto"/>
            <w:vAlign w:val="center"/>
          </w:tcPr>
          <w:p>
            <w:pPr>
              <w:widowControl/>
              <w:jc w:val="center"/>
              <w:rPr>
                <w:rFonts w:eastAsiaTheme="minorEastAsia"/>
                <w:color w:val="000000"/>
                <w:kern w:val="0"/>
              </w:rPr>
            </w:pPr>
            <w:r>
              <w:rPr>
                <w:rFonts w:eastAsiaTheme="minorEastAsia"/>
                <w:color w:val="000000"/>
                <w:kern w:val="0"/>
              </w:rPr>
              <w:t>公众服务区</w:t>
            </w:r>
          </w:p>
        </w:tc>
      </w:tr>
    </w:tbl>
    <w:p>
      <w:pPr>
        <w:spacing w:line="360" w:lineRule="auto"/>
        <w:ind w:firstLine="420" w:firstLineChars="200"/>
      </w:pPr>
    </w:p>
    <w:p>
      <w:pPr>
        <w:spacing w:line="360" w:lineRule="auto"/>
        <w:ind w:firstLine="420" w:firstLineChars="200"/>
      </w:pPr>
      <w:r>
        <w:rPr>
          <w:rFonts w:hint="eastAsia"/>
        </w:rPr>
        <w:t>4</w:t>
      </w:r>
      <w:r>
        <w:t>.8信息安全保障体系设计</w:t>
      </w:r>
    </w:p>
    <w:p>
      <w:pPr>
        <w:spacing w:line="360" w:lineRule="auto"/>
        <w:ind w:firstLine="420" w:firstLineChars="200"/>
      </w:pPr>
      <w:r>
        <w:t>本项目涉及政府部门公共数据等内容，当业务信息和系统服务安全被破坏时，将严重影响到公民等组织的合法权益，并对社会秩序和公共利益造成一定的危害。参照网络安全等级保护2.0标准及信息安全技术网络安全等级保护定级指南要求，项目需按照网络安全等级保护二级的要求进行设计建设。</w:t>
      </w:r>
    </w:p>
    <w:p>
      <w:pPr>
        <w:spacing w:line="360" w:lineRule="auto"/>
        <w:ind w:firstLine="420" w:firstLineChars="200"/>
      </w:pPr>
      <w:r>
        <w:rPr>
          <w:rFonts w:hint="eastAsia"/>
        </w:rPr>
        <w:t>4</w:t>
      </w:r>
      <w:r>
        <w:t>.9落实安全可靠要求的情况说明</w:t>
      </w:r>
    </w:p>
    <w:p>
      <w:pPr>
        <w:spacing w:line="360" w:lineRule="auto"/>
        <w:ind w:firstLine="420" w:firstLineChars="200"/>
      </w:pPr>
      <w:r>
        <w:t>本项目需满足MIPS（龙芯）、X86（兆芯）、ARM（飞腾、鲲鹏）CPU三大技术路线中的至少两种</w:t>
      </w:r>
      <w:r>
        <w:rPr>
          <w:rFonts w:hint="eastAsia"/>
        </w:rPr>
        <w:t>国产化</w:t>
      </w:r>
      <w:r>
        <w:t>终端访问要求，使不同用户能够在多种终端环境下都能正常使用。</w:t>
      </w:r>
    </w:p>
    <w:p>
      <w:pPr>
        <w:spacing w:line="360" w:lineRule="auto"/>
        <w:ind w:firstLine="420" w:firstLineChars="200"/>
      </w:pPr>
      <w:r>
        <w:t>本次项目应用建设需对信终端和</w:t>
      </w:r>
      <w:r>
        <w:rPr>
          <w:rFonts w:hint="eastAsia"/>
        </w:rPr>
        <w:t>国产化</w:t>
      </w:r>
      <w:r>
        <w:t>运行环境进行适配。</w:t>
      </w:r>
    </w:p>
    <w:p>
      <w:pPr>
        <w:spacing w:line="360" w:lineRule="auto"/>
        <w:ind w:firstLine="420" w:firstLineChars="200"/>
      </w:pPr>
      <w:r>
        <w:t>满足</w:t>
      </w:r>
      <w:r>
        <w:rPr>
          <w:rFonts w:hint="eastAsia"/>
        </w:rPr>
        <w:t>国产化</w:t>
      </w:r>
      <w:r>
        <w:t>终端系统访问要求。根据</w:t>
      </w:r>
      <w:r>
        <w:rPr>
          <w:rFonts w:hint="eastAsia"/>
        </w:rPr>
        <w:t>国产化</w:t>
      </w:r>
      <w:r>
        <w:t>终端、国产非IE操作系统和</w:t>
      </w:r>
      <w:r>
        <w:rPr>
          <w:rFonts w:hint="eastAsia"/>
        </w:rPr>
        <w:t>国产化</w:t>
      </w:r>
      <w:r>
        <w:t>浏览器的要求，对页面的布局、页面的元素、表格的样式、系统空间进行适配。主要包括浏览器渲染引擎优化、JS解析引擎优化、控件参数优化等。通过上述优化满足</w:t>
      </w:r>
      <w:r>
        <w:rPr>
          <w:rFonts w:hint="eastAsia"/>
        </w:rPr>
        <w:t>国产化</w:t>
      </w:r>
      <w:r>
        <w:t>终端系统访问的要求。</w:t>
      </w:r>
    </w:p>
    <w:p>
      <w:pPr>
        <w:spacing w:line="360" w:lineRule="auto"/>
        <w:ind w:firstLine="420" w:firstLineChars="200"/>
      </w:pPr>
      <w:r>
        <w:t>要求系统适配</w:t>
      </w:r>
      <w:r>
        <w:rPr>
          <w:rFonts w:hint="eastAsia"/>
        </w:rPr>
        <w:t>国产化</w:t>
      </w:r>
      <w:r>
        <w:t>云平台环境。操作系统适配性方面，要求适应统信、麒麟或其他国产化操作系统；数据库国产化适配方面，要求支持人大金仓、达梦数据库或其他国产数据库，用以保证数据的安全性，支持将其他类型数据库的数据迁移至国产数据库中。确保应用系统在国产化基础环境上能稳定高效运行。本项目需采购配套国产化数据库系统2套，配置如下：</w:t>
      </w:r>
    </w:p>
    <w:p>
      <w:pPr>
        <w:spacing w:line="360" w:lineRule="auto"/>
        <w:ind w:firstLine="420" w:firstLineChars="200"/>
      </w:pPr>
      <w:r>
        <w:t>1）产品支持RANGE数据类型、支持表继承、支持Listen、支持Notify、支持混合分区等功能，分区表支持主键、外键、索引、触发器。</w:t>
      </w:r>
    </w:p>
    <w:p>
      <w:pPr>
        <w:spacing w:line="360" w:lineRule="auto"/>
        <w:ind w:firstLine="420" w:firstLineChars="200"/>
      </w:pPr>
      <w:r>
        <w:t>2）产品兼容postgis空间数据引擎相关组件，支持对地理数据的存储，支持栅格数据和栅格/矢量分析，允许在共享的边界上处理对象，支持3D和4D索引。</w:t>
      </w:r>
    </w:p>
    <w:p>
      <w:pPr>
        <w:spacing w:line="360" w:lineRule="auto"/>
        <w:ind w:firstLine="420" w:firstLineChars="200"/>
      </w:pPr>
      <w:r>
        <w:t>3）支持JSON数据类型，包括插入操作符－&gt;、 -&gt;&gt;、#&gt;、#&gt;&gt;、可将一行数据转换为JSON类型；支持变长多维数组类型，并可通过操作符和函数创建gin、btree、hash类型索引。</w:t>
      </w:r>
    </w:p>
    <w:p>
      <w:pPr>
        <w:spacing w:line="360" w:lineRule="auto"/>
        <w:ind w:firstLine="420" w:firstLineChars="200"/>
      </w:pPr>
      <w:r>
        <w:t>4）产品PLSQL的动态SQL支持带有returning into 子句的DML语句、支持匿名块、支持CALL INTO语句，PLSQL中INSERT 语句支持VALUES record，PLSQL中UPDATE语句支持SET ROW=record，PLSQL中的DML语句支持returning bulk collect into子句。</w:t>
      </w:r>
    </w:p>
    <w:p>
      <w:pPr>
        <w:spacing w:line="360" w:lineRule="auto"/>
        <w:ind w:firstLine="420" w:firstLineChars="200"/>
      </w:pPr>
      <w:r>
        <w:t>5）产品支持数据库迁移评估，数据库评估平均每分钟可以处理13000个以上数据库对象，平均每分钟可以处理170000行以上代码。</w:t>
      </w:r>
    </w:p>
    <w:p>
      <w:pPr>
        <w:spacing w:line="360" w:lineRule="auto"/>
        <w:ind w:firstLine="420" w:firstLineChars="200"/>
      </w:pPr>
      <w:r>
        <w:t>6）支持应用SQL迁移评估，支持应用SQL采集及迁移评估，并提供评估报告，支持Oracle、SQLServer、DB2、MysqlSQL数据库。</w:t>
      </w:r>
    </w:p>
    <w:p>
      <w:pPr>
        <w:spacing w:line="360" w:lineRule="auto"/>
        <w:ind w:firstLine="420" w:firstLineChars="200"/>
      </w:pPr>
      <w:r>
        <w:t>7）支持自主访问控制、强制访问控制、审计、加密、身份识别与验证等安全。</w:t>
      </w:r>
    </w:p>
    <w:p>
      <w:pPr>
        <w:spacing w:line="360" w:lineRule="auto"/>
        <w:ind w:firstLine="420" w:firstLineChars="200"/>
      </w:pPr>
      <w:r>
        <w:rPr>
          <w:rFonts w:hint="eastAsia"/>
        </w:rPr>
        <w:t>4.10运维要求</w:t>
      </w:r>
    </w:p>
    <w:p>
      <w:pPr>
        <w:spacing w:line="360" w:lineRule="auto"/>
        <w:ind w:firstLine="420" w:firstLineChars="200"/>
      </w:pPr>
      <w:r>
        <w:t>解决用户在使用中所出现的一系列问题，提供操作及维护培训，提供7*24技术支持服务；项目投入使用后，在项目建设单位提出对项目进行升档或扩充要求后，需提供最新开发的系统软件，免费为用户制定升级方案，免费为用户作项目介绍，解答用户关心的项目方面的问题。为已过保修期的用户提供定制的服务咨询及支持。对于客户的重要问题，设置重要大问题专家组，以帮助项目建设单位解决工作过程出现的重大疑难问题。</w:t>
      </w:r>
    </w:p>
    <w:p>
      <w:pPr>
        <w:spacing w:line="360" w:lineRule="auto"/>
        <w:ind w:firstLine="420" w:firstLineChars="200"/>
      </w:pPr>
      <w:r>
        <w:rPr>
          <w:rFonts w:hint="eastAsia"/>
        </w:rPr>
        <w:t>运维期：3年。</w:t>
      </w:r>
    </w:p>
    <w:p>
      <w:pPr>
        <w:spacing w:line="360" w:lineRule="auto"/>
        <w:rPr>
          <w:b/>
          <w:bCs/>
        </w:rPr>
      </w:pPr>
      <w:r>
        <w:rPr>
          <w:rFonts w:hint="eastAsia"/>
          <w:b/>
          <w:bCs/>
        </w:rPr>
        <w:t>（五）人员要求</w:t>
      </w:r>
    </w:p>
    <w:p>
      <w:pPr>
        <w:spacing w:line="360" w:lineRule="auto"/>
        <w:ind w:firstLine="420" w:firstLineChars="200"/>
      </w:pPr>
      <w:r>
        <w:rPr>
          <w:rFonts w:hint="eastAsia"/>
        </w:rPr>
        <w:t>供应商需配备设计人员、开发人员、测试人员、运维人员等核心技术人员，要求投入至少20人，组织项目技术组团队。主要职能是：在项目建设过程中负责各阶段技术支撑，包括协助引导单位明确需求，进行镇海区“数字治气”应用总体架构设计，明确开发技术路线，安排专人进行代码开发和系统测试，指导用户进行系统操作，并解决用户在系统使用过程中出现的各种问题，项目推广环节做好实施服务和技术支撑，并针对网络安全方面的问题提供技术支持。运维阶段需要在现有技术力量的基础上，按“精简、高效”原则，通过多种渠道，有计划地增配信息技术专业人员，充实专业技术队伍。同时，采取相应的政策措施，提高专业技术人员待遇，保持专业技术队伍的稳定。</w:t>
      </w:r>
    </w:p>
    <w:p>
      <w:pPr>
        <w:spacing w:line="360" w:lineRule="auto"/>
        <w:rPr>
          <w:b/>
          <w:bCs/>
        </w:rPr>
      </w:pPr>
      <w:r>
        <w:rPr>
          <w:rFonts w:hint="eastAsia"/>
          <w:b/>
          <w:bCs/>
        </w:rPr>
        <w:t>（六）培训要求</w:t>
      </w:r>
    </w:p>
    <w:p>
      <w:pPr>
        <w:spacing w:line="360" w:lineRule="auto"/>
        <w:ind w:firstLine="420" w:firstLineChars="200"/>
      </w:pPr>
      <w:r>
        <w:rPr>
          <w:rFonts w:hint="eastAsia"/>
        </w:rPr>
        <w:t>供应商需拟定完整、全面的包含基础系统培训内容、应用系统培训内容的培训内容，制定基础培训期、合作培训期、交接培训期、升级培训期各阶段详细的培训计划，并建立培训考核机制</w:t>
      </w:r>
    </w:p>
    <w:p>
      <w:pPr>
        <w:spacing w:line="360" w:lineRule="auto"/>
      </w:pPr>
      <w:r>
        <w:rPr>
          <w:rFonts w:hint="eastAsia"/>
        </w:rPr>
        <w:t>。在培训之前，需要向客户提交《用户手册》、《系统管理员手册》以及《用户意见反馈书》。另外，应用系统改动或应用系统更新升级时，应及时提供相关内容文献。</w:t>
      </w:r>
    </w:p>
    <w:p>
      <w:pPr>
        <w:spacing w:line="360" w:lineRule="auto"/>
        <w:ind w:firstLine="420" w:firstLineChars="200"/>
      </w:pPr>
      <w:r>
        <w:rPr>
          <w:rFonts w:hint="eastAsia"/>
        </w:rPr>
        <w:t>培训完成以后，不定期的对系统的运行情况进行跟踪，以确定培训效果，并从反馈意见中不断总结经验，对于个别用户使用问题，派有专门人员专门解答，从完善用户使用手册、方便快捷的联机帮助、由系统管理员继续指导几个方面弥补培训中的不足。培训是系统顺利实施重要保证，培训日程与系统开发和实施过程相适应。培训工作安排在系统运行现场进行。</w:t>
      </w:r>
    </w:p>
    <w:p>
      <w:pPr>
        <w:spacing w:line="360" w:lineRule="auto"/>
        <w:rPr>
          <w:b/>
          <w:bCs/>
        </w:rPr>
      </w:pPr>
      <w:r>
        <w:rPr>
          <w:rFonts w:hint="eastAsia"/>
          <w:b/>
          <w:bCs/>
        </w:rPr>
        <w:t>（七）进度安排</w:t>
      </w:r>
    </w:p>
    <w:p>
      <w:pPr>
        <w:spacing w:line="360" w:lineRule="auto"/>
        <w:ind w:firstLine="420" w:firstLineChars="200"/>
      </w:pPr>
      <w:r>
        <w:rPr>
          <w:rFonts w:hint="eastAsia"/>
        </w:rPr>
        <w:t>2024年7月前完成所有建设内容并通过项目初验进入试运行阶段，2024年10月完成项目终验。</w:t>
      </w:r>
    </w:p>
    <w:p>
      <w:pPr>
        <w:spacing w:line="360" w:lineRule="auto"/>
        <w:rPr>
          <w:b/>
          <w:bCs/>
        </w:rPr>
      </w:pPr>
      <w:r>
        <w:rPr>
          <w:rFonts w:hint="eastAsia"/>
          <w:b/>
          <w:bCs/>
        </w:rPr>
        <w:t>（八）项目建设主要内容清单</w:t>
      </w:r>
    </w:p>
    <w:tbl>
      <w:tblPr>
        <w:tblStyle w:val="45"/>
        <w:tblW w:w="8758" w:type="dxa"/>
        <w:tblInd w:w="113" w:type="dxa"/>
        <w:tblLayout w:type="autofit"/>
        <w:tblCellMar>
          <w:top w:w="0" w:type="dxa"/>
          <w:left w:w="108" w:type="dxa"/>
          <w:bottom w:w="0" w:type="dxa"/>
          <w:right w:w="108" w:type="dxa"/>
        </w:tblCellMar>
      </w:tblPr>
      <w:tblGrid>
        <w:gridCol w:w="1383"/>
        <w:gridCol w:w="5964"/>
        <w:gridCol w:w="1411"/>
      </w:tblGrid>
      <w:tr>
        <w:tblPrEx>
          <w:tblCellMar>
            <w:top w:w="0" w:type="dxa"/>
            <w:left w:w="108" w:type="dxa"/>
            <w:bottom w:w="0" w:type="dxa"/>
            <w:right w:w="108" w:type="dxa"/>
          </w:tblCellMar>
        </w:tblPrEx>
        <w:trPr>
          <w:trHeight w:val="575" w:hRule="atLeast"/>
        </w:trPr>
        <w:tc>
          <w:tcPr>
            <w:tcW w:w="13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b/>
                <w:bCs/>
                <w:color w:val="000000"/>
                <w:kern w:val="0"/>
                <w:szCs w:val="21"/>
              </w:rPr>
            </w:pPr>
            <w:r>
              <w:rPr>
                <w:b/>
                <w:bCs/>
                <w:color w:val="000000"/>
                <w:kern w:val="0"/>
                <w:szCs w:val="21"/>
              </w:rPr>
              <w:t>序号</w:t>
            </w:r>
          </w:p>
        </w:tc>
        <w:tc>
          <w:tcPr>
            <w:tcW w:w="596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b/>
                <w:bCs/>
                <w:color w:val="000000"/>
                <w:kern w:val="0"/>
                <w:szCs w:val="21"/>
              </w:rPr>
            </w:pPr>
            <w:r>
              <w:rPr>
                <w:b/>
                <w:bCs/>
                <w:color w:val="000000"/>
                <w:kern w:val="0"/>
                <w:szCs w:val="21"/>
              </w:rPr>
              <w:t>费用名称</w:t>
            </w:r>
          </w:p>
        </w:tc>
        <w:tc>
          <w:tcPr>
            <w:tcW w:w="141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b/>
                <w:bCs/>
                <w:color w:val="000000"/>
                <w:kern w:val="0"/>
                <w:szCs w:val="21"/>
              </w:rPr>
            </w:pPr>
            <w:r>
              <w:rPr>
                <w:b/>
                <w:bCs/>
                <w:color w:val="000000"/>
                <w:kern w:val="0"/>
                <w:szCs w:val="21"/>
              </w:rPr>
              <w:t>备注</w:t>
            </w:r>
          </w:p>
        </w:tc>
      </w:tr>
      <w:tr>
        <w:tblPrEx>
          <w:tblCellMar>
            <w:top w:w="0" w:type="dxa"/>
            <w:left w:w="108" w:type="dxa"/>
            <w:bottom w:w="0" w:type="dxa"/>
            <w:right w:w="108" w:type="dxa"/>
          </w:tblCellMar>
        </w:tblPrEx>
        <w:trPr>
          <w:trHeight w:val="293"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一</w:t>
            </w:r>
          </w:p>
        </w:tc>
        <w:tc>
          <w:tcPr>
            <w:tcW w:w="5964"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项目建设</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rFonts w:eastAsia="等线"/>
                <w:b/>
                <w:bCs/>
                <w:color w:val="000000"/>
                <w:kern w:val="0"/>
              </w:rPr>
            </w:pPr>
            <w:r>
              <w:rPr>
                <w:rFonts w:eastAsia="等线"/>
                <w:b/>
                <w:bCs/>
                <w:color w:val="000000"/>
                <w:kern w:val="0"/>
              </w:rPr>
              <w:t>1</w:t>
            </w:r>
          </w:p>
        </w:tc>
        <w:tc>
          <w:tcPr>
            <w:tcW w:w="5964" w:type="dxa"/>
            <w:tcBorders>
              <w:top w:val="nil"/>
              <w:left w:val="nil"/>
              <w:bottom w:val="single" w:color="auto" w:sz="4" w:space="0"/>
              <w:right w:val="single" w:color="auto" w:sz="4" w:space="0"/>
            </w:tcBorders>
            <w:shd w:val="clear" w:color="000000" w:fill="FFFFFF"/>
            <w:vAlign w:val="center"/>
          </w:tcPr>
          <w:p>
            <w:pPr>
              <w:widowControl/>
              <w:rPr>
                <w:b/>
                <w:bCs/>
                <w:color w:val="000000"/>
                <w:kern w:val="0"/>
                <w:szCs w:val="21"/>
              </w:rPr>
            </w:pPr>
            <w:r>
              <w:rPr>
                <w:b/>
                <w:bCs/>
                <w:color w:val="000000"/>
                <w:kern w:val="0"/>
                <w:szCs w:val="21"/>
              </w:rPr>
              <w:t>业务应用体系建设</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rFonts w:eastAsia="等线"/>
                <w:color w:val="000000"/>
                <w:kern w:val="0"/>
              </w:rPr>
            </w:pPr>
            <w:r>
              <w:rPr>
                <w:rFonts w:eastAsia="等线"/>
                <w:color w:val="000000"/>
                <w:kern w:val="0"/>
              </w:rPr>
              <w:t>1.1</w:t>
            </w:r>
          </w:p>
        </w:tc>
        <w:tc>
          <w:tcPr>
            <w:tcW w:w="5964"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污染源监管数字孪生地图</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rFonts w:eastAsia="等线"/>
                <w:color w:val="000000"/>
                <w:kern w:val="0"/>
              </w:rPr>
            </w:pPr>
            <w:r>
              <w:rPr>
                <w:rFonts w:eastAsia="等线"/>
                <w:color w:val="000000"/>
                <w:kern w:val="0"/>
              </w:rPr>
              <w:t>1.2</w:t>
            </w:r>
          </w:p>
        </w:tc>
        <w:tc>
          <w:tcPr>
            <w:tcW w:w="5964"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LDAR检测数据实时审核</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rFonts w:eastAsia="等线"/>
                <w:color w:val="000000"/>
                <w:kern w:val="0"/>
              </w:rPr>
            </w:pPr>
            <w:r>
              <w:rPr>
                <w:rFonts w:eastAsia="等线"/>
                <w:color w:val="000000"/>
                <w:kern w:val="0"/>
              </w:rPr>
              <w:t>1.3</w:t>
            </w:r>
          </w:p>
        </w:tc>
        <w:tc>
          <w:tcPr>
            <w:tcW w:w="5964"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高值点溯源管控</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rFonts w:eastAsia="等线"/>
                <w:color w:val="000000"/>
                <w:kern w:val="0"/>
              </w:rPr>
            </w:pPr>
            <w:r>
              <w:rPr>
                <w:rFonts w:eastAsia="等线"/>
                <w:color w:val="000000"/>
                <w:kern w:val="0"/>
              </w:rPr>
              <w:t>1.4</w:t>
            </w:r>
          </w:p>
        </w:tc>
        <w:tc>
          <w:tcPr>
            <w:tcW w:w="5964"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数字治气专题导航舱</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rFonts w:eastAsia="等线"/>
                <w:color w:val="000000"/>
                <w:kern w:val="0"/>
              </w:rPr>
            </w:pPr>
            <w:r>
              <w:rPr>
                <w:rFonts w:eastAsia="等线"/>
                <w:color w:val="000000"/>
                <w:kern w:val="0"/>
              </w:rPr>
              <w:t>1.5</w:t>
            </w:r>
          </w:p>
        </w:tc>
        <w:tc>
          <w:tcPr>
            <w:tcW w:w="5964"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掌上治气浙政钉端</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rFonts w:eastAsia="等线"/>
                <w:color w:val="000000"/>
                <w:kern w:val="0"/>
              </w:rPr>
            </w:pPr>
            <w:r>
              <w:rPr>
                <w:rFonts w:eastAsia="等线"/>
                <w:color w:val="000000"/>
                <w:kern w:val="0"/>
              </w:rPr>
              <w:t>1.6</w:t>
            </w:r>
          </w:p>
        </w:tc>
        <w:tc>
          <w:tcPr>
            <w:tcW w:w="5964"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企业服务端</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rFonts w:eastAsia="等线"/>
                <w:color w:val="000000"/>
                <w:kern w:val="0"/>
              </w:rPr>
            </w:pPr>
            <w:r>
              <w:rPr>
                <w:rFonts w:eastAsia="等线"/>
                <w:color w:val="000000"/>
                <w:kern w:val="0"/>
              </w:rPr>
              <w:t>1.7</w:t>
            </w:r>
          </w:p>
        </w:tc>
        <w:tc>
          <w:tcPr>
            <w:tcW w:w="5964"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系统管理</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rFonts w:eastAsia="等线"/>
                <w:b/>
                <w:bCs/>
                <w:color w:val="000000"/>
                <w:kern w:val="0"/>
              </w:rPr>
            </w:pPr>
            <w:r>
              <w:rPr>
                <w:rFonts w:eastAsia="等线"/>
                <w:b/>
                <w:bCs/>
                <w:color w:val="000000"/>
                <w:kern w:val="0"/>
              </w:rPr>
              <w:t>2</w:t>
            </w:r>
          </w:p>
        </w:tc>
        <w:tc>
          <w:tcPr>
            <w:tcW w:w="5964" w:type="dxa"/>
            <w:tcBorders>
              <w:top w:val="nil"/>
              <w:left w:val="nil"/>
              <w:bottom w:val="single" w:color="auto" w:sz="4" w:space="0"/>
              <w:right w:val="single" w:color="auto" w:sz="4" w:space="0"/>
            </w:tcBorders>
            <w:shd w:val="clear" w:color="000000" w:fill="FFFFFF"/>
            <w:vAlign w:val="center"/>
          </w:tcPr>
          <w:p>
            <w:pPr>
              <w:widowControl/>
              <w:rPr>
                <w:b/>
                <w:bCs/>
                <w:color w:val="000000"/>
                <w:kern w:val="0"/>
                <w:szCs w:val="21"/>
              </w:rPr>
            </w:pPr>
            <w:r>
              <w:rPr>
                <w:b/>
                <w:bCs/>
                <w:color w:val="000000"/>
                <w:kern w:val="0"/>
                <w:szCs w:val="21"/>
              </w:rPr>
              <w:t>应用支撑体系建设</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rFonts w:eastAsia="等线"/>
                <w:color w:val="000000"/>
                <w:kern w:val="0"/>
              </w:rPr>
            </w:pPr>
            <w:r>
              <w:rPr>
                <w:rFonts w:eastAsia="等线"/>
                <w:color w:val="000000"/>
                <w:kern w:val="0"/>
              </w:rPr>
              <w:t>3</w:t>
            </w:r>
          </w:p>
        </w:tc>
        <w:tc>
          <w:tcPr>
            <w:tcW w:w="5964" w:type="dxa"/>
            <w:tcBorders>
              <w:top w:val="nil"/>
              <w:left w:val="nil"/>
              <w:bottom w:val="single" w:color="auto" w:sz="4" w:space="0"/>
              <w:right w:val="single" w:color="auto" w:sz="4" w:space="0"/>
            </w:tcBorders>
            <w:shd w:val="clear" w:color="000000" w:fill="FFFFFF"/>
            <w:vAlign w:val="center"/>
          </w:tcPr>
          <w:p>
            <w:pPr>
              <w:widowControl/>
              <w:rPr>
                <w:b/>
                <w:bCs/>
                <w:color w:val="000000"/>
                <w:kern w:val="0"/>
                <w:szCs w:val="21"/>
              </w:rPr>
            </w:pPr>
            <w:r>
              <w:rPr>
                <w:b/>
                <w:bCs/>
                <w:color w:val="000000"/>
                <w:kern w:val="0"/>
                <w:szCs w:val="21"/>
              </w:rPr>
              <w:t>数据资源层建设</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rFonts w:eastAsia="等线"/>
                <w:b/>
                <w:bCs/>
                <w:color w:val="000000"/>
                <w:kern w:val="0"/>
              </w:rPr>
            </w:pPr>
            <w:r>
              <w:rPr>
                <w:rFonts w:eastAsia="等线"/>
                <w:b/>
                <w:bCs/>
                <w:color w:val="000000"/>
                <w:kern w:val="0"/>
              </w:rPr>
              <w:t>4</w:t>
            </w:r>
          </w:p>
        </w:tc>
        <w:tc>
          <w:tcPr>
            <w:tcW w:w="5964" w:type="dxa"/>
            <w:tcBorders>
              <w:top w:val="nil"/>
              <w:left w:val="nil"/>
              <w:bottom w:val="single" w:color="auto" w:sz="4" w:space="0"/>
              <w:right w:val="single" w:color="auto" w:sz="4" w:space="0"/>
            </w:tcBorders>
            <w:shd w:val="clear" w:color="000000" w:fill="FFFFFF"/>
            <w:vAlign w:val="center"/>
          </w:tcPr>
          <w:p>
            <w:pPr>
              <w:widowControl/>
              <w:rPr>
                <w:b/>
                <w:bCs/>
                <w:color w:val="000000"/>
                <w:kern w:val="0"/>
                <w:szCs w:val="21"/>
              </w:rPr>
            </w:pPr>
            <w:r>
              <w:rPr>
                <w:b/>
                <w:bCs/>
                <w:color w:val="000000"/>
                <w:kern w:val="0"/>
                <w:szCs w:val="21"/>
              </w:rPr>
              <w:t>购买软件费</w:t>
            </w:r>
          </w:p>
        </w:tc>
        <w:tc>
          <w:tcPr>
            <w:tcW w:w="1411" w:type="dxa"/>
            <w:tcBorders>
              <w:top w:val="nil"/>
              <w:left w:val="nil"/>
              <w:bottom w:val="single" w:color="auto" w:sz="4" w:space="0"/>
              <w:right w:val="single" w:color="auto" w:sz="4" w:space="0"/>
            </w:tcBorders>
            <w:shd w:val="clear" w:color="000000" w:fill="FFFFFF"/>
            <w:vAlign w:val="center"/>
          </w:tcPr>
          <w:p>
            <w:pPr>
              <w:widowControl/>
              <w:rPr>
                <w:b/>
                <w:bCs/>
                <w:color w:val="000000"/>
                <w:kern w:val="0"/>
                <w:szCs w:val="21"/>
              </w:rPr>
            </w:pPr>
            <w:r>
              <w:rPr>
                <w:b/>
                <w:bCs/>
                <w:color w:val="000000"/>
                <w:kern w:val="0"/>
                <w:szCs w:val="21"/>
              </w:rPr>
              <w:t>　</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4.1</w:t>
            </w:r>
          </w:p>
        </w:tc>
        <w:tc>
          <w:tcPr>
            <w:tcW w:w="5964"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国产化数据库软件</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3套</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4.2</w:t>
            </w:r>
          </w:p>
        </w:tc>
        <w:tc>
          <w:tcPr>
            <w:tcW w:w="5964"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操作系统</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6套</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4.3</w:t>
            </w:r>
          </w:p>
        </w:tc>
        <w:tc>
          <w:tcPr>
            <w:tcW w:w="5964"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中间件</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3套</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二</w:t>
            </w:r>
          </w:p>
        </w:tc>
        <w:tc>
          <w:tcPr>
            <w:tcW w:w="5964"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其他</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rFonts w:eastAsia="等线"/>
                <w:color w:val="000000"/>
                <w:kern w:val="0"/>
              </w:rPr>
            </w:pPr>
            <w:r>
              <w:rPr>
                <w:rFonts w:hint="eastAsia" w:eastAsia="等线"/>
                <w:color w:val="000000"/>
                <w:kern w:val="0"/>
              </w:rPr>
              <w:t>1</w:t>
            </w:r>
          </w:p>
        </w:tc>
        <w:tc>
          <w:tcPr>
            <w:tcW w:w="5964"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安全等保测评</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6" w:hRule="atLeast"/>
        </w:trPr>
        <w:tc>
          <w:tcPr>
            <w:tcW w:w="1383" w:type="dxa"/>
            <w:tcBorders>
              <w:top w:val="nil"/>
              <w:left w:val="single" w:color="auto" w:sz="4" w:space="0"/>
              <w:bottom w:val="single" w:color="auto" w:sz="4" w:space="0"/>
              <w:right w:val="single" w:color="auto" w:sz="4" w:space="0"/>
            </w:tcBorders>
            <w:shd w:val="clear" w:color="000000" w:fill="FFFFFF"/>
            <w:vAlign w:val="center"/>
          </w:tcPr>
          <w:p>
            <w:pPr>
              <w:widowControl/>
              <w:rPr>
                <w:rFonts w:eastAsia="等线"/>
                <w:color w:val="000000"/>
                <w:kern w:val="0"/>
              </w:rPr>
            </w:pPr>
            <w:r>
              <w:rPr>
                <w:rFonts w:hint="eastAsia" w:eastAsia="等线"/>
                <w:color w:val="000000"/>
                <w:kern w:val="0"/>
              </w:rPr>
              <w:t>2</w:t>
            </w:r>
          </w:p>
        </w:tc>
        <w:tc>
          <w:tcPr>
            <w:tcW w:w="5964"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软件测评</w:t>
            </w:r>
          </w:p>
        </w:tc>
        <w:tc>
          <w:tcPr>
            <w:tcW w:w="1411" w:type="dxa"/>
            <w:tcBorders>
              <w:top w:val="nil"/>
              <w:left w:val="nil"/>
              <w:bottom w:val="single" w:color="auto" w:sz="4" w:space="0"/>
              <w:right w:val="single" w:color="auto" w:sz="4" w:space="0"/>
            </w:tcBorders>
            <w:shd w:val="clear" w:color="000000" w:fill="FFFFFF"/>
            <w:vAlign w:val="center"/>
          </w:tcPr>
          <w:p>
            <w:pPr>
              <w:widowControl/>
              <w:rPr>
                <w:color w:val="000000"/>
                <w:kern w:val="0"/>
                <w:szCs w:val="21"/>
              </w:rPr>
            </w:pPr>
            <w:r>
              <w:rPr>
                <w:color w:val="000000"/>
                <w:kern w:val="0"/>
                <w:szCs w:val="21"/>
              </w:rPr>
              <w:t>　</w:t>
            </w:r>
          </w:p>
        </w:tc>
      </w:tr>
    </w:tbl>
    <w:p>
      <w:pPr>
        <w:spacing w:line="360" w:lineRule="auto"/>
      </w:pPr>
      <w:r>
        <w:rPr>
          <w:rFonts w:hint="eastAsia"/>
        </w:rPr>
        <w:t>其中软件开发分项内容清单如下：</w:t>
      </w:r>
    </w:p>
    <w:tbl>
      <w:tblPr>
        <w:tblStyle w:val="45"/>
        <w:tblW w:w="48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362"/>
        <w:gridCol w:w="1716"/>
        <w:gridCol w:w="3511"/>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519" w:type="pct"/>
            <w:shd w:val="clear" w:color="000000" w:fill="FFFFFF"/>
            <w:vAlign w:val="center"/>
          </w:tcPr>
          <w:p>
            <w:pPr>
              <w:widowControl/>
              <w:jc w:val="center"/>
              <w:rPr>
                <w:b/>
                <w:bCs/>
                <w:color w:val="000000"/>
                <w:kern w:val="0"/>
              </w:rPr>
            </w:pPr>
            <w:r>
              <w:rPr>
                <w:b/>
                <w:bCs/>
                <w:color w:val="000000"/>
                <w:kern w:val="0"/>
              </w:rPr>
              <w:t>序号</w:t>
            </w:r>
          </w:p>
        </w:tc>
        <w:tc>
          <w:tcPr>
            <w:tcW w:w="3710" w:type="pct"/>
            <w:gridSpan w:val="3"/>
            <w:shd w:val="clear" w:color="000000" w:fill="FFFFFF"/>
            <w:vAlign w:val="center"/>
          </w:tcPr>
          <w:p>
            <w:pPr>
              <w:widowControl/>
              <w:jc w:val="center"/>
              <w:rPr>
                <w:b/>
                <w:bCs/>
                <w:color w:val="000000"/>
                <w:kern w:val="0"/>
              </w:rPr>
            </w:pPr>
            <w:r>
              <w:rPr>
                <w:b/>
                <w:bCs/>
                <w:color w:val="000000"/>
                <w:kern w:val="0"/>
              </w:rPr>
              <w:t>建设内容</w:t>
            </w:r>
          </w:p>
        </w:tc>
        <w:tc>
          <w:tcPr>
            <w:tcW w:w="770" w:type="pct"/>
            <w:shd w:val="clear" w:color="000000" w:fill="FFFFFF"/>
            <w:vAlign w:val="center"/>
          </w:tcPr>
          <w:p>
            <w:pPr>
              <w:widowControl/>
              <w:jc w:val="center"/>
              <w:rPr>
                <w:b/>
                <w:bCs/>
                <w:color w:val="000000"/>
                <w:kern w:val="0"/>
              </w:rPr>
            </w:pPr>
            <w:r>
              <w:rPr>
                <w:b/>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b/>
                <w:bCs/>
                <w:color w:val="000000"/>
                <w:kern w:val="0"/>
              </w:rPr>
            </w:pPr>
            <w:r>
              <w:rPr>
                <w:b/>
                <w:bCs/>
                <w:color w:val="000000"/>
                <w:kern w:val="0"/>
              </w:rPr>
              <w:t>一</w:t>
            </w:r>
          </w:p>
        </w:tc>
        <w:tc>
          <w:tcPr>
            <w:tcW w:w="3710" w:type="pct"/>
            <w:gridSpan w:val="3"/>
            <w:shd w:val="clear" w:color="000000" w:fill="FFFFFF"/>
            <w:vAlign w:val="center"/>
          </w:tcPr>
          <w:p>
            <w:pPr>
              <w:widowControl/>
              <w:jc w:val="center"/>
              <w:rPr>
                <w:b/>
                <w:bCs/>
                <w:color w:val="000000"/>
                <w:kern w:val="0"/>
              </w:rPr>
            </w:pPr>
            <w:r>
              <w:rPr>
                <w:b/>
                <w:bCs/>
                <w:color w:val="000000"/>
                <w:kern w:val="0"/>
              </w:rPr>
              <w:t>应用系统开发</w:t>
            </w:r>
          </w:p>
        </w:tc>
        <w:tc>
          <w:tcPr>
            <w:tcW w:w="770" w:type="pct"/>
            <w:shd w:val="clear" w:color="000000" w:fill="FFFFFF"/>
            <w:vAlign w:val="center"/>
          </w:tcPr>
          <w:p>
            <w:pPr>
              <w:widowControl/>
              <w:jc w:val="center"/>
              <w:rPr>
                <w:b/>
                <w:bCs/>
                <w:color w:val="000000"/>
                <w:kern w:val="0"/>
              </w:rPr>
            </w:pPr>
            <w:r>
              <w:rPr>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1</w:t>
            </w:r>
          </w:p>
        </w:tc>
        <w:tc>
          <w:tcPr>
            <w:tcW w:w="767" w:type="pct"/>
            <w:vMerge w:val="restart"/>
            <w:shd w:val="clear" w:color="auto" w:fill="auto"/>
            <w:vAlign w:val="center"/>
          </w:tcPr>
          <w:p>
            <w:pPr>
              <w:widowControl/>
              <w:jc w:val="center"/>
              <w:rPr>
                <w:color w:val="000000"/>
                <w:kern w:val="0"/>
              </w:rPr>
            </w:pPr>
            <w:r>
              <w:rPr>
                <w:color w:val="000000"/>
                <w:kern w:val="0"/>
              </w:rPr>
              <w:t>污染源监管数字孪生地图</w:t>
            </w:r>
          </w:p>
        </w:tc>
        <w:tc>
          <w:tcPr>
            <w:tcW w:w="966" w:type="pct"/>
            <w:vMerge w:val="restart"/>
            <w:shd w:val="clear" w:color="auto" w:fill="auto"/>
            <w:vAlign w:val="center"/>
          </w:tcPr>
          <w:p>
            <w:pPr>
              <w:widowControl/>
              <w:jc w:val="center"/>
              <w:rPr>
                <w:color w:val="000000"/>
                <w:kern w:val="0"/>
              </w:rPr>
            </w:pPr>
            <w:r>
              <w:rPr>
                <w:color w:val="000000"/>
                <w:kern w:val="0"/>
              </w:rPr>
              <w:t>数据管理</w:t>
            </w:r>
          </w:p>
        </w:tc>
        <w:tc>
          <w:tcPr>
            <w:tcW w:w="1976" w:type="pct"/>
            <w:shd w:val="clear" w:color="auto" w:fill="auto"/>
            <w:vAlign w:val="center"/>
          </w:tcPr>
          <w:p>
            <w:pPr>
              <w:widowControl/>
              <w:rPr>
                <w:color w:val="000000"/>
                <w:kern w:val="0"/>
              </w:rPr>
            </w:pPr>
            <w:r>
              <w:rPr>
                <w:color w:val="000000"/>
                <w:kern w:val="0"/>
              </w:rPr>
              <w:t>数据手工录入</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2</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auto" w:fill="auto"/>
            <w:vAlign w:val="center"/>
          </w:tcPr>
          <w:p>
            <w:pPr>
              <w:widowControl/>
              <w:rPr>
                <w:color w:val="000000"/>
                <w:kern w:val="0"/>
              </w:rPr>
            </w:pPr>
            <w:r>
              <w:rPr>
                <w:color w:val="000000"/>
                <w:kern w:val="0"/>
              </w:rPr>
              <w:t>数据导入导出</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3</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auto" w:fill="auto"/>
            <w:vAlign w:val="center"/>
          </w:tcPr>
          <w:p>
            <w:pPr>
              <w:widowControl/>
              <w:rPr>
                <w:color w:val="000000"/>
                <w:kern w:val="0"/>
              </w:rPr>
            </w:pPr>
            <w:r>
              <w:rPr>
                <w:color w:val="000000"/>
                <w:kern w:val="0"/>
              </w:rPr>
              <w:t>数据清洗</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4</w:t>
            </w:r>
          </w:p>
        </w:tc>
        <w:tc>
          <w:tcPr>
            <w:tcW w:w="767" w:type="pct"/>
            <w:vMerge w:val="continue"/>
            <w:vAlign w:val="center"/>
          </w:tcPr>
          <w:p>
            <w:pPr>
              <w:widowControl/>
              <w:jc w:val="left"/>
              <w:rPr>
                <w:color w:val="000000"/>
                <w:kern w:val="0"/>
              </w:rPr>
            </w:pPr>
          </w:p>
        </w:tc>
        <w:tc>
          <w:tcPr>
            <w:tcW w:w="966" w:type="pct"/>
            <w:vMerge w:val="restart"/>
            <w:shd w:val="clear" w:color="auto" w:fill="auto"/>
            <w:vAlign w:val="center"/>
          </w:tcPr>
          <w:p>
            <w:pPr>
              <w:widowControl/>
              <w:jc w:val="center"/>
              <w:rPr>
                <w:color w:val="000000"/>
                <w:kern w:val="0"/>
              </w:rPr>
            </w:pPr>
            <w:r>
              <w:rPr>
                <w:color w:val="000000"/>
                <w:kern w:val="0"/>
              </w:rPr>
              <w:t>信息展示</w:t>
            </w:r>
          </w:p>
        </w:tc>
        <w:tc>
          <w:tcPr>
            <w:tcW w:w="1976" w:type="pct"/>
            <w:shd w:val="clear" w:color="auto" w:fill="auto"/>
            <w:vAlign w:val="center"/>
          </w:tcPr>
          <w:p>
            <w:pPr>
              <w:widowControl/>
              <w:jc w:val="left"/>
              <w:rPr>
                <w:color w:val="000000"/>
                <w:kern w:val="0"/>
              </w:rPr>
            </w:pPr>
            <w:r>
              <w:rPr>
                <w:color w:val="000000"/>
                <w:kern w:val="0"/>
              </w:rPr>
              <w:t>三维地图预览</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5</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auto" w:fill="auto"/>
            <w:vAlign w:val="center"/>
          </w:tcPr>
          <w:p>
            <w:pPr>
              <w:widowControl/>
              <w:jc w:val="left"/>
              <w:rPr>
                <w:color w:val="000000"/>
                <w:kern w:val="0"/>
              </w:rPr>
            </w:pPr>
            <w:r>
              <w:rPr>
                <w:rFonts w:hint="eastAsia"/>
                <w:color w:val="000000"/>
                <w:kern w:val="0"/>
              </w:rPr>
              <w:t>排放源</w:t>
            </w:r>
            <w:r>
              <w:rPr>
                <w:color w:val="000000"/>
                <w:kern w:val="0"/>
              </w:rPr>
              <w:t>信息</w:t>
            </w:r>
            <w:r>
              <w:rPr>
                <w:rFonts w:hint="eastAsia"/>
                <w:color w:val="000000"/>
                <w:kern w:val="0"/>
              </w:rPr>
              <w:t>、监测数据</w:t>
            </w:r>
            <w:r>
              <w:rPr>
                <w:color w:val="000000"/>
                <w:kern w:val="0"/>
              </w:rPr>
              <w:t>展示</w:t>
            </w:r>
          </w:p>
        </w:tc>
        <w:tc>
          <w:tcPr>
            <w:tcW w:w="770" w:type="pct"/>
            <w:shd w:val="clear" w:color="000000" w:fill="FFFFFF"/>
            <w:vAlign w:val="center"/>
          </w:tcPr>
          <w:p>
            <w:pPr>
              <w:widowControl/>
              <w:jc w:val="center"/>
              <w:rPr>
                <w:color w:val="FF0000"/>
                <w:kern w:val="0"/>
              </w:rPr>
            </w:pPr>
            <w:r>
              <w:rPr>
                <w:color w:val="FF0000"/>
                <w:kern w:val="0"/>
              </w:rPr>
              <w:t>　</w:t>
            </w:r>
          </w:p>
          <w:p>
            <w:pPr>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6</w:t>
            </w:r>
          </w:p>
        </w:tc>
        <w:tc>
          <w:tcPr>
            <w:tcW w:w="767" w:type="pct"/>
            <w:vMerge w:val="continue"/>
            <w:vAlign w:val="center"/>
          </w:tcPr>
          <w:p>
            <w:pPr>
              <w:widowControl/>
              <w:jc w:val="left"/>
              <w:rPr>
                <w:color w:val="000000"/>
                <w:kern w:val="0"/>
              </w:rPr>
            </w:pPr>
          </w:p>
        </w:tc>
        <w:tc>
          <w:tcPr>
            <w:tcW w:w="966" w:type="pct"/>
            <w:vMerge w:val="restart"/>
            <w:shd w:val="clear" w:color="auto" w:fill="auto"/>
            <w:vAlign w:val="center"/>
          </w:tcPr>
          <w:p>
            <w:pPr>
              <w:widowControl/>
              <w:jc w:val="center"/>
              <w:rPr>
                <w:color w:val="000000"/>
                <w:kern w:val="0"/>
              </w:rPr>
            </w:pPr>
            <w:r>
              <w:rPr>
                <w:color w:val="000000"/>
                <w:kern w:val="0"/>
              </w:rPr>
              <w:t>企业一源一档信息</w:t>
            </w:r>
          </w:p>
        </w:tc>
        <w:tc>
          <w:tcPr>
            <w:tcW w:w="1976" w:type="pct"/>
            <w:shd w:val="clear" w:color="auto" w:fill="auto"/>
            <w:vAlign w:val="center"/>
          </w:tcPr>
          <w:p>
            <w:pPr>
              <w:widowControl/>
              <w:jc w:val="left"/>
              <w:rPr>
                <w:color w:val="000000"/>
                <w:kern w:val="0"/>
              </w:rPr>
            </w:pPr>
            <w:r>
              <w:rPr>
                <w:color w:val="000000"/>
                <w:kern w:val="0"/>
              </w:rPr>
              <w:t>企业标签化展示</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7</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auto" w:fill="auto"/>
            <w:vAlign w:val="center"/>
          </w:tcPr>
          <w:p>
            <w:pPr>
              <w:widowControl/>
              <w:jc w:val="left"/>
              <w:rPr>
                <w:color w:val="000000"/>
                <w:kern w:val="0"/>
              </w:rPr>
            </w:pPr>
            <w:r>
              <w:rPr>
                <w:color w:val="000000"/>
                <w:kern w:val="0"/>
              </w:rPr>
              <w:t>企业减排措施信息管理</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8</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auto" w:fill="auto"/>
            <w:vAlign w:val="center"/>
          </w:tcPr>
          <w:p>
            <w:pPr>
              <w:widowControl/>
              <w:jc w:val="left"/>
              <w:rPr>
                <w:color w:val="000000"/>
                <w:kern w:val="0"/>
              </w:rPr>
            </w:pPr>
            <w:r>
              <w:rPr>
                <w:color w:val="000000"/>
                <w:kern w:val="0"/>
              </w:rPr>
              <w:t>异味企业排污信息数据管理</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9</w:t>
            </w:r>
          </w:p>
        </w:tc>
        <w:tc>
          <w:tcPr>
            <w:tcW w:w="767" w:type="pct"/>
            <w:vMerge w:val="continue"/>
            <w:vAlign w:val="center"/>
          </w:tcPr>
          <w:p>
            <w:pPr>
              <w:widowControl/>
              <w:jc w:val="left"/>
              <w:rPr>
                <w:color w:val="000000"/>
                <w:kern w:val="0"/>
              </w:rPr>
            </w:pPr>
          </w:p>
        </w:tc>
        <w:tc>
          <w:tcPr>
            <w:tcW w:w="966" w:type="pct"/>
            <w:vMerge w:val="restart"/>
            <w:shd w:val="clear" w:color="auto" w:fill="auto"/>
            <w:vAlign w:val="center"/>
          </w:tcPr>
          <w:p>
            <w:pPr>
              <w:widowControl/>
              <w:jc w:val="center"/>
              <w:rPr>
                <w:color w:val="000000"/>
                <w:kern w:val="0"/>
              </w:rPr>
            </w:pPr>
            <w:r>
              <w:rPr>
                <w:color w:val="000000"/>
                <w:kern w:val="0"/>
              </w:rPr>
              <w:t>报警预警</w:t>
            </w:r>
          </w:p>
        </w:tc>
        <w:tc>
          <w:tcPr>
            <w:tcW w:w="1976" w:type="pct"/>
            <w:shd w:val="clear" w:color="auto" w:fill="auto"/>
            <w:vAlign w:val="center"/>
          </w:tcPr>
          <w:p>
            <w:pPr>
              <w:widowControl/>
              <w:jc w:val="left"/>
              <w:rPr>
                <w:color w:val="000000"/>
                <w:kern w:val="0"/>
              </w:rPr>
            </w:pPr>
            <w:r>
              <w:rPr>
                <w:color w:val="000000"/>
                <w:kern w:val="0"/>
              </w:rPr>
              <w:t>阈值设定</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10</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auto" w:fill="auto"/>
            <w:vAlign w:val="center"/>
          </w:tcPr>
          <w:p>
            <w:pPr>
              <w:widowControl/>
              <w:jc w:val="left"/>
              <w:rPr>
                <w:color w:val="000000"/>
                <w:kern w:val="0"/>
              </w:rPr>
            </w:pPr>
            <w:r>
              <w:rPr>
                <w:color w:val="000000"/>
                <w:kern w:val="0"/>
              </w:rPr>
              <w:t>预警推送</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11</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auto" w:fill="auto"/>
            <w:vAlign w:val="center"/>
          </w:tcPr>
          <w:p>
            <w:pPr>
              <w:widowControl/>
              <w:jc w:val="left"/>
              <w:rPr>
                <w:color w:val="000000"/>
                <w:kern w:val="0"/>
              </w:rPr>
            </w:pPr>
            <w:r>
              <w:rPr>
                <w:color w:val="000000"/>
                <w:kern w:val="0"/>
              </w:rPr>
              <w:t>信息查询</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12</w:t>
            </w:r>
          </w:p>
        </w:tc>
        <w:tc>
          <w:tcPr>
            <w:tcW w:w="767" w:type="pct"/>
            <w:vMerge w:val="continue"/>
            <w:vAlign w:val="center"/>
          </w:tcPr>
          <w:p>
            <w:pPr>
              <w:widowControl/>
              <w:jc w:val="left"/>
              <w:rPr>
                <w:color w:val="000000"/>
                <w:kern w:val="0"/>
              </w:rPr>
            </w:pPr>
          </w:p>
        </w:tc>
        <w:tc>
          <w:tcPr>
            <w:tcW w:w="966" w:type="pct"/>
            <w:vMerge w:val="restart"/>
            <w:shd w:val="clear" w:color="auto" w:fill="auto"/>
            <w:vAlign w:val="center"/>
          </w:tcPr>
          <w:p>
            <w:pPr>
              <w:widowControl/>
              <w:jc w:val="center"/>
              <w:rPr>
                <w:color w:val="000000"/>
                <w:kern w:val="0"/>
              </w:rPr>
            </w:pPr>
            <w:r>
              <w:rPr>
                <w:color w:val="000000"/>
                <w:kern w:val="0"/>
              </w:rPr>
              <w:t>数据统计分析</w:t>
            </w:r>
          </w:p>
        </w:tc>
        <w:tc>
          <w:tcPr>
            <w:tcW w:w="1976" w:type="pct"/>
            <w:shd w:val="clear" w:color="auto" w:fill="auto"/>
            <w:vAlign w:val="center"/>
          </w:tcPr>
          <w:p>
            <w:pPr>
              <w:widowControl/>
              <w:jc w:val="left"/>
              <w:rPr>
                <w:color w:val="000000"/>
                <w:kern w:val="0"/>
              </w:rPr>
            </w:pPr>
            <w:r>
              <w:rPr>
                <w:color w:val="000000"/>
                <w:kern w:val="0"/>
              </w:rPr>
              <w:t>数据统计</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13</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auto" w:fill="auto"/>
            <w:vAlign w:val="center"/>
          </w:tcPr>
          <w:p>
            <w:pPr>
              <w:widowControl/>
              <w:jc w:val="left"/>
              <w:rPr>
                <w:color w:val="000000"/>
                <w:kern w:val="0"/>
              </w:rPr>
            </w:pPr>
            <w:r>
              <w:rPr>
                <w:color w:val="000000"/>
                <w:kern w:val="0"/>
              </w:rPr>
              <w:t>数据趋势分析</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14</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auto" w:fill="auto"/>
            <w:vAlign w:val="center"/>
          </w:tcPr>
          <w:p>
            <w:pPr>
              <w:widowControl/>
              <w:jc w:val="left"/>
              <w:rPr>
                <w:color w:val="000000"/>
                <w:kern w:val="0"/>
              </w:rPr>
            </w:pPr>
            <w:r>
              <w:rPr>
                <w:color w:val="000000"/>
                <w:kern w:val="0"/>
              </w:rPr>
              <w:t>数据导出与共享</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15</w:t>
            </w:r>
          </w:p>
        </w:tc>
        <w:tc>
          <w:tcPr>
            <w:tcW w:w="767" w:type="pct"/>
            <w:vMerge w:val="continue"/>
            <w:vAlign w:val="center"/>
          </w:tcPr>
          <w:p>
            <w:pPr>
              <w:widowControl/>
              <w:jc w:val="left"/>
              <w:rPr>
                <w:color w:val="000000"/>
                <w:kern w:val="0"/>
              </w:rPr>
            </w:pPr>
          </w:p>
        </w:tc>
        <w:tc>
          <w:tcPr>
            <w:tcW w:w="2943" w:type="pct"/>
            <w:gridSpan w:val="2"/>
            <w:shd w:val="clear" w:color="auto" w:fill="auto"/>
            <w:vAlign w:val="center"/>
          </w:tcPr>
          <w:p>
            <w:pPr>
              <w:widowControl/>
              <w:jc w:val="center"/>
              <w:rPr>
                <w:color w:val="000000"/>
                <w:kern w:val="0"/>
              </w:rPr>
            </w:pPr>
            <w:r>
              <w:rPr>
                <w:color w:val="000000"/>
                <w:kern w:val="0"/>
              </w:rPr>
              <w:t>数据对接</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16</w:t>
            </w:r>
          </w:p>
        </w:tc>
        <w:tc>
          <w:tcPr>
            <w:tcW w:w="767" w:type="pct"/>
            <w:vMerge w:val="restart"/>
            <w:shd w:val="clear" w:color="auto" w:fill="auto"/>
            <w:vAlign w:val="center"/>
          </w:tcPr>
          <w:p>
            <w:pPr>
              <w:widowControl/>
              <w:jc w:val="center"/>
              <w:rPr>
                <w:color w:val="000000"/>
                <w:kern w:val="0"/>
              </w:rPr>
            </w:pPr>
            <w:r>
              <w:rPr>
                <w:color w:val="000000"/>
                <w:kern w:val="0"/>
              </w:rPr>
              <w:t>LDAR监测数据实时审核</w:t>
            </w:r>
          </w:p>
        </w:tc>
        <w:tc>
          <w:tcPr>
            <w:tcW w:w="2943" w:type="pct"/>
            <w:gridSpan w:val="2"/>
            <w:shd w:val="clear" w:color="auto" w:fill="auto"/>
            <w:vAlign w:val="center"/>
          </w:tcPr>
          <w:p>
            <w:pPr>
              <w:widowControl/>
              <w:jc w:val="center"/>
              <w:rPr>
                <w:color w:val="000000"/>
                <w:kern w:val="0"/>
              </w:rPr>
            </w:pPr>
            <w:r>
              <w:rPr>
                <w:color w:val="000000"/>
                <w:kern w:val="0"/>
              </w:rPr>
              <w:t>实时视频</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17</w:t>
            </w:r>
          </w:p>
        </w:tc>
        <w:tc>
          <w:tcPr>
            <w:tcW w:w="767" w:type="pct"/>
            <w:vMerge w:val="continue"/>
            <w:vAlign w:val="center"/>
          </w:tcPr>
          <w:p>
            <w:pPr>
              <w:widowControl/>
              <w:jc w:val="left"/>
              <w:rPr>
                <w:color w:val="000000"/>
                <w:kern w:val="0"/>
              </w:rPr>
            </w:pPr>
          </w:p>
        </w:tc>
        <w:tc>
          <w:tcPr>
            <w:tcW w:w="2943" w:type="pct"/>
            <w:gridSpan w:val="2"/>
            <w:shd w:val="clear" w:color="auto" w:fill="auto"/>
            <w:vAlign w:val="center"/>
          </w:tcPr>
          <w:p>
            <w:pPr>
              <w:widowControl/>
              <w:jc w:val="center"/>
              <w:rPr>
                <w:color w:val="000000"/>
                <w:kern w:val="0"/>
              </w:rPr>
            </w:pPr>
            <w:r>
              <w:rPr>
                <w:color w:val="000000"/>
                <w:kern w:val="0"/>
              </w:rPr>
              <w:t>报警及处理</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18</w:t>
            </w:r>
          </w:p>
        </w:tc>
        <w:tc>
          <w:tcPr>
            <w:tcW w:w="767" w:type="pct"/>
            <w:vMerge w:val="continue"/>
            <w:vAlign w:val="center"/>
          </w:tcPr>
          <w:p>
            <w:pPr>
              <w:widowControl/>
              <w:jc w:val="left"/>
              <w:rPr>
                <w:color w:val="000000"/>
                <w:kern w:val="0"/>
              </w:rPr>
            </w:pPr>
          </w:p>
        </w:tc>
        <w:tc>
          <w:tcPr>
            <w:tcW w:w="2943" w:type="pct"/>
            <w:gridSpan w:val="2"/>
            <w:shd w:val="clear" w:color="auto" w:fill="auto"/>
            <w:vAlign w:val="center"/>
          </w:tcPr>
          <w:p>
            <w:pPr>
              <w:widowControl/>
              <w:jc w:val="center"/>
              <w:rPr>
                <w:color w:val="000000"/>
                <w:kern w:val="0"/>
              </w:rPr>
            </w:pPr>
            <w:r>
              <w:rPr>
                <w:color w:val="000000"/>
                <w:kern w:val="0"/>
              </w:rPr>
              <w:t>人工审核</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19</w:t>
            </w:r>
          </w:p>
        </w:tc>
        <w:tc>
          <w:tcPr>
            <w:tcW w:w="767" w:type="pct"/>
            <w:vMerge w:val="continue"/>
            <w:vAlign w:val="center"/>
          </w:tcPr>
          <w:p>
            <w:pPr>
              <w:widowControl/>
              <w:jc w:val="left"/>
              <w:rPr>
                <w:color w:val="000000"/>
                <w:kern w:val="0"/>
              </w:rPr>
            </w:pPr>
          </w:p>
        </w:tc>
        <w:tc>
          <w:tcPr>
            <w:tcW w:w="2943" w:type="pct"/>
            <w:gridSpan w:val="2"/>
            <w:shd w:val="clear" w:color="auto" w:fill="auto"/>
            <w:vAlign w:val="center"/>
          </w:tcPr>
          <w:p>
            <w:pPr>
              <w:widowControl/>
              <w:jc w:val="center"/>
              <w:rPr>
                <w:color w:val="000000"/>
                <w:kern w:val="0"/>
              </w:rPr>
            </w:pPr>
            <w:r>
              <w:rPr>
                <w:color w:val="000000"/>
                <w:kern w:val="0"/>
              </w:rPr>
              <w:t>异常数据审核</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20</w:t>
            </w:r>
          </w:p>
        </w:tc>
        <w:tc>
          <w:tcPr>
            <w:tcW w:w="767" w:type="pct"/>
            <w:vMerge w:val="continue"/>
            <w:vAlign w:val="center"/>
          </w:tcPr>
          <w:p>
            <w:pPr>
              <w:widowControl/>
              <w:jc w:val="left"/>
              <w:rPr>
                <w:color w:val="000000"/>
                <w:kern w:val="0"/>
              </w:rPr>
            </w:pPr>
          </w:p>
        </w:tc>
        <w:tc>
          <w:tcPr>
            <w:tcW w:w="2943" w:type="pct"/>
            <w:gridSpan w:val="2"/>
            <w:shd w:val="clear" w:color="auto" w:fill="auto"/>
            <w:vAlign w:val="center"/>
          </w:tcPr>
          <w:p>
            <w:pPr>
              <w:widowControl/>
              <w:jc w:val="center"/>
              <w:rPr>
                <w:color w:val="000000"/>
                <w:kern w:val="0"/>
              </w:rPr>
            </w:pPr>
            <w:r>
              <w:rPr>
                <w:color w:val="000000"/>
                <w:kern w:val="0"/>
              </w:rPr>
              <w:t>抽测管理</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21</w:t>
            </w:r>
          </w:p>
        </w:tc>
        <w:tc>
          <w:tcPr>
            <w:tcW w:w="767" w:type="pct"/>
            <w:vMerge w:val="continue"/>
            <w:vAlign w:val="center"/>
          </w:tcPr>
          <w:p>
            <w:pPr>
              <w:widowControl/>
              <w:jc w:val="left"/>
              <w:rPr>
                <w:color w:val="000000"/>
                <w:kern w:val="0"/>
              </w:rPr>
            </w:pPr>
          </w:p>
        </w:tc>
        <w:tc>
          <w:tcPr>
            <w:tcW w:w="2943" w:type="pct"/>
            <w:gridSpan w:val="2"/>
            <w:shd w:val="clear" w:color="auto" w:fill="auto"/>
            <w:vAlign w:val="center"/>
          </w:tcPr>
          <w:p>
            <w:pPr>
              <w:widowControl/>
              <w:jc w:val="center"/>
              <w:rPr>
                <w:color w:val="000000"/>
                <w:kern w:val="0"/>
              </w:rPr>
            </w:pPr>
            <w:r>
              <w:rPr>
                <w:color w:val="000000"/>
                <w:kern w:val="0"/>
              </w:rPr>
              <w:t>数据上传</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22</w:t>
            </w:r>
          </w:p>
        </w:tc>
        <w:tc>
          <w:tcPr>
            <w:tcW w:w="767" w:type="pct"/>
            <w:vMerge w:val="continue"/>
            <w:vAlign w:val="center"/>
          </w:tcPr>
          <w:p>
            <w:pPr>
              <w:widowControl/>
              <w:jc w:val="left"/>
              <w:rPr>
                <w:color w:val="000000"/>
                <w:kern w:val="0"/>
              </w:rPr>
            </w:pPr>
          </w:p>
        </w:tc>
        <w:tc>
          <w:tcPr>
            <w:tcW w:w="2943" w:type="pct"/>
            <w:gridSpan w:val="2"/>
            <w:shd w:val="clear" w:color="auto" w:fill="auto"/>
            <w:vAlign w:val="center"/>
          </w:tcPr>
          <w:p>
            <w:pPr>
              <w:widowControl/>
              <w:jc w:val="center"/>
              <w:rPr>
                <w:color w:val="000000"/>
                <w:kern w:val="0"/>
              </w:rPr>
            </w:pPr>
            <w:r>
              <w:rPr>
                <w:color w:val="000000"/>
                <w:kern w:val="0"/>
              </w:rPr>
              <w:t>审核报告</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23</w:t>
            </w:r>
          </w:p>
        </w:tc>
        <w:tc>
          <w:tcPr>
            <w:tcW w:w="767" w:type="pct"/>
            <w:vMerge w:val="continue"/>
            <w:vAlign w:val="center"/>
          </w:tcPr>
          <w:p>
            <w:pPr>
              <w:widowControl/>
              <w:jc w:val="left"/>
              <w:rPr>
                <w:color w:val="000000"/>
                <w:kern w:val="0"/>
              </w:rPr>
            </w:pPr>
          </w:p>
        </w:tc>
        <w:tc>
          <w:tcPr>
            <w:tcW w:w="2943" w:type="pct"/>
            <w:gridSpan w:val="2"/>
            <w:shd w:val="clear" w:color="auto" w:fill="auto"/>
            <w:vAlign w:val="center"/>
          </w:tcPr>
          <w:p>
            <w:pPr>
              <w:widowControl/>
              <w:jc w:val="center"/>
              <w:rPr>
                <w:color w:val="000000"/>
                <w:kern w:val="0"/>
              </w:rPr>
            </w:pPr>
            <w:r>
              <w:rPr>
                <w:color w:val="000000"/>
                <w:kern w:val="0"/>
              </w:rPr>
              <w:t>统计和分析</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24</w:t>
            </w:r>
          </w:p>
        </w:tc>
        <w:tc>
          <w:tcPr>
            <w:tcW w:w="767" w:type="pct"/>
            <w:vMerge w:val="continue"/>
            <w:vAlign w:val="center"/>
          </w:tcPr>
          <w:p>
            <w:pPr>
              <w:widowControl/>
              <w:jc w:val="left"/>
              <w:rPr>
                <w:color w:val="000000"/>
                <w:kern w:val="0"/>
              </w:rPr>
            </w:pPr>
          </w:p>
        </w:tc>
        <w:tc>
          <w:tcPr>
            <w:tcW w:w="2943" w:type="pct"/>
            <w:gridSpan w:val="2"/>
            <w:shd w:val="clear" w:color="auto" w:fill="auto"/>
            <w:vAlign w:val="center"/>
          </w:tcPr>
          <w:p>
            <w:pPr>
              <w:widowControl/>
              <w:jc w:val="center"/>
              <w:rPr>
                <w:color w:val="000000"/>
                <w:kern w:val="0"/>
              </w:rPr>
            </w:pPr>
            <w:r>
              <w:rPr>
                <w:color w:val="000000"/>
                <w:kern w:val="0"/>
              </w:rPr>
              <w:t>审核日志</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25</w:t>
            </w:r>
          </w:p>
        </w:tc>
        <w:tc>
          <w:tcPr>
            <w:tcW w:w="767" w:type="pct"/>
            <w:vMerge w:val="continue"/>
            <w:vAlign w:val="center"/>
          </w:tcPr>
          <w:p>
            <w:pPr>
              <w:widowControl/>
              <w:jc w:val="left"/>
              <w:rPr>
                <w:color w:val="000000"/>
                <w:kern w:val="0"/>
              </w:rPr>
            </w:pPr>
          </w:p>
        </w:tc>
        <w:tc>
          <w:tcPr>
            <w:tcW w:w="2943" w:type="pct"/>
            <w:gridSpan w:val="2"/>
            <w:shd w:val="clear" w:color="auto" w:fill="auto"/>
            <w:vAlign w:val="center"/>
          </w:tcPr>
          <w:p>
            <w:pPr>
              <w:widowControl/>
              <w:jc w:val="center"/>
              <w:rPr>
                <w:color w:val="000000"/>
                <w:kern w:val="0"/>
              </w:rPr>
            </w:pPr>
            <w:r>
              <w:rPr>
                <w:color w:val="000000"/>
                <w:kern w:val="0"/>
              </w:rPr>
              <w:t>第三方检测机构管理</w:t>
            </w:r>
          </w:p>
        </w:tc>
        <w:tc>
          <w:tcPr>
            <w:tcW w:w="770" w:type="pct"/>
            <w:shd w:val="clear" w:color="000000" w:fill="FFFFFF"/>
            <w:vAlign w:val="center"/>
          </w:tcPr>
          <w:p>
            <w:pPr>
              <w:widowControl/>
              <w:jc w:val="center"/>
              <w:rPr>
                <w:color w:val="FF0000"/>
                <w:kern w:val="0"/>
              </w:rPr>
            </w:pPr>
            <w:r>
              <w:rPr>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26</w:t>
            </w:r>
          </w:p>
        </w:tc>
        <w:tc>
          <w:tcPr>
            <w:tcW w:w="767" w:type="pct"/>
            <w:vMerge w:val="restart"/>
            <w:shd w:val="clear" w:color="000000" w:fill="FFFFFF"/>
            <w:vAlign w:val="center"/>
          </w:tcPr>
          <w:p>
            <w:pPr>
              <w:widowControl/>
              <w:jc w:val="center"/>
              <w:rPr>
                <w:color w:val="000000"/>
                <w:kern w:val="0"/>
              </w:rPr>
            </w:pPr>
            <w:r>
              <w:rPr>
                <w:color w:val="000000"/>
                <w:kern w:val="0"/>
              </w:rPr>
              <w:t>高值点溯源管控</w:t>
            </w:r>
          </w:p>
        </w:tc>
        <w:tc>
          <w:tcPr>
            <w:tcW w:w="966" w:type="pct"/>
            <w:vMerge w:val="restart"/>
            <w:shd w:val="clear" w:color="000000" w:fill="FFFFFF"/>
            <w:vAlign w:val="center"/>
          </w:tcPr>
          <w:p>
            <w:pPr>
              <w:widowControl/>
              <w:jc w:val="center"/>
              <w:rPr>
                <w:color w:val="000000"/>
                <w:kern w:val="0"/>
              </w:rPr>
            </w:pPr>
            <w:r>
              <w:rPr>
                <w:color w:val="000000"/>
                <w:kern w:val="0"/>
              </w:rPr>
              <w:t>场景首页大屏</w:t>
            </w:r>
          </w:p>
        </w:tc>
        <w:tc>
          <w:tcPr>
            <w:tcW w:w="1976" w:type="pct"/>
            <w:shd w:val="clear" w:color="000000" w:fill="FFFFFF"/>
            <w:vAlign w:val="center"/>
          </w:tcPr>
          <w:p>
            <w:pPr>
              <w:widowControl/>
              <w:jc w:val="center"/>
              <w:rPr>
                <w:color w:val="000000"/>
                <w:kern w:val="0"/>
              </w:rPr>
            </w:pPr>
            <w:r>
              <w:rPr>
                <w:color w:val="000000"/>
                <w:kern w:val="0"/>
              </w:rPr>
              <w:t>无异味超标状态</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27</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000000" w:fill="FFFFFF"/>
            <w:vAlign w:val="center"/>
          </w:tcPr>
          <w:p>
            <w:pPr>
              <w:widowControl/>
              <w:jc w:val="center"/>
              <w:rPr>
                <w:color w:val="000000"/>
                <w:kern w:val="0"/>
              </w:rPr>
            </w:pPr>
            <w:r>
              <w:rPr>
                <w:color w:val="000000"/>
                <w:kern w:val="0"/>
              </w:rPr>
              <w:t>异味超标溯源期间</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28</w:t>
            </w:r>
          </w:p>
        </w:tc>
        <w:tc>
          <w:tcPr>
            <w:tcW w:w="767" w:type="pct"/>
            <w:vMerge w:val="continue"/>
            <w:vAlign w:val="center"/>
          </w:tcPr>
          <w:p>
            <w:pPr>
              <w:widowControl/>
              <w:jc w:val="left"/>
              <w:rPr>
                <w:color w:val="000000"/>
                <w:kern w:val="0"/>
              </w:rPr>
            </w:pPr>
          </w:p>
        </w:tc>
        <w:tc>
          <w:tcPr>
            <w:tcW w:w="966" w:type="pct"/>
            <w:vMerge w:val="restart"/>
            <w:shd w:val="clear" w:color="000000" w:fill="FFFFFF"/>
            <w:vAlign w:val="center"/>
          </w:tcPr>
          <w:p>
            <w:pPr>
              <w:widowControl/>
              <w:jc w:val="center"/>
              <w:rPr>
                <w:color w:val="000000"/>
                <w:kern w:val="0"/>
              </w:rPr>
            </w:pPr>
            <w:r>
              <w:rPr>
                <w:color w:val="000000"/>
                <w:kern w:val="0"/>
              </w:rPr>
              <w:t>异味预警预报</w:t>
            </w:r>
          </w:p>
        </w:tc>
        <w:tc>
          <w:tcPr>
            <w:tcW w:w="1976" w:type="pct"/>
            <w:shd w:val="clear" w:color="000000" w:fill="FFFFFF"/>
            <w:vAlign w:val="center"/>
          </w:tcPr>
          <w:p>
            <w:pPr>
              <w:widowControl/>
              <w:jc w:val="center"/>
              <w:rPr>
                <w:color w:val="000000"/>
                <w:kern w:val="0"/>
              </w:rPr>
            </w:pPr>
            <w:r>
              <w:rPr>
                <w:color w:val="000000"/>
                <w:kern w:val="0"/>
              </w:rPr>
              <w:t>特殊因子（VOCs)超标预警</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29</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000000" w:fill="FFFFFF"/>
            <w:vAlign w:val="center"/>
          </w:tcPr>
          <w:p>
            <w:pPr>
              <w:widowControl/>
              <w:jc w:val="center"/>
              <w:rPr>
                <w:color w:val="000000"/>
                <w:kern w:val="0"/>
              </w:rPr>
            </w:pPr>
            <w:r>
              <w:rPr>
                <w:color w:val="000000"/>
                <w:kern w:val="0"/>
              </w:rPr>
              <w:t>模型预测分析</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30</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000000" w:fill="FFFFFF"/>
            <w:vAlign w:val="center"/>
          </w:tcPr>
          <w:p>
            <w:pPr>
              <w:widowControl/>
              <w:jc w:val="center"/>
              <w:rPr>
                <w:color w:val="000000"/>
                <w:kern w:val="0"/>
              </w:rPr>
            </w:pPr>
            <w:r>
              <w:rPr>
                <w:color w:val="000000"/>
                <w:kern w:val="0"/>
              </w:rPr>
              <w:t>走航车预警报警</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31</w:t>
            </w:r>
          </w:p>
        </w:tc>
        <w:tc>
          <w:tcPr>
            <w:tcW w:w="767" w:type="pct"/>
            <w:vMerge w:val="continue"/>
            <w:vAlign w:val="center"/>
          </w:tcPr>
          <w:p>
            <w:pPr>
              <w:widowControl/>
              <w:jc w:val="left"/>
              <w:rPr>
                <w:color w:val="000000"/>
                <w:kern w:val="0"/>
              </w:rPr>
            </w:pPr>
          </w:p>
        </w:tc>
        <w:tc>
          <w:tcPr>
            <w:tcW w:w="966" w:type="pct"/>
            <w:vMerge w:val="restart"/>
            <w:shd w:val="clear" w:color="000000" w:fill="FFFFFF"/>
            <w:vAlign w:val="center"/>
          </w:tcPr>
          <w:p>
            <w:pPr>
              <w:widowControl/>
              <w:jc w:val="center"/>
              <w:rPr>
                <w:color w:val="000000"/>
                <w:kern w:val="0"/>
              </w:rPr>
            </w:pPr>
            <w:r>
              <w:rPr>
                <w:color w:val="000000"/>
                <w:kern w:val="0"/>
              </w:rPr>
              <w:t>高值点溯源分析</w:t>
            </w:r>
          </w:p>
        </w:tc>
        <w:tc>
          <w:tcPr>
            <w:tcW w:w="1976" w:type="pct"/>
            <w:shd w:val="clear" w:color="000000" w:fill="FFFFFF"/>
            <w:vAlign w:val="center"/>
          </w:tcPr>
          <w:p>
            <w:pPr>
              <w:widowControl/>
              <w:jc w:val="center"/>
              <w:rPr>
                <w:color w:val="000000"/>
                <w:kern w:val="0"/>
              </w:rPr>
            </w:pPr>
            <w:r>
              <w:rPr>
                <w:color w:val="000000"/>
                <w:kern w:val="0"/>
              </w:rPr>
              <w:t>异味因子溯源分析</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32</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000000" w:fill="FFFFFF"/>
            <w:vAlign w:val="center"/>
          </w:tcPr>
          <w:p>
            <w:pPr>
              <w:widowControl/>
              <w:jc w:val="center"/>
              <w:rPr>
                <w:color w:val="000000"/>
                <w:kern w:val="0"/>
              </w:rPr>
            </w:pPr>
            <w:r>
              <w:rPr>
                <w:color w:val="000000"/>
                <w:kern w:val="0"/>
              </w:rPr>
              <w:t>异味影响预测分析</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33</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000000" w:fill="FFFFFF"/>
            <w:vAlign w:val="center"/>
          </w:tcPr>
          <w:p>
            <w:pPr>
              <w:widowControl/>
              <w:jc w:val="center"/>
              <w:rPr>
                <w:color w:val="000000"/>
                <w:kern w:val="0"/>
              </w:rPr>
            </w:pPr>
            <w:r>
              <w:rPr>
                <w:color w:val="000000"/>
                <w:kern w:val="0"/>
              </w:rPr>
              <w:t>高值影响溯源分析</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34</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000000" w:fill="FFFFFF"/>
            <w:vAlign w:val="center"/>
          </w:tcPr>
          <w:p>
            <w:pPr>
              <w:widowControl/>
              <w:jc w:val="center"/>
              <w:rPr>
                <w:color w:val="000000"/>
                <w:kern w:val="0"/>
              </w:rPr>
            </w:pPr>
            <w:r>
              <w:rPr>
                <w:color w:val="000000"/>
                <w:kern w:val="0"/>
              </w:rPr>
              <w:t>减排结果评估</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35</w:t>
            </w:r>
          </w:p>
        </w:tc>
        <w:tc>
          <w:tcPr>
            <w:tcW w:w="767" w:type="pct"/>
            <w:vMerge w:val="continue"/>
            <w:vAlign w:val="center"/>
          </w:tcPr>
          <w:p>
            <w:pPr>
              <w:widowControl/>
              <w:jc w:val="left"/>
              <w:rPr>
                <w:color w:val="000000"/>
                <w:kern w:val="0"/>
              </w:rPr>
            </w:pPr>
          </w:p>
        </w:tc>
        <w:tc>
          <w:tcPr>
            <w:tcW w:w="2943" w:type="pct"/>
            <w:gridSpan w:val="2"/>
            <w:shd w:val="clear" w:color="000000" w:fill="FFFFFF"/>
            <w:vAlign w:val="center"/>
          </w:tcPr>
          <w:p>
            <w:pPr>
              <w:widowControl/>
              <w:jc w:val="center"/>
              <w:rPr>
                <w:color w:val="000000"/>
                <w:kern w:val="0"/>
              </w:rPr>
            </w:pPr>
            <w:r>
              <w:rPr>
                <w:color w:val="000000"/>
                <w:kern w:val="0"/>
              </w:rPr>
              <w:t>异味应急处置闭环</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36</w:t>
            </w:r>
          </w:p>
        </w:tc>
        <w:tc>
          <w:tcPr>
            <w:tcW w:w="767" w:type="pct"/>
            <w:vMerge w:val="restart"/>
            <w:shd w:val="clear" w:color="000000" w:fill="FFFFFF"/>
            <w:vAlign w:val="center"/>
          </w:tcPr>
          <w:p>
            <w:pPr>
              <w:widowControl/>
              <w:jc w:val="center"/>
              <w:rPr>
                <w:color w:val="000000"/>
                <w:kern w:val="0"/>
              </w:rPr>
            </w:pPr>
            <w:r>
              <w:rPr>
                <w:color w:val="000000"/>
                <w:kern w:val="0"/>
              </w:rPr>
              <w:t>数字治气专题导航舱</w:t>
            </w:r>
          </w:p>
        </w:tc>
        <w:tc>
          <w:tcPr>
            <w:tcW w:w="2943" w:type="pct"/>
            <w:gridSpan w:val="2"/>
            <w:shd w:val="clear" w:color="000000" w:fill="FFFFFF"/>
            <w:vAlign w:val="center"/>
          </w:tcPr>
          <w:p>
            <w:pPr>
              <w:widowControl/>
              <w:jc w:val="center"/>
              <w:rPr>
                <w:color w:val="000000"/>
                <w:kern w:val="0"/>
              </w:rPr>
            </w:pPr>
            <w:r>
              <w:rPr>
                <w:color w:val="000000"/>
                <w:kern w:val="0"/>
              </w:rPr>
              <w:t>态势总览专题</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37</w:t>
            </w:r>
          </w:p>
        </w:tc>
        <w:tc>
          <w:tcPr>
            <w:tcW w:w="767" w:type="pct"/>
            <w:vMerge w:val="continue"/>
            <w:vAlign w:val="center"/>
          </w:tcPr>
          <w:p>
            <w:pPr>
              <w:widowControl/>
              <w:jc w:val="left"/>
              <w:rPr>
                <w:color w:val="000000"/>
                <w:kern w:val="0"/>
              </w:rPr>
            </w:pPr>
          </w:p>
        </w:tc>
        <w:tc>
          <w:tcPr>
            <w:tcW w:w="2943" w:type="pct"/>
            <w:gridSpan w:val="2"/>
            <w:shd w:val="clear" w:color="000000" w:fill="FFFFFF"/>
            <w:vAlign w:val="center"/>
          </w:tcPr>
          <w:p>
            <w:pPr>
              <w:widowControl/>
              <w:jc w:val="center"/>
              <w:rPr>
                <w:color w:val="000000"/>
                <w:kern w:val="0"/>
              </w:rPr>
            </w:pPr>
            <w:r>
              <w:rPr>
                <w:color w:val="000000"/>
                <w:kern w:val="0"/>
              </w:rPr>
              <w:t>主要工艺流程监管专题</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38</w:t>
            </w:r>
          </w:p>
        </w:tc>
        <w:tc>
          <w:tcPr>
            <w:tcW w:w="767" w:type="pct"/>
            <w:vMerge w:val="continue"/>
            <w:vAlign w:val="center"/>
          </w:tcPr>
          <w:p>
            <w:pPr>
              <w:widowControl/>
              <w:jc w:val="left"/>
              <w:rPr>
                <w:color w:val="000000"/>
                <w:kern w:val="0"/>
              </w:rPr>
            </w:pPr>
          </w:p>
        </w:tc>
        <w:tc>
          <w:tcPr>
            <w:tcW w:w="2943" w:type="pct"/>
            <w:gridSpan w:val="2"/>
            <w:shd w:val="clear" w:color="000000" w:fill="FFFFFF"/>
            <w:vAlign w:val="center"/>
          </w:tcPr>
          <w:p>
            <w:pPr>
              <w:widowControl/>
              <w:jc w:val="center"/>
              <w:rPr>
                <w:color w:val="000000"/>
                <w:kern w:val="0"/>
              </w:rPr>
            </w:pPr>
            <w:r>
              <w:rPr>
                <w:color w:val="000000"/>
                <w:kern w:val="0"/>
              </w:rPr>
              <w:t>总量智能管控专题</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19" w:type="pct"/>
            <w:shd w:val="clear" w:color="000000" w:fill="FFFFFF"/>
            <w:vAlign w:val="center"/>
          </w:tcPr>
          <w:p>
            <w:pPr>
              <w:widowControl/>
              <w:jc w:val="center"/>
              <w:rPr>
                <w:b/>
                <w:bCs/>
                <w:color w:val="000000"/>
                <w:kern w:val="0"/>
              </w:rPr>
            </w:pPr>
            <w:r>
              <w:rPr>
                <w:b/>
                <w:bCs/>
                <w:color w:val="000000"/>
                <w:kern w:val="0"/>
              </w:rPr>
              <w:t>小计4</w:t>
            </w:r>
          </w:p>
        </w:tc>
        <w:tc>
          <w:tcPr>
            <w:tcW w:w="3710" w:type="pct"/>
            <w:gridSpan w:val="3"/>
            <w:shd w:val="clear" w:color="000000" w:fill="FFFFFF"/>
            <w:vAlign w:val="center"/>
          </w:tcPr>
          <w:p>
            <w:pPr>
              <w:widowControl/>
              <w:jc w:val="center"/>
              <w:rPr>
                <w:color w:val="000000"/>
                <w:kern w:val="0"/>
              </w:rPr>
            </w:pPr>
            <w:r>
              <w:rPr>
                <w:color w:val="000000"/>
                <w:kern w:val="0"/>
              </w:rPr>
              <w:t>　</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39</w:t>
            </w:r>
          </w:p>
        </w:tc>
        <w:tc>
          <w:tcPr>
            <w:tcW w:w="767" w:type="pct"/>
            <w:vMerge w:val="restart"/>
            <w:shd w:val="clear" w:color="000000" w:fill="FFFFFF"/>
            <w:vAlign w:val="center"/>
          </w:tcPr>
          <w:p>
            <w:pPr>
              <w:widowControl/>
              <w:jc w:val="center"/>
              <w:rPr>
                <w:color w:val="000000"/>
                <w:kern w:val="0"/>
              </w:rPr>
            </w:pPr>
            <w:r>
              <w:rPr>
                <w:color w:val="000000"/>
                <w:kern w:val="0"/>
              </w:rPr>
              <w:t>掌上治气浙政钉端</w:t>
            </w:r>
          </w:p>
        </w:tc>
        <w:tc>
          <w:tcPr>
            <w:tcW w:w="2943" w:type="pct"/>
            <w:gridSpan w:val="2"/>
            <w:shd w:val="clear" w:color="000000" w:fill="FFFFFF"/>
            <w:vAlign w:val="center"/>
          </w:tcPr>
          <w:p>
            <w:pPr>
              <w:widowControl/>
              <w:jc w:val="center"/>
              <w:rPr>
                <w:color w:val="000000"/>
                <w:kern w:val="0"/>
              </w:rPr>
            </w:pPr>
            <w:r>
              <w:rPr>
                <w:color w:val="000000"/>
                <w:kern w:val="0"/>
              </w:rPr>
              <w:t>涉气信息查询</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40</w:t>
            </w:r>
          </w:p>
        </w:tc>
        <w:tc>
          <w:tcPr>
            <w:tcW w:w="767" w:type="pct"/>
            <w:vMerge w:val="continue"/>
            <w:vAlign w:val="center"/>
          </w:tcPr>
          <w:p>
            <w:pPr>
              <w:widowControl/>
              <w:jc w:val="left"/>
              <w:rPr>
                <w:color w:val="000000"/>
                <w:kern w:val="0"/>
              </w:rPr>
            </w:pPr>
          </w:p>
        </w:tc>
        <w:tc>
          <w:tcPr>
            <w:tcW w:w="2943" w:type="pct"/>
            <w:gridSpan w:val="2"/>
            <w:shd w:val="clear" w:color="000000" w:fill="FFFFFF"/>
            <w:vAlign w:val="center"/>
          </w:tcPr>
          <w:p>
            <w:pPr>
              <w:widowControl/>
              <w:jc w:val="center"/>
              <w:rPr>
                <w:color w:val="000000"/>
                <w:kern w:val="0"/>
              </w:rPr>
            </w:pPr>
            <w:r>
              <w:rPr>
                <w:color w:val="000000"/>
                <w:kern w:val="0"/>
              </w:rPr>
              <w:t>任务闭环</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41</w:t>
            </w:r>
          </w:p>
        </w:tc>
        <w:tc>
          <w:tcPr>
            <w:tcW w:w="767" w:type="pct"/>
            <w:vMerge w:val="restart"/>
            <w:shd w:val="clear" w:color="000000" w:fill="FFFFFF"/>
            <w:vAlign w:val="center"/>
          </w:tcPr>
          <w:p>
            <w:pPr>
              <w:widowControl/>
              <w:jc w:val="center"/>
              <w:rPr>
                <w:color w:val="000000"/>
                <w:kern w:val="0"/>
              </w:rPr>
            </w:pPr>
            <w:r>
              <w:rPr>
                <w:color w:val="000000"/>
                <w:kern w:val="0"/>
              </w:rPr>
              <w:t>企业服务端</w:t>
            </w:r>
          </w:p>
        </w:tc>
        <w:tc>
          <w:tcPr>
            <w:tcW w:w="966" w:type="pct"/>
            <w:vMerge w:val="restart"/>
            <w:shd w:val="clear" w:color="000000" w:fill="FFFFFF"/>
            <w:vAlign w:val="center"/>
          </w:tcPr>
          <w:p>
            <w:pPr>
              <w:widowControl/>
              <w:jc w:val="center"/>
              <w:rPr>
                <w:color w:val="000000"/>
                <w:kern w:val="0"/>
              </w:rPr>
            </w:pPr>
            <w:r>
              <w:rPr>
                <w:color w:val="000000"/>
                <w:kern w:val="0"/>
              </w:rPr>
              <w:t>一体化闭环管理</w:t>
            </w:r>
          </w:p>
        </w:tc>
        <w:tc>
          <w:tcPr>
            <w:tcW w:w="1976" w:type="pct"/>
            <w:shd w:val="clear" w:color="000000" w:fill="FFFFFF"/>
            <w:vAlign w:val="center"/>
          </w:tcPr>
          <w:p>
            <w:pPr>
              <w:widowControl/>
              <w:jc w:val="center"/>
              <w:rPr>
                <w:color w:val="000000"/>
                <w:kern w:val="0"/>
              </w:rPr>
            </w:pPr>
            <w:r>
              <w:rPr>
                <w:color w:val="000000"/>
                <w:kern w:val="0"/>
              </w:rPr>
              <w:t>自助查询</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42</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000000" w:fill="FFFFFF"/>
            <w:vAlign w:val="center"/>
          </w:tcPr>
          <w:p>
            <w:pPr>
              <w:widowControl/>
              <w:jc w:val="center"/>
              <w:rPr>
                <w:color w:val="000000"/>
                <w:kern w:val="0"/>
              </w:rPr>
            </w:pPr>
            <w:r>
              <w:rPr>
                <w:color w:val="000000"/>
                <w:kern w:val="0"/>
              </w:rPr>
              <w:t>问题清单及服务提醒</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43</w:t>
            </w:r>
          </w:p>
        </w:tc>
        <w:tc>
          <w:tcPr>
            <w:tcW w:w="767" w:type="pct"/>
            <w:vMerge w:val="continue"/>
            <w:vAlign w:val="center"/>
          </w:tcPr>
          <w:p>
            <w:pPr>
              <w:widowControl/>
              <w:jc w:val="left"/>
              <w:rPr>
                <w:color w:val="000000"/>
                <w:kern w:val="0"/>
              </w:rPr>
            </w:pPr>
          </w:p>
        </w:tc>
        <w:tc>
          <w:tcPr>
            <w:tcW w:w="966" w:type="pct"/>
            <w:vMerge w:val="continue"/>
            <w:vAlign w:val="center"/>
          </w:tcPr>
          <w:p>
            <w:pPr>
              <w:widowControl/>
              <w:jc w:val="left"/>
              <w:rPr>
                <w:color w:val="000000"/>
                <w:kern w:val="0"/>
              </w:rPr>
            </w:pPr>
          </w:p>
        </w:tc>
        <w:tc>
          <w:tcPr>
            <w:tcW w:w="1976" w:type="pct"/>
            <w:shd w:val="clear" w:color="000000" w:fill="FFFFFF"/>
            <w:vAlign w:val="center"/>
          </w:tcPr>
          <w:p>
            <w:pPr>
              <w:widowControl/>
              <w:jc w:val="left"/>
              <w:rPr>
                <w:color w:val="000000"/>
                <w:kern w:val="0"/>
              </w:rPr>
            </w:pPr>
            <w:r>
              <w:rPr>
                <w:color w:val="000000"/>
                <w:kern w:val="0"/>
              </w:rPr>
              <w:t>企业自我管理</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44</w:t>
            </w:r>
          </w:p>
        </w:tc>
        <w:tc>
          <w:tcPr>
            <w:tcW w:w="767" w:type="pct"/>
            <w:vMerge w:val="continue"/>
            <w:vAlign w:val="center"/>
          </w:tcPr>
          <w:p>
            <w:pPr>
              <w:widowControl/>
              <w:jc w:val="left"/>
              <w:rPr>
                <w:color w:val="000000"/>
                <w:kern w:val="0"/>
              </w:rPr>
            </w:pPr>
          </w:p>
        </w:tc>
        <w:tc>
          <w:tcPr>
            <w:tcW w:w="2943" w:type="pct"/>
            <w:gridSpan w:val="2"/>
            <w:shd w:val="clear" w:color="000000" w:fill="FFFFFF"/>
            <w:vAlign w:val="center"/>
          </w:tcPr>
          <w:p>
            <w:pPr>
              <w:widowControl/>
              <w:jc w:val="center"/>
              <w:rPr>
                <w:color w:val="000000"/>
                <w:kern w:val="0"/>
              </w:rPr>
            </w:pPr>
            <w:r>
              <w:rPr>
                <w:color w:val="000000"/>
                <w:kern w:val="0"/>
              </w:rPr>
              <w:t>环保超市</w:t>
            </w:r>
          </w:p>
        </w:tc>
        <w:tc>
          <w:tcPr>
            <w:tcW w:w="770" w:type="pct"/>
            <w:shd w:val="clear" w:color="000000" w:fill="FFFFFF"/>
            <w:vAlign w:val="center"/>
          </w:tcPr>
          <w:p>
            <w:pPr>
              <w:widowControl/>
              <w:jc w:val="center"/>
              <w:rPr>
                <w:b/>
                <w:bCs/>
                <w:color w:val="000000"/>
                <w:kern w:val="0"/>
              </w:rPr>
            </w:pPr>
            <w:r>
              <w:rPr>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45</w:t>
            </w:r>
          </w:p>
        </w:tc>
        <w:tc>
          <w:tcPr>
            <w:tcW w:w="767" w:type="pct"/>
            <w:vMerge w:val="restart"/>
            <w:shd w:val="clear" w:color="auto" w:fill="auto"/>
            <w:vAlign w:val="center"/>
          </w:tcPr>
          <w:p>
            <w:pPr>
              <w:widowControl/>
              <w:jc w:val="center"/>
              <w:rPr>
                <w:color w:val="000000"/>
                <w:kern w:val="0"/>
              </w:rPr>
            </w:pPr>
            <w:r>
              <w:rPr>
                <w:color w:val="000000"/>
                <w:kern w:val="0"/>
              </w:rPr>
              <w:t>系统管理</w:t>
            </w:r>
          </w:p>
        </w:tc>
        <w:tc>
          <w:tcPr>
            <w:tcW w:w="2943" w:type="pct"/>
            <w:gridSpan w:val="2"/>
            <w:shd w:val="clear" w:color="auto" w:fill="auto"/>
            <w:vAlign w:val="center"/>
          </w:tcPr>
          <w:p>
            <w:pPr>
              <w:widowControl/>
              <w:jc w:val="center"/>
              <w:rPr>
                <w:color w:val="000000"/>
                <w:kern w:val="0"/>
              </w:rPr>
            </w:pPr>
            <w:r>
              <w:rPr>
                <w:color w:val="000000"/>
                <w:kern w:val="0"/>
              </w:rPr>
              <w:t>组织机构管理</w:t>
            </w:r>
          </w:p>
        </w:tc>
        <w:tc>
          <w:tcPr>
            <w:tcW w:w="770" w:type="pct"/>
            <w:shd w:val="clear" w:color="000000" w:fill="FFFFFF"/>
            <w:vAlign w:val="center"/>
          </w:tcPr>
          <w:p>
            <w:pPr>
              <w:widowControl/>
              <w:jc w:val="center"/>
              <w:rPr>
                <w:b/>
                <w:bCs/>
                <w:color w:val="000000"/>
                <w:kern w:val="0"/>
              </w:rPr>
            </w:pPr>
            <w:r>
              <w:rPr>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46</w:t>
            </w:r>
          </w:p>
        </w:tc>
        <w:tc>
          <w:tcPr>
            <w:tcW w:w="767" w:type="pct"/>
            <w:vMerge w:val="continue"/>
            <w:vAlign w:val="center"/>
          </w:tcPr>
          <w:p>
            <w:pPr>
              <w:widowControl/>
              <w:jc w:val="left"/>
              <w:rPr>
                <w:color w:val="000000"/>
                <w:kern w:val="0"/>
              </w:rPr>
            </w:pPr>
          </w:p>
        </w:tc>
        <w:tc>
          <w:tcPr>
            <w:tcW w:w="2943" w:type="pct"/>
            <w:gridSpan w:val="2"/>
            <w:shd w:val="clear" w:color="auto" w:fill="auto"/>
            <w:vAlign w:val="center"/>
          </w:tcPr>
          <w:p>
            <w:pPr>
              <w:widowControl/>
              <w:jc w:val="center"/>
              <w:rPr>
                <w:color w:val="000000"/>
                <w:kern w:val="0"/>
              </w:rPr>
            </w:pPr>
            <w:r>
              <w:rPr>
                <w:color w:val="000000"/>
                <w:kern w:val="0"/>
              </w:rPr>
              <w:t>用户管理</w:t>
            </w:r>
          </w:p>
        </w:tc>
        <w:tc>
          <w:tcPr>
            <w:tcW w:w="770" w:type="pct"/>
            <w:shd w:val="clear" w:color="000000" w:fill="FFFFFF"/>
            <w:vAlign w:val="center"/>
          </w:tcPr>
          <w:p>
            <w:pPr>
              <w:widowControl/>
              <w:jc w:val="center"/>
              <w:rPr>
                <w:b/>
                <w:bCs/>
                <w:color w:val="000000"/>
                <w:kern w:val="0"/>
              </w:rPr>
            </w:pPr>
            <w:r>
              <w:rPr>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47</w:t>
            </w:r>
          </w:p>
        </w:tc>
        <w:tc>
          <w:tcPr>
            <w:tcW w:w="767" w:type="pct"/>
            <w:vMerge w:val="continue"/>
            <w:vAlign w:val="center"/>
          </w:tcPr>
          <w:p>
            <w:pPr>
              <w:widowControl/>
              <w:jc w:val="left"/>
              <w:rPr>
                <w:color w:val="000000"/>
                <w:kern w:val="0"/>
              </w:rPr>
            </w:pPr>
          </w:p>
        </w:tc>
        <w:tc>
          <w:tcPr>
            <w:tcW w:w="2943" w:type="pct"/>
            <w:gridSpan w:val="2"/>
            <w:shd w:val="clear" w:color="auto" w:fill="auto"/>
            <w:vAlign w:val="center"/>
          </w:tcPr>
          <w:p>
            <w:pPr>
              <w:widowControl/>
              <w:jc w:val="center"/>
              <w:rPr>
                <w:color w:val="000000"/>
                <w:kern w:val="0"/>
              </w:rPr>
            </w:pPr>
            <w:r>
              <w:rPr>
                <w:color w:val="000000"/>
                <w:kern w:val="0"/>
              </w:rPr>
              <w:t>权限管理</w:t>
            </w:r>
          </w:p>
        </w:tc>
        <w:tc>
          <w:tcPr>
            <w:tcW w:w="770" w:type="pct"/>
            <w:shd w:val="clear" w:color="000000" w:fill="FFFFFF"/>
            <w:vAlign w:val="center"/>
          </w:tcPr>
          <w:p>
            <w:pPr>
              <w:widowControl/>
              <w:jc w:val="center"/>
              <w:rPr>
                <w:b/>
                <w:bCs/>
                <w:color w:val="000000"/>
                <w:kern w:val="0"/>
              </w:rPr>
            </w:pPr>
            <w:r>
              <w:rPr>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hint="eastAsia" w:eastAsia="等线"/>
                <w:color w:val="000000"/>
                <w:kern w:val="0"/>
              </w:rPr>
              <w:t>48</w:t>
            </w:r>
          </w:p>
        </w:tc>
        <w:tc>
          <w:tcPr>
            <w:tcW w:w="767" w:type="pct"/>
            <w:vMerge w:val="continue"/>
            <w:vAlign w:val="center"/>
          </w:tcPr>
          <w:p>
            <w:pPr>
              <w:widowControl/>
              <w:jc w:val="left"/>
              <w:rPr>
                <w:color w:val="000000"/>
                <w:kern w:val="0"/>
              </w:rPr>
            </w:pPr>
          </w:p>
        </w:tc>
        <w:tc>
          <w:tcPr>
            <w:tcW w:w="2943" w:type="pct"/>
            <w:gridSpan w:val="2"/>
            <w:shd w:val="clear" w:color="auto" w:fill="auto"/>
            <w:vAlign w:val="center"/>
          </w:tcPr>
          <w:p>
            <w:pPr>
              <w:widowControl/>
              <w:jc w:val="center"/>
              <w:rPr>
                <w:color w:val="000000"/>
                <w:kern w:val="0"/>
              </w:rPr>
            </w:pPr>
            <w:r>
              <w:rPr>
                <w:color w:val="000000"/>
                <w:kern w:val="0"/>
              </w:rPr>
              <w:t>系统参数设置</w:t>
            </w:r>
          </w:p>
        </w:tc>
        <w:tc>
          <w:tcPr>
            <w:tcW w:w="770" w:type="pct"/>
            <w:shd w:val="clear" w:color="000000" w:fill="FFFFFF"/>
            <w:vAlign w:val="center"/>
          </w:tcPr>
          <w:p>
            <w:pPr>
              <w:widowControl/>
              <w:jc w:val="center"/>
              <w:rPr>
                <w:b/>
                <w:bCs/>
                <w:color w:val="000000"/>
                <w:kern w:val="0"/>
              </w:rPr>
            </w:pPr>
            <w:r>
              <w:rPr>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b/>
                <w:bCs/>
                <w:color w:val="000000"/>
                <w:kern w:val="0"/>
              </w:rPr>
            </w:pPr>
            <w:r>
              <w:rPr>
                <w:b/>
                <w:bCs/>
                <w:color w:val="000000"/>
                <w:kern w:val="0"/>
              </w:rPr>
              <w:t>二</w:t>
            </w:r>
          </w:p>
        </w:tc>
        <w:tc>
          <w:tcPr>
            <w:tcW w:w="3710" w:type="pct"/>
            <w:gridSpan w:val="3"/>
            <w:shd w:val="clear" w:color="000000" w:fill="FFFFFF"/>
            <w:vAlign w:val="center"/>
          </w:tcPr>
          <w:p>
            <w:pPr>
              <w:widowControl/>
              <w:jc w:val="center"/>
              <w:rPr>
                <w:b/>
                <w:bCs/>
                <w:color w:val="000000"/>
                <w:kern w:val="0"/>
              </w:rPr>
            </w:pPr>
            <w:r>
              <w:rPr>
                <w:b/>
                <w:bCs/>
                <w:color w:val="000000"/>
                <w:kern w:val="0"/>
              </w:rPr>
              <w:t>应用支撑层建设</w:t>
            </w:r>
          </w:p>
        </w:tc>
        <w:tc>
          <w:tcPr>
            <w:tcW w:w="770" w:type="pct"/>
            <w:shd w:val="clear" w:color="000000" w:fill="FFFFFF"/>
            <w:vAlign w:val="center"/>
          </w:tcPr>
          <w:p>
            <w:pPr>
              <w:widowControl/>
              <w:jc w:val="center"/>
              <w:rPr>
                <w:b/>
                <w:bCs/>
                <w:color w:val="000000"/>
                <w:kern w:val="0"/>
              </w:rPr>
            </w:pPr>
            <w:r>
              <w:rPr>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1</w:t>
            </w:r>
          </w:p>
        </w:tc>
        <w:tc>
          <w:tcPr>
            <w:tcW w:w="767" w:type="pct"/>
            <w:vMerge w:val="restart"/>
            <w:shd w:val="clear" w:color="000000" w:fill="FFFFFF"/>
            <w:vAlign w:val="center"/>
          </w:tcPr>
          <w:p>
            <w:pPr>
              <w:widowControl/>
              <w:jc w:val="center"/>
              <w:rPr>
                <w:color w:val="000000"/>
                <w:kern w:val="0"/>
              </w:rPr>
            </w:pPr>
            <w:r>
              <w:rPr>
                <w:color w:val="000000"/>
                <w:kern w:val="0"/>
              </w:rPr>
              <w:t>专业模型</w:t>
            </w:r>
          </w:p>
        </w:tc>
        <w:tc>
          <w:tcPr>
            <w:tcW w:w="2943" w:type="pct"/>
            <w:gridSpan w:val="2"/>
            <w:shd w:val="clear" w:color="000000" w:fill="FFFFFF"/>
            <w:vAlign w:val="center"/>
          </w:tcPr>
          <w:p>
            <w:pPr>
              <w:widowControl/>
              <w:jc w:val="center"/>
              <w:rPr>
                <w:color w:val="000000"/>
                <w:kern w:val="0"/>
              </w:rPr>
            </w:pPr>
            <w:r>
              <w:rPr>
                <w:color w:val="000000"/>
                <w:kern w:val="0"/>
              </w:rPr>
              <w:t>异味预测模型</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2</w:t>
            </w:r>
          </w:p>
        </w:tc>
        <w:tc>
          <w:tcPr>
            <w:tcW w:w="767" w:type="pct"/>
            <w:vMerge w:val="continue"/>
            <w:vAlign w:val="center"/>
          </w:tcPr>
          <w:p>
            <w:pPr>
              <w:widowControl/>
              <w:jc w:val="left"/>
              <w:rPr>
                <w:color w:val="000000"/>
                <w:kern w:val="0"/>
              </w:rPr>
            </w:pPr>
          </w:p>
        </w:tc>
        <w:tc>
          <w:tcPr>
            <w:tcW w:w="2943" w:type="pct"/>
            <w:gridSpan w:val="2"/>
            <w:shd w:val="clear" w:color="000000" w:fill="FFFFFF"/>
            <w:vAlign w:val="center"/>
          </w:tcPr>
          <w:p>
            <w:pPr>
              <w:widowControl/>
              <w:jc w:val="center"/>
              <w:rPr>
                <w:color w:val="000000"/>
                <w:kern w:val="0"/>
              </w:rPr>
            </w:pPr>
            <w:r>
              <w:rPr>
                <w:color w:val="000000"/>
                <w:kern w:val="0"/>
              </w:rPr>
              <w:t>VOCs和恶臭因子精细化反演和溯源</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3</w:t>
            </w:r>
          </w:p>
        </w:tc>
        <w:tc>
          <w:tcPr>
            <w:tcW w:w="767" w:type="pct"/>
            <w:vMerge w:val="continue"/>
            <w:vAlign w:val="center"/>
          </w:tcPr>
          <w:p>
            <w:pPr>
              <w:widowControl/>
              <w:jc w:val="left"/>
              <w:rPr>
                <w:color w:val="000000"/>
                <w:kern w:val="0"/>
              </w:rPr>
            </w:pPr>
          </w:p>
        </w:tc>
        <w:tc>
          <w:tcPr>
            <w:tcW w:w="2943" w:type="pct"/>
            <w:gridSpan w:val="2"/>
            <w:shd w:val="clear" w:color="auto" w:fill="auto"/>
            <w:noWrap/>
            <w:vAlign w:val="bottom"/>
          </w:tcPr>
          <w:p>
            <w:pPr>
              <w:widowControl/>
              <w:jc w:val="center"/>
              <w:rPr>
                <w:color w:val="000000"/>
                <w:kern w:val="0"/>
              </w:rPr>
            </w:pPr>
            <w:r>
              <w:rPr>
                <w:color w:val="000000"/>
                <w:kern w:val="0"/>
              </w:rPr>
              <w:t>LDAR异常数据识别模型</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4</w:t>
            </w:r>
          </w:p>
        </w:tc>
        <w:tc>
          <w:tcPr>
            <w:tcW w:w="767" w:type="pct"/>
            <w:vMerge w:val="continue"/>
            <w:vAlign w:val="center"/>
          </w:tcPr>
          <w:p>
            <w:pPr>
              <w:widowControl/>
              <w:jc w:val="left"/>
              <w:rPr>
                <w:color w:val="000000"/>
                <w:kern w:val="0"/>
              </w:rPr>
            </w:pPr>
          </w:p>
        </w:tc>
        <w:tc>
          <w:tcPr>
            <w:tcW w:w="2943" w:type="pct"/>
            <w:gridSpan w:val="2"/>
            <w:shd w:val="clear" w:color="auto" w:fill="auto"/>
            <w:noWrap/>
            <w:vAlign w:val="bottom"/>
          </w:tcPr>
          <w:p>
            <w:pPr>
              <w:widowControl/>
              <w:jc w:val="center"/>
              <w:rPr>
                <w:color w:val="000000"/>
                <w:kern w:val="0"/>
              </w:rPr>
            </w:pPr>
            <w:r>
              <w:rPr>
                <w:color w:val="000000"/>
                <w:kern w:val="0"/>
              </w:rPr>
              <w:t>LDAR异常检测过程识别模型</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5</w:t>
            </w:r>
          </w:p>
        </w:tc>
        <w:tc>
          <w:tcPr>
            <w:tcW w:w="3710" w:type="pct"/>
            <w:gridSpan w:val="3"/>
            <w:shd w:val="clear" w:color="000000" w:fill="FFFFFF"/>
            <w:vAlign w:val="center"/>
          </w:tcPr>
          <w:p>
            <w:pPr>
              <w:widowControl/>
              <w:jc w:val="center"/>
              <w:rPr>
                <w:color w:val="000000"/>
                <w:kern w:val="0"/>
              </w:rPr>
            </w:pPr>
            <w:r>
              <w:rPr>
                <w:color w:val="000000"/>
                <w:kern w:val="0"/>
              </w:rPr>
              <w:t>业务办理闭环</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6</w:t>
            </w:r>
          </w:p>
        </w:tc>
        <w:tc>
          <w:tcPr>
            <w:tcW w:w="3710" w:type="pct"/>
            <w:gridSpan w:val="3"/>
            <w:shd w:val="clear" w:color="000000" w:fill="FFFFFF"/>
            <w:vAlign w:val="center"/>
          </w:tcPr>
          <w:p>
            <w:pPr>
              <w:widowControl/>
              <w:jc w:val="center"/>
              <w:rPr>
                <w:color w:val="000000"/>
                <w:kern w:val="0"/>
              </w:rPr>
            </w:pPr>
            <w:r>
              <w:rPr>
                <w:color w:val="000000"/>
                <w:kern w:val="0"/>
              </w:rPr>
              <w:t>污染源一体化闭环管理</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7</w:t>
            </w:r>
          </w:p>
        </w:tc>
        <w:tc>
          <w:tcPr>
            <w:tcW w:w="767" w:type="pct"/>
            <w:shd w:val="clear" w:color="000000" w:fill="FFFFFF"/>
            <w:vAlign w:val="center"/>
          </w:tcPr>
          <w:p>
            <w:pPr>
              <w:widowControl/>
              <w:jc w:val="center"/>
              <w:rPr>
                <w:color w:val="000000"/>
                <w:kern w:val="0"/>
              </w:rPr>
            </w:pPr>
            <w:r>
              <w:rPr>
                <w:color w:val="000000"/>
                <w:kern w:val="0"/>
              </w:rPr>
              <w:t>GIS平台及配套</w:t>
            </w:r>
          </w:p>
        </w:tc>
        <w:tc>
          <w:tcPr>
            <w:tcW w:w="2943" w:type="pct"/>
            <w:gridSpan w:val="2"/>
            <w:shd w:val="clear" w:color="000000" w:fill="FFFFFF"/>
            <w:vAlign w:val="center"/>
          </w:tcPr>
          <w:p>
            <w:pPr>
              <w:widowControl/>
              <w:jc w:val="center"/>
              <w:rPr>
                <w:color w:val="000000"/>
                <w:kern w:val="0"/>
              </w:rPr>
            </w:pPr>
            <w:r>
              <w:rPr>
                <w:color w:val="000000"/>
                <w:kern w:val="0"/>
              </w:rPr>
              <w:t>三维地理信息平台</w:t>
            </w:r>
          </w:p>
        </w:tc>
        <w:tc>
          <w:tcPr>
            <w:tcW w:w="770" w:type="pct"/>
            <w:shd w:val="clear" w:color="000000" w:fill="FFFFFF"/>
            <w:vAlign w:val="center"/>
          </w:tcPr>
          <w:p>
            <w:pPr>
              <w:widowControl/>
              <w:jc w:val="center"/>
              <w:rPr>
                <w:color w:val="000000"/>
                <w:kern w:val="0"/>
              </w:rPr>
            </w:pPr>
            <w:r>
              <w:rPr>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9" w:type="pct"/>
            <w:shd w:val="clear" w:color="000000" w:fill="FFFFFF"/>
            <w:vAlign w:val="center"/>
          </w:tcPr>
          <w:p>
            <w:pPr>
              <w:widowControl/>
              <w:jc w:val="center"/>
              <w:rPr>
                <w:b/>
                <w:bCs/>
                <w:color w:val="000000"/>
                <w:kern w:val="0"/>
              </w:rPr>
            </w:pPr>
            <w:r>
              <w:rPr>
                <w:b/>
                <w:bCs/>
                <w:color w:val="000000"/>
                <w:kern w:val="0"/>
              </w:rPr>
              <w:t>三</w:t>
            </w:r>
          </w:p>
        </w:tc>
        <w:tc>
          <w:tcPr>
            <w:tcW w:w="3710" w:type="pct"/>
            <w:gridSpan w:val="3"/>
            <w:shd w:val="clear" w:color="000000" w:fill="FFFFFF"/>
            <w:vAlign w:val="center"/>
          </w:tcPr>
          <w:p>
            <w:pPr>
              <w:widowControl/>
              <w:jc w:val="center"/>
              <w:rPr>
                <w:b/>
                <w:bCs/>
                <w:color w:val="000000"/>
                <w:kern w:val="0"/>
              </w:rPr>
            </w:pPr>
            <w:r>
              <w:rPr>
                <w:b/>
                <w:bCs/>
                <w:color w:val="000000"/>
                <w:kern w:val="0"/>
              </w:rPr>
              <w:t>数据资源层建设</w:t>
            </w:r>
          </w:p>
        </w:tc>
        <w:tc>
          <w:tcPr>
            <w:tcW w:w="770" w:type="pct"/>
            <w:shd w:val="clear" w:color="000000" w:fill="FFFFFF"/>
            <w:vAlign w:val="center"/>
          </w:tcPr>
          <w:p>
            <w:pPr>
              <w:widowControl/>
              <w:jc w:val="center"/>
              <w:rPr>
                <w:b/>
                <w:bCs/>
                <w:color w:val="000000"/>
                <w:kern w:val="0"/>
              </w:rPr>
            </w:pPr>
            <w:r>
              <w:rPr>
                <w:b/>
                <w:bCs/>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1</w:t>
            </w:r>
          </w:p>
        </w:tc>
        <w:tc>
          <w:tcPr>
            <w:tcW w:w="3710" w:type="pct"/>
            <w:gridSpan w:val="3"/>
            <w:shd w:val="clear" w:color="000000" w:fill="FFFFFF"/>
            <w:vAlign w:val="center"/>
          </w:tcPr>
          <w:p>
            <w:pPr>
              <w:widowControl/>
              <w:jc w:val="center"/>
              <w:rPr>
                <w:color w:val="000000"/>
                <w:kern w:val="0"/>
              </w:rPr>
            </w:pPr>
            <w:r>
              <w:rPr>
                <w:color w:val="000000"/>
                <w:kern w:val="0"/>
              </w:rPr>
              <w:t>数据采集、数据处理</w:t>
            </w:r>
          </w:p>
        </w:tc>
        <w:tc>
          <w:tcPr>
            <w:tcW w:w="770" w:type="pct"/>
            <w:shd w:val="clear" w:color="000000" w:fill="FFFFFF"/>
            <w:vAlign w:val="center"/>
          </w:tcPr>
          <w:p>
            <w:pPr>
              <w:widowControl/>
              <w:jc w:val="center"/>
              <w:rPr>
                <w:color w:val="000000"/>
                <w:kern w:val="0"/>
              </w:rPr>
            </w:pPr>
            <w:r>
              <w:rPr>
                <w:color w:val="000000"/>
                <w:kern w:val="0"/>
              </w:rPr>
              <w:t>20家企业计算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2</w:t>
            </w:r>
          </w:p>
        </w:tc>
        <w:tc>
          <w:tcPr>
            <w:tcW w:w="767" w:type="pct"/>
            <w:vMerge w:val="restart"/>
            <w:shd w:val="clear" w:color="000000" w:fill="FFFFFF"/>
            <w:vAlign w:val="center"/>
          </w:tcPr>
          <w:p>
            <w:pPr>
              <w:widowControl/>
              <w:jc w:val="center"/>
              <w:rPr>
                <w:color w:val="000000"/>
                <w:kern w:val="0"/>
              </w:rPr>
            </w:pPr>
            <w:r>
              <w:rPr>
                <w:color w:val="000000"/>
                <w:kern w:val="0"/>
              </w:rPr>
              <w:t>三维数据</w:t>
            </w:r>
          </w:p>
        </w:tc>
        <w:tc>
          <w:tcPr>
            <w:tcW w:w="2943" w:type="pct"/>
            <w:gridSpan w:val="2"/>
            <w:shd w:val="clear" w:color="auto" w:fill="auto"/>
            <w:noWrap/>
            <w:vAlign w:val="center"/>
          </w:tcPr>
          <w:p>
            <w:pPr>
              <w:widowControl/>
              <w:jc w:val="center"/>
              <w:rPr>
                <w:color w:val="000000"/>
                <w:kern w:val="0"/>
              </w:rPr>
            </w:pPr>
            <w:r>
              <w:rPr>
                <w:color w:val="000000"/>
                <w:kern w:val="0"/>
              </w:rPr>
              <w:t>企业排口基础数据采集</w:t>
            </w:r>
          </w:p>
        </w:tc>
        <w:tc>
          <w:tcPr>
            <w:tcW w:w="770" w:type="pct"/>
            <w:shd w:val="clear" w:color="000000" w:fill="FFFFFF"/>
            <w:vAlign w:val="center"/>
          </w:tcPr>
          <w:p>
            <w:pPr>
              <w:widowControl/>
              <w:jc w:val="center"/>
              <w:rPr>
                <w:color w:val="000000"/>
                <w:kern w:val="0"/>
              </w:rPr>
            </w:pPr>
            <w:r>
              <w:rPr>
                <w:color w:val="000000"/>
                <w:kern w:val="0"/>
              </w:rPr>
              <w:t>按一万个点位计算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3</w:t>
            </w:r>
          </w:p>
        </w:tc>
        <w:tc>
          <w:tcPr>
            <w:tcW w:w="767" w:type="pct"/>
            <w:vMerge w:val="continue"/>
            <w:vAlign w:val="center"/>
          </w:tcPr>
          <w:p>
            <w:pPr>
              <w:widowControl/>
              <w:jc w:val="left"/>
              <w:rPr>
                <w:color w:val="000000"/>
                <w:kern w:val="0"/>
              </w:rPr>
            </w:pPr>
          </w:p>
        </w:tc>
        <w:tc>
          <w:tcPr>
            <w:tcW w:w="2943" w:type="pct"/>
            <w:gridSpan w:val="2"/>
            <w:shd w:val="clear" w:color="000000" w:fill="FFFFFF"/>
            <w:vAlign w:val="center"/>
          </w:tcPr>
          <w:p>
            <w:pPr>
              <w:widowControl/>
              <w:jc w:val="center"/>
              <w:rPr>
                <w:color w:val="000000"/>
                <w:kern w:val="0"/>
              </w:rPr>
            </w:pPr>
            <w:r>
              <w:rPr>
                <w:color w:val="000000"/>
                <w:kern w:val="0"/>
              </w:rPr>
              <w:t>企业排口在线监测数据采集</w:t>
            </w:r>
          </w:p>
        </w:tc>
        <w:tc>
          <w:tcPr>
            <w:tcW w:w="770" w:type="pct"/>
            <w:shd w:val="clear" w:color="000000" w:fill="FFFFFF"/>
            <w:vAlign w:val="center"/>
          </w:tcPr>
          <w:p>
            <w:pPr>
              <w:widowControl/>
              <w:jc w:val="center"/>
              <w:rPr>
                <w:color w:val="000000"/>
                <w:kern w:val="0"/>
              </w:rPr>
            </w:pPr>
            <w:r>
              <w:rPr>
                <w:color w:val="000000"/>
                <w:kern w:val="0"/>
              </w:rPr>
              <w:t>按一万个点位计算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4</w:t>
            </w:r>
          </w:p>
        </w:tc>
        <w:tc>
          <w:tcPr>
            <w:tcW w:w="767" w:type="pct"/>
            <w:vMerge w:val="continue"/>
            <w:vAlign w:val="center"/>
          </w:tcPr>
          <w:p>
            <w:pPr>
              <w:widowControl/>
              <w:jc w:val="left"/>
              <w:rPr>
                <w:color w:val="000000"/>
                <w:kern w:val="0"/>
              </w:rPr>
            </w:pPr>
          </w:p>
        </w:tc>
        <w:tc>
          <w:tcPr>
            <w:tcW w:w="2943" w:type="pct"/>
            <w:gridSpan w:val="2"/>
            <w:shd w:val="clear" w:color="000000" w:fill="FFFFFF"/>
            <w:vAlign w:val="center"/>
          </w:tcPr>
          <w:p>
            <w:pPr>
              <w:widowControl/>
              <w:jc w:val="center"/>
              <w:rPr>
                <w:color w:val="000000"/>
                <w:kern w:val="0"/>
              </w:rPr>
            </w:pPr>
            <w:r>
              <w:rPr>
                <w:color w:val="000000"/>
                <w:kern w:val="0"/>
              </w:rPr>
              <w:t>三维数据更新</w:t>
            </w:r>
          </w:p>
        </w:tc>
        <w:tc>
          <w:tcPr>
            <w:tcW w:w="770" w:type="pct"/>
            <w:shd w:val="clear" w:color="000000" w:fill="FFFFFF"/>
            <w:vAlign w:val="center"/>
          </w:tcPr>
          <w:p>
            <w:pPr>
              <w:widowControl/>
              <w:jc w:val="center"/>
              <w:rPr>
                <w:color w:val="000000"/>
                <w:kern w:val="0"/>
              </w:rPr>
            </w:pPr>
            <w:r>
              <w:rPr>
                <w:color w:val="000000"/>
                <w:kern w:val="0"/>
              </w:rPr>
              <w:t>2年内更新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19" w:type="pct"/>
            <w:shd w:val="clear" w:color="000000" w:fill="FFFFFF"/>
            <w:vAlign w:val="center"/>
          </w:tcPr>
          <w:p>
            <w:pPr>
              <w:widowControl/>
              <w:jc w:val="center"/>
              <w:rPr>
                <w:rFonts w:eastAsia="等线"/>
                <w:color w:val="000000"/>
                <w:kern w:val="0"/>
              </w:rPr>
            </w:pPr>
            <w:r>
              <w:rPr>
                <w:rFonts w:eastAsia="等线"/>
                <w:color w:val="000000"/>
                <w:kern w:val="0"/>
              </w:rPr>
              <w:t>5</w:t>
            </w:r>
          </w:p>
        </w:tc>
        <w:tc>
          <w:tcPr>
            <w:tcW w:w="3710" w:type="pct"/>
            <w:gridSpan w:val="3"/>
            <w:shd w:val="clear" w:color="000000" w:fill="FFFFFF"/>
            <w:vAlign w:val="center"/>
          </w:tcPr>
          <w:p>
            <w:pPr>
              <w:widowControl/>
              <w:jc w:val="center"/>
              <w:rPr>
                <w:color w:val="000000"/>
                <w:kern w:val="0"/>
              </w:rPr>
            </w:pPr>
            <w:r>
              <w:rPr>
                <w:color w:val="000000"/>
                <w:kern w:val="0"/>
              </w:rPr>
              <w:t>数据库建设</w:t>
            </w:r>
          </w:p>
        </w:tc>
        <w:tc>
          <w:tcPr>
            <w:tcW w:w="770" w:type="pct"/>
            <w:shd w:val="clear" w:color="000000" w:fill="FFFFFF"/>
            <w:vAlign w:val="center"/>
          </w:tcPr>
          <w:p>
            <w:pPr>
              <w:widowControl/>
              <w:jc w:val="center"/>
              <w:rPr>
                <w:color w:val="000000"/>
                <w:kern w:val="0"/>
              </w:rPr>
            </w:pPr>
            <w:r>
              <w:rPr>
                <w:color w:val="000000"/>
                <w:kern w:val="0"/>
              </w:rPr>
              <w:t>5个数据库</w:t>
            </w:r>
          </w:p>
        </w:tc>
      </w:tr>
    </w:tbl>
    <w:p>
      <w:pPr>
        <w:spacing w:line="360" w:lineRule="auto"/>
        <w:rPr>
          <w:rFonts w:ascii="宋体" w:hAnsi="宋体" w:cs="宋体"/>
          <w:kern w:val="0"/>
          <w:szCs w:val="21"/>
        </w:rPr>
      </w:pPr>
    </w:p>
    <w:p>
      <w:pPr>
        <w:rPr>
          <w:rFonts w:ascii="宋体" w:hAnsi="宋体"/>
          <w:b/>
          <w:kern w:val="1"/>
          <w:szCs w:val="21"/>
        </w:rPr>
      </w:pPr>
      <w:r>
        <w:rPr>
          <w:rFonts w:hint="eastAsia" w:ascii="宋体" w:hAnsi="宋体"/>
          <w:b/>
          <w:kern w:val="1"/>
          <w:szCs w:val="21"/>
        </w:rPr>
        <w:br w:type="page"/>
      </w:r>
    </w:p>
    <w:p>
      <w:pPr>
        <w:widowControl/>
        <w:tabs>
          <w:tab w:val="left" w:pos="420"/>
          <w:tab w:val="left" w:pos="851"/>
        </w:tabs>
        <w:spacing w:line="360" w:lineRule="auto"/>
        <w:ind w:firstLine="424" w:firstLineChars="201"/>
        <w:jc w:val="left"/>
        <w:rPr>
          <w:rFonts w:ascii="宋体" w:hAnsi="宋体"/>
          <w:b/>
          <w:kern w:val="1"/>
          <w:szCs w:val="21"/>
        </w:rPr>
      </w:pPr>
      <w:r>
        <w:rPr>
          <w:rFonts w:hint="eastAsia" w:ascii="宋体" w:hAnsi="宋体"/>
          <w:b/>
          <w:kern w:val="1"/>
          <w:szCs w:val="21"/>
        </w:rPr>
        <w:t>二</w:t>
      </w:r>
      <w:r>
        <w:rPr>
          <w:rFonts w:ascii="宋体" w:hAnsi="宋体"/>
          <w:b/>
          <w:kern w:val="1"/>
          <w:szCs w:val="21"/>
        </w:rPr>
        <w:t>、商务要求</w:t>
      </w:r>
    </w:p>
    <w:tbl>
      <w:tblPr>
        <w:tblStyle w:val="45"/>
        <w:tblW w:w="8222" w:type="dxa"/>
        <w:tblInd w:w="108" w:type="dxa"/>
        <w:tblLayout w:type="fixed"/>
        <w:tblCellMar>
          <w:top w:w="0" w:type="dxa"/>
          <w:left w:w="108" w:type="dxa"/>
          <w:bottom w:w="0" w:type="dxa"/>
          <w:right w:w="108" w:type="dxa"/>
        </w:tblCellMar>
      </w:tblPr>
      <w:tblGrid>
        <w:gridCol w:w="1560"/>
        <w:gridCol w:w="6662"/>
      </w:tblGrid>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项目</w:t>
            </w:r>
          </w:p>
        </w:tc>
        <w:tc>
          <w:tcPr>
            <w:tcW w:w="666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要求</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服务期限</w:t>
            </w:r>
          </w:p>
        </w:tc>
        <w:tc>
          <w:tcPr>
            <w:tcW w:w="666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2024年7月前完成所有建设内容并通过项目初验进入试运行阶段，2024年10月完成项目终验。</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kern w:val="1"/>
                <w:szCs w:val="21"/>
              </w:rPr>
            </w:pPr>
            <w:r>
              <w:rPr>
                <w:rFonts w:hint="eastAsia" w:asciiTheme="minorEastAsia" w:hAnsiTheme="minorEastAsia" w:eastAsiaTheme="minorEastAsia"/>
                <w:kern w:val="1"/>
                <w:szCs w:val="21"/>
              </w:rPr>
              <w:t>成果交付地点</w:t>
            </w:r>
          </w:p>
        </w:tc>
        <w:tc>
          <w:tcPr>
            <w:tcW w:w="666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kern w:val="1"/>
                <w:szCs w:val="21"/>
              </w:rPr>
            </w:pPr>
            <w:r>
              <w:rPr>
                <w:rFonts w:hint="eastAsia" w:asciiTheme="minorEastAsia" w:hAnsiTheme="minorEastAsia" w:eastAsiaTheme="minorEastAsia"/>
                <w:kern w:val="1"/>
                <w:szCs w:val="21"/>
              </w:rPr>
              <w:t>招标人指定地点。</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质量标准</w:t>
            </w:r>
          </w:p>
        </w:tc>
        <w:tc>
          <w:tcPr>
            <w:tcW w:w="666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b/>
                <w:kern w:val="1"/>
                <w:szCs w:val="21"/>
              </w:rPr>
            </w:pPr>
            <w:r>
              <w:rPr>
                <w:rFonts w:hint="eastAsia" w:asciiTheme="minorEastAsia" w:hAnsiTheme="minorEastAsia" w:eastAsiaTheme="minorEastAsia"/>
                <w:kern w:val="1"/>
                <w:szCs w:val="21"/>
              </w:rPr>
              <w:t>成果质量必须执行国家相关标准、行业标准、地方标准或者其它标准、规范（从严）：具有国家标准及规范的，按最新的标准及规范执行；具有行业标准及规范的，按最新的标准及规范执行；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kern w:val="1"/>
              </w:rPr>
              <w:t>具有</w:t>
            </w:r>
            <w:r>
              <w:rPr>
                <w:rFonts w:hint="eastAsia" w:asciiTheme="minorEastAsia" w:hAnsiTheme="minorEastAsia" w:eastAsiaTheme="minorEastAsia"/>
                <w:kern w:val="1"/>
                <w:szCs w:val="21"/>
              </w:rPr>
              <w:t>其他标准及规范的，按照最新的标准及规范执行。</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签订合同时间</w:t>
            </w:r>
          </w:p>
        </w:tc>
        <w:tc>
          <w:tcPr>
            <w:tcW w:w="666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b/>
                <w:kern w:val="1"/>
                <w:szCs w:val="21"/>
              </w:rPr>
            </w:pPr>
            <w:r>
              <w:rPr>
                <w:rFonts w:hint="eastAsia" w:asciiTheme="minorEastAsia" w:hAnsiTheme="minorEastAsia" w:eastAsiaTheme="minorEastAsia"/>
                <w:kern w:val="1"/>
                <w:szCs w:val="21"/>
              </w:rPr>
              <w:t>中标通知书发出之日起30日内签订合同，具体签约时间以招标人通知为准。</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合同款项支付条件及方式</w:t>
            </w:r>
          </w:p>
        </w:tc>
        <w:tc>
          <w:tcPr>
            <w:tcW w:w="666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bCs/>
                <w:kern w:val="1"/>
                <w:szCs w:val="21"/>
              </w:rPr>
            </w:pPr>
            <w:r>
              <w:rPr>
                <w:rFonts w:hint="eastAsia" w:asciiTheme="minorEastAsia" w:hAnsiTheme="minorEastAsia" w:eastAsiaTheme="minorEastAsia"/>
                <w:bCs/>
                <w:kern w:val="1"/>
                <w:szCs w:val="21"/>
              </w:rPr>
              <w:t>采用分段式支付。</w:t>
            </w:r>
          </w:p>
          <w:p>
            <w:pPr>
              <w:spacing w:line="360" w:lineRule="auto"/>
              <w:jc w:val="left"/>
            </w:pPr>
            <w:r>
              <w:rPr>
                <w:rFonts w:hint="eastAsia"/>
              </w:rPr>
              <w:t>（一）合同签订并生效后 7 个工作日内支付合同总金额的 40%；</w:t>
            </w:r>
          </w:p>
          <w:p>
            <w:pPr>
              <w:spacing w:line="360" w:lineRule="auto"/>
              <w:jc w:val="left"/>
            </w:pPr>
            <w:r>
              <w:rPr>
                <w:rFonts w:hint="eastAsia"/>
              </w:rPr>
              <w:t>（二）项目通过初验后 7个工作日内支付合同总金额的40%；</w:t>
            </w:r>
          </w:p>
          <w:p>
            <w:pPr>
              <w:spacing w:line="360" w:lineRule="auto"/>
              <w:jc w:val="left"/>
              <w:rPr>
                <w:rFonts w:asciiTheme="minorEastAsia" w:hAnsiTheme="minorEastAsia"/>
                <w:bCs/>
                <w:kern w:val="1"/>
                <w:szCs w:val="21"/>
              </w:rPr>
            </w:pPr>
            <w:r>
              <w:rPr>
                <w:rFonts w:hint="eastAsia"/>
              </w:rPr>
              <w:t>（三）项目建设完成，并通过采购人组织的最终验收后 15个工作日内支付剩余合同款项。</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rPr>
              <w:t>发票要求</w:t>
            </w:r>
          </w:p>
        </w:tc>
        <w:tc>
          <w:tcPr>
            <w:tcW w:w="6662"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4" w:rightChars="16"/>
              <w:jc w:val="left"/>
              <w:rPr>
                <w:rFonts w:asciiTheme="minorEastAsia" w:hAnsiTheme="minorEastAsia" w:eastAsiaTheme="minorEastAsia"/>
                <w:szCs w:val="21"/>
              </w:rPr>
            </w:pPr>
            <w:r>
              <w:rPr>
                <w:rFonts w:hint="eastAsia" w:asciiTheme="minorEastAsia" w:hAnsiTheme="minorEastAsia" w:eastAsiaTheme="minorEastAsia"/>
                <w:szCs w:val="21"/>
              </w:rPr>
              <w:t>1）中标人应在招标人支付费用前，依据相应的金额，先行向招标人提供足额且符合税法规定的发票。招标人在收到中标人提供的发票后在合同约定的时间支付相应款项，否则招标人有权延迟支付相应费用而不被视为违约，亦无须承担任何违约责任。</w:t>
            </w:r>
          </w:p>
          <w:p>
            <w:pPr>
              <w:spacing w:line="360" w:lineRule="auto"/>
              <w:ind w:right="34" w:rightChars="16"/>
              <w:jc w:val="left"/>
              <w:rPr>
                <w:rFonts w:cs="宋体" w:asciiTheme="minorEastAsia" w:hAnsiTheme="minorEastAsia" w:eastAsiaTheme="minorEastAsia"/>
                <w:szCs w:val="21"/>
              </w:rPr>
            </w:pPr>
            <w:r>
              <w:rPr>
                <w:rFonts w:hint="eastAsia" w:asciiTheme="minorEastAsia" w:hAnsiTheme="minorEastAsia" w:eastAsiaTheme="minorEastAsia"/>
                <w:szCs w:val="21"/>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招标人造成的一切损失。</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履约保证金</w:t>
            </w:r>
          </w:p>
        </w:tc>
        <w:tc>
          <w:tcPr>
            <w:tcW w:w="6662"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4" w:rightChars="16"/>
              <w:jc w:val="left"/>
              <w:rPr>
                <w:rFonts w:asciiTheme="minorEastAsia" w:hAnsiTheme="minorEastAsia" w:eastAsiaTheme="minorEastAsia"/>
                <w:b/>
                <w:kern w:val="1"/>
                <w:szCs w:val="21"/>
              </w:rPr>
            </w:pPr>
            <w:r>
              <w:rPr>
                <w:rFonts w:hint="eastAsia" w:asciiTheme="minorEastAsia" w:hAnsiTheme="minorEastAsia" w:eastAsiaTheme="minorEastAsia"/>
                <w:bCs/>
                <w:kern w:val="1"/>
                <w:szCs w:val="21"/>
              </w:rPr>
              <w:t>本项目无需递交履约保证金。</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其他</w:t>
            </w:r>
          </w:p>
        </w:tc>
        <w:tc>
          <w:tcPr>
            <w:tcW w:w="6662"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4" w:rightChars="16"/>
              <w:jc w:val="left"/>
              <w:rPr>
                <w:rFonts w:asciiTheme="minorEastAsia" w:hAnsiTheme="minorEastAsia" w:eastAsiaTheme="minorEastAsia"/>
              </w:rPr>
            </w:pPr>
            <w:r>
              <w:rPr>
                <w:rFonts w:hint="eastAsia" w:asciiTheme="minorEastAsia" w:hAnsiTheme="minorEastAsia" w:eastAsiaTheme="minorEastAsia"/>
                <w:szCs w:val="21"/>
              </w:rPr>
              <w:t>在合同执行过程中，中标人应承担由于其行为所造成的招标人或第三人的人身伤害、财产损失或损坏的责任，无论何种原因所造成，招标人均不负责。</w:t>
            </w:r>
          </w:p>
        </w:tc>
      </w:tr>
    </w:tbl>
    <w:p>
      <w:pPr>
        <w:pStyle w:val="42"/>
        <w:spacing w:before="0" w:after="0" w:line="360" w:lineRule="auto"/>
        <w:rPr>
          <w:rFonts w:ascii="宋体" w:hAnsi="宋体" w:eastAsia="宋体"/>
          <w:sz w:val="32"/>
        </w:rPr>
      </w:pPr>
      <w:r>
        <w:rPr>
          <w:rFonts w:ascii="宋体" w:hAnsi="宋体" w:eastAsia="宋体"/>
        </w:rPr>
        <w:br w:type="page"/>
      </w:r>
      <w:bookmarkStart w:id="51" w:name="_Toc6846"/>
      <w:r>
        <w:rPr>
          <w:rFonts w:hint="eastAsia" w:ascii="宋体" w:hAnsi="宋体" w:eastAsia="宋体"/>
          <w:sz w:val="24"/>
        </w:rPr>
        <w:t>第三章  投标人须知</w:t>
      </w:r>
      <w:bookmarkEnd w:id="51"/>
    </w:p>
    <w:p>
      <w:pPr>
        <w:spacing w:line="360" w:lineRule="auto"/>
        <w:jc w:val="center"/>
        <w:rPr>
          <w:rFonts w:ascii="宋体" w:hAnsi="宋体"/>
          <w:b/>
          <w:szCs w:val="21"/>
        </w:rPr>
      </w:pPr>
      <w:r>
        <w:rPr>
          <w:rFonts w:hint="eastAsia" w:ascii="宋体" w:hAnsi="宋体"/>
          <w:b/>
          <w:szCs w:val="21"/>
        </w:rPr>
        <w:t>《投标人须知前附表》</w:t>
      </w:r>
    </w:p>
    <w:p>
      <w:pPr>
        <w:spacing w:line="360" w:lineRule="auto"/>
        <w:ind w:firstLine="424" w:firstLineChars="202"/>
        <w:jc w:val="left"/>
        <w:rPr>
          <w:rFonts w:ascii="宋体" w:hAnsi="宋体"/>
          <w:szCs w:val="22"/>
        </w:rPr>
      </w:pPr>
      <w:r>
        <w:rPr>
          <w:rStyle w:val="388"/>
          <w:rFonts w:hint="default"/>
          <w:color w:val="auto"/>
          <w:sz w:val="21"/>
        </w:rPr>
        <w:t>说明：</w:t>
      </w:r>
      <w:r>
        <w:rPr>
          <w:rStyle w:val="388"/>
          <w:rFonts w:hint="default"/>
          <w:color w:val="auto"/>
        </w:rPr>
        <w:t>投标人应仔细阅读招标文件的《第三章  投标人须知》，下面所列资料是对“投标人须知”的具体补充和说明。如有矛盾，以本表为准。</w:t>
      </w:r>
    </w:p>
    <w:tbl>
      <w:tblPr>
        <w:tblStyle w:val="45"/>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721"/>
        <w:gridCol w:w="5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172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b/>
                <w:szCs w:val="21"/>
              </w:rPr>
            </w:pPr>
            <w:r>
              <w:rPr>
                <w:rFonts w:hint="eastAsia" w:asciiTheme="minorEastAsia" w:hAnsiTheme="minorEastAsia" w:eastAsiaTheme="minorEastAsia"/>
                <w:b/>
                <w:szCs w:val="21"/>
              </w:rPr>
              <w:t>条款名称</w:t>
            </w:r>
          </w:p>
        </w:tc>
        <w:tc>
          <w:tcPr>
            <w:tcW w:w="558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b/>
                <w:szCs w:val="21"/>
              </w:rPr>
            </w:pPr>
            <w:r>
              <w:rPr>
                <w:rFonts w:hint="eastAsia" w:asciiTheme="minorEastAsia" w:hAnsiTheme="minorEastAsia" w:eastAsiaTheme="minorEastAsia"/>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3.1</w:t>
            </w:r>
          </w:p>
        </w:tc>
        <w:tc>
          <w:tcPr>
            <w:tcW w:w="172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采购人</w:t>
            </w:r>
          </w:p>
        </w:tc>
        <w:tc>
          <w:tcPr>
            <w:tcW w:w="5582"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heme="minorEastAsia" w:hAnsiTheme="minorEastAsia" w:eastAsiaTheme="minorEastAsia"/>
                <w:szCs w:val="21"/>
              </w:rPr>
            </w:pPr>
            <w:r>
              <w:rPr>
                <w:rFonts w:hint="eastAsia" w:asciiTheme="minorEastAsia" w:hAnsiTheme="minorEastAsia" w:eastAsiaTheme="minorEastAsia"/>
                <w:szCs w:val="21"/>
              </w:rPr>
              <w:t>宁波市生态环境局镇海分局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172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采购代理机构</w:t>
            </w:r>
          </w:p>
        </w:tc>
        <w:tc>
          <w:tcPr>
            <w:tcW w:w="5582"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heme="minorEastAsia" w:hAnsiTheme="minorEastAsia" w:eastAsiaTheme="minorEastAsia"/>
                <w:szCs w:val="21"/>
              </w:rPr>
            </w:pPr>
            <w:r>
              <w:rPr>
                <w:rFonts w:hint="eastAsia" w:asciiTheme="minorEastAsia" w:hAnsiTheme="minorEastAsia" w:eastAsiaTheme="minorEastAsia"/>
                <w:szCs w:val="21"/>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3.3</w:t>
            </w:r>
          </w:p>
        </w:tc>
        <w:tc>
          <w:tcPr>
            <w:tcW w:w="172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政府采购监督管理部门</w:t>
            </w:r>
          </w:p>
        </w:tc>
        <w:tc>
          <w:tcPr>
            <w:tcW w:w="5582"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heme="minorEastAsia" w:hAnsiTheme="minorEastAsia" w:eastAsiaTheme="minorEastAsia"/>
                <w:szCs w:val="21"/>
              </w:rPr>
            </w:pPr>
            <w:r>
              <w:rPr>
                <w:rFonts w:hint="eastAsia" w:cs="Arial" w:asciiTheme="minorEastAsia" w:hAnsiTheme="minorEastAsia" w:eastAsiaTheme="minorEastAsia"/>
                <w:szCs w:val="21"/>
              </w:rPr>
              <w:t>镇海</w:t>
            </w:r>
            <w:r>
              <w:rPr>
                <w:rFonts w:cs="Arial" w:asciiTheme="minorEastAsia" w:hAnsiTheme="minorEastAsia" w:eastAsiaTheme="minorEastAsia"/>
                <w:szCs w:val="21"/>
              </w:rPr>
              <w:t>区</w:t>
            </w:r>
            <w:r>
              <w:rPr>
                <w:rFonts w:hint="eastAsia" w:cs="Arial" w:asciiTheme="minorEastAsia" w:hAnsiTheme="minorEastAsia" w:eastAsiaTheme="minorEastAsia"/>
                <w:szCs w:val="21"/>
              </w:rPr>
              <w:t>政府</w:t>
            </w:r>
            <w:r>
              <w:rPr>
                <w:rFonts w:cs="Arial" w:asciiTheme="minorEastAsia" w:hAnsiTheme="minorEastAsia" w:eastAsiaTheme="minorEastAsia"/>
                <w:szCs w:val="21"/>
              </w:rPr>
              <w:t>采购管理办公室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3.4（4）</w:t>
            </w:r>
          </w:p>
        </w:tc>
        <w:tc>
          <w:tcPr>
            <w:tcW w:w="1721"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line="288" w:lineRule="auto"/>
              <w:jc w:val="left"/>
              <w:rPr>
                <w:rFonts w:asciiTheme="minorEastAsia" w:hAnsiTheme="minorEastAsia" w:eastAsiaTheme="minorEastAsia"/>
                <w:b/>
                <w:sz w:val="21"/>
                <w:szCs w:val="21"/>
              </w:rPr>
            </w:pPr>
            <w:r>
              <w:rPr>
                <w:rFonts w:hint="eastAsia" w:asciiTheme="minorEastAsia" w:hAnsiTheme="minorEastAsia" w:eastAsiaTheme="minorEastAsia"/>
                <w:sz w:val="21"/>
                <w:szCs w:val="21"/>
              </w:rPr>
              <w:t>是否为专门面向中小企业采购</w:t>
            </w:r>
          </w:p>
        </w:tc>
        <w:tc>
          <w:tcPr>
            <w:tcW w:w="5582" w:type="dxa"/>
            <w:tcBorders>
              <w:top w:val="single" w:color="auto" w:sz="4" w:space="0"/>
              <w:left w:val="single" w:color="auto" w:sz="4" w:space="0"/>
              <w:bottom w:val="single" w:color="auto" w:sz="4" w:space="0"/>
              <w:right w:val="single" w:color="auto" w:sz="4" w:space="0"/>
            </w:tcBorders>
            <w:vAlign w:val="center"/>
          </w:tcPr>
          <w:p>
            <w:pPr>
              <w:pStyle w:val="325"/>
              <w:widowControl w:val="0"/>
              <w:tabs>
                <w:tab w:val="left" w:pos="507"/>
              </w:tabs>
              <w:spacing w:before="0" w:beforeAutospacing="0" w:afterAutospacing="0" w:line="288" w:lineRule="auto"/>
              <w:jc w:val="both"/>
              <w:rPr>
                <w:rFonts w:asciiTheme="minorEastAsia" w:hAnsiTheme="minorEastAsia" w:eastAsiaTheme="minorEastAsia"/>
                <w:b/>
                <w:bCs/>
                <w:sz w:val="21"/>
                <w:szCs w:val="21"/>
              </w:rPr>
            </w:pPr>
            <w:r>
              <w:rPr>
                <w:rFonts w:hint="eastAsia" w:asciiTheme="minorEastAsia" w:hAnsiTheme="minorEastAsia" w:eastAsiaTheme="minorEastAsia"/>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11.3</w:t>
            </w:r>
          </w:p>
        </w:tc>
        <w:tc>
          <w:tcPr>
            <w:tcW w:w="172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质疑函递交方式、接收部门、联系电话和通讯地址</w:t>
            </w:r>
          </w:p>
        </w:tc>
        <w:tc>
          <w:tcPr>
            <w:tcW w:w="5582"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line="288" w:lineRule="auto"/>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递交方式：</w:t>
            </w:r>
            <w:r>
              <w:rPr>
                <w:rFonts w:hint="eastAsia" w:asciiTheme="minorEastAsia" w:hAnsiTheme="minorEastAsia" w:eastAsiaTheme="minorEastAsia"/>
                <w:sz w:val="21"/>
                <w:szCs w:val="21"/>
                <w:u w:val="single"/>
              </w:rPr>
              <w:t>书面形式</w:t>
            </w:r>
          </w:p>
          <w:p>
            <w:pPr>
              <w:pStyle w:val="325"/>
              <w:widowControl w:val="0"/>
              <w:spacing w:before="0" w:beforeAutospacing="0" w:afterAutospacing="0" w:line="288" w:lineRule="auto"/>
              <w:jc w:val="both"/>
              <w:rPr>
                <w:rFonts w:asciiTheme="minorEastAsia" w:hAnsiTheme="minorEastAsia" w:eastAsiaTheme="minorEastAsia"/>
                <w:b/>
                <w:bCs/>
                <w:sz w:val="21"/>
                <w:szCs w:val="21"/>
                <w:u w:val="single"/>
              </w:rPr>
            </w:pPr>
            <w:r>
              <w:rPr>
                <w:rFonts w:hint="eastAsia" w:asciiTheme="minorEastAsia" w:hAnsiTheme="minorEastAsia" w:eastAsiaTheme="minorEastAsia"/>
                <w:sz w:val="21"/>
                <w:szCs w:val="21"/>
              </w:rPr>
              <w:t>接收部门：</w:t>
            </w:r>
            <w:r>
              <w:rPr>
                <w:rFonts w:hint="eastAsia" w:asciiTheme="minorEastAsia" w:hAnsiTheme="minorEastAsia" w:eastAsiaTheme="minorEastAsia"/>
                <w:sz w:val="21"/>
                <w:szCs w:val="21"/>
                <w:u w:val="single"/>
              </w:rPr>
              <w:t>综合办</w:t>
            </w:r>
          </w:p>
          <w:p>
            <w:pPr>
              <w:pStyle w:val="325"/>
              <w:widowControl w:val="0"/>
              <w:spacing w:before="0" w:beforeAutospacing="0" w:afterAutospacing="0" w:line="288" w:lineRule="auto"/>
              <w:jc w:val="both"/>
              <w:rPr>
                <w:rFonts w:asciiTheme="minorEastAsia" w:hAnsiTheme="minorEastAsia" w:eastAsiaTheme="minorEastAsia"/>
                <w:b/>
                <w:bCs/>
                <w:sz w:val="21"/>
                <w:szCs w:val="21"/>
                <w:u w:val="single"/>
              </w:rPr>
            </w:pPr>
            <w:r>
              <w:rPr>
                <w:rFonts w:asciiTheme="minorEastAsia" w:hAnsiTheme="minorEastAsia" w:eastAsiaTheme="minorEastAsia"/>
                <w:sz w:val="21"/>
                <w:szCs w:val="21"/>
              </w:rPr>
              <w:t>联系电话：</w:t>
            </w:r>
            <w:r>
              <w:rPr>
                <w:rFonts w:hint="eastAsia" w:asciiTheme="minorEastAsia" w:hAnsiTheme="minorEastAsia" w:eastAsiaTheme="minorEastAsia"/>
                <w:bCs/>
                <w:sz w:val="21"/>
                <w:szCs w:val="21"/>
                <w:u w:val="single"/>
              </w:rPr>
              <w:t>0574-87101271</w:t>
            </w:r>
          </w:p>
          <w:p>
            <w:pPr>
              <w:spacing w:line="288" w:lineRule="auto"/>
              <w:ind w:firstLine="29" w:firstLineChars="14"/>
              <w:jc w:val="left"/>
              <w:rPr>
                <w:rFonts w:asciiTheme="minorEastAsia" w:hAnsiTheme="minorEastAsia" w:eastAsiaTheme="minorEastAsia"/>
                <w:bCs/>
                <w:szCs w:val="21"/>
              </w:rPr>
            </w:pPr>
            <w:r>
              <w:rPr>
                <w:rFonts w:hint="eastAsia" w:asciiTheme="minorEastAsia" w:hAnsiTheme="minorEastAsia" w:eastAsiaTheme="minorEastAsia"/>
                <w:szCs w:val="21"/>
              </w:rPr>
              <w:t>通讯地址：</w:t>
            </w:r>
            <w:r>
              <w:rPr>
                <w:rFonts w:hint="eastAsia" w:asciiTheme="minorEastAsia" w:hAnsiTheme="minorEastAsia" w:eastAsiaTheme="minorEastAsia"/>
                <w:bCs/>
                <w:szCs w:val="21"/>
                <w:u w:val="single"/>
              </w:rPr>
              <w:t>宁波市海曙区青石巷5号永煌大厦9楼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14.1</w:t>
            </w:r>
          </w:p>
        </w:tc>
        <w:tc>
          <w:tcPr>
            <w:tcW w:w="172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采购</w:t>
            </w:r>
            <w:r>
              <w:rPr>
                <w:rFonts w:asciiTheme="minorEastAsia" w:hAnsiTheme="minorEastAsia" w:eastAsiaTheme="minorEastAsia"/>
                <w:szCs w:val="21"/>
              </w:rPr>
              <w:t>代理</w:t>
            </w:r>
            <w:r>
              <w:rPr>
                <w:rFonts w:hint="eastAsia" w:asciiTheme="minorEastAsia" w:hAnsiTheme="minorEastAsia" w:eastAsiaTheme="minorEastAsia"/>
                <w:szCs w:val="21"/>
              </w:rPr>
              <w:t>服务</w:t>
            </w:r>
            <w:r>
              <w:rPr>
                <w:rFonts w:asciiTheme="minorEastAsia" w:hAnsiTheme="minorEastAsia" w:eastAsiaTheme="minorEastAsia"/>
                <w:szCs w:val="21"/>
              </w:rPr>
              <w:t>费用的收取标准</w:t>
            </w:r>
          </w:p>
        </w:tc>
        <w:tc>
          <w:tcPr>
            <w:tcW w:w="5582" w:type="dxa"/>
            <w:tcBorders>
              <w:top w:val="single" w:color="auto" w:sz="4" w:space="0"/>
              <w:left w:val="single" w:color="auto" w:sz="4" w:space="0"/>
              <w:bottom w:val="single" w:color="auto" w:sz="4" w:space="0"/>
              <w:right w:val="single" w:color="auto" w:sz="4" w:space="0"/>
            </w:tcBorders>
            <w:vAlign w:val="center"/>
          </w:tcPr>
          <w:p>
            <w:pPr>
              <w:spacing w:line="288" w:lineRule="auto"/>
              <w:ind w:firstLine="29" w:firstLineChars="14"/>
              <w:jc w:val="left"/>
              <w:rPr>
                <w:rFonts w:asciiTheme="minorEastAsia" w:hAnsiTheme="minorEastAsia" w:eastAsiaTheme="minorEastAsia"/>
                <w:bCs/>
              </w:rPr>
            </w:pPr>
            <w:r>
              <w:rPr>
                <w:rFonts w:hint="eastAsia" w:asciiTheme="minorEastAsia" w:hAnsiTheme="minorEastAsia" w:eastAsiaTheme="minorEastAsia"/>
                <w:bCs/>
              </w:rPr>
              <w:t>1.根据国家发改委发改办价格[2003]857号通知和原国家计委计价格[2002]1980号文件规定的收费费率为取费标准。</w:t>
            </w:r>
          </w:p>
          <w:p>
            <w:pPr>
              <w:spacing w:line="288" w:lineRule="auto"/>
              <w:ind w:firstLine="29" w:firstLineChars="14"/>
              <w:jc w:val="left"/>
              <w:rPr>
                <w:rFonts w:asciiTheme="minorEastAsia" w:hAnsiTheme="minorEastAsia" w:eastAsiaTheme="minorEastAsia"/>
                <w:bCs/>
                <w:szCs w:val="21"/>
              </w:rPr>
            </w:pPr>
            <w:r>
              <w:rPr>
                <w:rFonts w:hint="eastAsia" w:asciiTheme="minorEastAsia" w:hAnsiTheme="minorEastAsia" w:eastAsiaTheme="minorEastAsia"/>
                <w:bCs/>
              </w:rPr>
              <w:t>2.以中标通知书确定的中标总金额为计算基数，结合上述费率标准计算本项目的代理服务费用。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14.2</w:t>
            </w:r>
          </w:p>
        </w:tc>
        <w:tc>
          <w:tcPr>
            <w:tcW w:w="172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采购代理服务费的支付</w:t>
            </w:r>
          </w:p>
        </w:tc>
        <w:tc>
          <w:tcPr>
            <w:tcW w:w="5582" w:type="dxa"/>
            <w:tcBorders>
              <w:top w:val="single" w:color="auto" w:sz="4" w:space="0"/>
              <w:left w:val="single" w:color="auto" w:sz="4" w:space="0"/>
              <w:bottom w:val="single" w:color="auto" w:sz="4" w:space="0"/>
              <w:right w:val="single" w:color="auto" w:sz="4" w:space="0"/>
            </w:tcBorders>
            <w:vAlign w:val="center"/>
          </w:tcPr>
          <w:p>
            <w:pPr>
              <w:spacing w:line="288" w:lineRule="auto"/>
              <w:ind w:firstLine="29" w:firstLineChars="14"/>
              <w:jc w:val="left"/>
              <w:rPr>
                <w:rFonts w:asciiTheme="minorEastAsia" w:hAnsiTheme="minorEastAsia" w:eastAsiaTheme="minorEastAsia"/>
                <w:bCs/>
                <w:szCs w:val="21"/>
              </w:rPr>
            </w:pPr>
            <w:r>
              <w:rPr>
                <w:rFonts w:hint="eastAsia" w:asciiTheme="minorEastAsia" w:hAnsiTheme="minorEastAsia" w:eastAsiaTheme="minorEastAsia"/>
                <w:bCs/>
                <w:szCs w:val="21"/>
              </w:rPr>
              <w:t>本项目代理服务费由中标人支付，中标人在领取中标通知书时一次性全额支付，代理服务费金额为固定金额，不随项目合同金额的增减而浮动。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9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721"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line="288" w:lineRule="auto"/>
              <w:jc w:val="left"/>
              <w:rPr>
                <w:rFonts w:asciiTheme="minorEastAsia" w:hAnsiTheme="minorEastAsia" w:eastAsiaTheme="minorEastAsia"/>
                <w:b/>
                <w:sz w:val="21"/>
                <w:szCs w:val="21"/>
              </w:rPr>
            </w:pPr>
            <w:r>
              <w:rPr>
                <w:rFonts w:hint="eastAsia" w:asciiTheme="minorEastAsia" w:hAnsiTheme="minorEastAsia" w:eastAsiaTheme="minorEastAsia"/>
                <w:sz w:val="21"/>
                <w:szCs w:val="21"/>
              </w:rPr>
              <w:t>现场考察</w:t>
            </w:r>
          </w:p>
        </w:tc>
        <w:tc>
          <w:tcPr>
            <w:tcW w:w="558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Theme="minorEastAsia" w:hAnsiTheme="minorEastAsia" w:eastAsiaTheme="minorEastAsia"/>
                <w:bCs/>
                <w:szCs w:val="21"/>
              </w:rPr>
            </w:pPr>
            <w:r>
              <w:rPr>
                <w:rFonts w:hint="eastAsia" w:asciiTheme="minorEastAsia" w:hAnsiTheme="minorEastAsia" w:eastAsiaTheme="minorEastAsia"/>
                <w:szCs w:val="21"/>
              </w:rPr>
              <w:t>本项不适用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92" w:type="dxa"/>
            <w:vMerge w:val="restart"/>
            <w:tcBorders>
              <w:top w:val="single" w:color="auto" w:sz="4" w:space="0"/>
              <w:left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22.1</w:t>
            </w:r>
          </w:p>
        </w:tc>
        <w:tc>
          <w:tcPr>
            <w:tcW w:w="1721" w:type="dxa"/>
            <w:tcBorders>
              <w:top w:val="single" w:color="auto" w:sz="4" w:space="0"/>
              <w:left w:val="single" w:color="auto" w:sz="4" w:space="0"/>
              <w:right w:val="single" w:color="auto" w:sz="4" w:space="0"/>
            </w:tcBorders>
            <w:vAlign w:val="center"/>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资格要求响应文件的组成</w:t>
            </w:r>
          </w:p>
        </w:tc>
        <w:tc>
          <w:tcPr>
            <w:tcW w:w="5582" w:type="dxa"/>
            <w:tcBorders>
              <w:top w:val="single" w:color="auto" w:sz="4" w:space="0"/>
              <w:left w:val="single" w:color="auto" w:sz="4" w:space="0"/>
              <w:right w:val="single" w:color="auto" w:sz="4" w:space="0"/>
            </w:tcBorders>
            <w:vAlign w:val="center"/>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1.投标人资格声明函；</w:t>
            </w:r>
          </w:p>
          <w:p>
            <w:pPr>
              <w:spacing w:line="288" w:lineRule="auto"/>
              <w:rPr>
                <w:rFonts w:asciiTheme="minorEastAsia" w:hAnsiTheme="minorEastAsia" w:eastAsiaTheme="minorEastAsia"/>
                <w:bCs/>
                <w:szCs w:val="21"/>
              </w:rPr>
            </w:pPr>
            <w:r>
              <w:rPr>
                <w:rFonts w:hint="eastAsia" w:asciiTheme="minorEastAsia" w:hAnsiTheme="minorEastAsia" w:eastAsiaTheme="minorEastAsia"/>
                <w:szCs w:val="21"/>
              </w:rPr>
              <w:t>2.法人或者其他组织的营业执照等登记证明文件复印件</w:t>
            </w:r>
            <w:r>
              <w:rPr>
                <w:rFonts w:hint="eastAsia" w:asciiTheme="minorEastAsia" w:hAnsiTheme="minorEastAsia" w:eastAsiaTheme="minorEastAsia"/>
                <w:bCs/>
                <w:szCs w:val="21"/>
              </w:rPr>
              <w:t>；</w:t>
            </w:r>
          </w:p>
          <w:p>
            <w:pPr>
              <w:spacing w:line="288" w:lineRule="auto"/>
              <w:rPr>
                <w:rFonts w:asciiTheme="minorEastAsia" w:hAnsiTheme="minorEastAsia" w:eastAsiaTheme="minorEastAsia"/>
              </w:rPr>
            </w:pPr>
            <w:r>
              <w:rPr>
                <w:rFonts w:hint="eastAsia" w:asciiTheme="minorEastAsia" w:hAnsiTheme="minorEastAsia" w:eastAsiaTheme="minorEastAsia"/>
                <w:szCs w:val="21"/>
              </w:rPr>
              <w:t>3.其他资格证明材料。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892" w:type="dxa"/>
            <w:vMerge w:val="continue"/>
            <w:tcBorders>
              <w:left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p>
        </w:tc>
        <w:tc>
          <w:tcPr>
            <w:tcW w:w="1721" w:type="dxa"/>
            <w:tcBorders>
              <w:top w:val="single" w:color="auto" w:sz="4" w:space="0"/>
              <w:left w:val="single" w:color="auto" w:sz="4" w:space="0"/>
              <w:right w:val="single" w:color="auto" w:sz="4" w:space="0"/>
            </w:tcBorders>
            <w:vAlign w:val="center"/>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商务技术文件的组成</w:t>
            </w:r>
          </w:p>
        </w:tc>
        <w:tc>
          <w:tcPr>
            <w:tcW w:w="5582" w:type="dxa"/>
            <w:tcBorders>
              <w:top w:val="single" w:color="auto" w:sz="4" w:space="0"/>
              <w:left w:val="single" w:color="auto" w:sz="4" w:space="0"/>
              <w:right w:val="single" w:color="auto" w:sz="4" w:space="0"/>
            </w:tcBorders>
            <w:vAlign w:val="center"/>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1.投标函；</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2.法定代表人身份证复印件（双面）或法定代表人授权委托书及其附件；</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3.评委打分索引表；</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商务要求</w:t>
            </w:r>
            <w:r>
              <w:rPr>
                <w:rFonts w:hint="eastAsia" w:asciiTheme="minorEastAsia" w:hAnsiTheme="minorEastAsia" w:eastAsiaTheme="minorEastAsia"/>
                <w:szCs w:val="21"/>
              </w:rPr>
              <w:t>响应表；</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5.技术要求响应表；</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项目实施方案</w:t>
            </w:r>
          </w:p>
          <w:p>
            <w:pPr>
              <w:spacing w:line="288" w:lineRule="auto"/>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.项目实施人员情况表；</w:t>
            </w:r>
          </w:p>
          <w:p>
            <w:pPr>
              <w:spacing w:line="288" w:lineRule="auto"/>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.类似项目业绩一览表；</w:t>
            </w:r>
          </w:p>
          <w:p>
            <w:pPr>
              <w:spacing w:line="288" w:lineRule="auto"/>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.与项目评审及合同实施有关的其他资料。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892" w:type="dxa"/>
            <w:vMerge w:val="continue"/>
            <w:tcBorders>
              <w:left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p>
        </w:tc>
        <w:tc>
          <w:tcPr>
            <w:tcW w:w="1721" w:type="dxa"/>
            <w:tcBorders>
              <w:top w:val="single" w:color="auto" w:sz="4" w:space="0"/>
              <w:left w:val="single" w:color="auto" w:sz="4" w:space="0"/>
              <w:right w:val="single" w:color="auto" w:sz="4" w:space="0"/>
            </w:tcBorders>
            <w:vAlign w:val="center"/>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报价要求响应文件的组成</w:t>
            </w:r>
          </w:p>
        </w:tc>
        <w:tc>
          <w:tcPr>
            <w:tcW w:w="5582" w:type="dxa"/>
            <w:tcBorders>
              <w:top w:val="single" w:color="auto" w:sz="4" w:space="0"/>
              <w:left w:val="single" w:color="auto" w:sz="4" w:space="0"/>
              <w:right w:val="single" w:color="auto" w:sz="4" w:space="0"/>
            </w:tcBorders>
            <w:vAlign w:val="center"/>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开标一览表；</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w:t>
            </w:r>
            <w:bookmarkStart w:id="52" w:name="_Hlk104213143"/>
            <w:r>
              <w:rPr>
                <w:rFonts w:hint="eastAsia" w:asciiTheme="minorEastAsia" w:hAnsiTheme="minorEastAsia" w:eastAsiaTheme="minorEastAsia"/>
                <w:szCs w:val="21"/>
              </w:rPr>
              <w:t>投标报价组成明细表</w:t>
            </w:r>
            <w:bookmarkEnd w:id="52"/>
            <w:r>
              <w:rPr>
                <w:rFonts w:hint="eastAsia" w:asciiTheme="minorEastAsia" w:hAnsiTheme="minorEastAsia" w:eastAsiaTheme="minorEastAsia"/>
                <w:szCs w:val="21"/>
              </w:rPr>
              <w:t>；</w:t>
            </w:r>
          </w:p>
          <w:p>
            <w:pPr>
              <w:spacing w:line="288" w:lineRule="auto"/>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.中小企业声明函；</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4.残疾人福利性单位声明函（残疾人福利性单位视同小微企业，如不符合，可不提供）。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892" w:type="dxa"/>
            <w:tcBorders>
              <w:top w:val="single" w:color="auto" w:sz="4" w:space="0"/>
              <w:left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24.1</w:t>
            </w:r>
          </w:p>
        </w:tc>
        <w:tc>
          <w:tcPr>
            <w:tcW w:w="1721" w:type="dxa"/>
            <w:tcBorders>
              <w:top w:val="single" w:color="auto" w:sz="4" w:space="0"/>
              <w:left w:val="single" w:color="auto" w:sz="4" w:space="0"/>
              <w:right w:val="single" w:color="auto" w:sz="4" w:space="0"/>
            </w:tcBorders>
            <w:vAlign w:val="center"/>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投标文件的份数</w:t>
            </w:r>
          </w:p>
        </w:tc>
        <w:tc>
          <w:tcPr>
            <w:tcW w:w="5582" w:type="dxa"/>
            <w:tcBorders>
              <w:top w:val="single" w:color="auto" w:sz="4" w:space="0"/>
              <w:left w:val="single" w:color="auto" w:sz="4" w:space="0"/>
              <w:right w:val="single" w:color="auto" w:sz="4" w:space="0"/>
            </w:tcBorders>
            <w:vAlign w:val="center"/>
          </w:tcPr>
          <w:p>
            <w:pPr>
              <w:spacing w:line="288" w:lineRule="auto"/>
              <w:jc w:val="left"/>
              <w:rPr>
                <w:rFonts w:asciiTheme="minorEastAsia" w:hAnsiTheme="minorEastAsia" w:eastAsiaTheme="minorEastAsia"/>
                <w:szCs w:val="21"/>
              </w:rPr>
            </w:pPr>
            <w:r>
              <w:rPr>
                <w:rFonts w:hint="eastAsia" w:ascii="宋体" w:hAnsi="宋体" w:cs="宋体"/>
                <w:bCs/>
                <w:szCs w:val="21"/>
              </w:rPr>
              <w:t>▲</w:t>
            </w:r>
            <w:r>
              <w:rPr>
                <w:rFonts w:hint="eastAsia" w:asciiTheme="minorEastAsia" w:hAnsiTheme="minorEastAsia" w:eastAsiaTheme="minorEastAsia"/>
                <w:szCs w:val="21"/>
              </w:rPr>
              <w:t>1.电子加密投标文件：1份；</w:t>
            </w:r>
          </w:p>
          <w:p>
            <w:pPr>
              <w:spacing w:line="288" w:lineRule="auto"/>
              <w:jc w:val="left"/>
              <w:rPr>
                <w:rFonts w:asciiTheme="minorEastAsia" w:hAnsiTheme="minorEastAsia" w:eastAsiaTheme="minorEastAsia"/>
                <w:szCs w:val="21"/>
              </w:rPr>
            </w:pPr>
            <w:r>
              <w:rPr>
                <w:rFonts w:hint="eastAsia" w:asciiTheme="minorEastAsia" w:hAnsiTheme="minorEastAsia" w:eastAsiaTheme="minorEastAsia"/>
                <w:szCs w:val="21"/>
              </w:rPr>
              <w:t>2.备份投标文件：1份，以U盘存储（不强制要求提供）。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89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27.1</w:t>
            </w:r>
          </w:p>
        </w:tc>
        <w:tc>
          <w:tcPr>
            <w:tcW w:w="172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投标</w:t>
            </w:r>
            <w:r>
              <w:rPr>
                <w:rFonts w:asciiTheme="minorEastAsia" w:hAnsiTheme="minorEastAsia" w:eastAsiaTheme="minorEastAsia"/>
                <w:szCs w:val="21"/>
              </w:rPr>
              <w:t>有效期</w:t>
            </w:r>
          </w:p>
        </w:tc>
        <w:tc>
          <w:tcPr>
            <w:tcW w:w="5582"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heme="minorEastAsia" w:hAnsiTheme="minorEastAsia" w:eastAsiaTheme="minorEastAsia"/>
                <w:szCs w:val="21"/>
              </w:rPr>
            </w:pPr>
            <w:r>
              <w:rPr>
                <w:rFonts w:hint="eastAsia" w:cs="Arial" w:asciiTheme="minorEastAsia" w:hAnsiTheme="minorEastAsia" w:eastAsiaTheme="minorEastAsia"/>
                <w:szCs w:val="21"/>
              </w:rPr>
              <w:t>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30.1</w:t>
            </w:r>
          </w:p>
        </w:tc>
        <w:tc>
          <w:tcPr>
            <w:tcW w:w="1721"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line="288" w:lineRule="auto"/>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投标截止时间及地点</w:t>
            </w:r>
          </w:p>
        </w:tc>
        <w:tc>
          <w:tcPr>
            <w:tcW w:w="5582"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line="288" w:lineRule="auto"/>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详见投标邀请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89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32.2</w:t>
            </w:r>
          </w:p>
        </w:tc>
        <w:tc>
          <w:tcPr>
            <w:tcW w:w="1721"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line="288" w:lineRule="auto"/>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投标文件解密时间</w:t>
            </w:r>
          </w:p>
        </w:tc>
        <w:tc>
          <w:tcPr>
            <w:tcW w:w="5582"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line="288" w:lineRule="auto"/>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解密指令发出后3</w:t>
            </w:r>
            <w:r>
              <w:rPr>
                <w:rFonts w:asciiTheme="minorEastAsia" w:hAnsiTheme="minorEastAsia" w:eastAsiaTheme="minorEastAsia"/>
                <w:sz w:val="21"/>
                <w:szCs w:val="21"/>
              </w:rPr>
              <w:t>0</w:t>
            </w:r>
            <w:r>
              <w:rPr>
                <w:rFonts w:hint="eastAsia" w:asciiTheme="minorEastAsia" w:hAnsiTheme="minorEastAsia" w:eastAsiaTheme="minorEastAsia"/>
                <w:sz w:val="21"/>
                <w:szCs w:val="21"/>
              </w:rPr>
              <w:t>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892" w:type="dxa"/>
            <w:vMerge w:val="restart"/>
            <w:tcBorders>
              <w:top w:val="single" w:color="auto" w:sz="4" w:space="0"/>
              <w:left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33.7</w:t>
            </w:r>
          </w:p>
        </w:tc>
        <w:tc>
          <w:tcPr>
            <w:tcW w:w="1721"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line="288" w:lineRule="auto"/>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评标方法</w:t>
            </w:r>
          </w:p>
        </w:tc>
        <w:tc>
          <w:tcPr>
            <w:tcW w:w="5582"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line="288" w:lineRule="auto"/>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892" w:type="dxa"/>
            <w:vMerge w:val="continue"/>
            <w:tcBorders>
              <w:left w:val="single" w:color="auto" w:sz="4" w:space="0"/>
              <w:bottom w:val="single" w:color="auto" w:sz="4" w:space="0"/>
              <w:right w:val="single" w:color="auto" w:sz="4" w:space="0"/>
            </w:tcBorders>
            <w:vAlign w:val="center"/>
          </w:tcPr>
          <w:p>
            <w:pPr>
              <w:spacing w:line="288" w:lineRule="auto"/>
              <w:jc w:val="center"/>
              <w:rPr>
                <w:rFonts w:asciiTheme="minorEastAsia" w:hAnsiTheme="minorEastAsia" w:eastAsiaTheme="minorEastAsia"/>
                <w:szCs w:val="21"/>
              </w:rPr>
            </w:pPr>
          </w:p>
        </w:tc>
        <w:tc>
          <w:tcPr>
            <w:tcW w:w="1721"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line="288" w:lineRule="auto"/>
              <w:jc w:val="both"/>
              <w:rPr>
                <w:rFonts w:asciiTheme="minorEastAsia" w:hAnsiTheme="minorEastAsia" w:eastAsiaTheme="minorEastAsia"/>
                <w:b/>
                <w:sz w:val="21"/>
                <w:szCs w:val="21"/>
              </w:rPr>
            </w:pPr>
            <w:r>
              <w:rPr>
                <w:rFonts w:asciiTheme="minorEastAsia" w:hAnsiTheme="minorEastAsia" w:eastAsiaTheme="minorEastAsia"/>
                <w:sz w:val="21"/>
                <w:szCs w:val="21"/>
              </w:rPr>
              <w:t>中标候选</w:t>
            </w:r>
            <w:r>
              <w:rPr>
                <w:rFonts w:hint="eastAsia" w:asciiTheme="minorEastAsia" w:hAnsiTheme="minorEastAsia" w:eastAsiaTheme="minorEastAsia"/>
                <w:sz w:val="21"/>
                <w:szCs w:val="21"/>
              </w:rPr>
              <w:t>人的</w:t>
            </w:r>
            <w:r>
              <w:rPr>
                <w:rFonts w:asciiTheme="minorEastAsia" w:hAnsiTheme="minorEastAsia" w:eastAsiaTheme="minorEastAsia"/>
                <w:sz w:val="21"/>
                <w:szCs w:val="21"/>
              </w:rPr>
              <w:t>数量</w:t>
            </w:r>
          </w:p>
        </w:tc>
        <w:tc>
          <w:tcPr>
            <w:tcW w:w="5582"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line="288" w:lineRule="auto"/>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所有有效的投标人</w:t>
            </w:r>
          </w:p>
        </w:tc>
      </w:tr>
    </w:tbl>
    <w:p>
      <w:pPr>
        <w:spacing w:line="360" w:lineRule="auto"/>
        <w:rPr>
          <w:rFonts w:ascii="宋体" w:hAnsi="宋体"/>
          <w:b/>
          <w:szCs w:val="21"/>
        </w:rPr>
      </w:pPr>
    </w:p>
    <w:p>
      <w:pPr>
        <w:pStyle w:val="27"/>
        <w:tabs>
          <w:tab w:val="left" w:pos="426"/>
        </w:tabs>
        <w:snapToGrid w:val="0"/>
        <w:spacing w:beforeLines="0" w:afterLines="0" w:line="360" w:lineRule="auto"/>
        <w:jc w:val="center"/>
        <w:rPr>
          <w:rFonts w:hAnsi="宋体"/>
          <w:b/>
          <w:sz w:val="21"/>
          <w:szCs w:val="21"/>
        </w:rPr>
      </w:pPr>
      <w:r>
        <w:rPr>
          <w:rFonts w:hAnsi="宋体"/>
          <w:b/>
          <w:sz w:val="21"/>
          <w:szCs w:val="21"/>
        </w:rPr>
        <w:br w:type="page"/>
      </w:r>
      <w:r>
        <w:rPr>
          <w:rFonts w:hint="eastAsia" w:hAnsi="宋体"/>
          <w:b/>
          <w:sz w:val="21"/>
          <w:szCs w:val="21"/>
        </w:rPr>
        <w:t>一、总  则</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适用范围</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本招标文件仅适用于本次公开招标所述的服务项目采购。</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2.定义</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w:t>
      </w:r>
      <w:r>
        <w:rPr>
          <w:rFonts w:hint="eastAsia" w:asciiTheme="minorEastAsia" w:hAnsiTheme="minorEastAsia" w:eastAsiaTheme="minorEastAsia"/>
          <w:szCs w:val="21"/>
        </w:rPr>
        <w:t>服务：系指除货物和工程以外的其他政府采购对象。</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2.2中标人（中标供应商）：是指经法定采购程序确定并授予合同的投标人。</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2.3</w:t>
      </w:r>
      <w:r>
        <w:rPr>
          <w:rFonts w:cs="Arial" w:asciiTheme="minorEastAsia" w:hAnsiTheme="minorEastAsia" w:eastAsiaTheme="minorEastAsia"/>
          <w:szCs w:val="21"/>
        </w:rPr>
        <w:t>书面形式</w:t>
      </w:r>
      <w:r>
        <w:rPr>
          <w:rFonts w:hint="eastAsia" w:cs="Arial" w:asciiTheme="minorEastAsia" w:hAnsiTheme="minorEastAsia" w:eastAsiaTheme="minorEastAsia"/>
          <w:szCs w:val="21"/>
        </w:rPr>
        <w:t>：</w:t>
      </w:r>
      <w:r>
        <w:rPr>
          <w:rFonts w:cs="Arial" w:asciiTheme="minorEastAsia" w:hAnsiTheme="minorEastAsia" w:eastAsiaTheme="minorEastAsia"/>
          <w:szCs w:val="21"/>
        </w:rPr>
        <w:t>包括</w:t>
      </w:r>
      <w:r>
        <w:rPr>
          <w:rFonts w:hint="eastAsia" w:cs="Arial" w:asciiTheme="minorEastAsia" w:hAnsiTheme="minorEastAsia" w:eastAsiaTheme="minorEastAsia"/>
          <w:szCs w:val="21"/>
        </w:rPr>
        <w:t>信件、</w:t>
      </w:r>
      <w:r>
        <w:rPr>
          <w:rFonts w:cs="Arial" w:asciiTheme="minorEastAsia" w:hAnsiTheme="minorEastAsia" w:eastAsiaTheme="minorEastAsia"/>
          <w:szCs w:val="21"/>
        </w:rPr>
        <w:t>电报、电传、传真等可以有形地表现所载内容的形式</w:t>
      </w:r>
      <w:r>
        <w:rPr>
          <w:rFonts w:hint="eastAsia" w:cs="Arial" w:asciiTheme="minorEastAsia" w:hAnsiTheme="minorEastAsia" w:eastAsiaTheme="minorEastAsia"/>
          <w:szCs w:val="21"/>
        </w:rPr>
        <w:t>。以电子数据交换、电子邮件等方式能够有形地表现所载内容，并可以随时调取查用的数据电文，视为书面形式。</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2.4实质性条款：标注</w:t>
      </w:r>
      <w:r>
        <w:rPr>
          <w:rFonts w:cs="Arial" w:asciiTheme="minorEastAsia" w:hAnsiTheme="minorEastAsia" w:eastAsiaTheme="minorEastAsia"/>
          <w:szCs w:val="21"/>
        </w:rPr>
        <w:t>“▲”</w:t>
      </w:r>
      <w:r>
        <w:rPr>
          <w:rFonts w:hint="eastAsia" w:cs="Arial" w:asciiTheme="minorEastAsia" w:hAnsiTheme="minorEastAsia" w:eastAsiaTheme="minorEastAsia"/>
          <w:szCs w:val="21"/>
        </w:rPr>
        <w:t>的属于招标文件的</w:t>
      </w:r>
      <w:r>
        <w:rPr>
          <w:rFonts w:cs="Arial" w:asciiTheme="minorEastAsia" w:hAnsiTheme="minorEastAsia" w:eastAsiaTheme="minorEastAsia"/>
          <w:szCs w:val="21"/>
        </w:rPr>
        <w:t>实质性要求条款。</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2.5公章:</w:t>
      </w:r>
      <w:r>
        <w:rPr>
          <w:rFonts w:cs="Arial" w:asciiTheme="minorEastAsia" w:hAnsiTheme="minorEastAsia" w:eastAsiaTheme="minorEastAsia"/>
          <w:szCs w:val="21"/>
        </w:rPr>
        <w:t>投标人在投标文件及通知等事项的书面文件中的单位盖章、公章等处，均仅指与投标当事人名称全称相一致的标准公章</w:t>
      </w:r>
      <w:r>
        <w:rPr>
          <w:rFonts w:hint="eastAsia" w:cs="Arial" w:asciiTheme="minorEastAsia" w:hAnsiTheme="minorEastAsia" w:eastAsiaTheme="minorEastAsia"/>
          <w:szCs w:val="21"/>
        </w:rPr>
        <w:t>（行政章）</w:t>
      </w:r>
      <w:r>
        <w:rPr>
          <w:rFonts w:cs="Arial" w:asciiTheme="minorEastAsia" w:hAnsiTheme="minorEastAsia" w:eastAsiaTheme="minorEastAsia"/>
          <w:szCs w:val="21"/>
        </w:rPr>
        <w:t>，不得使用其它形式，如带有“专用章”</w:t>
      </w:r>
      <w:r>
        <w:rPr>
          <w:rFonts w:hint="eastAsia" w:cs="Arial" w:asciiTheme="minorEastAsia" w:hAnsiTheme="minorEastAsia" w:eastAsiaTheme="minorEastAsia"/>
          <w:szCs w:val="21"/>
        </w:rPr>
        <w:t>“业务章”</w:t>
      </w:r>
      <w:r>
        <w:rPr>
          <w:rFonts w:cs="Arial" w:asciiTheme="minorEastAsia" w:hAnsiTheme="minorEastAsia" w:eastAsiaTheme="minorEastAsia"/>
          <w:szCs w:val="21"/>
        </w:rPr>
        <w:t>等字样的印章。</w:t>
      </w:r>
    </w:p>
    <w:p>
      <w:pPr>
        <w:spacing w:line="360" w:lineRule="auto"/>
        <w:ind w:firstLine="437"/>
        <w:outlineLvl w:val="3"/>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w:t>
      </w:r>
      <w:r>
        <w:rPr>
          <w:rFonts w:hint="eastAsia" w:asciiTheme="minorEastAsia" w:hAnsiTheme="minorEastAsia" w:eastAsiaTheme="minorEastAsia"/>
          <w:b/>
          <w:szCs w:val="21"/>
        </w:rPr>
        <w:t>采购人、采购代理机构及投标人</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.1采购人</w:t>
      </w:r>
      <w:r>
        <w:rPr>
          <w:rFonts w:hint="eastAsia" w:asciiTheme="minorEastAsia" w:hAnsiTheme="minorEastAsia" w:eastAsiaTheme="minorEastAsia"/>
          <w:szCs w:val="21"/>
        </w:rPr>
        <w:t>（招标人）</w:t>
      </w:r>
      <w:r>
        <w:rPr>
          <w:rFonts w:asciiTheme="minorEastAsia" w:hAnsiTheme="minorEastAsia" w:eastAsiaTheme="minorEastAsia"/>
          <w:szCs w:val="21"/>
        </w:rPr>
        <w:t>：是指依法开展政府采购活动的国家机关、事业单位、团体组织。</w:t>
      </w:r>
      <w:r>
        <w:rPr>
          <w:rFonts w:hint="eastAsia" w:asciiTheme="minorEastAsia" w:hAnsiTheme="minorEastAsia" w:eastAsiaTheme="minorEastAsia"/>
          <w:szCs w:val="21"/>
        </w:rPr>
        <w:t>本项目的采购人见《</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.2采购代理机构</w:t>
      </w:r>
      <w:r>
        <w:rPr>
          <w:rFonts w:hint="eastAsia" w:asciiTheme="minorEastAsia" w:hAnsiTheme="minorEastAsia" w:eastAsiaTheme="minorEastAsia"/>
          <w:szCs w:val="21"/>
        </w:rPr>
        <w:t>（招标代理公司）</w:t>
      </w:r>
      <w:r>
        <w:rPr>
          <w:rFonts w:asciiTheme="minorEastAsia" w:hAnsiTheme="minorEastAsia" w:eastAsiaTheme="minorEastAsia"/>
          <w:szCs w:val="21"/>
        </w:rPr>
        <w:t>：是指从事采购代理业务的社会中介机构。本项目的采购代理机构见</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asciiTheme="minorEastAsia" w:hAnsiTheme="minorEastAsia" w:eastAsiaTheme="minorEastAsia"/>
          <w:szCs w:val="21"/>
        </w:rPr>
        <w:t>3.3政府采购监督管理部门：</w:t>
      </w:r>
      <w:r>
        <w:rPr>
          <w:rFonts w:hint="eastAsia" w:asciiTheme="minorEastAsia" w:hAnsiTheme="minorEastAsia" w:eastAsiaTheme="minorEastAsia"/>
          <w:szCs w:val="21"/>
        </w:rPr>
        <w:t>各级人民政府指定的有关部门依法履行与政府采购活动有关的监督管理职责。本项目的政府采购监督管理部门见《</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.4投标人</w:t>
      </w:r>
      <w:r>
        <w:rPr>
          <w:rFonts w:hint="eastAsia" w:asciiTheme="minorEastAsia" w:hAnsiTheme="minorEastAsia" w:eastAsiaTheme="minorEastAsia"/>
          <w:szCs w:val="21"/>
        </w:rPr>
        <w:t>（投标供应商、供应商）</w:t>
      </w:r>
      <w:r>
        <w:rPr>
          <w:rFonts w:asciiTheme="minorEastAsia" w:hAnsiTheme="minorEastAsia" w:eastAsiaTheme="minorEastAsia"/>
          <w:szCs w:val="21"/>
        </w:rPr>
        <w:t>：是指向采购人提供</w:t>
      </w:r>
      <w:r>
        <w:rPr>
          <w:rFonts w:hint="eastAsia" w:asciiTheme="minorEastAsia" w:hAnsiTheme="minorEastAsia" w:eastAsiaTheme="minorEastAsia"/>
          <w:szCs w:val="21"/>
        </w:rPr>
        <w:t>本项目服务</w:t>
      </w:r>
      <w:r>
        <w:rPr>
          <w:rFonts w:asciiTheme="minorEastAsia" w:hAnsiTheme="minorEastAsia" w:eastAsiaTheme="minorEastAsia"/>
          <w:szCs w:val="21"/>
        </w:rPr>
        <w:t>的法人、非法人组织</w:t>
      </w:r>
      <w:r>
        <w:rPr>
          <w:rFonts w:hint="eastAsia" w:asciiTheme="minorEastAsia" w:hAnsiTheme="minorEastAsia" w:eastAsiaTheme="minorEastAsia"/>
          <w:szCs w:val="21"/>
        </w:rPr>
        <w:t>，</w:t>
      </w:r>
      <w:r>
        <w:rPr>
          <w:rFonts w:asciiTheme="minorEastAsia" w:hAnsiTheme="minorEastAsia" w:eastAsiaTheme="minorEastAsia"/>
          <w:szCs w:val="21"/>
        </w:rPr>
        <w:t>须满足</w:t>
      </w:r>
      <w:r>
        <w:rPr>
          <w:rFonts w:hint="eastAsia" w:asciiTheme="minorEastAsia" w:hAnsiTheme="minorEastAsia" w:eastAsiaTheme="minorEastAsia"/>
          <w:szCs w:val="21"/>
        </w:rPr>
        <w:t>招标公告（投标邀请）中</w:t>
      </w:r>
      <w:r>
        <w:rPr>
          <w:rFonts w:asciiTheme="minorEastAsia" w:hAnsiTheme="minorEastAsia" w:eastAsiaTheme="minorEastAsia"/>
          <w:szCs w:val="21"/>
        </w:rPr>
        <w:t>关于</w:t>
      </w:r>
      <w:r>
        <w:rPr>
          <w:rFonts w:hint="eastAsia" w:asciiTheme="minorEastAsia" w:hAnsiTheme="minorEastAsia" w:eastAsiaTheme="minorEastAsia"/>
          <w:szCs w:val="21"/>
        </w:rPr>
        <w:t>申请人的资格要求</w:t>
      </w:r>
      <w:r>
        <w:rPr>
          <w:rFonts w:asciiTheme="minorEastAsia" w:hAnsiTheme="minorEastAsia" w:eastAsiaTheme="minorEastAsia"/>
          <w:szCs w:val="21"/>
        </w:rPr>
        <w:t>的规定。</w:t>
      </w:r>
    </w:p>
    <w:p>
      <w:pPr>
        <w:spacing w:line="360" w:lineRule="auto"/>
        <w:ind w:firstLine="435"/>
        <w:rPr>
          <w:rFonts w:asciiTheme="minorEastAsia" w:hAnsiTheme="minorEastAsia" w:eastAsiaTheme="minorEastAsia"/>
          <w:szCs w:val="21"/>
        </w:rPr>
      </w:pPr>
      <w:bookmarkStart w:id="53" w:name="_Hlk60580614"/>
      <w:r>
        <w:rPr>
          <w:rFonts w:asciiTheme="minorEastAsia" w:hAnsiTheme="minorEastAsia" w:eastAsiaTheme="minorEastAsia"/>
          <w:szCs w:val="21"/>
        </w:rPr>
        <w:t>若</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中</w:t>
      </w:r>
      <w:r>
        <w:rPr>
          <w:rFonts w:hint="eastAsia" w:asciiTheme="minorEastAsia" w:hAnsiTheme="minorEastAsia" w:eastAsiaTheme="minorEastAsia"/>
          <w:szCs w:val="21"/>
        </w:rPr>
        <w:t>明确本项目</w:t>
      </w:r>
      <w:r>
        <w:rPr>
          <w:rFonts w:asciiTheme="minorEastAsia" w:hAnsiTheme="minorEastAsia" w:eastAsiaTheme="minorEastAsia"/>
          <w:szCs w:val="21"/>
        </w:rPr>
        <w:t>专门面向中小企业采购，</w:t>
      </w:r>
      <w:r>
        <w:rPr>
          <w:rFonts w:hint="eastAsia" w:asciiTheme="minorEastAsia" w:hAnsiTheme="minorEastAsia" w:eastAsiaTheme="minorEastAsia"/>
          <w:szCs w:val="21"/>
        </w:rPr>
        <w:t>如投标人非中小企业的</w:t>
      </w:r>
      <w:r>
        <w:rPr>
          <w:rFonts w:asciiTheme="minorEastAsia" w:hAnsiTheme="minorEastAsia" w:eastAsiaTheme="minorEastAsia"/>
          <w:szCs w:val="21"/>
        </w:rPr>
        <w:t>，其投标将被认定为</w:t>
      </w:r>
      <w:r>
        <w:rPr>
          <w:rFonts w:asciiTheme="minorEastAsia" w:hAnsiTheme="minorEastAsia" w:eastAsiaTheme="minorEastAsia"/>
          <w:b/>
          <w:szCs w:val="21"/>
        </w:rPr>
        <w:t>投标无效</w:t>
      </w:r>
      <w:r>
        <w:rPr>
          <w:rFonts w:asciiTheme="minorEastAsia" w:hAnsiTheme="minorEastAsia" w:eastAsiaTheme="minorEastAsia"/>
          <w:szCs w:val="21"/>
        </w:rPr>
        <w:t>。</w:t>
      </w:r>
    </w:p>
    <w:bookmarkEnd w:id="53"/>
    <w:p>
      <w:pPr>
        <w:spacing w:line="360" w:lineRule="auto"/>
        <w:ind w:firstLine="435"/>
        <w:rPr>
          <w:rFonts w:asciiTheme="minorEastAsia" w:hAnsiTheme="minorEastAsia" w:eastAsiaTheme="minorEastAsia"/>
          <w:bCs/>
          <w:kern w:val="0"/>
          <w:szCs w:val="21"/>
        </w:rPr>
      </w:pPr>
      <w:bookmarkStart w:id="54" w:name="_Hlk60580861"/>
      <w:r>
        <w:rPr>
          <w:rFonts w:hint="eastAsia" w:asciiTheme="minorEastAsia" w:hAnsiTheme="minorEastAsia" w:eastAsiaTheme="minorEastAsia"/>
          <w:bCs/>
          <w:kern w:val="0"/>
          <w:szCs w:val="21"/>
        </w:rPr>
        <w:t>3</w:t>
      </w:r>
      <w:r>
        <w:rPr>
          <w:rFonts w:asciiTheme="minorEastAsia" w:hAnsiTheme="minorEastAsia" w:eastAsiaTheme="minorEastAsia"/>
          <w:bCs/>
          <w:kern w:val="0"/>
          <w:szCs w:val="21"/>
        </w:rPr>
        <w:t>.5</w:t>
      </w:r>
      <w:r>
        <w:rPr>
          <w:rFonts w:hint="eastAsia" w:asciiTheme="minorEastAsia" w:hAnsiTheme="minorEastAsia" w:eastAsiaTheme="minorEastAsia"/>
          <w:bCs/>
          <w:kern w:val="0"/>
          <w:szCs w:val="21"/>
        </w:rPr>
        <w:t>若招标公告（投标邀请）</w:t>
      </w:r>
      <w:r>
        <w:rPr>
          <w:rFonts w:asciiTheme="minorEastAsia" w:hAnsiTheme="minorEastAsia" w:eastAsiaTheme="minorEastAsia"/>
          <w:bCs/>
          <w:kern w:val="0"/>
          <w:szCs w:val="21"/>
        </w:rPr>
        <w:t>中允许联合体投标，对联合体规定如下：</w:t>
      </w:r>
    </w:p>
    <w:bookmarkEnd w:id="54"/>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两个以上供应商可以组成一个投标联合体，</w:t>
      </w:r>
      <w:r>
        <w:rPr>
          <w:rFonts w:hint="eastAsia" w:asciiTheme="minorEastAsia" w:hAnsiTheme="minorEastAsia" w:eastAsiaTheme="minorEastAsia"/>
          <w:szCs w:val="21"/>
        </w:rPr>
        <w:t>以一个投标人的身份共同参加政府采购</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联合体各方均应符合《中华人民共和国政府采购法》第二十二条规定的条件。</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联合体各方应签订</w:t>
      </w:r>
      <w:r>
        <w:rPr>
          <w:rFonts w:hint="eastAsia" w:asciiTheme="minorEastAsia" w:hAnsiTheme="minorEastAsia" w:eastAsiaTheme="minorEastAsia"/>
          <w:szCs w:val="21"/>
        </w:rPr>
        <w:t>联合协议</w:t>
      </w:r>
      <w:r>
        <w:rPr>
          <w:rFonts w:asciiTheme="minorEastAsia" w:hAnsiTheme="minorEastAsia" w:eastAsiaTheme="minorEastAsia"/>
          <w:szCs w:val="21"/>
        </w:rPr>
        <w:t>，明确约定联合体各方承担的工作和相应的责任，并将</w:t>
      </w:r>
      <w:r>
        <w:rPr>
          <w:rFonts w:hint="eastAsia" w:asciiTheme="minorEastAsia" w:hAnsiTheme="minorEastAsia" w:eastAsiaTheme="minorEastAsia"/>
          <w:szCs w:val="21"/>
        </w:rPr>
        <w:t>联合协议</w:t>
      </w:r>
      <w:r>
        <w:rPr>
          <w:rFonts w:asciiTheme="minorEastAsia" w:hAnsiTheme="minorEastAsia" w:eastAsiaTheme="minorEastAsia"/>
          <w:szCs w:val="21"/>
        </w:rPr>
        <w:t>作为投标文件</w:t>
      </w:r>
      <w:r>
        <w:rPr>
          <w:rFonts w:hint="eastAsia" w:asciiTheme="minorEastAsia" w:hAnsiTheme="minorEastAsia" w:eastAsiaTheme="minorEastAsia"/>
          <w:szCs w:val="21"/>
        </w:rPr>
        <w:t>的组成</w:t>
      </w:r>
      <w:r>
        <w:rPr>
          <w:rFonts w:asciiTheme="minorEastAsia" w:hAnsiTheme="minorEastAsia" w:eastAsiaTheme="minorEastAsia"/>
          <w:szCs w:val="21"/>
        </w:rPr>
        <w:t>提交。</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（4）联合体中有同类资质的供应商按照联合体分工承担相同工作的，</w:t>
      </w:r>
      <w:r>
        <w:rPr>
          <w:rFonts w:asciiTheme="minorEastAsia" w:hAnsiTheme="minorEastAsia" w:eastAsiaTheme="minorEastAsia"/>
          <w:szCs w:val="21"/>
        </w:rPr>
        <w:t>按照</w:t>
      </w:r>
      <w:r>
        <w:rPr>
          <w:rFonts w:hint="eastAsia" w:asciiTheme="minorEastAsia" w:hAnsiTheme="minorEastAsia" w:eastAsiaTheme="minorEastAsia"/>
          <w:szCs w:val="21"/>
        </w:rPr>
        <w:t>资质等级较低的供应商确定资质等级。</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以联合体形式参加政府采购活动的，联合体各方不得再单独参加或者与其他供应商另外组成联合体参加本项目投标，否则相关投标</w:t>
      </w:r>
      <w:r>
        <w:rPr>
          <w:rFonts w:hint="eastAsia" w:asciiTheme="minorEastAsia" w:hAnsiTheme="minorEastAsia" w:eastAsiaTheme="minorEastAsia"/>
          <w:szCs w:val="21"/>
        </w:rPr>
        <w:t>均</w:t>
      </w:r>
      <w:r>
        <w:rPr>
          <w:rFonts w:asciiTheme="minorEastAsia" w:hAnsiTheme="minorEastAsia" w:eastAsiaTheme="minorEastAsia"/>
          <w:szCs w:val="21"/>
        </w:rPr>
        <w:t>将被认定为</w:t>
      </w:r>
      <w:r>
        <w:rPr>
          <w:rFonts w:asciiTheme="minorEastAsia" w:hAnsiTheme="minorEastAsia" w:eastAsiaTheme="minorEastAsia"/>
          <w:b/>
          <w:szCs w:val="21"/>
        </w:rPr>
        <w:t>投标无效</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对联合体投标的其他资格要求见</w:t>
      </w:r>
      <w:r>
        <w:rPr>
          <w:rFonts w:hint="eastAsia" w:asciiTheme="minorEastAsia" w:hAnsiTheme="minorEastAsia" w:eastAsiaTheme="minorEastAsia"/>
          <w:bCs/>
          <w:kern w:val="0"/>
          <w:szCs w:val="21"/>
          <w:u w:val="single"/>
        </w:rPr>
        <w:t>招标公告（投标邀请）</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.6单位负责人为同一人或者存在直接控股、管理关系的不同供应商，</w:t>
      </w:r>
      <w:r>
        <w:rPr>
          <w:rFonts w:hint="eastAsia" w:asciiTheme="minorEastAsia" w:hAnsiTheme="minorEastAsia" w:eastAsiaTheme="minorEastAsia"/>
          <w:szCs w:val="21"/>
        </w:rPr>
        <w:t>不得参加同一合同项下的政府采购活动。否则其投标将被认定为</w:t>
      </w:r>
      <w:r>
        <w:rPr>
          <w:rFonts w:hint="eastAsia" w:asciiTheme="minorEastAsia" w:hAnsiTheme="minorEastAsia" w:eastAsiaTheme="minorEastAsia"/>
          <w:b/>
          <w:bCs/>
          <w:szCs w:val="21"/>
        </w:rPr>
        <w:t>投标无效</w:t>
      </w: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.7为本项目提供过整体设计、规范编制或者项目管理、监理、检测等服务的供应商，不得再参加本项目的采购活动。</w:t>
      </w:r>
      <w:bookmarkStart w:id="55" w:name="_Hlk13431092"/>
      <w:r>
        <w:rPr>
          <w:rFonts w:asciiTheme="minorEastAsia" w:hAnsiTheme="minorEastAsia" w:eastAsiaTheme="minorEastAsia"/>
          <w:szCs w:val="21"/>
        </w:rPr>
        <w:t>否则其投标将被认定为</w:t>
      </w:r>
      <w:r>
        <w:rPr>
          <w:rFonts w:asciiTheme="minorEastAsia" w:hAnsiTheme="minorEastAsia" w:eastAsiaTheme="minorEastAsia"/>
          <w:b/>
          <w:szCs w:val="21"/>
        </w:rPr>
        <w:t>投标无效</w:t>
      </w:r>
      <w:r>
        <w:rPr>
          <w:rFonts w:asciiTheme="minorEastAsia" w:hAnsiTheme="minorEastAsia" w:eastAsiaTheme="minorEastAsia"/>
          <w:szCs w:val="21"/>
        </w:rPr>
        <w:t>。</w:t>
      </w:r>
      <w:bookmarkEnd w:id="55"/>
    </w:p>
    <w:p>
      <w:pPr>
        <w:spacing w:line="360" w:lineRule="auto"/>
        <w:ind w:firstLine="435"/>
        <w:rPr>
          <w:rFonts w:asciiTheme="minorEastAsia" w:hAnsiTheme="minorEastAsia" w:eastAsiaTheme="minorEastAsia"/>
          <w:b/>
          <w:szCs w:val="21"/>
        </w:rPr>
      </w:pPr>
      <w:r>
        <w:rPr>
          <w:rFonts w:hint="eastAsia" w:asciiTheme="minorEastAsia" w:hAnsiTheme="minorEastAsia" w:eastAsiaTheme="minorEastAsia"/>
          <w:b/>
          <w:szCs w:val="21"/>
        </w:rPr>
        <w:t>4</w:t>
      </w:r>
      <w:r>
        <w:rPr>
          <w:rFonts w:asciiTheme="minorEastAsia" w:hAnsiTheme="minorEastAsia" w:eastAsiaTheme="minorEastAsia"/>
          <w:b/>
          <w:szCs w:val="21"/>
        </w:rPr>
        <w:t>.</w:t>
      </w:r>
      <w:r>
        <w:rPr>
          <w:rFonts w:hint="eastAsia" w:asciiTheme="minorEastAsia" w:hAnsiTheme="minorEastAsia" w:eastAsiaTheme="minorEastAsia"/>
          <w:b/>
          <w:szCs w:val="21"/>
        </w:rPr>
        <w:t>资金来源</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.1</w:t>
      </w:r>
      <w:r>
        <w:rPr>
          <w:rFonts w:hint="eastAsia" w:asciiTheme="minorEastAsia" w:hAnsiTheme="minorEastAsia" w:eastAsiaTheme="minorEastAsia"/>
          <w:szCs w:val="21"/>
        </w:rPr>
        <w:t>本项目的采购人已获得足以支付本次招标后所签订的合同项下的资金。</w:t>
      </w:r>
    </w:p>
    <w:p>
      <w:pPr>
        <w:spacing w:line="360" w:lineRule="auto"/>
        <w:ind w:firstLine="435"/>
        <w:rPr>
          <w:rFonts w:asciiTheme="minorEastAsia" w:hAnsiTheme="minorEastAsia" w:eastAsiaTheme="minorEastAsia"/>
          <w:szCs w:val="21"/>
        </w:rPr>
      </w:pPr>
      <w:bookmarkStart w:id="56" w:name="_Hlk11702998"/>
      <w:r>
        <w:rPr>
          <w:rFonts w:hint="eastAsia" w:asciiTheme="minorEastAsia" w:hAnsiTheme="minorEastAsia" w:eastAsiaTheme="minorEastAsia"/>
          <w:szCs w:val="21"/>
        </w:rPr>
        <w:t>4.2项目预算金额和分项（或分包）最高限价见</w:t>
      </w:r>
      <w:r>
        <w:rPr>
          <w:rFonts w:hint="eastAsia" w:asciiTheme="minorEastAsia" w:hAnsiTheme="minorEastAsia" w:eastAsiaTheme="minorEastAsia"/>
          <w:szCs w:val="21"/>
          <w:u w:val="single"/>
        </w:rPr>
        <w:t>投标邀请</w:t>
      </w:r>
      <w:r>
        <w:rPr>
          <w:rFonts w:hint="eastAsia" w:asciiTheme="minorEastAsia" w:hAnsiTheme="minorEastAsia" w:eastAsiaTheme="minorEastAsia"/>
          <w:szCs w:val="21"/>
        </w:rPr>
        <w:t>。</w:t>
      </w:r>
    </w:p>
    <w:bookmarkEnd w:id="56"/>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5.投标委托</w:t>
      </w:r>
    </w:p>
    <w:p>
      <w:pPr>
        <w:pStyle w:val="291"/>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投标文件的签署人应当为投标人的法定代表人，并在投标文件中提供法定代表人身份证正反面复印件。如投标人的法定代表人委托他人签署投标文件办理投标事务的，投标文件中必须提供投标人的</w:t>
      </w:r>
      <w:r>
        <w:rPr>
          <w:rFonts w:asciiTheme="minorEastAsia" w:hAnsiTheme="minorEastAsia" w:eastAsiaTheme="minorEastAsia"/>
          <w:sz w:val="21"/>
          <w:szCs w:val="21"/>
        </w:rPr>
        <w:t>法定代表人出具的授权委托书</w:t>
      </w:r>
      <w:r>
        <w:rPr>
          <w:rFonts w:hint="eastAsia" w:asciiTheme="minorEastAsia" w:hAnsiTheme="minorEastAsia" w:eastAsiaTheme="minorEastAsia"/>
          <w:sz w:val="21"/>
          <w:szCs w:val="21"/>
        </w:rPr>
        <w:t>及授权代表的身份证正反面复印件</w:t>
      </w:r>
      <w:r>
        <w:rPr>
          <w:rFonts w:asciiTheme="minorEastAsia" w:hAnsiTheme="minorEastAsia" w:eastAsiaTheme="minorEastAsia"/>
          <w:sz w:val="21"/>
          <w:szCs w:val="21"/>
        </w:rPr>
        <w:t>。</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6.投标费用</w:t>
      </w:r>
    </w:p>
    <w:p>
      <w:pPr>
        <w:pStyle w:val="291"/>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不论投标的结果如何，投标人自行承担所有与准备和参加投标有关的费用。</w:t>
      </w:r>
    </w:p>
    <w:p>
      <w:pPr>
        <w:spacing w:line="360" w:lineRule="auto"/>
        <w:ind w:firstLine="437"/>
        <w:outlineLvl w:val="3"/>
        <w:rPr>
          <w:rFonts w:asciiTheme="minorEastAsia" w:hAnsiTheme="minorEastAsia" w:eastAsiaTheme="minorEastAsia"/>
          <w:b/>
          <w:szCs w:val="21"/>
        </w:rPr>
      </w:pPr>
      <w:r>
        <w:rPr>
          <w:rFonts w:hint="eastAsia" w:asciiTheme="minorEastAsia" w:hAnsiTheme="minorEastAsia" w:eastAsiaTheme="minorEastAsia"/>
          <w:b/>
          <w:szCs w:val="21"/>
        </w:rPr>
        <w:t>7</w:t>
      </w:r>
      <w:r>
        <w:rPr>
          <w:rFonts w:asciiTheme="minorEastAsia" w:hAnsiTheme="minorEastAsia" w:eastAsiaTheme="minorEastAsia"/>
          <w:b/>
          <w:szCs w:val="21"/>
        </w:rPr>
        <w:t>.</w:t>
      </w:r>
      <w:r>
        <w:rPr>
          <w:rFonts w:hint="eastAsia" w:asciiTheme="minorEastAsia" w:hAnsiTheme="minorEastAsia" w:eastAsiaTheme="minorEastAsia"/>
          <w:b/>
          <w:szCs w:val="21"/>
        </w:rPr>
        <w:t>适用法律</w:t>
      </w:r>
    </w:p>
    <w:p>
      <w:pPr>
        <w:pStyle w:val="291"/>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8.知识产权</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投标人应保证在本项目使用的任何产品（包括部分使用），不会产生因第三方提出侵犯其</w:t>
      </w:r>
      <w:r>
        <w:rPr>
          <w:rFonts w:hint="eastAsia" w:asciiTheme="minorEastAsia" w:hAnsiTheme="minorEastAsia" w:eastAsiaTheme="minorEastAsia"/>
          <w:sz w:val="21"/>
          <w:szCs w:val="21"/>
        </w:rPr>
        <w:t>著作权、</w:t>
      </w:r>
      <w:r>
        <w:rPr>
          <w:rFonts w:asciiTheme="minorEastAsia" w:hAnsiTheme="minorEastAsia" w:eastAsiaTheme="minorEastAsia"/>
          <w:sz w:val="21"/>
          <w:szCs w:val="21"/>
        </w:rPr>
        <w:t>专利权、商标权</w:t>
      </w:r>
      <w:r>
        <w:rPr>
          <w:rFonts w:hint="eastAsia" w:asciiTheme="minorEastAsia" w:hAnsiTheme="minorEastAsia" w:eastAsiaTheme="minorEastAsia"/>
          <w:sz w:val="21"/>
          <w:szCs w:val="21"/>
        </w:rPr>
        <w:t>等</w:t>
      </w:r>
      <w:r>
        <w:rPr>
          <w:rFonts w:asciiTheme="minorEastAsia" w:hAnsiTheme="minorEastAsia" w:eastAsiaTheme="minorEastAsia"/>
          <w:sz w:val="21"/>
          <w:szCs w:val="21"/>
        </w:rPr>
        <w:t>知识产权而引起</w:t>
      </w:r>
      <w:r>
        <w:rPr>
          <w:rFonts w:hint="eastAsia" w:asciiTheme="minorEastAsia" w:hAnsiTheme="minorEastAsia" w:eastAsiaTheme="minorEastAsia"/>
          <w:sz w:val="21"/>
          <w:szCs w:val="21"/>
        </w:rPr>
        <w:t>法律或经济纠纷。</w:t>
      </w:r>
      <w:r>
        <w:rPr>
          <w:rFonts w:asciiTheme="minorEastAsia" w:hAnsiTheme="minorEastAsia" w:eastAsiaTheme="minorEastAsia"/>
          <w:sz w:val="21"/>
          <w:szCs w:val="21"/>
        </w:rPr>
        <w:t>如果任何第三方提出侵权</w:t>
      </w:r>
      <w:r>
        <w:rPr>
          <w:rFonts w:hint="eastAsia" w:asciiTheme="minorEastAsia" w:hAnsiTheme="minorEastAsia" w:eastAsiaTheme="minorEastAsia"/>
          <w:sz w:val="21"/>
          <w:szCs w:val="21"/>
        </w:rPr>
        <w:t>指控，由投标人</w:t>
      </w:r>
      <w:r>
        <w:rPr>
          <w:rFonts w:asciiTheme="minorEastAsia" w:hAnsiTheme="minorEastAsia" w:eastAsiaTheme="minorEastAsia"/>
          <w:sz w:val="21"/>
          <w:szCs w:val="21"/>
        </w:rPr>
        <w:t>与该第三方交涉并承担由此发生的一切责任、费用和赔偿</w:t>
      </w:r>
      <w:r>
        <w:rPr>
          <w:rFonts w:hint="eastAsia" w:asciiTheme="minorEastAsia" w:hAnsiTheme="minorEastAsia" w:eastAsiaTheme="minorEastAsia"/>
          <w:sz w:val="21"/>
          <w:szCs w:val="21"/>
        </w:rPr>
        <w:t>。</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投标人如采用自身所不拥有的知识产权，无论投标人是否在投标报价中单独列明，采购人均视为投标人的投标报价已包含投标人合法获取该知识产权的相关费用。</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9.转包</w:t>
      </w:r>
    </w:p>
    <w:p>
      <w:pPr>
        <w:snapToGrid w:val="0"/>
        <w:spacing w:line="360" w:lineRule="auto"/>
        <w:ind w:firstLine="420" w:firstLineChars="200"/>
        <w:jc w:val="left"/>
        <w:rPr>
          <w:rFonts w:cs="Arial" w:asciiTheme="minorEastAsia" w:hAnsiTheme="minorEastAsia" w:eastAsiaTheme="minorEastAsia"/>
          <w:szCs w:val="21"/>
        </w:rPr>
      </w:pPr>
      <w:r>
        <w:rPr>
          <w:rFonts w:cs="Arial" w:asciiTheme="minorEastAsia" w:hAnsiTheme="minorEastAsia" w:eastAsiaTheme="minorEastAsia"/>
          <w:szCs w:val="21"/>
        </w:rPr>
        <w:t>本项目不允许转包</w:t>
      </w:r>
      <w:r>
        <w:rPr>
          <w:rFonts w:hint="eastAsia" w:cs="Arial" w:asciiTheme="minorEastAsia" w:hAnsiTheme="minorEastAsia" w:eastAsiaTheme="minorEastAsia"/>
          <w:szCs w:val="21"/>
        </w:rPr>
        <w:t>。</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10.分包</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本项目经采购人同意后，允许分包。</w:t>
      </w:r>
    </w:p>
    <w:p>
      <w:pPr>
        <w:tabs>
          <w:tab w:val="left" w:pos="426"/>
        </w:tabs>
        <w:snapToGrid w:val="0"/>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11.</w:t>
      </w:r>
      <w:r>
        <w:rPr>
          <w:rFonts w:cs="宋体" w:asciiTheme="minorEastAsia" w:hAnsiTheme="minorEastAsia" w:eastAsiaTheme="minorEastAsia"/>
          <w:b/>
          <w:kern w:val="0"/>
          <w:szCs w:val="21"/>
        </w:rPr>
        <w:t>质疑和投诉</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11.1投标人认为招标文件、招标过程和中标结果使自己的权益受到损害的，可以在知道或者应知其权益受到损害之日起七个工作日内，以书面形式向采购人或其委托的采购代理机构提出质疑。</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11.2投标人应在法定质疑期内一次性提出针对同一采购程序环节的质疑。</w:t>
      </w:r>
    </w:p>
    <w:p>
      <w:pPr>
        <w:snapToGrid w:val="0"/>
        <w:spacing w:line="360" w:lineRule="auto"/>
        <w:ind w:firstLine="420" w:firstLineChars="200"/>
        <w:jc w:val="left"/>
        <w:rPr>
          <w:rFonts w:asciiTheme="minorEastAsia" w:hAnsiTheme="minorEastAsia" w:eastAsiaTheme="minorEastAsia"/>
          <w:szCs w:val="21"/>
        </w:rPr>
      </w:pPr>
      <w:r>
        <w:rPr>
          <w:rFonts w:hint="eastAsia" w:cs="Arial" w:asciiTheme="minorEastAsia" w:hAnsiTheme="minorEastAsia" w:eastAsiaTheme="minorEastAsia"/>
          <w:szCs w:val="21"/>
        </w:rPr>
        <w:t>11</w:t>
      </w:r>
      <w:r>
        <w:rPr>
          <w:rFonts w:hint="eastAsia" w:asciiTheme="minorEastAsia" w:hAnsiTheme="minorEastAsia" w:eastAsiaTheme="minorEastAsia"/>
          <w:szCs w:val="21"/>
        </w:rPr>
        <w:t>.3采购代理机构质疑函接收部门、联系电话和通讯地址：见《投标人须知前附表》。</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11.4质疑投标人对采购人或采购代理机构的答复不满意或者采购人或采购代理机构未在规定的时间内作出答复的，可以在答复期满后十五个工作日内向同级政府采购监督管理部门投诉。</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11.5</w:t>
      </w:r>
      <w:r>
        <w:rPr>
          <w:rFonts w:cs="Arial" w:asciiTheme="minorEastAsia" w:hAnsiTheme="minorEastAsia" w:eastAsiaTheme="minorEastAsia"/>
          <w:szCs w:val="21"/>
        </w:rPr>
        <w:t>质疑、投诉</w:t>
      </w:r>
      <w:r>
        <w:rPr>
          <w:rFonts w:hint="eastAsia" w:cs="Arial" w:asciiTheme="minorEastAsia" w:hAnsiTheme="minorEastAsia" w:eastAsiaTheme="minorEastAsia"/>
          <w:szCs w:val="21"/>
        </w:rPr>
        <w:t>均须</w:t>
      </w:r>
      <w:r>
        <w:rPr>
          <w:rFonts w:cs="Arial" w:asciiTheme="minorEastAsia" w:hAnsiTheme="minorEastAsia" w:eastAsiaTheme="minorEastAsia"/>
          <w:szCs w:val="21"/>
        </w:rPr>
        <w:t>采用书面形式，质疑、投诉</w:t>
      </w:r>
      <w:r>
        <w:rPr>
          <w:rFonts w:hint="eastAsia" w:cs="Arial" w:asciiTheme="minorEastAsia" w:hAnsiTheme="minorEastAsia" w:eastAsiaTheme="minorEastAsia"/>
          <w:szCs w:val="21"/>
        </w:rPr>
        <w:t>资料</w:t>
      </w:r>
      <w:r>
        <w:rPr>
          <w:rFonts w:cs="Arial" w:asciiTheme="minorEastAsia" w:hAnsiTheme="minorEastAsia" w:eastAsiaTheme="minorEastAsia"/>
          <w:szCs w:val="21"/>
        </w:rPr>
        <w:t>均应明确阐述</w:t>
      </w:r>
      <w:r>
        <w:rPr>
          <w:rFonts w:hint="eastAsia" w:cs="Arial" w:asciiTheme="minorEastAsia" w:hAnsiTheme="minorEastAsia" w:eastAsiaTheme="minorEastAsia"/>
          <w:szCs w:val="21"/>
        </w:rPr>
        <w:t>自身</w:t>
      </w:r>
      <w:r>
        <w:rPr>
          <w:rFonts w:cs="Arial" w:asciiTheme="minorEastAsia" w:hAnsiTheme="minorEastAsia" w:eastAsiaTheme="minorEastAsia"/>
          <w:szCs w:val="21"/>
        </w:rPr>
        <w:t>合法权益受到损害的实质性内容，提供相关事实、依据和证据及其来源或线索，便于调查、答复和处理</w:t>
      </w:r>
      <w:r>
        <w:rPr>
          <w:rFonts w:hint="eastAsia" w:cs="Arial" w:asciiTheme="minorEastAsia" w:hAnsiTheme="minorEastAsia" w:eastAsiaTheme="minorEastAsia"/>
          <w:szCs w:val="21"/>
        </w:rPr>
        <w:t>，</w:t>
      </w:r>
      <w:r>
        <w:rPr>
          <w:rFonts w:cs="Arial" w:asciiTheme="minorEastAsia" w:hAnsiTheme="minorEastAsia" w:eastAsiaTheme="minorEastAsia"/>
          <w:szCs w:val="21"/>
        </w:rPr>
        <w:t>质疑、投诉</w:t>
      </w:r>
      <w:r>
        <w:rPr>
          <w:rFonts w:hint="eastAsia" w:cs="Arial" w:asciiTheme="minorEastAsia" w:hAnsiTheme="minorEastAsia" w:eastAsiaTheme="minorEastAsia"/>
          <w:szCs w:val="21"/>
        </w:rPr>
        <w:t>文件具体格式在浙江政府采购网下载专区进行下载。</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12.信用记录查询及使用</w:t>
      </w:r>
    </w:p>
    <w:p>
      <w:pPr>
        <w:pStyle w:val="23"/>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12.1</w:t>
      </w:r>
      <w:r>
        <w:rPr>
          <w:rFonts w:asciiTheme="minorEastAsia" w:hAnsiTheme="minorEastAsia" w:eastAsiaTheme="minorEastAsia"/>
          <w:sz w:val="21"/>
          <w:szCs w:val="21"/>
        </w:rPr>
        <w:t>投标人信用信息查询渠道</w:t>
      </w:r>
      <w:r>
        <w:rPr>
          <w:rFonts w:hint="eastAsia" w:asciiTheme="minorEastAsia" w:hAnsiTheme="minorEastAsia" w:eastAsiaTheme="minorEastAsia"/>
          <w:sz w:val="21"/>
          <w:szCs w:val="21"/>
        </w:rPr>
        <w:t>：通过“信用中国”网站（www.creditchina.gov.cn）、中国政府采购网（www.ccgp.gov.cn）查询本项目投标人的信用记录。</w:t>
      </w:r>
    </w:p>
    <w:p>
      <w:pPr>
        <w:pStyle w:val="23"/>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12.2</w:t>
      </w:r>
      <w:r>
        <w:rPr>
          <w:rFonts w:asciiTheme="minorEastAsia" w:hAnsiTheme="minorEastAsia" w:eastAsiaTheme="minorEastAsia"/>
          <w:sz w:val="21"/>
          <w:szCs w:val="21"/>
        </w:rPr>
        <w:t>信息查询截止时点</w:t>
      </w:r>
      <w:r>
        <w:rPr>
          <w:rFonts w:hint="eastAsia" w:asciiTheme="minorEastAsia" w:hAnsiTheme="minorEastAsia" w:eastAsiaTheme="minorEastAsia"/>
          <w:sz w:val="21"/>
          <w:szCs w:val="21"/>
        </w:rPr>
        <w:t>：投标截止时间后至评审结束前。</w:t>
      </w:r>
    </w:p>
    <w:p>
      <w:pPr>
        <w:pStyle w:val="23"/>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12.3</w:t>
      </w:r>
      <w:r>
        <w:rPr>
          <w:rFonts w:asciiTheme="minorEastAsia" w:hAnsiTheme="minorEastAsia" w:eastAsiaTheme="minorEastAsia"/>
          <w:sz w:val="21"/>
          <w:szCs w:val="21"/>
        </w:rPr>
        <w:t>信用信息查询记录和证据留存的具体方式</w:t>
      </w:r>
      <w:r>
        <w:rPr>
          <w:rFonts w:hint="eastAsia" w:asciiTheme="minorEastAsia" w:hAnsiTheme="minorEastAsia" w:eastAsiaTheme="minorEastAsia"/>
          <w:sz w:val="21"/>
          <w:szCs w:val="21"/>
        </w:rPr>
        <w:t>：</w:t>
      </w:r>
      <w:r>
        <w:rPr>
          <w:rFonts w:asciiTheme="minorEastAsia" w:hAnsiTheme="minorEastAsia" w:eastAsiaTheme="minorEastAsia"/>
          <w:sz w:val="21"/>
          <w:szCs w:val="21"/>
        </w:rPr>
        <w:t>采购代理机构</w:t>
      </w:r>
      <w:r>
        <w:rPr>
          <w:rFonts w:hint="eastAsia" w:asciiTheme="minorEastAsia" w:hAnsiTheme="minorEastAsia" w:eastAsiaTheme="minorEastAsia"/>
          <w:sz w:val="21"/>
          <w:szCs w:val="21"/>
        </w:rPr>
        <w:t>工作人员将查询网页打印、签字并与其他采购文件一并存档备查。</w:t>
      </w:r>
    </w:p>
    <w:p>
      <w:pPr>
        <w:pStyle w:val="23"/>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投标人不良信用记录以</w:t>
      </w:r>
      <w:r>
        <w:rPr>
          <w:rFonts w:asciiTheme="minorEastAsia" w:hAnsiTheme="minorEastAsia" w:eastAsiaTheme="minorEastAsia"/>
          <w:sz w:val="21"/>
          <w:szCs w:val="21"/>
        </w:rPr>
        <w:t>采购代理机构</w:t>
      </w:r>
      <w:r>
        <w:rPr>
          <w:rFonts w:hint="eastAsia" w:asciiTheme="minorEastAsia" w:hAnsiTheme="minorEastAsia" w:eastAsiaTheme="minorEastAsia"/>
          <w:sz w:val="21"/>
          <w:szCs w:val="21"/>
        </w:rPr>
        <w:t>查询结果为准。</w:t>
      </w:r>
      <w:bookmarkStart w:id="57" w:name="_Hlk24663338"/>
      <w:r>
        <w:rPr>
          <w:rFonts w:hint="eastAsia" w:asciiTheme="minorEastAsia" w:hAnsiTheme="minorEastAsia" w:eastAsiaTheme="minorEastAsia"/>
          <w:sz w:val="21"/>
          <w:szCs w:val="21"/>
        </w:rPr>
        <w:t>在</w:t>
      </w:r>
      <w:r>
        <w:rPr>
          <w:rFonts w:asciiTheme="minorEastAsia" w:hAnsiTheme="minorEastAsia" w:eastAsiaTheme="minorEastAsia"/>
          <w:sz w:val="21"/>
          <w:szCs w:val="21"/>
        </w:rPr>
        <w:t>招标文件规定</w:t>
      </w:r>
      <w:r>
        <w:rPr>
          <w:rFonts w:hint="eastAsia" w:asciiTheme="minorEastAsia" w:hAnsiTheme="minorEastAsia" w:eastAsiaTheme="minorEastAsia"/>
          <w:sz w:val="21"/>
          <w:szCs w:val="21"/>
        </w:rPr>
        <w:t>的查询时间之外，网站信息发生的任何变更均不作为资格审查依据。</w:t>
      </w:r>
      <w:bookmarkEnd w:id="57"/>
      <w:r>
        <w:rPr>
          <w:rFonts w:hint="eastAsia" w:asciiTheme="minorEastAsia" w:hAnsiTheme="minorEastAsia" w:eastAsiaTheme="minorEastAsia"/>
          <w:sz w:val="21"/>
          <w:szCs w:val="21"/>
        </w:rPr>
        <w:t>投标人自行提供的网站查询结果材料亦不作为资格审查依据。</w:t>
      </w:r>
    </w:p>
    <w:p>
      <w:pPr>
        <w:pStyle w:val="23"/>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12.4</w:t>
      </w:r>
      <w:r>
        <w:rPr>
          <w:rFonts w:asciiTheme="minorEastAsia" w:hAnsiTheme="minorEastAsia" w:eastAsiaTheme="minorEastAsia"/>
          <w:sz w:val="21"/>
          <w:szCs w:val="21"/>
        </w:rPr>
        <w:t>信用信息的使用规则</w:t>
      </w:r>
      <w:r>
        <w:rPr>
          <w:rFonts w:hint="eastAsia" w:asciiTheme="minorEastAsia" w:hAnsiTheme="minorEastAsia" w:eastAsiaTheme="minorEastAsia"/>
          <w:sz w:val="21"/>
          <w:szCs w:val="21"/>
        </w:rPr>
        <w:t>：</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以联合体形式参加投标的，联合体任何成员存在以上不良信用记录的，联合体投标将被认定为</w:t>
      </w:r>
      <w:r>
        <w:rPr>
          <w:rFonts w:hint="eastAsia" w:asciiTheme="minorEastAsia" w:hAnsiTheme="minorEastAsia" w:eastAsiaTheme="minorEastAsia"/>
          <w:b/>
          <w:szCs w:val="21"/>
        </w:rPr>
        <w:t>投标无效</w:t>
      </w:r>
      <w:r>
        <w:rPr>
          <w:rFonts w:hint="eastAsia" w:asciiTheme="minorEastAsia" w:hAnsiTheme="minorEastAsia" w:eastAsiaTheme="minorEastAsia"/>
          <w:szCs w:val="21"/>
        </w:rPr>
        <w:t>。</w:t>
      </w:r>
    </w:p>
    <w:p>
      <w:pPr>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13.政府采购信息发布媒体</w:t>
      </w:r>
    </w:p>
    <w:p>
      <w:pPr>
        <w:pStyle w:val="23"/>
        <w:snapToGrid w:val="0"/>
        <w:spacing w:after="0" w:line="360" w:lineRule="auto"/>
        <w:ind w:left="0" w:leftChars="0"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详见第一章（投标邀请）。</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14.</w:t>
      </w:r>
      <w:r>
        <w:rPr>
          <w:rFonts w:asciiTheme="minorEastAsia" w:hAnsiTheme="minorEastAsia" w:eastAsiaTheme="minorEastAsia"/>
          <w:b/>
          <w:szCs w:val="21"/>
        </w:rPr>
        <w:t>采购代理</w:t>
      </w:r>
      <w:r>
        <w:rPr>
          <w:rFonts w:hint="eastAsia" w:asciiTheme="minorEastAsia" w:hAnsiTheme="minorEastAsia" w:eastAsiaTheme="minorEastAsia"/>
          <w:b/>
          <w:szCs w:val="21"/>
        </w:rPr>
        <w:t>服务</w:t>
      </w:r>
      <w:r>
        <w:rPr>
          <w:rFonts w:asciiTheme="minorEastAsia" w:hAnsiTheme="minorEastAsia" w:eastAsiaTheme="minorEastAsia"/>
          <w:b/>
          <w:szCs w:val="21"/>
        </w:rPr>
        <w:t>费用的收取标准和方式</w:t>
      </w:r>
    </w:p>
    <w:p>
      <w:pPr>
        <w:pStyle w:val="23"/>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14.1</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代理服务费用的收取标准：详见《投标人须知前附表》。</w:t>
      </w:r>
    </w:p>
    <w:p>
      <w:pPr>
        <w:pStyle w:val="23"/>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14.2</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代理服务费的支付：详见《投标人须知前附表》。</w:t>
      </w:r>
    </w:p>
    <w:p>
      <w:pPr>
        <w:pStyle w:val="23"/>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14.3</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代理服务费收款账户信息：</w:t>
      </w:r>
    </w:p>
    <w:p>
      <w:pPr>
        <w:pStyle w:val="23"/>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开户银行：宁波银行海曙支行</w:t>
      </w:r>
    </w:p>
    <w:p>
      <w:pPr>
        <w:pStyle w:val="23"/>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户名：宁波名诚招标代理有限公司</w:t>
      </w:r>
    </w:p>
    <w:p>
      <w:pPr>
        <w:pStyle w:val="23"/>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账号：20010122000443166</w:t>
      </w:r>
    </w:p>
    <w:p>
      <w:pPr>
        <w:pStyle w:val="27"/>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15.其他</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15.1招标文件的标题和序号只是为了查阅方便，不影响对招标文件的理解。</w:t>
      </w:r>
    </w:p>
    <w:p>
      <w:pPr>
        <w:pStyle w:val="27"/>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15.2投标人提交的投标文件针对招标文件同一条款出现不同表述（响应）的，按照不利于投标人的标准进行认定；在合同签订或履行中发现存在上述情形的，按照有利于采购人的标准执行。</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15.3招标文件要求携带原件备查的资料，如果该资料可以通过互联网或者相关信息系统查询的，投标人能够当场提供账号、网址等进行查询、核实资料真伪及有关数据的，视同提供了原件。</w:t>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asciiTheme="minorEastAsia" w:hAnsiTheme="minorEastAsia" w:eastAsiaTheme="minorEastAsia"/>
          <w:b/>
          <w:sz w:val="21"/>
          <w:szCs w:val="21"/>
        </w:rPr>
        <w:t>二</w:t>
      </w:r>
      <w:r>
        <w:rPr>
          <w:rFonts w:hint="eastAsia" w:asciiTheme="minorEastAsia" w:hAnsiTheme="minorEastAsia" w:eastAsiaTheme="minorEastAsia"/>
          <w:b/>
          <w:sz w:val="21"/>
          <w:szCs w:val="21"/>
        </w:rPr>
        <w:t>、招标</w:t>
      </w:r>
      <w:r>
        <w:rPr>
          <w:rFonts w:asciiTheme="minorEastAsia" w:hAnsiTheme="minorEastAsia" w:eastAsiaTheme="minorEastAsia"/>
          <w:b/>
          <w:sz w:val="21"/>
          <w:szCs w:val="21"/>
        </w:rPr>
        <w:t>文件</w:t>
      </w:r>
    </w:p>
    <w:p>
      <w:pPr>
        <w:pStyle w:val="27"/>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16.招标文件的编制依据与构成</w:t>
      </w:r>
    </w:p>
    <w:p>
      <w:pPr>
        <w:pStyle w:val="27"/>
        <w:snapToGrid w:val="0"/>
        <w:spacing w:beforeLines="0" w:afterLines="0" w:line="360" w:lineRule="auto"/>
        <w:ind w:firstLine="420" w:firstLineChars="200"/>
        <w:rPr>
          <w:rFonts w:asciiTheme="minorEastAsia" w:hAnsiTheme="minorEastAsia" w:eastAsiaTheme="minorEastAsia"/>
          <w:b/>
          <w:sz w:val="21"/>
          <w:szCs w:val="21"/>
        </w:rPr>
      </w:pPr>
      <w:r>
        <w:rPr>
          <w:rFonts w:hint="eastAsia" w:asciiTheme="minorEastAsia" w:hAnsiTheme="minorEastAsia" w:eastAsiaTheme="minorEastAsia"/>
          <w:sz w:val="21"/>
          <w:szCs w:val="21"/>
        </w:rPr>
        <w:t>16.1本招标文件根据《中华人民共和国政府采购法》《中华人民共和国政府采购法实施条例》《政府采购货物和服务招标投标管理办法》等政府采购法律法规的规定编制。</w:t>
      </w:r>
    </w:p>
    <w:p>
      <w:pPr>
        <w:pStyle w:val="27"/>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16.2本项目要求提供的服务及伴随的货物和工程、招标过程和合同条件在招标文件中均有说明。</w:t>
      </w:r>
    </w:p>
    <w:p>
      <w:pPr>
        <w:pStyle w:val="27"/>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16.3招标文件以中文文字编写，共六章。由下列文件以及在招标过程中发出的澄清或修改文件和补充文件组成，内容如下：</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第一章  投标邀请</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第二章  </w:t>
      </w:r>
      <w:r>
        <w:rPr>
          <w:rFonts w:asciiTheme="minorEastAsia" w:hAnsiTheme="minorEastAsia" w:eastAsiaTheme="minorEastAsia"/>
          <w:sz w:val="21"/>
          <w:szCs w:val="21"/>
        </w:rPr>
        <w:t>采购需求</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第三章  </w:t>
      </w:r>
      <w:r>
        <w:rPr>
          <w:rFonts w:asciiTheme="minorEastAsia" w:hAnsiTheme="minorEastAsia" w:eastAsiaTheme="minorEastAsia"/>
          <w:sz w:val="21"/>
          <w:szCs w:val="21"/>
        </w:rPr>
        <w:t>投标人须知</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第四章  </w:t>
      </w:r>
      <w:r>
        <w:rPr>
          <w:rFonts w:asciiTheme="minorEastAsia" w:hAnsiTheme="minorEastAsia" w:eastAsiaTheme="minorEastAsia"/>
          <w:sz w:val="21"/>
          <w:szCs w:val="21"/>
        </w:rPr>
        <w:t>评标</w:t>
      </w:r>
      <w:r>
        <w:rPr>
          <w:rFonts w:hint="eastAsia" w:asciiTheme="minorEastAsia" w:hAnsiTheme="minorEastAsia" w:eastAsiaTheme="minorEastAsia"/>
          <w:sz w:val="21"/>
          <w:szCs w:val="21"/>
        </w:rPr>
        <w:t>方法</w:t>
      </w:r>
      <w:r>
        <w:rPr>
          <w:rFonts w:asciiTheme="minorEastAsia" w:hAnsiTheme="minorEastAsia" w:eastAsiaTheme="minorEastAsia"/>
          <w:sz w:val="21"/>
          <w:szCs w:val="21"/>
        </w:rPr>
        <w:t>及</w:t>
      </w:r>
      <w:r>
        <w:rPr>
          <w:rFonts w:hint="eastAsia" w:asciiTheme="minorEastAsia" w:hAnsiTheme="minorEastAsia" w:eastAsiaTheme="minorEastAsia"/>
          <w:sz w:val="21"/>
          <w:szCs w:val="21"/>
        </w:rPr>
        <w:t>评标</w:t>
      </w:r>
      <w:r>
        <w:rPr>
          <w:rFonts w:asciiTheme="minorEastAsia" w:hAnsiTheme="minorEastAsia" w:eastAsiaTheme="minorEastAsia"/>
          <w:sz w:val="21"/>
          <w:szCs w:val="21"/>
        </w:rPr>
        <w:t>标准</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第五章  </w:t>
      </w:r>
      <w:r>
        <w:rPr>
          <w:rFonts w:asciiTheme="minorEastAsia" w:hAnsiTheme="minorEastAsia" w:eastAsiaTheme="minorEastAsia"/>
          <w:sz w:val="21"/>
          <w:szCs w:val="21"/>
        </w:rPr>
        <w:t>合同文本</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第六章  </w:t>
      </w:r>
      <w:r>
        <w:rPr>
          <w:rFonts w:asciiTheme="minorEastAsia" w:hAnsiTheme="minorEastAsia" w:eastAsiaTheme="minorEastAsia"/>
          <w:sz w:val="21"/>
          <w:szCs w:val="21"/>
        </w:rPr>
        <w:t>投标文件格式</w:t>
      </w:r>
    </w:p>
    <w:p>
      <w:pPr>
        <w:pStyle w:val="15"/>
        <w:widowControl w:val="0"/>
        <w:numPr>
          <w:ilvl w:val="0"/>
          <w:numId w:val="0"/>
        </w:numPr>
        <w:tabs>
          <w:tab w:val="clear" w:pos="454"/>
        </w:tabs>
        <w:snapToGrid w:val="0"/>
        <w:spacing w:afterLines="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17.招标文件的询问、澄清和修改</w:t>
      </w:r>
    </w:p>
    <w:p>
      <w:pPr>
        <w:pStyle w:val="27"/>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17.</w:t>
      </w: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询问</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bCs/>
          <w:sz w:val="21"/>
          <w:szCs w:val="21"/>
        </w:rPr>
        <w:t>投标人</w:t>
      </w:r>
      <w:r>
        <w:rPr>
          <w:rFonts w:hint="eastAsia" w:asciiTheme="minorEastAsia" w:hAnsiTheme="minorEastAsia" w:eastAsiaTheme="minorEastAsia"/>
          <w:bCs/>
          <w:sz w:val="21"/>
          <w:szCs w:val="21"/>
        </w:rPr>
        <w:t>对招标文件有疑问，可以向</w:t>
      </w:r>
      <w:r>
        <w:rPr>
          <w:rFonts w:hint="eastAsia" w:asciiTheme="minorEastAsia" w:hAnsiTheme="minorEastAsia" w:eastAsiaTheme="minorEastAsia"/>
          <w:sz w:val="21"/>
          <w:szCs w:val="21"/>
        </w:rPr>
        <w:t>采购人或采购代理机构</w:t>
      </w:r>
      <w:r>
        <w:rPr>
          <w:rFonts w:hint="eastAsia" w:asciiTheme="minorEastAsia" w:hAnsiTheme="minorEastAsia" w:eastAsiaTheme="minorEastAsia"/>
          <w:bCs/>
          <w:sz w:val="21"/>
          <w:szCs w:val="21"/>
        </w:rPr>
        <w:t>询问，</w:t>
      </w:r>
      <w:r>
        <w:rPr>
          <w:rFonts w:hint="eastAsia" w:asciiTheme="minorEastAsia" w:hAnsiTheme="minorEastAsia" w:eastAsiaTheme="minorEastAsia"/>
          <w:sz w:val="21"/>
          <w:szCs w:val="21"/>
        </w:rPr>
        <w:t>采购人或采购代理机构将依法</w:t>
      </w:r>
      <w:r>
        <w:rPr>
          <w:rFonts w:hint="eastAsia" w:asciiTheme="minorEastAsia" w:hAnsiTheme="minorEastAsia" w:eastAsiaTheme="minorEastAsia"/>
          <w:bCs/>
          <w:sz w:val="21"/>
          <w:szCs w:val="21"/>
        </w:rPr>
        <w:t>对潜在投标人</w:t>
      </w:r>
      <w:r>
        <w:rPr>
          <w:rFonts w:hint="eastAsia" w:asciiTheme="minorEastAsia" w:hAnsiTheme="minorEastAsia" w:eastAsiaTheme="minorEastAsia"/>
          <w:sz w:val="21"/>
          <w:szCs w:val="21"/>
        </w:rPr>
        <w:t>的询问作出答复。</w:t>
      </w:r>
    </w:p>
    <w:p>
      <w:pPr>
        <w:pStyle w:val="27"/>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17.2澄清和修改</w:t>
      </w:r>
    </w:p>
    <w:p>
      <w:pPr>
        <w:pStyle w:val="27"/>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r>
        <w:rPr>
          <w:rFonts w:hint="eastAsia" w:asciiTheme="minorEastAsia" w:hAnsiTheme="minorEastAsia" w:eastAsiaTheme="minorEastAsia"/>
          <w:sz w:val="21"/>
          <w:szCs w:val="21"/>
        </w:rPr>
        <w:t>采购人或采购代理机构</w:t>
      </w:r>
      <w:r>
        <w:rPr>
          <w:rFonts w:asciiTheme="minorEastAsia" w:hAnsiTheme="minorEastAsia" w:eastAsiaTheme="minorEastAsia"/>
          <w:bCs/>
          <w:sz w:val="21"/>
          <w:szCs w:val="21"/>
        </w:rPr>
        <w:t>可以</w:t>
      </w:r>
      <w:r>
        <w:rPr>
          <w:rFonts w:hint="eastAsia" w:asciiTheme="minorEastAsia" w:hAnsiTheme="minorEastAsia" w:eastAsiaTheme="minorEastAsia"/>
          <w:bCs/>
          <w:sz w:val="21"/>
          <w:szCs w:val="21"/>
        </w:rPr>
        <w:t>主动的或在解答投标人提出的问题时</w:t>
      </w:r>
      <w:r>
        <w:rPr>
          <w:rFonts w:asciiTheme="minorEastAsia" w:hAnsiTheme="minorEastAsia" w:eastAsiaTheme="minorEastAsia"/>
          <w:bCs/>
          <w:sz w:val="21"/>
          <w:szCs w:val="21"/>
        </w:rPr>
        <w:t>对已发出的招标文件进行必要的澄清或者修改。澄清或者修改</w:t>
      </w:r>
      <w:r>
        <w:rPr>
          <w:rFonts w:hint="eastAsia" w:asciiTheme="minorEastAsia" w:hAnsiTheme="minorEastAsia" w:eastAsiaTheme="minorEastAsia"/>
          <w:bCs/>
          <w:sz w:val="21"/>
          <w:szCs w:val="21"/>
        </w:rPr>
        <w:t>将</w:t>
      </w:r>
      <w:r>
        <w:rPr>
          <w:rFonts w:asciiTheme="minorEastAsia" w:hAnsiTheme="minorEastAsia" w:eastAsiaTheme="minorEastAsia"/>
          <w:bCs/>
          <w:sz w:val="21"/>
          <w:szCs w:val="21"/>
        </w:rPr>
        <w:t>在原</w:t>
      </w:r>
      <w:r>
        <w:rPr>
          <w:rFonts w:hint="eastAsia" w:asciiTheme="minorEastAsia" w:hAnsiTheme="minorEastAsia" w:eastAsiaTheme="minorEastAsia"/>
          <w:bCs/>
          <w:sz w:val="21"/>
          <w:szCs w:val="21"/>
        </w:rPr>
        <w:t>招标</w:t>
      </w:r>
      <w:r>
        <w:rPr>
          <w:rFonts w:asciiTheme="minorEastAsia" w:hAnsiTheme="minorEastAsia" w:eastAsiaTheme="minorEastAsia"/>
          <w:bCs/>
          <w:sz w:val="21"/>
          <w:szCs w:val="21"/>
        </w:rPr>
        <w:t>公告发布媒体发布</w:t>
      </w:r>
      <w:r>
        <w:rPr>
          <w:rFonts w:hint="eastAsia" w:asciiTheme="minorEastAsia" w:hAnsiTheme="minorEastAsia" w:eastAsiaTheme="minorEastAsia"/>
          <w:bCs/>
          <w:sz w:val="21"/>
          <w:szCs w:val="21"/>
        </w:rPr>
        <w:t>更正</w:t>
      </w:r>
      <w:r>
        <w:rPr>
          <w:rFonts w:asciiTheme="minorEastAsia" w:hAnsiTheme="minorEastAsia" w:eastAsiaTheme="minorEastAsia"/>
          <w:bCs/>
          <w:sz w:val="21"/>
          <w:szCs w:val="21"/>
        </w:rPr>
        <w:t>公告</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澄清或者修改的内容为招标文件的组成部分</w:t>
      </w:r>
      <w:r>
        <w:rPr>
          <w:rFonts w:hint="eastAsia" w:asciiTheme="minorEastAsia" w:hAnsiTheme="minorEastAsia" w:eastAsiaTheme="minorEastAsia"/>
          <w:bCs/>
          <w:sz w:val="21"/>
          <w:szCs w:val="21"/>
        </w:rPr>
        <w:t>，对投标人起约束作用</w:t>
      </w:r>
      <w:r>
        <w:rPr>
          <w:rFonts w:asciiTheme="minorEastAsia" w:hAnsiTheme="minorEastAsia" w:eastAsiaTheme="minorEastAsia"/>
          <w:bCs/>
          <w:sz w:val="21"/>
          <w:szCs w:val="21"/>
        </w:rPr>
        <w:t>。</w:t>
      </w:r>
    </w:p>
    <w:p>
      <w:pPr>
        <w:pStyle w:val="27"/>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（2）潜在</w:t>
      </w:r>
      <w:r>
        <w:rPr>
          <w:rFonts w:asciiTheme="minorEastAsia" w:hAnsiTheme="minorEastAsia" w:eastAsiaTheme="minorEastAsia"/>
          <w:bCs/>
          <w:sz w:val="21"/>
          <w:szCs w:val="21"/>
        </w:rPr>
        <w:t>投标人在收到书面形式通知后，</w:t>
      </w:r>
      <w:r>
        <w:rPr>
          <w:rFonts w:hint="eastAsia" w:asciiTheme="minorEastAsia" w:hAnsiTheme="minorEastAsia" w:eastAsiaTheme="minorEastAsia"/>
          <w:bCs/>
          <w:sz w:val="21"/>
          <w:szCs w:val="21"/>
        </w:rPr>
        <w:t>认为</w:t>
      </w:r>
      <w:r>
        <w:rPr>
          <w:rFonts w:asciiTheme="minorEastAsia" w:hAnsiTheme="minorEastAsia" w:eastAsiaTheme="minorEastAsia"/>
          <w:bCs/>
          <w:sz w:val="21"/>
          <w:szCs w:val="21"/>
        </w:rPr>
        <w:t>澄清或者修改的</w:t>
      </w:r>
      <w:r>
        <w:rPr>
          <w:rFonts w:hint="eastAsia" w:asciiTheme="minorEastAsia" w:hAnsiTheme="minorEastAsia" w:eastAsiaTheme="minorEastAsia"/>
          <w:bCs/>
          <w:sz w:val="21"/>
          <w:szCs w:val="21"/>
        </w:rPr>
        <w:t>内容</w:t>
      </w:r>
      <w:r>
        <w:rPr>
          <w:rFonts w:asciiTheme="minorEastAsia" w:hAnsiTheme="minorEastAsia" w:eastAsiaTheme="minorEastAsia"/>
          <w:bCs/>
          <w:sz w:val="21"/>
          <w:szCs w:val="21"/>
        </w:rPr>
        <w:t>影响投标文件编制</w:t>
      </w:r>
      <w:r>
        <w:rPr>
          <w:rFonts w:hint="eastAsia" w:asciiTheme="minorEastAsia" w:hAnsiTheme="minorEastAsia" w:eastAsiaTheme="minorEastAsia"/>
          <w:bCs/>
          <w:sz w:val="21"/>
          <w:szCs w:val="21"/>
        </w:rPr>
        <w:t>的</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应当</w:t>
      </w:r>
      <w:r>
        <w:rPr>
          <w:rFonts w:asciiTheme="minorEastAsia" w:hAnsiTheme="minorEastAsia" w:eastAsiaTheme="minorEastAsia"/>
          <w:bCs/>
          <w:sz w:val="21"/>
          <w:szCs w:val="21"/>
        </w:rPr>
        <w:t>在收到</w:t>
      </w:r>
      <w:r>
        <w:rPr>
          <w:rFonts w:hint="eastAsia" w:asciiTheme="minorEastAsia" w:hAnsiTheme="minorEastAsia" w:eastAsiaTheme="minorEastAsia"/>
          <w:bCs/>
          <w:sz w:val="21"/>
          <w:szCs w:val="21"/>
        </w:rPr>
        <w:t>书面通知</w:t>
      </w:r>
      <w:r>
        <w:rPr>
          <w:rFonts w:asciiTheme="minorEastAsia" w:hAnsiTheme="minorEastAsia" w:eastAsiaTheme="minorEastAsia"/>
          <w:bCs/>
          <w:sz w:val="21"/>
          <w:szCs w:val="21"/>
        </w:rPr>
        <w:t>后</w:t>
      </w:r>
      <w:r>
        <w:rPr>
          <w:rFonts w:hint="eastAsia" w:asciiTheme="minorEastAsia" w:hAnsiTheme="minorEastAsia" w:eastAsiaTheme="minorEastAsia"/>
          <w:bCs/>
          <w:sz w:val="21"/>
          <w:szCs w:val="21"/>
        </w:rPr>
        <w:t>及时</w:t>
      </w:r>
      <w:r>
        <w:rPr>
          <w:rFonts w:asciiTheme="minorEastAsia" w:hAnsiTheme="minorEastAsia" w:eastAsiaTheme="minorEastAsia"/>
          <w:bCs/>
          <w:sz w:val="21"/>
          <w:szCs w:val="21"/>
        </w:rPr>
        <w:t>将</w:t>
      </w:r>
      <w:r>
        <w:rPr>
          <w:rFonts w:hint="eastAsia" w:asciiTheme="minorEastAsia" w:hAnsiTheme="minorEastAsia" w:eastAsiaTheme="minorEastAsia"/>
          <w:bCs/>
          <w:sz w:val="21"/>
          <w:szCs w:val="21"/>
        </w:rPr>
        <w:t>有关</w:t>
      </w:r>
      <w:r>
        <w:rPr>
          <w:rFonts w:asciiTheme="minorEastAsia" w:hAnsiTheme="minorEastAsia" w:eastAsiaTheme="minorEastAsia"/>
          <w:bCs/>
          <w:sz w:val="21"/>
          <w:szCs w:val="21"/>
        </w:rPr>
        <w:t>意见以书面形式向</w:t>
      </w:r>
      <w:r>
        <w:rPr>
          <w:rFonts w:hint="eastAsia" w:asciiTheme="minorEastAsia" w:hAnsiTheme="minorEastAsia" w:eastAsiaTheme="minorEastAsia"/>
          <w:sz w:val="21"/>
          <w:szCs w:val="21"/>
        </w:rPr>
        <w:t>采购人或采购代理机构</w:t>
      </w:r>
      <w:r>
        <w:rPr>
          <w:rFonts w:asciiTheme="minorEastAsia" w:hAnsiTheme="minorEastAsia" w:eastAsiaTheme="minorEastAsia"/>
          <w:bCs/>
          <w:sz w:val="21"/>
          <w:szCs w:val="21"/>
        </w:rPr>
        <w:t>提出，否则，</w:t>
      </w:r>
      <w:r>
        <w:rPr>
          <w:rFonts w:hint="eastAsia" w:asciiTheme="minorEastAsia" w:hAnsiTheme="minorEastAsia" w:eastAsiaTheme="minorEastAsia"/>
          <w:sz w:val="21"/>
          <w:szCs w:val="21"/>
        </w:rPr>
        <w:t>采购人或采购代理机构</w:t>
      </w:r>
      <w:r>
        <w:rPr>
          <w:rFonts w:asciiTheme="minorEastAsia" w:hAnsiTheme="minorEastAsia" w:eastAsiaTheme="minorEastAsia"/>
          <w:bCs/>
          <w:sz w:val="21"/>
          <w:szCs w:val="21"/>
        </w:rPr>
        <w:t>视</w:t>
      </w:r>
      <w:r>
        <w:rPr>
          <w:rFonts w:hint="eastAsia" w:asciiTheme="minorEastAsia" w:hAnsiTheme="minorEastAsia" w:eastAsiaTheme="minorEastAsia"/>
          <w:bCs/>
          <w:sz w:val="21"/>
          <w:szCs w:val="21"/>
        </w:rPr>
        <w:t>为潜在</w:t>
      </w:r>
      <w:r>
        <w:rPr>
          <w:rFonts w:asciiTheme="minorEastAsia" w:hAnsiTheme="minorEastAsia" w:eastAsiaTheme="minorEastAsia"/>
          <w:bCs/>
          <w:sz w:val="21"/>
          <w:szCs w:val="21"/>
        </w:rPr>
        <w:t>投标人完全接受澄清或者修改的</w:t>
      </w:r>
      <w:r>
        <w:rPr>
          <w:rFonts w:hint="eastAsia" w:asciiTheme="minorEastAsia" w:hAnsiTheme="minorEastAsia" w:eastAsiaTheme="minorEastAsia"/>
          <w:bCs/>
          <w:sz w:val="21"/>
          <w:szCs w:val="21"/>
        </w:rPr>
        <w:t>内容，</w:t>
      </w:r>
      <w:r>
        <w:rPr>
          <w:rFonts w:asciiTheme="minorEastAsia" w:hAnsiTheme="minorEastAsia" w:eastAsiaTheme="minorEastAsia"/>
          <w:bCs/>
          <w:sz w:val="21"/>
          <w:szCs w:val="21"/>
        </w:rPr>
        <w:t>且</w:t>
      </w:r>
      <w:r>
        <w:rPr>
          <w:rFonts w:hint="eastAsia" w:asciiTheme="minorEastAsia" w:hAnsiTheme="minorEastAsia" w:eastAsiaTheme="minorEastAsia"/>
          <w:bCs/>
          <w:sz w:val="21"/>
          <w:szCs w:val="21"/>
        </w:rPr>
        <w:t>不</w:t>
      </w:r>
      <w:r>
        <w:rPr>
          <w:rFonts w:asciiTheme="minorEastAsia" w:hAnsiTheme="minorEastAsia" w:eastAsiaTheme="minorEastAsia"/>
          <w:bCs/>
          <w:sz w:val="21"/>
          <w:szCs w:val="21"/>
        </w:rPr>
        <w:t>影响</w:t>
      </w:r>
      <w:r>
        <w:rPr>
          <w:rFonts w:hint="eastAsia" w:asciiTheme="minorEastAsia" w:hAnsiTheme="minorEastAsia" w:eastAsiaTheme="minorEastAsia"/>
          <w:bCs/>
          <w:sz w:val="21"/>
          <w:szCs w:val="21"/>
        </w:rPr>
        <w:t>投标</w:t>
      </w:r>
      <w:r>
        <w:rPr>
          <w:rFonts w:asciiTheme="minorEastAsia" w:hAnsiTheme="minorEastAsia" w:eastAsiaTheme="minorEastAsia"/>
          <w:bCs/>
          <w:sz w:val="21"/>
          <w:szCs w:val="21"/>
        </w:rPr>
        <w:t>文件编制。</w:t>
      </w:r>
    </w:p>
    <w:p>
      <w:pPr>
        <w:pStyle w:val="27"/>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（3）潜在</w:t>
      </w:r>
      <w:r>
        <w:rPr>
          <w:rFonts w:asciiTheme="minorEastAsia" w:hAnsiTheme="minorEastAsia" w:eastAsiaTheme="minorEastAsia"/>
          <w:bCs/>
          <w:sz w:val="21"/>
          <w:szCs w:val="21"/>
        </w:rPr>
        <w:t>投标人要求澄清</w:t>
      </w:r>
      <w:r>
        <w:rPr>
          <w:rFonts w:hint="eastAsia" w:asciiTheme="minorEastAsia" w:hAnsiTheme="minorEastAsia" w:eastAsiaTheme="minorEastAsia"/>
          <w:bCs/>
          <w:sz w:val="21"/>
          <w:szCs w:val="21"/>
        </w:rPr>
        <w:t>和回复的书面材料</w:t>
      </w:r>
      <w:r>
        <w:rPr>
          <w:rFonts w:asciiTheme="minorEastAsia" w:hAnsiTheme="minorEastAsia" w:eastAsiaTheme="minorEastAsia"/>
          <w:bCs/>
          <w:sz w:val="21"/>
          <w:szCs w:val="21"/>
        </w:rPr>
        <w:t>应加盖单位公章</w:t>
      </w:r>
      <w:r>
        <w:rPr>
          <w:rFonts w:hint="eastAsia" w:asciiTheme="minorEastAsia" w:hAnsiTheme="minorEastAsia" w:eastAsiaTheme="minorEastAsia"/>
          <w:bCs/>
          <w:sz w:val="21"/>
          <w:szCs w:val="21"/>
        </w:rPr>
        <w:t>并注明</w:t>
      </w:r>
      <w:r>
        <w:rPr>
          <w:rFonts w:asciiTheme="minorEastAsia" w:hAnsiTheme="minorEastAsia" w:eastAsiaTheme="minorEastAsia"/>
          <w:bCs/>
          <w:sz w:val="21"/>
          <w:szCs w:val="21"/>
        </w:rPr>
        <w:t>日期。</w:t>
      </w:r>
    </w:p>
    <w:p>
      <w:pPr>
        <w:pStyle w:val="27"/>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（4）</w:t>
      </w:r>
      <w:r>
        <w:rPr>
          <w:rFonts w:asciiTheme="minorEastAsia" w:hAnsiTheme="minorEastAsia" w:eastAsiaTheme="minorEastAsia"/>
          <w:bCs/>
          <w:sz w:val="21"/>
          <w:szCs w:val="21"/>
        </w:rPr>
        <w:t>当招标文件与</w:t>
      </w:r>
      <w:r>
        <w:rPr>
          <w:rFonts w:hint="eastAsia" w:asciiTheme="minorEastAsia" w:hAnsiTheme="minorEastAsia" w:eastAsiaTheme="minorEastAsia"/>
          <w:bCs/>
          <w:sz w:val="21"/>
          <w:szCs w:val="21"/>
        </w:rPr>
        <w:t>补充文件（包含</w:t>
      </w:r>
      <w:r>
        <w:rPr>
          <w:rFonts w:asciiTheme="minorEastAsia" w:hAnsiTheme="minorEastAsia" w:eastAsiaTheme="minorEastAsia"/>
          <w:bCs/>
          <w:sz w:val="21"/>
          <w:szCs w:val="21"/>
        </w:rPr>
        <w:t>澄清或修改</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就同一内容的表述不一致时，以最后发出的</w:t>
      </w:r>
      <w:r>
        <w:rPr>
          <w:rFonts w:hint="eastAsia" w:asciiTheme="minorEastAsia" w:hAnsiTheme="minorEastAsia" w:eastAsiaTheme="minorEastAsia"/>
          <w:bCs/>
          <w:sz w:val="21"/>
          <w:szCs w:val="21"/>
        </w:rPr>
        <w:t>补充</w:t>
      </w:r>
      <w:r>
        <w:rPr>
          <w:rFonts w:asciiTheme="minorEastAsia" w:hAnsiTheme="minorEastAsia" w:eastAsiaTheme="minorEastAsia"/>
          <w:bCs/>
          <w:sz w:val="21"/>
          <w:szCs w:val="21"/>
        </w:rPr>
        <w:t>文件为准。</w:t>
      </w:r>
    </w:p>
    <w:p>
      <w:pPr>
        <w:pStyle w:val="27"/>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（5）潜在投标人必须保证获取招标文件时提供资料的真实、准确，并确保联系方式的畅通，否则，由此导致采购人或采购代理机构无法及时通知有关事项造成的后果由投标人自行承担。</w:t>
      </w:r>
    </w:p>
    <w:p>
      <w:pPr>
        <w:pStyle w:val="27"/>
        <w:snapToGrid w:val="0"/>
        <w:spacing w:beforeLines="0" w:afterLines="0" w:line="360"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18.现场考察及标前答疑会</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18.1采购代理机构可以在招标文件提供期限截止后，组织已获取招标文件的潜在投标人现场考察或者召开开标前答疑会。</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18.2招标文件中未载明现场考察或者召开开标前答疑会的，在招标文件提供期限截止后以书面形式通知所有获取招标文件的潜在投标人。</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18.3</w:t>
      </w:r>
      <w:r>
        <w:rPr>
          <w:rFonts w:asciiTheme="minorEastAsia" w:hAnsiTheme="minorEastAsia" w:eastAsiaTheme="minorEastAsia"/>
          <w:sz w:val="21"/>
          <w:szCs w:val="21"/>
        </w:rPr>
        <w:t>潜在投标人</w:t>
      </w:r>
      <w:r>
        <w:rPr>
          <w:rFonts w:hint="eastAsia" w:asciiTheme="minorEastAsia" w:hAnsiTheme="minorEastAsia" w:eastAsiaTheme="minorEastAsia"/>
          <w:sz w:val="21"/>
          <w:szCs w:val="21"/>
        </w:rPr>
        <w:t>应当在通知的时间准时参加现场考察或答疑会，否则自行承担未及时参加造成的后果。</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18.4除采购人的原因外，投标人自行负责现场考察或参加开标前答疑会造成的自身或第三人的人身伤害、财产损失或损坏的责任。</w:t>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asciiTheme="minorEastAsia" w:hAnsiTheme="minorEastAsia" w:eastAsiaTheme="minorEastAsia"/>
          <w:b/>
          <w:sz w:val="21"/>
          <w:szCs w:val="21"/>
        </w:rPr>
        <w:t>三、投标文件的编制</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19.投标范围</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19</w:t>
      </w:r>
      <w:r>
        <w:rPr>
          <w:rFonts w:asciiTheme="minorEastAsia" w:hAnsiTheme="minorEastAsia" w:eastAsiaTheme="minorEastAsia"/>
          <w:szCs w:val="21"/>
        </w:rPr>
        <w:t>.1项目有</w:t>
      </w:r>
      <w:r>
        <w:rPr>
          <w:rFonts w:hint="eastAsia" w:asciiTheme="minorEastAsia" w:hAnsiTheme="minorEastAsia" w:eastAsiaTheme="minorEastAsia"/>
          <w:szCs w:val="21"/>
        </w:rPr>
        <w:t>多个标包</w:t>
      </w:r>
      <w:r>
        <w:rPr>
          <w:rFonts w:asciiTheme="minorEastAsia" w:hAnsiTheme="minorEastAsia" w:eastAsiaTheme="minorEastAsia"/>
          <w:szCs w:val="21"/>
        </w:rPr>
        <w:t>的，投标人</w:t>
      </w:r>
      <w:r>
        <w:rPr>
          <w:rFonts w:hint="eastAsia" w:asciiTheme="minorEastAsia" w:hAnsiTheme="minorEastAsia" w:eastAsiaTheme="minorEastAsia"/>
          <w:szCs w:val="21"/>
        </w:rPr>
        <w:t>可以</w:t>
      </w:r>
      <w:r>
        <w:rPr>
          <w:rFonts w:asciiTheme="minorEastAsia" w:hAnsiTheme="minorEastAsia" w:eastAsiaTheme="minorEastAsia"/>
          <w:szCs w:val="21"/>
        </w:rPr>
        <w:t>对招标文件其中某一个或几个</w:t>
      </w:r>
      <w:r>
        <w:rPr>
          <w:rFonts w:hint="eastAsia" w:asciiTheme="minorEastAsia" w:hAnsiTheme="minorEastAsia" w:eastAsiaTheme="minorEastAsia"/>
          <w:szCs w:val="21"/>
        </w:rPr>
        <w:t>标包</w:t>
      </w:r>
      <w:r>
        <w:rPr>
          <w:rFonts w:asciiTheme="minorEastAsia" w:hAnsiTheme="minorEastAsia" w:eastAsiaTheme="minorEastAsia"/>
          <w:szCs w:val="21"/>
        </w:rPr>
        <w:t>进行投标。</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19</w:t>
      </w:r>
      <w:r>
        <w:rPr>
          <w:rFonts w:asciiTheme="minorEastAsia" w:hAnsiTheme="minorEastAsia" w:eastAsiaTheme="minorEastAsia"/>
          <w:szCs w:val="21"/>
        </w:rPr>
        <w:t>.2投标人应当对所投</w:t>
      </w:r>
      <w:r>
        <w:rPr>
          <w:rFonts w:hint="eastAsia" w:asciiTheme="minorEastAsia" w:hAnsiTheme="minorEastAsia" w:eastAsiaTheme="minorEastAsia"/>
          <w:szCs w:val="21"/>
        </w:rPr>
        <w:t>标包的“采购</w:t>
      </w:r>
      <w:r>
        <w:rPr>
          <w:rFonts w:asciiTheme="minorEastAsia" w:hAnsiTheme="minorEastAsia" w:eastAsiaTheme="minorEastAsia"/>
          <w:szCs w:val="21"/>
        </w:rPr>
        <w:t>需求</w:t>
      </w:r>
      <w:r>
        <w:rPr>
          <w:rFonts w:hint="eastAsia" w:asciiTheme="minorEastAsia" w:hAnsiTheme="minorEastAsia" w:eastAsiaTheme="minorEastAsia"/>
          <w:szCs w:val="21"/>
        </w:rPr>
        <w:t>”</w:t>
      </w:r>
      <w:r>
        <w:rPr>
          <w:rFonts w:asciiTheme="minorEastAsia" w:hAnsiTheme="minorEastAsia" w:eastAsiaTheme="minorEastAsia"/>
          <w:szCs w:val="21"/>
        </w:rPr>
        <w:t>所列的</w:t>
      </w:r>
      <w:r>
        <w:rPr>
          <w:rFonts w:hint="eastAsia" w:asciiTheme="minorEastAsia" w:hAnsiTheme="minorEastAsia" w:eastAsiaTheme="minorEastAsia"/>
          <w:szCs w:val="21"/>
        </w:rPr>
        <w:t>全部</w:t>
      </w:r>
      <w:r>
        <w:rPr>
          <w:rFonts w:asciiTheme="minorEastAsia" w:hAnsiTheme="minorEastAsia" w:eastAsiaTheme="minorEastAsia"/>
          <w:szCs w:val="21"/>
        </w:rPr>
        <w:t>内容进行投标，如仅响应</w:t>
      </w:r>
      <w:r>
        <w:rPr>
          <w:rFonts w:hint="eastAsia" w:asciiTheme="minorEastAsia" w:hAnsiTheme="minorEastAsia" w:eastAsiaTheme="minorEastAsia"/>
          <w:szCs w:val="21"/>
        </w:rPr>
        <w:t>所投标包</w:t>
      </w:r>
      <w:r>
        <w:rPr>
          <w:rFonts w:asciiTheme="minorEastAsia" w:hAnsiTheme="minorEastAsia" w:eastAsiaTheme="minorEastAsia"/>
          <w:szCs w:val="21"/>
        </w:rPr>
        <w:t>中的部分内容，其</w:t>
      </w:r>
      <w:r>
        <w:rPr>
          <w:rFonts w:hint="eastAsia" w:asciiTheme="minorEastAsia" w:hAnsiTheme="minorEastAsia" w:eastAsiaTheme="minorEastAsia"/>
          <w:szCs w:val="21"/>
        </w:rPr>
        <w:t>对该标包的</w:t>
      </w:r>
      <w:r>
        <w:rPr>
          <w:rFonts w:asciiTheme="minorEastAsia" w:hAnsiTheme="minorEastAsia" w:eastAsiaTheme="minorEastAsia"/>
          <w:szCs w:val="21"/>
        </w:rPr>
        <w:t>投标将被认定为</w:t>
      </w:r>
      <w:r>
        <w:rPr>
          <w:rFonts w:asciiTheme="minorEastAsia" w:hAnsiTheme="minorEastAsia" w:eastAsiaTheme="minorEastAsia"/>
          <w:b/>
          <w:szCs w:val="21"/>
        </w:rPr>
        <w:t>投标无效</w:t>
      </w:r>
      <w:r>
        <w:rPr>
          <w:rFonts w:asciiTheme="minorEastAsia" w:hAnsiTheme="minorEastAsia" w:eastAsiaTheme="minorEastAsia"/>
          <w:szCs w:val="21"/>
        </w:rPr>
        <w:t>。</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20.投标文件中标准和计量单位的使用</w:t>
      </w:r>
    </w:p>
    <w:p>
      <w:pPr>
        <w:spacing w:line="360" w:lineRule="auto"/>
        <w:ind w:firstLine="435"/>
        <w:rPr>
          <w:rFonts w:asciiTheme="minorEastAsia" w:hAnsiTheme="minorEastAsia" w:eastAsiaTheme="minorEastAsia"/>
          <w:szCs w:val="21"/>
        </w:rPr>
      </w:pPr>
      <w:bookmarkStart w:id="58" w:name="_Hlk16458980"/>
      <w:r>
        <w:rPr>
          <w:rFonts w:hint="eastAsia" w:asciiTheme="minorEastAsia" w:hAnsiTheme="minorEastAsia" w:eastAsiaTheme="minorEastAsia"/>
          <w:szCs w:val="21"/>
        </w:rPr>
        <w:t>20.1</w:t>
      </w:r>
      <w:r>
        <w:rPr>
          <w:rFonts w:asciiTheme="minorEastAsia" w:hAnsiTheme="minorEastAsia" w:eastAsiaTheme="minorEastAsia"/>
          <w:szCs w:val="21"/>
        </w:rPr>
        <w:t>无论招标文件中是否要求，</w:t>
      </w:r>
      <w:r>
        <w:rPr>
          <w:rFonts w:hint="eastAsia" w:asciiTheme="minorEastAsia" w:hAnsiTheme="minorEastAsia" w:eastAsiaTheme="minorEastAsia"/>
          <w:szCs w:val="21"/>
        </w:rPr>
        <w:t>投标人所投服务及伴随的货物和工程均应符合国家强制性标准。</w:t>
      </w:r>
    </w:p>
    <w:bookmarkEnd w:id="58"/>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20.2</w:t>
      </w:r>
      <w:r>
        <w:rPr>
          <w:rFonts w:asciiTheme="minorEastAsia" w:hAnsiTheme="minorEastAsia" w:eastAsiaTheme="minorEastAsia"/>
          <w:sz w:val="21"/>
          <w:szCs w:val="21"/>
        </w:rPr>
        <w:t>投标人与采购</w:t>
      </w:r>
      <w:r>
        <w:rPr>
          <w:rFonts w:hint="eastAsia" w:asciiTheme="minorEastAsia" w:hAnsiTheme="minorEastAsia" w:eastAsiaTheme="minorEastAsia"/>
          <w:sz w:val="21"/>
          <w:szCs w:val="21"/>
        </w:rPr>
        <w:t>代理</w:t>
      </w:r>
      <w:r>
        <w:rPr>
          <w:rFonts w:asciiTheme="minorEastAsia" w:hAnsiTheme="minorEastAsia" w:eastAsiaTheme="minorEastAsia"/>
          <w:sz w:val="21"/>
          <w:szCs w:val="21"/>
        </w:rPr>
        <w:t>机构之间与投标有关的所有往来通知、函件和投标文件均用中文表述。投标人随投标文件提供的证明文件和资料可以为其它语言，但必须附中文译文</w:t>
      </w:r>
      <w:r>
        <w:rPr>
          <w:rFonts w:hint="eastAsia" w:asciiTheme="minorEastAsia" w:hAnsiTheme="minorEastAsia" w:eastAsiaTheme="minorEastAsia"/>
          <w:sz w:val="21"/>
          <w:szCs w:val="21"/>
        </w:rPr>
        <w:t>，未提供中文译文的视为未提供。</w:t>
      </w:r>
      <w:r>
        <w:rPr>
          <w:rFonts w:asciiTheme="minorEastAsia" w:hAnsiTheme="minorEastAsia" w:eastAsiaTheme="minorEastAsia"/>
          <w:sz w:val="21"/>
          <w:szCs w:val="21"/>
        </w:rPr>
        <w:t>翻译的中文资料与外文资料出现差异时，以中文为准。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20.3</w:t>
      </w:r>
      <w:r>
        <w:rPr>
          <w:rFonts w:asciiTheme="minorEastAsia" w:hAnsiTheme="minorEastAsia" w:eastAsiaTheme="minorEastAsia"/>
          <w:szCs w:val="21"/>
        </w:rPr>
        <w:t>除招标文件中有特殊要求外，投标文件中所使用的计量单位，应采用中华人民共和国法定计量单位。</w:t>
      </w:r>
    </w:p>
    <w:p>
      <w:pPr>
        <w:pStyle w:val="27"/>
        <w:snapToGrid w:val="0"/>
        <w:spacing w:beforeLines="0" w:afterLines="0"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21.投标文件的形式</w:t>
      </w:r>
    </w:p>
    <w:p>
      <w:pPr>
        <w:pStyle w:val="27"/>
        <w:snapToGrid w:val="0"/>
        <w:spacing w:beforeLines="0" w:afterLines="0"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本项目投标文件采用电子投标文件形式，为在政采云系统上编制生成的电子加密投标文件及其备份投标文件。</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21.1电子加密投标文件是指通过“政采云电子投标客户端”完成投标文件编制后生成并加密的数据电文形式的加密标书，后缀名为【.jmbs】。</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21.2备份投标文件是指与电子加密投标文件同时生成的数据电文形式的备份标书，后缀名为【.bfbs】。</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22.投标文件内容的构成</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22.1投标人编写的投标文件应包含资格要求响应文件、商务技术文件和报价要求响应文件。</w:t>
      </w:r>
    </w:p>
    <w:p>
      <w:pPr>
        <w:pStyle w:val="27"/>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上述各文件的组成内容详见《投标人须知前附表》，未列入的内容，投标人认为需要的可以自行提供相关材料。</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22.2招标文件明确要求在投标文件中附（提交）证明材料而投标人未在投标文件中提供的，不被认定为对具体条款作出响应。</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23.投标文件的制作</w:t>
      </w:r>
    </w:p>
    <w:p>
      <w:pPr>
        <w:spacing w:line="360" w:lineRule="auto"/>
        <w:ind w:firstLine="420" w:firstLineChars="200"/>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23.1本项目要求提供电子加密投标文件，投标人应当安装“政采云电子投标客户端”，按照招标文件和政采云平台的要求编制并加密投标文件。</w:t>
      </w:r>
      <w:r>
        <w:rPr>
          <w:rFonts w:cs="Arial" w:asciiTheme="minorEastAsia" w:hAnsiTheme="minorEastAsia" w:eastAsiaTheme="minorEastAsia"/>
          <w:kern w:val="0"/>
          <w:szCs w:val="21"/>
        </w:rPr>
        <w:t>投标文件的制作应满足以下规定：</w:t>
      </w:r>
    </w:p>
    <w:p>
      <w:pPr>
        <w:spacing w:line="360" w:lineRule="auto"/>
        <w:ind w:firstLine="420" w:firstLineChars="200"/>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w:t>
      </w:r>
      <w:r>
        <w:rPr>
          <w:rFonts w:cs="Arial" w:asciiTheme="minorEastAsia" w:hAnsiTheme="minorEastAsia" w:eastAsiaTheme="minorEastAsia"/>
          <w:kern w:val="0"/>
          <w:szCs w:val="21"/>
        </w:rPr>
        <w:t>投标文件由投标人使用电子交易系统提供的投标文件制作工具制作生成。</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（2）投标人应完整地填写并提供投标函、开标一览表等招标文件提供的格式文件，招标文件未提供文件格式的，由投标人自行拟定。</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23.2投标人应准确设置评审关联定位，避免未设置或设置错误导致投标文件被误读、漏读或者查找不到相关内容。</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24.投标文件的份数、签署及盖章</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24.1投标文件的份数</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投标文件的数量要求详见《投标人须知前附表》。</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24.2投标文件的签署及盖章</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（1）招标文件要求签名的应当由投标人的法定代表人或经其正式授权的代表签字或盖章，</w:t>
      </w:r>
      <w:r>
        <w:rPr>
          <w:rFonts w:hint="eastAsia" w:asciiTheme="minorEastAsia" w:hAnsiTheme="minorEastAsia" w:eastAsiaTheme="minorEastAsia"/>
          <w:b/>
          <w:szCs w:val="21"/>
        </w:rPr>
        <w:t>因未获取电子姓名签章无法直接在系统中进行法定代表人或其授权代表电子签字操作的，可以线下签字或盖章后扫描后上传。</w:t>
      </w:r>
    </w:p>
    <w:p>
      <w:pPr>
        <w:snapToGrid w:val="0"/>
        <w:spacing w:line="360" w:lineRule="auto"/>
        <w:ind w:firstLine="420" w:firstLineChars="200"/>
        <w:jc w:val="left"/>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w:t>
      </w:r>
      <w:r>
        <w:rPr>
          <w:rFonts w:cs="Arial" w:asciiTheme="minorEastAsia" w:hAnsiTheme="minorEastAsia" w:eastAsiaTheme="minorEastAsia"/>
          <w:kern w:val="0"/>
          <w:szCs w:val="21"/>
        </w:rPr>
        <w:t>第</w:t>
      </w:r>
      <w:r>
        <w:rPr>
          <w:rFonts w:hint="eastAsia" w:cs="Arial" w:asciiTheme="minorEastAsia" w:hAnsiTheme="minorEastAsia" w:eastAsiaTheme="minorEastAsia"/>
          <w:kern w:val="0"/>
          <w:szCs w:val="21"/>
        </w:rPr>
        <w:t>六</w:t>
      </w:r>
      <w:r>
        <w:rPr>
          <w:rFonts w:cs="Arial" w:asciiTheme="minorEastAsia" w:hAnsiTheme="minorEastAsia" w:eastAsiaTheme="minorEastAsia"/>
          <w:kern w:val="0"/>
          <w:szCs w:val="21"/>
        </w:rPr>
        <w:t>章投标文件格式</w:t>
      </w:r>
      <w:r>
        <w:rPr>
          <w:rFonts w:hint="eastAsia" w:cs="Arial" w:asciiTheme="minorEastAsia" w:hAnsiTheme="minorEastAsia" w:eastAsiaTheme="minorEastAsia"/>
          <w:kern w:val="0"/>
          <w:szCs w:val="21"/>
        </w:rPr>
        <w:t>》提供的相关文件</w:t>
      </w:r>
      <w:r>
        <w:rPr>
          <w:rFonts w:cs="Arial" w:asciiTheme="minorEastAsia" w:hAnsiTheme="minorEastAsia" w:eastAsiaTheme="minorEastAsia"/>
          <w:kern w:val="0"/>
          <w:szCs w:val="21"/>
        </w:rPr>
        <w:t>要求</w:t>
      </w:r>
      <w:r>
        <w:rPr>
          <w:rFonts w:hint="eastAsia" w:cs="Arial" w:asciiTheme="minorEastAsia" w:hAnsiTheme="minorEastAsia" w:eastAsiaTheme="minorEastAsia"/>
          <w:kern w:val="0"/>
          <w:szCs w:val="21"/>
        </w:rPr>
        <w:t>加盖公</w:t>
      </w:r>
      <w:r>
        <w:rPr>
          <w:rFonts w:cs="Arial" w:asciiTheme="minorEastAsia" w:hAnsiTheme="minorEastAsia" w:eastAsiaTheme="minorEastAsia"/>
          <w:kern w:val="0"/>
          <w:szCs w:val="21"/>
        </w:rPr>
        <w:t>章处，投标人均应加盖</w:t>
      </w:r>
      <w:r>
        <w:rPr>
          <w:rFonts w:hint="eastAsia" w:cs="Arial" w:asciiTheme="minorEastAsia" w:hAnsiTheme="minorEastAsia" w:eastAsiaTheme="minorEastAsia"/>
          <w:kern w:val="0"/>
          <w:szCs w:val="21"/>
        </w:rPr>
        <w:t>单位公</w:t>
      </w:r>
      <w:r>
        <w:rPr>
          <w:rFonts w:cs="Arial" w:asciiTheme="minorEastAsia" w:hAnsiTheme="minorEastAsia" w:eastAsiaTheme="minorEastAsia"/>
          <w:kern w:val="0"/>
          <w:szCs w:val="21"/>
        </w:rPr>
        <w:t>章</w:t>
      </w:r>
      <w:r>
        <w:rPr>
          <w:rFonts w:hint="eastAsia" w:cs="Arial" w:asciiTheme="minorEastAsia" w:hAnsiTheme="minorEastAsia" w:eastAsiaTheme="minorEastAsia"/>
          <w:kern w:val="0"/>
          <w:szCs w:val="21"/>
        </w:rPr>
        <w:t>，</w:t>
      </w:r>
      <w:r>
        <w:rPr>
          <w:rFonts w:hint="eastAsia" w:asciiTheme="minorEastAsia" w:hAnsiTheme="minorEastAsia" w:eastAsiaTheme="minorEastAsia"/>
          <w:szCs w:val="21"/>
        </w:rPr>
        <w:t>可使用电子公章在线签章或线下盖单位公章扫描后上传。</w:t>
      </w:r>
      <w:r>
        <w:rPr>
          <w:rFonts w:cs="Arial" w:asciiTheme="minorEastAsia" w:hAnsiTheme="minorEastAsia" w:eastAsiaTheme="minorEastAsia"/>
          <w:kern w:val="0"/>
          <w:szCs w:val="21"/>
        </w:rPr>
        <w:t>联合体投标的，除联合协议</w:t>
      </w:r>
      <w:r>
        <w:rPr>
          <w:rFonts w:hint="eastAsia" w:cs="Arial" w:asciiTheme="minorEastAsia" w:hAnsiTheme="minorEastAsia" w:eastAsiaTheme="minorEastAsia"/>
          <w:kern w:val="0"/>
          <w:szCs w:val="21"/>
        </w:rPr>
        <w:t>及联合体各成员单位提供的本单位证明材料</w:t>
      </w:r>
      <w:r>
        <w:rPr>
          <w:rFonts w:cs="Arial" w:asciiTheme="minorEastAsia" w:hAnsiTheme="minorEastAsia" w:eastAsiaTheme="minorEastAsia"/>
          <w:kern w:val="0"/>
          <w:szCs w:val="21"/>
        </w:rPr>
        <w:t>外，投标文件由联合体牵头人按上述规定加盖联合体牵头人单位</w:t>
      </w:r>
      <w:r>
        <w:rPr>
          <w:rFonts w:hint="eastAsia" w:cs="Arial" w:asciiTheme="minorEastAsia" w:hAnsiTheme="minorEastAsia" w:eastAsiaTheme="minorEastAsia"/>
          <w:kern w:val="0"/>
          <w:szCs w:val="21"/>
        </w:rPr>
        <w:t>公</w:t>
      </w:r>
      <w:r>
        <w:rPr>
          <w:rFonts w:cs="Arial" w:asciiTheme="minorEastAsia" w:hAnsiTheme="minorEastAsia" w:eastAsiaTheme="minorEastAsia"/>
          <w:kern w:val="0"/>
          <w:szCs w:val="21"/>
        </w:rPr>
        <w:t>章。</w:t>
      </w:r>
    </w:p>
    <w:p>
      <w:pPr>
        <w:snapToGrid w:val="0"/>
        <w:spacing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电子签章操作指南详见《政府采购项目电子交易管理操作指南-供应商》,</w:t>
      </w:r>
      <w:r>
        <w:rPr>
          <w:rFonts w:hint="eastAsia" w:asciiTheme="minorEastAsia" w:hAnsiTheme="minorEastAsia" w:eastAsiaTheme="minorEastAsia"/>
          <w:b/>
          <w:szCs w:val="21"/>
        </w:rPr>
        <w:t>系统要求进行电子签章的文件，按系统要求签章。</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w:t>
      </w:r>
      <w:r>
        <w:rPr>
          <w:rFonts w:asciiTheme="minorEastAsia" w:hAnsiTheme="minorEastAsia" w:eastAsiaTheme="minorEastAsia"/>
          <w:szCs w:val="21"/>
        </w:rPr>
        <w:t>文件若有错</w:t>
      </w:r>
      <w:r>
        <w:rPr>
          <w:rFonts w:hint="eastAsia" w:asciiTheme="minorEastAsia" w:hAnsiTheme="minorEastAsia" w:eastAsiaTheme="minorEastAsia"/>
          <w:szCs w:val="21"/>
        </w:rPr>
        <w:t>、</w:t>
      </w:r>
      <w:r>
        <w:rPr>
          <w:rFonts w:asciiTheme="minorEastAsia" w:hAnsiTheme="minorEastAsia" w:eastAsiaTheme="minorEastAsia"/>
          <w:szCs w:val="21"/>
        </w:rPr>
        <w:t>漏处</w:t>
      </w:r>
      <w:r>
        <w:rPr>
          <w:rFonts w:hint="eastAsia" w:asciiTheme="minorEastAsia" w:hAnsiTheme="minorEastAsia" w:eastAsiaTheme="minorEastAsia"/>
          <w:szCs w:val="21"/>
        </w:rPr>
        <w:t>等必须修改的，修改处应当</w:t>
      </w:r>
      <w:r>
        <w:rPr>
          <w:rFonts w:asciiTheme="minorEastAsia" w:hAnsiTheme="minorEastAsia" w:eastAsiaTheme="minorEastAsia"/>
          <w:szCs w:val="21"/>
        </w:rPr>
        <w:t>加盖</w:t>
      </w:r>
      <w:r>
        <w:rPr>
          <w:rFonts w:hint="eastAsia" w:asciiTheme="minorEastAsia" w:hAnsiTheme="minorEastAsia" w:eastAsiaTheme="minorEastAsia"/>
          <w:szCs w:val="21"/>
        </w:rPr>
        <w:t>投标人</w:t>
      </w:r>
      <w:r>
        <w:rPr>
          <w:rFonts w:asciiTheme="minorEastAsia" w:hAnsiTheme="minorEastAsia" w:eastAsiaTheme="minorEastAsia"/>
          <w:szCs w:val="21"/>
        </w:rPr>
        <w:t>公章或者</w:t>
      </w:r>
      <w:r>
        <w:rPr>
          <w:rFonts w:hint="eastAsia" w:asciiTheme="minorEastAsia" w:hAnsiTheme="minorEastAsia" w:eastAsiaTheme="minorEastAsia"/>
          <w:szCs w:val="21"/>
        </w:rPr>
        <w:t>由投标人的</w:t>
      </w:r>
      <w:r>
        <w:rPr>
          <w:rFonts w:asciiTheme="minorEastAsia" w:hAnsiTheme="minorEastAsia" w:eastAsiaTheme="minorEastAsia"/>
          <w:szCs w:val="21"/>
        </w:rPr>
        <w:t>法定代表人</w:t>
      </w:r>
      <w:r>
        <w:rPr>
          <w:rFonts w:hint="eastAsia" w:asciiTheme="minorEastAsia" w:hAnsiTheme="minorEastAsia" w:eastAsiaTheme="minorEastAsia"/>
          <w:szCs w:val="21"/>
        </w:rPr>
        <w:t>或其</w:t>
      </w:r>
      <w:r>
        <w:rPr>
          <w:rFonts w:asciiTheme="minorEastAsia" w:hAnsiTheme="minorEastAsia" w:eastAsiaTheme="minorEastAsia"/>
          <w:szCs w:val="21"/>
        </w:rPr>
        <w:t>授权</w:t>
      </w:r>
      <w:r>
        <w:rPr>
          <w:rFonts w:hint="eastAsia" w:asciiTheme="minorEastAsia" w:hAnsiTheme="minorEastAsia" w:eastAsiaTheme="minorEastAsia"/>
          <w:szCs w:val="21"/>
        </w:rPr>
        <w:t>代表</w:t>
      </w:r>
      <w:r>
        <w:rPr>
          <w:rFonts w:asciiTheme="minorEastAsia" w:hAnsiTheme="minorEastAsia" w:eastAsiaTheme="minorEastAsia"/>
          <w:szCs w:val="21"/>
        </w:rPr>
        <w:t>签字</w:t>
      </w:r>
      <w:r>
        <w:rPr>
          <w:rFonts w:hint="eastAsia" w:asciiTheme="minorEastAsia" w:hAnsiTheme="minorEastAsia" w:eastAsiaTheme="minorEastAsia"/>
          <w:szCs w:val="21"/>
        </w:rPr>
        <w:t>或盖章</w:t>
      </w:r>
      <w:r>
        <w:rPr>
          <w:rFonts w:asciiTheme="minorEastAsia" w:hAnsiTheme="minorEastAsia" w:eastAsiaTheme="minorEastAsia"/>
          <w:szCs w:val="21"/>
        </w:rPr>
        <w:t>。</w:t>
      </w:r>
    </w:p>
    <w:p>
      <w:pPr>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2</w:t>
      </w:r>
      <w:r>
        <w:rPr>
          <w:rFonts w:hint="eastAsia" w:asciiTheme="minorEastAsia" w:hAnsiTheme="minorEastAsia" w:eastAsiaTheme="minorEastAsia"/>
          <w:b/>
          <w:szCs w:val="21"/>
        </w:rPr>
        <w:t>5</w:t>
      </w:r>
      <w:r>
        <w:rPr>
          <w:rFonts w:asciiTheme="minorEastAsia" w:hAnsiTheme="minorEastAsia" w:eastAsiaTheme="minorEastAsia"/>
          <w:b/>
          <w:szCs w:val="21"/>
        </w:rPr>
        <w:t>.投标报价要求</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25.1投标报价的组成：</w:t>
      </w:r>
      <w:r>
        <w:rPr>
          <w:rFonts w:asciiTheme="minorEastAsia" w:hAnsiTheme="minorEastAsia" w:eastAsiaTheme="minorEastAsia"/>
          <w:szCs w:val="21"/>
        </w:rPr>
        <w:t>投标人的报价应当包括满足本次招标全部采购需求所应提供的服务</w:t>
      </w:r>
      <w:r>
        <w:rPr>
          <w:rFonts w:hint="eastAsia" w:asciiTheme="minorEastAsia" w:hAnsiTheme="minorEastAsia" w:eastAsiaTheme="minorEastAsia"/>
          <w:szCs w:val="21"/>
        </w:rPr>
        <w:t>的费用、专家评审费用、招标代理服务费等。</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25.2所有投标或结算货币均为人民币，针对本项目的投标报价（包含分项报价）</w:t>
      </w:r>
      <w:r>
        <w:rPr>
          <w:rFonts w:asciiTheme="minorEastAsia" w:hAnsiTheme="minorEastAsia" w:eastAsiaTheme="minorEastAsia"/>
          <w:szCs w:val="21"/>
        </w:rPr>
        <w:t>只允许有一个，</w:t>
      </w:r>
      <w:r>
        <w:rPr>
          <w:rFonts w:hint="eastAsia" w:asciiTheme="minorEastAsia" w:hAnsiTheme="minorEastAsia" w:eastAsiaTheme="minorEastAsia"/>
          <w:szCs w:val="21"/>
        </w:rPr>
        <w:t>不接受</w:t>
      </w:r>
      <w:r>
        <w:rPr>
          <w:rFonts w:asciiTheme="minorEastAsia" w:hAnsiTheme="minorEastAsia" w:eastAsiaTheme="minorEastAsia"/>
          <w:szCs w:val="21"/>
        </w:rPr>
        <w:t>有选择的</w:t>
      </w:r>
      <w:r>
        <w:rPr>
          <w:rFonts w:hint="eastAsia" w:asciiTheme="minorEastAsia" w:hAnsiTheme="minorEastAsia" w:eastAsiaTheme="minorEastAsia"/>
          <w:szCs w:val="21"/>
        </w:rPr>
        <w:t>或有附加条件的投标</w:t>
      </w:r>
      <w:r>
        <w:rPr>
          <w:rFonts w:asciiTheme="minorEastAsia" w:hAnsiTheme="minorEastAsia" w:eastAsiaTheme="minorEastAsia"/>
          <w:szCs w:val="21"/>
        </w:rPr>
        <w:t>报价</w:t>
      </w:r>
      <w:r>
        <w:rPr>
          <w:rFonts w:hint="eastAsia" w:asciiTheme="minorEastAsia" w:hAnsiTheme="minorEastAsia" w:eastAsiaTheme="minorEastAsia"/>
          <w:szCs w:val="21"/>
        </w:rPr>
        <w:t>（包含分项报价）</w:t>
      </w:r>
      <w:r>
        <w:rPr>
          <w:rFonts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25.3</w:t>
      </w:r>
      <w:r>
        <w:rPr>
          <w:rFonts w:hint="eastAsia" w:asciiTheme="minorEastAsia" w:hAnsiTheme="minorEastAsia" w:eastAsiaTheme="minorEastAsia"/>
          <w:b/>
          <w:szCs w:val="21"/>
        </w:rPr>
        <w:t>投标报价不允许为0元（即赠送），投标报价明细中不允许出现0元的单项报价，否则视同赠送，采购人不予接受，其投标文件按照投标无效处理。</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26.投标保证金</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本项目无须投标人缴纳投标保证金。</w:t>
      </w:r>
    </w:p>
    <w:p>
      <w:pPr>
        <w:spacing w:line="360" w:lineRule="auto"/>
        <w:ind w:firstLine="420" w:firstLineChars="200"/>
        <w:rPr>
          <w:rFonts w:asciiTheme="minorEastAsia" w:hAnsiTheme="minorEastAsia" w:eastAsiaTheme="minorEastAsia"/>
          <w:b/>
          <w:szCs w:val="21"/>
        </w:rPr>
      </w:pPr>
      <w:r>
        <w:rPr>
          <w:rFonts w:asciiTheme="minorEastAsia" w:hAnsiTheme="minorEastAsia" w:eastAsiaTheme="minorEastAsia"/>
          <w:szCs w:val="21"/>
        </w:rPr>
        <w:t>▲</w:t>
      </w:r>
      <w:r>
        <w:rPr>
          <w:rFonts w:hint="eastAsia" w:asciiTheme="minorEastAsia" w:hAnsiTheme="minorEastAsia" w:eastAsiaTheme="minorEastAsia"/>
          <w:b/>
          <w:szCs w:val="21"/>
        </w:rPr>
        <w:t>27.投标有效期</w:t>
      </w:r>
    </w:p>
    <w:p>
      <w:pPr>
        <w:pStyle w:val="27"/>
        <w:snapToGrid w:val="0"/>
        <w:spacing w:beforeLines="0" w:afterLines="0"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27.1投标有效期为从投标截止之日算起的日历天数，投标有效期详见《</w:t>
      </w:r>
      <w:r>
        <w:rPr>
          <w:rFonts w:hint="eastAsia" w:asciiTheme="minorEastAsia" w:hAnsiTheme="minorEastAsia" w:eastAsiaTheme="minorEastAsia"/>
          <w:sz w:val="21"/>
          <w:szCs w:val="21"/>
          <w:u w:val="single"/>
        </w:rPr>
        <w:t>投标人须知前附表</w:t>
      </w:r>
      <w:r>
        <w:rPr>
          <w:rFonts w:hint="eastAsia" w:asciiTheme="minorEastAsia" w:hAnsiTheme="minorEastAsia" w:eastAsiaTheme="minorEastAsia"/>
          <w:sz w:val="21"/>
          <w:szCs w:val="21"/>
        </w:rPr>
        <w:t>》。</w:t>
      </w:r>
    </w:p>
    <w:p>
      <w:pPr>
        <w:spacing w:line="360" w:lineRule="auto"/>
        <w:ind w:firstLine="435"/>
        <w:rPr>
          <w:rFonts w:asciiTheme="minorEastAsia" w:hAnsiTheme="minorEastAsia" w:eastAsiaTheme="minorEastAsia"/>
          <w:kern w:val="0"/>
          <w:szCs w:val="21"/>
        </w:rPr>
      </w:pPr>
      <w:r>
        <w:rPr>
          <w:rFonts w:hint="eastAsia" w:asciiTheme="minorEastAsia" w:hAnsiTheme="minorEastAsia" w:eastAsiaTheme="minorEastAsia"/>
          <w:kern w:val="0"/>
          <w:szCs w:val="21"/>
        </w:rPr>
        <w:t>27.2在投标有效期内，投标人的投标保持有效，投标人不得要求撤销或修改其投标文件。投标有效期不满足要求的投标，其投标将被认定为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kern w:val="0"/>
          <w:szCs w:val="21"/>
        </w:rPr>
        <w:t>投标无效</w:t>
      </w:r>
      <w:r>
        <w:rPr>
          <w:rFonts w:hint="eastAsia" w:asciiTheme="minorEastAsia" w:hAnsiTheme="minorEastAsia" w:eastAsiaTheme="minorEastAsia"/>
          <w:kern w:val="0"/>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27.3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以书面形式提交。</w:t>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四、投标文件的提交</w:t>
      </w:r>
    </w:p>
    <w:p>
      <w:pPr>
        <w:pStyle w:val="27"/>
        <w:snapToGrid w:val="0"/>
        <w:spacing w:beforeLines="0" w:afterLines="0" w:line="360" w:lineRule="auto"/>
        <w:ind w:firstLine="422" w:firstLineChars="200"/>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28.电子加密投标文件的提交</w:t>
      </w:r>
    </w:p>
    <w:p>
      <w:pPr>
        <w:pStyle w:val="27"/>
        <w:snapToGrid w:val="0"/>
        <w:spacing w:beforeLines="0" w:afterLines="0" w:line="360" w:lineRule="auto"/>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投标人应当在投标截止时间前将电子加密投标文件上传至政采云平台，成功上传后，投标人可自行打印投标文件接收回执。</w:t>
      </w:r>
    </w:p>
    <w:p>
      <w:pPr>
        <w:pStyle w:val="27"/>
        <w:snapToGrid w:val="0"/>
        <w:spacing w:beforeLines="0" w:afterLines="0" w:line="360" w:lineRule="auto"/>
        <w:ind w:firstLine="422" w:firstLineChars="200"/>
        <w:jc w:val="left"/>
        <w:rPr>
          <w:rFonts w:cs="宋体" w:asciiTheme="minorEastAsia" w:hAnsiTheme="minorEastAsia" w:eastAsiaTheme="minorEastAsia"/>
          <w:b/>
          <w:sz w:val="21"/>
          <w:szCs w:val="21"/>
        </w:rPr>
      </w:pPr>
      <w:r>
        <w:rPr>
          <w:rFonts w:hint="eastAsia" w:asciiTheme="minorEastAsia" w:hAnsiTheme="minorEastAsia" w:eastAsiaTheme="minorEastAsia"/>
          <w:b/>
          <w:sz w:val="21"/>
          <w:szCs w:val="21"/>
        </w:rPr>
        <w:t>29.</w:t>
      </w:r>
      <w:r>
        <w:rPr>
          <w:rFonts w:hint="eastAsia" w:cs="宋体" w:asciiTheme="minorEastAsia" w:hAnsiTheme="minorEastAsia" w:eastAsiaTheme="minorEastAsia"/>
          <w:b/>
          <w:sz w:val="21"/>
          <w:szCs w:val="21"/>
        </w:rPr>
        <w:t>备份投标文件的提交</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可以在投标截止时间前提交备份投标文件。备份投标文件的载体必须密封包装，密封包装应当清楚的标明项目名称、项目编号、投标人名称并加盖公章。采购人或采购代理机构拒绝接收未按照规定密封、标注、盖章的备份投标文件。</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30.投标截止时间及地点</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30.1投标截止时间及地点见投标邀请。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30.2采购人或采购代理机构可以根据项目情况</w:t>
      </w:r>
      <w:r>
        <w:rPr>
          <w:rFonts w:asciiTheme="minorEastAsia" w:hAnsiTheme="minorEastAsia" w:eastAsiaTheme="minorEastAsia"/>
          <w:szCs w:val="21"/>
        </w:rPr>
        <w:t>，</w:t>
      </w:r>
      <w:r>
        <w:rPr>
          <w:rFonts w:hint="eastAsia" w:asciiTheme="minorEastAsia" w:hAnsiTheme="minorEastAsia" w:eastAsiaTheme="minorEastAsia"/>
          <w:szCs w:val="21"/>
        </w:rPr>
        <w:t>推迟投标截止时间。在此情况下，采购人、采购代理机构和投标人受投标截止时间约束的所有权利和义务均应延长至新的投标截止时间。</w:t>
      </w:r>
    </w:p>
    <w:p>
      <w:pPr>
        <w:snapToGrid w:val="0"/>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31.投标文件的修改和撤回</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31.1</w:t>
      </w:r>
      <w:r>
        <w:rPr>
          <w:rFonts w:asciiTheme="minorEastAsia" w:hAnsiTheme="minorEastAsia" w:eastAsiaTheme="minorEastAsia"/>
          <w:szCs w:val="21"/>
        </w:rPr>
        <w:t>投标人在投标截止时间前，可以对</w:t>
      </w:r>
      <w:r>
        <w:rPr>
          <w:rFonts w:hint="eastAsia" w:asciiTheme="minorEastAsia" w:hAnsiTheme="minorEastAsia" w:eastAsiaTheme="minorEastAsia"/>
          <w:szCs w:val="21"/>
        </w:rPr>
        <w:t>已经提交</w:t>
      </w:r>
      <w:r>
        <w:rPr>
          <w:rFonts w:asciiTheme="minorEastAsia" w:hAnsiTheme="minorEastAsia" w:eastAsiaTheme="minorEastAsia"/>
          <w:szCs w:val="21"/>
        </w:rPr>
        <w:t>的投标文件进行补充、修改或者撤回。</w:t>
      </w:r>
    </w:p>
    <w:p>
      <w:pPr>
        <w:snapToGrid w:val="0"/>
        <w:spacing w:line="360" w:lineRule="auto"/>
        <w:ind w:firstLine="420" w:firstLineChars="200"/>
        <w:jc w:val="left"/>
        <w:rPr>
          <w:rFonts w:cs="Helvetica" w:asciiTheme="minorEastAsia" w:hAnsiTheme="minorEastAsia" w:eastAsiaTheme="minorEastAsia"/>
          <w:kern w:val="0"/>
          <w:szCs w:val="21"/>
        </w:rPr>
      </w:pPr>
      <w:r>
        <w:rPr>
          <w:rFonts w:hint="eastAsia" w:asciiTheme="minorEastAsia" w:hAnsiTheme="minorEastAsia" w:eastAsiaTheme="minorEastAsia"/>
          <w:szCs w:val="21"/>
        </w:rPr>
        <w:t>对已经完成传输递交的</w:t>
      </w:r>
      <w:r>
        <w:rPr>
          <w:rFonts w:hint="eastAsia" w:cs="宋体" w:asciiTheme="minorEastAsia" w:hAnsiTheme="minorEastAsia" w:eastAsiaTheme="minorEastAsia"/>
          <w:szCs w:val="21"/>
        </w:rPr>
        <w:t>电子加密投标文件进行</w:t>
      </w:r>
      <w:r>
        <w:rPr>
          <w:rFonts w:hint="eastAsia" w:cs="Helvetica" w:asciiTheme="minorEastAsia" w:hAnsiTheme="minorEastAsia" w:eastAsiaTheme="minorEastAsi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pPr>
        <w:snapToGrid w:val="0"/>
        <w:spacing w:line="360" w:lineRule="auto"/>
        <w:ind w:firstLine="420" w:firstLineChars="200"/>
        <w:jc w:val="left"/>
        <w:rPr>
          <w:rFonts w:cs="Helvetica" w:asciiTheme="minorEastAsia" w:hAnsiTheme="minorEastAsia" w:eastAsiaTheme="minorEastAsia"/>
          <w:kern w:val="0"/>
          <w:szCs w:val="21"/>
        </w:rPr>
      </w:pPr>
      <w:r>
        <w:rPr>
          <w:rFonts w:hint="eastAsia" w:cs="Arial" w:asciiTheme="minorEastAsia" w:hAnsiTheme="minorEastAsia" w:eastAsiaTheme="minorEastAsia"/>
          <w:szCs w:val="21"/>
        </w:rPr>
        <w:t>31.2投标人在投标截止时间前</w:t>
      </w:r>
      <w:r>
        <w:rPr>
          <w:rFonts w:cs="Arial" w:asciiTheme="minorEastAsia" w:hAnsiTheme="minorEastAsia" w:eastAsiaTheme="minorEastAsia"/>
          <w:szCs w:val="21"/>
        </w:rPr>
        <w:t>递交</w:t>
      </w:r>
      <w:r>
        <w:rPr>
          <w:rFonts w:hint="eastAsia" w:cs="Arial" w:asciiTheme="minorEastAsia" w:hAnsiTheme="minorEastAsia" w:eastAsiaTheme="minorEastAsia"/>
          <w:szCs w:val="21"/>
        </w:rPr>
        <w:t>了需要补充或修改的</w:t>
      </w:r>
      <w:r>
        <w:rPr>
          <w:rFonts w:hint="eastAsia" w:cs="宋体" w:asciiTheme="minorEastAsia" w:hAnsiTheme="minorEastAsia" w:eastAsiaTheme="minorEastAsia"/>
          <w:szCs w:val="21"/>
        </w:rPr>
        <w:t>电子加密投标文件的</w:t>
      </w:r>
      <w:r>
        <w:rPr>
          <w:rFonts w:cs="Arial" w:asciiTheme="minorEastAsia" w:hAnsiTheme="minorEastAsia" w:eastAsiaTheme="minorEastAsia"/>
          <w:szCs w:val="21"/>
        </w:rPr>
        <w:t>备份投标文件</w:t>
      </w:r>
      <w:r>
        <w:rPr>
          <w:rFonts w:hint="eastAsia" w:cs="Arial" w:asciiTheme="minorEastAsia" w:hAnsiTheme="minorEastAsia" w:eastAsiaTheme="minorEastAsia"/>
          <w:szCs w:val="21"/>
        </w:rPr>
        <w:t>，可以</w:t>
      </w:r>
      <w:r>
        <w:rPr>
          <w:rFonts w:cs="Arial" w:asciiTheme="minorEastAsia" w:hAnsiTheme="minorEastAsia" w:eastAsiaTheme="minorEastAsia"/>
          <w:szCs w:val="21"/>
        </w:rPr>
        <w:t>重新</w:t>
      </w:r>
      <w:r>
        <w:rPr>
          <w:rFonts w:hint="eastAsia" w:cs="Arial" w:asciiTheme="minorEastAsia" w:hAnsiTheme="minorEastAsia" w:eastAsiaTheme="minorEastAsia"/>
          <w:szCs w:val="21"/>
        </w:rPr>
        <w:t>提交补充或修改后的</w:t>
      </w:r>
      <w:r>
        <w:rPr>
          <w:rFonts w:cs="Arial" w:asciiTheme="minorEastAsia" w:hAnsiTheme="minorEastAsia" w:eastAsiaTheme="minorEastAsia"/>
          <w:szCs w:val="21"/>
        </w:rPr>
        <w:t>备份投标文件</w:t>
      </w:r>
      <w:r>
        <w:rPr>
          <w:rFonts w:hint="eastAsia" w:cs="Arial"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31.3</w:t>
      </w:r>
      <w:r>
        <w:rPr>
          <w:rFonts w:asciiTheme="minorEastAsia" w:hAnsiTheme="minorEastAsia" w:eastAsiaTheme="minorEastAsia"/>
          <w:szCs w:val="21"/>
        </w:rPr>
        <w:t>投标截止时间后</w:t>
      </w:r>
      <w:r>
        <w:rPr>
          <w:rFonts w:hint="eastAsia" w:asciiTheme="minorEastAsia" w:hAnsiTheme="minorEastAsia" w:eastAsiaTheme="minorEastAsia"/>
          <w:szCs w:val="21"/>
        </w:rPr>
        <w:t>，投标人不得对其投标文件进行补充、修改</w:t>
      </w:r>
      <w:r>
        <w:rPr>
          <w:rFonts w:asciiTheme="minorEastAsia" w:hAnsiTheme="minorEastAsia" w:eastAsiaTheme="minorEastAsia"/>
          <w:szCs w:val="21"/>
        </w:rPr>
        <w:t>。</w:t>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五、开标与评标</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32.开标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32.1采购代理机构按招标文件规定的时间通过电子交易平台组织公开开标，所有投标人均应当准时在线参加</w:t>
      </w:r>
      <w:r>
        <w:rPr>
          <w:rFonts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32.2开标时，采购代理机构依托电子交易平台发起开始解密指令，</w:t>
      </w:r>
      <w:r>
        <w:rPr>
          <w:rFonts w:asciiTheme="minorEastAsia" w:hAnsiTheme="minorEastAsia" w:eastAsiaTheme="minorEastAsia"/>
          <w:szCs w:val="21"/>
        </w:rPr>
        <w:t>各投标</w:t>
      </w:r>
      <w:r>
        <w:rPr>
          <w:rFonts w:hint="eastAsia" w:asciiTheme="minorEastAsia" w:hAnsiTheme="minorEastAsia" w:eastAsiaTheme="minorEastAsia"/>
          <w:szCs w:val="21"/>
        </w:rPr>
        <w:t>人</w:t>
      </w:r>
      <w:r>
        <w:rPr>
          <w:rFonts w:asciiTheme="minorEastAsia" w:hAnsiTheme="minorEastAsia" w:eastAsiaTheme="minorEastAsia"/>
          <w:szCs w:val="21"/>
        </w:rPr>
        <w:t>应</w:t>
      </w:r>
      <w:r>
        <w:rPr>
          <w:rFonts w:hint="eastAsia" w:asciiTheme="minorEastAsia" w:hAnsiTheme="minorEastAsia" w:eastAsiaTheme="minorEastAsia"/>
          <w:szCs w:val="21"/>
        </w:rPr>
        <w:t>在30分钟内</w:t>
      </w:r>
      <w:r>
        <w:rPr>
          <w:rFonts w:asciiTheme="minorEastAsia" w:hAnsiTheme="minorEastAsia" w:eastAsiaTheme="minorEastAsia"/>
          <w:szCs w:val="21"/>
        </w:rPr>
        <w:t>（</w:t>
      </w:r>
      <w:r>
        <w:rPr>
          <w:rFonts w:hint="eastAsia" w:asciiTheme="minorEastAsia" w:hAnsiTheme="minorEastAsia" w:eastAsiaTheme="minorEastAsia"/>
          <w:szCs w:val="21"/>
        </w:rPr>
        <w:t>以电子交易系统解密倒计时为准</w:t>
      </w:r>
      <w:r>
        <w:rPr>
          <w:rFonts w:asciiTheme="minorEastAsia" w:hAnsiTheme="minorEastAsia" w:eastAsiaTheme="minorEastAsia"/>
          <w:szCs w:val="21"/>
        </w:rPr>
        <w:t>）对本单位的投标文件</w:t>
      </w:r>
      <w:r>
        <w:rPr>
          <w:rFonts w:hint="eastAsia" w:asciiTheme="minorEastAsia" w:hAnsiTheme="minorEastAsia" w:eastAsiaTheme="minorEastAsia"/>
          <w:szCs w:val="21"/>
        </w:rPr>
        <w:t>进行</w:t>
      </w:r>
      <w:r>
        <w:rPr>
          <w:rFonts w:asciiTheme="minorEastAsia" w:hAnsiTheme="minorEastAsia" w:eastAsiaTheme="minorEastAsia"/>
          <w:szCs w:val="21"/>
        </w:rPr>
        <w:t>解密。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32.3</w:t>
      </w:r>
      <w:r>
        <w:rPr>
          <w:rFonts w:asciiTheme="minorEastAsia" w:hAnsiTheme="minorEastAsia" w:eastAsiaTheme="minorEastAsia"/>
          <w:szCs w:val="21"/>
        </w:rPr>
        <w:t>开标时，采购代理机构将通过网上开标系统公布</w:t>
      </w:r>
      <w:r>
        <w:rPr>
          <w:rFonts w:hint="eastAsia" w:asciiTheme="minorEastAsia" w:hAnsiTheme="minorEastAsia" w:eastAsiaTheme="minorEastAsia"/>
          <w:szCs w:val="21"/>
        </w:rPr>
        <w:t>开标结果，公布内容包括投标人名称、投标报价及招标文件规定的其他内容。</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本项目开标分为二个阶段。第一阶段为开启资格要求响应文件和商务技术文件进行评审，待资格及商务技术评审结束后，在政采云系统上公布第一阶段无效投标人名单及其他有效投标人的商务技术得分；第二阶段为开启所有有效投标人的报价要求响应文件，并公布投标人的投标报价等信息。</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经评标委员会评审后在政采云系统上公布投标人的最终得分。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32.4投标人如未在线参加开标的，视同认可开标结果，事后不得对开标结果提出异议。同时，投标人因未在线参加开标而导致电子加密投标文件无法按时解密等一切后果由投标人自行承担。</w:t>
      </w:r>
    </w:p>
    <w:p>
      <w:pPr>
        <w:snapToGrid w:val="0"/>
        <w:spacing w:line="360" w:lineRule="auto"/>
        <w:ind w:firstLine="420" w:firstLineChars="200"/>
        <w:jc w:val="left"/>
        <w:rPr>
          <w:rFonts w:cs="Arial" w:asciiTheme="minorEastAsia" w:hAnsiTheme="minorEastAsia" w:eastAsiaTheme="minorEastAsia"/>
          <w:kern w:val="0"/>
          <w:szCs w:val="21"/>
        </w:rPr>
      </w:pPr>
      <w:r>
        <w:rPr>
          <w:rFonts w:hint="eastAsia" w:asciiTheme="minorEastAsia" w:hAnsiTheme="minorEastAsia" w:eastAsiaTheme="minorEastAsia"/>
          <w:szCs w:val="21"/>
        </w:rPr>
        <w:t>32.5发生投标人在规定时间内解密电子加密投标文件但解密失败的情形，如投标人已按招标文件规定提交了备份投标文件，将由采购代理机构按政采云平台操作规范将备份投标文件上传至政采云平台异常端口处理，上传成功后，电子加密投标文件自动失效；使用备份文件仍无法成功或投标人</w:t>
      </w:r>
      <w:r>
        <w:rPr>
          <w:rFonts w:hint="eastAsia" w:cs="Arial" w:asciiTheme="minorEastAsia" w:hAnsiTheme="minorEastAsia" w:eastAsiaTheme="minorEastAsia"/>
          <w:kern w:val="0"/>
          <w:szCs w:val="21"/>
        </w:rPr>
        <w:t>未按规定提交备份投标文件的</w:t>
      </w:r>
      <w:r>
        <w:rPr>
          <w:rFonts w:hint="eastAsia" w:asciiTheme="minorEastAsia" w:hAnsiTheme="minorEastAsia" w:eastAsiaTheme="minorEastAsia"/>
          <w:szCs w:val="21"/>
        </w:rPr>
        <w:t>，</w:t>
      </w:r>
      <w:r>
        <w:rPr>
          <w:rFonts w:hint="eastAsia" w:asciiTheme="minorEastAsia" w:hAnsiTheme="minorEastAsia" w:eastAsiaTheme="minorEastAsia"/>
          <w:b/>
          <w:szCs w:val="21"/>
        </w:rPr>
        <w:t>视为撤回投标文件</w:t>
      </w:r>
      <w:r>
        <w:rPr>
          <w:rFonts w:hint="eastAsia"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电子加密投标文件已按时解密的，备份投标文件自动失效。</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32.6</w:t>
      </w:r>
      <w:r>
        <w:rPr>
          <w:rFonts w:asciiTheme="minorEastAsia" w:hAnsiTheme="minorEastAsia" w:eastAsiaTheme="minorEastAsia"/>
          <w:szCs w:val="21"/>
        </w:rPr>
        <w:t>开标过程由采购代理机构负责记录，由参加开标的投标人代表和相关工作人员签字确认后随采购文件一并存档。</w:t>
      </w:r>
    </w:p>
    <w:p>
      <w:pPr>
        <w:snapToGri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投标人代表对开标过程和开标记录有疑义，以及认为</w:t>
      </w:r>
      <w:r>
        <w:rPr>
          <w:rFonts w:hint="eastAsia" w:asciiTheme="minorEastAsia" w:hAnsiTheme="minorEastAsia" w:eastAsiaTheme="minorEastAsia"/>
          <w:szCs w:val="21"/>
        </w:rPr>
        <w:t>采购人或采购代理机构</w:t>
      </w:r>
      <w:r>
        <w:rPr>
          <w:rFonts w:asciiTheme="minorEastAsia" w:hAnsiTheme="minorEastAsia" w:eastAsiaTheme="minorEastAsia"/>
          <w:szCs w:val="21"/>
        </w:rPr>
        <w:t>相关工作人员有需要回避的情形的，应当场提出询问或者回避申请。</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33.评标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33.1采购代理机构负责组织评标工作，评标委员会负责具体评审。</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33.2开标结束后，采购人或采购代理机构依据法律法规和招标文件中规定的内容对投标人的资格进行审查，未通过资格审查的投标人不进入评标。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33.3评标委员会由采购人代表和评审专家组成，成员为</w:t>
      </w:r>
      <w:r>
        <w:rPr>
          <w:rFonts w:asciiTheme="minorEastAsia" w:hAnsiTheme="minorEastAsia" w:eastAsiaTheme="minorEastAsia"/>
          <w:szCs w:val="21"/>
        </w:rPr>
        <w:t>5</w:t>
      </w:r>
      <w:r>
        <w:rPr>
          <w:rFonts w:hint="eastAsia" w:asciiTheme="minorEastAsia" w:hAnsiTheme="minorEastAsia" w:eastAsiaTheme="minorEastAsia"/>
          <w:szCs w:val="21"/>
        </w:rPr>
        <w:t>人及以上单数。</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评标委员会成员名单在评标结果公告前保密。评标委员会成员与供应商有下列利害关系之一的，应当回避：</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（1）参加采购活动前3年内与供应商存在劳动关系；</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（2）参加采购活动前3年内担任供应商的董事、监事；</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（3）参加采购活动前3年内是供应商的控股股东或者实际控制人；</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（4）与供应商的法定代表人或者负责人有夫妻、直系血亲、三代以内旁系血亲或者近姻亲关系；</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（5）与供应商有其他可能影响政府采购活动公平、公正进行的关系。</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33.4评标委员会应当对符合资格要求的投标人的投标文件进行符合性审查，以确定其是否满足招标文件的实质性要求。</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33.5对于投标文件中含义不明确、同类问题表述不一致或者有明显文字和计算错误的内容，评标委员会应当以书面形式要求投标人作出必要的澄清、说明或者补正。</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投标人的澄清、说明或者补正应当采用书面形式并加盖公章，或者由法定代表人或其授权的代表签字或盖章。投标人的澄清、说明或者补正不得超出投标文件的范围或者改变投标文件的实质性内容。</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33.6评标委员会应当按照招标文件中规定的评标方法和标准，对符合性审查合格的投标文件进行商务和技术评估，综合比较与评价。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33.7本项目采用综合评分法，评审程序及评分标准的设置详见《第四章  评标方法及评标标准》。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33.8报价修正</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电子交易平台客户端里开标一览表录入的投标报价与报价文件中的开标一览表投标报价不一致的，以报价文件中的投标报价为准。投标文件报价出现前后不一致的，按照下列规定修正：</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（1）投标文件中开标一览表（报价表）内容与投标文件中相应内容不一致的，以开标一览表（报价表）为准；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（2）大写金额和小写金额不一致的，以大写金额为准；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（3）单价金额小数点或者百分比有明显错位的，以开标一览表的总价为准，并修改单价；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（4）总价金额与按单价汇总金额不一致的，以单价金额计算结果为准。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同时出现两种以上不一致的，按照前款规定的顺序修正。修正后的报价由投标人确认，采用书面形式并加盖公章，或者由投标人的法定代表人或其授权的代表签字。经投标人确认后产生约束力，投标人不确认的，</w:t>
      </w:r>
      <w:r>
        <w:rPr>
          <w:rFonts w:hint="eastAsia" w:asciiTheme="minorEastAsia" w:hAnsiTheme="minorEastAsia" w:eastAsiaTheme="minorEastAsia"/>
          <w:b/>
          <w:szCs w:val="21"/>
        </w:rPr>
        <w:t>其投标无效</w:t>
      </w:r>
      <w:r>
        <w:rPr>
          <w:rFonts w:hint="eastAsia"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33.9</w:t>
      </w:r>
      <w:r>
        <w:rPr>
          <w:rFonts w:asciiTheme="minorEastAsia" w:hAnsiTheme="minorEastAsia" w:eastAsiaTheme="minor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33.10</w:t>
      </w:r>
      <w:r>
        <w:rPr>
          <w:rFonts w:asciiTheme="minorEastAsia" w:hAnsiTheme="minorEastAsia" w:eastAsiaTheme="minorEastAsia"/>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33.11投标人存在下列情况之一的，投标无效:</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（1）投标文件未按招标文件要求签署、盖章影响投标文件效力的；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（2）不具备招标文件中规定的资格要求的（包括未提交有效的资格证明文件）；</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（3）未对招标文件的实质性条款作出响应的；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（4）报价超过招标文件中规定的预算金额或者最高限价或单项限价的；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（5）投标文件含有采购人不能接受的附加条件的；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（6）投标文件中含有虚假材料的；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（7）仅提交备份投标文件的；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（8）投标人违背诚实信用原则的；</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（9）不同投标人的投标文件出自同一终端设备或在相同Internet主机分配地址（相同IP地址）；</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（10）法律、法规和招标文件规定的其他无效情形。</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33.12所有有关人员对评标情况以及在评标过程中获悉的国家秘密、商业秘密负有保密责任。</w:t>
      </w:r>
    </w:p>
    <w:p>
      <w:pPr>
        <w:pStyle w:val="27"/>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34.废标的情形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在本项目招标采购中，出现下列情形之一的，应予废标：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（1）符合资格要求的投标人或者对招标文件作实质响应的投标人不足三家的；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（2）出现影响采购公正的违法、违规行为的；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（3）投标人的报价均超过了采购预算，采购人不能支付的；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（4）因重大变故，采购任务取消的。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（5）电子交易平台无法正常运行，无法保证电子交易的公平、公正和安全的情况。</w:t>
      </w:r>
    </w:p>
    <w:p>
      <w:pPr>
        <w:pStyle w:val="27"/>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35.中止电子交易活动的情形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（1）电子交易平台发生故障而无法登录访问的；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（2）电子交易平台应用或数据库出现错误，不能进行正常操作的；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（3）电子交易平台发现严重安全漏洞，有潜在泄密危险的；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（4）病毒发作导致不能进行正常操作的；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（5）其他无法保证电子交易的公平、公正和安全的情况。</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出现前款规定情形，不影响采购公平、公正性的，采购组织机构可以待上述情形消除后继续组织电子交易活动；影响或可能影响采购公平、公正性的，将重新采购。</w:t>
      </w:r>
    </w:p>
    <w:p>
      <w:pPr>
        <w:pStyle w:val="15"/>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六、授予合同</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36.中标人的确定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36.1</w:t>
      </w:r>
      <w:r>
        <w:rPr>
          <w:rFonts w:asciiTheme="minorEastAsia" w:hAnsiTheme="minorEastAsia" w:eastAsiaTheme="minorEastAsia"/>
          <w:szCs w:val="21"/>
        </w:rPr>
        <w:t>本项目</w:t>
      </w:r>
      <w:r>
        <w:rPr>
          <w:rFonts w:hint="eastAsia" w:asciiTheme="minorEastAsia" w:hAnsiTheme="minorEastAsia" w:eastAsiaTheme="minorEastAsia"/>
          <w:szCs w:val="21"/>
        </w:rPr>
        <w:t>采购人按评标报告推荐的中标候选人顺序确定排名第一的中标候选人为中标人。</w:t>
      </w:r>
      <w:r>
        <w:rPr>
          <w:rFonts w:asciiTheme="minorEastAsia" w:hAnsiTheme="minorEastAsia" w:eastAsiaTheme="minorEastAsia"/>
          <w:szCs w:val="21"/>
          <w:shd w:val="clear" w:color="auto" w:fill="FFFFFF"/>
        </w:rPr>
        <w:t>中标候选人并列的，由采购人或者采购人委托评标委员会按照招标文件规定的方式确定中标人；招标文件未规定的，采取随机抽取的方式确定。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36.2自中标人确定之日起2个工作日内，采购代理机构在招标公告发布媒体上公告中标结果，在公告中标结果的同时，向中标人发出中标通知书。</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36.3因重大变故采购任务取消时，采购人有权拒绝任何投标人中标，且对受影响的投标人不承担任何责任。</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37.签订合同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37.1采购人按照招标文件和中标人投标文件的规定，与中标人签订书面合同。所签订的合同不得对招标文件确定的事项和中标人投标文件作实质性修改。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宋体" w:hAnsi="宋体"/>
          <w:szCs w:val="21"/>
        </w:rPr>
      </w:pPr>
      <w:r>
        <w:rPr>
          <w:rFonts w:hint="eastAsia" w:asciiTheme="minorEastAsia" w:hAnsiTheme="minorEastAsia" w:eastAsiaTheme="minorEastAsia"/>
          <w:szCs w:val="21"/>
        </w:rPr>
        <w:t>37.2采购人和中标人可以按照招标文件提供的合同文本签订合同，也可以由双方商议后重新拟定，但正式签订的合同应当包括招标文件提供的合同文本中已经确定的实质性条款。</w:t>
      </w:r>
    </w:p>
    <w:p>
      <w:pPr>
        <w:pStyle w:val="42"/>
        <w:spacing w:line="360" w:lineRule="auto"/>
        <w:rPr>
          <w:rFonts w:ascii="宋体" w:hAnsi="宋体" w:eastAsia="宋体"/>
          <w:sz w:val="32"/>
        </w:rPr>
      </w:pPr>
      <w:r>
        <w:rPr>
          <w:rFonts w:ascii="宋体" w:hAnsi="宋体" w:eastAsia="宋体"/>
          <w:sz w:val="21"/>
          <w:szCs w:val="21"/>
        </w:rPr>
        <w:br w:type="page"/>
      </w:r>
      <w:bookmarkStart w:id="59" w:name="_Toc27125"/>
      <w:r>
        <w:rPr>
          <w:rFonts w:hint="eastAsia" w:ascii="宋体" w:hAnsi="宋体" w:eastAsia="宋体"/>
          <w:sz w:val="24"/>
        </w:rPr>
        <w:t xml:space="preserve">第四章  </w:t>
      </w:r>
      <w:r>
        <w:rPr>
          <w:rFonts w:ascii="宋体" w:hAnsi="宋体" w:eastAsia="宋体"/>
          <w:sz w:val="24"/>
        </w:rPr>
        <w:t>评标</w:t>
      </w:r>
      <w:r>
        <w:rPr>
          <w:rFonts w:hint="eastAsia" w:ascii="宋体" w:hAnsi="宋体" w:eastAsia="宋体"/>
          <w:sz w:val="24"/>
        </w:rPr>
        <w:t>方法</w:t>
      </w:r>
      <w:r>
        <w:rPr>
          <w:rFonts w:ascii="宋体" w:hAnsi="宋体" w:eastAsia="宋体"/>
          <w:sz w:val="24"/>
        </w:rPr>
        <w:t>及</w:t>
      </w:r>
      <w:r>
        <w:rPr>
          <w:rFonts w:hint="eastAsia" w:ascii="宋体" w:hAnsi="宋体" w:eastAsia="宋体"/>
          <w:sz w:val="24"/>
        </w:rPr>
        <w:t>评标</w:t>
      </w:r>
      <w:r>
        <w:rPr>
          <w:rFonts w:ascii="宋体" w:hAnsi="宋体" w:eastAsia="宋体"/>
          <w:sz w:val="24"/>
        </w:rPr>
        <w:t>标准</w:t>
      </w:r>
      <w:bookmarkEnd w:id="59"/>
    </w:p>
    <w:p>
      <w:pPr>
        <w:spacing w:line="360" w:lineRule="auto"/>
        <w:ind w:firstLine="422" w:firstLineChars="200"/>
        <w:rPr>
          <w:rFonts w:ascii="宋体" w:hAnsi="宋体"/>
          <w:b/>
          <w:szCs w:val="21"/>
        </w:rPr>
      </w:pPr>
      <w:r>
        <w:rPr>
          <w:rFonts w:hint="eastAsia" w:ascii="宋体" w:hAnsi="宋体"/>
          <w:b/>
          <w:szCs w:val="21"/>
        </w:rPr>
        <w:t>一、总则</w:t>
      </w:r>
    </w:p>
    <w:p>
      <w:pPr>
        <w:spacing w:line="360" w:lineRule="auto"/>
        <w:ind w:firstLine="420" w:firstLineChars="200"/>
        <w:rPr>
          <w:rFonts w:ascii="宋体" w:hAnsi="宋体"/>
          <w:szCs w:val="21"/>
        </w:rPr>
      </w:pPr>
      <w:r>
        <w:rPr>
          <w:rFonts w:ascii="宋体" w:hAnsi="宋体"/>
          <w:szCs w:val="21"/>
        </w:rPr>
        <w:t>遵循公开、公正、公平、择优和诚实信用的原则，评标人员应本着认真、公正、诚实、廉洁的精神进行评标工作，择优推荐中标候选人。</w:t>
      </w:r>
      <w:r>
        <w:rPr>
          <w:rFonts w:hint="eastAsia" w:ascii="宋体" w:hAnsi="宋体"/>
          <w:szCs w:val="21"/>
        </w:rPr>
        <w:t>评标委员会成员</w:t>
      </w:r>
      <w:r>
        <w:rPr>
          <w:rFonts w:ascii="宋体" w:hAnsi="宋体"/>
          <w:szCs w:val="21"/>
        </w:rPr>
        <w:t>必须严格遵守保密规定，不得泄露评标的有关情况。</w:t>
      </w:r>
    </w:p>
    <w:p>
      <w:pPr>
        <w:spacing w:line="360" w:lineRule="auto"/>
        <w:ind w:firstLine="422" w:firstLineChars="200"/>
        <w:rPr>
          <w:rFonts w:ascii="宋体" w:hAnsi="宋体"/>
          <w:b/>
          <w:szCs w:val="21"/>
        </w:rPr>
      </w:pPr>
      <w:r>
        <w:rPr>
          <w:rFonts w:hint="eastAsia" w:ascii="宋体" w:hAnsi="宋体"/>
          <w:b/>
          <w:szCs w:val="21"/>
        </w:rPr>
        <w:t>二、评标方法</w:t>
      </w:r>
    </w:p>
    <w:p>
      <w:pPr>
        <w:spacing w:line="360" w:lineRule="auto"/>
        <w:ind w:firstLine="422" w:firstLineChars="200"/>
        <w:rPr>
          <w:rFonts w:ascii="宋体" w:hAnsi="宋体"/>
          <w:b/>
          <w:szCs w:val="21"/>
        </w:rPr>
      </w:pPr>
      <w:r>
        <w:rPr>
          <w:rFonts w:hint="eastAsia" w:ascii="宋体" w:hAnsi="宋体"/>
          <w:b/>
          <w:szCs w:val="21"/>
        </w:rPr>
        <w:t>1.本项目采用综合评分法。</w:t>
      </w:r>
    </w:p>
    <w:p>
      <w:pPr>
        <w:spacing w:line="360" w:lineRule="auto"/>
        <w:ind w:firstLine="420" w:firstLineChars="200"/>
        <w:rPr>
          <w:rFonts w:ascii="宋体" w:hAnsi="宋体"/>
          <w:szCs w:val="21"/>
        </w:rPr>
      </w:pPr>
      <w:r>
        <w:rPr>
          <w:rFonts w:hint="eastAsia" w:ascii="宋体" w:hAnsi="宋体"/>
          <w:szCs w:val="21"/>
        </w:rPr>
        <w:t>1.1评标时，评标委员会各成员应当独立对每个投标人的投标文件进行评价，根据评委打分表的</w:t>
      </w:r>
      <w:r>
        <w:rPr>
          <w:rFonts w:ascii="宋体" w:hAnsi="宋体"/>
          <w:szCs w:val="21"/>
        </w:rPr>
        <w:t>评分标准</w:t>
      </w:r>
      <w:r>
        <w:rPr>
          <w:rFonts w:hint="eastAsia" w:ascii="宋体" w:hAnsi="宋体"/>
          <w:szCs w:val="21"/>
        </w:rPr>
        <w:t>和评分</w:t>
      </w:r>
      <w:r>
        <w:rPr>
          <w:rFonts w:ascii="宋体" w:hAnsi="宋体"/>
          <w:szCs w:val="21"/>
        </w:rPr>
        <w:t>范围</w:t>
      </w:r>
      <w:r>
        <w:rPr>
          <w:rFonts w:hint="eastAsia" w:ascii="宋体" w:hAnsi="宋体"/>
          <w:szCs w:val="21"/>
        </w:rPr>
        <w:t>，逐栏打分并汇总。</w:t>
      </w:r>
    </w:p>
    <w:p>
      <w:pPr>
        <w:spacing w:line="360" w:lineRule="auto"/>
        <w:ind w:firstLine="420" w:firstLineChars="200"/>
        <w:rPr>
          <w:rFonts w:ascii="宋体" w:hAnsi="宋体"/>
          <w:szCs w:val="21"/>
        </w:rPr>
      </w:pPr>
      <w:r>
        <w:rPr>
          <w:rFonts w:hint="eastAsia" w:ascii="宋体" w:hAnsi="宋体"/>
          <w:szCs w:val="21"/>
        </w:rPr>
        <w:t>1.2评分均为小数点后四舍五入保留一位小数。</w:t>
      </w:r>
    </w:p>
    <w:p>
      <w:pPr>
        <w:spacing w:line="360" w:lineRule="auto"/>
        <w:ind w:firstLine="420" w:firstLineChars="200"/>
        <w:rPr>
          <w:rFonts w:ascii="宋体" w:hAnsi="宋体"/>
          <w:szCs w:val="21"/>
        </w:rPr>
      </w:pPr>
      <w:r>
        <w:rPr>
          <w:rFonts w:hint="eastAsia" w:ascii="宋体" w:hAnsi="宋体"/>
          <w:szCs w:val="21"/>
        </w:rPr>
        <w:t>1.3评委打分表中分值重复的上限不含本数,下限含本数。</w:t>
      </w:r>
    </w:p>
    <w:p>
      <w:pPr>
        <w:spacing w:line="360" w:lineRule="auto"/>
        <w:ind w:firstLine="420" w:firstLineChars="200"/>
        <w:rPr>
          <w:rFonts w:ascii="宋体" w:hAnsi="宋体"/>
          <w:szCs w:val="21"/>
        </w:rPr>
      </w:pPr>
      <w:r>
        <w:rPr>
          <w:rFonts w:hint="eastAsia" w:ascii="宋体" w:hAnsi="宋体"/>
          <w:szCs w:val="21"/>
        </w:rPr>
        <w:t>1.4</w:t>
      </w:r>
      <w:r>
        <w:rPr>
          <w:rFonts w:ascii="宋体" w:hAnsi="宋体"/>
          <w:szCs w:val="21"/>
        </w:rPr>
        <w:t>各投标人的</w:t>
      </w:r>
      <w:r>
        <w:rPr>
          <w:rFonts w:hint="eastAsia" w:ascii="宋体" w:hAnsi="宋体"/>
          <w:szCs w:val="21"/>
        </w:rPr>
        <w:t>最终评标</w:t>
      </w:r>
      <w:r>
        <w:rPr>
          <w:rFonts w:ascii="宋体" w:hAnsi="宋体"/>
          <w:szCs w:val="21"/>
        </w:rPr>
        <w:t>得分为所有评委</w:t>
      </w:r>
      <w:r>
        <w:rPr>
          <w:rFonts w:hint="eastAsia" w:ascii="宋体" w:hAnsi="宋体"/>
          <w:szCs w:val="21"/>
        </w:rPr>
        <w:t>评</w:t>
      </w:r>
      <w:r>
        <w:rPr>
          <w:rFonts w:ascii="宋体" w:hAnsi="宋体"/>
          <w:szCs w:val="21"/>
        </w:rPr>
        <w:t>分的算术平均数</w:t>
      </w:r>
      <w:r>
        <w:rPr>
          <w:rFonts w:hint="eastAsia" w:ascii="宋体" w:hAnsi="宋体"/>
          <w:szCs w:val="21"/>
        </w:rPr>
        <w:t>，小数点后四舍五入保留二位小数。</w:t>
      </w:r>
    </w:p>
    <w:p>
      <w:pPr>
        <w:spacing w:line="360" w:lineRule="auto"/>
        <w:ind w:firstLine="422" w:firstLineChars="200"/>
        <w:rPr>
          <w:rFonts w:ascii="宋体" w:hAnsi="宋体"/>
          <w:b/>
        </w:rPr>
      </w:pPr>
      <w:r>
        <w:rPr>
          <w:rFonts w:hint="eastAsia" w:ascii="宋体" w:hAnsi="宋体"/>
          <w:b/>
        </w:rPr>
        <w:t>2.价格扣除（价格优惠）</w:t>
      </w:r>
    </w:p>
    <w:p>
      <w:pPr>
        <w:spacing w:line="360" w:lineRule="auto"/>
        <w:ind w:firstLine="420" w:firstLineChars="200"/>
        <w:rPr>
          <w:rFonts w:ascii="宋体" w:hAnsi="宋体"/>
        </w:rPr>
      </w:pPr>
      <w:r>
        <w:rPr>
          <w:rFonts w:hint="eastAsia" w:asciiTheme="minorEastAsia" w:hAnsiTheme="minorEastAsia" w:eastAsiaTheme="minorEastAsia"/>
          <w:szCs w:val="21"/>
        </w:rPr>
        <w:t>对满足价格扣除条件且在投标文件中提交了</w:t>
      </w:r>
      <w:r>
        <w:rPr>
          <w:rFonts w:asciiTheme="minorEastAsia" w:hAnsiTheme="minorEastAsia" w:eastAsiaTheme="minorEastAsia"/>
          <w:szCs w:val="21"/>
        </w:rPr>
        <w:t>《中小企业声明函》</w:t>
      </w:r>
      <w:r>
        <w:rPr>
          <w:rFonts w:hint="eastAsia" w:asciiTheme="minorEastAsia" w:hAnsiTheme="minorEastAsia" w:eastAsiaTheme="minorEastAsia"/>
          <w:szCs w:val="21"/>
        </w:rPr>
        <w:t>（声明为小微企业）或</w:t>
      </w:r>
      <w:r>
        <w:rPr>
          <w:rFonts w:asciiTheme="minorEastAsia" w:hAnsiTheme="minorEastAsia" w:eastAsiaTheme="minorEastAsia"/>
          <w:szCs w:val="21"/>
        </w:rPr>
        <w:t>《残疾人福利性单位声明函》</w:t>
      </w:r>
      <w:r>
        <w:rPr>
          <w:rFonts w:hint="eastAsia" w:asciiTheme="minorEastAsia" w:hAnsiTheme="minorEastAsia" w:eastAsiaTheme="minorEastAsia"/>
          <w:szCs w:val="21"/>
        </w:rPr>
        <w:t>的供应商，</w:t>
      </w:r>
      <w:r>
        <w:rPr>
          <w:rFonts w:asciiTheme="minorEastAsia" w:hAnsiTheme="minorEastAsia" w:eastAsiaTheme="minorEastAsia"/>
          <w:szCs w:val="21"/>
        </w:rPr>
        <w:t>对</w:t>
      </w:r>
      <w:r>
        <w:rPr>
          <w:rFonts w:hint="eastAsia" w:asciiTheme="minorEastAsia" w:hAnsiTheme="minorEastAsia" w:eastAsiaTheme="minorEastAsia"/>
          <w:szCs w:val="21"/>
        </w:rPr>
        <w:t>其投标报价给予</w:t>
      </w:r>
      <w:r>
        <w:rPr>
          <w:rFonts w:hint="eastAsia" w:cs="Arial" w:asciiTheme="minorEastAsia" w:hAnsiTheme="minorEastAsia" w:eastAsiaTheme="minorEastAsia"/>
          <w:szCs w:val="21"/>
          <w:u w:val="single"/>
        </w:rPr>
        <w:t xml:space="preserve"> 10</w:t>
      </w:r>
      <w:r>
        <w:rPr>
          <w:rFonts w:hint="eastAsia" w:cs="Arial" w:asciiTheme="minorEastAsia" w:hAnsiTheme="minorEastAsia" w:eastAsiaTheme="minorEastAsia"/>
          <w:szCs w:val="21"/>
        </w:rPr>
        <w:t>%</w:t>
      </w:r>
      <w:r>
        <w:rPr>
          <w:rFonts w:asciiTheme="minorEastAsia" w:hAnsiTheme="minorEastAsia" w:eastAsiaTheme="minorEastAsia"/>
          <w:szCs w:val="21"/>
        </w:rPr>
        <w:t>的</w:t>
      </w:r>
      <w:r>
        <w:rPr>
          <w:rFonts w:hint="eastAsia" w:asciiTheme="minorEastAsia" w:hAnsiTheme="minorEastAsia" w:eastAsiaTheme="minorEastAsia"/>
          <w:szCs w:val="21"/>
        </w:rPr>
        <w:t>扣除；符合政策扶持的其他情况的投标报价给予期适当的价格扣除。</w:t>
      </w:r>
    </w:p>
    <w:p>
      <w:pPr>
        <w:spacing w:line="360" w:lineRule="auto"/>
        <w:ind w:firstLine="422" w:firstLineChars="200"/>
        <w:rPr>
          <w:rFonts w:ascii="宋体" w:hAnsi="宋体"/>
          <w:b/>
          <w:szCs w:val="21"/>
        </w:rPr>
      </w:pPr>
      <w:r>
        <w:rPr>
          <w:rFonts w:hint="eastAsia" w:ascii="宋体" w:hAnsi="宋体"/>
          <w:b/>
          <w:szCs w:val="21"/>
        </w:rPr>
        <w:t>落实政府采购政策进行价格调整的，以调整后的价格计算评标基准价和投标报价。</w:t>
      </w:r>
    </w:p>
    <w:p>
      <w:pPr>
        <w:spacing w:line="360" w:lineRule="auto"/>
        <w:ind w:firstLine="422" w:firstLineChars="200"/>
        <w:rPr>
          <w:rFonts w:ascii="宋体" w:hAnsi="宋体"/>
          <w:b/>
        </w:rPr>
      </w:pPr>
      <w:r>
        <w:rPr>
          <w:rFonts w:hint="eastAsia" w:ascii="宋体" w:hAnsi="宋体"/>
          <w:b/>
        </w:rPr>
        <w:t>2.1小型和微型企业产品价格扣除</w:t>
      </w:r>
    </w:p>
    <w:p>
      <w:pPr>
        <w:spacing w:line="360" w:lineRule="auto"/>
        <w:ind w:firstLine="420" w:firstLineChars="200"/>
        <w:rPr>
          <w:rFonts w:ascii="宋体" w:hAnsi="宋体"/>
        </w:rPr>
      </w:pPr>
      <w:r>
        <w:rPr>
          <w:rFonts w:hint="eastAsia" w:ascii="宋体" w:hAnsi="宋体"/>
        </w:rPr>
        <w:t>小型、微型企业应当同时符合以下条件：</w:t>
      </w:r>
    </w:p>
    <w:p>
      <w:pPr>
        <w:spacing w:line="360" w:lineRule="auto"/>
        <w:ind w:firstLine="420" w:firstLineChars="200"/>
        <w:rPr>
          <w:rFonts w:ascii="宋体" w:hAnsi="宋体"/>
        </w:rPr>
      </w:pPr>
      <w:r>
        <w:rPr>
          <w:rFonts w:hint="eastAsia" w:ascii="宋体" w:hAnsi="宋体"/>
        </w:rPr>
        <w:t>1）</w:t>
      </w:r>
      <w:r>
        <w:t>服务由中小企业承接，即提供服务的人员为中小企业依照《中华人民共和国劳动合同法》订立劳动合同的从业人员。</w:t>
      </w:r>
    </w:p>
    <w:p>
      <w:pPr>
        <w:spacing w:line="360" w:lineRule="auto"/>
        <w:ind w:firstLine="420" w:firstLineChars="200"/>
        <w:rPr>
          <w:rFonts w:ascii="宋体" w:hAnsi="宋体"/>
        </w:rPr>
      </w:pPr>
      <w:r>
        <w:rPr>
          <w:rFonts w:hint="eastAsia" w:ascii="宋体" w:hAnsi="宋体"/>
        </w:rPr>
        <w:t>2）</w:t>
      </w:r>
      <w:r>
        <w:t>在中华人民共和国境内依法设立，依据国务院批准的中小企业划分标准确定的小型企业和微型企业，</w:t>
      </w:r>
      <w:r>
        <w:rPr>
          <w:rFonts w:hint="eastAsia"/>
        </w:rPr>
        <w:t>且</w:t>
      </w:r>
      <w:r>
        <w:t>与大企业的负责人</w:t>
      </w:r>
      <w:r>
        <w:rPr>
          <w:rFonts w:hint="eastAsia"/>
        </w:rPr>
        <w:t>不</w:t>
      </w:r>
      <w:r>
        <w:t>为同一人，或者与大企业</w:t>
      </w:r>
      <w:r>
        <w:rPr>
          <w:rFonts w:hint="eastAsia"/>
        </w:rPr>
        <w:t>不</w:t>
      </w:r>
      <w:r>
        <w:t>存在直接控股、管理关系。</w:t>
      </w:r>
    </w:p>
    <w:p>
      <w:pPr>
        <w:spacing w:line="360" w:lineRule="auto"/>
        <w:ind w:firstLine="422" w:firstLineChars="200"/>
        <w:rPr>
          <w:rFonts w:ascii="宋体" w:hAnsi="宋体"/>
          <w:b/>
        </w:rPr>
      </w:pPr>
      <w:r>
        <w:rPr>
          <w:rFonts w:hint="eastAsia" w:ascii="宋体" w:hAnsi="宋体"/>
          <w:b/>
        </w:rPr>
        <w:t>3）符合</w:t>
      </w:r>
      <w:r>
        <w:rPr>
          <w:rFonts w:ascii="宋体" w:hAnsi="宋体"/>
          <w:b/>
        </w:rPr>
        <w:t>采购标的对应的中小企业划分标准所属行业</w:t>
      </w:r>
      <w:r>
        <w:rPr>
          <w:rFonts w:hint="eastAsia" w:ascii="宋体" w:hAnsi="宋体"/>
          <w:b/>
        </w:rPr>
        <w:t>：</w:t>
      </w:r>
      <w:r>
        <w:rPr>
          <w:rFonts w:hint="eastAsia" w:ascii="宋体" w:hAnsi="宋体"/>
          <w:b/>
          <w:bCs/>
          <w:iCs/>
          <w:u w:val="single"/>
        </w:rPr>
        <w:t>镇海区“数字治气”应用项目</w:t>
      </w:r>
      <w:r>
        <w:rPr>
          <w:rFonts w:ascii="宋体" w:hAnsi="宋体"/>
          <w:b/>
          <w:bCs/>
        </w:rPr>
        <w:t>，属于</w:t>
      </w:r>
      <w:r>
        <w:rPr>
          <w:rFonts w:hint="eastAsia" w:ascii="宋体" w:hAnsi="宋体"/>
          <w:b/>
          <w:bCs/>
          <w:u w:val="single"/>
        </w:rPr>
        <w:t>软件和信息技术服务业</w:t>
      </w:r>
      <w:r>
        <w:rPr>
          <w:rFonts w:ascii="宋体" w:hAnsi="宋体"/>
        </w:rPr>
        <w:t>；</w:t>
      </w:r>
    </w:p>
    <w:p>
      <w:pPr>
        <w:spacing w:line="360" w:lineRule="auto"/>
        <w:ind w:firstLine="420" w:firstLineChars="200"/>
        <w:rPr>
          <w:rFonts w:ascii="宋体" w:hAnsi="宋体"/>
        </w:rPr>
      </w:pPr>
      <w:r>
        <w:rPr>
          <w:rFonts w:hint="eastAsia" w:ascii="宋体" w:hAnsi="宋体"/>
        </w:rPr>
        <w:t>中小企业划分标准以《工业和信息化部、国家统计局、国家发展和改革委员会、财政部关于印发中小企业划型标准规定的通知》（工信部联企业[2011]300号）规定的划分标准为准。</w:t>
      </w:r>
    </w:p>
    <w:p>
      <w:pPr>
        <w:spacing w:line="360" w:lineRule="auto"/>
        <w:ind w:firstLine="420" w:firstLineChars="200"/>
        <w:rPr>
          <w:rFonts w:ascii="宋体" w:hAnsi="宋体"/>
        </w:rPr>
      </w:pPr>
      <w:r>
        <w:rPr>
          <w:rFonts w:hint="eastAsia" w:ascii="宋体" w:hAnsi="宋体"/>
        </w:rPr>
        <w:t>参加政府采购活动的</w:t>
      </w:r>
      <w:r>
        <w:rPr>
          <w:rFonts w:hint="eastAsia" w:ascii="宋体" w:hAnsi="宋体"/>
          <w:b/>
        </w:rPr>
        <w:t>小型企业和微型企业</w:t>
      </w:r>
      <w:r>
        <w:rPr>
          <w:rFonts w:hint="eastAsia" w:ascii="宋体" w:hAnsi="宋体"/>
        </w:rPr>
        <w:t>应当在投标文件中提供《中小企业声明函》，否则不予认可。</w:t>
      </w:r>
    </w:p>
    <w:p>
      <w:pPr>
        <w:spacing w:line="360" w:lineRule="auto"/>
        <w:ind w:firstLine="422" w:firstLineChars="200"/>
        <w:rPr>
          <w:rFonts w:ascii="宋体" w:hAnsi="宋体"/>
          <w:b/>
        </w:rPr>
      </w:pPr>
      <w:r>
        <w:rPr>
          <w:rFonts w:hint="eastAsia" w:ascii="宋体" w:hAnsi="宋体"/>
          <w:b/>
        </w:rPr>
        <w:t>2.</w:t>
      </w:r>
      <w:r>
        <w:rPr>
          <w:rFonts w:ascii="宋体" w:hAnsi="宋体"/>
          <w:b/>
        </w:rPr>
        <w:t>2</w:t>
      </w:r>
      <w:r>
        <w:rPr>
          <w:rFonts w:hint="eastAsia" w:ascii="宋体" w:hAnsi="宋体"/>
          <w:b/>
        </w:rPr>
        <w:t>残疾人福利性单位产品价格扣除</w:t>
      </w:r>
    </w:p>
    <w:p>
      <w:pPr>
        <w:spacing w:line="360" w:lineRule="auto"/>
        <w:ind w:firstLine="420" w:firstLineChars="200"/>
        <w:rPr>
          <w:rFonts w:ascii="宋体" w:hAnsi="宋体"/>
        </w:rPr>
      </w:pPr>
      <w:r>
        <w:rPr>
          <w:rFonts w:hint="eastAsia" w:ascii="宋体" w:hAnsi="宋体"/>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pPr>
        <w:spacing w:line="360" w:lineRule="auto"/>
        <w:ind w:firstLine="420" w:firstLineChars="200"/>
        <w:rPr>
          <w:rFonts w:ascii="宋体" w:hAnsi="宋体"/>
        </w:rPr>
      </w:pPr>
      <w:r>
        <w:rPr>
          <w:rFonts w:hint="eastAsia" w:ascii="宋体" w:hAnsi="宋体"/>
        </w:rPr>
        <w:t>中标人为残疾人福利性单位的，采购人或采购代理机构随采购结果同时公告其《残疾人福利性单位声明函》，接受社会监督。</w:t>
      </w:r>
    </w:p>
    <w:p>
      <w:pPr>
        <w:spacing w:line="360" w:lineRule="auto"/>
        <w:ind w:firstLine="420" w:firstLineChars="200"/>
        <w:rPr>
          <w:rFonts w:ascii="宋体" w:hAnsi="宋体"/>
        </w:rPr>
      </w:pPr>
      <w:r>
        <w:rPr>
          <w:rFonts w:hint="eastAsia" w:ascii="宋体" w:hAnsi="宋体"/>
        </w:rPr>
        <w:t>投标人提供的《残疾人福利性单位声明函》与事实不符的，依照《政府采购法》第七十七条第一款的规定追究法律责任。</w:t>
      </w:r>
    </w:p>
    <w:p>
      <w:pPr>
        <w:spacing w:line="360" w:lineRule="auto"/>
        <w:rPr>
          <w:rFonts w:asciiTheme="minorEastAsia" w:hAnsiTheme="minorEastAsia" w:eastAsiaTheme="minorEastAsia"/>
          <w:b/>
          <w:szCs w:val="21"/>
        </w:rPr>
      </w:pPr>
      <w:r>
        <w:rPr>
          <w:rFonts w:hint="eastAsia" w:ascii="宋体" w:hAnsi="宋体"/>
          <w:b/>
          <w:szCs w:val="21"/>
        </w:rPr>
        <w:t>三、</w:t>
      </w:r>
      <w:r>
        <w:rPr>
          <w:rFonts w:hint="eastAsia" w:asciiTheme="minorEastAsia" w:hAnsiTheme="minorEastAsia" w:eastAsiaTheme="minorEastAsia"/>
          <w:b/>
          <w:szCs w:val="21"/>
        </w:rPr>
        <w:t>评审程序</w:t>
      </w:r>
    </w:p>
    <w:p>
      <w:pPr>
        <w:spacing w:line="360" w:lineRule="auto"/>
        <w:ind w:firstLine="435"/>
        <w:rPr>
          <w:rFonts w:asciiTheme="minorEastAsia" w:hAnsiTheme="minorEastAsia" w:eastAsiaTheme="minorEastAsia"/>
          <w:b/>
          <w:szCs w:val="21"/>
        </w:rPr>
      </w:pPr>
      <w:r>
        <w:rPr>
          <w:rFonts w:hint="eastAsia" w:asciiTheme="minorEastAsia" w:hAnsiTheme="minorEastAsia" w:eastAsiaTheme="minorEastAsia"/>
          <w:b/>
          <w:szCs w:val="21"/>
        </w:rPr>
        <w:t>1.资格审查</w:t>
      </w:r>
    </w:p>
    <w:p>
      <w:pPr>
        <w:spacing w:line="360" w:lineRule="auto"/>
        <w:ind w:firstLine="435"/>
        <w:rPr>
          <w:rFonts w:asciiTheme="minorEastAsia" w:hAnsiTheme="minorEastAsia" w:eastAsiaTheme="minorEastAsia"/>
          <w:szCs w:val="21"/>
        </w:rPr>
      </w:pPr>
      <w:r>
        <w:rPr>
          <w:rFonts w:asciiTheme="minorEastAsia" w:hAnsiTheme="minorEastAsia" w:eastAsiaTheme="minorEastAsia"/>
          <w:szCs w:val="21"/>
        </w:rPr>
        <w:t>由采购人或采购代理机构对</w:t>
      </w:r>
      <w:r>
        <w:rPr>
          <w:rFonts w:hint="eastAsia" w:asciiTheme="minorEastAsia" w:hAnsiTheme="minorEastAsia" w:eastAsiaTheme="minorEastAsia"/>
          <w:szCs w:val="21"/>
        </w:rPr>
        <w:t>投标人进行资格审查</w:t>
      </w:r>
      <w:r>
        <w:rPr>
          <w:rFonts w:asciiTheme="minorEastAsia" w:hAnsiTheme="minorEastAsia" w:eastAsiaTheme="minorEastAsia"/>
          <w:szCs w:val="21"/>
        </w:rPr>
        <w:t>。资格审查</w:t>
      </w:r>
      <w:r>
        <w:rPr>
          <w:rFonts w:hint="eastAsia" w:asciiTheme="minorEastAsia" w:hAnsiTheme="minorEastAsia" w:eastAsiaTheme="minorEastAsia"/>
          <w:szCs w:val="21"/>
        </w:rPr>
        <w:t>内容</w:t>
      </w:r>
      <w:r>
        <w:rPr>
          <w:rFonts w:asciiTheme="minorEastAsia" w:hAnsiTheme="minorEastAsia" w:eastAsiaTheme="minorEastAsia"/>
          <w:szCs w:val="21"/>
        </w:rPr>
        <w:t>如下：</w:t>
      </w:r>
    </w:p>
    <w:tbl>
      <w:tblPr>
        <w:tblStyle w:val="45"/>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25"/>
        <w:gridCol w:w="314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825" w:type="dxa"/>
            <w:tcBorders>
              <w:bottom w:val="single" w:color="auto" w:sz="4" w:space="0"/>
            </w:tcBorders>
            <w:vAlign w:val="center"/>
          </w:tcPr>
          <w:p>
            <w:pPr>
              <w:pStyle w:val="392"/>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评审指标</w:t>
            </w:r>
          </w:p>
        </w:tc>
        <w:tc>
          <w:tcPr>
            <w:tcW w:w="3142"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评审标准</w:t>
            </w:r>
          </w:p>
        </w:tc>
        <w:tc>
          <w:tcPr>
            <w:tcW w:w="311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825"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营业执照</w:t>
            </w:r>
          </w:p>
        </w:tc>
        <w:tc>
          <w:tcPr>
            <w:tcW w:w="3142" w:type="dxa"/>
            <w:vAlign w:val="center"/>
          </w:tcPr>
          <w:p>
            <w:pPr>
              <w:ind w:right="-10"/>
              <w:jc w:val="center"/>
              <w:rPr>
                <w:rFonts w:asciiTheme="minorEastAsia" w:hAnsiTheme="minorEastAsia" w:eastAsiaTheme="minorEastAsia"/>
                <w:szCs w:val="21"/>
              </w:rPr>
            </w:pPr>
            <w:r>
              <w:rPr>
                <w:rFonts w:hint="eastAsia" w:asciiTheme="minorEastAsia" w:hAnsiTheme="minorEastAsia" w:eastAsiaTheme="minorEastAsia"/>
                <w:szCs w:val="21"/>
              </w:rPr>
              <w:t>合法有效</w:t>
            </w:r>
          </w:p>
        </w:tc>
        <w:tc>
          <w:tcPr>
            <w:tcW w:w="3113"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提供有效的投标人营业执照（或事业单位法人登记证书）的扫描件，应完整的体现出营业执照（或事业单位法人登记证书）的全部内容。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825"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不良信用记录查询</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投标人不得存在不良信用记录情形</w:t>
            </w:r>
          </w:p>
        </w:tc>
        <w:tc>
          <w:tcPr>
            <w:tcW w:w="3113" w:type="dxa"/>
            <w:tcBorders>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详见投标人须知正文第12条要求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825"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无重大违法记录</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13" w:type="dxa"/>
            <w:tcBorders>
              <w:bottom w:val="single" w:color="auto" w:sz="4" w:space="0"/>
            </w:tcBorders>
            <w:vAlign w:val="center"/>
          </w:tcPr>
          <w:p>
            <w:pPr>
              <w:adjustRightInd w:val="0"/>
              <w:snapToGrid w:val="0"/>
              <w:ind w:right="-10"/>
              <w:jc w:val="left"/>
              <w:rPr>
                <w:rFonts w:asciiTheme="minorEastAsia" w:hAnsiTheme="minorEastAsia" w:eastAsiaTheme="minorEastAsia"/>
                <w:szCs w:val="21"/>
              </w:rPr>
            </w:pPr>
            <w:r>
              <w:rPr>
                <w:rFonts w:hint="eastAsia" w:asciiTheme="minorEastAsia" w:hAnsiTheme="minorEastAsia" w:eastAsiaTheme="minorEastAsia"/>
                <w:szCs w:val="21"/>
              </w:rPr>
              <w:t>投标人资格声明函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825"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联合协议（如允许联合体投标）</w:t>
            </w:r>
          </w:p>
        </w:tc>
        <w:tc>
          <w:tcPr>
            <w:tcW w:w="3142"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本项目不接受联合体投标。</w:t>
            </w:r>
          </w:p>
        </w:tc>
        <w:tc>
          <w:tcPr>
            <w:tcW w:w="3113" w:type="dxa"/>
            <w:tcBorders>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若联合体投标的，将被拒绝。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825"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投标人特定资质</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符合申请人的资格要求</w:t>
            </w:r>
          </w:p>
        </w:tc>
        <w:tc>
          <w:tcPr>
            <w:tcW w:w="3113" w:type="dxa"/>
            <w:tcBorders>
              <w:bottom w:val="single" w:color="auto" w:sz="4" w:space="0"/>
            </w:tcBorders>
            <w:vAlign w:val="center"/>
          </w:tcPr>
          <w:p>
            <w:pPr>
              <w:adjustRightInd w:val="0"/>
              <w:snapToGrid w:val="0"/>
              <w:ind w:right="-10"/>
              <w:jc w:val="left"/>
              <w:rPr>
                <w:rFonts w:asciiTheme="minorEastAsia" w:hAnsiTheme="minorEastAsia" w:eastAsiaTheme="minorEastAsia"/>
                <w:szCs w:val="21"/>
              </w:rPr>
            </w:pPr>
            <w:r>
              <w:rPr>
                <w:rFonts w:hint="eastAsia" w:ascii="宋体" w:hAnsi="宋体"/>
              </w:rPr>
              <w:t>无</w:t>
            </w:r>
          </w:p>
        </w:tc>
      </w:tr>
    </w:tbl>
    <w:p>
      <w:pPr>
        <w:spacing w:line="360" w:lineRule="auto"/>
        <w:ind w:firstLine="437"/>
        <w:rPr>
          <w:rFonts w:asciiTheme="minorEastAsia" w:hAnsiTheme="minorEastAsia" w:eastAsiaTheme="minorEastAsia"/>
          <w:szCs w:val="21"/>
        </w:rPr>
      </w:pPr>
      <w:r>
        <w:rPr>
          <w:rFonts w:hint="eastAsia" w:asciiTheme="minorEastAsia" w:hAnsiTheme="minorEastAsia" w:eastAsiaTheme="minorEastAsia"/>
          <w:b/>
          <w:bCs/>
          <w:szCs w:val="21"/>
        </w:rPr>
        <w:t>资格审查指标通过标准：</w:t>
      </w:r>
      <w:r>
        <w:rPr>
          <w:rFonts w:hint="eastAsia" w:asciiTheme="minorEastAsia" w:hAnsiTheme="minorEastAsia" w:eastAsiaTheme="minorEastAsia"/>
          <w:szCs w:val="21"/>
        </w:rPr>
        <w:t>投标人必须通过资格审查表中的全部评审指标。</w:t>
      </w:r>
    </w:p>
    <w:p>
      <w:pPr>
        <w:spacing w:line="360" w:lineRule="auto"/>
        <w:ind w:firstLine="437"/>
        <w:rPr>
          <w:rFonts w:asciiTheme="minorEastAsia" w:hAnsiTheme="minorEastAsia" w:eastAsiaTheme="minorEastAsia"/>
          <w:b/>
          <w:szCs w:val="21"/>
        </w:rPr>
      </w:pPr>
      <w:r>
        <w:rPr>
          <w:rFonts w:hint="eastAsia" w:asciiTheme="minorEastAsia" w:hAnsiTheme="minorEastAsia" w:eastAsiaTheme="minorEastAsia"/>
          <w:b/>
          <w:szCs w:val="21"/>
        </w:rPr>
        <w:t>2.符合性审查</w:t>
      </w:r>
    </w:p>
    <w:p>
      <w:pPr>
        <w:spacing w:line="360" w:lineRule="auto"/>
        <w:ind w:firstLine="437"/>
        <w:rPr>
          <w:rFonts w:asciiTheme="minorEastAsia" w:hAnsiTheme="minorEastAsia" w:eastAsiaTheme="minorEastAsia"/>
          <w:szCs w:val="21"/>
        </w:rPr>
      </w:pPr>
      <w:r>
        <w:rPr>
          <w:rFonts w:hint="eastAsia" w:asciiTheme="minorEastAsia" w:hAnsiTheme="minorEastAsia" w:eastAsiaTheme="minorEastAsia"/>
          <w:szCs w:val="21"/>
        </w:rPr>
        <w:t>评标委员会对通过资格审查的投标人的投标文件进行符合性审查，以确定其是否满足招标文件的实质性要求。符合性</w:t>
      </w:r>
      <w:r>
        <w:rPr>
          <w:rFonts w:asciiTheme="minorEastAsia" w:hAnsiTheme="minorEastAsia" w:eastAsiaTheme="minorEastAsia"/>
          <w:szCs w:val="21"/>
        </w:rPr>
        <w:t>审查</w:t>
      </w:r>
      <w:r>
        <w:rPr>
          <w:rFonts w:hint="eastAsia" w:asciiTheme="minorEastAsia" w:hAnsiTheme="minorEastAsia" w:eastAsiaTheme="minorEastAsia"/>
          <w:szCs w:val="21"/>
        </w:rPr>
        <w:t>内容</w:t>
      </w:r>
      <w:r>
        <w:rPr>
          <w:rFonts w:asciiTheme="minorEastAsia" w:hAnsiTheme="minorEastAsia" w:eastAsiaTheme="minorEastAsia"/>
          <w:szCs w:val="21"/>
        </w:rPr>
        <w:t>如下</w:t>
      </w:r>
      <w:r>
        <w:rPr>
          <w:rFonts w:hint="eastAsia" w:asciiTheme="minorEastAsia" w:hAnsiTheme="minorEastAsia" w:eastAsiaTheme="minorEastAsia"/>
          <w:szCs w:val="21"/>
        </w:rPr>
        <w:t>：</w:t>
      </w:r>
    </w:p>
    <w:tbl>
      <w:tblPr>
        <w:tblStyle w:val="45"/>
        <w:tblW w:w="88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56"/>
        <w:gridCol w:w="3002"/>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2"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6" w:type="dxa"/>
            <w:tcBorders>
              <w:bottom w:val="single" w:color="auto" w:sz="4" w:space="0"/>
            </w:tcBorders>
            <w:vAlign w:val="center"/>
          </w:tcPr>
          <w:p>
            <w:pPr>
              <w:pStyle w:val="392"/>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评审指标</w:t>
            </w:r>
          </w:p>
        </w:tc>
        <w:tc>
          <w:tcPr>
            <w:tcW w:w="3002"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评审标准</w:t>
            </w:r>
          </w:p>
        </w:tc>
        <w:tc>
          <w:tcPr>
            <w:tcW w:w="3171"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开标一览表</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投标函</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asciiTheme="minorEastAsia" w:hAnsiTheme="minorEastAsia" w:eastAsiaTheme="minorEastAsia"/>
                <w:szCs w:val="21"/>
              </w:rPr>
              <w:t>3</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法定代表人授权委托书及其附件</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71" w:type="dxa"/>
            <w:vAlign w:val="center"/>
          </w:tcPr>
          <w:p>
            <w:pPr>
              <w:adjustRightInd w:val="0"/>
              <w:snapToGrid w:val="0"/>
              <w:ind w:right="-10"/>
              <w:rPr>
                <w:rFonts w:asciiTheme="minorEastAsia" w:hAnsiTheme="minorEastAsia" w:eastAsiaTheme="minorEastAsia"/>
                <w:szCs w:val="21"/>
              </w:rPr>
            </w:pPr>
            <w:r>
              <w:rPr>
                <w:rFonts w:hint="eastAsia" w:asciiTheme="minorEastAsia" w:hAnsiTheme="minorEastAsia" w:eastAsiaTheme="minorEastAsia"/>
                <w:szCs w:val="21"/>
              </w:rPr>
              <w:t>授权委托书及其附件；法定代表人参加投标的无需此件，提供身份证正反面复印件即可。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商务要求响应情况</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符合招标文件采购需求中明确的商务要求。</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商务要求响应表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技术要求响应情况</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符合招标文件采购需求中明确的技术及服务要求。</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技术及服务响应表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其他要求</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符合法律、行政法规规定的其他条件或不存在招标文件列明的拒绝投标、不允许存在的其他要求</w:t>
            </w:r>
          </w:p>
        </w:tc>
        <w:tc>
          <w:tcPr>
            <w:tcW w:w="3171" w:type="dxa"/>
            <w:vAlign w:val="center"/>
          </w:tcPr>
          <w:p>
            <w:pPr>
              <w:adjustRightInd w:val="0"/>
              <w:snapToGrid w:val="0"/>
              <w:ind w:right="-1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投标报价未超过最高限价，且经评标委员会认定报价合理，不存在影响项目服务质量和合同履行的情形。</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投标报价</w:t>
            </w:r>
          </w:p>
        </w:tc>
      </w:tr>
    </w:tbl>
    <w:p>
      <w:pPr>
        <w:spacing w:line="360" w:lineRule="auto"/>
        <w:ind w:firstLine="422" w:firstLineChars="200"/>
        <w:rPr>
          <w:rFonts w:ascii="宋体" w:hAnsi="宋体"/>
          <w:b/>
          <w:szCs w:val="21"/>
        </w:rPr>
      </w:pPr>
    </w:p>
    <w:p>
      <w:pPr>
        <w:spacing w:line="360" w:lineRule="auto"/>
        <w:ind w:firstLine="422" w:firstLineChars="200"/>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评标标准（评委打分表）</w:t>
      </w:r>
    </w:p>
    <w:tbl>
      <w:tblPr>
        <w:tblStyle w:val="45"/>
        <w:tblpPr w:leftFromText="180" w:rightFromText="180" w:vertAnchor="text" w:horzAnchor="page" w:tblpXSpec="center" w:tblpY="266"/>
        <w:tblOverlap w:val="never"/>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324"/>
        <w:gridCol w:w="6209"/>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序号</w:t>
            </w:r>
          </w:p>
        </w:tc>
        <w:tc>
          <w:tcPr>
            <w:tcW w:w="1324"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评分因素</w:t>
            </w:r>
          </w:p>
        </w:tc>
        <w:tc>
          <w:tcPr>
            <w:tcW w:w="6209"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评分细则</w:t>
            </w:r>
          </w:p>
        </w:tc>
        <w:tc>
          <w:tcPr>
            <w:tcW w:w="7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672" w:type="dxa"/>
            <w:vMerge w:val="restart"/>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商务部分（16分）</w:t>
            </w:r>
          </w:p>
        </w:tc>
        <w:tc>
          <w:tcPr>
            <w:tcW w:w="1324"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投标单位的管理体系认证（4分）</w:t>
            </w:r>
          </w:p>
        </w:tc>
        <w:tc>
          <w:tcPr>
            <w:tcW w:w="6209"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供应商具有</w:t>
            </w:r>
            <w:r>
              <w:rPr>
                <w:rFonts w:hint="eastAsia"/>
              </w:rPr>
              <w:t>合法有效的</w:t>
            </w:r>
            <w:r>
              <w:rPr>
                <w:rFonts w:hint="eastAsia" w:ascii="宋体" w:hAnsi="宋体" w:cs="宋体"/>
                <w:kern w:val="0"/>
                <w:szCs w:val="21"/>
              </w:rPr>
              <w:t>信息安全管理体系认证证书的得1分；</w:t>
            </w:r>
          </w:p>
          <w:p>
            <w:pPr>
              <w:widowControl/>
              <w:spacing w:line="312" w:lineRule="auto"/>
              <w:rPr>
                <w:rFonts w:ascii="宋体" w:hAnsi="宋体" w:cs="宋体"/>
                <w:kern w:val="0"/>
                <w:szCs w:val="21"/>
              </w:rPr>
            </w:pPr>
            <w:r>
              <w:rPr>
                <w:rFonts w:hint="eastAsia" w:ascii="宋体" w:hAnsi="宋体" w:cs="宋体"/>
                <w:kern w:val="0"/>
                <w:szCs w:val="21"/>
              </w:rPr>
              <w:t>供应商具有</w:t>
            </w:r>
            <w:r>
              <w:rPr>
                <w:rFonts w:hint="eastAsia"/>
              </w:rPr>
              <w:t>合法有效的</w:t>
            </w:r>
            <w:r>
              <w:rPr>
                <w:rFonts w:hint="eastAsia" w:ascii="宋体" w:hAnsi="宋体" w:cs="宋体"/>
                <w:kern w:val="0"/>
                <w:szCs w:val="21"/>
              </w:rPr>
              <w:t>信息技术服务管理体系认证证书的得1分；</w:t>
            </w:r>
          </w:p>
          <w:p>
            <w:pPr>
              <w:widowControl/>
              <w:spacing w:line="312" w:lineRule="auto"/>
              <w:rPr>
                <w:rFonts w:ascii="宋体" w:hAnsi="宋体" w:cs="宋体"/>
                <w:kern w:val="0"/>
                <w:szCs w:val="21"/>
              </w:rPr>
            </w:pPr>
            <w:r>
              <w:rPr>
                <w:rFonts w:hint="eastAsia" w:ascii="宋体" w:hAnsi="宋体" w:cs="宋体"/>
                <w:kern w:val="0"/>
                <w:szCs w:val="21"/>
              </w:rPr>
              <w:t>供应商具有</w:t>
            </w:r>
            <w:r>
              <w:rPr>
                <w:rFonts w:hint="eastAsia"/>
              </w:rPr>
              <w:t>合法有效的</w:t>
            </w:r>
            <w:r>
              <w:rPr>
                <w:rFonts w:hint="eastAsia" w:ascii="宋体" w:hAnsi="宋体" w:cs="宋体"/>
                <w:kern w:val="0"/>
                <w:szCs w:val="21"/>
              </w:rPr>
              <w:t>企业诚信管理体系认证证书的得1分；</w:t>
            </w:r>
          </w:p>
          <w:p>
            <w:pPr>
              <w:widowControl/>
              <w:spacing w:line="312" w:lineRule="auto"/>
              <w:rPr>
                <w:rFonts w:ascii="宋体" w:hAnsi="宋体" w:cs="宋体"/>
                <w:kern w:val="0"/>
                <w:szCs w:val="21"/>
              </w:rPr>
            </w:pPr>
            <w:r>
              <w:rPr>
                <w:rFonts w:hint="eastAsia" w:ascii="宋体" w:hAnsi="宋体" w:cs="宋体"/>
                <w:kern w:val="0"/>
                <w:szCs w:val="21"/>
              </w:rPr>
              <w:t>供应商具有</w:t>
            </w:r>
            <w:r>
              <w:rPr>
                <w:rFonts w:hint="eastAsia"/>
              </w:rPr>
              <w:t>合法有效的</w:t>
            </w:r>
            <w:r>
              <w:rPr>
                <w:rFonts w:hint="eastAsia" w:ascii="宋体" w:hAnsi="宋体" w:cs="宋体"/>
                <w:kern w:val="0"/>
                <w:szCs w:val="21"/>
              </w:rPr>
              <w:t>知识产权管理体系认证证书的得1分。</w:t>
            </w:r>
          </w:p>
          <w:p>
            <w:pPr>
              <w:widowControl/>
              <w:spacing w:line="312" w:lineRule="auto"/>
              <w:rPr>
                <w:rFonts w:ascii="宋体" w:hAnsi="宋体" w:cs="宋体"/>
                <w:kern w:val="0"/>
                <w:szCs w:val="21"/>
              </w:rPr>
            </w:pPr>
            <w:r>
              <w:rPr>
                <w:rFonts w:hint="eastAsia" w:ascii="宋体" w:hAnsi="宋体" w:cs="宋体"/>
                <w:kern w:val="0"/>
                <w:szCs w:val="21"/>
              </w:rPr>
              <w:t>本项最高得4分，没有不得分。以上证书复印件须在投标文件中提供并加盖公章，未提供或不符合以上条件的不得分。</w:t>
            </w:r>
          </w:p>
        </w:tc>
        <w:tc>
          <w:tcPr>
            <w:tcW w:w="7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72" w:type="dxa"/>
            <w:vMerge w:val="continue"/>
            <w:vAlign w:val="center"/>
          </w:tcPr>
          <w:p>
            <w:pPr>
              <w:widowControl/>
              <w:spacing w:line="312" w:lineRule="auto"/>
              <w:jc w:val="left"/>
              <w:rPr>
                <w:rFonts w:ascii="宋体" w:hAnsi="宋体" w:cs="宋体"/>
                <w:kern w:val="0"/>
                <w:szCs w:val="21"/>
              </w:rPr>
            </w:pPr>
          </w:p>
        </w:tc>
        <w:tc>
          <w:tcPr>
            <w:tcW w:w="1324" w:type="dxa"/>
            <w:vMerge w:val="restart"/>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项目团队（11分）</w:t>
            </w:r>
          </w:p>
        </w:tc>
        <w:tc>
          <w:tcPr>
            <w:tcW w:w="6209" w:type="dxa"/>
            <w:shd w:val="clear" w:color="auto" w:fill="auto"/>
            <w:vAlign w:val="center"/>
          </w:tcPr>
          <w:p>
            <w:pPr>
              <w:widowControl/>
              <w:spacing w:line="312" w:lineRule="auto"/>
              <w:rPr>
                <w:rFonts w:ascii="宋体" w:hAnsi="宋体" w:cs="宋体"/>
                <w:kern w:val="0"/>
                <w:szCs w:val="21"/>
              </w:rPr>
            </w:pPr>
            <w:r>
              <w:rPr>
                <w:rFonts w:hint="eastAsia" w:ascii="宋体" w:hAnsi="宋体"/>
                <w:szCs w:val="21"/>
              </w:rPr>
              <w:t>拟派项目负责人具有信息系统项目管理师（高级）证书的得</w:t>
            </w:r>
            <w:r>
              <w:rPr>
                <w:rFonts w:ascii="宋体" w:hAnsi="宋体"/>
                <w:szCs w:val="21"/>
              </w:rPr>
              <w:t>1</w:t>
            </w:r>
            <w:r>
              <w:rPr>
                <w:rFonts w:hint="eastAsia" w:ascii="宋体" w:hAnsi="宋体"/>
                <w:szCs w:val="21"/>
              </w:rPr>
              <w:t>分；具有系统规划与管理师（高级）证书的得1分；具有云计算架构师认证（ACE）证书的得1分。最高得3分，没有不得分。</w:t>
            </w:r>
          </w:p>
        </w:tc>
        <w:tc>
          <w:tcPr>
            <w:tcW w:w="7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72" w:type="dxa"/>
            <w:vMerge w:val="continue"/>
            <w:vAlign w:val="center"/>
          </w:tcPr>
          <w:p>
            <w:pPr>
              <w:widowControl/>
              <w:spacing w:line="312" w:lineRule="auto"/>
              <w:jc w:val="left"/>
              <w:rPr>
                <w:rFonts w:ascii="宋体" w:hAnsi="宋体" w:cs="宋体"/>
                <w:kern w:val="0"/>
                <w:szCs w:val="21"/>
              </w:rPr>
            </w:pPr>
          </w:p>
        </w:tc>
        <w:tc>
          <w:tcPr>
            <w:tcW w:w="1324" w:type="dxa"/>
            <w:vMerge w:val="continue"/>
            <w:vAlign w:val="center"/>
          </w:tcPr>
          <w:p>
            <w:pPr>
              <w:widowControl/>
              <w:spacing w:line="312" w:lineRule="auto"/>
              <w:jc w:val="left"/>
              <w:rPr>
                <w:rFonts w:ascii="宋体" w:hAnsi="宋体" w:cs="宋体"/>
                <w:kern w:val="0"/>
                <w:szCs w:val="21"/>
              </w:rPr>
            </w:pPr>
          </w:p>
        </w:tc>
        <w:tc>
          <w:tcPr>
            <w:tcW w:w="6209"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拟派项目技术负责人具有系统集成项目管理工程师证书得1.5分；具有信息安全工程师证书得1.5分；本项最高得3分，没有不得分。</w:t>
            </w:r>
          </w:p>
        </w:tc>
        <w:tc>
          <w:tcPr>
            <w:tcW w:w="7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672" w:type="dxa"/>
            <w:vMerge w:val="continue"/>
            <w:vAlign w:val="center"/>
          </w:tcPr>
          <w:p>
            <w:pPr>
              <w:widowControl/>
              <w:spacing w:line="312" w:lineRule="auto"/>
              <w:jc w:val="left"/>
              <w:rPr>
                <w:rFonts w:ascii="宋体" w:hAnsi="宋体" w:cs="宋体"/>
                <w:kern w:val="0"/>
                <w:szCs w:val="21"/>
              </w:rPr>
            </w:pPr>
          </w:p>
        </w:tc>
        <w:tc>
          <w:tcPr>
            <w:tcW w:w="1324" w:type="dxa"/>
            <w:vMerge w:val="continue"/>
            <w:vAlign w:val="center"/>
          </w:tcPr>
          <w:p>
            <w:pPr>
              <w:widowControl/>
              <w:spacing w:line="312" w:lineRule="auto"/>
              <w:jc w:val="left"/>
              <w:rPr>
                <w:rFonts w:ascii="宋体" w:hAnsi="宋体" w:cs="宋体"/>
                <w:kern w:val="0"/>
                <w:szCs w:val="21"/>
              </w:rPr>
            </w:pPr>
          </w:p>
        </w:tc>
        <w:tc>
          <w:tcPr>
            <w:tcW w:w="6209"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除项目负责人及技术负责人外的其他成员具有系统架构设计师、软件设计师、系统集成项目管理工程师、IT服务项目经理、云计算安全基础知识认证（CCSK）证书的，每提供以上各1种证书得1分，本项最多得5分。注：一人多证的不重复计分。</w:t>
            </w:r>
          </w:p>
        </w:tc>
        <w:tc>
          <w:tcPr>
            <w:tcW w:w="7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72" w:type="dxa"/>
            <w:vMerge w:val="continue"/>
            <w:vAlign w:val="center"/>
          </w:tcPr>
          <w:p>
            <w:pPr>
              <w:widowControl/>
              <w:spacing w:line="312" w:lineRule="auto"/>
              <w:jc w:val="left"/>
              <w:rPr>
                <w:rFonts w:ascii="宋体" w:hAnsi="宋体" w:cs="宋体"/>
                <w:kern w:val="0"/>
                <w:szCs w:val="21"/>
              </w:rPr>
            </w:pPr>
          </w:p>
        </w:tc>
        <w:tc>
          <w:tcPr>
            <w:tcW w:w="1324" w:type="dxa"/>
            <w:vMerge w:val="continue"/>
            <w:vAlign w:val="center"/>
          </w:tcPr>
          <w:p>
            <w:pPr>
              <w:widowControl/>
              <w:spacing w:line="312" w:lineRule="auto"/>
              <w:jc w:val="left"/>
              <w:rPr>
                <w:rFonts w:ascii="宋体" w:hAnsi="宋体" w:cs="宋体"/>
                <w:kern w:val="0"/>
                <w:szCs w:val="21"/>
              </w:rPr>
            </w:pPr>
          </w:p>
        </w:tc>
        <w:tc>
          <w:tcPr>
            <w:tcW w:w="6209"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注：上述人员需为投标单位在职员工，需提供以上人员的投标文件递交截止时间前三个月内任意一个月社保缴纳证明及有关有效证书复印件并加盖公章。</w:t>
            </w:r>
          </w:p>
        </w:tc>
        <w:tc>
          <w:tcPr>
            <w:tcW w:w="7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72" w:type="dxa"/>
            <w:vMerge w:val="continue"/>
            <w:vAlign w:val="center"/>
          </w:tcPr>
          <w:p>
            <w:pPr>
              <w:widowControl/>
              <w:spacing w:line="312" w:lineRule="auto"/>
              <w:jc w:val="left"/>
              <w:rPr>
                <w:rFonts w:ascii="宋体" w:hAnsi="宋体" w:cs="宋体"/>
                <w:kern w:val="0"/>
                <w:szCs w:val="21"/>
              </w:rPr>
            </w:pPr>
          </w:p>
        </w:tc>
        <w:tc>
          <w:tcPr>
            <w:tcW w:w="1324"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投标单位的类似项目业绩（1分）</w:t>
            </w:r>
          </w:p>
        </w:tc>
        <w:tc>
          <w:tcPr>
            <w:tcW w:w="6209" w:type="dxa"/>
            <w:shd w:val="clear" w:color="auto" w:fill="auto"/>
            <w:vAlign w:val="center"/>
          </w:tcPr>
          <w:p>
            <w:pPr>
              <w:spacing w:line="312" w:lineRule="auto"/>
              <w:rPr>
                <w:szCs w:val="21"/>
              </w:rPr>
            </w:pPr>
            <w:r>
              <w:rPr>
                <w:szCs w:val="21"/>
              </w:rPr>
              <w:t>2019年1月1日至今（以合同签订时间为准），投标人</w:t>
            </w:r>
            <w:r>
              <w:rPr>
                <w:rFonts w:hint="eastAsia"/>
                <w:szCs w:val="21"/>
              </w:rPr>
              <w:t>具有信息化</w:t>
            </w:r>
            <w:r>
              <w:rPr>
                <w:szCs w:val="21"/>
              </w:rPr>
              <w:t>项目成功案例</w:t>
            </w:r>
            <w:r>
              <w:rPr>
                <w:rFonts w:hint="eastAsia" w:ascii="宋体" w:hAnsi="宋体" w:cs="宋体"/>
                <w:kern w:val="0"/>
                <w:szCs w:val="21"/>
              </w:rPr>
              <w:t>(包含驾驶舱和数据治理的工作内容）</w:t>
            </w:r>
            <w:r>
              <w:rPr>
                <w:rFonts w:hint="eastAsia"/>
                <w:szCs w:val="21"/>
              </w:rPr>
              <w:t>的</w:t>
            </w:r>
            <w:r>
              <w:rPr>
                <w:szCs w:val="21"/>
              </w:rPr>
              <w:t>得1分</w:t>
            </w:r>
            <w:r>
              <w:rPr>
                <w:rFonts w:hint="eastAsia"/>
                <w:szCs w:val="21"/>
              </w:rPr>
              <w:t>，没有不得分</w:t>
            </w:r>
            <w:r>
              <w:rPr>
                <w:szCs w:val="21"/>
              </w:rPr>
              <w:t>。</w:t>
            </w:r>
          </w:p>
          <w:p>
            <w:pPr>
              <w:widowControl/>
              <w:spacing w:line="312" w:lineRule="auto"/>
              <w:rPr>
                <w:rFonts w:ascii="宋体" w:hAnsi="宋体" w:cs="宋体"/>
                <w:kern w:val="0"/>
                <w:szCs w:val="21"/>
              </w:rPr>
            </w:pPr>
            <w:r>
              <w:rPr>
                <w:szCs w:val="21"/>
              </w:rPr>
              <w:t>注：投标人所提供案例需提供</w:t>
            </w:r>
            <w:r>
              <w:rPr>
                <w:rFonts w:hint="eastAsia"/>
                <w:szCs w:val="21"/>
              </w:rPr>
              <w:t>业绩</w:t>
            </w:r>
            <w:r>
              <w:rPr>
                <w:szCs w:val="21"/>
              </w:rPr>
              <w:t>合同复印件</w:t>
            </w:r>
            <w:r>
              <w:rPr>
                <w:rFonts w:hint="eastAsia"/>
                <w:szCs w:val="21"/>
              </w:rPr>
              <w:t>并加盖公章。</w:t>
            </w:r>
          </w:p>
        </w:tc>
        <w:tc>
          <w:tcPr>
            <w:tcW w:w="7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72" w:type="dxa"/>
            <w:vMerge w:val="restart"/>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技术服务部分（74分）</w:t>
            </w:r>
          </w:p>
        </w:tc>
        <w:tc>
          <w:tcPr>
            <w:tcW w:w="1324" w:type="dxa"/>
            <w:vMerge w:val="restart"/>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项目背景、问题的分析理解（6分）</w:t>
            </w:r>
          </w:p>
        </w:tc>
        <w:tc>
          <w:tcPr>
            <w:tcW w:w="6209"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根据供应商对项目背景、问题与</w:t>
            </w:r>
            <w:r>
              <w:rPr>
                <w:rFonts w:hint="eastAsia"/>
              </w:rPr>
              <w:t>等分析与理解情况</w:t>
            </w:r>
            <w:r>
              <w:rPr>
                <w:rFonts w:hint="eastAsia" w:ascii="宋体" w:hAnsi="宋体" w:cs="宋体"/>
                <w:kern w:val="0"/>
                <w:szCs w:val="21"/>
              </w:rPr>
              <w:t>进行综合评议：</w:t>
            </w:r>
            <w:r>
              <w:rPr>
                <w:rFonts w:hint="eastAsia" w:ascii="宋体" w:hAnsi="宋体" w:cs="宋体"/>
                <w:kern w:val="0"/>
                <w:szCs w:val="21"/>
              </w:rPr>
              <w:br w:type="textWrapping"/>
            </w:r>
            <w:r>
              <w:rPr>
                <w:rFonts w:hint="eastAsia" w:ascii="宋体" w:hAnsi="宋体" w:cs="宋体"/>
                <w:kern w:val="0"/>
                <w:szCs w:val="21"/>
              </w:rPr>
              <w:t>对项目背景、问题与差距理解深刻，符合项目实际情况的得6分；</w:t>
            </w:r>
          </w:p>
          <w:p>
            <w:pPr>
              <w:widowControl/>
              <w:spacing w:line="312" w:lineRule="auto"/>
              <w:rPr>
                <w:rFonts w:ascii="宋体" w:hAnsi="宋体" w:cs="宋体"/>
                <w:kern w:val="0"/>
                <w:szCs w:val="21"/>
              </w:rPr>
            </w:pPr>
            <w:r>
              <w:rPr>
                <w:rFonts w:hint="eastAsia" w:ascii="宋体" w:hAnsi="宋体" w:cs="宋体"/>
                <w:kern w:val="0"/>
                <w:szCs w:val="21"/>
              </w:rPr>
              <w:t>方案内容较为完整，基本符合实际情况的得4分；</w:t>
            </w:r>
          </w:p>
          <w:p>
            <w:pPr>
              <w:widowControl/>
              <w:spacing w:line="312" w:lineRule="auto"/>
              <w:rPr>
                <w:rFonts w:ascii="宋体" w:hAnsi="宋体" w:cs="宋体"/>
                <w:kern w:val="0"/>
                <w:szCs w:val="21"/>
              </w:rPr>
            </w:pPr>
            <w:r>
              <w:rPr>
                <w:rFonts w:hint="eastAsia" w:ascii="宋体" w:hAnsi="宋体" w:cs="宋体"/>
                <w:kern w:val="0"/>
                <w:szCs w:val="21"/>
              </w:rPr>
              <w:t>方案内容欠完整，欠详实的得2分；</w:t>
            </w:r>
          </w:p>
          <w:p>
            <w:pPr>
              <w:widowControl/>
              <w:spacing w:line="312" w:lineRule="auto"/>
              <w:rPr>
                <w:rFonts w:ascii="宋体" w:hAnsi="宋体" w:cs="宋体"/>
                <w:kern w:val="0"/>
                <w:szCs w:val="21"/>
              </w:rPr>
            </w:pPr>
            <w:r>
              <w:rPr>
                <w:rFonts w:hint="eastAsia" w:ascii="宋体" w:hAnsi="宋体" w:cs="宋体"/>
                <w:kern w:val="0"/>
                <w:szCs w:val="21"/>
              </w:rPr>
              <w:t>内容阐述不完整，分析不详实，不符合实际情况的或未提供相关内容的本项不得分。</w:t>
            </w:r>
          </w:p>
        </w:tc>
        <w:tc>
          <w:tcPr>
            <w:tcW w:w="7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2" w:type="dxa"/>
            <w:vMerge w:val="continue"/>
            <w:vAlign w:val="center"/>
          </w:tcPr>
          <w:p>
            <w:pPr>
              <w:widowControl/>
              <w:spacing w:line="312" w:lineRule="auto"/>
              <w:jc w:val="left"/>
              <w:rPr>
                <w:rFonts w:ascii="宋体" w:hAnsi="宋体" w:cs="宋体"/>
                <w:kern w:val="0"/>
                <w:szCs w:val="21"/>
              </w:rPr>
            </w:pPr>
          </w:p>
        </w:tc>
        <w:tc>
          <w:tcPr>
            <w:tcW w:w="1324" w:type="dxa"/>
            <w:vMerge w:val="restart"/>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技术解决方案（37分）</w:t>
            </w:r>
          </w:p>
        </w:tc>
        <w:tc>
          <w:tcPr>
            <w:tcW w:w="6209"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1.根据供应商提供的总体方案内容进行综合评议：</w:t>
            </w:r>
            <w:r>
              <w:rPr>
                <w:rFonts w:hint="eastAsia" w:ascii="宋体" w:hAnsi="宋体" w:cs="宋体"/>
                <w:kern w:val="0"/>
                <w:szCs w:val="21"/>
              </w:rPr>
              <w:br w:type="textWrapping"/>
            </w:r>
            <w:r>
              <w:rPr>
                <w:rFonts w:hint="eastAsia" w:ascii="宋体" w:hAnsi="宋体" w:cs="宋体"/>
                <w:kern w:val="0"/>
                <w:szCs w:val="21"/>
              </w:rPr>
              <w:t>总体方案结构完整、布局合理，条例清晰，符合采购需求要求的得6分；</w:t>
            </w:r>
          </w:p>
          <w:p>
            <w:pPr>
              <w:widowControl/>
              <w:spacing w:line="312" w:lineRule="auto"/>
              <w:rPr>
                <w:rFonts w:ascii="宋体" w:hAnsi="宋体" w:cs="宋体"/>
                <w:kern w:val="0"/>
                <w:szCs w:val="21"/>
              </w:rPr>
            </w:pPr>
            <w:r>
              <w:rPr>
                <w:rFonts w:hint="eastAsia" w:ascii="宋体" w:hAnsi="宋体" w:cs="宋体"/>
                <w:kern w:val="0"/>
                <w:szCs w:val="21"/>
              </w:rPr>
              <w:t>总体方案布局较为完整，条例较为清晰的得4分；</w:t>
            </w:r>
          </w:p>
          <w:p>
            <w:pPr>
              <w:widowControl/>
              <w:spacing w:line="312" w:lineRule="auto"/>
              <w:rPr>
                <w:rFonts w:ascii="宋体" w:hAnsi="宋体" w:cs="宋体"/>
                <w:kern w:val="0"/>
                <w:szCs w:val="21"/>
              </w:rPr>
            </w:pPr>
            <w:r>
              <w:rPr>
                <w:rFonts w:hint="eastAsia" w:ascii="宋体" w:hAnsi="宋体" w:cs="宋体"/>
                <w:kern w:val="0"/>
                <w:szCs w:val="21"/>
              </w:rPr>
              <w:t>总体方案欠全面、完整，方案内容完善性较差的得2分；</w:t>
            </w:r>
          </w:p>
          <w:p>
            <w:pPr>
              <w:widowControl/>
              <w:spacing w:line="312" w:lineRule="auto"/>
              <w:rPr>
                <w:rFonts w:ascii="宋体" w:hAnsi="宋体" w:cs="宋体"/>
                <w:kern w:val="0"/>
                <w:szCs w:val="21"/>
              </w:rPr>
            </w:pPr>
            <w:r>
              <w:rPr>
                <w:rFonts w:hint="eastAsia" w:ascii="宋体" w:hAnsi="宋体" w:cs="宋体"/>
                <w:kern w:val="0"/>
                <w:szCs w:val="21"/>
              </w:rPr>
              <w:t>总体方案内容有缺项，不符合采购需求要求的或未提供相关内容的本项不得分。</w:t>
            </w:r>
          </w:p>
        </w:tc>
        <w:tc>
          <w:tcPr>
            <w:tcW w:w="7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672" w:type="dxa"/>
            <w:vMerge w:val="continue"/>
            <w:vAlign w:val="center"/>
          </w:tcPr>
          <w:p>
            <w:pPr>
              <w:widowControl/>
              <w:spacing w:line="312" w:lineRule="auto"/>
              <w:jc w:val="left"/>
              <w:rPr>
                <w:rFonts w:ascii="宋体" w:hAnsi="宋体" w:cs="宋体"/>
                <w:kern w:val="0"/>
                <w:szCs w:val="21"/>
              </w:rPr>
            </w:pPr>
          </w:p>
        </w:tc>
        <w:tc>
          <w:tcPr>
            <w:tcW w:w="1324" w:type="dxa"/>
            <w:vMerge w:val="continue"/>
            <w:vAlign w:val="center"/>
          </w:tcPr>
          <w:p>
            <w:pPr>
              <w:widowControl/>
              <w:spacing w:line="312" w:lineRule="auto"/>
              <w:jc w:val="left"/>
              <w:rPr>
                <w:rFonts w:ascii="宋体" w:hAnsi="宋体" w:cs="宋体"/>
                <w:kern w:val="0"/>
                <w:szCs w:val="21"/>
              </w:rPr>
            </w:pPr>
          </w:p>
        </w:tc>
        <w:tc>
          <w:tcPr>
            <w:tcW w:w="6209" w:type="dxa"/>
            <w:shd w:val="clear" w:color="auto" w:fill="auto"/>
            <w:vAlign w:val="center"/>
          </w:tcPr>
          <w:p>
            <w:pPr>
              <w:pStyle w:val="21"/>
              <w:widowControl/>
              <w:numPr>
                <w:ilvl w:val="0"/>
                <w:numId w:val="4"/>
              </w:numPr>
              <w:spacing w:line="312" w:lineRule="auto"/>
              <w:ind w:firstLine="0" w:firstLineChars="0"/>
              <w:rPr>
                <w:rFonts w:ascii="宋体" w:hAnsi="宋体" w:cs="宋体"/>
                <w:sz w:val="21"/>
                <w:szCs w:val="21"/>
              </w:rPr>
            </w:pPr>
            <w:r>
              <w:rPr>
                <w:rFonts w:hint="eastAsia" w:ascii="宋体" w:hAnsi="宋体" w:cs="宋体"/>
                <w:sz w:val="21"/>
                <w:szCs w:val="21"/>
              </w:rPr>
              <w:t>投标人在投标文件中应提供详尽技术设计方案进行综合评议：</w:t>
            </w:r>
          </w:p>
          <w:p>
            <w:pPr>
              <w:widowControl/>
              <w:spacing w:line="312" w:lineRule="auto"/>
              <w:rPr>
                <w:rFonts w:ascii="宋体" w:hAnsi="宋体" w:cs="宋体"/>
                <w:kern w:val="0"/>
                <w:szCs w:val="21"/>
              </w:rPr>
            </w:pPr>
            <w:r>
              <w:rPr>
                <w:rFonts w:hint="eastAsia" w:ascii="宋体" w:hAnsi="宋体" w:cs="宋体"/>
                <w:kern w:val="0"/>
                <w:szCs w:val="21"/>
              </w:rPr>
              <w:t>2.1业务架构设计方案：根据所提供的整体业务架构、业务流程设计方案的完整性、全面进行进行</w:t>
            </w:r>
            <w:r>
              <w:rPr>
                <w:rFonts w:hint="eastAsia" w:ascii="宋体" w:hAnsi="宋体" w:cs="宋体"/>
                <w:szCs w:val="21"/>
              </w:rPr>
              <w:t>综合评议</w:t>
            </w:r>
            <w:r>
              <w:rPr>
                <w:rFonts w:hint="eastAsia" w:ascii="宋体" w:hAnsi="宋体" w:cs="宋体"/>
                <w:kern w:val="0"/>
                <w:szCs w:val="21"/>
              </w:rPr>
              <w:t>（0－3分）。</w:t>
            </w:r>
          </w:p>
          <w:p>
            <w:pPr>
              <w:widowControl/>
              <w:spacing w:line="312" w:lineRule="auto"/>
              <w:rPr>
                <w:rFonts w:ascii="宋体" w:hAnsi="宋体" w:cs="宋体"/>
                <w:kern w:val="0"/>
                <w:szCs w:val="21"/>
              </w:rPr>
            </w:pPr>
            <w:r>
              <w:rPr>
                <w:rFonts w:hint="eastAsia" w:ascii="宋体" w:hAnsi="宋体" w:cs="宋体"/>
                <w:kern w:val="0"/>
                <w:szCs w:val="21"/>
              </w:rPr>
              <w:t>2.2应用架构设计方案：根据所提供的各子模块具体功能描述和结构关系的详尽程度进行综合评议（0－3分）。</w:t>
            </w:r>
          </w:p>
          <w:p>
            <w:pPr>
              <w:widowControl/>
              <w:spacing w:line="312" w:lineRule="auto"/>
              <w:rPr>
                <w:rFonts w:ascii="宋体" w:hAnsi="宋体" w:cs="宋体"/>
                <w:kern w:val="0"/>
                <w:szCs w:val="21"/>
              </w:rPr>
            </w:pPr>
            <w:r>
              <w:rPr>
                <w:rFonts w:hint="eastAsia" w:ascii="宋体" w:hAnsi="宋体" w:cs="宋体"/>
                <w:kern w:val="0"/>
                <w:szCs w:val="21"/>
              </w:rPr>
              <w:t>2.3数据架构设计方案：根据所提供的数据采集系统数据类型、数据库及数据表结构设计的详尽程度进行综合评议（0－2分）。</w:t>
            </w:r>
          </w:p>
          <w:p>
            <w:pPr>
              <w:widowControl/>
              <w:spacing w:line="312" w:lineRule="auto"/>
              <w:rPr>
                <w:rFonts w:ascii="宋体" w:hAnsi="宋体" w:cs="宋体"/>
                <w:kern w:val="0"/>
                <w:szCs w:val="21"/>
              </w:rPr>
            </w:pPr>
            <w:r>
              <w:rPr>
                <w:rFonts w:hint="eastAsia" w:ascii="宋体" w:hAnsi="宋体" w:cs="宋体"/>
                <w:kern w:val="0"/>
                <w:szCs w:val="21"/>
              </w:rPr>
              <w:t>2.4部署架构设计方案：根据所提供的逻辑部署和物理部署设计的详尽程度进行综合评议（0－2分）。</w:t>
            </w:r>
          </w:p>
          <w:p>
            <w:pPr>
              <w:widowControl/>
              <w:spacing w:line="312" w:lineRule="auto"/>
              <w:rPr>
                <w:rFonts w:ascii="宋体" w:hAnsi="宋体" w:cs="宋体"/>
                <w:kern w:val="0"/>
                <w:szCs w:val="21"/>
              </w:rPr>
            </w:pPr>
            <w:r>
              <w:rPr>
                <w:rFonts w:hint="eastAsia" w:ascii="宋体" w:hAnsi="宋体" w:cs="宋体"/>
                <w:kern w:val="0"/>
                <w:szCs w:val="21"/>
              </w:rPr>
              <w:t>2.5安全方案设计方案：根据所提供的系统级安全、应用级安全等方面的安全解决方案的完善程度进行综合评议（0－2分）。</w:t>
            </w:r>
          </w:p>
          <w:p>
            <w:pPr>
              <w:widowControl/>
              <w:spacing w:line="312" w:lineRule="auto"/>
              <w:rPr>
                <w:rFonts w:ascii="宋体" w:hAnsi="宋体" w:cs="宋体"/>
                <w:kern w:val="0"/>
                <w:szCs w:val="21"/>
              </w:rPr>
            </w:pPr>
            <w:r>
              <w:rPr>
                <w:rFonts w:hint="eastAsia" w:ascii="宋体" w:hAnsi="宋体" w:cs="宋体"/>
                <w:kern w:val="0"/>
                <w:szCs w:val="21"/>
              </w:rPr>
              <w:t>2.6开发平台及系统兼容性解决方案：根据所提供的对软件系统开发平台、部署环境和招标人项目客观情况要求所应具备的软件兼容性的说明的完善程度进行综合评议（0－2分）。</w:t>
            </w:r>
          </w:p>
          <w:p>
            <w:pPr>
              <w:widowControl/>
              <w:spacing w:line="312" w:lineRule="auto"/>
              <w:rPr>
                <w:rFonts w:ascii="宋体" w:hAnsi="宋体" w:cs="宋体"/>
                <w:kern w:val="0"/>
                <w:szCs w:val="21"/>
              </w:rPr>
            </w:pPr>
            <w:r>
              <w:rPr>
                <w:rFonts w:hint="eastAsia" w:ascii="宋体" w:hAnsi="宋体" w:cs="宋体"/>
                <w:kern w:val="0"/>
                <w:szCs w:val="21"/>
              </w:rPr>
              <w:t>2.7系统对接方案：重点描述与镇海分局生态环境一张图平台的对接，对设计方案业务融合应用及合理可行性进行综合评议（0-4分）</w:t>
            </w:r>
          </w:p>
        </w:tc>
        <w:tc>
          <w:tcPr>
            <w:tcW w:w="772" w:type="dxa"/>
            <w:shd w:val="clear" w:color="auto" w:fill="auto"/>
            <w:vAlign w:val="center"/>
          </w:tcPr>
          <w:p>
            <w:pPr>
              <w:widowControl/>
              <w:spacing w:line="312" w:lineRule="auto"/>
              <w:jc w:val="center"/>
              <w:rPr>
                <w:rFonts w:ascii="宋体" w:hAnsi="宋体" w:cs="宋体"/>
                <w:kern w:val="0"/>
                <w:szCs w:val="21"/>
              </w:rPr>
            </w:pPr>
          </w:p>
          <w:p>
            <w:pPr>
              <w:widowControl/>
              <w:spacing w:line="312" w:lineRule="auto"/>
              <w:jc w:val="center"/>
              <w:rPr>
                <w:rFonts w:ascii="宋体" w:hAnsi="宋体" w:cs="宋体"/>
                <w:kern w:val="0"/>
                <w:szCs w:val="21"/>
              </w:rPr>
            </w:pPr>
          </w:p>
          <w:p>
            <w:pPr>
              <w:widowControl/>
              <w:spacing w:line="312" w:lineRule="auto"/>
              <w:jc w:val="center"/>
              <w:rPr>
                <w:rFonts w:ascii="宋体" w:hAnsi="宋体" w:cs="宋体"/>
                <w:kern w:val="0"/>
                <w:szCs w:val="21"/>
              </w:rPr>
            </w:pPr>
            <w:r>
              <w:rPr>
                <w:rFonts w:hint="eastAsia" w:ascii="宋体" w:hAnsi="宋体" w:cs="宋体"/>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672" w:type="dxa"/>
            <w:vMerge w:val="continue"/>
            <w:vAlign w:val="center"/>
          </w:tcPr>
          <w:p>
            <w:pPr>
              <w:widowControl/>
              <w:spacing w:line="312" w:lineRule="auto"/>
              <w:jc w:val="left"/>
              <w:rPr>
                <w:rFonts w:ascii="宋体" w:hAnsi="宋体" w:cs="宋体"/>
                <w:kern w:val="0"/>
                <w:szCs w:val="21"/>
              </w:rPr>
            </w:pPr>
          </w:p>
        </w:tc>
        <w:tc>
          <w:tcPr>
            <w:tcW w:w="1324" w:type="dxa"/>
            <w:vMerge w:val="continue"/>
            <w:vAlign w:val="center"/>
          </w:tcPr>
          <w:p>
            <w:pPr>
              <w:widowControl/>
              <w:spacing w:line="312" w:lineRule="auto"/>
              <w:jc w:val="left"/>
              <w:rPr>
                <w:rFonts w:ascii="宋体" w:hAnsi="宋体" w:cs="宋体"/>
                <w:kern w:val="0"/>
                <w:szCs w:val="21"/>
              </w:rPr>
            </w:pPr>
          </w:p>
        </w:tc>
        <w:tc>
          <w:tcPr>
            <w:tcW w:w="6209"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3.供应商根据采购需求初步设计的界面进行综合评议：</w:t>
            </w:r>
            <w:r>
              <w:rPr>
                <w:rFonts w:hint="eastAsia" w:ascii="宋体" w:hAnsi="宋体" w:cs="宋体"/>
                <w:kern w:val="0"/>
                <w:szCs w:val="21"/>
              </w:rPr>
              <w:br w:type="textWrapping"/>
            </w:r>
            <w:r>
              <w:rPr>
                <w:rFonts w:hint="eastAsia" w:ascii="宋体" w:hAnsi="宋体" w:cs="宋体"/>
                <w:kern w:val="0"/>
                <w:szCs w:val="21"/>
              </w:rPr>
              <w:t>根据污染源监管数字孪生地图、LDAR检测数据实时审核、高值点溯源管控、数字治气专题导航舱、掌上治气浙政钉端、企业服务端的具体需求提供不少于42张界面（平均每个模块不少于7张）原型设计且设计合理、符合采购需求的得13分，每缺少一张界面原型或不合理，不符合采购需求的扣0.5分；15张及以上界面缺失或设计不合理的本项不得分。</w:t>
            </w:r>
          </w:p>
        </w:tc>
        <w:tc>
          <w:tcPr>
            <w:tcW w:w="7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672" w:type="dxa"/>
            <w:vMerge w:val="continue"/>
            <w:vAlign w:val="center"/>
          </w:tcPr>
          <w:p>
            <w:pPr>
              <w:widowControl/>
              <w:spacing w:line="312" w:lineRule="auto"/>
              <w:jc w:val="left"/>
              <w:rPr>
                <w:rFonts w:ascii="宋体" w:hAnsi="宋体" w:cs="宋体"/>
                <w:kern w:val="0"/>
                <w:szCs w:val="21"/>
              </w:rPr>
            </w:pPr>
          </w:p>
        </w:tc>
        <w:tc>
          <w:tcPr>
            <w:tcW w:w="1324"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实施方案（10分）</w:t>
            </w:r>
          </w:p>
        </w:tc>
        <w:tc>
          <w:tcPr>
            <w:tcW w:w="6209"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根据供应商提供的项目整体实施方案（包含但不限于实施进度计划、开发实施方法、管理计划、测试方案、试运行方案、验收方案）进行综合评议：</w:t>
            </w:r>
          </w:p>
          <w:p>
            <w:pPr>
              <w:widowControl/>
              <w:spacing w:line="312" w:lineRule="auto"/>
              <w:rPr>
                <w:rFonts w:ascii="宋体" w:hAnsi="宋体" w:cs="宋体"/>
                <w:kern w:val="0"/>
                <w:szCs w:val="21"/>
              </w:rPr>
            </w:pPr>
            <w:r>
              <w:rPr>
                <w:rFonts w:hint="eastAsia" w:ascii="宋体" w:hAnsi="宋体" w:cs="宋体"/>
                <w:kern w:val="0"/>
                <w:szCs w:val="21"/>
              </w:rPr>
              <w:t>实施方案完整、具有针对性，响应服务要求和配备设备要求，符合采购需求要求的得10分；</w:t>
            </w:r>
          </w:p>
          <w:p>
            <w:pPr>
              <w:widowControl/>
              <w:spacing w:line="312" w:lineRule="auto"/>
              <w:rPr>
                <w:rFonts w:ascii="宋体" w:hAnsi="宋体" w:cs="宋体"/>
                <w:kern w:val="0"/>
                <w:szCs w:val="21"/>
              </w:rPr>
            </w:pPr>
            <w:r>
              <w:rPr>
                <w:rFonts w:hint="eastAsia" w:ascii="宋体" w:hAnsi="宋体" w:cs="宋体"/>
                <w:kern w:val="0"/>
                <w:szCs w:val="21"/>
              </w:rPr>
              <w:t>方案内容比较全面，基本满足采购需求的得8分；</w:t>
            </w:r>
          </w:p>
          <w:p>
            <w:pPr>
              <w:widowControl/>
              <w:spacing w:line="312" w:lineRule="auto"/>
              <w:rPr>
                <w:rFonts w:ascii="宋体" w:hAnsi="宋体" w:cs="宋体"/>
                <w:kern w:val="0"/>
                <w:szCs w:val="21"/>
              </w:rPr>
            </w:pPr>
            <w:r>
              <w:rPr>
                <w:rFonts w:hint="eastAsia" w:ascii="宋体" w:hAnsi="宋体" w:cs="宋体"/>
                <w:kern w:val="0"/>
                <w:szCs w:val="21"/>
              </w:rPr>
              <w:t>方案内容欠全面，欠针对性的得6分；</w:t>
            </w:r>
          </w:p>
          <w:p>
            <w:pPr>
              <w:widowControl/>
              <w:spacing w:line="312" w:lineRule="auto"/>
              <w:rPr>
                <w:rFonts w:ascii="宋体" w:hAnsi="宋体" w:cs="宋体"/>
                <w:kern w:val="0"/>
                <w:szCs w:val="21"/>
              </w:rPr>
            </w:pPr>
            <w:r>
              <w:rPr>
                <w:rFonts w:hint="eastAsia" w:ascii="宋体" w:hAnsi="宋体" w:cs="宋体"/>
                <w:kern w:val="0"/>
                <w:szCs w:val="21"/>
              </w:rPr>
              <w:t>方案内容有缺项，内容不完整，不能满足采购需求要求的或未提供相关内容的本项不得分。</w:t>
            </w:r>
          </w:p>
        </w:tc>
        <w:tc>
          <w:tcPr>
            <w:tcW w:w="7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72" w:type="dxa"/>
            <w:vMerge w:val="continue"/>
            <w:vAlign w:val="center"/>
          </w:tcPr>
          <w:p>
            <w:pPr>
              <w:widowControl/>
              <w:spacing w:line="312" w:lineRule="auto"/>
              <w:jc w:val="left"/>
              <w:rPr>
                <w:rFonts w:ascii="宋体" w:hAnsi="宋体" w:cs="宋体"/>
                <w:kern w:val="0"/>
                <w:szCs w:val="21"/>
              </w:rPr>
            </w:pPr>
          </w:p>
        </w:tc>
        <w:tc>
          <w:tcPr>
            <w:tcW w:w="1324"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培训方案（5分）</w:t>
            </w:r>
          </w:p>
        </w:tc>
        <w:tc>
          <w:tcPr>
            <w:tcW w:w="6209"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根据培训方案内容进行综合评议：</w:t>
            </w:r>
          </w:p>
          <w:p>
            <w:pPr>
              <w:widowControl/>
              <w:spacing w:line="312" w:lineRule="auto"/>
              <w:rPr>
                <w:rFonts w:ascii="宋体" w:hAnsi="宋体" w:cs="宋体"/>
                <w:kern w:val="0"/>
                <w:szCs w:val="21"/>
              </w:rPr>
            </w:pPr>
            <w:r>
              <w:rPr>
                <w:rFonts w:hint="eastAsia" w:ascii="宋体" w:hAnsi="宋体" w:cs="宋体"/>
                <w:kern w:val="0"/>
                <w:szCs w:val="21"/>
              </w:rPr>
              <w:t>培训方案内容完整、全面，具有针对性，符合项目采购需求要求的得5分；</w:t>
            </w:r>
          </w:p>
          <w:p>
            <w:pPr>
              <w:widowControl/>
              <w:spacing w:line="312" w:lineRule="auto"/>
              <w:rPr>
                <w:rFonts w:ascii="宋体" w:hAnsi="宋体" w:cs="宋体"/>
                <w:kern w:val="0"/>
                <w:szCs w:val="21"/>
              </w:rPr>
            </w:pPr>
            <w:r>
              <w:rPr>
                <w:rFonts w:hint="eastAsia" w:ascii="宋体" w:hAnsi="宋体" w:cs="宋体"/>
                <w:kern w:val="0"/>
                <w:szCs w:val="21"/>
              </w:rPr>
              <w:t>培训方案比较完整，基本满足采购需求的得4分；</w:t>
            </w:r>
          </w:p>
          <w:p>
            <w:pPr>
              <w:widowControl/>
              <w:spacing w:line="312" w:lineRule="auto"/>
              <w:rPr>
                <w:rFonts w:ascii="宋体" w:hAnsi="宋体" w:cs="宋体"/>
                <w:kern w:val="0"/>
                <w:szCs w:val="21"/>
              </w:rPr>
            </w:pPr>
            <w:r>
              <w:rPr>
                <w:rFonts w:hint="eastAsia" w:ascii="宋体" w:hAnsi="宋体" w:cs="宋体"/>
                <w:kern w:val="0"/>
                <w:szCs w:val="21"/>
              </w:rPr>
              <w:t>培训方案欠完整，欠针对性，内容完善性较差的得3分；</w:t>
            </w:r>
          </w:p>
          <w:p>
            <w:pPr>
              <w:widowControl/>
              <w:spacing w:line="312" w:lineRule="auto"/>
              <w:rPr>
                <w:rFonts w:ascii="宋体" w:hAnsi="宋体" w:cs="宋体"/>
                <w:kern w:val="0"/>
                <w:szCs w:val="21"/>
              </w:rPr>
            </w:pPr>
            <w:r>
              <w:rPr>
                <w:rFonts w:hint="eastAsia" w:ascii="宋体" w:hAnsi="宋体" w:cs="宋体"/>
                <w:kern w:val="0"/>
                <w:szCs w:val="21"/>
              </w:rPr>
              <w:t>培训方案内容有缺项，内容不完整的或未提供相关内容的本项不得分。</w:t>
            </w:r>
          </w:p>
        </w:tc>
        <w:tc>
          <w:tcPr>
            <w:tcW w:w="7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72" w:type="dxa"/>
            <w:vMerge w:val="continue"/>
            <w:vAlign w:val="center"/>
          </w:tcPr>
          <w:p>
            <w:pPr>
              <w:widowControl/>
              <w:spacing w:line="312" w:lineRule="auto"/>
              <w:jc w:val="left"/>
              <w:rPr>
                <w:rFonts w:ascii="宋体" w:hAnsi="宋体" w:cs="宋体"/>
                <w:kern w:val="0"/>
                <w:szCs w:val="21"/>
              </w:rPr>
            </w:pPr>
          </w:p>
        </w:tc>
        <w:tc>
          <w:tcPr>
            <w:tcW w:w="1324"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质量保障和工期保障方案（6分）</w:t>
            </w:r>
          </w:p>
        </w:tc>
        <w:tc>
          <w:tcPr>
            <w:tcW w:w="6209"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根据供应商提供的质量保障措施与工期保障措施的完整性进行综合评议：</w:t>
            </w:r>
          </w:p>
          <w:p>
            <w:pPr>
              <w:widowControl/>
              <w:spacing w:line="312" w:lineRule="auto"/>
              <w:rPr>
                <w:rFonts w:ascii="宋体" w:hAnsi="宋体" w:cs="宋体"/>
                <w:kern w:val="0"/>
                <w:szCs w:val="21"/>
              </w:rPr>
            </w:pPr>
            <w:r>
              <w:rPr>
                <w:rFonts w:hint="eastAsia" w:ascii="宋体" w:hAnsi="宋体" w:cs="宋体"/>
                <w:kern w:val="0"/>
                <w:szCs w:val="21"/>
              </w:rPr>
              <w:t>质量保障措施与工期保障措施完整、可行，符合采购需求要求的得6分；</w:t>
            </w:r>
          </w:p>
          <w:p>
            <w:pPr>
              <w:widowControl/>
              <w:spacing w:line="312" w:lineRule="auto"/>
              <w:rPr>
                <w:rFonts w:ascii="宋体" w:hAnsi="宋体" w:cs="宋体"/>
                <w:kern w:val="0"/>
                <w:szCs w:val="21"/>
              </w:rPr>
            </w:pPr>
            <w:r>
              <w:rPr>
                <w:rFonts w:hint="eastAsia" w:ascii="宋体" w:hAnsi="宋体" w:cs="宋体"/>
                <w:kern w:val="0"/>
                <w:szCs w:val="21"/>
              </w:rPr>
              <w:t>措施内容较完整，基本满足采购需求的得4分；</w:t>
            </w:r>
          </w:p>
          <w:p>
            <w:pPr>
              <w:widowControl/>
              <w:spacing w:line="312" w:lineRule="auto"/>
              <w:rPr>
                <w:rFonts w:ascii="宋体" w:hAnsi="宋体" w:cs="宋体"/>
                <w:kern w:val="0"/>
                <w:szCs w:val="21"/>
              </w:rPr>
            </w:pPr>
            <w:r>
              <w:rPr>
                <w:rFonts w:hint="eastAsia" w:ascii="宋体" w:hAnsi="宋体" w:cs="宋体"/>
                <w:kern w:val="0"/>
                <w:szCs w:val="21"/>
              </w:rPr>
              <w:t>措施方案欠完整，欠针对性，完善性较差的得2分；</w:t>
            </w:r>
          </w:p>
          <w:p>
            <w:pPr>
              <w:widowControl/>
              <w:spacing w:line="312" w:lineRule="auto"/>
              <w:rPr>
                <w:rFonts w:ascii="宋体" w:hAnsi="宋体" w:cs="宋体"/>
                <w:kern w:val="0"/>
                <w:szCs w:val="21"/>
              </w:rPr>
            </w:pPr>
            <w:r>
              <w:rPr>
                <w:rFonts w:hint="eastAsia" w:ascii="宋体" w:hAnsi="宋体" w:cs="宋体"/>
                <w:kern w:val="0"/>
                <w:szCs w:val="21"/>
              </w:rPr>
              <w:t>措施方案内容有缺项，内容不完整的或未提供相关内容的本项不得分。</w:t>
            </w:r>
          </w:p>
        </w:tc>
        <w:tc>
          <w:tcPr>
            <w:tcW w:w="7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Merge w:val="continue"/>
            <w:vAlign w:val="center"/>
          </w:tcPr>
          <w:p>
            <w:pPr>
              <w:widowControl/>
              <w:spacing w:line="312" w:lineRule="auto"/>
              <w:jc w:val="left"/>
              <w:rPr>
                <w:rFonts w:ascii="宋体" w:hAnsi="宋体" w:cs="宋体"/>
                <w:kern w:val="0"/>
                <w:szCs w:val="21"/>
              </w:rPr>
            </w:pPr>
          </w:p>
        </w:tc>
        <w:tc>
          <w:tcPr>
            <w:tcW w:w="1324" w:type="dxa"/>
            <w:vMerge w:val="restart"/>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服务承诺方案（10分）</w:t>
            </w:r>
          </w:p>
        </w:tc>
        <w:tc>
          <w:tcPr>
            <w:tcW w:w="6209" w:type="dxa"/>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根据服务承诺方案内容进行综合评议：</w:t>
            </w:r>
          </w:p>
          <w:p>
            <w:pPr>
              <w:widowControl/>
              <w:spacing w:line="312" w:lineRule="auto"/>
              <w:rPr>
                <w:rFonts w:ascii="宋体" w:hAnsi="宋体" w:cs="宋体"/>
                <w:kern w:val="0"/>
                <w:szCs w:val="21"/>
              </w:rPr>
            </w:pPr>
            <w:r>
              <w:rPr>
                <w:rFonts w:hint="eastAsia" w:ascii="宋体" w:hAnsi="宋体" w:cs="宋体"/>
                <w:kern w:val="0"/>
                <w:szCs w:val="21"/>
              </w:rPr>
              <w:t>服务响应时间、响应程度、服务内容、解决问题的能力、紧急故障处理预案、技术指导方案内容完整，具有针对性，符合采购需求要求的得</w:t>
            </w:r>
            <w:r>
              <w:rPr>
                <w:rFonts w:ascii="宋体" w:hAnsi="宋体" w:cs="宋体"/>
                <w:kern w:val="0"/>
                <w:szCs w:val="21"/>
              </w:rPr>
              <w:t>5</w:t>
            </w:r>
            <w:r>
              <w:rPr>
                <w:rFonts w:hint="eastAsia" w:ascii="宋体" w:hAnsi="宋体" w:cs="宋体"/>
                <w:kern w:val="0"/>
                <w:szCs w:val="21"/>
              </w:rPr>
              <w:t>分；</w:t>
            </w:r>
          </w:p>
          <w:p>
            <w:pPr>
              <w:widowControl/>
              <w:spacing w:line="312" w:lineRule="auto"/>
              <w:rPr>
                <w:rFonts w:ascii="宋体" w:hAnsi="宋体" w:cs="宋体"/>
                <w:kern w:val="0"/>
                <w:szCs w:val="21"/>
              </w:rPr>
            </w:pPr>
            <w:r>
              <w:rPr>
                <w:rFonts w:hint="eastAsia" w:ascii="宋体" w:hAnsi="宋体" w:cs="宋体"/>
                <w:kern w:val="0"/>
                <w:szCs w:val="21"/>
              </w:rPr>
              <w:t>方案内容较完整、详尽，基本满足采购需求要求的得4分；</w:t>
            </w:r>
          </w:p>
          <w:p>
            <w:pPr>
              <w:widowControl/>
              <w:spacing w:line="312" w:lineRule="auto"/>
              <w:rPr>
                <w:rFonts w:ascii="宋体" w:hAnsi="宋体" w:cs="宋体"/>
                <w:kern w:val="0"/>
                <w:szCs w:val="21"/>
              </w:rPr>
            </w:pPr>
            <w:r>
              <w:rPr>
                <w:rFonts w:hint="eastAsia" w:ascii="宋体" w:hAnsi="宋体" w:cs="宋体"/>
                <w:kern w:val="0"/>
                <w:szCs w:val="21"/>
              </w:rPr>
              <w:t>方案内容欠合理与详尽，完善性较差的得</w:t>
            </w:r>
            <w:r>
              <w:rPr>
                <w:rFonts w:ascii="宋体" w:hAnsi="宋体" w:cs="宋体"/>
                <w:kern w:val="0"/>
                <w:szCs w:val="21"/>
              </w:rPr>
              <w:t>3</w:t>
            </w:r>
            <w:r>
              <w:rPr>
                <w:rFonts w:hint="eastAsia" w:ascii="宋体" w:hAnsi="宋体" w:cs="宋体"/>
                <w:kern w:val="0"/>
                <w:szCs w:val="21"/>
              </w:rPr>
              <w:t>分；</w:t>
            </w:r>
          </w:p>
          <w:p>
            <w:pPr>
              <w:widowControl/>
              <w:spacing w:line="312" w:lineRule="auto"/>
              <w:rPr>
                <w:rFonts w:ascii="宋体" w:hAnsi="宋体" w:cs="宋体"/>
                <w:kern w:val="0"/>
                <w:szCs w:val="21"/>
              </w:rPr>
            </w:pPr>
            <w:r>
              <w:rPr>
                <w:rFonts w:hint="eastAsia" w:ascii="宋体" w:hAnsi="宋体" w:cs="宋体"/>
                <w:kern w:val="0"/>
                <w:szCs w:val="21"/>
              </w:rPr>
              <w:t>方案内容有缺项，内容不完整的或未提供相关内容的本项不得分。</w:t>
            </w:r>
          </w:p>
        </w:tc>
        <w:tc>
          <w:tcPr>
            <w:tcW w:w="772" w:type="dxa"/>
            <w:shd w:val="clear" w:color="auto" w:fill="auto"/>
            <w:vAlign w:val="center"/>
          </w:tcPr>
          <w:p>
            <w:pPr>
              <w:widowControl/>
              <w:spacing w:line="312" w:lineRule="auto"/>
              <w:jc w:val="center"/>
              <w:rPr>
                <w:rFonts w:ascii="宋体" w:hAns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72" w:type="dxa"/>
            <w:vMerge w:val="continue"/>
            <w:vAlign w:val="center"/>
          </w:tcPr>
          <w:p>
            <w:pPr>
              <w:widowControl/>
              <w:spacing w:line="312" w:lineRule="auto"/>
              <w:jc w:val="left"/>
              <w:rPr>
                <w:rFonts w:ascii="宋体" w:hAnsi="宋体" w:cs="宋体"/>
                <w:kern w:val="0"/>
                <w:szCs w:val="21"/>
              </w:rPr>
            </w:pPr>
          </w:p>
        </w:tc>
        <w:tc>
          <w:tcPr>
            <w:tcW w:w="1324" w:type="dxa"/>
            <w:vMerge w:val="continue"/>
            <w:vAlign w:val="center"/>
          </w:tcPr>
          <w:p>
            <w:pPr>
              <w:widowControl/>
              <w:spacing w:line="312" w:lineRule="auto"/>
              <w:jc w:val="left"/>
              <w:rPr>
                <w:rFonts w:ascii="宋体" w:hAnsi="宋体" w:cs="宋体"/>
                <w:kern w:val="0"/>
                <w:szCs w:val="21"/>
              </w:rPr>
            </w:pPr>
          </w:p>
        </w:tc>
        <w:tc>
          <w:tcPr>
            <w:tcW w:w="6209" w:type="dxa"/>
            <w:shd w:val="clear" w:color="auto" w:fill="auto"/>
          </w:tcPr>
          <w:p>
            <w:pPr>
              <w:widowControl/>
              <w:spacing w:line="312" w:lineRule="auto"/>
              <w:rPr>
                <w:rFonts w:ascii="宋体" w:hAnsi="宋体" w:cs="宋体"/>
                <w:kern w:val="0"/>
                <w:szCs w:val="21"/>
              </w:rPr>
            </w:pPr>
            <w:r>
              <w:rPr>
                <w:rFonts w:hint="eastAsia" w:ascii="宋体" w:hAnsi="宋体" w:cs="宋体"/>
                <w:kern w:val="0"/>
                <w:szCs w:val="21"/>
              </w:rPr>
              <w:t>根据供应商提供的运维服务方案进行综合评议：</w:t>
            </w:r>
          </w:p>
          <w:p>
            <w:pPr>
              <w:widowControl/>
              <w:spacing w:line="312" w:lineRule="auto"/>
              <w:rPr>
                <w:rFonts w:ascii="宋体" w:hAnsi="宋体" w:cs="宋体"/>
                <w:kern w:val="0"/>
                <w:szCs w:val="21"/>
              </w:rPr>
            </w:pPr>
            <w:r>
              <w:rPr>
                <w:rFonts w:hint="eastAsia" w:ascii="宋体" w:hAnsi="宋体" w:cs="宋体"/>
                <w:kern w:val="0"/>
                <w:szCs w:val="21"/>
              </w:rPr>
              <w:t>运维服务中关于服务设施和服务团队方案内容完整，详实，具有针对性，符合采购需求要求的得5分；</w:t>
            </w:r>
          </w:p>
          <w:p>
            <w:pPr>
              <w:widowControl/>
              <w:spacing w:line="312" w:lineRule="auto"/>
              <w:rPr>
                <w:rFonts w:ascii="宋体" w:hAnsi="宋体" w:cs="宋体"/>
                <w:kern w:val="0"/>
                <w:szCs w:val="21"/>
              </w:rPr>
            </w:pPr>
            <w:r>
              <w:rPr>
                <w:rFonts w:hint="eastAsia" w:ascii="宋体" w:hAnsi="宋体" w:cs="宋体"/>
                <w:kern w:val="0"/>
                <w:szCs w:val="21"/>
              </w:rPr>
              <w:t>方案比较完整、详实，基本满足采购需求要求的得4分；</w:t>
            </w:r>
          </w:p>
          <w:p>
            <w:pPr>
              <w:widowControl/>
              <w:spacing w:line="312" w:lineRule="auto"/>
              <w:rPr>
                <w:rFonts w:ascii="宋体" w:hAnsi="宋体" w:cs="宋体"/>
                <w:kern w:val="0"/>
                <w:szCs w:val="21"/>
              </w:rPr>
            </w:pPr>
            <w:r>
              <w:rPr>
                <w:rFonts w:hint="eastAsia" w:ascii="宋体" w:hAnsi="宋体" w:cs="宋体"/>
                <w:kern w:val="0"/>
                <w:szCs w:val="21"/>
              </w:rPr>
              <w:t>方案欠完整，欠针对性，完善性较差的得3分；</w:t>
            </w:r>
          </w:p>
          <w:p>
            <w:pPr>
              <w:widowControl/>
              <w:spacing w:line="312" w:lineRule="auto"/>
              <w:rPr>
                <w:rFonts w:ascii="宋体" w:hAnsi="宋体" w:cs="宋体"/>
                <w:kern w:val="0"/>
                <w:szCs w:val="21"/>
              </w:rPr>
            </w:pPr>
            <w:r>
              <w:rPr>
                <w:rFonts w:hint="eastAsia" w:ascii="宋体" w:hAnsi="宋体" w:cs="宋体"/>
                <w:kern w:val="0"/>
                <w:szCs w:val="21"/>
              </w:rPr>
              <w:t>方案内容有缺项，内容不完整的或未提供相关内容的本项不得分。</w:t>
            </w:r>
          </w:p>
        </w:tc>
        <w:tc>
          <w:tcPr>
            <w:tcW w:w="7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1996" w:type="dxa"/>
            <w:gridSpan w:val="2"/>
            <w:shd w:val="clear" w:color="auto" w:fill="auto"/>
            <w:vAlign w:val="center"/>
          </w:tcPr>
          <w:p>
            <w:pPr>
              <w:widowControl/>
              <w:spacing w:line="312" w:lineRule="auto"/>
              <w:rPr>
                <w:rFonts w:ascii="宋体" w:hAnsi="宋体" w:cs="宋体"/>
                <w:kern w:val="0"/>
                <w:szCs w:val="21"/>
              </w:rPr>
            </w:pPr>
            <w:r>
              <w:rPr>
                <w:rFonts w:hint="eastAsia" w:ascii="宋体" w:hAnsi="宋体" w:cs="宋体"/>
                <w:kern w:val="0"/>
                <w:szCs w:val="21"/>
              </w:rPr>
              <w:t>价格分（10分）</w:t>
            </w:r>
          </w:p>
        </w:tc>
        <w:tc>
          <w:tcPr>
            <w:tcW w:w="6209" w:type="dxa"/>
            <w:shd w:val="clear" w:color="auto" w:fill="auto"/>
            <w:vAlign w:val="center"/>
          </w:tcPr>
          <w:p>
            <w:pPr>
              <w:spacing w:line="312" w:lineRule="auto"/>
              <w:rPr>
                <w:rFonts w:ascii="Calibri" w:hAnsi="Calibri"/>
                <w:szCs w:val="21"/>
              </w:rPr>
            </w:pPr>
            <w:r>
              <w:rPr>
                <w:rFonts w:hint="eastAsia" w:ascii="Calibri" w:hAnsi="Calibri"/>
                <w:szCs w:val="21"/>
              </w:rPr>
              <w:t>参与评审的价格=满足采购文件要求的投标报价</w:t>
            </w:r>
          </w:p>
          <w:p>
            <w:pPr>
              <w:spacing w:line="312" w:lineRule="auto"/>
              <w:rPr>
                <w:rFonts w:ascii="Calibri" w:hAnsi="Calibri"/>
                <w:szCs w:val="21"/>
              </w:rPr>
            </w:pPr>
            <w:r>
              <w:rPr>
                <w:rFonts w:hint="eastAsia" w:ascii="Calibri" w:hAnsi="Calibri"/>
                <w:szCs w:val="21"/>
              </w:rPr>
              <w:t>基准价=</w:t>
            </w:r>
            <w:r>
              <w:rPr>
                <w:rFonts w:hint="eastAsia"/>
              </w:rPr>
              <w:t>参与评审的价格中最低的投标报价</w:t>
            </w:r>
          </w:p>
          <w:p>
            <w:pPr>
              <w:spacing w:line="312" w:lineRule="auto"/>
              <w:rPr>
                <w:rFonts w:ascii="Calibri" w:hAnsi="Calibri"/>
                <w:szCs w:val="21"/>
              </w:rPr>
            </w:pPr>
            <w:r>
              <w:rPr>
                <w:rFonts w:hint="eastAsia" w:ascii="Calibri" w:hAnsi="Calibri"/>
                <w:szCs w:val="21"/>
              </w:rPr>
              <w:t>基准价10分</w:t>
            </w:r>
          </w:p>
          <w:p>
            <w:pPr>
              <w:widowControl/>
              <w:spacing w:line="312" w:lineRule="auto"/>
              <w:rPr>
                <w:rFonts w:ascii="宋体" w:hAnsi="宋体" w:cs="宋体"/>
                <w:kern w:val="0"/>
                <w:szCs w:val="21"/>
              </w:rPr>
            </w:pPr>
            <w:r>
              <w:rPr>
                <w:rFonts w:hint="eastAsia" w:ascii="Calibri" w:hAnsi="Calibri"/>
                <w:szCs w:val="21"/>
              </w:rPr>
              <w:t>报价得分=（基准价/参与评审的价格）×10</w:t>
            </w:r>
          </w:p>
          <w:p>
            <w:pPr>
              <w:widowControl/>
              <w:spacing w:line="312" w:lineRule="auto"/>
              <w:rPr>
                <w:rFonts w:ascii="宋体" w:hAnsi="宋体" w:cs="宋体"/>
                <w:kern w:val="0"/>
                <w:szCs w:val="21"/>
              </w:rPr>
            </w:pPr>
            <w:r>
              <w:rPr>
                <w:rFonts w:hint="eastAsia" w:ascii="宋体" w:hAnsi="宋体"/>
                <w:szCs w:val="21"/>
              </w:rPr>
              <w:t>对于符合小微企业价格优惠政策的投标人，报价以优惠后的价格核算价格分。</w:t>
            </w:r>
          </w:p>
        </w:tc>
        <w:tc>
          <w:tcPr>
            <w:tcW w:w="772" w:type="dxa"/>
            <w:shd w:val="clear" w:color="auto" w:fill="auto"/>
            <w:vAlign w:val="center"/>
          </w:tcPr>
          <w:p>
            <w:pPr>
              <w:widowControl/>
              <w:spacing w:line="312" w:lineRule="auto"/>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05" w:type="dxa"/>
            <w:gridSpan w:val="3"/>
            <w:shd w:val="clear" w:color="auto" w:fill="auto"/>
            <w:vAlign w:val="center"/>
          </w:tcPr>
          <w:p>
            <w:pPr>
              <w:widowControl/>
              <w:spacing w:line="312" w:lineRule="auto"/>
              <w:jc w:val="center"/>
              <w:rPr>
                <w:rFonts w:ascii="宋体" w:hAnsi="宋体" w:cs="宋体"/>
                <w:b/>
                <w:bCs/>
                <w:kern w:val="0"/>
                <w:szCs w:val="21"/>
              </w:rPr>
            </w:pPr>
            <w:r>
              <w:rPr>
                <w:rFonts w:hint="eastAsia" w:ascii="宋体" w:hAnsi="宋体" w:cs="宋体"/>
                <w:b/>
                <w:bCs/>
                <w:kern w:val="0"/>
                <w:szCs w:val="21"/>
              </w:rPr>
              <w:t>总分</w:t>
            </w:r>
          </w:p>
        </w:tc>
        <w:tc>
          <w:tcPr>
            <w:tcW w:w="772" w:type="dxa"/>
            <w:shd w:val="clear" w:color="auto" w:fill="auto"/>
            <w:vAlign w:val="center"/>
          </w:tcPr>
          <w:p>
            <w:pPr>
              <w:widowControl/>
              <w:spacing w:line="312" w:lineRule="auto"/>
              <w:rPr>
                <w:rFonts w:ascii="宋体" w:hAnsi="宋体" w:cs="宋体"/>
                <w:b/>
                <w:bCs/>
                <w:kern w:val="0"/>
                <w:szCs w:val="21"/>
              </w:rPr>
            </w:pPr>
            <w:r>
              <w:rPr>
                <w:rFonts w:hint="eastAsia" w:ascii="宋体" w:hAnsi="宋体" w:cs="宋体"/>
                <w:b/>
                <w:bCs/>
                <w:kern w:val="0"/>
                <w:szCs w:val="21"/>
              </w:rPr>
              <w:t>100</w:t>
            </w:r>
          </w:p>
        </w:tc>
      </w:tr>
    </w:tbl>
    <w:p>
      <w:pPr>
        <w:spacing w:before="120" w:beforeLines="50" w:line="360" w:lineRule="auto"/>
        <w:ind w:firstLine="476" w:firstLineChars="200"/>
        <w:rPr>
          <w:rFonts w:ascii="宋体" w:hAnsi="宋体"/>
          <w:spacing w:val="14"/>
          <w:szCs w:val="21"/>
        </w:rPr>
      </w:pPr>
      <w:r>
        <w:rPr>
          <w:rFonts w:hint="eastAsia" w:ascii="宋体" w:hAnsi="宋体"/>
          <w:spacing w:val="14"/>
          <w:szCs w:val="21"/>
        </w:rPr>
        <w:t>评委签名：                                 日  期：</w:t>
      </w:r>
    </w:p>
    <w:p>
      <w:pPr>
        <w:pStyle w:val="42"/>
        <w:spacing w:line="360" w:lineRule="auto"/>
        <w:rPr>
          <w:rFonts w:ascii="宋体" w:hAnsi="宋体" w:eastAsia="宋体"/>
          <w:sz w:val="32"/>
        </w:rPr>
      </w:pPr>
      <w:r>
        <w:rPr>
          <w:rFonts w:ascii="宋体" w:hAnsi="宋体" w:eastAsia="宋体"/>
          <w:sz w:val="28"/>
        </w:rPr>
        <w:br w:type="page"/>
      </w:r>
      <w:bookmarkStart w:id="60" w:name="_Toc30543"/>
      <w:r>
        <w:rPr>
          <w:rFonts w:hint="eastAsia" w:ascii="宋体" w:hAnsi="宋体" w:eastAsia="宋体"/>
          <w:sz w:val="24"/>
        </w:rPr>
        <w:t>第五章  合同文本</w:t>
      </w:r>
      <w:bookmarkEnd w:id="60"/>
    </w:p>
    <w:p>
      <w:pPr>
        <w:spacing w:line="360" w:lineRule="auto"/>
        <w:rPr>
          <w:b/>
          <w:szCs w:val="21"/>
        </w:rPr>
      </w:pPr>
      <w:r>
        <w:rPr>
          <w:rFonts w:hint="eastAsia"/>
          <w:b/>
          <w:szCs w:val="21"/>
        </w:rPr>
        <w:t>甲方</w:t>
      </w:r>
      <w:r>
        <w:rPr>
          <w:rFonts w:hint="eastAsia"/>
          <w:szCs w:val="21"/>
        </w:rPr>
        <w:t>（采购人）</w:t>
      </w:r>
      <w:r>
        <w:rPr>
          <w:rFonts w:hint="eastAsia"/>
          <w:b/>
          <w:szCs w:val="21"/>
        </w:rPr>
        <w:t>：</w:t>
      </w:r>
      <w:r>
        <w:rPr>
          <w:rFonts w:hint="eastAsia"/>
          <w:b/>
          <w:szCs w:val="21"/>
          <w:u w:val="single"/>
        </w:rPr>
        <w:t xml:space="preserve">                     </w:t>
      </w:r>
    </w:p>
    <w:p>
      <w:pPr>
        <w:spacing w:line="360" w:lineRule="auto"/>
        <w:rPr>
          <w:szCs w:val="21"/>
        </w:rPr>
      </w:pPr>
      <w:r>
        <w:rPr>
          <w:rFonts w:hint="eastAsia"/>
          <w:b/>
          <w:szCs w:val="21"/>
        </w:rPr>
        <w:t>乙方</w:t>
      </w:r>
      <w:r>
        <w:rPr>
          <w:rFonts w:hint="eastAsia"/>
          <w:szCs w:val="21"/>
        </w:rPr>
        <w:t>（中标人）</w:t>
      </w:r>
      <w:r>
        <w:rPr>
          <w:rFonts w:hint="eastAsia"/>
          <w:b/>
          <w:szCs w:val="21"/>
        </w:rPr>
        <w:t>：</w:t>
      </w:r>
      <w:r>
        <w:rPr>
          <w:rFonts w:hint="eastAsia"/>
          <w:b/>
          <w:szCs w:val="21"/>
          <w:u w:val="single"/>
        </w:rPr>
        <w:t xml:space="preserve">                     </w:t>
      </w:r>
      <w:r>
        <w:rPr>
          <w:b/>
          <w:szCs w:val="21"/>
        </w:rPr>
        <w:br w:type="textWrapping"/>
      </w:r>
    </w:p>
    <w:p>
      <w:pPr>
        <w:spacing w:line="360" w:lineRule="auto"/>
        <w:ind w:firstLine="315" w:firstLineChars="150"/>
        <w:rPr>
          <w:rFonts w:hAnsi="宋体"/>
          <w:szCs w:val="21"/>
        </w:rPr>
      </w:pPr>
      <w:r>
        <w:rPr>
          <w:rFonts w:hint="eastAsia" w:hAnsi="宋体"/>
          <w:szCs w:val="21"/>
        </w:rPr>
        <w:t xml:space="preserve">根据 </w:t>
      </w:r>
      <w:r>
        <w:rPr>
          <w:rFonts w:hint="eastAsia" w:hAnsi="宋体"/>
          <w:szCs w:val="21"/>
          <w:u w:val="single"/>
        </w:rPr>
        <w:t xml:space="preserve">                                项目</w:t>
      </w:r>
      <w:r>
        <w:rPr>
          <w:rFonts w:hint="eastAsia" w:hAnsi="宋体"/>
          <w:szCs w:val="21"/>
        </w:rPr>
        <w:t>（项目编号：</w:t>
      </w:r>
      <w:r>
        <w:rPr>
          <w:rFonts w:hint="eastAsia" w:hAnsi="宋体"/>
          <w:szCs w:val="21"/>
          <w:u w:val="single"/>
        </w:rPr>
        <w:t xml:space="preserve">              </w:t>
      </w:r>
      <w:r>
        <w:rPr>
          <w:rFonts w:hint="eastAsia" w:hAnsi="宋体"/>
          <w:szCs w:val="21"/>
        </w:rPr>
        <w:t>）的采购结果，按照《中华人民共和国政府采购法》及其实施条例、</w:t>
      </w:r>
      <w:r>
        <w:rPr>
          <w:szCs w:val="21"/>
        </w:rPr>
        <w:t>87</w:t>
      </w:r>
      <w:r>
        <w:rPr>
          <w:rFonts w:hint="eastAsia" w:hAnsi="宋体"/>
          <w:szCs w:val="21"/>
        </w:rPr>
        <w:t>号令、《中华人民共和国民法典》的规定，</w:t>
      </w:r>
      <w:r>
        <w:rPr>
          <w:rFonts w:hint="eastAsia" w:hAnsi="宋体"/>
          <w:kern w:val="28"/>
          <w:szCs w:val="21"/>
        </w:rPr>
        <w:t>经双方协商，</w:t>
      </w:r>
      <w:r>
        <w:rPr>
          <w:rFonts w:hint="eastAsia" w:hAnsi="宋体"/>
          <w:szCs w:val="21"/>
        </w:rPr>
        <w:t>本着平等互利和诚实信用的原则，</w:t>
      </w:r>
      <w:r>
        <w:rPr>
          <w:rFonts w:hint="eastAsia" w:hAnsi="宋体"/>
          <w:kern w:val="28"/>
          <w:szCs w:val="21"/>
        </w:rPr>
        <w:t>一致同意签订本合同如下</w:t>
      </w:r>
      <w:r>
        <w:rPr>
          <w:rFonts w:hint="eastAsia" w:hAnsi="宋体"/>
          <w:szCs w:val="21"/>
        </w:rPr>
        <w:t>。</w:t>
      </w:r>
    </w:p>
    <w:p>
      <w:pPr>
        <w:spacing w:line="400" w:lineRule="exact"/>
        <w:rPr>
          <w:szCs w:val="21"/>
        </w:rPr>
      </w:pPr>
      <w:r>
        <w:rPr>
          <w:rFonts w:hint="eastAsia"/>
          <w:szCs w:val="21"/>
        </w:rPr>
        <w:t>一、</w:t>
      </w:r>
      <w:bookmarkStart w:id="61" w:name="_Toc435540759"/>
      <w:r>
        <w:rPr>
          <w:rFonts w:hint="eastAsia"/>
          <w:szCs w:val="21"/>
        </w:rPr>
        <w:t>合同金额</w:t>
      </w:r>
      <w:bookmarkEnd w:id="61"/>
    </w:p>
    <w:p>
      <w:pPr>
        <w:pStyle w:val="27"/>
        <w:spacing w:beforeLines="0" w:afterLines="0"/>
        <w:ind w:firstLine="420" w:firstLineChars="200"/>
        <w:rPr>
          <w:rFonts w:ascii="Times New Roman" w:hAnsi="Times New Roman"/>
          <w:sz w:val="21"/>
          <w:szCs w:val="21"/>
        </w:rPr>
      </w:pPr>
      <w:r>
        <w:rPr>
          <w:rFonts w:hint="eastAsia" w:ascii="Times New Roman" w:hAnsi="宋体"/>
          <w:sz w:val="21"/>
          <w:szCs w:val="21"/>
        </w:rPr>
        <w:t>合同金额为（大写）：</w:t>
      </w:r>
      <w:r>
        <w:rPr>
          <w:rFonts w:ascii="Times New Roman" w:hAnsi="Times New Roman"/>
          <w:sz w:val="21"/>
          <w:szCs w:val="21"/>
        </w:rPr>
        <w:t>_________________</w:t>
      </w:r>
      <w:r>
        <w:rPr>
          <w:rFonts w:hint="eastAsia" w:ascii="Times New Roman" w:hAnsi="宋体"/>
          <w:sz w:val="21"/>
          <w:szCs w:val="21"/>
        </w:rPr>
        <w:t>元（小写</w:t>
      </w:r>
      <w:r>
        <w:rPr>
          <w:rFonts w:ascii="Times New Roman" w:hAnsi="Times New Roman"/>
          <w:sz w:val="21"/>
          <w:szCs w:val="21"/>
        </w:rPr>
        <w:t>_______________</w:t>
      </w:r>
      <w:r>
        <w:rPr>
          <w:rFonts w:hint="eastAsia" w:ascii="Times New Roman" w:hAnsi="宋体"/>
          <w:sz w:val="21"/>
          <w:szCs w:val="21"/>
        </w:rPr>
        <w:t>元），已包含人工、材料、交通、通讯、差旅、材料审查、成果编制等乙方为履行本合同所需的所有费用。</w:t>
      </w:r>
    </w:p>
    <w:p>
      <w:pPr>
        <w:spacing w:line="400" w:lineRule="exact"/>
        <w:rPr>
          <w:szCs w:val="21"/>
        </w:rPr>
      </w:pPr>
      <w:bookmarkStart w:id="62" w:name="_Toc435540760"/>
      <w:r>
        <w:rPr>
          <w:rFonts w:hint="eastAsia"/>
          <w:szCs w:val="21"/>
        </w:rPr>
        <w:t>二、服务范围</w:t>
      </w:r>
      <w:bookmarkEnd w:id="62"/>
    </w:p>
    <w:p>
      <w:pPr>
        <w:spacing w:line="360" w:lineRule="exact"/>
        <w:rPr>
          <w:szCs w:val="21"/>
          <w:u w:val="single"/>
        </w:rPr>
      </w:pPr>
      <w:r>
        <w:rPr>
          <w:rFonts w:hint="eastAsia" w:hAnsi="宋体"/>
          <w:szCs w:val="21"/>
        </w:rPr>
        <w:t>　　</w:t>
      </w:r>
      <w:r>
        <w:rPr>
          <w:szCs w:val="21"/>
        </w:rPr>
        <w:t>1</w:t>
      </w:r>
      <w:r>
        <w:rPr>
          <w:rFonts w:hint="eastAsia" w:hAnsi="宋体"/>
          <w:szCs w:val="21"/>
        </w:rPr>
        <w:t>．本合同项下的服务指</w:t>
      </w:r>
    </w:p>
    <w:p>
      <w:pPr>
        <w:spacing w:line="400" w:lineRule="exact"/>
        <w:rPr>
          <w:szCs w:val="21"/>
        </w:rPr>
      </w:pPr>
      <w:r>
        <w:rPr>
          <w:rFonts w:hint="eastAsia" w:hAnsi="宋体"/>
          <w:szCs w:val="21"/>
        </w:rPr>
        <w:t>　　</w:t>
      </w:r>
      <w:r>
        <w:rPr>
          <w:szCs w:val="21"/>
        </w:rPr>
        <w:t>2</w:t>
      </w:r>
      <w:r>
        <w:rPr>
          <w:rFonts w:hint="eastAsia" w:hAnsi="宋体"/>
          <w:szCs w:val="21"/>
        </w:rPr>
        <w:t>．服务范围：</w:t>
      </w:r>
    </w:p>
    <w:p>
      <w:pPr>
        <w:spacing w:line="400" w:lineRule="exact"/>
        <w:rPr>
          <w:szCs w:val="21"/>
        </w:rPr>
      </w:pPr>
      <w:bookmarkStart w:id="63" w:name="_Toc435540761"/>
      <w:r>
        <w:rPr>
          <w:rFonts w:hint="eastAsia"/>
          <w:szCs w:val="21"/>
        </w:rPr>
        <w:t>三、甲方乙方的权利和义务</w:t>
      </w:r>
      <w:bookmarkEnd w:id="63"/>
    </w:p>
    <w:p>
      <w:pPr>
        <w:spacing w:line="400" w:lineRule="exact"/>
        <w:rPr>
          <w:szCs w:val="21"/>
        </w:rPr>
      </w:pPr>
      <w:r>
        <w:rPr>
          <w:rFonts w:hint="eastAsia" w:hAnsi="宋体"/>
          <w:szCs w:val="21"/>
        </w:rPr>
        <w:t>　　（一）甲方的义务：按合同约定支付合同款项。</w:t>
      </w:r>
    </w:p>
    <w:p>
      <w:pPr>
        <w:spacing w:line="400" w:lineRule="exact"/>
        <w:ind w:left="405"/>
        <w:rPr>
          <w:rFonts w:hAnsi="宋体"/>
          <w:szCs w:val="21"/>
        </w:rPr>
      </w:pPr>
      <w:r>
        <w:rPr>
          <w:rFonts w:hint="eastAsia" w:hAnsi="宋体"/>
          <w:szCs w:val="21"/>
        </w:rPr>
        <w:t>（二）乙方的义务：</w:t>
      </w:r>
    </w:p>
    <w:p>
      <w:pPr>
        <w:spacing w:line="400" w:lineRule="exact"/>
        <w:ind w:left="405" w:firstLine="210" w:firstLineChars="100"/>
        <w:rPr>
          <w:rFonts w:hAnsi="宋体"/>
          <w:szCs w:val="21"/>
        </w:rPr>
      </w:pPr>
      <w:r>
        <w:rPr>
          <w:rFonts w:hint="eastAsia" w:hAnsi="宋体"/>
          <w:szCs w:val="21"/>
        </w:rPr>
        <w:t>1、按合同约定完成本项目全部服务内容并提交给甲方。</w:t>
      </w:r>
    </w:p>
    <w:p>
      <w:pPr>
        <w:spacing w:line="400" w:lineRule="exact"/>
        <w:ind w:left="405" w:firstLine="210" w:firstLineChars="100"/>
        <w:rPr>
          <w:rFonts w:hAnsi="宋体"/>
          <w:szCs w:val="21"/>
        </w:rPr>
      </w:pPr>
      <w:r>
        <w:rPr>
          <w:rFonts w:hint="eastAsia" w:hAnsi="宋体"/>
          <w:szCs w:val="21"/>
        </w:rPr>
        <w:t>2、保证其提供服务的合法性及项目成果的真实性、准确性和完整性，且此责任不因合同终止、解除等情况免除或减轻。</w:t>
      </w:r>
    </w:p>
    <w:p>
      <w:pPr>
        <w:spacing w:line="400" w:lineRule="exact"/>
        <w:rPr>
          <w:szCs w:val="21"/>
        </w:rPr>
      </w:pPr>
      <w:bookmarkStart w:id="64" w:name="_Toc435540762"/>
      <w:r>
        <w:rPr>
          <w:rFonts w:hint="eastAsia"/>
          <w:szCs w:val="21"/>
        </w:rPr>
        <w:t>五、</w:t>
      </w:r>
      <w:bookmarkEnd w:id="64"/>
      <w:r>
        <w:rPr>
          <w:rFonts w:hint="eastAsia"/>
          <w:szCs w:val="21"/>
        </w:rPr>
        <w:t>服务时间：</w:t>
      </w:r>
    </w:p>
    <w:p>
      <w:pPr>
        <w:spacing w:line="400" w:lineRule="exact"/>
        <w:rPr>
          <w:rFonts w:hAnsi="宋体"/>
          <w:szCs w:val="21"/>
        </w:rPr>
      </w:pPr>
      <w:r>
        <w:rPr>
          <w:rFonts w:hint="eastAsia"/>
        </w:rPr>
        <w:t>六、履约保证金：无</w:t>
      </w:r>
    </w:p>
    <w:p/>
    <w:p>
      <w:pPr>
        <w:spacing w:line="400" w:lineRule="exact"/>
        <w:rPr>
          <w:szCs w:val="21"/>
        </w:rPr>
      </w:pPr>
      <w:r>
        <w:rPr>
          <w:rFonts w:hint="eastAsia"/>
          <w:szCs w:val="21"/>
        </w:rPr>
        <w:t>六、</w:t>
      </w:r>
      <w:bookmarkStart w:id="65" w:name="_Toc435540763"/>
      <w:r>
        <w:rPr>
          <w:rFonts w:hint="eastAsia"/>
          <w:szCs w:val="21"/>
        </w:rPr>
        <w:t>付款</w:t>
      </w:r>
      <w:bookmarkEnd w:id="65"/>
      <w:r>
        <w:rPr>
          <w:rFonts w:hint="eastAsia"/>
          <w:szCs w:val="21"/>
        </w:rPr>
        <w:t>方法：</w:t>
      </w:r>
    </w:p>
    <w:p>
      <w:pPr>
        <w:spacing w:line="400" w:lineRule="exact"/>
        <w:ind w:firstLine="435"/>
        <w:rPr>
          <w:rFonts w:ascii="Arial" w:hAnsi="宋体" w:cs="Arial"/>
          <w:szCs w:val="21"/>
        </w:rPr>
      </w:pPr>
      <w:bookmarkStart w:id="66" w:name="_Toc435540764"/>
    </w:p>
    <w:p>
      <w:pPr>
        <w:spacing w:line="400" w:lineRule="exact"/>
        <w:rPr>
          <w:szCs w:val="21"/>
        </w:rPr>
      </w:pPr>
      <w:r>
        <w:rPr>
          <w:rFonts w:hint="eastAsia"/>
          <w:szCs w:val="21"/>
        </w:rPr>
        <w:t>七、知识产权产权归属</w:t>
      </w:r>
      <w:bookmarkEnd w:id="66"/>
    </w:p>
    <w:p>
      <w:pPr>
        <w:spacing w:line="400" w:lineRule="exact"/>
        <w:ind w:firstLine="420" w:firstLineChars="200"/>
        <w:rPr>
          <w:rFonts w:hAnsi="宋体"/>
          <w:szCs w:val="21"/>
        </w:rPr>
      </w:pPr>
      <w:r>
        <w:rPr>
          <w:rFonts w:hint="eastAsia" w:hAnsi="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67" w:name="_Toc435540765"/>
    </w:p>
    <w:p>
      <w:pPr>
        <w:spacing w:line="400" w:lineRule="exact"/>
        <w:ind w:firstLine="420" w:firstLineChars="200"/>
        <w:rPr>
          <w:rFonts w:hAnsi="宋体"/>
          <w:szCs w:val="21"/>
        </w:rPr>
      </w:pPr>
      <w:r>
        <w:rPr>
          <w:rFonts w:hint="eastAsia" w:hAnsi="宋体"/>
          <w:szCs w:val="21"/>
        </w:rPr>
        <w:t>乙方在项目实施过程中所形成的所有原始资料、中间及最终成果及其所涉知识产权归甲方所有。</w:t>
      </w:r>
    </w:p>
    <w:p>
      <w:pPr>
        <w:spacing w:line="400" w:lineRule="exact"/>
        <w:rPr>
          <w:szCs w:val="21"/>
        </w:rPr>
      </w:pPr>
      <w:r>
        <w:rPr>
          <w:rFonts w:hint="eastAsia"/>
          <w:szCs w:val="21"/>
        </w:rPr>
        <w:t>八、保密</w:t>
      </w:r>
      <w:bookmarkEnd w:id="67"/>
    </w:p>
    <w:p>
      <w:pPr>
        <w:spacing w:line="400" w:lineRule="exact"/>
        <w:ind w:firstLine="420" w:firstLineChars="200"/>
        <w:rPr>
          <w:szCs w:val="21"/>
        </w:rPr>
      </w:pPr>
      <w:r>
        <w:rPr>
          <w:rFonts w:hint="eastAsia" w:hAnsi="宋体"/>
          <w:szCs w:val="21"/>
        </w:rPr>
        <w:t>乙方必须采取措施对本项目实施过程中的技术资料保密，否则，由于乙方过错导致的上述资料泄密的，乙方必须承担一切责任。项目完成后，乙方有责任对本项目的技术保密承担责任。</w:t>
      </w:r>
    </w:p>
    <w:p>
      <w:pPr>
        <w:tabs>
          <w:tab w:val="left" w:pos="900"/>
        </w:tabs>
        <w:spacing w:line="400" w:lineRule="exact"/>
        <w:ind w:firstLine="420" w:firstLineChars="200"/>
        <w:rPr>
          <w:szCs w:val="21"/>
        </w:rPr>
      </w:pPr>
      <w:r>
        <w:rPr>
          <w:szCs w:val="21"/>
        </w:rPr>
        <w:t>1</w:t>
      </w:r>
      <w:r>
        <w:rPr>
          <w:rFonts w:hint="eastAsia" w:hAnsi="宋体"/>
          <w:szCs w:val="21"/>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400" w:lineRule="exact"/>
        <w:ind w:firstLine="420" w:firstLineChars="200"/>
        <w:rPr>
          <w:szCs w:val="21"/>
        </w:rPr>
      </w:pPr>
      <w:r>
        <w:rPr>
          <w:szCs w:val="21"/>
        </w:rPr>
        <w:t>2</w:t>
      </w:r>
      <w:r>
        <w:rPr>
          <w:rFonts w:hint="eastAsia" w:hAnsi="宋体"/>
          <w:szCs w:val="21"/>
        </w:rPr>
        <w:t>）如果甲方有要求，乙方在完成合同后应将有关资料还给甲方。</w:t>
      </w:r>
    </w:p>
    <w:p>
      <w:pPr>
        <w:spacing w:line="400" w:lineRule="exact"/>
        <w:rPr>
          <w:szCs w:val="21"/>
        </w:rPr>
      </w:pPr>
      <w:bookmarkStart w:id="68" w:name="_Toc435540766"/>
      <w:bookmarkStart w:id="69" w:name="_Toc435540767"/>
      <w:r>
        <w:rPr>
          <w:rFonts w:hint="eastAsia"/>
          <w:szCs w:val="21"/>
        </w:rPr>
        <w:t>九、违约责任与赔偿损失</w:t>
      </w:r>
      <w:bookmarkEnd w:id="68"/>
    </w:p>
    <w:p>
      <w:pPr>
        <w:spacing w:line="400" w:lineRule="exact"/>
        <w:ind w:firstLine="420" w:firstLineChars="200"/>
        <w:rPr>
          <w:szCs w:val="21"/>
        </w:rPr>
      </w:pPr>
      <w:r>
        <w:rPr>
          <w:szCs w:val="21"/>
        </w:rPr>
        <w:t>1</w:t>
      </w:r>
      <w:r>
        <w:rPr>
          <w:rFonts w:hint="eastAsia"/>
          <w:szCs w:val="21"/>
        </w:rPr>
        <w:t>）乙方提供的服务不符合采购文件、投标文件或本合同规定的，甲方有权拒收，并且乙方须向甲方支付本合同总价10%的违约金。</w:t>
      </w:r>
    </w:p>
    <w:p>
      <w:pPr>
        <w:tabs>
          <w:tab w:val="left" w:pos="720"/>
          <w:tab w:val="left" w:pos="900"/>
        </w:tabs>
        <w:spacing w:line="400" w:lineRule="exact"/>
        <w:ind w:right="51" w:firstLine="420" w:firstLineChars="200"/>
        <w:rPr>
          <w:szCs w:val="21"/>
        </w:rPr>
      </w:pPr>
      <w:r>
        <w:rPr>
          <w:szCs w:val="21"/>
        </w:rPr>
        <w:t>2</w:t>
      </w:r>
      <w:r>
        <w:rPr>
          <w:rFonts w:hint="eastAsia" w:hAnsi="宋体"/>
          <w:szCs w:val="21"/>
        </w:rPr>
        <w:t>）乙方未能按本合同规定的交货时间交付货物的</w:t>
      </w:r>
      <w:r>
        <w:rPr>
          <w:szCs w:val="21"/>
        </w:rPr>
        <w:t>/</w:t>
      </w:r>
      <w:r>
        <w:rPr>
          <w:rFonts w:hint="eastAsia" w:hAnsi="宋体"/>
          <w:szCs w:val="21"/>
        </w:rPr>
        <w:t>提供服务的，从逾期之日起每日按本合同总价</w:t>
      </w:r>
      <w:r>
        <w:rPr>
          <w:rFonts w:hint="eastAsia"/>
          <w:szCs w:val="21"/>
        </w:rPr>
        <w:t>的</w:t>
      </w:r>
      <w:r>
        <w:rPr>
          <w:rFonts w:hint="eastAsia" w:hAnsi="宋体"/>
          <w:szCs w:val="21"/>
        </w:rPr>
        <w:t>万分之五向甲方偿付违约金；逾期</w:t>
      </w:r>
      <w:r>
        <w:rPr>
          <w:szCs w:val="21"/>
        </w:rPr>
        <w:t>15</w:t>
      </w:r>
      <w:r>
        <w:rPr>
          <w:rFonts w:hint="eastAsia" w:hAnsi="宋体"/>
          <w:szCs w:val="21"/>
        </w:rPr>
        <w:t>天以上（含</w:t>
      </w:r>
      <w:r>
        <w:rPr>
          <w:szCs w:val="21"/>
        </w:rPr>
        <w:t>15</w:t>
      </w:r>
      <w:r>
        <w:rPr>
          <w:rFonts w:hint="eastAsia" w:hAnsi="宋体"/>
          <w:szCs w:val="21"/>
        </w:rPr>
        <w:t>天）的，甲方有权终止合同，并要求乙方按合同总价的20%支付违约金，并且给甲方造成的经济损失由乙方承担赔偿责任。</w:t>
      </w:r>
    </w:p>
    <w:p>
      <w:pPr>
        <w:spacing w:line="400" w:lineRule="exact"/>
        <w:ind w:firstLine="420" w:firstLineChars="200"/>
        <w:rPr>
          <w:bCs/>
          <w:szCs w:val="21"/>
        </w:rPr>
      </w:pPr>
      <w:r>
        <w:rPr>
          <w:rFonts w:hint="eastAsia"/>
          <w:bCs/>
          <w:szCs w:val="21"/>
        </w:rPr>
        <w:t>3</w:t>
      </w:r>
      <w:r>
        <w:rPr>
          <w:rFonts w:hint="eastAsia" w:hAnsi="宋体"/>
          <w:bCs/>
          <w:szCs w:val="21"/>
        </w:rPr>
        <w:t>）其它违约责任按《中华人民共和国民法典》处理。</w:t>
      </w:r>
    </w:p>
    <w:p>
      <w:pPr>
        <w:spacing w:line="400" w:lineRule="exact"/>
        <w:rPr>
          <w:szCs w:val="21"/>
        </w:rPr>
      </w:pPr>
      <w:r>
        <w:rPr>
          <w:rFonts w:hint="eastAsia"/>
          <w:szCs w:val="21"/>
        </w:rPr>
        <w:t>十、争端的解决</w:t>
      </w:r>
      <w:bookmarkEnd w:id="69"/>
    </w:p>
    <w:p>
      <w:pPr>
        <w:spacing w:line="400" w:lineRule="exact"/>
        <w:ind w:firstLine="420" w:firstLineChars="200"/>
        <w:rPr>
          <w:szCs w:val="21"/>
        </w:rPr>
      </w:pPr>
      <w:r>
        <w:rPr>
          <w:rFonts w:hint="eastAsia" w:hAnsi="宋体"/>
          <w:szCs w:val="21"/>
        </w:rPr>
        <w:t>合同执行过程中发生的任何争议，如双方不能通过友好协商解决，甲、乙双方一致同意向甲方所在地人民法院提起诉讼。</w:t>
      </w:r>
    </w:p>
    <w:p>
      <w:pPr>
        <w:spacing w:line="400" w:lineRule="exact"/>
        <w:rPr>
          <w:szCs w:val="21"/>
        </w:rPr>
      </w:pPr>
      <w:bookmarkStart w:id="70" w:name="_Toc435540768"/>
      <w:r>
        <w:rPr>
          <w:rFonts w:hint="eastAsia"/>
          <w:szCs w:val="21"/>
        </w:rPr>
        <w:t>十一、不可抗力</w:t>
      </w:r>
      <w:bookmarkEnd w:id="70"/>
    </w:p>
    <w:p>
      <w:pPr>
        <w:spacing w:line="400" w:lineRule="exact"/>
        <w:ind w:firstLine="420" w:firstLineChars="200"/>
        <w:rPr>
          <w:szCs w:val="21"/>
        </w:rPr>
      </w:pPr>
      <w:r>
        <w:rPr>
          <w:rFonts w:hint="eastAsia" w:hAnsi="宋体"/>
          <w:szCs w:val="21"/>
        </w:rPr>
        <w:t>任何一方由于不可抗力原因不能履行合同时，应在不可抗力事件结束后</w:t>
      </w:r>
      <w:r>
        <w:rPr>
          <w:szCs w:val="21"/>
        </w:rPr>
        <w:t>1</w:t>
      </w:r>
      <w:r>
        <w:rPr>
          <w:rFonts w:hint="eastAsia" w:hAnsi="宋体"/>
          <w:szCs w:val="21"/>
        </w:rPr>
        <w:t>日内向对方通报，以减轻可能给对方造成的损失，在取得有关机构的不可抗力证明或双方谅解确认后，允许延期履行或修订合同，并根据情况可部分或全部免于承担违约责任。</w:t>
      </w:r>
    </w:p>
    <w:p>
      <w:pPr>
        <w:spacing w:line="400" w:lineRule="exact"/>
        <w:rPr>
          <w:szCs w:val="21"/>
        </w:rPr>
      </w:pPr>
      <w:bookmarkStart w:id="71" w:name="_Toc435540769"/>
      <w:r>
        <w:rPr>
          <w:rFonts w:hint="eastAsia"/>
          <w:szCs w:val="21"/>
        </w:rPr>
        <w:t>十二、税费</w:t>
      </w:r>
      <w:bookmarkEnd w:id="71"/>
    </w:p>
    <w:p>
      <w:pPr>
        <w:spacing w:line="400" w:lineRule="exact"/>
        <w:ind w:firstLine="420" w:firstLineChars="200"/>
        <w:rPr>
          <w:szCs w:val="21"/>
        </w:rPr>
      </w:pPr>
      <w:r>
        <w:rPr>
          <w:rFonts w:hint="eastAsia" w:hAnsi="宋体"/>
          <w:szCs w:val="21"/>
        </w:rPr>
        <w:t>在中国境内、外发生的与本合同执行有关的一切税费均由乙方负担。</w:t>
      </w:r>
    </w:p>
    <w:p>
      <w:pPr>
        <w:spacing w:line="400" w:lineRule="exact"/>
        <w:rPr>
          <w:szCs w:val="21"/>
        </w:rPr>
      </w:pPr>
      <w:bookmarkStart w:id="72" w:name="_Toc435540770"/>
      <w:r>
        <w:rPr>
          <w:rFonts w:hint="eastAsia"/>
          <w:szCs w:val="21"/>
        </w:rPr>
        <w:t>十三、其它</w:t>
      </w:r>
      <w:bookmarkEnd w:id="72"/>
    </w:p>
    <w:p>
      <w:pPr>
        <w:spacing w:line="400" w:lineRule="exact"/>
        <w:ind w:firstLine="420" w:firstLineChars="200"/>
        <w:rPr>
          <w:b/>
          <w:szCs w:val="21"/>
        </w:rPr>
      </w:pPr>
      <w:r>
        <w:rPr>
          <w:szCs w:val="21"/>
        </w:rPr>
        <w:t>1</w:t>
      </w:r>
      <w:r>
        <w:rPr>
          <w:rFonts w:hint="eastAsia" w:hAnsi="宋体"/>
          <w:szCs w:val="21"/>
        </w:rPr>
        <w:t>）本合同所有附件、采购文件、投标文件、中标通知书均为合同的有效组成部分，与本合同具有同等法律效力。</w:t>
      </w:r>
    </w:p>
    <w:p>
      <w:pPr>
        <w:spacing w:line="400" w:lineRule="exact"/>
        <w:ind w:firstLine="420" w:firstLineChars="200"/>
        <w:rPr>
          <w:szCs w:val="21"/>
        </w:rPr>
      </w:pPr>
      <w:r>
        <w:rPr>
          <w:bCs/>
          <w:szCs w:val="21"/>
        </w:rPr>
        <w:t>2</w:t>
      </w:r>
      <w:r>
        <w:rPr>
          <w:rFonts w:hint="eastAsia" w:hAnsi="宋体"/>
          <w:szCs w:val="21"/>
        </w:rPr>
        <w:t>）在执行本合同的过程中，所有经双方签署确认的文件（包括会议纪要、补充协议、往来信函）即成为本合同的有效组成部分。</w:t>
      </w:r>
    </w:p>
    <w:p>
      <w:pPr>
        <w:spacing w:line="400" w:lineRule="exact"/>
        <w:ind w:firstLine="420" w:firstLineChars="200"/>
        <w:rPr>
          <w:szCs w:val="21"/>
        </w:rPr>
      </w:pPr>
      <w:r>
        <w:rPr>
          <w:szCs w:val="21"/>
        </w:rPr>
        <w:t>3</w:t>
      </w:r>
      <w:r>
        <w:rPr>
          <w:rFonts w:hint="eastAsia" w:hAnsi="宋体"/>
          <w:szCs w:val="21"/>
        </w:rPr>
        <w:t>）如一方地址、电话、传真号码有变更，应在变更当日内书面通知对方，否则，应承担相应责任。</w:t>
      </w:r>
    </w:p>
    <w:p>
      <w:pPr>
        <w:spacing w:line="400" w:lineRule="exact"/>
        <w:ind w:firstLine="420" w:firstLineChars="200"/>
        <w:rPr>
          <w:szCs w:val="21"/>
        </w:rPr>
      </w:pPr>
      <w:r>
        <w:rPr>
          <w:szCs w:val="21"/>
        </w:rPr>
        <w:t>4</w:t>
      </w:r>
      <w:r>
        <w:rPr>
          <w:rFonts w:hint="eastAsia" w:hAnsi="宋体"/>
          <w:szCs w:val="21"/>
        </w:rPr>
        <w:t>）除甲方事先书面同意外，乙方不得部分或全部转让其应履行的合同项下的义务。</w:t>
      </w:r>
    </w:p>
    <w:p>
      <w:pPr>
        <w:spacing w:line="400" w:lineRule="exact"/>
        <w:rPr>
          <w:szCs w:val="21"/>
        </w:rPr>
      </w:pPr>
      <w:bookmarkStart w:id="73" w:name="_Toc435540771"/>
      <w:r>
        <w:rPr>
          <w:rFonts w:hint="eastAsia"/>
          <w:szCs w:val="21"/>
        </w:rPr>
        <w:t>十四、合同生效</w:t>
      </w:r>
      <w:bookmarkEnd w:id="73"/>
    </w:p>
    <w:p>
      <w:pPr>
        <w:spacing w:line="400" w:lineRule="exact"/>
        <w:ind w:firstLine="420" w:firstLineChars="200"/>
        <w:rPr>
          <w:szCs w:val="21"/>
        </w:rPr>
      </w:pPr>
      <w:r>
        <w:rPr>
          <w:szCs w:val="21"/>
        </w:rPr>
        <w:t>1</w:t>
      </w:r>
      <w:r>
        <w:rPr>
          <w:rFonts w:hint="eastAsia" w:hAnsi="宋体"/>
          <w:szCs w:val="21"/>
        </w:rPr>
        <w:t>）合同自甲乙双方</w:t>
      </w:r>
      <w:r>
        <w:rPr>
          <w:rFonts w:hint="eastAsia" w:ascii="Arial" w:cs="Arial"/>
          <w:szCs w:val="21"/>
        </w:rPr>
        <w:t>法定代表人</w:t>
      </w:r>
      <w:r>
        <w:rPr>
          <w:rFonts w:hint="eastAsia" w:hAnsi="宋体"/>
          <w:szCs w:val="21"/>
        </w:rPr>
        <w:t>或其</w:t>
      </w:r>
      <w:r>
        <w:rPr>
          <w:rFonts w:hint="eastAsia" w:ascii="Arial" w:cs="Arial"/>
          <w:szCs w:val="21"/>
        </w:rPr>
        <w:t>授权代表人</w:t>
      </w:r>
      <w:r>
        <w:rPr>
          <w:rFonts w:hint="eastAsia" w:hAnsi="宋体"/>
          <w:szCs w:val="21"/>
        </w:rPr>
        <w:t>签字盖章后生效。</w:t>
      </w:r>
    </w:p>
    <w:p>
      <w:pPr>
        <w:spacing w:line="400" w:lineRule="exact"/>
        <w:ind w:firstLine="420" w:firstLineChars="200"/>
        <w:rPr>
          <w:szCs w:val="21"/>
        </w:rPr>
      </w:pPr>
      <w:r>
        <w:rPr>
          <w:szCs w:val="21"/>
        </w:rPr>
        <w:t>2</w:t>
      </w:r>
      <w:r>
        <w:rPr>
          <w:rFonts w:hint="eastAsia" w:hAnsi="宋体"/>
          <w:szCs w:val="21"/>
        </w:rPr>
        <w:t>）合同壹式</w:t>
      </w:r>
      <w:r>
        <w:rPr>
          <w:rFonts w:hint="eastAsia"/>
          <w:szCs w:val="21"/>
          <w:u w:val="single"/>
        </w:rPr>
        <w:t>伍</w:t>
      </w:r>
      <w:r>
        <w:rPr>
          <w:rFonts w:hint="eastAsia" w:hAnsi="宋体"/>
          <w:szCs w:val="21"/>
        </w:rPr>
        <w:t>份，其中甲乙双方各执</w:t>
      </w:r>
      <w:r>
        <w:rPr>
          <w:rFonts w:hint="eastAsia"/>
          <w:szCs w:val="21"/>
          <w:u w:val="single"/>
        </w:rPr>
        <w:t>贰</w:t>
      </w:r>
      <w:r>
        <w:rPr>
          <w:rFonts w:hint="eastAsia" w:hAnsi="宋体"/>
          <w:szCs w:val="21"/>
        </w:rPr>
        <w:t>份，采购代理机构执壹份。</w:t>
      </w:r>
    </w:p>
    <w:p>
      <w:pPr>
        <w:tabs>
          <w:tab w:val="left" w:pos="720"/>
        </w:tabs>
        <w:spacing w:line="400" w:lineRule="exact"/>
        <w:rPr>
          <w:szCs w:val="21"/>
        </w:rPr>
      </w:pPr>
    </w:p>
    <w:p>
      <w:pPr>
        <w:spacing w:line="400" w:lineRule="exact"/>
        <w:rPr>
          <w:rFonts w:ascii="Arial" w:hAnsi="Arial" w:cs="Arial"/>
          <w:szCs w:val="21"/>
        </w:rPr>
      </w:pPr>
      <w:r>
        <w:rPr>
          <w:rFonts w:hint="eastAsia" w:ascii="Arial" w:cs="Arial"/>
          <w:szCs w:val="21"/>
        </w:rPr>
        <w:t>甲方：                                   乙方：</w:t>
      </w:r>
    </w:p>
    <w:p>
      <w:pPr>
        <w:spacing w:line="400" w:lineRule="exact"/>
        <w:rPr>
          <w:rFonts w:ascii="Arial" w:hAnsi="Arial" w:cs="Arial"/>
          <w:szCs w:val="21"/>
        </w:rPr>
      </w:pPr>
      <w:r>
        <w:rPr>
          <w:rFonts w:hint="eastAsia" w:ascii="Arial" w:cs="Arial"/>
          <w:szCs w:val="21"/>
        </w:rPr>
        <w:t>地址：                                  地址：</w:t>
      </w:r>
    </w:p>
    <w:p>
      <w:pPr>
        <w:spacing w:line="400" w:lineRule="exact"/>
        <w:rPr>
          <w:rFonts w:ascii="Arial" w:cs="Arial"/>
          <w:szCs w:val="21"/>
        </w:rPr>
      </w:pPr>
      <w:r>
        <w:rPr>
          <w:rFonts w:hint="eastAsia" w:ascii="Arial" w:cs="Arial"/>
          <w:szCs w:val="21"/>
        </w:rPr>
        <w:t>法定代表人（或授权代表人）：            法定代表人（或授权代表人）：</w:t>
      </w:r>
    </w:p>
    <w:p>
      <w:pPr>
        <w:spacing w:line="400" w:lineRule="exact"/>
        <w:rPr>
          <w:rFonts w:ascii="Arial" w:cs="Arial"/>
          <w:szCs w:val="21"/>
        </w:rPr>
      </w:pPr>
      <w:r>
        <w:rPr>
          <w:rFonts w:hint="eastAsia" w:ascii="Arial" w:cs="Arial"/>
          <w:szCs w:val="21"/>
        </w:rPr>
        <w:t>签字日期：    年  月  日                签字日期：    年  月   日</w:t>
      </w:r>
    </w:p>
    <w:p>
      <w:pPr>
        <w:pStyle w:val="386"/>
        <w:spacing w:line="360" w:lineRule="auto"/>
        <w:ind w:left="0" w:leftChars="0" w:firstLine="0"/>
        <w:jc w:val="center"/>
        <w:rPr>
          <w:rFonts w:ascii="宋体" w:hAnsi="宋体"/>
          <w:b/>
          <w:sz w:val="28"/>
        </w:rPr>
      </w:pPr>
      <w:r>
        <w:rPr>
          <w:rFonts w:ascii="宋体" w:hAnsi="宋体"/>
        </w:rPr>
        <w:br w:type="page"/>
      </w:r>
      <w:r>
        <w:rPr>
          <w:rFonts w:hint="eastAsia" w:ascii="宋体" w:hAnsi="宋体"/>
          <w:b/>
          <w:sz w:val="24"/>
        </w:rPr>
        <w:t>第六章  投标文件格式</w:t>
      </w:r>
    </w:p>
    <w:p>
      <w:pPr>
        <w:snapToGrid w:val="0"/>
        <w:spacing w:line="360" w:lineRule="auto"/>
        <w:ind w:left="-23" w:leftChars="-11" w:right="-214" w:rightChars="-102" w:firstLine="21" w:firstLineChars="10"/>
        <w:jc w:val="left"/>
        <w:rPr>
          <w:rFonts w:ascii="宋体" w:hAnsi="宋体"/>
          <w:b/>
        </w:rPr>
      </w:pPr>
      <w:r>
        <w:rPr>
          <w:rFonts w:hint="eastAsia" w:ascii="宋体" w:hAnsi="宋体"/>
          <w:b/>
        </w:rPr>
        <w:t>1、资格要求响应文件的有关格式</w:t>
      </w:r>
    </w:p>
    <w:p>
      <w:pPr>
        <w:pStyle w:val="23"/>
        <w:spacing w:line="360" w:lineRule="auto"/>
        <w:ind w:left="0" w:leftChars="0"/>
        <w:jc w:val="center"/>
        <w:rPr>
          <w:rFonts w:ascii="宋体" w:hAnsi="宋体" w:cs="宋体"/>
          <w:b/>
          <w:kern w:val="1"/>
          <w:szCs w:val="21"/>
        </w:rPr>
      </w:pPr>
      <w:r>
        <w:rPr>
          <w:rFonts w:ascii="宋体" w:hAnsi="宋体" w:cs="宋体"/>
          <w:b/>
          <w:sz w:val="21"/>
          <w:szCs w:val="21"/>
        </w:rPr>
        <w:t>投标人资格声明函</w:t>
      </w:r>
    </w:p>
    <w:p>
      <w:pPr>
        <w:spacing w:line="360" w:lineRule="auto"/>
        <w:rPr>
          <w:rFonts w:ascii="宋体" w:hAnsi="宋体" w:cs="宋体"/>
          <w:b/>
          <w:kern w:val="1"/>
          <w:szCs w:val="21"/>
        </w:rPr>
      </w:pPr>
      <w:r>
        <w:rPr>
          <w:rFonts w:hint="eastAsia" w:ascii="宋体" w:hAnsi="宋体"/>
          <w:bCs/>
          <w:szCs w:val="21"/>
        </w:rPr>
        <w:t>致：</w:t>
      </w:r>
      <w:r>
        <w:rPr>
          <w:rFonts w:hint="eastAsia" w:ascii="宋体" w:hAnsi="宋体"/>
          <w:szCs w:val="21"/>
          <w:u w:val="single"/>
        </w:rPr>
        <w:t>宁波市生态环境局镇海分局、宁波名诚招标代理有限公司</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根据贵方的招标公告和投标邀请，我方自愿</w:t>
      </w:r>
      <w:r>
        <w:rPr>
          <w:rFonts w:cs="Arial" w:asciiTheme="minorEastAsia" w:hAnsiTheme="minorEastAsia" w:eastAsiaTheme="minorEastAsia"/>
          <w:szCs w:val="21"/>
        </w:rPr>
        <w:t>参加投标并声明</w:t>
      </w:r>
      <w:r>
        <w:rPr>
          <w:rFonts w:hint="eastAsia" w:cs="Arial" w:asciiTheme="minorEastAsia" w:hAnsiTheme="minorEastAsia" w:eastAsiaTheme="minorEastAsia"/>
          <w:szCs w:val="21"/>
        </w:rPr>
        <w:t>：</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1.具有独立承担民事责任的能力；</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2.具有良好的商业信誉和健全的财务会计制度；</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3.具有履行本项目合同所必需的设备和专业技术能力；</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4.有依法缴纳税收和社会保障资金的良好记录；</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pPr>
        <w:spacing w:line="360" w:lineRule="auto"/>
        <w:ind w:firstLine="424"/>
        <w:rPr>
          <w:rFonts w:ascii="宋体" w:hAnsi="宋体" w:cs="Arial"/>
          <w:szCs w:val="21"/>
        </w:rPr>
      </w:pPr>
      <w:r>
        <w:rPr>
          <w:rFonts w:hint="eastAsia" w:cs="Arial" w:asciiTheme="minorEastAsia" w:hAnsiTheme="minorEastAsia" w:eastAsiaTheme="minorEastAsia"/>
          <w:szCs w:val="21"/>
        </w:rPr>
        <w:t>7.具有</w:t>
      </w:r>
      <w:r>
        <w:rPr>
          <w:rFonts w:cs="Arial" w:asciiTheme="minorEastAsia" w:hAnsiTheme="minorEastAsia" w:eastAsiaTheme="minorEastAsia"/>
          <w:szCs w:val="21"/>
        </w:rPr>
        <w:t>法律、行政法规规定的其他条件</w:t>
      </w:r>
      <w:r>
        <w:rPr>
          <w:rFonts w:hint="eastAsia" w:cs="Arial" w:asciiTheme="minorEastAsia" w:hAnsiTheme="minorEastAsia" w:eastAsiaTheme="minorEastAsia"/>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w:t>
      </w:r>
      <w:r>
        <w:rPr>
          <w:rFonts w:ascii="宋体" w:hAnsi="宋体"/>
          <w:szCs w:val="21"/>
          <w:u w:val="single"/>
        </w:rPr>
        <w:t xml:space="preserve"> ___</w:t>
      </w:r>
      <w:r>
        <w:rPr>
          <w:rFonts w:hint="eastAsia" w:ascii="宋体" w:hAnsi="宋体"/>
          <w:szCs w:val="21"/>
          <w:u w:val="single"/>
        </w:rPr>
        <w:t>（签字或盖章）</w:t>
      </w:r>
      <w:r>
        <w:rPr>
          <w:rFonts w:ascii="宋体" w:hAnsi="宋体"/>
          <w:szCs w:val="21"/>
          <w:u w:val="single"/>
        </w:rPr>
        <w:t>_____</w:t>
      </w:r>
      <w:r>
        <w:rPr>
          <w:rFonts w:ascii="宋体" w:hAnsi="宋体"/>
          <w:szCs w:val="21"/>
        </w:rPr>
        <w:t>_</w:t>
      </w:r>
    </w:p>
    <w:p>
      <w:pPr>
        <w:snapToGrid w:val="0"/>
        <w:spacing w:line="360" w:lineRule="auto"/>
        <w:ind w:firstLine="3685" w:firstLineChars="1755"/>
        <w:rPr>
          <w:rFonts w:ascii="宋体" w:hAnsi="宋体" w:cs="宋体"/>
          <w:b/>
          <w:szCs w:val="21"/>
        </w:rPr>
      </w:pPr>
      <w:r>
        <w:rPr>
          <w:rFonts w:hint="eastAsia" w:ascii="宋体" w:hAnsi="宋体"/>
          <w:szCs w:val="21"/>
        </w:rPr>
        <w:t>日  期：</w:t>
      </w:r>
    </w:p>
    <w:p>
      <w:pPr>
        <w:snapToGrid w:val="0"/>
        <w:spacing w:line="360" w:lineRule="auto"/>
        <w:ind w:left="-23" w:leftChars="-11" w:right="-214" w:rightChars="-102" w:firstLine="21" w:firstLineChars="10"/>
        <w:jc w:val="left"/>
        <w:rPr>
          <w:rFonts w:ascii="宋体" w:hAnsi="宋体" w:cs="宋体"/>
          <w:b/>
          <w:szCs w:val="21"/>
        </w:rPr>
      </w:pPr>
      <w:r>
        <w:rPr>
          <w:rFonts w:ascii="宋体" w:hAnsi="宋体" w:cs="宋体"/>
          <w:b/>
          <w:szCs w:val="21"/>
        </w:rPr>
        <w:br w:type="page"/>
      </w:r>
      <w:r>
        <w:rPr>
          <w:rFonts w:hint="eastAsia" w:ascii="宋体" w:hAnsi="宋体"/>
          <w:b/>
        </w:rPr>
        <w:t>2、商务技术文件的有关格式</w:t>
      </w:r>
    </w:p>
    <w:p>
      <w:pPr>
        <w:pStyle w:val="23"/>
        <w:spacing w:line="360" w:lineRule="auto"/>
        <w:ind w:left="0" w:leftChars="0"/>
        <w:jc w:val="center"/>
        <w:rPr>
          <w:rFonts w:ascii="宋体" w:hAnsi="宋体" w:cs="宋体"/>
          <w:b/>
          <w:sz w:val="21"/>
          <w:szCs w:val="21"/>
        </w:rPr>
      </w:pPr>
      <w:r>
        <w:rPr>
          <w:rFonts w:hint="eastAsia" w:ascii="宋体" w:hAnsi="宋体" w:cs="宋体"/>
          <w:b/>
          <w:sz w:val="21"/>
          <w:szCs w:val="21"/>
        </w:rPr>
        <w:t>1）投标函</w:t>
      </w:r>
    </w:p>
    <w:p>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宁波市生态环境局镇海分局、宁波名诚招标代理有限公司</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根据贵方的招标公告和投标邀请，我方兹宣布同意如下：</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1.按招标文件规定提供的服务（包括安装调试等工作）的最终投标报价见开标一览表。</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2.我方将根据招标文件的规定，严格履行合同的责任和义务。</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4.我方的投标文件在招标文件规定的投标有效期之前均对我方具有约束力。</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6.我方完全理解最低报价并不是中标的唯一标准。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rPr>
        <w:t>7</w:t>
      </w:r>
      <w:r>
        <w:rPr>
          <w:rFonts w:asciiTheme="minorEastAsia" w:hAnsiTheme="minorEastAsia" w:eastAsiaTheme="minorEastAsia"/>
        </w:rPr>
        <w:t>.如我方获得中标</w:t>
      </w:r>
      <w:r>
        <w:rPr>
          <w:rFonts w:asciiTheme="minorEastAsia" w:hAnsiTheme="minorEastAsia" w:eastAsiaTheme="minorEastAsia"/>
          <w:szCs w:val="21"/>
        </w:rPr>
        <w:t>，承诺按照招标文件规定的金额、时间和方式支付</w:t>
      </w:r>
      <w:r>
        <w:rPr>
          <w:rFonts w:hint="eastAsia" w:asciiTheme="minorEastAsia" w:hAnsiTheme="minorEastAsia" w:eastAsiaTheme="minorEastAsia"/>
          <w:szCs w:val="21"/>
        </w:rPr>
        <w:t>采购</w:t>
      </w:r>
      <w:r>
        <w:rPr>
          <w:rFonts w:asciiTheme="minorEastAsia" w:hAnsiTheme="minorEastAsia" w:eastAsiaTheme="minorEastAsia"/>
          <w:szCs w:val="21"/>
        </w:rPr>
        <w:t>代理服务费。因我方违约致使</w:t>
      </w:r>
      <w:r>
        <w:rPr>
          <w:rFonts w:hint="eastAsia" w:asciiTheme="minorEastAsia" w:hAnsiTheme="minorEastAsia" w:eastAsiaTheme="minorEastAsia"/>
          <w:szCs w:val="21"/>
        </w:rPr>
        <w:t>采购</w:t>
      </w:r>
      <w:r>
        <w:rPr>
          <w:rFonts w:asciiTheme="minorEastAsia" w:hAnsiTheme="minorEastAsia" w:eastAsiaTheme="minorEastAsia"/>
          <w:szCs w:val="21"/>
        </w:rPr>
        <w:t>代理机构采取诉讼或仲裁等方式实现债权，为此支付的</w:t>
      </w:r>
      <w:r>
        <w:rPr>
          <w:rFonts w:hint="eastAsia" w:asciiTheme="minorEastAsia" w:hAnsiTheme="minorEastAsia" w:eastAsiaTheme="minorEastAsia"/>
          <w:szCs w:val="21"/>
        </w:rPr>
        <w:t>律师费、诉讼费、</w:t>
      </w:r>
      <w:r>
        <w:rPr>
          <w:rFonts w:asciiTheme="minorEastAsia" w:hAnsiTheme="minorEastAsia" w:eastAsiaTheme="minorEastAsia"/>
          <w:szCs w:val="21"/>
        </w:rPr>
        <w:t>执行费</w:t>
      </w:r>
      <w:r>
        <w:rPr>
          <w:rFonts w:hint="eastAsia" w:asciiTheme="minorEastAsia" w:hAnsiTheme="minorEastAsia" w:eastAsiaTheme="minorEastAsia"/>
          <w:szCs w:val="21"/>
        </w:rPr>
        <w:t>、公证费、认证费、鉴定费、保全费、担保费、差旅费等为</w:t>
      </w:r>
      <w:r>
        <w:rPr>
          <w:rFonts w:asciiTheme="minorEastAsia" w:hAnsiTheme="minorEastAsia" w:eastAsiaTheme="minorEastAsia"/>
          <w:szCs w:val="21"/>
        </w:rPr>
        <w:t>实现债权的一切费用由我方承担。</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8.所有有关本次投标的函电请寄：</w:t>
      </w:r>
    </w:p>
    <w:p>
      <w:pPr>
        <w:snapToGrid w:val="0"/>
        <w:spacing w:line="360" w:lineRule="auto"/>
        <w:ind w:firstLine="630" w:firstLineChars="300"/>
        <w:rPr>
          <w:rFonts w:ascii="宋体" w:hAnsi="宋体"/>
          <w:u w:val="single"/>
        </w:rPr>
      </w:pPr>
      <w:r>
        <w:rPr>
          <w:rFonts w:hint="eastAsia" w:asciiTheme="minorEastAsia" w:hAnsiTheme="minorEastAsia" w:eastAsiaTheme="minorEastAsia"/>
          <w:szCs w:val="21"/>
        </w:rPr>
        <w:t>地址：                    邮编：</w:t>
      </w:r>
    </w:p>
    <w:p>
      <w:pPr>
        <w:snapToGrid w:val="0"/>
        <w:spacing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 xml:space="preserve">电话：                    电子邮箱： </w:t>
      </w: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hint="eastAsia" w:ascii="宋体" w:hAnsi="宋体"/>
          <w:szCs w:val="21"/>
          <w:u w:val="single"/>
        </w:rPr>
        <w:t>（签字或盖章）</w:t>
      </w:r>
      <w:r>
        <w:rPr>
          <w:rFonts w:ascii="宋体" w:hAnsi="宋体"/>
          <w:szCs w:val="21"/>
          <w:u w:val="single"/>
        </w:rPr>
        <w:t>_____</w:t>
      </w:r>
      <w:r>
        <w:rPr>
          <w:rFonts w:ascii="宋体" w:hAnsi="宋体"/>
          <w:szCs w:val="21"/>
        </w:rPr>
        <w:t>_</w:t>
      </w:r>
    </w:p>
    <w:p>
      <w:pPr>
        <w:snapToGrid w:val="0"/>
        <w:spacing w:line="360" w:lineRule="auto"/>
        <w:ind w:firstLine="3685" w:firstLineChars="1755"/>
        <w:rPr>
          <w:rFonts w:ascii="宋体" w:hAnsi="宋体"/>
          <w:szCs w:val="21"/>
        </w:rPr>
      </w:pPr>
      <w:r>
        <w:rPr>
          <w:rFonts w:hint="eastAsia" w:ascii="宋体" w:hAnsi="宋体"/>
          <w:szCs w:val="21"/>
        </w:rPr>
        <w:t>日  期：</w:t>
      </w:r>
    </w:p>
    <w:p>
      <w:pPr>
        <w:pStyle w:val="23"/>
        <w:spacing w:line="360" w:lineRule="auto"/>
        <w:ind w:left="0" w:leftChars="0"/>
        <w:jc w:val="center"/>
        <w:rPr>
          <w:rFonts w:ascii="宋体" w:hAnsi="宋体"/>
          <w:b/>
          <w:szCs w:val="21"/>
        </w:rPr>
      </w:pPr>
      <w:r>
        <w:rPr>
          <w:rFonts w:ascii="宋体" w:hAnsi="宋体"/>
          <w:b/>
          <w:szCs w:val="21"/>
        </w:rPr>
        <w:br w:type="page"/>
      </w:r>
      <w:r>
        <w:rPr>
          <w:rFonts w:hint="eastAsia" w:ascii="宋体" w:hAnsi="宋体"/>
          <w:b/>
          <w:sz w:val="21"/>
          <w:szCs w:val="21"/>
        </w:rPr>
        <w:t>2）</w:t>
      </w:r>
      <w:r>
        <w:rPr>
          <w:rFonts w:ascii="宋体" w:hAnsi="宋体" w:cs="宋体"/>
          <w:b/>
          <w:sz w:val="21"/>
          <w:szCs w:val="21"/>
        </w:rPr>
        <w:t>法定代表人授权委托书</w:t>
      </w:r>
    </w:p>
    <w:p>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宁波市生态环境局镇海分局、宁波名诚招标代理有限公司</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i/>
          <w:iCs/>
          <w:szCs w:val="21"/>
          <w:u w:val="single"/>
        </w:rPr>
        <w:t xml:space="preserve">（姓名）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i/>
          <w:iCs/>
          <w:szCs w:val="21"/>
          <w:u w:val="single"/>
        </w:rPr>
        <w:t>（投标人名称）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i/>
          <w:iCs/>
          <w:szCs w:val="21"/>
          <w:u w:val="single"/>
        </w:rPr>
        <w:t xml:space="preserve">（姓名）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以我方的名义参加</w:t>
      </w:r>
      <w:r>
        <w:rPr>
          <w:rFonts w:hint="eastAsia" w:asciiTheme="minorEastAsia" w:hAnsiTheme="minorEastAsia" w:eastAsiaTheme="minorEastAsia"/>
          <w:szCs w:val="21"/>
          <w:u w:val="single"/>
        </w:rPr>
        <w:t>镇海区“数字治气”应用项目</w:t>
      </w:r>
      <w:r>
        <w:rPr>
          <w:rFonts w:hint="eastAsia" w:asciiTheme="minorEastAsia" w:hAnsiTheme="minorEastAsia" w:eastAsiaTheme="minorEastAsia"/>
          <w:szCs w:val="21"/>
        </w:rPr>
        <w:t>的投标活动，并代表我方全权办理针对上述项目投标有关的具体事务办理并签署相关文件。</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我方对授权代表的签名事项负全部责任。</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授权代表无转委托权，特此委托。</w:t>
      </w:r>
    </w:p>
    <w:p>
      <w:pPr>
        <w:snapToGrid w:val="0"/>
        <w:spacing w:line="360" w:lineRule="auto"/>
        <w:rPr>
          <w:rFonts w:asciiTheme="minorEastAsia" w:hAnsiTheme="minorEastAsia" w:eastAsiaTheme="minorEastAsia"/>
          <w:szCs w:val="21"/>
        </w:rPr>
      </w:pP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ind w:firstLine="3685" w:firstLineChars="1755"/>
        <w:rPr>
          <w:rFonts w:ascii="宋体" w:hAnsi="宋体"/>
          <w:szCs w:val="21"/>
        </w:rPr>
      </w:pPr>
      <w:r>
        <w:rPr>
          <w:rFonts w:hint="eastAsia" w:ascii="宋体" w:hAnsi="宋体"/>
          <w:szCs w:val="21"/>
        </w:rPr>
        <w:t>法定代表人：</w:t>
      </w:r>
      <w:r>
        <w:rPr>
          <w:rFonts w:hint="eastAsia" w:ascii="宋体" w:hAnsi="宋体"/>
          <w:szCs w:val="21"/>
          <w:u w:val="single"/>
        </w:rPr>
        <w:t xml:space="preserve">           （签字</w:t>
      </w:r>
      <w:r>
        <w:rPr>
          <w:rFonts w:hint="eastAsia" w:asciiTheme="minorEastAsia" w:hAnsiTheme="minorEastAsia" w:eastAsiaTheme="minorEastAsia"/>
          <w:szCs w:val="21"/>
          <w:u w:val="single"/>
        </w:rPr>
        <w:t>或盖章</w:t>
      </w:r>
      <w:r>
        <w:rPr>
          <w:rFonts w:hint="eastAsia" w:ascii="宋体" w:hAnsi="宋体"/>
          <w:szCs w:val="21"/>
          <w:u w:val="single"/>
        </w:rPr>
        <w:t xml:space="preserve">）        </w:t>
      </w:r>
    </w:p>
    <w:p>
      <w:pPr>
        <w:snapToGrid w:val="0"/>
        <w:spacing w:line="360" w:lineRule="auto"/>
        <w:ind w:firstLine="3685" w:firstLineChars="1755"/>
        <w:rPr>
          <w:rFonts w:ascii="宋体" w:hAnsi="宋体"/>
          <w:szCs w:val="21"/>
          <w:u w:val="single"/>
        </w:rPr>
      </w:pPr>
      <w:r>
        <w:rPr>
          <w:rFonts w:hint="eastAsia" w:ascii="宋体" w:hAnsi="宋体"/>
          <w:szCs w:val="21"/>
        </w:rPr>
        <w:t>授权代表：</w:t>
      </w:r>
      <w:r>
        <w:rPr>
          <w:rFonts w:hint="eastAsia" w:ascii="宋体" w:hAnsi="宋体"/>
          <w:szCs w:val="21"/>
          <w:u w:val="single"/>
        </w:rPr>
        <w:t xml:space="preserve">              （签字</w:t>
      </w:r>
      <w:r>
        <w:rPr>
          <w:rFonts w:hint="eastAsia" w:asciiTheme="minorEastAsia" w:hAnsiTheme="minorEastAsia" w:eastAsiaTheme="minorEastAsia"/>
          <w:szCs w:val="21"/>
          <w:u w:val="single"/>
        </w:rPr>
        <w:t>或盖章</w:t>
      </w:r>
      <w:r>
        <w:rPr>
          <w:rFonts w:hint="eastAsia" w:ascii="宋体" w:hAnsi="宋体"/>
          <w:szCs w:val="21"/>
          <w:u w:val="single"/>
        </w:rPr>
        <w:t xml:space="preserve">）       </w:t>
      </w:r>
    </w:p>
    <w:p>
      <w:pPr>
        <w:snapToGrid w:val="0"/>
        <w:spacing w:line="360" w:lineRule="auto"/>
        <w:ind w:firstLine="3685" w:firstLineChars="1755"/>
        <w:rPr>
          <w:rFonts w:ascii="宋体" w:hAnsi="宋体"/>
          <w:szCs w:val="21"/>
        </w:rPr>
      </w:pPr>
      <w:r>
        <w:rPr>
          <w:rFonts w:hint="eastAsia" w:ascii="宋体" w:hAnsi="宋体"/>
          <w:szCs w:val="21"/>
        </w:rPr>
        <w:t>授权委托日期：    年   月   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szCs w:val="21"/>
        </w:rPr>
      </w:pPr>
      <w:r>
        <w:rPr>
          <w:rFonts w:hint="eastAsia" w:asciiTheme="minorEastAsia" w:hAnsiTheme="minorEastAsia" w:eastAsiaTheme="minorEastAsia"/>
          <w:b/>
          <w:szCs w:val="21"/>
        </w:rPr>
        <w:t>注：本项目只允许有唯一的投标人授权代表，附授权代表</w:t>
      </w:r>
      <w:r>
        <w:rPr>
          <w:rFonts w:hint="eastAsia" w:asciiTheme="minorEastAsia" w:hAnsiTheme="minorEastAsia" w:eastAsiaTheme="minorEastAsia"/>
          <w:b/>
          <w:szCs w:val="21"/>
          <w:u w:val="single"/>
        </w:rPr>
        <w:t>身份证正反面</w:t>
      </w:r>
      <w:r>
        <w:rPr>
          <w:rFonts w:hint="eastAsia" w:asciiTheme="minorEastAsia" w:hAnsiTheme="minorEastAsia" w:eastAsiaTheme="minorEastAsia"/>
          <w:b/>
          <w:szCs w:val="21"/>
        </w:rPr>
        <w:t>、</w:t>
      </w:r>
      <w:r>
        <w:rPr>
          <w:rFonts w:hint="eastAsia" w:asciiTheme="minorEastAsia" w:hAnsiTheme="minorEastAsia" w:eastAsiaTheme="minorEastAsia"/>
          <w:b/>
          <w:szCs w:val="21"/>
          <w:u w:val="single"/>
        </w:rPr>
        <w:t>近三个月任意一个月的社保证明或提供劳动人事部门出示的相关在册人员的证明材料</w:t>
      </w:r>
      <w:r>
        <w:rPr>
          <w:rFonts w:hint="eastAsia" w:asciiTheme="minorEastAsia" w:hAnsiTheme="minorEastAsia" w:eastAsiaTheme="minorEastAsia"/>
          <w:b/>
          <w:szCs w:val="21"/>
        </w:rPr>
        <w:t>复印件</w:t>
      </w:r>
    </w:p>
    <w:p>
      <w:pPr>
        <w:spacing w:line="360" w:lineRule="auto"/>
        <w:jc w:val="center"/>
        <w:rPr>
          <w:rFonts w:ascii="宋体" w:hAnsi="宋体"/>
          <w:szCs w:val="21"/>
        </w:rPr>
      </w:pPr>
    </w:p>
    <w:p>
      <w:pPr>
        <w:snapToGrid w:val="0"/>
        <w:spacing w:line="360" w:lineRule="auto"/>
        <w:jc w:val="left"/>
        <w:rPr>
          <w:rFonts w:ascii="宋体" w:hAnsi="宋体"/>
          <w:szCs w:val="21"/>
        </w:rPr>
      </w:pPr>
    </w:p>
    <w:p>
      <w:pPr>
        <w:pStyle w:val="23"/>
        <w:spacing w:line="360" w:lineRule="auto"/>
        <w:ind w:left="0" w:leftChars="0"/>
        <w:jc w:val="center"/>
        <w:rPr>
          <w:rFonts w:ascii="宋体" w:hAnsi="宋体"/>
          <w:szCs w:val="21"/>
        </w:rPr>
      </w:pPr>
      <w:r>
        <w:rPr>
          <w:rFonts w:ascii="宋体" w:hAnsi="宋体"/>
          <w:szCs w:val="21"/>
        </w:rPr>
        <w:br w:type="page"/>
      </w:r>
      <w:r>
        <w:rPr>
          <w:rFonts w:hint="eastAsia" w:ascii="宋体" w:hAnsi="宋体"/>
          <w:b/>
          <w:sz w:val="21"/>
          <w:szCs w:val="21"/>
        </w:rPr>
        <w:t>3）</w:t>
      </w:r>
      <w:r>
        <w:rPr>
          <w:rFonts w:hint="eastAsia" w:ascii="宋体" w:hAnsi="宋体" w:cs="宋体"/>
          <w:b/>
          <w:sz w:val="21"/>
          <w:szCs w:val="21"/>
        </w:rPr>
        <w:t>评委打分</w:t>
      </w:r>
      <w:r>
        <w:rPr>
          <w:rFonts w:hint="eastAsia" w:ascii="宋体" w:hAnsi="宋体"/>
          <w:b/>
          <w:sz w:val="21"/>
          <w:szCs w:val="21"/>
        </w:rPr>
        <w:t>索引表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序号</w:t>
            </w:r>
          </w:p>
        </w:tc>
        <w:tc>
          <w:tcPr>
            <w:tcW w:w="3742" w:type="dxa"/>
            <w:vAlign w:val="center"/>
          </w:tcPr>
          <w:p>
            <w:pPr>
              <w:spacing w:line="300" w:lineRule="exact"/>
              <w:jc w:val="center"/>
              <w:rPr>
                <w:rFonts w:ascii="宋体" w:hAnsi="宋体"/>
                <w:szCs w:val="21"/>
              </w:rPr>
            </w:pPr>
            <w:r>
              <w:rPr>
                <w:rFonts w:hint="eastAsia" w:ascii="宋体" w:hAnsi="宋体"/>
                <w:szCs w:val="21"/>
              </w:rPr>
              <w:t>评分项目</w:t>
            </w:r>
          </w:p>
        </w:tc>
        <w:tc>
          <w:tcPr>
            <w:tcW w:w="1701" w:type="dxa"/>
            <w:vAlign w:val="center"/>
          </w:tcPr>
          <w:p>
            <w:pPr>
              <w:spacing w:line="300" w:lineRule="exact"/>
              <w:jc w:val="center"/>
              <w:rPr>
                <w:rFonts w:ascii="宋体" w:hAnsi="宋体"/>
                <w:szCs w:val="21"/>
              </w:rPr>
            </w:pPr>
            <w:r>
              <w:rPr>
                <w:rFonts w:hint="eastAsia" w:ascii="宋体" w:hAnsi="宋体"/>
                <w:szCs w:val="21"/>
              </w:rPr>
              <w:t>文件或证明材料所在页码区间</w:t>
            </w:r>
          </w:p>
        </w:tc>
        <w:tc>
          <w:tcPr>
            <w:tcW w:w="2268" w:type="dxa"/>
            <w:vAlign w:val="center"/>
          </w:tcPr>
          <w:p>
            <w:pPr>
              <w:spacing w:line="300" w:lineRule="exact"/>
              <w:jc w:val="center"/>
              <w:rPr>
                <w:rFonts w:ascii="宋体" w:hAnsi="宋体"/>
                <w:szCs w:val="21"/>
              </w:rPr>
            </w:pPr>
            <w:r>
              <w:rPr>
                <w:rFonts w:hint="eastAsia" w:ascii="宋体" w:hAnsi="宋体"/>
                <w:szCs w:val="21"/>
              </w:rPr>
              <w:t>自评得分（主观评审部分不用填写自评得分）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1</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2</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3</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4</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5</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bl>
    <w:p>
      <w:pPr>
        <w:pStyle w:val="23"/>
        <w:spacing w:before="120" w:beforeLines="50" w:line="360" w:lineRule="auto"/>
        <w:ind w:left="141" w:leftChars="67"/>
        <w:rPr>
          <w:rFonts w:ascii="宋体" w:hAnsi="宋体"/>
          <w:sz w:val="21"/>
          <w:szCs w:val="21"/>
        </w:rPr>
      </w:pPr>
      <w:r>
        <w:rPr>
          <w:rFonts w:hint="eastAsia" w:ascii="宋体" w:hAnsi="宋体"/>
          <w:sz w:val="21"/>
          <w:szCs w:val="21"/>
        </w:rPr>
        <w:t>注：按照评委打分表内容逐项填写</w:t>
      </w:r>
      <w:r>
        <w:rPr>
          <w:rFonts w:hint="eastAsia" w:asciiTheme="minorEastAsia" w:hAnsiTheme="minorEastAsia" w:eastAsiaTheme="minorEastAsia"/>
          <w:sz w:val="21"/>
          <w:szCs w:val="21"/>
        </w:rPr>
        <w:t>，报价项无需列入</w:t>
      </w:r>
      <w:r>
        <w:rPr>
          <w:rFonts w:hint="eastAsia" w:ascii="宋体" w:hAnsi="宋体"/>
          <w:sz w:val="21"/>
          <w:szCs w:val="21"/>
        </w:rPr>
        <w:t>。</w:t>
      </w:r>
    </w:p>
    <w:p>
      <w:pPr>
        <w:pStyle w:val="23"/>
        <w:spacing w:line="360" w:lineRule="auto"/>
        <w:rPr>
          <w:rFonts w:ascii="宋体" w:hAnsi="宋体"/>
          <w:b/>
          <w:sz w:val="21"/>
          <w:szCs w:val="21"/>
        </w:rPr>
      </w:pPr>
    </w:p>
    <w:p>
      <w:pPr>
        <w:snapToGrid w:val="0"/>
        <w:spacing w:before="50" w:after="50" w:line="360" w:lineRule="auto"/>
        <w:ind w:left="-21" w:leftChars="-72" w:right="-817" w:rightChars="-389" w:hanging="130" w:hangingChars="62"/>
        <w:rPr>
          <w:rFonts w:ascii="宋体" w:hAnsi="宋体"/>
          <w:szCs w:val="21"/>
        </w:rPr>
      </w:pPr>
    </w:p>
    <w:p>
      <w:pPr>
        <w:pStyle w:val="23"/>
        <w:spacing w:line="360" w:lineRule="auto"/>
        <w:ind w:left="0" w:leftChars="0"/>
        <w:jc w:val="center"/>
        <w:rPr>
          <w:rFonts w:ascii="宋体" w:hAnsi="宋体" w:cs="宋体"/>
          <w:b/>
          <w:sz w:val="21"/>
          <w:szCs w:val="21"/>
        </w:rPr>
      </w:pPr>
      <w:r>
        <w:rPr>
          <w:rFonts w:ascii="宋体" w:hAnsi="宋体"/>
          <w:kern w:val="1"/>
          <w:sz w:val="21"/>
          <w:szCs w:val="21"/>
        </w:rPr>
        <w:br w:type="page"/>
      </w:r>
      <w:r>
        <w:rPr>
          <w:rFonts w:hint="eastAsia" w:ascii="宋体" w:hAnsi="宋体" w:cs="宋体"/>
          <w:b/>
          <w:sz w:val="21"/>
          <w:szCs w:val="21"/>
        </w:rPr>
        <w:t>4）技术要求响应表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的要求，响应条款有“正偏离”或“负偏离”的应当在“偏离情况说明”栏进行明确描述，响应情况由评标委员会认定。</w:t>
      </w:r>
    </w:p>
    <w:p>
      <w:pPr>
        <w:snapToGrid w:val="0"/>
        <w:spacing w:before="50" w:after="50" w:line="360" w:lineRule="auto"/>
        <w:ind w:left="-23" w:leftChars="-11" w:right="27" w:rightChars="13" w:firstLine="21" w:firstLineChars="10"/>
        <w:rPr>
          <w:rFonts w:ascii="宋体" w:hAnsi="宋体" w:cs="宋体"/>
          <w:b/>
          <w:bCs/>
          <w:szCs w:val="30"/>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日  期：</w:t>
      </w:r>
    </w:p>
    <w:p>
      <w:pPr>
        <w:pStyle w:val="23"/>
        <w:spacing w:line="360" w:lineRule="auto"/>
        <w:ind w:left="0" w:leftChars="0"/>
        <w:jc w:val="center"/>
        <w:rPr>
          <w:rFonts w:ascii="宋体" w:hAnsi="宋体" w:cs="宋体"/>
          <w:b/>
          <w:sz w:val="21"/>
          <w:szCs w:val="21"/>
        </w:rPr>
      </w:pPr>
      <w:r>
        <w:rPr>
          <w:rFonts w:ascii="宋体" w:hAnsi="宋体"/>
          <w:szCs w:val="21"/>
        </w:rPr>
        <w:br w:type="page"/>
      </w:r>
      <w:r>
        <w:rPr>
          <w:rFonts w:hint="eastAsia" w:ascii="宋体" w:hAnsi="宋体" w:cs="宋体"/>
          <w:b/>
          <w:sz w:val="21"/>
          <w:szCs w:val="21"/>
        </w:rPr>
        <w:t>5）商务要求响应表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的要求，响应条款有“正偏离”或“负偏离”的应当在“偏离情况说明”栏进行明确描述，响应情况由评标委员会认定。</w:t>
      </w:r>
    </w:p>
    <w:p>
      <w:pPr>
        <w:snapToGrid w:val="0"/>
        <w:spacing w:before="50" w:after="50" w:line="360" w:lineRule="auto"/>
        <w:ind w:left="-23" w:leftChars="-11" w:right="-57" w:rightChars="-27" w:firstLine="21" w:firstLineChars="10"/>
        <w:rPr>
          <w:rFonts w:ascii="宋体" w:hAnsi="宋体"/>
          <w:b/>
          <w:szCs w:val="21"/>
        </w:rPr>
      </w:pP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日  期：</w:t>
      </w:r>
    </w:p>
    <w:p>
      <w:pPr>
        <w:snapToGrid w:val="0"/>
        <w:spacing w:line="360" w:lineRule="auto"/>
        <w:ind w:firstLine="3685" w:firstLineChars="1755"/>
        <w:rPr>
          <w:rFonts w:ascii="宋体" w:hAnsi="宋体"/>
          <w:szCs w:val="21"/>
        </w:rPr>
      </w:pPr>
    </w:p>
    <w:p>
      <w:pPr>
        <w:pStyle w:val="23"/>
        <w:spacing w:line="360" w:lineRule="auto"/>
        <w:ind w:left="0" w:leftChars="0"/>
        <w:jc w:val="center"/>
        <w:rPr>
          <w:rFonts w:ascii="宋体" w:hAnsi="宋体"/>
          <w:b/>
        </w:rPr>
      </w:pPr>
      <w:r>
        <w:rPr>
          <w:rFonts w:ascii="宋体" w:hAnsi="宋体"/>
          <w:szCs w:val="21"/>
        </w:rPr>
        <w:br w:type="page"/>
      </w:r>
      <w:r>
        <w:rPr>
          <w:rFonts w:hint="eastAsia" w:ascii="宋体" w:hAnsi="宋体" w:cs="宋体"/>
          <w:b/>
          <w:sz w:val="21"/>
          <w:szCs w:val="21"/>
        </w:rPr>
        <w:t>6）项目实施人员情况表</w:t>
      </w:r>
    </w:p>
    <w:tbl>
      <w:tblPr>
        <w:tblStyle w:val="4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bCs/>
                <w:szCs w:val="21"/>
              </w:rPr>
            </w:pPr>
            <w:r>
              <w:rPr>
                <w:rFonts w:hint="eastAsia" w:ascii="宋体" w:hAnsi="宋体"/>
                <w:bCs/>
                <w:szCs w:val="21"/>
              </w:rPr>
              <w:t>序号</w:t>
            </w:r>
          </w:p>
        </w:tc>
        <w:tc>
          <w:tcPr>
            <w:tcW w:w="1527" w:type="dxa"/>
            <w:vAlign w:val="center"/>
          </w:tcPr>
          <w:p>
            <w:pPr>
              <w:jc w:val="center"/>
              <w:rPr>
                <w:rFonts w:ascii="宋体" w:hAnsi="宋体"/>
                <w:bCs/>
                <w:szCs w:val="21"/>
              </w:rPr>
            </w:pPr>
            <w:r>
              <w:rPr>
                <w:rFonts w:hint="eastAsia" w:ascii="宋体" w:hAnsi="宋体"/>
                <w:bCs/>
                <w:szCs w:val="21"/>
              </w:rPr>
              <w:t>姓名</w:t>
            </w:r>
          </w:p>
        </w:tc>
        <w:tc>
          <w:tcPr>
            <w:tcW w:w="1167" w:type="dxa"/>
            <w:vAlign w:val="center"/>
          </w:tcPr>
          <w:p>
            <w:pPr>
              <w:jc w:val="center"/>
              <w:rPr>
                <w:rFonts w:ascii="宋体" w:hAnsi="宋体"/>
                <w:bCs/>
                <w:szCs w:val="21"/>
              </w:rPr>
            </w:pPr>
            <w:r>
              <w:rPr>
                <w:rFonts w:hint="eastAsia" w:ascii="宋体" w:hAnsi="宋体"/>
                <w:bCs/>
                <w:szCs w:val="21"/>
              </w:rPr>
              <w:t>岗位</w:t>
            </w:r>
          </w:p>
        </w:tc>
        <w:tc>
          <w:tcPr>
            <w:tcW w:w="1275" w:type="dxa"/>
            <w:vAlign w:val="center"/>
          </w:tcPr>
          <w:p>
            <w:pPr>
              <w:jc w:val="center"/>
              <w:rPr>
                <w:rFonts w:ascii="宋体" w:hAnsi="宋体"/>
                <w:bCs/>
                <w:szCs w:val="21"/>
              </w:rPr>
            </w:pPr>
            <w:r>
              <w:rPr>
                <w:rFonts w:hint="eastAsia" w:ascii="宋体" w:hAnsi="宋体"/>
                <w:bCs/>
                <w:szCs w:val="21"/>
              </w:rPr>
              <w:t>本项目主要工作内容</w:t>
            </w:r>
          </w:p>
        </w:tc>
        <w:tc>
          <w:tcPr>
            <w:tcW w:w="851" w:type="dxa"/>
            <w:vAlign w:val="center"/>
          </w:tcPr>
          <w:p>
            <w:pPr>
              <w:jc w:val="center"/>
              <w:rPr>
                <w:rFonts w:ascii="宋体" w:hAnsi="宋体"/>
                <w:bCs/>
                <w:szCs w:val="21"/>
              </w:rPr>
            </w:pPr>
            <w:r>
              <w:rPr>
                <w:rFonts w:hint="eastAsia" w:ascii="宋体" w:hAnsi="宋体"/>
                <w:bCs/>
                <w:szCs w:val="21"/>
              </w:rPr>
              <w:t>年龄</w:t>
            </w:r>
          </w:p>
        </w:tc>
        <w:tc>
          <w:tcPr>
            <w:tcW w:w="850" w:type="dxa"/>
            <w:vAlign w:val="center"/>
          </w:tcPr>
          <w:p>
            <w:pPr>
              <w:jc w:val="center"/>
              <w:rPr>
                <w:rFonts w:ascii="宋体" w:hAnsi="宋体"/>
                <w:bCs/>
                <w:szCs w:val="21"/>
              </w:rPr>
            </w:pPr>
            <w:r>
              <w:rPr>
                <w:rFonts w:hint="eastAsia" w:ascii="宋体" w:hAnsi="宋体"/>
                <w:bCs/>
                <w:szCs w:val="21"/>
              </w:rPr>
              <w:t>性别</w:t>
            </w:r>
          </w:p>
        </w:tc>
        <w:tc>
          <w:tcPr>
            <w:tcW w:w="1134" w:type="dxa"/>
            <w:vAlign w:val="center"/>
          </w:tcPr>
          <w:p>
            <w:pPr>
              <w:jc w:val="center"/>
              <w:rPr>
                <w:rFonts w:ascii="宋体" w:hAnsi="宋体"/>
                <w:bCs/>
                <w:szCs w:val="21"/>
              </w:rPr>
            </w:pPr>
            <w:r>
              <w:rPr>
                <w:rFonts w:hint="eastAsia" w:ascii="宋体" w:hAnsi="宋体"/>
                <w:bCs/>
                <w:szCs w:val="21"/>
              </w:rPr>
              <w:t>学历</w:t>
            </w:r>
          </w:p>
        </w:tc>
        <w:tc>
          <w:tcPr>
            <w:tcW w:w="1560" w:type="dxa"/>
            <w:vAlign w:val="center"/>
          </w:tcPr>
          <w:p>
            <w:pPr>
              <w:jc w:val="center"/>
              <w:rPr>
                <w:rFonts w:ascii="宋体" w:hAnsi="宋体"/>
                <w:bCs/>
                <w:szCs w:val="21"/>
              </w:rPr>
            </w:pPr>
            <w:r>
              <w:rPr>
                <w:rFonts w:hint="eastAsia" w:ascii="宋体" w:hAnsi="宋体"/>
                <w:bCs/>
                <w:szCs w:val="21"/>
              </w:rPr>
              <w:t>职称、执业资格等能力情况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1</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2</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3</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4</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5</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bl>
    <w:p>
      <w:pPr>
        <w:spacing w:line="360" w:lineRule="auto"/>
        <w:ind w:left="924" w:hanging="924" w:hangingChars="440"/>
        <w:rPr>
          <w:rFonts w:ascii="宋体" w:hAnsi="宋体" w:cs="宋体"/>
        </w:rPr>
      </w:pPr>
      <w:r>
        <w:rPr>
          <w:rFonts w:hint="eastAsia" w:ascii="宋体" w:hAnsi="宋体" w:cs="宋体"/>
        </w:rPr>
        <w:t>注：1、</w:t>
      </w:r>
      <w:r>
        <w:rPr>
          <w:rFonts w:hint="eastAsia" w:ascii="宋体" w:hAnsi="宋体" w:cs="宋体"/>
          <w:b/>
        </w:rPr>
        <w:t>项目负责人等与评审因素相关的人员列入本表并明确</w:t>
      </w:r>
      <w:r>
        <w:rPr>
          <w:rFonts w:hint="eastAsia" w:ascii="宋体" w:hAnsi="宋体" w:cs="宋体"/>
        </w:rPr>
        <w:t>。</w:t>
      </w:r>
    </w:p>
    <w:p>
      <w:pPr>
        <w:spacing w:line="360" w:lineRule="auto"/>
        <w:ind w:left="924" w:hanging="924" w:hangingChars="440"/>
        <w:rPr>
          <w:rFonts w:ascii="宋体" w:hAnsi="宋体" w:cs="宋体"/>
        </w:rPr>
      </w:pPr>
      <w:r>
        <w:rPr>
          <w:rFonts w:hint="eastAsia" w:ascii="宋体" w:hAnsi="宋体" w:cs="宋体"/>
        </w:rPr>
        <w:t>2、列入本表人员如要更换，需经采购人同意，擅自更换或不到位属违约行为。</w:t>
      </w:r>
    </w:p>
    <w:p>
      <w:pPr>
        <w:spacing w:line="360" w:lineRule="auto"/>
        <w:ind w:left="924" w:hanging="924" w:hangingChars="440"/>
        <w:rPr>
          <w:rFonts w:ascii="宋体" w:hAnsi="宋体" w:cs="宋体"/>
        </w:rPr>
      </w:pPr>
      <w:r>
        <w:rPr>
          <w:rFonts w:hint="eastAsia" w:ascii="宋体" w:hAnsi="宋体" w:cs="宋体"/>
        </w:rPr>
        <w:t>3、</w:t>
      </w:r>
      <w:r>
        <w:rPr>
          <w:rFonts w:hint="eastAsia" w:ascii="宋体" w:hAnsi="宋体"/>
          <w:bCs/>
          <w:szCs w:val="21"/>
        </w:rPr>
        <w:t>职称、执业资格等能力情况</w:t>
      </w:r>
      <w:r>
        <w:rPr>
          <w:rFonts w:hint="eastAsia" w:ascii="宋体" w:hAnsi="宋体" w:cs="宋体"/>
        </w:rPr>
        <w:t>证明材料的复印件后附（如有）。</w:t>
      </w:r>
    </w:p>
    <w:p>
      <w:pPr>
        <w:spacing w:line="360" w:lineRule="auto"/>
        <w:ind w:firstLine="420" w:firstLineChars="200"/>
        <w:rPr>
          <w:rFonts w:ascii="宋体" w:hAnsi="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p>
    <w:p>
      <w:pPr>
        <w:snapToGrid w:val="0"/>
        <w:spacing w:line="360" w:lineRule="auto"/>
        <w:rPr>
          <w:rFonts w:ascii="宋体" w:hAnsi="宋体"/>
          <w:szCs w:val="21"/>
        </w:rPr>
      </w:pPr>
    </w:p>
    <w:p>
      <w:pPr>
        <w:pStyle w:val="23"/>
        <w:spacing w:line="360" w:lineRule="auto"/>
        <w:jc w:val="center"/>
        <w:rPr>
          <w:rFonts w:ascii="宋体" w:hAnsi="宋体"/>
          <w:sz w:val="21"/>
          <w:szCs w:val="21"/>
        </w:rPr>
      </w:pPr>
    </w:p>
    <w:p>
      <w:pPr>
        <w:pStyle w:val="23"/>
        <w:spacing w:line="360" w:lineRule="auto"/>
        <w:ind w:left="0" w:leftChars="0"/>
        <w:jc w:val="center"/>
        <w:rPr>
          <w:rFonts w:ascii="宋体" w:hAnsi="宋体"/>
          <w:szCs w:val="21"/>
        </w:rPr>
      </w:pPr>
      <w:r>
        <w:rPr>
          <w:rFonts w:ascii="宋体" w:hAnsi="宋体"/>
          <w:szCs w:val="21"/>
        </w:rPr>
        <w:br w:type="page"/>
      </w:r>
      <w:r>
        <w:rPr>
          <w:rFonts w:hint="eastAsia" w:ascii="宋体" w:hAnsi="宋体" w:cs="宋体"/>
          <w:b/>
          <w:sz w:val="21"/>
          <w:szCs w:val="21"/>
        </w:rPr>
        <w:t>7）类似项目业绩一览表</w:t>
      </w:r>
    </w:p>
    <w:tbl>
      <w:tblPr>
        <w:tblStyle w:val="45"/>
        <w:tblW w:w="8827"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序号</w:t>
            </w:r>
          </w:p>
        </w:tc>
        <w:tc>
          <w:tcPr>
            <w:tcW w:w="1701" w:type="dxa"/>
            <w:vAlign w:val="center"/>
          </w:tcPr>
          <w:p>
            <w:pPr>
              <w:spacing w:line="300" w:lineRule="exact"/>
              <w:jc w:val="center"/>
              <w:rPr>
                <w:rFonts w:ascii="宋体" w:hAnsi="宋体"/>
                <w:bCs/>
                <w:szCs w:val="21"/>
              </w:rPr>
            </w:pPr>
            <w:r>
              <w:rPr>
                <w:rFonts w:hint="eastAsia" w:ascii="宋体" w:hAnsi="宋体"/>
                <w:bCs/>
                <w:szCs w:val="21"/>
              </w:rPr>
              <w:t>用户名称</w:t>
            </w:r>
          </w:p>
        </w:tc>
        <w:tc>
          <w:tcPr>
            <w:tcW w:w="1560" w:type="dxa"/>
            <w:vAlign w:val="center"/>
          </w:tcPr>
          <w:p>
            <w:pPr>
              <w:spacing w:line="300" w:lineRule="exact"/>
              <w:jc w:val="center"/>
              <w:rPr>
                <w:rFonts w:ascii="宋体" w:hAnsi="宋体"/>
                <w:bCs/>
                <w:szCs w:val="21"/>
              </w:rPr>
            </w:pPr>
            <w:r>
              <w:rPr>
                <w:rFonts w:hint="eastAsia" w:ascii="宋体" w:hAnsi="宋体"/>
                <w:bCs/>
                <w:szCs w:val="21"/>
              </w:rPr>
              <w:t>项目内容</w:t>
            </w:r>
          </w:p>
        </w:tc>
        <w:tc>
          <w:tcPr>
            <w:tcW w:w="1984" w:type="dxa"/>
            <w:vAlign w:val="center"/>
          </w:tcPr>
          <w:p>
            <w:pPr>
              <w:spacing w:line="300" w:lineRule="exact"/>
              <w:jc w:val="center"/>
              <w:rPr>
                <w:rFonts w:ascii="宋体" w:hAnsi="宋体"/>
                <w:bCs/>
                <w:szCs w:val="21"/>
              </w:rPr>
            </w:pPr>
            <w:r>
              <w:rPr>
                <w:rFonts w:hint="eastAsia" w:ascii="宋体" w:hAnsi="宋体"/>
                <w:bCs/>
                <w:szCs w:val="21"/>
              </w:rPr>
              <w:t>合同金额</w:t>
            </w:r>
          </w:p>
        </w:tc>
        <w:tc>
          <w:tcPr>
            <w:tcW w:w="2835" w:type="dxa"/>
            <w:tcBorders>
              <w:right w:val="single" w:color="auto" w:sz="4" w:space="0"/>
            </w:tcBorders>
            <w:vAlign w:val="center"/>
          </w:tcPr>
          <w:p>
            <w:pPr>
              <w:spacing w:line="300" w:lineRule="exact"/>
              <w:jc w:val="center"/>
              <w:rPr>
                <w:rFonts w:ascii="宋体" w:hAnsi="宋体"/>
                <w:bCs/>
                <w:szCs w:val="21"/>
              </w:rPr>
            </w:pPr>
            <w:r>
              <w:rPr>
                <w:rFonts w:hint="eastAsia" w:ascii="宋体" w:hAnsi="宋体"/>
                <w:bCs/>
                <w:szCs w:val="21"/>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1</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2</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3</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4</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5</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bl>
    <w:p>
      <w:pPr>
        <w:spacing w:line="360" w:lineRule="auto"/>
        <w:ind w:left="924" w:hanging="924" w:hangingChars="440"/>
        <w:rPr>
          <w:rFonts w:ascii="宋体" w:hAnsi="宋体" w:cs="宋体"/>
        </w:rPr>
      </w:pPr>
      <w:r>
        <w:rPr>
          <w:rFonts w:hint="eastAsia" w:ascii="宋体" w:hAnsi="宋体" w:cs="宋体"/>
          <w:bCs/>
          <w:szCs w:val="21"/>
        </w:rPr>
        <w:t>注：根据评委打分表的要求提供证明材料</w:t>
      </w:r>
      <w:r>
        <w:rPr>
          <w:rFonts w:hint="eastAsia" w:ascii="宋体" w:hAnsi="宋体"/>
          <w:szCs w:val="21"/>
        </w:rPr>
        <w:t>。</w:t>
      </w:r>
    </w:p>
    <w:p>
      <w:pPr>
        <w:snapToGrid w:val="0"/>
        <w:spacing w:before="50" w:after="50" w:line="360" w:lineRule="auto"/>
        <w:ind w:left="-23" w:leftChars="-11" w:right="27" w:rightChars="13" w:firstLine="21" w:firstLineChars="10"/>
        <w:rPr>
          <w:rFonts w:ascii="宋体" w:hAnsi="宋体" w:cs="宋体"/>
          <w:bCs/>
          <w:szCs w:val="21"/>
        </w:rPr>
      </w:pPr>
    </w:p>
    <w:p>
      <w:pPr>
        <w:spacing w:line="360" w:lineRule="auto"/>
        <w:rPr>
          <w:rFonts w:ascii="宋体" w:hAnsi="宋体" w:cs="宋体"/>
          <w:szCs w:val="21"/>
        </w:rPr>
      </w:pPr>
    </w:p>
    <w:p>
      <w:pPr>
        <w:snapToGrid w:val="0"/>
        <w:spacing w:line="360" w:lineRule="auto"/>
        <w:ind w:firstLine="3685" w:firstLineChars="1755"/>
        <w:rPr>
          <w:rFonts w:ascii="宋体" w:hAnsi="宋体"/>
          <w:szCs w:val="21"/>
        </w:rPr>
      </w:pPr>
    </w:p>
    <w:p>
      <w:pPr>
        <w:snapToGrid w:val="0"/>
        <w:spacing w:line="360" w:lineRule="auto"/>
        <w:ind w:left="-23" w:leftChars="-11" w:right="-214" w:rightChars="-102" w:firstLine="21" w:firstLineChars="10"/>
        <w:jc w:val="left"/>
        <w:rPr>
          <w:rFonts w:ascii="宋体" w:hAnsi="宋体"/>
          <w:b/>
        </w:rPr>
      </w:pPr>
      <w:r>
        <w:rPr>
          <w:rFonts w:ascii="宋体" w:hAnsi="宋体"/>
          <w:b/>
          <w:szCs w:val="21"/>
        </w:rPr>
        <w:br w:type="page"/>
      </w:r>
      <w:r>
        <w:rPr>
          <w:rFonts w:hint="eastAsia" w:ascii="宋体" w:hAnsi="宋体"/>
          <w:b/>
        </w:rPr>
        <w:t>3、报价要求响应文件的有关格式</w:t>
      </w:r>
    </w:p>
    <w:p>
      <w:pPr>
        <w:pStyle w:val="23"/>
        <w:spacing w:line="360" w:lineRule="auto"/>
        <w:ind w:left="0" w:leftChars="0"/>
        <w:jc w:val="center"/>
        <w:rPr>
          <w:rFonts w:ascii="宋体" w:hAnsi="宋体"/>
          <w:kern w:val="1"/>
          <w:szCs w:val="21"/>
        </w:rPr>
      </w:pPr>
      <w:r>
        <w:rPr>
          <w:rFonts w:hint="eastAsia" w:ascii="宋体" w:hAnsi="宋体" w:cs="宋体"/>
          <w:b/>
          <w:sz w:val="21"/>
          <w:szCs w:val="21"/>
        </w:rPr>
        <w:t>1）开标一览表</w:t>
      </w:r>
    </w:p>
    <w:tbl>
      <w:tblPr>
        <w:tblStyle w:val="45"/>
        <w:tblpPr w:leftFromText="180" w:rightFromText="180" w:vertAnchor="text" w:horzAnchor="margin"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pPr>
              <w:pStyle w:val="23"/>
              <w:spacing w:after="0"/>
              <w:ind w:left="457" w:leftChars="0" w:hanging="457" w:hangingChars="218"/>
              <w:jc w:val="center"/>
              <w:rPr>
                <w:rFonts w:ascii="宋体" w:hAnsi="宋体"/>
                <w:kern w:val="2"/>
                <w:sz w:val="21"/>
                <w:szCs w:val="21"/>
              </w:rPr>
            </w:pPr>
            <w:r>
              <w:rPr>
                <w:rFonts w:ascii="宋体" w:hAnsi="宋体"/>
                <w:kern w:val="2"/>
                <w:sz w:val="21"/>
                <w:szCs w:val="21"/>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pPr>
              <w:pStyle w:val="23"/>
              <w:spacing w:after="0"/>
              <w:ind w:left="36" w:leftChars="17"/>
              <w:jc w:val="center"/>
              <w:rPr>
                <w:rFonts w:ascii="宋体" w:hAnsi="宋体"/>
                <w:kern w:val="2"/>
                <w:sz w:val="21"/>
                <w:szCs w:val="21"/>
              </w:rPr>
            </w:pPr>
            <w:r>
              <w:rPr>
                <w:rFonts w:hint="eastAsia" w:ascii="宋体" w:hAnsi="宋体"/>
                <w:kern w:val="2"/>
                <w:sz w:val="21"/>
                <w:szCs w:val="21"/>
              </w:rPr>
              <w:t>镇海区“数字治气”应用</w:t>
            </w:r>
            <w:r>
              <w:rPr>
                <w:rFonts w:ascii="宋体" w:hAnsi="宋体"/>
                <w:kern w:val="2"/>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3"/>
              <w:spacing w:after="0"/>
              <w:ind w:left="457" w:leftChars="0" w:hanging="457" w:hangingChars="218"/>
              <w:jc w:val="center"/>
              <w:rPr>
                <w:rFonts w:ascii="宋体" w:hAnsi="宋体"/>
                <w:sz w:val="21"/>
                <w:szCs w:val="21"/>
              </w:rPr>
            </w:pPr>
            <w:r>
              <w:rPr>
                <w:rFonts w:hint="eastAsia" w:ascii="宋体" w:hAnsi="宋体"/>
                <w:kern w:val="2"/>
                <w:sz w:val="21"/>
                <w:szCs w:val="21"/>
              </w:rPr>
              <w:t>项目编号</w:t>
            </w:r>
          </w:p>
        </w:tc>
        <w:tc>
          <w:tcPr>
            <w:tcW w:w="5954" w:type="dxa"/>
            <w:tcBorders>
              <w:top w:val="single" w:color="auto" w:sz="4" w:space="0"/>
              <w:left w:val="single" w:color="auto" w:sz="4" w:space="0"/>
              <w:right w:val="single" w:color="auto" w:sz="4" w:space="0"/>
            </w:tcBorders>
            <w:vAlign w:val="center"/>
          </w:tcPr>
          <w:p>
            <w:pPr>
              <w:pStyle w:val="23"/>
              <w:spacing w:after="0"/>
              <w:ind w:left="36" w:leftChars="17"/>
              <w:jc w:val="center"/>
              <w:rPr>
                <w:rFonts w:ascii="宋体" w:hAnsi="宋体"/>
                <w:kern w:val="2"/>
                <w:sz w:val="21"/>
                <w:szCs w:val="21"/>
              </w:rPr>
            </w:pPr>
            <w:r>
              <w:rPr>
                <w:rFonts w:ascii="宋体" w:hAnsi="宋体"/>
                <w:kern w:val="2"/>
                <w:sz w:val="21"/>
                <w:szCs w:val="21"/>
              </w:rPr>
              <w:t>NBMC-</w:t>
            </w:r>
            <w:r>
              <w:rPr>
                <w:rFonts w:hint="eastAsia" w:ascii="宋体" w:hAnsi="宋体"/>
                <w:kern w:val="2"/>
                <w:sz w:val="21"/>
                <w:szCs w:val="21"/>
              </w:rPr>
              <w:t>20239107G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3"/>
              <w:spacing w:after="0"/>
              <w:ind w:left="457" w:leftChars="0" w:hanging="457" w:hangingChars="218"/>
              <w:jc w:val="center"/>
              <w:rPr>
                <w:rFonts w:ascii="宋体" w:hAnsi="宋体"/>
                <w:sz w:val="21"/>
                <w:szCs w:val="21"/>
              </w:rPr>
            </w:pPr>
            <w:r>
              <w:rPr>
                <w:rFonts w:hint="eastAsia" w:ascii="宋体" w:hAnsi="宋体"/>
                <w:kern w:val="2"/>
                <w:sz w:val="21"/>
                <w:szCs w:val="21"/>
              </w:rPr>
              <w:t>标项</w:t>
            </w:r>
          </w:p>
        </w:tc>
        <w:tc>
          <w:tcPr>
            <w:tcW w:w="5954" w:type="dxa"/>
            <w:tcBorders>
              <w:top w:val="single" w:color="auto" w:sz="4" w:space="0"/>
              <w:left w:val="single" w:color="auto" w:sz="4" w:space="0"/>
              <w:right w:val="single" w:color="auto" w:sz="4" w:space="0"/>
            </w:tcBorders>
            <w:vAlign w:val="center"/>
          </w:tcPr>
          <w:p>
            <w:pPr>
              <w:pStyle w:val="23"/>
              <w:spacing w:after="0"/>
              <w:ind w:left="36" w:leftChars="17"/>
              <w:jc w:val="center"/>
              <w:rPr>
                <w:rFonts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3"/>
              <w:spacing w:after="0"/>
              <w:ind w:left="457" w:leftChars="0" w:hanging="457" w:hangingChars="218"/>
              <w:jc w:val="center"/>
              <w:rPr>
                <w:rFonts w:ascii="宋体" w:hAnsi="宋体"/>
                <w:sz w:val="21"/>
                <w:szCs w:val="21"/>
              </w:rPr>
            </w:pPr>
            <w:r>
              <w:rPr>
                <w:rFonts w:hint="eastAsia" w:ascii="宋体" w:hAnsi="宋体"/>
                <w:kern w:val="2"/>
                <w:sz w:val="21"/>
                <w:szCs w:val="21"/>
              </w:rPr>
              <w:t>投标报价（元）</w:t>
            </w:r>
          </w:p>
        </w:tc>
        <w:tc>
          <w:tcPr>
            <w:tcW w:w="5954" w:type="dxa"/>
            <w:tcBorders>
              <w:top w:val="single" w:color="auto" w:sz="4" w:space="0"/>
              <w:left w:val="single" w:color="auto" w:sz="4" w:space="0"/>
              <w:right w:val="single" w:color="auto" w:sz="4" w:space="0"/>
            </w:tcBorders>
            <w:vAlign w:val="center"/>
          </w:tcPr>
          <w:p>
            <w:pPr>
              <w:pStyle w:val="23"/>
              <w:spacing w:after="0"/>
              <w:ind w:left="457" w:leftChars="0" w:hanging="457" w:hangingChars="218"/>
              <w:jc w:val="left"/>
              <w:rPr>
                <w:rFonts w:ascii="宋体" w:hAnsi="宋体"/>
                <w:sz w:val="21"/>
                <w:szCs w:val="21"/>
              </w:rPr>
            </w:pPr>
            <w:r>
              <w:rPr>
                <w:rFonts w:hint="eastAsia" w:ascii="宋体" w:hAnsi="宋体"/>
                <w:kern w:val="2"/>
                <w:sz w:val="21"/>
                <w:szCs w:val="21"/>
              </w:rPr>
              <w:t>小写：</w:t>
            </w:r>
          </w:p>
          <w:p>
            <w:pPr>
              <w:pStyle w:val="23"/>
              <w:spacing w:after="0"/>
              <w:ind w:left="457" w:leftChars="0" w:hanging="457" w:hangingChars="218"/>
              <w:jc w:val="left"/>
              <w:rPr>
                <w:rFonts w:ascii="宋体" w:hAnsi="宋体"/>
                <w:kern w:val="2"/>
                <w:sz w:val="21"/>
                <w:szCs w:val="21"/>
              </w:rPr>
            </w:pPr>
            <w:r>
              <w:rPr>
                <w:rFonts w:hint="eastAsia" w:ascii="宋体" w:hAnsi="宋体"/>
                <w:kern w:val="2"/>
                <w:sz w:val="21"/>
                <w:szCs w:val="21"/>
              </w:rPr>
              <w:t>大写：</w:t>
            </w:r>
          </w:p>
        </w:tc>
      </w:tr>
    </w:tbl>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注</w:t>
      </w:r>
      <w:r>
        <w:rPr>
          <w:rFonts w:ascii="宋体" w:hAnsi="宋体" w:cs="宋体"/>
          <w:bCs/>
          <w:szCs w:val="21"/>
        </w:rPr>
        <w:t>：</w:t>
      </w:r>
      <w:r>
        <w:rPr>
          <w:rFonts w:hint="eastAsia" w:ascii="宋体" w:hAnsi="宋体" w:cs="宋体"/>
          <w:bCs/>
          <w:szCs w:val="21"/>
        </w:rPr>
        <w:t>1、报价一经涂改，应在涂改处加盖单位公章或由法定代表人或其授权代表签字，否则评标委员会将不接受该修改内容。</w:t>
      </w:r>
    </w:p>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2、以招标文件所述的采购（工作）量的总价填写投标报价。</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hint="eastAsia" w:ascii="宋体" w:hAnsi="宋体"/>
          <w:szCs w:val="21"/>
          <w:u w:val="single"/>
        </w:rPr>
        <w:t>（签字或盖章）</w:t>
      </w:r>
      <w:r>
        <w:rPr>
          <w:rFonts w:ascii="宋体" w:hAnsi="宋体"/>
          <w:szCs w:val="21"/>
          <w:u w:val="single"/>
        </w:rPr>
        <w:t>_____</w:t>
      </w:r>
      <w:r>
        <w:rPr>
          <w:rFonts w:ascii="宋体" w:hAnsi="宋体"/>
          <w:szCs w:val="21"/>
        </w:rPr>
        <w:t>_</w:t>
      </w:r>
    </w:p>
    <w:p>
      <w:pPr>
        <w:snapToGrid w:val="0"/>
        <w:spacing w:line="360" w:lineRule="auto"/>
        <w:ind w:firstLine="3685" w:firstLineChars="1755"/>
        <w:rPr>
          <w:rFonts w:ascii="宋体" w:hAnsi="宋体"/>
          <w:szCs w:val="21"/>
        </w:rPr>
      </w:pPr>
      <w:r>
        <w:rPr>
          <w:rFonts w:hint="eastAsia" w:ascii="宋体" w:hAnsi="宋体"/>
          <w:szCs w:val="21"/>
        </w:rPr>
        <w:t>日  期：</w:t>
      </w:r>
    </w:p>
    <w:p>
      <w:pPr>
        <w:pStyle w:val="23"/>
        <w:spacing w:line="360" w:lineRule="auto"/>
        <w:ind w:left="0" w:leftChars="0"/>
        <w:jc w:val="center"/>
        <w:rPr>
          <w:rFonts w:ascii="宋体" w:hAnsi="宋体"/>
          <w:b/>
          <w:szCs w:val="21"/>
        </w:rPr>
      </w:pPr>
      <w:r>
        <w:rPr>
          <w:rFonts w:ascii="宋体" w:hAnsi="宋体"/>
          <w:b/>
          <w:szCs w:val="21"/>
        </w:rPr>
        <w:br w:type="page"/>
      </w:r>
      <w:r>
        <w:rPr>
          <w:rFonts w:hint="eastAsia" w:ascii="宋体" w:hAnsi="宋体" w:cs="宋体"/>
          <w:b/>
          <w:sz w:val="21"/>
          <w:szCs w:val="21"/>
        </w:rPr>
        <w:t>2</w:t>
      </w:r>
      <w:r>
        <w:rPr>
          <w:rFonts w:ascii="宋体" w:hAnsi="宋体" w:cs="宋体"/>
          <w:b/>
          <w:sz w:val="21"/>
          <w:szCs w:val="21"/>
        </w:rPr>
        <w:t>）投标报价组成明细表</w:t>
      </w:r>
    </w:p>
    <w:tbl>
      <w:tblPr>
        <w:tblStyle w:val="4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839"/>
        <w:gridCol w:w="847"/>
        <w:gridCol w:w="992"/>
        <w:gridCol w:w="170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bCs/>
                <w:szCs w:val="21"/>
              </w:rPr>
            </w:pPr>
            <w:r>
              <w:rPr>
                <w:rFonts w:ascii="宋体" w:hAnsi="宋体"/>
                <w:bCs/>
                <w:szCs w:val="21"/>
              </w:rPr>
              <w:t>序号</w:t>
            </w:r>
          </w:p>
        </w:tc>
        <w:tc>
          <w:tcPr>
            <w:tcW w:w="2839" w:type="dxa"/>
            <w:vAlign w:val="center"/>
          </w:tcPr>
          <w:p>
            <w:pPr>
              <w:spacing w:line="300" w:lineRule="exact"/>
              <w:jc w:val="center"/>
              <w:rPr>
                <w:rFonts w:ascii="宋体" w:hAnsi="宋体"/>
                <w:bCs/>
                <w:szCs w:val="21"/>
              </w:rPr>
            </w:pPr>
            <w:r>
              <w:rPr>
                <w:rFonts w:hint="eastAsia" w:ascii="宋体" w:hAnsi="宋体"/>
                <w:szCs w:val="21"/>
                <w:lang w:val="en-GB"/>
              </w:rPr>
              <w:t>费用名称</w:t>
            </w:r>
          </w:p>
        </w:tc>
        <w:tc>
          <w:tcPr>
            <w:tcW w:w="847" w:type="dxa"/>
            <w:vAlign w:val="center"/>
          </w:tcPr>
          <w:p>
            <w:pPr>
              <w:spacing w:line="300" w:lineRule="exact"/>
              <w:jc w:val="center"/>
              <w:rPr>
                <w:rFonts w:ascii="宋体" w:hAnsi="宋体"/>
                <w:bCs/>
                <w:szCs w:val="21"/>
              </w:rPr>
            </w:pPr>
            <w:r>
              <w:rPr>
                <w:rFonts w:hint="eastAsia" w:ascii="宋体" w:hAnsi="宋体"/>
                <w:bCs/>
                <w:szCs w:val="21"/>
              </w:rPr>
              <w:t>单位</w:t>
            </w:r>
          </w:p>
        </w:tc>
        <w:tc>
          <w:tcPr>
            <w:tcW w:w="992" w:type="dxa"/>
            <w:vAlign w:val="center"/>
          </w:tcPr>
          <w:p>
            <w:pPr>
              <w:spacing w:line="300" w:lineRule="exact"/>
              <w:jc w:val="center"/>
              <w:rPr>
                <w:rFonts w:ascii="宋体" w:hAnsi="宋体"/>
                <w:bCs/>
                <w:szCs w:val="21"/>
              </w:rPr>
            </w:pPr>
            <w:r>
              <w:rPr>
                <w:rFonts w:ascii="宋体" w:hAnsi="宋体"/>
                <w:bCs/>
                <w:szCs w:val="21"/>
              </w:rPr>
              <w:t>数量</w:t>
            </w:r>
          </w:p>
        </w:tc>
        <w:tc>
          <w:tcPr>
            <w:tcW w:w="1703" w:type="dxa"/>
            <w:vAlign w:val="center"/>
          </w:tcPr>
          <w:p>
            <w:pPr>
              <w:spacing w:line="300" w:lineRule="exact"/>
              <w:jc w:val="center"/>
              <w:rPr>
                <w:rFonts w:ascii="宋体" w:hAnsi="宋体"/>
                <w:bCs/>
                <w:szCs w:val="21"/>
              </w:rPr>
            </w:pPr>
            <w:r>
              <w:rPr>
                <w:rFonts w:ascii="宋体" w:hAnsi="宋体"/>
                <w:bCs/>
                <w:szCs w:val="21"/>
              </w:rPr>
              <w:t>单价（元）</w:t>
            </w:r>
          </w:p>
        </w:tc>
        <w:tc>
          <w:tcPr>
            <w:tcW w:w="1751" w:type="dxa"/>
            <w:vAlign w:val="center"/>
          </w:tcPr>
          <w:p>
            <w:pPr>
              <w:spacing w:line="300" w:lineRule="exact"/>
              <w:jc w:val="center"/>
              <w:rPr>
                <w:rFonts w:ascii="宋体" w:hAnsi="宋体"/>
                <w:bCs/>
                <w:szCs w:val="21"/>
              </w:rPr>
            </w:pPr>
            <w:r>
              <w:rPr>
                <w:rFonts w:ascii="宋体" w:hAnsi="宋体"/>
                <w:bCs/>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color w:val="000000"/>
                <w:kern w:val="0"/>
                <w:szCs w:val="21"/>
              </w:rPr>
            </w:pPr>
            <w:r>
              <w:rPr>
                <w:color w:val="000000"/>
                <w:kern w:val="0"/>
                <w:szCs w:val="21"/>
              </w:rPr>
              <w:t>一</w:t>
            </w:r>
          </w:p>
        </w:tc>
        <w:tc>
          <w:tcPr>
            <w:tcW w:w="2839" w:type="dxa"/>
            <w:vAlign w:val="center"/>
          </w:tcPr>
          <w:p>
            <w:pPr>
              <w:widowControl/>
              <w:rPr>
                <w:color w:val="000000"/>
                <w:kern w:val="0"/>
                <w:szCs w:val="21"/>
              </w:rPr>
            </w:pPr>
            <w:r>
              <w:rPr>
                <w:color w:val="000000"/>
                <w:kern w:val="0"/>
                <w:szCs w:val="21"/>
              </w:rPr>
              <w:t>项目建设</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项</w:t>
            </w:r>
          </w:p>
        </w:tc>
        <w:tc>
          <w:tcPr>
            <w:tcW w:w="992" w:type="dxa"/>
            <w:vAlign w:val="center"/>
          </w:tcPr>
          <w:p>
            <w:pPr>
              <w:spacing w:line="300" w:lineRule="exact"/>
              <w:jc w:val="center"/>
              <w:rPr>
                <w:rFonts w:ascii="宋体" w:hAnsi="宋体"/>
                <w:szCs w:val="21"/>
              </w:rPr>
            </w:pPr>
            <w:r>
              <w:rPr>
                <w:rFonts w:hint="eastAsia" w:ascii="宋体" w:hAnsi="宋体"/>
                <w:szCs w:val="21"/>
              </w:rPr>
              <w:t>1</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rFonts w:eastAsia="等线"/>
                <w:b/>
                <w:bCs/>
                <w:color w:val="000000"/>
                <w:kern w:val="0"/>
              </w:rPr>
            </w:pPr>
            <w:r>
              <w:rPr>
                <w:rFonts w:eastAsia="等线"/>
                <w:b/>
                <w:bCs/>
                <w:color w:val="000000"/>
                <w:kern w:val="0"/>
              </w:rPr>
              <w:t>1</w:t>
            </w:r>
          </w:p>
        </w:tc>
        <w:tc>
          <w:tcPr>
            <w:tcW w:w="2839" w:type="dxa"/>
            <w:vAlign w:val="center"/>
          </w:tcPr>
          <w:p>
            <w:pPr>
              <w:widowControl/>
              <w:rPr>
                <w:b/>
                <w:bCs/>
                <w:color w:val="000000"/>
                <w:kern w:val="0"/>
                <w:szCs w:val="21"/>
              </w:rPr>
            </w:pPr>
            <w:r>
              <w:rPr>
                <w:b/>
                <w:bCs/>
                <w:color w:val="000000"/>
                <w:kern w:val="0"/>
                <w:szCs w:val="21"/>
              </w:rPr>
              <w:t>业务应用体系建设</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批</w:t>
            </w:r>
          </w:p>
        </w:tc>
        <w:tc>
          <w:tcPr>
            <w:tcW w:w="992" w:type="dxa"/>
            <w:vAlign w:val="center"/>
          </w:tcPr>
          <w:p>
            <w:pPr>
              <w:spacing w:line="300" w:lineRule="exact"/>
              <w:jc w:val="center"/>
              <w:rPr>
                <w:rFonts w:ascii="宋体" w:hAnsi="宋体"/>
                <w:szCs w:val="21"/>
              </w:rPr>
            </w:pPr>
            <w:r>
              <w:rPr>
                <w:rFonts w:hint="eastAsia" w:ascii="宋体" w:hAnsi="宋体"/>
                <w:szCs w:val="21"/>
              </w:rPr>
              <w:t>1</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rFonts w:eastAsia="等线"/>
                <w:color w:val="000000"/>
                <w:kern w:val="0"/>
              </w:rPr>
            </w:pPr>
            <w:r>
              <w:rPr>
                <w:rFonts w:eastAsia="等线"/>
                <w:color w:val="000000"/>
                <w:kern w:val="0"/>
              </w:rPr>
              <w:t>1.1</w:t>
            </w:r>
          </w:p>
        </w:tc>
        <w:tc>
          <w:tcPr>
            <w:tcW w:w="2839" w:type="dxa"/>
            <w:vAlign w:val="center"/>
          </w:tcPr>
          <w:p>
            <w:pPr>
              <w:widowControl/>
              <w:rPr>
                <w:color w:val="000000"/>
                <w:kern w:val="0"/>
                <w:szCs w:val="21"/>
              </w:rPr>
            </w:pPr>
            <w:r>
              <w:rPr>
                <w:color w:val="000000"/>
                <w:kern w:val="0"/>
                <w:szCs w:val="21"/>
              </w:rPr>
              <w:t>污染源监管数字孪生地图</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项</w:t>
            </w:r>
          </w:p>
        </w:tc>
        <w:tc>
          <w:tcPr>
            <w:tcW w:w="992" w:type="dxa"/>
            <w:vAlign w:val="center"/>
          </w:tcPr>
          <w:p>
            <w:pPr>
              <w:spacing w:line="300" w:lineRule="exact"/>
              <w:jc w:val="center"/>
              <w:rPr>
                <w:rFonts w:ascii="宋体" w:hAnsi="宋体"/>
                <w:szCs w:val="21"/>
              </w:rPr>
            </w:pPr>
            <w:r>
              <w:rPr>
                <w:rFonts w:hint="eastAsia" w:ascii="宋体" w:hAnsi="宋体"/>
                <w:szCs w:val="21"/>
              </w:rPr>
              <w:t>1</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rFonts w:eastAsia="等线"/>
                <w:color w:val="000000"/>
                <w:kern w:val="0"/>
              </w:rPr>
            </w:pPr>
            <w:r>
              <w:rPr>
                <w:rFonts w:eastAsia="等线"/>
                <w:color w:val="000000"/>
                <w:kern w:val="0"/>
              </w:rPr>
              <w:t>1.2</w:t>
            </w:r>
          </w:p>
        </w:tc>
        <w:tc>
          <w:tcPr>
            <w:tcW w:w="2839" w:type="dxa"/>
            <w:vAlign w:val="center"/>
          </w:tcPr>
          <w:p>
            <w:pPr>
              <w:widowControl/>
              <w:rPr>
                <w:color w:val="000000"/>
                <w:kern w:val="0"/>
                <w:szCs w:val="21"/>
              </w:rPr>
            </w:pPr>
            <w:r>
              <w:rPr>
                <w:color w:val="000000"/>
                <w:kern w:val="0"/>
                <w:szCs w:val="21"/>
              </w:rPr>
              <w:t>LDAR检测数据实时审核</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项</w:t>
            </w:r>
          </w:p>
        </w:tc>
        <w:tc>
          <w:tcPr>
            <w:tcW w:w="992" w:type="dxa"/>
            <w:vAlign w:val="center"/>
          </w:tcPr>
          <w:p>
            <w:pPr>
              <w:spacing w:line="300" w:lineRule="exact"/>
              <w:jc w:val="center"/>
              <w:rPr>
                <w:rFonts w:ascii="宋体" w:hAnsi="宋体"/>
                <w:szCs w:val="21"/>
              </w:rPr>
            </w:pPr>
            <w:r>
              <w:rPr>
                <w:rFonts w:hint="eastAsia" w:ascii="宋体" w:hAnsi="宋体"/>
                <w:szCs w:val="21"/>
              </w:rPr>
              <w:t>1</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rFonts w:eastAsia="等线"/>
                <w:color w:val="000000"/>
                <w:kern w:val="0"/>
              </w:rPr>
            </w:pPr>
            <w:r>
              <w:rPr>
                <w:rFonts w:eastAsia="等线"/>
                <w:color w:val="000000"/>
                <w:kern w:val="0"/>
              </w:rPr>
              <w:t>1.3</w:t>
            </w:r>
          </w:p>
        </w:tc>
        <w:tc>
          <w:tcPr>
            <w:tcW w:w="2839" w:type="dxa"/>
            <w:vAlign w:val="center"/>
          </w:tcPr>
          <w:p>
            <w:pPr>
              <w:widowControl/>
              <w:rPr>
                <w:color w:val="000000"/>
                <w:kern w:val="0"/>
                <w:szCs w:val="21"/>
              </w:rPr>
            </w:pPr>
            <w:r>
              <w:rPr>
                <w:color w:val="000000"/>
                <w:kern w:val="0"/>
                <w:szCs w:val="21"/>
              </w:rPr>
              <w:t>高值点溯源管控</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项</w:t>
            </w:r>
          </w:p>
        </w:tc>
        <w:tc>
          <w:tcPr>
            <w:tcW w:w="992" w:type="dxa"/>
            <w:vAlign w:val="center"/>
          </w:tcPr>
          <w:p>
            <w:pPr>
              <w:spacing w:line="300" w:lineRule="exact"/>
              <w:jc w:val="center"/>
              <w:rPr>
                <w:rFonts w:ascii="宋体" w:hAnsi="宋体"/>
                <w:szCs w:val="21"/>
              </w:rPr>
            </w:pPr>
            <w:r>
              <w:rPr>
                <w:rFonts w:hint="eastAsia" w:ascii="宋体" w:hAnsi="宋体"/>
                <w:szCs w:val="21"/>
              </w:rPr>
              <w:t>1</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rFonts w:eastAsia="等线"/>
                <w:color w:val="000000"/>
                <w:kern w:val="0"/>
              </w:rPr>
            </w:pPr>
            <w:r>
              <w:rPr>
                <w:rFonts w:eastAsia="等线"/>
                <w:color w:val="000000"/>
                <w:kern w:val="0"/>
              </w:rPr>
              <w:t>1.4</w:t>
            </w:r>
          </w:p>
        </w:tc>
        <w:tc>
          <w:tcPr>
            <w:tcW w:w="2839" w:type="dxa"/>
            <w:vAlign w:val="center"/>
          </w:tcPr>
          <w:p>
            <w:pPr>
              <w:widowControl/>
              <w:rPr>
                <w:color w:val="000000"/>
                <w:kern w:val="0"/>
                <w:szCs w:val="21"/>
              </w:rPr>
            </w:pPr>
            <w:r>
              <w:rPr>
                <w:color w:val="000000"/>
                <w:kern w:val="0"/>
                <w:szCs w:val="21"/>
              </w:rPr>
              <w:t>数字治气专题导航舱</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项</w:t>
            </w:r>
          </w:p>
        </w:tc>
        <w:tc>
          <w:tcPr>
            <w:tcW w:w="992" w:type="dxa"/>
            <w:vAlign w:val="center"/>
          </w:tcPr>
          <w:p>
            <w:pPr>
              <w:spacing w:line="300" w:lineRule="exact"/>
              <w:jc w:val="center"/>
              <w:rPr>
                <w:rFonts w:ascii="宋体" w:hAnsi="宋体"/>
                <w:szCs w:val="21"/>
              </w:rPr>
            </w:pPr>
            <w:r>
              <w:rPr>
                <w:rFonts w:hint="eastAsia" w:ascii="宋体" w:hAnsi="宋体"/>
                <w:szCs w:val="21"/>
              </w:rPr>
              <w:t>1</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rFonts w:eastAsia="等线"/>
                <w:color w:val="000000"/>
                <w:kern w:val="0"/>
              </w:rPr>
            </w:pPr>
            <w:r>
              <w:rPr>
                <w:rFonts w:eastAsia="等线"/>
                <w:color w:val="000000"/>
                <w:kern w:val="0"/>
              </w:rPr>
              <w:t>1.5</w:t>
            </w:r>
          </w:p>
        </w:tc>
        <w:tc>
          <w:tcPr>
            <w:tcW w:w="2839" w:type="dxa"/>
            <w:vAlign w:val="center"/>
          </w:tcPr>
          <w:p>
            <w:pPr>
              <w:widowControl/>
              <w:rPr>
                <w:color w:val="000000"/>
                <w:kern w:val="0"/>
                <w:szCs w:val="21"/>
              </w:rPr>
            </w:pPr>
            <w:r>
              <w:rPr>
                <w:color w:val="000000"/>
                <w:kern w:val="0"/>
                <w:szCs w:val="21"/>
              </w:rPr>
              <w:t>掌上治气浙政钉端</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项</w:t>
            </w:r>
          </w:p>
        </w:tc>
        <w:tc>
          <w:tcPr>
            <w:tcW w:w="992" w:type="dxa"/>
            <w:vAlign w:val="center"/>
          </w:tcPr>
          <w:p>
            <w:pPr>
              <w:spacing w:line="300" w:lineRule="exact"/>
              <w:jc w:val="center"/>
              <w:rPr>
                <w:rFonts w:ascii="宋体" w:hAnsi="宋体"/>
                <w:szCs w:val="21"/>
              </w:rPr>
            </w:pPr>
            <w:r>
              <w:rPr>
                <w:rFonts w:hint="eastAsia" w:ascii="宋体" w:hAnsi="宋体"/>
                <w:szCs w:val="21"/>
              </w:rPr>
              <w:t>1</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rFonts w:eastAsia="等线"/>
                <w:color w:val="000000"/>
                <w:kern w:val="0"/>
              </w:rPr>
            </w:pPr>
            <w:r>
              <w:rPr>
                <w:rFonts w:eastAsia="等线"/>
                <w:color w:val="000000"/>
                <w:kern w:val="0"/>
              </w:rPr>
              <w:t>1.6</w:t>
            </w:r>
          </w:p>
        </w:tc>
        <w:tc>
          <w:tcPr>
            <w:tcW w:w="2839" w:type="dxa"/>
            <w:vAlign w:val="center"/>
          </w:tcPr>
          <w:p>
            <w:pPr>
              <w:widowControl/>
              <w:rPr>
                <w:color w:val="000000"/>
                <w:kern w:val="0"/>
                <w:szCs w:val="21"/>
              </w:rPr>
            </w:pPr>
            <w:r>
              <w:rPr>
                <w:color w:val="000000"/>
                <w:kern w:val="0"/>
                <w:szCs w:val="21"/>
              </w:rPr>
              <w:t>企业服务端</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项</w:t>
            </w:r>
          </w:p>
        </w:tc>
        <w:tc>
          <w:tcPr>
            <w:tcW w:w="992" w:type="dxa"/>
            <w:vAlign w:val="center"/>
          </w:tcPr>
          <w:p>
            <w:pPr>
              <w:spacing w:line="300" w:lineRule="exact"/>
              <w:jc w:val="center"/>
              <w:rPr>
                <w:rFonts w:ascii="宋体" w:hAnsi="宋体"/>
                <w:szCs w:val="21"/>
              </w:rPr>
            </w:pPr>
            <w:r>
              <w:rPr>
                <w:rFonts w:hint="eastAsia" w:ascii="宋体" w:hAnsi="宋体"/>
                <w:szCs w:val="21"/>
              </w:rPr>
              <w:t>1</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rFonts w:eastAsia="等线"/>
                <w:color w:val="000000"/>
                <w:kern w:val="0"/>
              </w:rPr>
            </w:pPr>
            <w:r>
              <w:rPr>
                <w:rFonts w:eastAsia="等线"/>
                <w:color w:val="000000"/>
                <w:kern w:val="0"/>
              </w:rPr>
              <w:t>1.7</w:t>
            </w:r>
          </w:p>
        </w:tc>
        <w:tc>
          <w:tcPr>
            <w:tcW w:w="2839" w:type="dxa"/>
            <w:vAlign w:val="center"/>
          </w:tcPr>
          <w:p>
            <w:pPr>
              <w:widowControl/>
              <w:rPr>
                <w:color w:val="000000"/>
                <w:kern w:val="0"/>
                <w:szCs w:val="21"/>
              </w:rPr>
            </w:pPr>
            <w:r>
              <w:rPr>
                <w:color w:val="000000"/>
                <w:kern w:val="0"/>
                <w:szCs w:val="21"/>
              </w:rPr>
              <w:t>系统管理</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项</w:t>
            </w:r>
          </w:p>
        </w:tc>
        <w:tc>
          <w:tcPr>
            <w:tcW w:w="992" w:type="dxa"/>
            <w:vAlign w:val="center"/>
          </w:tcPr>
          <w:p>
            <w:pPr>
              <w:spacing w:line="300" w:lineRule="exact"/>
              <w:jc w:val="center"/>
              <w:rPr>
                <w:rFonts w:ascii="宋体" w:hAnsi="宋体"/>
                <w:szCs w:val="21"/>
              </w:rPr>
            </w:pPr>
            <w:r>
              <w:rPr>
                <w:rFonts w:hint="eastAsia" w:ascii="宋体" w:hAnsi="宋体"/>
                <w:szCs w:val="21"/>
              </w:rPr>
              <w:t>1</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rFonts w:eastAsia="等线"/>
                <w:b/>
                <w:bCs/>
                <w:color w:val="000000"/>
                <w:kern w:val="0"/>
              </w:rPr>
            </w:pPr>
            <w:r>
              <w:rPr>
                <w:rFonts w:eastAsia="等线"/>
                <w:b/>
                <w:bCs/>
                <w:color w:val="000000"/>
                <w:kern w:val="0"/>
              </w:rPr>
              <w:t>2</w:t>
            </w:r>
          </w:p>
        </w:tc>
        <w:tc>
          <w:tcPr>
            <w:tcW w:w="2839" w:type="dxa"/>
            <w:vAlign w:val="center"/>
          </w:tcPr>
          <w:p>
            <w:pPr>
              <w:widowControl/>
              <w:rPr>
                <w:b/>
                <w:bCs/>
                <w:color w:val="000000"/>
                <w:kern w:val="0"/>
                <w:szCs w:val="21"/>
              </w:rPr>
            </w:pPr>
            <w:r>
              <w:rPr>
                <w:b/>
                <w:bCs/>
                <w:color w:val="000000"/>
                <w:kern w:val="0"/>
                <w:szCs w:val="21"/>
              </w:rPr>
              <w:t>应用支撑体系建设</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项</w:t>
            </w:r>
          </w:p>
        </w:tc>
        <w:tc>
          <w:tcPr>
            <w:tcW w:w="992" w:type="dxa"/>
            <w:vAlign w:val="center"/>
          </w:tcPr>
          <w:p>
            <w:pPr>
              <w:spacing w:line="300" w:lineRule="exact"/>
              <w:jc w:val="center"/>
              <w:rPr>
                <w:rFonts w:ascii="宋体" w:hAnsi="宋体"/>
                <w:szCs w:val="21"/>
              </w:rPr>
            </w:pPr>
            <w:r>
              <w:rPr>
                <w:rFonts w:hint="eastAsia" w:ascii="宋体" w:hAnsi="宋体"/>
                <w:szCs w:val="21"/>
              </w:rPr>
              <w:t>1</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rFonts w:eastAsia="等线"/>
                <w:color w:val="000000"/>
                <w:kern w:val="0"/>
              </w:rPr>
            </w:pPr>
            <w:r>
              <w:rPr>
                <w:rFonts w:eastAsia="等线"/>
                <w:color w:val="000000"/>
                <w:kern w:val="0"/>
              </w:rPr>
              <w:t>3</w:t>
            </w:r>
          </w:p>
        </w:tc>
        <w:tc>
          <w:tcPr>
            <w:tcW w:w="2839" w:type="dxa"/>
            <w:vAlign w:val="center"/>
          </w:tcPr>
          <w:p>
            <w:pPr>
              <w:widowControl/>
              <w:rPr>
                <w:b/>
                <w:bCs/>
                <w:color w:val="000000"/>
                <w:kern w:val="0"/>
                <w:szCs w:val="21"/>
              </w:rPr>
            </w:pPr>
            <w:r>
              <w:rPr>
                <w:b/>
                <w:bCs/>
                <w:color w:val="000000"/>
                <w:kern w:val="0"/>
                <w:szCs w:val="21"/>
              </w:rPr>
              <w:t>数据资源层建设</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项</w:t>
            </w:r>
          </w:p>
        </w:tc>
        <w:tc>
          <w:tcPr>
            <w:tcW w:w="992" w:type="dxa"/>
            <w:vAlign w:val="center"/>
          </w:tcPr>
          <w:p>
            <w:pPr>
              <w:spacing w:line="300" w:lineRule="exact"/>
              <w:jc w:val="center"/>
              <w:rPr>
                <w:rFonts w:ascii="宋体" w:hAnsi="宋体"/>
                <w:szCs w:val="21"/>
              </w:rPr>
            </w:pPr>
            <w:r>
              <w:rPr>
                <w:rFonts w:hint="eastAsia" w:ascii="宋体" w:hAnsi="宋体"/>
                <w:szCs w:val="21"/>
              </w:rPr>
              <w:t>1</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rFonts w:eastAsia="等线"/>
                <w:b/>
                <w:bCs/>
                <w:color w:val="000000"/>
                <w:kern w:val="0"/>
              </w:rPr>
            </w:pPr>
            <w:r>
              <w:rPr>
                <w:rFonts w:eastAsia="等线"/>
                <w:b/>
                <w:bCs/>
                <w:color w:val="000000"/>
                <w:kern w:val="0"/>
              </w:rPr>
              <w:t>4</w:t>
            </w:r>
          </w:p>
        </w:tc>
        <w:tc>
          <w:tcPr>
            <w:tcW w:w="2839" w:type="dxa"/>
            <w:vAlign w:val="center"/>
          </w:tcPr>
          <w:p>
            <w:pPr>
              <w:widowControl/>
              <w:rPr>
                <w:b/>
                <w:bCs/>
                <w:color w:val="000000"/>
                <w:kern w:val="0"/>
                <w:szCs w:val="21"/>
              </w:rPr>
            </w:pPr>
            <w:r>
              <w:rPr>
                <w:b/>
                <w:bCs/>
                <w:color w:val="000000"/>
                <w:kern w:val="0"/>
                <w:szCs w:val="21"/>
              </w:rPr>
              <w:t>购买软件费</w:t>
            </w:r>
          </w:p>
        </w:tc>
        <w:tc>
          <w:tcPr>
            <w:tcW w:w="847" w:type="dxa"/>
            <w:vAlign w:val="center"/>
          </w:tcPr>
          <w:p>
            <w:pPr>
              <w:spacing w:line="300" w:lineRule="exact"/>
              <w:jc w:val="center"/>
              <w:rPr>
                <w:rFonts w:ascii="宋体" w:hAnsi="宋体"/>
                <w:kern w:val="44"/>
                <w:szCs w:val="21"/>
              </w:rPr>
            </w:pPr>
            <w:r>
              <w:rPr>
                <w:rFonts w:hint="eastAsia" w:ascii="宋体" w:hAnsi="宋体"/>
                <w:szCs w:val="21"/>
              </w:rPr>
              <w:t>批</w:t>
            </w:r>
          </w:p>
        </w:tc>
        <w:tc>
          <w:tcPr>
            <w:tcW w:w="992" w:type="dxa"/>
            <w:vAlign w:val="center"/>
          </w:tcPr>
          <w:p>
            <w:pPr>
              <w:spacing w:line="300" w:lineRule="exact"/>
              <w:jc w:val="center"/>
              <w:rPr>
                <w:rFonts w:ascii="宋体" w:hAnsi="宋体"/>
                <w:szCs w:val="21"/>
              </w:rPr>
            </w:pPr>
            <w:r>
              <w:rPr>
                <w:rFonts w:hint="eastAsia" w:ascii="宋体" w:hAnsi="宋体"/>
                <w:szCs w:val="21"/>
              </w:rPr>
              <w:t>1</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color w:val="000000"/>
                <w:kern w:val="0"/>
                <w:szCs w:val="21"/>
              </w:rPr>
            </w:pPr>
            <w:r>
              <w:rPr>
                <w:color w:val="000000"/>
                <w:kern w:val="0"/>
                <w:szCs w:val="21"/>
              </w:rPr>
              <w:t>4.1</w:t>
            </w:r>
          </w:p>
        </w:tc>
        <w:tc>
          <w:tcPr>
            <w:tcW w:w="2839" w:type="dxa"/>
            <w:vAlign w:val="center"/>
          </w:tcPr>
          <w:p>
            <w:pPr>
              <w:widowControl/>
              <w:rPr>
                <w:color w:val="000000"/>
                <w:kern w:val="0"/>
                <w:szCs w:val="21"/>
              </w:rPr>
            </w:pPr>
            <w:r>
              <w:rPr>
                <w:color w:val="000000"/>
                <w:kern w:val="0"/>
                <w:szCs w:val="21"/>
              </w:rPr>
              <w:t>国产化数据库软件</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套</w:t>
            </w:r>
          </w:p>
        </w:tc>
        <w:tc>
          <w:tcPr>
            <w:tcW w:w="992" w:type="dxa"/>
            <w:vAlign w:val="center"/>
          </w:tcPr>
          <w:p>
            <w:pPr>
              <w:spacing w:line="300" w:lineRule="exact"/>
              <w:jc w:val="center"/>
              <w:rPr>
                <w:rFonts w:ascii="宋体" w:hAnsi="宋体"/>
                <w:szCs w:val="21"/>
              </w:rPr>
            </w:pPr>
            <w:r>
              <w:rPr>
                <w:rFonts w:hint="eastAsia" w:ascii="宋体" w:hAnsi="宋体"/>
                <w:szCs w:val="21"/>
              </w:rPr>
              <w:t>3</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color w:val="000000"/>
                <w:kern w:val="0"/>
                <w:szCs w:val="21"/>
              </w:rPr>
            </w:pPr>
            <w:r>
              <w:rPr>
                <w:color w:val="000000"/>
                <w:kern w:val="0"/>
                <w:szCs w:val="21"/>
              </w:rPr>
              <w:t>4.2</w:t>
            </w:r>
          </w:p>
        </w:tc>
        <w:tc>
          <w:tcPr>
            <w:tcW w:w="2839" w:type="dxa"/>
            <w:vAlign w:val="center"/>
          </w:tcPr>
          <w:p>
            <w:pPr>
              <w:widowControl/>
              <w:rPr>
                <w:color w:val="000000"/>
                <w:kern w:val="0"/>
                <w:szCs w:val="21"/>
              </w:rPr>
            </w:pPr>
            <w:r>
              <w:rPr>
                <w:color w:val="000000"/>
                <w:kern w:val="0"/>
                <w:szCs w:val="21"/>
              </w:rPr>
              <w:t>操作系统</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套</w:t>
            </w:r>
          </w:p>
        </w:tc>
        <w:tc>
          <w:tcPr>
            <w:tcW w:w="992" w:type="dxa"/>
            <w:vAlign w:val="center"/>
          </w:tcPr>
          <w:p>
            <w:pPr>
              <w:spacing w:line="300" w:lineRule="exact"/>
              <w:jc w:val="center"/>
              <w:rPr>
                <w:rFonts w:ascii="宋体" w:hAnsi="宋体"/>
                <w:szCs w:val="21"/>
              </w:rPr>
            </w:pPr>
            <w:r>
              <w:rPr>
                <w:rFonts w:hint="eastAsia" w:ascii="宋体" w:hAnsi="宋体"/>
                <w:szCs w:val="21"/>
              </w:rPr>
              <w:t>6</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color w:val="000000"/>
                <w:kern w:val="0"/>
                <w:szCs w:val="21"/>
              </w:rPr>
            </w:pPr>
            <w:r>
              <w:rPr>
                <w:color w:val="000000"/>
                <w:kern w:val="0"/>
                <w:szCs w:val="21"/>
              </w:rPr>
              <w:t>4.3</w:t>
            </w:r>
          </w:p>
        </w:tc>
        <w:tc>
          <w:tcPr>
            <w:tcW w:w="2839" w:type="dxa"/>
            <w:vAlign w:val="center"/>
          </w:tcPr>
          <w:p>
            <w:pPr>
              <w:widowControl/>
              <w:rPr>
                <w:color w:val="000000"/>
                <w:kern w:val="0"/>
                <w:szCs w:val="21"/>
              </w:rPr>
            </w:pPr>
            <w:r>
              <w:rPr>
                <w:color w:val="000000"/>
                <w:kern w:val="0"/>
                <w:szCs w:val="21"/>
              </w:rPr>
              <w:t>中间件</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套</w:t>
            </w:r>
          </w:p>
        </w:tc>
        <w:tc>
          <w:tcPr>
            <w:tcW w:w="992" w:type="dxa"/>
            <w:vAlign w:val="center"/>
          </w:tcPr>
          <w:p>
            <w:pPr>
              <w:spacing w:line="300" w:lineRule="exact"/>
              <w:jc w:val="center"/>
              <w:rPr>
                <w:rFonts w:ascii="宋体" w:hAnsi="宋体"/>
                <w:szCs w:val="21"/>
              </w:rPr>
            </w:pPr>
            <w:r>
              <w:rPr>
                <w:rFonts w:hint="eastAsia" w:ascii="宋体" w:hAnsi="宋体"/>
                <w:szCs w:val="21"/>
              </w:rPr>
              <w:t>3</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color w:val="000000"/>
                <w:kern w:val="0"/>
                <w:szCs w:val="21"/>
              </w:rPr>
            </w:pPr>
            <w:r>
              <w:rPr>
                <w:color w:val="000000"/>
                <w:kern w:val="0"/>
                <w:szCs w:val="21"/>
              </w:rPr>
              <w:t>二</w:t>
            </w:r>
          </w:p>
        </w:tc>
        <w:tc>
          <w:tcPr>
            <w:tcW w:w="2839" w:type="dxa"/>
            <w:vAlign w:val="center"/>
          </w:tcPr>
          <w:p>
            <w:pPr>
              <w:widowControl/>
              <w:rPr>
                <w:color w:val="000000"/>
                <w:kern w:val="0"/>
                <w:szCs w:val="21"/>
              </w:rPr>
            </w:pPr>
            <w:r>
              <w:rPr>
                <w:color w:val="000000"/>
                <w:kern w:val="0"/>
                <w:szCs w:val="21"/>
              </w:rPr>
              <w:t>其他</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批</w:t>
            </w:r>
          </w:p>
        </w:tc>
        <w:tc>
          <w:tcPr>
            <w:tcW w:w="992" w:type="dxa"/>
            <w:vAlign w:val="center"/>
          </w:tcPr>
          <w:p>
            <w:pPr>
              <w:spacing w:line="300" w:lineRule="exact"/>
              <w:jc w:val="center"/>
              <w:rPr>
                <w:rFonts w:ascii="宋体" w:hAnsi="宋体"/>
                <w:szCs w:val="21"/>
              </w:rPr>
            </w:pPr>
            <w:r>
              <w:rPr>
                <w:rFonts w:hint="eastAsia" w:ascii="宋体" w:hAnsi="宋体"/>
                <w:szCs w:val="21"/>
              </w:rPr>
              <w:t>1</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rFonts w:eastAsia="等线"/>
                <w:color w:val="000000"/>
                <w:kern w:val="0"/>
              </w:rPr>
            </w:pPr>
            <w:r>
              <w:rPr>
                <w:rFonts w:hint="eastAsia" w:eastAsia="等线"/>
                <w:color w:val="000000"/>
                <w:kern w:val="0"/>
              </w:rPr>
              <w:t>1</w:t>
            </w:r>
          </w:p>
        </w:tc>
        <w:tc>
          <w:tcPr>
            <w:tcW w:w="2839" w:type="dxa"/>
            <w:vAlign w:val="center"/>
          </w:tcPr>
          <w:p>
            <w:pPr>
              <w:widowControl/>
              <w:rPr>
                <w:color w:val="000000"/>
                <w:kern w:val="0"/>
                <w:szCs w:val="21"/>
              </w:rPr>
            </w:pPr>
            <w:r>
              <w:rPr>
                <w:color w:val="000000"/>
                <w:kern w:val="0"/>
                <w:szCs w:val="21"/>
              </w:rPr>
              <w:t>安全等保测评</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项</w:t>
            </w:r>
          </w:p>
        </w:tc>
        <w:tc>
          <w:tcPr>
            <w:tcW w:w="992" w:type="dxa"/>
            <w:vAlign w:val="center"/>
          </w:tcPr>
          <w:p>
            <w:pPr>
              <w:spacing w:line="300" w:lineRule="exact"/>
              <w:jc w:val="center"/>
              <w:rPr>
                <w:rFonts w:ascii="宋体" w:hAnsi="宋体"/>
                <w:szCs w:val="21"/>
              </w:rPr>
            </w:pPr>
            <w:r>
              <w:rPr>
                <w:rFonts w:hint="eastAsia" w:ascii="宋体" w:hAnsi="宋体"/>
                <w:szCs w:val="21"/>
              </w:rPr>
              <w:t>1</w:t>
            </w:r>
          </w:p>
        </w:tc>
        <w:tc>
          <w:tcPr>
            <w:tcW w:w="1703" w:type="dxa"/>
            <w:vAlign w:val="center"/>
          </w:tcPr>
          <w:p>
            <w:pPr>
              <w:spacing w:line="300" w:lineRule="exact"/>
              <w:jc w:val="center"/>
              <w:rPr>
                <w:rFonts w:ascii="宋体" w:hAnsi="宋体"/>
                <w:szCs w:val="21"/>
              </w:rPr>
            </w:pPr>
            <w:r>
              <w:rPr>
                <w:rFonts w:hint="eastAsia" w:ascii="宋体" w:hAnsi="宋体"/>
                <w:szCs w:val="21"/>
              </w:rPr>
              <w:t>50000</w:t>
            </w:r>
          </w:p>
        </w:tc>
        <w:tc>
          <w:tcPr>
            <w:tcW w:w="1751" w:type="dxa"/>
            <w:vAlign w:val="center"/>
          </w:tcPr>
          <w:p>
            <w:pPr>
              <w:spacing w:line="300" w:lineRule="exact"/>
              <w:jc w:val="center"/>
              <w:rPr>
                <w:rFonts w:ascii="宋体" w:hAnsi="宋体"/>
                <w:szCs w:val="21"/>
              </w:rPr>
            </w:pPr>
            <w:r>
              <w:rPr>
                <w:rFonts w:hint="eastAsia" w:ascii="宋体" w:hAnsi="宋体"/>
                <w:szCs w:val="21"/>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widowControl/>
              <w:rPr>
                <w:rFonts w:eastAsia="等线"/>
                <w:color w:val="000000"/>
                <w:kern w:val="0"/>
              </w:rPr>
            </w:pPr>
            <w:r>
              <w:rPr>
                <w:rFonts w:hint="eastAsia" w:eastAsia="等线"/>
                <w:color w:val="000000"/>
                <w:kern w:val="0"/>
              </w:rPr>
              <w:t>2</w:t>
            </w:r>
          </w:p>
        </w:tc>
        <w:tc>
          <w:tcPr>
            <w:tcW w:w="2839" w:type="dxa"/>
            <w:vAlign w:val="center"/>
          </w:tcPr>
          <w:p>
            <w:pPr>
              <w:widowControl/>
              <w:rPr>
                <w:color w:val="000000"/>
                <w:kern w:val="0"/>
                <w:szCs w:val="21"/>
              </w:rPr>
            </w:pPr>
            <w:r>
              <w:rPr>
                <w:color w:val="000000"/>
                <w:kern w:val="0"/>
                <w:szCs w:val="21"/>
              </w:rPr>
              <w:t>软件测评</w:t>
            </w:r>
          </w:p>
        </w:tc>
        <w:tc>
          <w:tcPr>
            <w:tcW w:w="847" w:type="dxa"/>
            <w:vAlign w:val="center"/>
          </w:tcPr>
          <w:p>
            <w:pPr>
              <w:spacing w:line="300" w:lineRule="exact"/>
              <w:jc w:val="center"/>
              <w:rPr>
                <w:rFonts w:ascii="宋体" w:hAnsi="宋体"/>
                <w:kern w:val="44"/>
                <w:szCs w:val="21"/>
              </w:rPr>
            </w:pPr>
            <w:r>
              <w:rPr>
                <w:rFonts w:hint="eastAsia" w:ascii="宋体" w:hAnsi="宋体"/>
                <w:kern w:val="44"/>
                <w:szCs w:val="21"/>
              </w:rPr>
              <w:t>项</w:t>
            </w:r>
          </w:p>
        </w:tc>
        <w:tc>
          <w:tcPr>
            <w:tcW w:w="992" w:type="dxa"/>
            <w:vAlign w:val="center"/>
          </w:tcPr>
          <w:p>
            <w:pPr>
              <w:spacing w:line="300" w:lineRule="exact"/>
              <w:jc w:val="center"/>
              <w:rPr>
                <w:rFonts w:ascii="宋体" w:hAnsi="宋体"/>
                <w:szCs w:val="21"/>
              </w:rPr>
            </w:pPr>
            <w:r>
              <w:rPr>
                <w:rFonts w:hint="eastAsia" w:ascii="宋体" w:hAnsi="宋体"/>
                <w:szCs w:val="21"/>
              </w:rPr>
              <w:t>1</w:t>
            </w:r>
          </w:p>
        </w:tc>
        <w:tc>
          <w:tcPr>
            <w:tcW w:w="1703" w:type="dxa"/>
            <w:vAlign w:val="center"/>
          </w:tcPr>
          <w:p>
            <w:pPr>
              <w:spacing w:line="300" w:lineRule="exact"/>
              <w:jc w:val="center"/>
              <w:rPr>
                <w:rFonts w:ascii="宋体" w:hAnsi="宋体"/>
                <w:szCs w:val="21"/>
              </w:rPr>
            </w:pPr>
          </w:p>
        </w:tc>
        <w:tc>
          <w:tcPr>
            <w:tcW w:w="1751"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hint="eastAsia" w:ascii="宋体" w:hAnsi="宋体"/>
                <w:szCs w:val="21"/>
              </w:rPr>
              <w:t>...</w:t>
            </w:r>
          </w:p>
        </w:tc>
        <w:tc>
          <w:tcPr>
            <w:tcW w:w="2839" w:type="dxa"/>
            <w:vAlign w:val="center"/>
          </w:tcPr>
          <w:p>
            <w:pPr>
              <w:spacing w:line="300" w:lineRule="exact"/>
              <w:jc w:val="center"/>
              <w:rPr>
                <w:rFonts w:ascii="宋体" w:hAnsi="宋体"/>
                <w:szCs w:val="21"/>
              </w:rPr>
            </w:pPr>
            <w:r>
              <w:rPr>
                <w:rFonts w:hint="eastAsia" w:ascii="宋体" w:hAnsi="宋体"/>
                <w:szCs w:val="21"/>
              </w:rPr>
              <w:t>...</w:t>
            </w:r>
          </w:p>
        </w:tc>
        <w:tc>
          <w:tcPr>
            <w:tcW w:w="847" w:type="dxa"/>
            <w:vAlign w:val="center"/>
          </w:tcPr>
          <w:p>
            <w:pPr>
              <w:spacing w:line="300" w:lineRule="exact"/>
              <w:jc w:val="center"/>
              <w:rPr>
                <w:rFonts w:ascii="宋体" w:hAnsi="宋体"/>
                <w:szCs w:val="21"/>
              </w:rPr>
            </w:pPr>
            <w:r>
              <w:rPr>
                <w:rFonts w:hint="eastAsia" w:ascii="宋体" w:hAnsi="宋体"/>
                <w:szCs w:val="21"/>
              </w:rPr>
              <w:t>...</w:t>
            </w:r>
          </w:p>
        </w:tc>
        <w:tc>
          <w:tcPr>
            <w:tcW w:w="992" w:type="dxa"/>
            <w:vAlign w:val="center"/>
          </w:tcPr>
          <w:p>
            <w:pPr>
              <w:spacing w:line="300" w:lineRule="exact"/>
              <w:jc w:val="center"/>
              <w:rPr>
                <w:rFonts w:ascii="宋体" w:hAnsi="宋体"/>
                <w:szCs w:val="21"/>
              </w:rPr>
            </w:pPr>
            <w:r>
              <w:rPr>
                <w:rFonts w:hint="eastAsia" w:ascii="宋体" w:hAnsi="宋体"/>
                <w:szCs w:val="21"/>
              </w:rPr>
              <w:t>...</w:t>
            </w:r>
          </w:p>
        </w:tc>
        <w:tc>
          <w:tcPr>
            <w:tcW w:w="1703" w:type="dxa"/>
            <w:vAlign w:val="center"/>
          </w:tcPr>
          <w:p>
            <w:pPr>
              <w:spacing w:line="300" w:lineRule="exact"/>
              <w:jc w:val="center"/>
              <w:rPr>
                <w:rFonts w:ascii="宋体" w:hAnsi="宋体"/>
                <w:szCs w:val="21"/>
              </w:rPr>
            </w:pPr>
            <w:r>
              <w:rPr>
                <w:rFonts w:hint="eastAsia" w:ascii="宋体" w:hAnsi="宋体"/>
                <w:szCs w:val="21"/>
              </w:rPr>
              <w:t>...</w:t>
            </w:r>
          </w:p>
        </w:tc>
        <w:tc>
          <w:tcPr>
            <w:tcW w:w="1751" w:type="dxa"/>
            <w:vAlign w:val="center"/>
          </w:tcPr>
          <w:p>
            <w:pPr>
              <w:spacing w:line="300" w:lineRule="exact"/>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90" w:type="dxa"/>
            <w:gridSpan w:val="4"/>
            <w:vAlign w:val="center"/>
          </w:tcPr>
          <w:p>
            <w:pPr>
              <w:spacing w:line="300" w:lineRule="exact"/>
              <w:jc w:val="center"/>
              <w:rPr>
                <w:rFonts w:ascii="宋体" w:hAnsi="宋体"/>
                <w:szCs w:val="21"/>
              </w:rPr>
            </w:pPr>
            <w:r>
              <w:rPr>
                <w:rFonts w:hint="eastAsia" w:ascii="宋体" w:hAnsi="宋体"/>
                <w:szCs w:val="21"/>
              </w:rPr>
              <w:t>投标报价合计（元）</w:t>
            </w:r>
          </w:p>
        </w:tc>
        <w:tc>
          <w:tcPr>
            <w:tcW w:w="3454" w:type="dxa"/>
            <w:gridSpan w:val="2"/>
            <w:vAlign w:val="center"/>
          </w:tcPr>
          <w:p>
            <w:pPr>
              <w:spacing w:line="300" w:lineRule="exact"/>
              <w:jc w:val="left"/>
              <w:rPr>
                <w:rFonts w:ascii="宋体" w:hAnsi="宋体"/>
                <w:szCs w:val="21"/>
              </w:rPr>
            </w:pPr>
            <w:r>
              <w:rPr>
                <w:rFonts w:hint="eastAsia" w:ascii="宋体" w:hAnsi="宋体"/>
                <w:szCs w:val="21"/>
              </w:rPr>
              <w:t>小写：</w:t>
            </w:r>
          </w:p>
        </w:tc>
      </w:tr>
    </w:tbl>
    <w:p>
      <w:pPr>
        <w:snapToGrid w:val="0"/>
        <w:spacing w:before="50" w:after="50" w:line="360" w:lineRule="auto"/>
        <w:ind w:left="-23" w:leftChars="-11" w:right="27" w:rightChars="13" w:firstLine="21" w:firstLineChars="10"/>
        <w:rPr>
          <w:rFonts w:ascii="宋体" w:hAnsi="宋体" w:cs="宋体"/>
          <w:szCs w:val="21"/>
        </w:rPr>
      </w:pPr>
      <w:r>
        <w:rPr>
          <w:rFonts w:hint="eastAsia" w:ascii="宋体" w:hAnsi="宋体" w:cs="宋体"/>
          <w:bCs/>
          <w:szCs w:val="21"/>
        </w:rPr>
        <w:t>注：</w:t>
      </w:r>
      <w:r>
        <w:rPr>
          <w:color w:val="000000"/>
          <w:kern w:val="0"/>
          <w:szCs w:val="21"/>
        </w:rPr>
        <w:t>安全等保测评</w:t>
      </w:r>
      <w:r>
        <w:rPr>
          <w:rFonts w:hint="eastAsia"/>
          <w:color w:val="000000"/>
          <w:kern w:val="0"/>
          <w:szCs w:val="21"/>
        </w:rPr>
        <w:t>费用不允许做调整；</w:t>
      </w:r>
      <w:r>
        <w:rPr>
          <w:rFonts w:hint="eastAsia" w:ascii="宋体" w:hAnsi="宋体" w:cs="宋体"/>
          <w:bCs/>
          <w:szCs w:val="21"/>
        </w:rPr>
        <w:t>上述各项的详细分项报价及具体内容，可另页描述，报价有补充内容可续表。</w:t>
      </w:r>
    </w:p>
    <w:p>
      <w:pPr>
        <w:snapToGrid w:val="0"/>
        <w:spacing w:line="360" w:lineRule="auto"/>
        <w:ind w:firstLine="3685" w:firstLineChars="1755"/>
        <w:rPr>
          <w:rFonts w:ascii="宋体" w:hAnsi="宋体"/>
          <w:szCs w:val="21"/>
        </w:rPr>
      </w:pPr>
      <w:r>
        <w:rPr>
          <w:rFonts w:hint="eastAsia" w:ascii="宋体" w:hAnsi="宋体"/>
          <w:szCs w:val="21"/>
        </w:rPr>
        <w:t>投标人：</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hint="eastAsia" w:ascii="宋体" w:hAnsi="宋体"/>
          <w:szCs w:val="21"/>
          <w:u w:val="single"/>
        </w:rPr>
        <w:t>（签字或盖章）</w:t>
      </w:r>
      <w:r>
        <w:rPr>
          <w:rFonts w:ascii="宋体" w:hAnsi="宋体"/>
          <w:szCs w:val="21"/>
          <w:u w:val="single"/>
        </w:rPr>
        <w:t>_____</w:t>
      </w:r>
      <w:r>
        <w:rPr>
          <w:rFonts w:ascii="宋体" w:hAnsi="宋体"/>
          <w:szCs w:val="21"/>
        </w:rPr>
        <w:t>_</w:t>
      </w:r>
    </w:p>
    <w:p>
      <w:pPr>
        <w:snapToGrid w:val="0"/>
        <w:spacing w:line="360" w:lineRule="auto"/>
        <w:ind w:firstLine="3685" w:firstLineChars="1755"/>
        <w:rPr>
          <w:rFonts w:ascii="宋体" w:hAnsi="宋体"/>
          <w:szCs w:val="21"/>
        </w:rPr>
      </w:pPr>
      <w:r>
        <w:rPr>
          <w:rFonts w:hint="eastAsia" w:ascii="宋体" w:hAnsi="宋体"/>
          <w:szCs w:val="21"/>
        </w:rPr>
        <w:t>日  期：</w:t>
      </w:r>
    </w:p>
    <w:p>
      <w:pPr>
        <w:rPr>
          <w:rFonts w:ascii="宋体" w:hAnsi="宋体" w:cs="宋体"/>
          <w:b/>
          <w:szCs w:val="21"/>
        </w:rPr>
      </w:pPr>
      <w:r>
        <w:rPr>
          <w:rFonts w:ascii="宋体" w:hAnsi="宋体" w:cs="宋体"/>
          <w:b/>
          <w:szCs w:val="21"/>
        </w:rPr>
        <w:br w:type="page"/>
      </w:r>
    </w:p>
    <w:p>
      <w:pPr>
        <w:pStyle w:val="23"/>
        <w:spacing w:line="360" w:lineRule="auto"/>
        <w:ind w:left="0" w:leftChars="0"/>
        <w:jc w:val="center"/>
        <w:rPr>
          <w:rFonts w:ascii="宋体" w:hAnsi="宋体"/>
        </w:rPr>
      </w:pPr>
      <w:r>
        <w:rPr>
          <w:rFonts w:hint="eastAsia" w:ascii="宋体" w:hAnsi="宋体" w:cs="宋体"/>
          <w:b/>
          <w:sz w:val="21"/>
          <w:szCs w:val="21"/>
        </w:rPr>
        <w:t>3）</w:t>
      </w:r>
      <w:r>
        <w:rPr>
          <w:rFonts w:ascii="宋体" w:hAnsi="宋体" w:cs="宋体"/>
          <w:b/>
          <w:sz w:val="21"/>
          <w:szCs w:val="21"/>
        </w:rPr>
        <w:t>中小企业声明函</w:t>
      </w:r>
    </w:p>
    <w:p>
      <w:pPr>
        <w:adjustRightInd w:val="0"/>
        <w:snapToGrid w:val="0"/>
        <w:spacing w:line="360" w:lineRule="auto"/>
        <w:ind w:firstLine="420" w:firstLineChars="200"/>
        <w:jc w:val="left"/>
        <w:rPr>
          <w:rFonts w:ascii="宋体" w:hAnsi="宋体"/>
        </w:rPr>
      </w:pPr>
      <w:r>
        <w:rPr>
          <w:rFonts w:ascii="宋体" w:hAnsi="宋体"/>
        </w:rPr>
        <w:t>本公司（联合体）郑重声明，根据《政府采购促进中小企业发展管理办法》（财库﹝2020﹞46号）的规定，本公司（联合体）参加</w:t>
      </w:r>
      <w:r>
        <w:rPr>
          <w:rFonts w:hint="eastAsia" w:ascii="宋体" w:hAnsi="宋体"/>
          <w:u w:val="single"/>
        </w:rPr>
        <w:t>宁波市生态环境局镇海分局</w:t>
      </w:r>
      <w:r>
        <w:rPr>
          <w:rFonts w:ascii="宋体" w:hAnsi="宋体"/>
        </w:rPr>
        <w:t>的</w:t>
      </w:r>
      <w:r>
        <w:rPr>
          <w:rFonts w:hint="eastAsia" w:ascii="宋体" w:hAnsi="宋体"/>
          <w:szCs w:val="28"/>
          <w:u w:val="single"/>
        </w:rPr>
        <w:t>镇海区“数字治气”应用项目</w:t>
      </w:r>
      <w:r>
        <w:rPr>
          <w:rFonts w:ascii="宋体" w:hAnsi="宋体"/>
        </w:rPr>
        <w:t>采购活动，服务全部由符合政策要求的中小企业承接。相关企业（含联合体中的中小企业、签订分包意向协议的中小企业）的具体情况如下：</w:t>
      </w:r>
    </w:p>
    <w:p>
      <w:pPr>
        <w:adjustRightInd w:val="0"/>
        <w:snapToGrid w:val="0"/>
        <w:spacing w:line="360" w:lineRule="auto"/>
        <w:ind w:firstLine="420" w:firstLineChars="200"/>
        <w:jc w:val="left"/>
        <w:rPr>
          <w:rFonts w:ascii="宋体" w:hAnsi="宋体"/>
        </w:rPr>
      </w:pPr>
      <w:r>
        <w:rPr>
          <w:rFonts w:ascii="宋体" w:hAnsi="宋体"/>
        </w:rPr>
        <w:t xml:space="preserve">1. </w:t>
      </w:r>
      <w:r>
        <w:rPr>
          <w:rFonts w:hint="eastAsia" w:ascii="宋体" w:hAnsi="宋体"/>
          <w:b/>
          <w:bCs/>
          <w:iCs/>
          <w:u w:val="single"/>
        </w:rPr>
        <w:t>镇海区“数字治气”应用项目</w:t>
      </w:r>
      <w:r>
        <w:rPr>
          <w:rFonts w:ascii="宋体" w:hAnsi="宋体"/>
        </w:rPr>
        <w:t>，属于</w:t>
      </w:r>
      <w:r>
        <w:rPr>
          <w:rFonts w:hint="eastAsia" w:ascii="宋体" w:hAnsi="宋体"/>
          <w:b/>
          <w:bCs/>
          <w:iCs/>
          <w:u w:val="single"/>
        </w:rPr>
        <w:t>软件和信息技术服务业</w:t>
      </w:r>
      <w:r>
        <w:rPr>
          <w:rFonts w:ascii="宋体" w:hAnsi="宋体"/>
        </w:rPr>
        <w:t>；承接企业为</w:t>
      </w:r>
      <w:r>
        <w:rPr>
          <w:rFonts w:ascii="宋体" w:hAnsi="宋体"/>
          <w:u w:val="single"/>
        </w:rPr>
        <w:t>（</w:t>
      </w:r>
      <w:r>
        <w:rPr>
          <w:rFonts w:ascii="宋体" w:hAnsi="宋体"/>
          <w:i/>
          <w:u w:val="single"/>
        </w:rPr>
        <w:t>企业名称</w:t>
      </w:r>
      <w:r>
        <w:rPr>
          <w:rFonts w:ascii="宋体" w:hAnsi="宋体"/>
          <w:u w:val="single"/>
        </w:rPr>
        <w:t>）</w:t>
      </w:r>
      <w:r>
        <w:rPr>
          <w:rFonts w:ascii="宋体" w:hAnsi="宋体"/>
        </w:rPr>
        <w:t>，从业人员人，营业收入为万元，资产总额为万元，属于</w:t>
      </w:r>
      <w:r>
        <w:rPr>
          <w:rFonts w:ascii="宋体" w:hAnsi="宋体"/>
          <w:i/>
          <w:u w:val="single"/>
        </w:rPr>
        <w:t>（中型企业、小型企业、微型企业）</w:t>
      </w:r>
      <w:r>
        <w:rPr>
          <w:rFonts w:ascii="宋体" w:hAnsi="宋体"/>
        </w:rPr>
        <w:t>；</w:t>
      </w:r>
    </w:p>
    <w:p>
      <w:pPr>
        <w:adjustRightInd w:val="0"/>
        <w:snapToGrid w:val="0"/>
        <w:spacing w:line="360" w:lineRule="auto"/>
        <w:ind w:firstLine="420" w:firstLineChars="200"/>
        <w:jc w:val="left"/>
        <w:rPr>
          <w:rFonts w:ascii="宋体" w:hAnsi="宋体"/>
        </w:rPr>
      </w:pPr>
      <w:r>
        <w:rPr>
          <w:rFonts w:ascii="宋体" w:hAnsi="宋体"/>
        </w:rPr>
        <w:t>2.</w:t>
      </w:r>
      <w:r>
        <w:rPr>
          <w:rFonts w:ascii="宋体" w:hAnsi="宋体"/>
          <w:i/>
          <w:u w:val="single"/>
        </w:rPr>
        <w:t>（标的名称）</w:t>
      </w:r>
      <w:r>
        <w:rPr>
          <w:rFonts w:ascii="宋体" w:hAnsi="宋体"/>
        </w:rPr>
        <w:t>，属于</w:t>
      </w:r>
      <w:r>
        <w:rPr>
          <w:rFonts w:ascii="宋体" w:hAnsi="宋体"/>
          <w:u w:val="single"/>
        </w:rPr>
        <w:t>（</w:t>
      </w:r>
      <w:r>
        <w:rPr>
          <w:rFonts w:ascii="宋体" w:hAnsi="宋体"/>
          <w:i/>
          <w:u w:val="single"/>
        </w:rPr>
        <w:t>采购文件中明确的所属行业</w:t>
      </w:r>
      <w:r>
        <w:rPr>
          <w:rFonts w:ascii="宋体" w:hAnsi="宋体"/>
          <w:u w:val="single"/>
        </w:rPr>
        <w:t>）</w:t>
      </w:r>
      <w:r>
        <w:rPr>
          <w:rFonts w:ascii="宋体" w:hAnsi="宋体"/>
        </w:rPr>
        <w:t>；承接企业为</w:t>
      </w:r>
      <w:r>
        <w:rPr>
          <w:rFonts w:ascii="宋体" w:hAnsi="宋体"/>
          <w:u w:val="single"/>
        </w:rPr>
        <w:t>（</w:t>
      </w:r>
      <w:r>
        <w:rPr>
          <w:rFonts w:ascii="宋体" w:hAnsi="宋体"/>
          <w:i/>
          <w:u w:val="single"/>
        </w:rPr>
        <w:t>企业名称</w:t>
      </w:r>
      <w:r>
        <w:rPr>
          <w:rFonts w:ascii="宋体" w:hAnsi="宋体"/>
          <w:u w:val="single"/>
        </w:rPr>
        <w:t>）</w:t>
      </w:r>
      <w:r>
        <w:rPr>
          <w:rFonts w:ascii="宋体" w:hAnsi="宋体"/>
        </w:rPr>
        <w:t>，从业人员人，营业收入为万元，资产总额为万元，属于</w:t>
      </w:r>
      <w:r>
        <w:rPr>
          <w:rFonts w:ascii="宋体" w:hAnsi="宋体"/>
          <w:i/>
          <w:u w:val="single"/>
        </w:rPr>
        <w:t>（中型企业、 小型企业、微型企业）</w:t>
      </w:r>
      <w:r>
        <w:rPr>
          <w:rFonts w:ascii="宋体" w:hAnsi="宋体"/>
        </w:rPr>
        <w:t>；</w:t>
      </w:r>
    </w:p>
    <w:p>
      <w:pPr>
        <w:adjustRightInd w:val="0"/>
        <w:snapToGrid w:val="0"/>
        <w:spacing w:line="360" w:lineRule="auto"/>
        <w:ind w:firstLine="420" w:firstLineChars="200"/>
        <w:jc w:val="left"/>
        <w:rPr>
          <w:rFonts w:ascii="宋体" w:hAnsi="宋体"/>
        </w:rPr>
      </w:pPr>
      <w:r>
        <w:rPr>
          <w:rFonts w:ascii="宋体" w:hAnsi="宋体"/>
        </w:rPr>
        <w:t>……</w:t>
      </w:r>
    </w:p>
    <w:p>
      <w:pPr>
        <w:adjustRightInd w:val="0"/>
        <w:snapToGrid w:val="0"/>
        <w:spacing w:line="360" w:lineRule="auto"/>
        <w:ind w:firstLine="420" w:firstLineChars="200"/>
        <w:jc w:val="left"/>
        <w:rPr>
          <w:rFonts w:ascii="宋体" w:hAnsi="宋体"/>
        </w:rPr>
      </w:pPr>
      <w:r>
        <w:rPr>
          <w:rFonts w:ascii="宋体" w:hAnsi="宋体"/>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jc w:val="left"/>
        <w:rPr>
          <w:rFonts w:ascii="宋体" w:hAnsi="宋体"/>
        </w:rPr>
      </w:pPr>
      <w:r>
        <w:rPr>
          <w:rFonts w:ascii="宋体" w:hAnsi="宋体"/>
        </w:rPr>
        <w:t>本企业对上述声明内容的真实性负责。如有虚假，将依法承担相应责任。</w:t>
      </w:r>
    </w:p>
    <w:p>
      <w:pPr>
        <w:spacing w:line="360" w:lineRule="auto"/>
        <w:ind w:firstLine="420" w:firstLineChars="200"/>
        <w:jc w:val="left"/>
        <w:rPr>
          <w:rFonts w:ascii="宋体" w:hAnsi="宋体"/>
        </w:rPr>
      </w:pPr>
    </w:p>
    <w:p>
      <w:pPr>
        <w:spacing w:line="360" w:lineRule="auto"/>
        <w:ind w:firstLine="4676" w:firstLineChars="2227"/>
        <w:jc w:val="left"/>
        <w:rPr>
          <w:rFonts w:ascii="宋体" w:hAnsi="宋体"/>
        </w:rPr>
      </w:pPr>
      <w:r>
        <w:rPr>
          <w:rFonts w:ascii="宋体" w:hAnsi="宋体"/>
        </w:rPr>
        <w:t>企业名称（盖章）：</w:t>
      </w:r>
    </w:p>
    <w:p>
      <w:pPr>
        <w:spacing w:line="360" w:lineRule="auto"/>
        <w:ind w:firstLine="4676" w:firstLineChars="2227"/>
        <w:jc w:val="left"/>
        <w:rPr>
          <w:rFonts w:ascii="宋体" w:hAnsi="宋体"/>
        </w:rPr>
      </w:pPr>
      <w:r>
        <w:rPr>
          <w:rFonts w:ascii="宋体" w:hAnsi="宋体"/>
        </w:rPr>
        <w:t>日 期：</w:t>
      </w:r>
    </w:p>
    <w:p>
      <w:pPr>
        <w:pStyle w:val="23"/>
        <w:spacing w:line="360" w:lineRule="auto"/>
        <w:jc w:val="center"/>
        <w:rPr>
          <w:rFonts w:ascii="宋体" w:hAnsi="宋体"/>
        </w:rPr>
      </w:pPr>
    </w:p>
    <w:p>
      <w:pPr>
        <w:snapToGrid w:val="0"/>
        <w:spacing w:before="50" w:after="50" w:line="360" w:lineRule="auto"/>
        <w:ind w:left="-23" w:leftChars="-11" w:right="-214" w:rightChars="-102"/>
        <w:jc w:val="left"/>
        <w:rPr>
          <w:rFonts w:asciiTheme="minorEastAsia" w:hAnsiTheme="minorEastAsia" w:eastAsiaTheme="minorEastAsia"/>
          <w:b/>
        </w:rPr>
      </w:pPr>
    </w:p>
    <w:p>
      <w:pPr>
        <w:snapToGrid w:val="0"/>
        <w:spacing w:before="50" w:after="50" w:line="360" w:lineRule="auto"/>
        <w:ind w:left="-23" w:leftChars="-11" w:right="-214" w:rightChars="-102"/>
        <w:jc w:val="left"/>
        <w:rPr>
          <w:rFonts w:ascii="宋体" w:hAnsi="宋体"/>
        </w:rPr>
      </w:pPr>
      <w:r>
        <w:rPr>
          <w:rFonts w:hint="eastAsia" w:asciiTheme="minorEastAsia" w:hAnsiTheme="minorEastAsia" w:eastAsiaTheme="minorEastAsia"/>
          <w:b/>
        </w:rPr>
        <w:t>说明：</w:t>
      </w:r>
      <w:r>
        <w:rPr>
          <w:rFonts w:hint="eastAsia" w:ascii="宋体" w:hAnsi="宋体" w:eastAsiaTheme="minorEastAsia"/>
          <w:b/>
        </w:rPr>
        <w:t>软件和信息技术服务</w:t>
      </w:r>
      <w:r>
        <w:rPr>
          <w:rFonts w:hint="eastAsia" w:ascii="宋体" w:hAnsi="宋体"/>
          <w:b/>
        </w:rPr>
        <w:t>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注：1、从业人员、营业收入、资产总额填报上一年度数据，无上一年度数据的新成立企业可不填报。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2、供应商应当对其出具的《中小企业声明函》真实性负责，供应商出具的《中小企业声明函》内容不实的，属于提供虚假材料。</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3、事业单位不属于企业不应提交本声明函，其他组织形式的供应商参与本项目并提交本声明函前请仔细阅读相关文件。</w:t>
      </w:r>
    </w:p>
    <w:p>
      <w:pPr>
        <w:tabs>
          <w:tab w:val="left" w:pos="4860"/>
        </w:tabs>
        <w:spacing w:line="360" w:lineRule="auto"/>
        <w:ind w:right="1560" w:firstLine="420" w:firstLineChars="200"/>
        <w:jc w:val="center"/>
        <w:rPr>
          <w:rFonts w:ascii="宋体" w:hAnsi="宋体"/>
          <w:szCs w:val="21"/>
        </w:rPr>
      </w:pPr>
    </w:p>
    <w:p>
      <w:pPr>
        <w:spacing w:line="360" w:lineRule="auto"/>
        <w:ind w:firstLine="420" w:firstLineChars="200"/>
        <w:jc w:val="left"/>
        <w:rPr>
          <w:rFonts w:ascii="宋体" w:hAnsi="宋体"/>
          <w:szCs w:val="21"/>
        </w:rPr>
      </w:pPr>
    </w:p>
    <w:p>
      <w:pPr>
        <w:pStyle w:val="23"/>
        <w:spacing w:line="360" w:lineRule="auto"/>
        <w:ind w:left="0" w:leftChars="0"/>
        <w:jc w:val="center"/>
        <w:rPr>
          <w:rFonts w:ascii="宋体" w:hAnsi="宋体"/>
          <w:b/>
          <w:bCs/>
          <w:spacing w:val="6"/>
          <w:szCs w:val="21"/>
        </w:rPr>
      </w:pPr>
      <w:bookmarkStart w:id="74" w:name="OLE_LINK13"/>
      <w:bookmarkStart w:id="75" w:name="OLE_LINK14"/>
      <w:r>
        <w:rPr>
          <w:rFonts w:ascii="宋体" w:hAnsi="宋体"/>
          <w:b/>
          <w:bCs/>
          <w:szCs w:val="21"/>
        </w:rPr>
        <w:br w:type="page"/>
      </w:r>
      <w:r>
        <w:rPr>
          <w:rFonts w:hint="eastAsia" w:ascii="宋体" w:hAnsi="宋体"/>
          <w:b/>
          <w:bCs/>
          <w:szCs w:val="21"/>
        </w:rPr>
        <w:t>4）</w:t>
      </w:r>
      <w:r>
        <w:rPr>
          <w:rFonts w:hint="eastAsia" w:ascii="宋体" w:hAnsi="宋体" w:cs="宋体"/>
          <w:b/>
          <w:bCs/>
          <w:sz w:val="21"/>
          <w:szCs w:val="21"/>
        </w:rPr>
        <w:t>残疾人福利性单位声明函</w:t>
      </w:r>
      <w:bookmarkEnd w:id="74"/>
      <w:bookmarkEnd w:id="75"/>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本单位郑重声明，根据《财政部 民政部 中国残疾人联合会关于促进残疾人就业政府采购政策的通知》（财库</w:t>
      </w:r>
      <w:r>
        <w:rPr>
          <w:rFonts w:hint="eastAsia" w:asciiTheme="minorEastAsia" w:hAnsiTheme="minorEastAsia" w:eastAsiaTheme="minorEastAsia"/>
        </w:rPr>
        <w:t>〔2017〕 141</w:t>
      </w:r>
      <w:r>
        <w:rPr>
          <w:rFonts w:hint="eastAsia" w:asciiTheme="minorEastAsia" w:hAnsiTheme="minorEastAsia" w:eastAsiaTheme="minorEastAsia"/>
          <w:spacing w:val="6"/>
        </w:rPr>
        <w:t>号）的规定，本单位为符合条件的残疾人福利性单位，且本单位参加</w:t>
      </w:r>
      <w:r>
        <w:rPr>
          <w:rFonts w:hint="eastAsia" w:asciiTheme="minorEastAsia" w:hAnsiTheme="minorEastAsia" w:eastAsiaTheme="minorEastAsia"/>
          <w:spacing w:val="6"/>
          <w:u w:val="single"/>
        </w:rPr>
        <w:t xml:space="preserve">   （填采购人名称）      </w:t>
      </w:r>
      <w:r>
        <w:rPr>
          <w:rFonts w:hint="eastAsia" w:asciiTheme="minorEastAsia" w:hAnsiTheme="minorEastAsia" w:eastAsiaTheme="minorEastAsia"/>
          <w:spacing w:val="6"/>
        </w:rPr>
        <w:t>单位的</w:t>
      </w:r>
      <w:r>
        <w:rPr>
          <w:rFonts w:hint="eastAsia" w:asciiTheme="minorEastAsia" w:hAnsiTheme="minorEastAsia" w:eastAsiaTheme="minorEastAsia"/>
          <w:spacing w:val="6"/>
          <w:u w:val="single"/>
        </w:rPr>
        <w:t xml:space="preserve">     （填项目名称）       </w:t>
      </w:r>
      <w:r>
        <w:rPr>
          <w:rFonts w:hint="eastAsia" w:asciiTheme="minorEastAsia" w:hAnsiTheme="minorEastAsia" w:eastAsiaTheme="minorEastAsia"/>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本单位对上述声明的真实性负责。如有虚假，将依法承担相应责任。</w:t>
      </w:r>
    </w:p>
    <w:p>
      <w:pPr>
        <w:spacing w:line="360" w:lineRule="auto"/>
        <w:ind w:firstLine="444" w:firstLineChars="200"/>
        <w:rPr>
          <w:rFonts w:asciiTheme="minorEastAsia" w:hAnsiTheme="minorEastAsia" w:eastAsiaTheme="minorEastAsia"/>
          <w:spacing w:val="6"/>
        </w:rPr>
      </w:pPr>
    </w:p>
    <w:p>
      <w:pPr>
        <w:spacing w:line="360" w:lineRule="auto"/>
        <w:ind w:firstLine="444" w:firstLineChars="200"/>
        <w:rPr>
          <w:rFonts w:asciiTheme="minorEastAsia" w:hAnsiTheme="minorEastAsia" w:eastAsiaTheme="minorEastAsia"/>
          <w:spacing w:val="6"/>
        </w:rPr>
      </w:pP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单位名称（盖章）：</w:t>
      </w: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日  期：</w:t>
      </w:r>
    </w:p>
    <w:p>
      <w:pPr>
        <w:pStyle w:val="23"/>
        <w:snapToGrid w:val="0"/>
        <w:spacing w:line="360" w:lineRule="auto"/>
        <w:ind w:firstLine="437" w:firstLineChars="196"/>
        <w:rPr>
          <w:rFonts w:ascii="宋体" w:hAnsi="宋体" w:cs="宋体"/>
          <w:b/>
          <w:spacing w:val="6"/>
          <w:sz w:val="21"/>
          <w:szCs w:val="21"/>
        </w:rPr>
      </w:pPr>
    </w:p>
    <w:p>
      <w:pPr>
        <w:pStyle w:val="23"/>
        <w:snapToGrid w:val="0"/>
        <w:spacing w:line="360" w:lineRule="auto"/>
        <w:ind w:firstLine="437" w:firstLineChars="196"/>
        <w:rPr>
          <w:rFonts w:ascii="宋体" w:hAnsi="宋体" w:cs="宋体"/>
          <w:b/>
          <w:spacing w:val="6"/>
          <w:sz w:val="21"/>
          <w:szCs w:val="21"/>
        </w:rPr>
      </w:pPr>
    </w:p>
    <w:p>
      <w:pPr>
        <w:pStyle w:val="23"/>
        <w:snapToGrid w:val="0"/>
        <w:spacing w:line="360" w:lineRule="auto"/>
        <w:ind w:firstLine="437" w:firstLineChars="196"/>
        <w:rPr>
          <w:rFonts w:ascii="宋体" w:hAnsi="宋体" w:cs="宋体"/>
          <w:b/>
          <w:spacing w:val="6"/>
          <w:sz w:val="21"/>
          <w:szCs w:val="21"/>
        </w:rPr>
      </w:pPr>
    </w:p>
    <w:p>
      <w:pPr>
        <w:spacing w:line="360" w:lineRule="auto"/>
        <w:rPr>
          <w:rFonts w:ascii="宋体" w:hAnsi="宋体"/>
          <w:b/>
        </w:rPr>
      </w:pPr>
    </w:p>
    <w:p>
      <w:pPr>
        <w:spacing w:line="360" w:lineRule="auto"/>
        <w:rPr>
          <w:rFonts w:ascii="宋体" w:hAnsi="宋体"/>
          <w:b/>
        </w:rPr>
      </w:pPr>
      <w:r>
        <w:rPr>
          <w:rFonts w:hint="eastAsia" w:ascii="宋体" w:hAnsi="宋体"/>
          <w:b/>
        </w:rPr>
        <w:t>说明：不属于残疾人福利性单位无需且不应当提供本声明函，否则自行承担相应的责任。</w:t>
      </w:r>
    </w:p>
    <w:p>
      <w:pPr>
        <w:pStyle w:val="4"/>
      </w:pPr>
    </w:p>
    <w:sectPr>
      <w:headerReference r:id="rId11" w:type="default"/>
      <w:footerReference r:id="rId12" w:type="even"/>
      <w:pgSz w:w="11906" w:h="16838"/>
      <w:pgMar w:top="1276" w:right="1440"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3</w:t>
    </w:r>
    <w:r>
      <w:rPr>
        <w:rFonts w:ascii="宋体" w:hAnsi="宋体"/>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lZGggCAAASBAAADgAAAGRycy9lMm9Eb2MueG1srVNLbtswEN0X6B0I&#10;7mvZWhSGYDlIY7gokH6AtAegKcoiKnKIIW3JPUB7g6666b7n8jkypCQnTTdZdEMM5/Nm3uNwddWb&#10;lh0Veg225IvZnDNlJVTa7kv+5fP21ZIzH4StRAtWlfykPL9av3yx6lyhcmigrRQyArG+6FzJmxBc&#10;kWVeNsoIPwOnLAVrQCMCXXGfVSg6Qjdtls/nr7MOsHIIUnlP3s0Q5CMiPgcQ6lpLtQF5MMqGARVV&#10;KwJR8o12nq/TtHWtZPhY114F1pacmIZ0UhOyd/HM1itR7FG4RstxBPGcEZ5wMkJbanqB2ogg2AH1&#10;P1BGSwQPdZhJMNlAJClCLBbzJ9rcNcKpxIWk9u4iuv9/sPLD8RMyXZU858wKQw9+/vnj/OvP+fd3&#10;lkd5OucLyrpzlBf6N9DT0iSq3t2C/OqZhZtG2L26RoSuUaKi8RaxMntUOuD4CLLr3kNFfcQhQALq&#10;azRRO1KDETo9zenyNKoPTMaWy3y5nFNIUmy6xB6imMod+vBWgWHRKDnS2yd4cbz1YUidUmI3C1vd&#10;tuQXRWv/chDm4FFpgcbqSCbOPzAJ/a6n2ujcQXUiWgjDctHXIqMB/MZZR4tVckv/iLP2nSVh4g5O&#10;Bk7GbjKElVRY8sDZYN6EYVcPDvW+IdxJ+msSb6sTrYcZRslpVZIw41rHXXx8T1kPX3l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ceVkaCAIAABIEAAAOAAAAAAAAAAEAIAAAAB4BAABkcnMv&#10;ZTJvRG9jLnhtbFBLBQYAAAAABgAGAFkBAACY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outside" w:y="1"/>
      <w:rPr>
        <w:rStyle w:val="49"/>
      </w:rPr>
    </w:pPr>
    <w:r>
      <w:fldChar w:fldCharType="begin"/>
    </w:r>
    <w:r>
      <w:rPr>
        <w:rStyle w:val="49"/>
      </w:rPr>
      <w:instrText xml:space="preserve">PAGE  </w:instrText>
    </w:r>
    <w:r>
      <w:fldChar w:fldCharType="end"/>
    </w:r>
  </w:p>
  <w:p>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5"/>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0B10208C"/>
    <w:multiLevelType w:val="multilevel"/>
    <w:tmpl w:val="0B10208C"/>
    <w:lvl w:ilvl="0" w:tentative="0">
      <w:start w:val="1"/>
      <w:numFmt w:val="bullet"/>
      <w:pStyle w:val="397"/>
      <w:lvlText w:val=""/>
      <w:lvlJc w:val="left"/>
      <w:pPr>
        <w:ind w:left="0" w:firstLine="482"/>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5AA425F0"/>
    <w:multiLevelType w:val="singleLevel"/>
    <w:tmpl w:val="5AA425F0"/>
    <w:lvl w:ilvl="0" w:tentative="0">
      <w:start w:val="2"/>
      <w:numFmt w:val="decimal"/>
      <w:lvlText w:val="%1."/>
      <w:lvlJc w:val="left"/>
      <w:pPr>
        <w:tabs>
          <w:tab w:val="left" w:pos="312"/>
        </w:tabs>
      </w:pPr>
    </w:lvl>
  </w:abstractNum>
  <w:abstractNum w:abstractNumId="3">
    <w:nsid w:val="77025B59"/>
    <w:multiLevelType w:val="multilevel"/>
    <w:tmpl w:val="77025B59"/>
    <w:lvl w:ilvl="0" w:tentative="0">
      <w:start w:val="1"/>
      <w:numFmt w:val="bullet"/>
      <w:pStyle w:val="398"/>
      <w:lvlText w:val=""/>
      <w:lvlJc w:val="left"/>
      <w:pPr>
        <w:ind w:left="900" w:hanging="420"/>
      </w:pPr>
      <w:rPr>
        <w:rFonts w:hint="default" w:ascii="Wingdings" w:hAnsi="Wingdings"/>
        <w:b w:val="0"/>
        <w:bCs w:val="0"/>
        <w:i w:val="0"/>
        <w:iCs w:val="0"/>
        <w:caps w:val="0"/>
        <w:smallCaps w:val="0"/>
        <w:strike w:val="0"/>
        <w:dstrike w:val="0"/>
        <w:vanish w:val="0"/>
        <w:spacing w:val="0"/>
        <w:position w:val="0"/>
        <w:u w:val="none"/>
        <w:vertAlign w:val="baseline"/>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jFkNDc0NTJiZTI2MTFkNWVjMWVkNzhlOTBjYjMifQ=="/>
  </w:docVars>
  <w:rsids>
    <w:rsidRoot w:val="003E2D88"/>
    <w:rsid w:val="00000FB1"/>
    <w:rsid w:val="00003B2E"/>
    <w:rsid w:val="00004BCB"/>
    <w:rsid w:val="00005489"/>
    <w:rsid w:val="000058AD"/>
    <w:rsid w:val="00005F49"/>
    <w:rsid w:val="00007484"/>
    <w:rsid w:val="0001041F"/>
    <w:rsid w:val="00010A88"/>
    <w:rsid w:val="0001181A"/>
    <w:rsid w:val="00012AAB"/>
    <w:rsid w:val="00012BD8"/>
    <w:rsid w:val="00013295"/>
    <w:rsid w:val="00013641"/>
    <w:rsid w:val="0001460A"/>
    <w:rsid w:val="00016639"/>
    <w:rsid w:val="00016D6A"/>
    <w:rsid w:val="00017683"/>
    <w:rsid w:val="0001783E"/>
    <w:rsid w:val="000210F3"/>
    <w:rsid w:val="00022B6E"/>
    <w:rsid w:val="0002338A"/>
    <w:rsid w:val="0002554D"/>
    <w:rsid w:val="0002586E"/>
    <w:rsid w:val="00025EC1"/>
    <w:rsid w:val="0002731E"/>
    <w:rsid w:val="000314AF"/>
    <w:rsid w:val="00034A7D"/>
    <w:rsid w:val="000361E5"/>
    <w:rsid w:val="00036FA2"/>
    <w:rsid w:val="00040AD2"/>
    <w:rsid w:val="00040D82"/>
    <w:rsid w:val="000414F8"/>
    <w:rsid w:val="00042DCA"/>
    <w:rsid w:val="00043D09"/>
    <w:rsid w:val="00044921"/>
    <w:rsid w:val="00044F0D"/>
    <w:rsid w:val="000453DF"/>
    <w:rsid w:val="00046451"/>
    <w:rsid w:val="0004704A"/>
    <w:rsid w:val="00047B97"/>
    <w:rsid w:val="0005081C"/>
    <w:rsid w:val="00051340"/>
    <w:rsid w:val="00051C25"/>
    <w:rsid w:val="00053642"/>
    <w:rsid w:val="00053A47"/>
    <w:rsid w:val="00053B0C"/>
    <w:rsid w:val="0005427E"/>
    <w:rsid w:val="00054668"/>
    <w:rsid w:val="00054A34"/>
    <w:rsid w:val="00055BE8"/>
    <w:rsid w:val="0005609E"/>
    <w:rsid w:val="00056188"/>
    <w:rsid w:val="000569B8"/>
    <w:rsid w:val="00057999"/>
    <w:rsid w:val="000602AB"/>
    <w:rsid w:val="000629A5"/>
    <w:rsid w:val="000646CB"/>
    <w:rsid w:val="000655A5"/>
    <w:rsid w:val="000656CA"/>
    <w:rsid w:val="00065D43"/>
    <w:rsid w:val="00066348"/>
    <w:rsid w:val="00066D44"/>
    <w:rsid w:val="000670FA"/>
    <w:rsid w:val="0007082C"/>
    <w:rsid w:val="00070B7E"/>
    <w:rsid w:val="00070D34"/>
    <w:rsid w:val="000711DD"/>
    <w:rsid w:val="00071B75"/>
    <w:rsid w:val="000721AA"/>
    <w:rsid w:val="0007412D"/>
    <w:rsid w:val="00074A24"/>
    <w:rsid w:val="000750F1"/>
    <w:rsid w:val="00076320"/>
    <w:rsid w:val="0007652A"/>
    <w:rsid w:val="000772D0"/>
    <w:rsid w:val="00077C51"/>
    <w:rsid w:val="0008036E"/>
    <w:rsid w:val="00080EE8"/>
    <w:rsid w:val="00081F9E"/>
    <w:rsid w:val="00082082"/>
    <w:rsid w:val="00082B8F"/>
    <w:rsid w:val="00082FC2"/>
    <w:rsid w:val="00085BE6"/>
    <w:rsid w:val="00090224"/>
    <w:rsid w:val="00090A04"/>
    <w:rsid w:val="000917BA"/>
    <w:rsid w:val="00091AF7"/>
    <w:rsid w:val="00091D00"/>
    <w:rsid w:val="000928C4"/>
    <w:rsid w:val="0009369B"/>
    <w:rsid w:val="00093C95"/>
    <w:rsid w:val="00093DD1"/>
    <w:rsid w:val="00094A2D"/>
    <w:rsid w:val="00096667"/>
    <w:rsid w:val="00097827"/>
    <w:rsid w:val="00097C49"/>
    <w:rsid w:val="000A0470"/>
    <w:rsid w:val="000A12BF"/>
    <w:rsid w:val="000A1BD6"/>
    <w:rsid w:val="000A2717"/>
    <w:rsid w:val="000A2945"/>
    <w:rsid w:val="000A2EC7"/>
    <w:rsid w:val="000A2FA0"/>
    <w:rsid w:val="000A3D8C"/>
    <w:rsid w:val="000A79AA"/>
    <w:rsid w:val="000B17C7"/>
    <w:rsid w:val="000B2161"/>
    <w:rsid w:val="000B2EFC"/>
    <w:rsid w:val="000B3666"/>
    <w:rsid w:val="000B3948"/>
    <w:rsid w:val="000B3FA8"/>
    <w:rsid w:val="000B405E"/>
    <w:rsid w:val="000B5760"/>
    <w:rsid w:val="000B5B1A"/>
    <w:rsid w:val="000B5BA9"/>
    <w:rsid w:val="000B621D"/>
    <w:rsid w:val="000B6E3B"/>
    <w:rsid w:val="000C0A82"/>
    <w:rsid w:val="000C3D43"/>
    <w:rsid w:val="000C5050"/>
    <w:rsid w:val="000C59EF"/>
    <w:rsid w:val="000C6491"/>
    <w:rsid w:val="000C658D"/>
    <w:rsid w:val="000C74C3"/>
    <w:rsid w:val="000D132B"/>
    <w:rsid w:val="000D2439"/>
    <w:rsid w:val="000D24E4"/>
    <w:rsid w:val="000D3745"/>
    <w:rsid w:val="000D39B4"/>
    <w:rsid w:val="000D4B5F"/>
    <w:rsid w:val="000D4BAB"/>
    <w:rsid w:val="000D6F04"/>
    <w:rsid w:val="000D7745"/>
    <w:rsid w:val="000D7BBF"/>
    <w:rsid w:val="000D7FFC"/>
    <w:rsid w:val="000E148F"/>
    <w:rsid w:val="000E176D"/>
    <w:rsid w:val="000E1863"/>
    <w:rsid w:val="000E30E9"/>
    <w:rsid w:val="000E3701"/>
    <w:rsid w:val="000E4B85"/>
    <w:rsid w:val="000E5B4F"/>
    <w:rsid w:val="000E5C77"/>
    <w:rsid w:val="000E5F40"/>
    <w:rsid w:val="000E61E4"/>
    <w:rsid w:val="000E77C4"/>
    <w:rsid w:val="000E7E17"/>
    <w:rsid w:val="000F196D"/>
    <w:rsid w:val="000F4607"/>
    <w:rsid w:val="000F52B9"/>
    <w:rsid w:val="000F765B"/>
    <w:rsid w:val="00103A7C"/>
    <w:rsid w:val="00104929"/>
    <w:rsid w:val="0010500C"/>
    <w:rsid w:val="00105764"/>
    <w:rsid w:val="00105B77"/>
    <w:rsid w:val="001066B9"/>
    <w:rsid w:val="001067DC"/>
    <w:rsid w:val="00107B7A"/>
    <w:rsid w:val="00107D5A"/>
    <w:rsid w:val="00110F1E"/>
    <w:rsid w:val="00111BBA"/>
    <w:rsid w:val="00112256"/>
    <w:rsid w:val="0011530A"/>
    <w:rsid w:val="00115456"/>
    <w:rsid w:val="00116493"/>
    <w:rsid w:val="00117330"/>
    <w:rsid w:val="00117D03"/>
    <w:rsid w:val="00120409"/>
    <w:rsid w:val="00124D50"/>
    <w:rsid w:val="00125FD5"/>
    <w:rsid w:val="00130BC0"/>
    <w:rsid w:val="00131096"/>
    <w:rsid w:val="001311D7"/>
    <w:rsid w:val="0013137F"/>
    <w:rsid w:val="00133046"/>
    <w:rsid w:val="00133400"/>
    <w:rsid w:val="00134DF0"/>
    <w:rsid w:val="0013587D"/>
    <w:rsid w:val="00135B6F"/>
    <w:rsid w:val="00135EB5"/>
    <w:rsid w:val="0013630C"/>
    <w:rsid w:val="0013692D"/>
    <w:rsid w:val="00136D06"/>
    <w:rsid w:val="00137EDD"/>
    <w:rsid w:val="00140197"/>
    <w:rsid w:val="00140458"/>
    <w:rsid w:val="001404E9"/>
    <w:rsid w:val="00140814"/>
    <w:rsid w:val="00141CEF"/>
    <w:rsid w:val="0014297F"/>
    <w:rsid w:val="00143818"/>
    <w:rsid w:val="00143FCF"/>
    <w:rsid w:val="00146925"/>
    <w:rsid w:val="001469A5"/>
    <w:rsid w:val="001472B7"/>
    <w:rsid w:val="001476FE"/>
    <w:rsid w:val="00147B0A"/>
    <w:rsid w:val="00150D65"/>
    <w:rsid w:val="00151CCB"/>
    <w:rsid w:val="001528B0"/>
    <w:rsid w:val="001534DD"/>
    <w:rsid w:val="00153B15"/>
    <w:rsid w:val="00153BE7"/>
    <w:rsid w:val="00153FD2"/>
    <w:rsid w:val="00154D3B"/>
    <w:rsid w:val="00156D02"/>
    <w:rsid w:val="00157973"/>
    <w:rsid w:val="00161721"/>
    <w:rsid w:val="0016179A"/>
    <w:rsid w:val="00161D2D"/>
    <w:rsid w:val="00162871"/>
    <w:rsid w:val="00164318"/>
    <w:rsid w:val="001652AB"/>
    <w:rsid w:val="00165980"/>
    <w:rsid w:val="0016603F"/>
    <w:rsid w:val="0016640A"/>
    <w:rsid w:val="00166849"/>
    <w:rsid w:val="001703EC"/>
    <w:rsid w:val="00170558"/>
    <w:rsid w:val="0017055E"/>
    <w:rsid w:val="00170FF9"/>
    <w:rsid w:val="001726D0"/>
    <w:rsid w:val="00173244"/>
    <w:rsid w:val="00174B4A"/>
    <w:rsid w:val="00180189"/>
    <w:rsid w:val="00180AE4"/>
    <w:rsid w:val="00181F56"/>
    <w:rsid w:val="00184771"/>
    <w:rsid w:val="00184CD7"/>
    <w:rsid w:val="001862DF"/>
    <w:rsid w:val="00186E43"/>
    <w:rsid w:val="0018755D"/>
    <w:rsid w:val="00187F7E"/>
    <w:rsid w:val="00191CF6"/>
    <w:rsid w:val="00191E38"/>
    <w:rsid w:val="00192313"/>
    <w:rsid w:val="0019413A"/>
    <w:rsid w:val="00194142"/>
    <w:rsid w:val="00196D9B"/>
    <w:rsid w:val="0019759D"/>
    <w:rsid w:val="001A0732"/>
    <w:rsid w:val="001A14BB"/>
    <w:rsid w:val="001A15E6"/>
    <w:rsid w:val="001A1F33"/>
    <w:rsid w:val="001A2CFA"/>
    <w:rsid w:val="001A2F99"/>
    <w:rsid w:val="001A2FCE"/>
    <w:rsid w:val="001A3512"/>
    <w:rsid w:val="001A3874"/>
    <w:rsid w:val="001A3E4C"/>
    <w:rsid w:val="001A4B0E"/>
    <w:rsid w:val="001A59A9"/>
    <w:rsid w:val="001A5A5D"/>
    <w:rsid w:val="001A7873"/>
    <w:rsid w:val="001A7D73"/>
    <w:rsid w:val="001B22A7"/>
    <w:rsid w:val="001B25BA"/>
    <w:rsid w:val="001B2973"/>
    <w:rsid w:val="001B2CCD"/>
    <w:rsid w:val="001B3104"/>
    <w:rsid w:val="001B3F6D"/>
    <w:rsid w:val="001B4D51"/>
    <w:rsid w:val="001B5292"/>
    <w:rsid w:val="001B6C3E"/>
    <w:rsid w:val="001C520B"/>
    <w:rsid w:val="001C5B24"/>
    <w:rsid w:val="001C63A1"/>
    <w:rsid w:val="001C6AB1"/>
    <w:rsid w:val="001C6AEE"/>
    <w:rsid w:val="001D12DB"/>
    <w:rsid w:val="001D24EA"/>
    <w:rsid w:val="001D3024"/>
    <w:rsid w:val="001D35BD"/>
    <w:rsid w:val="001D3B2C"/>
    <w:rsid w:val="001D4239"/>
    <w:rsid w:val="001D46E7"/>
    <w:rsid w:val="001D4944"/>
    <w:rsid w:val="001D4B1A"/>
    <w:rsid w:val="001D5309"/>
    <w:rsid w:val="001D6A6C"/>
    <w:rsid w:val="001D7AAC"/>
    <w:rsid w:val="001D7CF0"/>
    <w:rsid w:val="001E0FDC"/>
    <w:rsid w:val="001E16C8"/>
    <w:rsid w:val="001E2FDA"/>
    <w:rsid w:val="001E3740"/>
    <w:rsid w:val="001E3FE2"/>
    <w:rsid w:val="001E6C06"/>
    <w:rsid w:val="001E7E64"/>
    <w:rsid w:val="001F0501"/>
    <w:rsid w:val="001F0E3A"/>
    <w:rsid w:val="001F1CFE"/>
    <w:rsid w:val="001F2802"/>
    <w:rsid w:val="001F38AB"/>
    <w:rsid w:val="001F4F64"/>
    <w:rsid w:val="001F67A3"/>
    <w:rsid w:val="001F693A"/>
    <w:rsid w:val="002005BD"/>
    <w:rsid w:val="0020105E"/>
    <w:rsid w:val="002019A0"/>
    <w:rsid w:val="002019B4"/>
    <w:rsid w:val="00201E34"/>
    <w:rsid w:val="00201E7D"/>
    <w:rsid w:val="00202DE9"/>
    <w:rsid w:val="00202E1D"/>
    <w:rsid w:val="00205CFA"/>
    <w:rsid w:val="00207531"/>
    <w:rsid w:val="00207959"/>
    <w:rsid w:val="00207A20"/>
    <w:rsid w:val="00212063"/>
    <w:rsid w:val="00212D12"/>
    <w:rsid w:val="00213ADF"/>
    <w:rsid w:val="00213F66"/>
    <w:rsid w:val="00216B4E"/>
    <w:rsid w:val="00216FD6"/>
    <w:rsid w:val="002170E1"/>
    <w:rsid w:val="0021793A"/>
    <w:rsid w:val="00220EE2"/>
    <w:rsid w:val="00221651"/>
    <w:rsid w:val="00224529"/>
    <w:rsid w:val="0022470C"/>
    <w:rsid w:val="002264D3"/>
    <w:rsid w:val="00226CD8"/>
    <w:rsid w:val="00227154"/>
    <w:rsid w:val="00227555"/>
    <w:rsid w:val="00232EB5"/>
    <w:rsid w:val="00233365"/>
    <w:rsid w:val="002344F9"/>
    <w:rsid w:val="0023497F"/>
    <w:rsid w:val="00234A80"/>
    <w:rsid w:val="002356CE"/>
    <w:rsid w:val="00235D2B"/>
    <w:rsid w:val="002375AD"/>
    <w:rsid w:val="002410C2"/>
    <w:rsid w:val="0024158A"/>
    <w:rsid w:val="002420DA"/>
    <w:rsid w:val="0024401C"/>
    <w:rsid w:val="002446D5"/>
    <w:rsid w:val="00244C44"/>
    <w:rsid w:val="00246E5E"/>
    <w:rsid w:val="00247071"/>
    <w:rsid w:val="002470E1"/>
    <w:rsid w:val="00247772"/>
    <w:rsid w:val="002501A0"/>
    <w:rsid w:val="00254BC6"/>
    <w:rsid w:val="00254D9C"/>
    <w:rsid w:val="00255DB2"/>
    <w:rsid w:val="00255DE4"/>
    <w:rsid w:val="002565F3"/>
    <w:rsid w:val="00256F84"/>
    <w:rsid w:val="002570FF"/>
    <w:rsid w:val="00260A57"/>
    <w:rsid w:val="00260B20"/>
    <w:rsid w:val="00262BF3"/>
    <w:rsid w:val="002632B8"/>
    <w:rsid w:val="0026350D"/>
    <w:rsid w:val="00263B0D"/>
    <w:rsid w:val="0026504D"/>
    <w:rsid w:val="00266B8D"/>
    <w:rsid w:val="00267F56"/>
    <w:rsid w:val="00271B06"/>
    <w:rsid w:val="00273EF7"/>
    <w:rsid w:val="00273F1F"/>
    <w:rsid w:val="00274A78"/>
    <w:rsid w:val="0027512C"/>
    <w:rsid w:val="00275E97"/>
    <w:rsid w:val="0027766B"/>
    <w:rsid w:val="00282346"/>
    <w:rsid w:val="002836C0"/>
    <w:rsid w:val="00285478"/>
    <w:rsid w:val="002860A0"/>
    <w:rsid w:val="002864EF"/>
    <w:rsid w:val="002874C3"/>
    <w:rsid w:val="002877AC"/>
    <w:rsid w:val="00290339"/>
    <w:rsid w:val="002903A5"/>
    <w:rsid w:val="00290701"/>
    <w:rsid w:val="002924F4"/>
    <w:rsid w:val="00292B6D"/>
    <w:rsid w:val="0029380C"/>
    <w:rsid w:val="00293E89"/>
    <w:rsid w:val="00294289"/>
    <w:rsid w:val="00294439"/>
    <w:rsid w:val="0029526A"/>
    <w:rsid w:val="00297E71"/>
    <w:rsid w:val="002A0C88"/>
    <w:rsid w:val="002A0ED0"/>
    <w:rsid w:val="002A19B4"/>
    <w:rsid w:val="002A20D2"/>
    <w:rsid w:val="002A33A0"/>
    <w:rsid w:val="002A37C1"/>
    <w:rsid w:val="002A4A1C"/>
    <w:rsid w:val="002A521C"/>
    <w:rsid w:val="002B0E6C"/>
    <w:rsid w:val="002B20C5"/>
    <w:rsid w:val="002B5A68"/>
    <w:rsid w:val="002B68DE"/>
    <w:rsid w:val="002B7060"/>
    <w:rsid w:val="002B7933"/>
    <w:rsid w:val="002B7BA3"/>
    <w:rsid w:val="002B7C06"/>
    <w:rsid w:val="002C217D"/>
    <w:rsid w:val="002C2286"/>
    <w:rsid w:val="002C4373"/>
    <w:rsid w:val="002C4406"/>
    <w:rsid w:val="002C6B00"/>
    <w:rsid w:val="002C6DCB"/>
    <w:rsid w:val="002D0343"/>
    <w:rsid w:val="002D1AC2"/>
    <w:rsid w:val="002D222F"/>
    <w:rsid w:val="002D2E76"/>
    <w:rsid w:val="002D4E64"/>
    <w:rsid w:val="002D5326"/>
    <w:rsid w:val="002D5C6E"/>
    <w:rsid w:val="002D6335"/>
    <w:rsid w:val="002D6B16"/>
    <w:rsid w:val="002D6E20"/>
    <w:rsid w:val="002D76BD"/>
    <w:rsid w:val="002E11F2"/>
    <w:rsid w:val="002E2727"/>
    <w:rsid w:val="002E466C"/>
    <w:rsid w:val="002E6353"/>
    <w:rsid w:val="002E7704"/>
    <w:rsid w:val="002E7820"/>
    <w:rsid w:val="002F09FA"/>
    <w:rsid w:val="002F0BA3"/>
    <w:rsid w:val="002F20E5"/>
    <w:rsid w:val="002F3598"/>
    <w:rsid w:val="002F4142"/>
    <w:rsid w:val="002F4860"/>
    <w:rsid w:val="002F556D"/>
    <w:rsid w:val="002F6DF7"/>
    <w:rsid w:val="0030256A"/>
    <w:rsid w:val="00306394"/>
    <w:rsid w:val="00307484"/>
    <w:rsid w:val="00310F45"/>
    <w:rsid w:val="00312BA1"/>
    <w:rsid w:val="00313678"/>
    <w:rsid w:val="00313943"/>
    <w:rsid w:val="00315019"/>
    <w:rsid w:val="003157BE"/>
    <w:rsid w:val="003162BB"/>
    <w:rsid w:val="0031678D"/>
    <w:rsid w:val="00317760"/>
    <w:rsid w:val="00317E72"/>
    <w:rsid w:val="00320549"/>
    <w:rsid w:val="0032068B"/>
    <w:rsid w:val="00323CB0"/>
    <w:rsid w:val="003253AF"/>
    <w:rsid w:val="003255FC"/>
    <w:rsid w:val="003258FB"/>
    <w:rsid w:val="0032594F"/>
    <w:rsid w:val="00330939"/>
    <w:rsid w:val="00330965"/>
    <w:rsid w:val="0033165B"/>
    <w:rsid w:val="00331A7B"/>
    <w:rsid w:val="00331FE0"/>
    <w:rsid w:val="00332FA6"/>
    <w:rsid w:val="00333940"/>
    <w:rsid w:val="0033428F"/>
    <w:rsid w:val="003358AA"/>
    <w:rsid w:val="003401C0"/>
    <w:rsid w:val="00340FB1"/>
    <w:rsid w:val="003433AE"/>
    <w:rsid w:val="003437D2"/>
    <w:rsid w:val="00343959"/>
    <w:rsid w:val="00344ED0"/>
    <w:rsid w:val="003459BC"/>
    <w:rsid w:val="00347371"/>
    <w:rsid w:val="00347B8F"/>
    <w:rsid w:val="00347BFD"/>
    <w:rsid w:val="0035053A"/>
    <w:rsid w:val="00350E19"/>
    <w:rsid w:val="00351433"/>
    <w:rsid w:val="00352721"/>
    <w:rsid w:val="00353516"/>
    <w:rsid w:val="00354A37"/>
    <w:rsid w:val="00354B3C"/>
    <w:rsid w:val="00356CB7"/>
    <w:rsid w:val="00357403"/>
    <w:rsid w:val="00360669"/>
    <w:rsid w:val="003610DA"/>
    <w:rsid w:val="0036185C"/>
    <w:rsid w:val="00361E52"/>
    <w:rsid w:val="00362DAF"/>
    <w:rsid w:val="00362ECC"/>
    <w:rsid w:val="00363102"/>
    <w:rsid w:val="00363253"/>
    <w:rsid w:val="00363BB0"/>
    <w:rsid w:val="00365795"/>
    <w:rsid w:val="00365E0E"/>
    <w:rsid w:val="003674AC"/>
    <w:rsid w:val="00367A67"/>
    <w:rsid w:val="0037012F"/>
    <w:rsid w:val="00373CB3"/>
    <w:rsid w:val="00374BC9"/>
    <w:rsid w:val="00376AA5"/>
    <w:rsid w:val="0037719F"/>
    <w:rsid w:val="003778C5"/>
    <w:rsid w:val="00377AC0"/>
    <w:rsid w:val="00381B66"/>
    <w:rsid w:val="00381DC6"/>
    <w:rsid w:val="00382288"/>
    <w:rsid w:val="00382B53"/>
    <w:rsid w:val="00382B8A"/>
    <w:rsid w:val="00383E21"/>
    <w:rsid w:val="00383F04"/>
    <w:rsid w:val="00383FF6"/>
    <w:rsid w:val="00384103"/>
    <w:rsid w:val="00384FDB"/>
    <w:rsid w:val="00386453"/>
    <w:rsid w:val="0038660A"/>
    <w:rsid w:val="00386F65"/>
    <w:rsid w:val="0038796C"/>
    <w:rsid w:val="00390BA5"/>
    <w:rsid w:val="003930C5"/>
    <w:rsid w:val="00393DB8"/>
    <w:rsid w:val="003971BA"/>
    <w:rsid w:val="0039766E"/>
    <w:rsid w:val="003A1F55"/>
    <w:rsid w:val="003A20F9"/>
    <w:rsid w:val="003A2972"/>
    <w:rsid w:val="003A348B"/>
    <w:rsid w:val="003A39B6"/>
    <w:rsid w:val="003A4FC3"/>
    <w:rsid w:val="003A5FA3"/>
    <w:rsid w:val="003A5FAA"/>
    <w:rsid w:val="003A69D2"/>
    <w:rsid w:val="003B1A3E"/>
    <w:rsid w:val="003B1F20"/>
    <w:rsid w:val="003B1FFB"/>
    <w:rsid w:val="003B2003"/>
    <w:rsid w:val="003B2202"/>
    <w:rsid w:val="003B32C8"/>
    <w:rsid w:val="003B3C44"/>
    <w:rsid w:val="003B3D69"/>
    <w:rsid w:val="003B42DA"/>
    <w:rsid w:val="003B44C0"/>
    <w:rsid w:val="003B4DD5"/>
    <w:rsid w:val="003B60B1"/>
    <w:rsid w:val="003B6657"/>
    <w:rsid w:val="003B6A76"/>
    <w:rsid w:val="003C0BE4"/>
    <w:rsid w:val="003C0E55"/>
    <w:rsid w:val="003C142F"/>
    <w:rsid w:val="003C2384"/>
    <w:rsid w:val="003C2561"/>
    <w:rsid w:val="003C6276"/>
    <w:rsid w:val="003C6757"/>
    <w:rsid w:val="003D2B0F"/>
    <w:rsid w:val="003D3060"/>
    <w:rsid w:val="003D4E49"/>
    <w:rsid w:val="003D641C"/>
    <w:rsid w:val="003D677D"/>
    <w:rsid w:val="003D6BD7"/>
    <w:rsid w:val="003D6ECD"/>
    <w:rsid w:val="003E0751"/>
    <w:rsid w:val="003E0F82"/>
    <w:rsid w:val="003E2D88"/>
    <w:rsid w:val="003E567D"/>
    <w:rsid w:val="003E5BE4"/>
    <w:rsid w:val="003E5CF9"/>
    <w:rsid w:val="003E610A"/>
    <w:rsid w:val="003E6B06"/>
    <w:rsid w:val="003E70B8"/>
    <w:rsid w:val="003E7966"/>
    <w:rsid w:val="003F090C"/>
    <w:rsid w:val="003F1E1D"/>
    <w:rsid w:val="003F2AB1"/>
    <w:rsid w:val="003F3A34"/>
    <w:rsid w:val="003F4523"/>
    <w:rsid w:val="003F4996"/>
    <w:rsid w:val="003F56A5"/>
    <w:rsid w:val="003F5D06"/>
    <w:rsid w:val="003F704F"/>
    <w:rsid w:val="003F74BD"/>
    <w:rsid w:val="003F74F9"/>
    <w:rsid w:val="003F7772"/>
    <w:rsid w:val="003F78B9"/>
    <w:rsid w:val="003F7EB1"/>
    <w:rsid w:val="00401F27"/>
    <w:rsid w:val="0040229E"/>
    <w:rsid w:val="00402769"/>
    <w:rsid w:val="0040475A"/>
    <w:rsid w:val="00406EDB"/>
    <w:rsid w:val="004104CC"/>
    <w:rsid w:val="00411D87"/>
    <w:rsid w:val="00414960"/>
    <w:rsid w:val="00414E83"/>
    <w:rsid w:val="004159D7"/>
    <w:rsid w:val="00415A5F"/>
    <w:rsid w:val="00415D56"/>
    <w:rsid w:val="004168CD"/>
    <w:rsid w:val="00416EBB"/>
    <w:rsid w:val="004202C8"/>
    <w:rsid w:val="004213F1"/>
    <w:rsid w:val="004239A3"/>
    <w:rsid w:val="0043047C"/>
    <w:rsid w:val="00430D2A"/>
    <w:rsid w:val="004312C0"/>
    <w:rsid w:val="0043132E"/>
    <w:rsid w:val="004314B5"/>
    <w:rsid w:val="00431742"/>
    <w:rsid w:val="0043223A"/>
    <w:rsid w:val="004343C3"/>
    <w:rsid w:val="00435E6E"/>
    <w:rsid w:val="004365A5"/>
    <w:rsid w:val="00437475"/>
    <w:rsid w:val="00437A8D"/>
    <w:rsid w:val="00437DB2"/>
    <w:rsid w:val="004400C4"/>
    <w:rsid w:val="004412CB"/>
    <w:rsid w:val="00441824"/>
    <w:rsid w:val="00441A5F"/>
    <w:rsid w:val="00441AD2"/>
    <w:rsid w:val="00441B71"/>
    <w:rsid w:val="00441F23"/>
    <w:rsid w:val="004445C9"/>
    <w:rsid w:val="00444DA6"/>
    <w:rsid w:val="004454D3"/>
    <w:rsid w:val="0044568E"/>
    <w:rsid w:val="004470B0"/>
    <w:rsid w:val="0044714E"/>
    <w:rsid w:val="0044763D"/>
    <w:rsid w:val="00450365"/>
    <w:rsid w:val="004509A8"/>
    <w:rsid w:val="00450D48"/>
    <w:rsid w:val="0045180D"/>
    <w:rsid w:val="00451EE5"/>
    <w:rsid w:val="004529F5"/>
    <w:rsid w:val="00452AB7"/>
    <w:rsid w:val="004540BB"/>
    <w:rsid w:val="0045446D"/>
    <w:rsid w:val="0045459A"/>
    <w:rsid w:val="00461B95"/>
    <w:rsid w:val="004632E0"/>
    <w:rsid w:val="00464A44"/>
    <w:rsid w:val="00465510"/>
    <w:rsid w:val="00467702"/>
    <w:rsid w:val="0047178D"/>
    <w:rsid w:val="0047302F"/>
    <w:rsid w:val="00473E7D"/>
    <w:rsid w:val="00474E5F"/>
    <w:rsid w:val="004766FE"/>
    <w:rsid w:val="004774B9"/>
    <w:rsid w:val="00482DA6"/>
    <w:rsid w:val="00482FD9"/>
    <w:rsid w:val="00483B54"/>
    <w:rsid w:val="00483F6D"/>
    <w:rsid w:val="00484C2B"/>
    <w:rsid w:val="0048504C"/>
    <w:rsid w:val="004853D6"/>
    <w:rsid w:val="00485766"/>
    <w:rsid w:val="00486D95"/>
    <w:rsid w:val="00486E22"/>
    <w:rsid w:val="00487D4C"/>
    <w:rsid w:val="00487E32"/>
    <w:rsid w:val="00491018"/>
    <w:rsid w:val="00492998"/>
    <w:rsid w:val="00494DA4"/>
    <w:rsid w:val="0049591A"/>
    <w:rsid w:val="00496BB9"/>
    <w:rsid w:val="00496C8B"/>
    <w:rsid w:val="00496F08"/>
    <w:rsid w:val="004A0D0F"/>
    <w:rsid w:val="004A162D"/>
    <w:rsid w:val="004A2144"/>
    <w:rsid w:val="004A2B68"/>
    <w:rsid w:val="004A54D4"/>
    <w:rsid w:val="004A630E"/>
    <w:rsid w:val="004B02D9"/>
    <w:rsid w:val="004B0A9B"/>
    <w:rsid w:val="004B12F4"/>
    <w:rsid w:val="004B3FA3"/>
    <w:rsid w:val="004B5FDC"/>
    <w:rsid w:val="004B6D9A"/>
    <w:rsid w:val="004B7F68"/>
    <w:rsid w:val="004C13FC"/>
    <w:rsid w:val="004C1952"/>
    <w:rsid w:val="004C250C"/>
    <w:rsid w:val="004C40FE"/>
    <w:rsid w:val="004C497F"/>
    <w:rsid w:val="004C4E7C"/>
    <w:rsid w:val="004C6785"/>
    <w:rsid w:val="004D1842"/>
    <w:rsid w:val="004D3513"/>
    <w:rsid w:val="004D3F3B"/>
    <w:rsid w:val="004D6025"/>
    <w:rsid w:val="004D6D1F"/>
    <w:rsid w:val="004D7E80"/>
    <w:rsid w:val="004E08A7"/>
    <w:rsid w:val="004E218B"/>
    <w:rsid w:val="004E2B01"/>
    <w:rsid w:val="004E3699"/>
    <w:rsid w:val="004E43D7"/>
    <w:rsid w:val="004E4B4E"/>
    <w:rsid w:val="004E5DA5"/>
    <w:rsid w:val="004E6F29"/>
    <w:rsid w:val="004E72E9"/>
    <w:rsid w:val="004F1C50"/>
    <w:rsid w:val="004F26ED"/>
    <w:rsid w:val="004F352B"/>
    <w:rsid w:val="004F371F"/>
    <w:rsid w:val="004F48B6"/>
    <w:rsid w:val="004F59B6"/>
    <w:rsid w:val="004F67EF"/>
    <w:rsid w:val="005011D7"/>
    <w:rsid w:val="00501216"/>
    <w:rsid w:val="00501517"/>
    <w:rsid w:val="005019E1"/>
    <w:rsid w:val="00501C2A"/>
    <w:rsid w:val="00502256"/>
    <w:rsid w:val="005033D1"/>
    <w:rsid w:val="00503707"/>
    <w:rsid w:val="00503964"/>
    <w:rsid w:val="005039EB"/>
    <w:rsid w:val="00504C8A"/>
    <w:rsid w:val="00505BD5"/>
    <w:rsid w:val="00506372"/>
    <w:rsid w:val="00506B1E"/>
    <w:rsid w:val="00506D1E"/>
    <w:rsid w:val="00510A7B"/>
    <w:rsid w:val="00510ECC"/>
    <w:rsid w:val="00511275"/>
    <w:rsid w:val="00512027"/>
    <w:rsid w:val="00514B87"/>
    <w:rsid w:val="00515C14"/>
    <w:rsid w:val="005162B6"/>
    <w:rsid w:val="00516715"/>
    <w:rsid w:val="00517018"/>
    <w:rsid w:val="00517199"/>
    <w:rsid w:val="005207CF"/>
    <w:rsid w:val="00520FDA"/>
    <w:rsid w:val="00521246"/>
    <w:rsid w:val="00522041"/>
    <w:rsid w:val="0052240F"/>
    <w:rsid w:val="005227D8"/>
    <w:rsid w:val="00523398"/>
    <w:rsid w:val="005234CF"/>
    <w:rsid w:val="00527907"/>
    <w:rsid w:val="00531090"/>
    <w:rsid w:val="00531B71"/>
    <w:rsid w:val="005324AB"/>
    <w:rsid w:val="005325C7"/>
    <w:rsid w:val="0053437D"/>
    <w:rsid w:val="00534592"/>
    <w:rsid w:val="005345A8"/>
    <w:rsid w:val="0053502F"/>
    <w:rsid w:val="00535707"/>
    <w:rsid w:val="005362C9"/>
    <w:rsid w:val="005363CE"/>
    <w:rsid w:val="00536620"/>
    <w:rsid w:val="00536C65"/>
    <w:rsid w:val="0053732B"/>
    <w:rsid w:val="005375DF"/>
    <w:rsid w:val="00540CC2"/>
    <w:rsid w:val="0054111C"/>
    <w:rsid w:val="00542EE4"/>
    <w:rsid w:val="0054330D"/>
    <w:rsid w:val="00543572"/>
    <w:rsid w:val="005445AA"/>
    <w:rsid w:val="00545763"/>
    <w:rsid w:val="00545E1C"/>
    <w:rsid w:val="00545FF2"/>
    <w:rsid w:val="005465E4"/>
    <w:rsid w:val="005474BB"/>
    <w:rsid w:val="005506C9"/>
    <w:rsid w:val="0055222F"/>
    <w:rsid w:val="005525D1"/>
    <w:rsid w:val="00552EAC"/>
    <w:rsid w:val="00553794"/>
    <w:rsid w:val="00554034"/>
    <w:rsid w:val="00554310"/>
    <w:rsid w:val="005554A0"/>
    <w:rsid w:val="0055559B"/>
    <w:rsid w:val="00556AAC"/>
    <w:rsid w:val="00560116"/>
    <w:rsid w:val="005601E5"/>
    <w:rsid w:val="005602CD"/>
    <w:rsid w:val="00560FBE"/>
    <w:rsid w:val="00561997"/>
    <w:rsid w:val="00562539"/>
    <w:rsid w:val="00562E5E"/>
    <w:rsid w:val="0056327E"/>
    <w:rsid w:val="00563776"/>
    <w:rsid w:val="00563785"/>
    <w:rsid w:val="00564A7F"/>
    <w:rsid w:val="0056673C"/>
    <w:rsid w:val="005673B1"/>
    <w:rsid w:val="00567832"/>
    <w:rsid w:val="0057005D"/>
    <w:rsid w:val="00570426"/>
    <w:rsid w:val="005714AE"/>
    <w:rsid w:val="00571707"/>
    <w:rsid w:val="005721E0"/>
    <w:rsid w:val="00572F79"/>
    <w:rsid w:val="00574125"/>
    <w:rsid w:val="00576557"/>
    <w:rsid w:val="00580A7B"/>
    <w:rsid w:val="00580B9C"/>
    <w:rsid w:val="005825C9"/>
    <w:rsid w:val="00582A7A"/>
    <w:rsid w:val="00582BC3"/>
    <w:rsid w:val="005846E4"/>
    <w:rsid w:val="005856DC"/>
    <w:rsid w:val="005908FE"/>
    <w:rsid w:val="00591B75"/>
    <w:rsid w:val="005924DD"/>
    <w:rsid w:val="005948BF"/>
    <w:rsid w:val="005949A6"/>
    <w:rsid w:val="00594F24"/>
    <w:rsid w:val="00596156"/>
    <w:rsid w:val="0059638F"/>
    <w:rsid w:val="005965FA"/>
    <w:rsid w:val="00597CE9"/>
    <w:rsid w:val="005A05A0"/>
    <w:rsid w:val="005A13F2"/>
    <w:rsid w:val="005A163B"/>
    <w:rsid w:val="005A1FA0"/>
    <w:rsid w:val="005A4A02"/>
    <w:rsid w:val="005A5A46"/>
    <w:rsid w:val="005A7BDC"/>
    <w:rsid w:val="005A7CDA"/>
    <w:rsid w:val="005A7D9B"/>
    <w:rsid w:val="005B051F"/>
    <w:rsid w:val="005B0D7C"/>
    <w:rsid w:val="005B1084"/>
    <w:rsid w:val="005B1B76"/>
    <w:rsid w:val="005B1E49"/>
    <w:rsid w:val="005B3368"/>
    <w:rsid w:val="005B3CBB"/>
    <w:rsid w:val="005B3EAF"/>
    <w:rsid w:val="005B591D"/>
    <w:rsid w:val="005B671E"/>
    <w:rsid w:val="005B6F71"/>
    <w:rsid w:val="005B7F7D"/>
    <w:rsid w:val="005C0270"/>
    <w:rsid w:val="005C04E2"/>
    <w:rsid w:val="005C3A23"/>
    <w:rsid w:val="005C5565"/>
    <w:rsid w:val="005C568E"/>
    <w:rsid w:val="005C5B45"/>
    <w:rsid w:val="005C5D10"/>
    <w:rsid w:val="005C60D2"/>
    <w:rsid w:val="005C633C"/>
    <w:rsid w:val="005C64F2"/>
    <w:rsid w:val="005C667E"/>
    <w:rsid w:val="005D002C"/>
    <w:rsid w:val="005D1B1F"/>
    <w:rsid w:val="005D276A"/>
    <w:rsid w:val="005D2CC0"/>
    <w:rsid w:val="005D471B"/>
    <w:rsid w:val="005D4C66"/>
    <w:rsid w:val="005D4D7B"/>
    <w:rsid w:val="005D5535"/>
    <w:rsid w:val="005D6F77"/>
    <w:rsid w:val="005D7D04"/>
    <w:rsid w:val="005D7E20"/>
    <w:rsid w:val="005E01E6"/>
    <w:rsid w:val="005E13FF"/>
    <w:rsid w:val="005E214D"/>
    <w:rsid w:val="005E2A8F"/>
    <w:rsid w:val="005E4816"/>
    <w:rsid w:val="005E504B"/>
    <w:rsid w:val="005E51D8"/>
    <w:rsid w:val="005E6528"/>
    <w:rsid w:val="005E720F"/>
    <w:rsid w:val="005E7C74"/>
    <w:rsid w:val="005F32AA"/>
    <w:rsid w:val="005F3442"/>
    <w:rsid w:val="005F4A7E"/>
    <w:rsid w:val="005F4A9B"/>
    <w:rsid w:val="005F531B"/>
    <w:rsid w:val="005F5ACD"/>
    <w:rsid w:val="005F5F3A"/>
    <w:rsid w:val="005F6E4E"/>
    <w:rsid w:val="006001EA"/>
    <w:rsid w:val="00601CF8"/>
    <w:rsid w:val="00603EDA"/>
    <w:rsid w:val="00604766"/>
    <w:rsid w:val="00605635"/>
    <w:rsid w:val="00605EAE"/>
    <w:rsid w:val="00606493"/>
    <w:rsid w:val="00610120"/>
    <w:rsid w:val="006106CD"/>
    <w:rsid w:val="00610A4F"/>
    <w:rsid w:val="00611FE3"/>
    <w:rsid w:val="006125DA"/>
    <w:rsid w:val="006133E0"/>
    <w:rsid w:val="00614126"/>
    <w:rsid w:val="00614617"/>
    <w:rsid w:val="00614AE7"/>
    <w:rsid w:val="006158AE"/>
    <w:rsid w:val="00615F18"/>
    <w:rsid w:val="00616309"/>
    <w:rsid w:val="0061720E"/>
    <w:rsid w:val="006230A6"/>
    <w:rsid w:val="00626344"/>
    <w:rsid w:val="006278B1"/>
    <w:rsid w:val="00627FA6"/>
    <w:rsid w:val="00630C2A"/>
    <w:rsid w:val="0063138D"/>
    <w:rsid w:val="00632422"/>
    <w:rsid w:val="00632B7C"/>
    <w:rsid w:val="0063427A"/>
    <w:rsid w:val="006344AB"/>
    <w:rsid w:val="00636C1E"/>
    <w:rsid w:val="00637086"/>
    <w:rsid w:val="006412C6"/>
    <w:rsid w:val="006417B9"/>
    <w:rsid w:val="006427C0"/>
    <w:rsid w:val="006445FB"/>
    <w:rsid w:val="0064707F"/>
    <w:rsid w:val="00652036"/>
    <w:rsid w:val="00652336"/>
    <w:rsid w:val="00652956"/>
    <w:rsid w:val="00652A46"/>
    <w:rsid w:val="0065325A"/>
    <w:rsid w:val="0065462C"/>
    <w:rsid w:val="00654BDA"/>
    <w:rsid w:val="00654FD3"/>
    <w:rsid w:val="00655462"/>
    <w:rsid w:val="00655694"/>
    <w:rsid w:val="00657120"/>
    <w:rsid w:val="00657A7B"/>
    <w:rsid w:val="00657E32"/>
    <w:rsid w:val="00657E49"/>
    <w:rsid w:val="00665A32"/>
    <w:rsid w:val="00665C39"/>
    <w:rsid w:val="00666A30"/>
    <w:rsid w:val="00666B8C"/>
    <w:rsid w:val="00666FD1"/>
    <w:rsid w:val="00667B92"/>
    <w:rsid w:val="006700E6"/>
    <w:rsid w:val="00670EF5"/>
    <w:rsid w:val="006713DC"/>
    <w:rsid w:val="0067146E"/>
    <w:rsid w:val="0067231C"/>
    <w:rsid w:val="00672735"/>
    <w:rsid w:val="006728FF"/>
    <w:rsid w:val="00672907"/>
    <w:rsid w:val="006757D4"/>
    <w:rsid w:val="00676F6A"/>
    <w:rsid w:val="00677938"/>
    <w:rsid w:val="006827B0"/>
    <w:rsid w:val="00683239"/>
    <w:rsid w:val="00685CC8"/>
    <w:rsid w:val="00690C3A"/>
    <w:rsid w:val="006913AF"/>
    <w:rsid w:val="0069183F"/>
    <w:rsid w:val="00693C72"/>
    <w:rsid w:val="006951B3"/>
    <w:rsid w:val="006964B5"/>
    <w:rsid w:val="00696685"/>
    <w:rsid w:val="006971F7"/>
    <w:rsid w:val="006A0BAC"/>
    <w:rsid w:val="006A1402"/>
    <w:rsid w:val="006A1894"/>
    <w:rsid w:val="006A21B9"/>
    <w:rsid w:val="006A2873"/>
    <w:rsid w:val="006A3BFD"/>
    <w:rsid w:val="006A41CB"/>
    <w:rsid w:val="006A4C03"/>
    <w:rsid w:val="006A4E05"/>
    <w:rsid w:val="006A4FD5"/>
    <w:rsid w:val="006A58AF"/>
    <w:rsid w:val="006A65E3"/>
    <w:rsid w:val="006A7455"/>
    <w:rsid w:val="006A76F0"/>
    <w:rsid w:val="006B0B33"/>
    <w:rsid w:val="006B10CB"/>
    <w:rsid w:val="006B309D"/>
    <w:rsid w:val="006B32F7"/>
    <w:rsid w:val="006B3883"/>
    <w:rsid w:val="006B39DA"/>
    <w:rsid w:val="006B50B9"/>
    <w:rsid w:val="006B6139"/>
    <w:rsid w:val="006B68F8"/>
    <w:rsid w:val="006B71B6"/>
    <w:rsid w:val="006C0759"/>
    <w:rsid w:val="006C0AA7"/>
    <w:rsid w:val="006C22A1"/>
    <w:rsid w:val="006C29E9"/>
    <w:rsid w:val="006C3208"/>
    <w:rsid w:val="006C4EC9"/>
    <w:rsid w:val="006C5B67"/>
    <w:rsid w:val="006C68DB"/>
    <w:rsid w:val="006C6DED"/>
    <w:rsid w:val="006C7C16"/>
    <w:rsid w:val="006C7FF1"/>
    <w:rsid w:val="006D0C84"/>
    <w:rsid w:val="006D0EE6"/>
    <w:rsid w:val="006D10A2"/>
    <w:rsid w:val="006D128D"/>
    <w:rsid w:val="006D18F1"/>
    <w:rsid w:val="006D1AAD"/>
    <w:rsid w:val="006D2467"/>
    <w:rsid w:val="006D275A"/>
    <w:rsid w:val="006D2FDE"/>
    <w:rsid w:val="006D4804"/>
    <w:rsid w:val="006D6796"/>
    <w:rsid w:val="006D74E7"/>
    <w:rsid w:val="006D791B"/>
    <w:rsid w:val="006E0770"/>
    <w:rsid w:val="006E119B"/>
    <w:rsid w:val="006E1B49"/>
    <w:rsid w:val="006E2D9A"/>
    <w:rsid w:val="006E37AE"/>
    <w:rsid w:val="006E3E9B"/>
    <w:rsid w:val="006E5971"/>
    <w:rsid w:val="006F3353"/>
    <w:rsid w:val="006F4249"/>
    <w:rsid w:val="006F5B5C"/>
    <w:rsid w:val="006F5EF9"/>
    <w:rsid w:val="00702BB2"/>
    <w:rsid w:val="00705FD0"/>
    <w:rsid w:val="00706D8E"/>
    <w:rsid w:val="00711496"/>
    <w:rsid w:val="00711925"/>
    <w:rsid w:val="00711DB3"/>
    <w:rsid w:val="00712311"/>
    <w:rsid w:val="00712E87"/>
    <w:rsid w:val="00714D25"/>
    <w:rsid w:val="00714DE2"/>
    <w:rsid w:val="0071693C"/>
    <w:rsid w:val="00717493"/>
    <w:rsid w:val="00721CF6"/>
    <w:rsid w:val="00721F7D"/>
    <w:rsid w:val="00722356"/>
    <w:rsid w:val="007227BE"/>
    <w:rsid w:val="00725DAA"/>
    <w:rsid w:val="00726212"/>
    <w:rsid w:val="007264C0"/>
    <w:rsid w:val="0072689E"/>
    <w:rsid w:val="0072789A"/>
    <w:rsid w:val="00732B37"/>
    <w:rsid w:val="007343E1"/>
    <w:rsid w:val="00734A7B"/>
    <w:rsid w:val="00735088"/>
    <w:rsid w:val="007367E0"/>
    <w:rsid w:val="00736E6A"/>
    <w:rsid w:val="0073720B"/>
    <w:rsid w:val="00741467"/>
    <w:rsid w:val="007422AB"/>
    <w:rsid w:val="007428D8"/>
    <w:rsid w:val="00744620"/>
    <w:rsid w:val="00746507"/>
    <w:rsid w:val="00746820"/>
    <w:rsid w:val="00746FF0"/>
    <w:rsid w:val="007470A0"/>
    <w:rsid w:val="007476BB"/>
    <w:rsid w:val="00747D0E"/>
    <w:rsid w:val="007513C5"/>
    <w:rsid w:val="00751AD1"/>
    <w:rsid w:val="00751B95"/>
    <w:rsid w:val="00751C04"/>
    <w:rsid w:val="00751ECF"/>
    <w:rsid w:val="00752BAC"/>
    <w:rsid w:val="00753362"/>
    <w:rsid w:val="00754169"/>
    <w:rsid w:val="007544A4"/>
    <w:rsid w:val="00755435"/>
    <w:rsid w:val="0075718D"/>
    <w:rsid w:val="0075752F"/>
    <w:rsid w:val="007576E2"/>
    <w:rsid w:val="007605D9"/>
    <w:rsid w:val="007615EB"/>
    <w:rsid w:val="007622CE"/>
    <w:rsid w:val="00762628"/>
    <w:rsid w:val="00765D32"/>
    <w:rsid w:val="00766DAF"/>
    <w:rsid w:val="00766DD8"/>
    <w:rsid w:val="00767BD0"/>
    <w:rsid w:val="00767C06"/>
    <w:rsid w:val="00767ED6"/>
    <w:rsid w:val="0077275F"/>
    <w:rsid w:val="0077388C"/>
    <w:rsid w:val="0077631B"/>
    <w:rsid w:val="00776A7D"/>
    <w:rsid w:val="00776DEC"/>
    <w:rsid w:val="007774AE"/>
    <w:rsid w:val="00780516"/>
    <w:rsid w:val="00781920"/>
    <w:rsid w:val="00781AB5"/>
    <w:rsid w:val="00781F37"/>
    <w:rsid w:val="007828BD"/>
    <w:rsid w:val="00783C73"/>
    <w:rsid w:val="00783DD7"/>
    <w:rsid w:val="00784161"/>
    <w:rsid w:val="00784CD9"/>
    <w:rsid w:val="007855A5"/>
    <w:rsid w:val="007855F3"/>
    <w:rsid w:val="00787674"/>
    <w:rsid w:val="007876C0"/>
    <w:rsid w:val="00791272"/>
    <w:rsid w:val="00792348"/>
    <w:rsid w:val="00792A0D"/>
    <w:rsid w:val="007931F7"/>
    <w:rsid w:val="00793A2B"/>
    <w:rsid w:val="00793FF6"/>
    <w:rsid w:val="00794389"/>
    <w:rsid w:val="00794DEB"/>
    <w:rsid w:val="00794E61"/>
    <w:rsid w:val="00795A7F"/>
    <w:rsid w:val="00796918"/>
    <w:rsid w:val="00796CF1"/>
    <w:rsid w:val="007A09EF"/>
    <w:rsid w:val="007A125C"/>
    <w:rsid w:val="007A31FF"/>
    <w:rsid w:val="007A5249"/>
    <w:rsid w:val="007A78FD"/>
    <w:rsid w:val="007B21A4"/>
    <w:rsid w:val="007B220E"/>
    <w:rsid w:val="007B300E"/>
    <w:rsid w:val="007B3683"/>
    <w:rsid w:val="007B37FA"/>
    <w:rsid w:val="007B45E5"/>
    <w:rsid w:val="007B663F"/>
    <w:rsid w:val="007B6798"/>
    <w:rsid w:val="007B6811"/>
    <w:rsid w:val="007B6B5F"/>
    <w:rsid w:val="007B6CAC"/>
    <w:rsid w:val="007B7A5C"/>
    <w:rsid w:val="007C0944"/>
    <w:rsid w:val="007C11EC"/>
    <w:rsid w:val="007C217A"/>
    <w:rsid w:val="007C42F8"/>
    <w:rsid w:val="007C462D"/>
    <w:rsid w:val="007C50D6"/>
    <w:rsid w:val="007C720F"/>
    <w:rsid w:val="007D0996"/>
    <w:rsid w:val="007D0AE2"/>
    <w:rsid w:val="007D0BE2"/>
    <w:rsid w:val="007D1C90"/>
    <w:rsid w:val="007D1C91"/>
    <w:rsid w:val="007D1F2A"/>
    <w:rsid w:val="007D687B"/>
    <w:rsid w:val="007E05BF"/>
    <w:rsid w:val="007E0BB1"/>
    <w:rsid w:val="007E35C1"/>
    <w:rsid w:val="007E37E9"/>
    <w:rsid w:val="007E3989"/>
    <w:rsid w:val="007E53B9"/>
    <w:rsid w:val="007E5CD1"/>
    <w:rsid w:val="007E63CF"/>
    <w:rsid w:val="007E6AD5"/>
    <w:rsid w:val="007E7ED4"/>
    <w:rsid w:val="007F0237"/>
    <w:rsid w:val="007F0268"/>
    <w:rsid w:val="007F03F1"/>
    <w:rsid w:val="007F0977"/>
    <w:rsid w:val="007F0FD5"/>
    <w:rsid w:val="007F104B"/>
    <w:rsid w:val="007F25AB"/>
    <w:rsid w:val="007F40EC"/>
    <w:rsid w:val="007F4D47"/>
    <w:rsid w:val="007F529D"/>
    <w:rsid w:val="007F71AE"/>
    <w:rsid w:val="007F7A72"/>
    <w:rsid w:val="00800263"/>
    <w:rsid w:val="00800926"/>
    <w:rsid w:val="00800E91"/>
    <w:rsid w:val="00801FAC"/>
    <w:rsid w:val="008032DB"/>
    <w:rsid w:val="00805544"/>
    <w:rsid w:val="008103A3"/>
    <w:rsid w:val="00810D37"/>
    <w:rsid w:val="00810F81"/>
    <w:rsid w:val="00811B37"/>
    <w:rsid w:val="008131D7"/>
    <w:rsid w:val="008148F7"/>
    <w:rsid w:val="00814EA3"/>
    <w:rsid w:val="00815A3B"/>
    <w:rsid w:val="00815DB1"/>
    <w:rsid w:val="00820946"/>
    <w:rsid w:val="00821D20"/>
    <w:rsid w:val="00821F3C"/>
    <w:rsid w:val="008221B5"/>
    <w:rsid w:val="0082311D"/>
    <w:rsid w:val="00823894"/>
    <w:rsid w:val="0082416E"/>
    <w:rsid w:val="008244AD"/>
    <w:rsid w:val="00824E15"/>
    <w:rsid w:val="00826281"/>
    <w:rsid w:val="00826608"/>
    <w:rsid w:val="008273D1"/>
    <w:rsid w:val="0082788F"/>
    <w:rsid w:val="008310DE"/>
    <w:rsid w:val="00831146"/>
    <w:rsid w:val="008315A6"/>
    <w:rsid w:val="008327FC"/>
    <w:rsid w:val="00832CF1"/>
    <w:rsid w:val="00833A86"/>
    <w:rsid w:val="00833E93"/>
    <w:rsid w:val="00834C6F"/>
    <w:rsid w:val="00835468"/>
    <w:rsid w:val="0083566E"/>
    <w:rsid w:val="008429E3"/>
    <w:rsid w:val="008437A0"/>
    <w:rsid w:val="00845B4C"/>
    <w:rsid w:val="00845C55"/>
    <w:rsid w:val="00845D3F"/>
    <w:rsid w:val="008469A3"/>
    <w:rsid w:val="00847A4D"/>
    <w:rsid w:val="00851B7B"/>
    <w:rsid w:val="00852296"/>
    <w:rsid w:val="00852496"/>
    <w:rsid w:val="00852719"/>
    <w:rsid w:val="00852BC5"/>
    <w:rsid w:val="008533A9"/>
    <w:rsid w:val="00853A9E"/>
    <w:rsid w:val="00854666"/>
    <w:rsid w:val="00854CCA"/>
    <w:rsid w:val="00856189"/>
    <w:rsid w:val="008577FC"/>
    <w:rsid w:val="00857DEB"/>
    <w:rsid w:val="008603C4"/>
    <w:rsid w:val="00860EC5"/>
    <w:rsid w:val="0086199B"/>
    <w:rsid w:val="00861A09"/>
    <w:rsid w:val="0086280C"/>
    <w:rsid w:val="00862A99"/>
    <w:rsid w:val="00863A49"/>
    <w:rsid w:val="00865840"/>
    <w:rsid w:val="00865AD6"/>
    <w:rsid w:val="00865B75"/>
    <w:rsid w:val="00865D01"/>
    <w:rsid w:val="00867C15"/>
    <w:rsid w:val="008706AD"/>
    <w:rsid w:val="00871471"/>
    <w:rsid w:val="00871599"/>
    <w:rsid w:val="0087356D"/>
    <w:rsid w:val="008744CB"/>
    <w:rsid w:val="00875180"/>
    <w:rsid w:val="008752A4"/>
    <w:rsid w:val="00875DDB"/>
    <w:rsid w:val="00876AB2"/>
    <w:rsid w:val="008776AF"/>
    <w:rsid w:val="00881F65"/>
    <w:rsid w:val="008822B3"/>
    <w:rsid w:val="00882486"/>
    <w:rsid w:val="00882B75"/>
    <w:rsid w:val="00882C99"/>
    <w:rsid w:val="008839FB"/>
    <w:rsid w:val="00883AFC"/>
    <w:rsid w:val="00883F48"/>
    <w:rsid w:val="00884671"/>
    <w:rsid w:val="00886874"/>
    <w:rsid w:val="00886965"/>
    <w:rsid w:val="00886B4C"/>
    <w:rsid w:val="008876AA"/>
    <w:rsid w:val="008901D6"/>
    <w:rsid w:val="0089077A"/>
    <w:rsid w:val="00890A35"/>
    <w:rsid w:val="00890D8D"/>
    <w:rsid w:val="00890EB5"/>
    <w:rsid w:val="00891189"/>
    <w:rsid w:val="00891250"/>
    <w:rsid w:val="00891743"/>
    <w:rsid w:val="0089238A"/>
    <w:rsid w:val="00893626"/>
    <w:rsid w:val="00893B29"/>
    <w:rsid w:val="00893F9E"/>
    <w:rsid w:val="008947B3"/>
    <w:rsid w:val="00894B55"/>
    <w:rsid w:val="00896244"/>
    <w:rsid w:val="00896FCE"/>
    <w:rsid w:val="008A0148"/>
    <w:rsid w:val="008A03BE"/>
    <w:rsid w:val="008A06F1"/>
    <w:rsid w:val="008A12BA"/>
    <w:rsid w:val="008A1444"/>
    <w:rsid w:val="008A1AD7"/>
    <w:rsid w:val="008A38D7"/>
    <w:rsid w:val="008A3A5D"/>
    <w:rsid w:val="008A4504"/>
    <w:rsid w:val="008A4F84"/>
    <w:rsid w:val="008A5541"/>
    <w:rsid w:val="008A58B2"/>
    <w:rsid w:val="008A5E13"/>
    <w:rsid w:val="008A7C88"/>
    <w:rsid w:val="008B00B6"/>
    <w:rsid w:val="008B18C6"/>
    <w:rsid w:val="008B2A09"/>
    <w:rsid w:val="008B3D57"/>
    <w:rsid w:val="008B427D"/>
    <w:rsid w:val="008B5440"/>
    <w:rsid w:val="008B6D9F"/>
    <w:rsid w:val="008B7AEF"/>
    <w:rsid w:val="008C00D0"/>
    <w:rsid w:val="008C1FC5"/>
    <w:rsid w:val="008C2B0D"/>
    <w:rsid w:val="008D1092"/>
    <w:rsid w:val="008D145D"/>
    <w:rsid w:val="008D27DF"/>
    <w:rsid w:val="008D2CDC"/>
    <w:rsid w:val="008D43AD"/>
    <w:rsid w:val="008D5E46"/>
    <w:rsid w:val="008D6D7B"/>
    <w:rsid w:val="008D7EF7"/>
    <w:rsid w:val="008D7FAA"/>
    <w:rsid w:val="008E480B"/>
    <w:rsid w:val="008E49C8"/>
    <w:rsid w:val="008E5C39"/>
    <w:rsid w:val="008E6610"/>
    <w:rsid w:val="008E718A"/>
    <w:rsid w:val="008F06F5"/>
    <w:rsid w:val="008F0A4D"/>
    <w:rsid w:val="008F0C25"/>
    <w:rsid w:val="008F2531"/>
    <w:rsid w:val="008F3037"/>
    <w:rsid w:val="008F30D5"/>
    <w:rsid w:val="008F521A"/>
    <w:rsid w:val="008F5EB9"/>
    <w:rsid w:val="008F738F"/>
    <w:rsid w:val="008F73CA"/>
    <w:rsid w:val="008F7791"/>
    <w:rsid w:val="008F7868"/>
    <w:rsid w:val="008F7DAD"/>
    <w:rsid w:val="0090276A"/>
    <w:rsid w:val="00902B6D"/>
    <w:rsid w:val="009030BA"/>
    <w:rsid w:val="00903DA0"/>
    <w:rsid w:val="00903ECD"/>
    <w:rsid w:val="00904827"/>
    <w:rsid w:val="0090510E"/>
    <w:rsid w:val="009066AE"/>
    <w:rsid w:val="0090712F"/>
    <w:rsid w:val="00907A19"/>
    <w:rsid w:val="00907DEE"/>
    <w:rsid w:val="009122BE"/>
    <w:rsid w:val="009140C5"/>
    <w:rsid w:val="00914DCB"/>
    <w:rsid w:val="00917137"/>
    <w:rsid w:val="009175A0"/>
    <w:rsid w:val="00917D49"/>
    <w:rsid w:val="009209F3"/>
    <w:rsid w:val="00921647"/>
    <w:rsid w:val="00922121"/>
    <w:rsid w:val="009231F9"/>
    <w:rsid w:val="00923297"/>
    <w:rsid w:val="0092503C"/>
    <w:rsid w:val="00927826"/>
    <w:rsid w:val="00927E34"/>
    <w:rsid w:val="00932731"/>
    <w:rsid w:val="00932C8C"/>
    <w:rsid w:val="009341B1"/>
    <w:rsid w:val="009344D8"/>
    <w:rsid w:val="00934A3F"/>
    <w:rsid w:val="00935A52"/>
    <w:rsid w:val="009361CA"/>
    <w:rsid w:val="0093687D"/>
    <w:rsid w:val="00937368"/>
    <w:rsid w:val="009403B5"/>
    <w:rsid w:val="00940E87"/>
    <w:rsid w:val="00941E62"/>
    <w:rsid w:val="00942153"/>
    <w:rsid w:val="009433FB"/>
    <w:rsid w:val="00943C15"/>
    <w:rsid w:val="009457A6"/>
    <w:rsid w:val="0094581C"/>
    <w:rsid w:val="00945C8A"/>
    <w:rsid w:val="00945CD6"/>
    <w:rsid w:val="00946058"/>
    <w:rsid w:val="00947B1B"/>
    <w:rsid w:val="00950B06"/>
    <w:rsid w:val="00950B7D"/>
    <w:rsid w:val="00950DB7"/>
    <w:rsid w:val="00952074"/>
    <w:rsid w:val="009530A2"/>
    <w:rsid w:val="00953AC0"/>
    <w:rsid w:val="0095454E"/>
    <w:rsid w:val="00954602"/>
    <w:rsid w:val="0095527D"/>
    <w:rsid w:val="009552FE"/>
    <w:rsid w:val="009561CF"/>
    <w:rsid w:val="00956F50"/>
    <w:rsid w:val="00957483"/>
    <w:rsid w:val="00960D52"/>
    <w:rsid w:val="00961943"/>
    <w:rsid w:val="0096236B"/>
    <w:rsid w:val="00962C16"/>
    <w:rsid w:val="009647E4"/>
    <w:rsid w:val="00964AFC"/>
    <w:rsid w:val="00965F01"/>
    <w:rsid w:val="00966745"/>
    <w:rsid w:val="009700CE"/>
    <w:rsid w:val="0097177C"/>
    <w:rsid w:val="009721E6"/>
    <w:rsid w:val="009740E9"/>
    <w:rsid w:val="009752D1"/>
    <w:rsid w:val="00977126"/>
    <w:rsid w:val="00982E1A"/>
    <w:rsid w:val="00983368"/>
    <w:rsid w:val="009833E0"/>
    <w:rsid w:val="00983B9F"/>
    <w:rsid w:val="00985C90"/>
    <w:rsid w:val="009870CF"/>
    <w:rsid w:val="009875FC"/>
    <w:rsid w:val="00990667"/>
    <w:rsid w:val="0099143D"/>
    <w:rsid w:val="00991919"/>
    <w:rsid w:val="00992176"/>
    <w:rsid w:val="00992883"/>
    <w:rsid w:val="00993534"/>
    <w:rsid w:val="009944F8"/>
    <w:rsid w:val="009949DD"/>
    <w:rsid w:val="009959B8"/>
    <w:rsid w:val="00996CCE"/>
    <w:rsid w:val="0099732B"/>
    <w:rsid w:val="009977A8"/>
    <w:rsid w:val="009A02A3"/>
    <w:rsid w:val="009A1D6A"/>
    <w:rsid w:val="009A2EDF"/>
    <w:rsid w:val="009A467E"/>
    <w:rsid w:val="009A47D2"/>
    <w:rsid w:val="009A4A38"/>
    <w:rsid w:val="009A5342"/>
    <w:rsid w:val="009A5A4F"/>
    <w:rsid w:val="009A5C10"/>
    <w:rsid w:val="009A7827"/>
    <w:rsid w:val="009A7E6A"/>
    <w:rsid w:val="009B080D"/>
    <w:rsid w:val="009B104E"/>
    <w:rsid w:val="009B1991"/>
    <w:rsid w:val="009B2959"/>
    <w:rsid w:val="009B3877"/>
    <w:rsid w:val="009B4242"/>
    <w:rsid w:val="009B442D"/>
    <w:rsid w:val="009B50BC"/>
    <w:rsid w:val="009B5BF1"/>
    <w:rsid w:val="009B5D12"/>
    <w:rsid w:val="009B6B2E"/>
    <w:rsid w:val="009B7D11"/>
    <w:rsid w:val="009C09F8"/>
    <w:rsid w:val="009C0E80"/>
    <w:rsid w:val="009C2591"/>
    <w:rsid w:val="009C32E7"/>
    <w:rsid w:val="009C4A57"/>
    <w:rsid w:val="009C4E92"/>
    <w:rsid w:val="009C53B5"/>
    <w:rsid w:val="009C5830"/>
    <w:rsid w:val="009C6880"/>
    <w:rsid w:val="009D1212"/>
    <w:rsid w:val="009D1551"/>
    <w:rsid w:val="009D16C7"/>
    <w:rsid w:val="009D1A18"/>
    <w:rsid w:val="009D228B"/>
    <w:rsid w:val="009D38FE"/>
    <w:rsid w:val="009D4061"/>
    <w:rsid w:val="009D4C84"/>
    <w:rsid w:val="009D5759"/>
    <w:rsid w:val="009D61F7"/>
    <w:rsid w:val="009E066F"/>
    <w:rsid w:val="009E2322"/>
    <w:rsid w:val="009E56C1"/>
    <w:rsid w:val="009E5CA9"/>
    <w:rsid w:val="009E5D0A"/>
    <w:rsid w:val="009E5F0A"/>
    <w:rsid w:val="009E666A"/>
    <w:rsid w:val="009F0A3F"/>
    <w:rsid w:val="009F0C13"/>
    <w:rsid w:val="009F1D9D"/>
    <w:rsid w:val="009F1DB3"/>
    <w:rsid w:val="009F207E"/>
    <w:rsid w:val="009F2177"/>
    <w:rsid w:val="009F3156"/>
    <w:rsid w:val="009F3DA7"/>
    <w:rsid w:val="009F4473"/>
    <w:rsid w:val="009F69C5"/>
    <w:rsid w:val="009F7746"/>
    <w:rsid w:val="00A01396"/>
    <w:rsid w:val="00A0181C"/>
    <w:rsid w:val="00A02648"/>
    <w:rsid w:val="00A03F51"/>
    <w:rsid w:val="00A0411F"/>
    <w:rsid w:val="00A04F2D"/>
    <w:rsid w:val="00A05D81"/>
    <w:rsid w:val="00A07917"/>
    <w:rsid w:val="00A11782"/>
    <w:rsid w:val="00A11D92"/>
    <w:rsid w:val="00A11E55"/>
    <w:rsid w:val="00A20643"/>
    <w:rsid w:val="00A20690"/>
    <w:rsid w:val="00A20C25"/>
    <w:rsid w:val="00A217D0"/>
    <w:rsid w:val="00A2274D"/>
    <w:rsid w:val="00A22D72"/>
    <w:rsid w:val="00A26455"/>
    <w:rsid w:val="00A27960"/>
    <w:rsid w:val="00A30ABE"/>
    <w:rsid w:val="00A31281"/>
    <w:rsid w:val="00A320B4"/>
    <w:rsid w:val="00A32563"/>
    <w:rsid w:val="00A32841"/>
    <w:rsid w:val="00A32F46"/>
    <w:rsid w:val="00A353BD"/>
    <w:rsid w:val="00A35A41"/>
    <w:rsid w:val="00A36F35"/>
    <w:rsid w:val="00A371C7"/>
    <w:rsid w:val="00A3738D"/>
    <w:rsid w:val="00A3769A"/>
    <w:rsid w:val="00A379D3"/>
    <w:rsid w:val="00A4065B"/>
    <w:rsid w:val="00A406F7"/>
    <w:rsid w:val="00A41A3E"/>
    <w:rsid w:val="00A431A4"/>
    <w:rsid w:val="00A448AD"/>
    <w:rsid w:val="00A459DE"/>
    <w:rsid w:val="00A459DF"/>
    <w:rsid w:val="00A45D6A"/>
    <w:rsid w:val="00A463C3"/>
    <w:rsid w:val="00A46890"/>
    <w:rsid w:val="00A47A0D"/>
    <w:rsid w:val="00A47D24"/>
    <w:rsid w:val="00A47E8F"/>
    <w:rsid w:val="00A50E0A"/>
    <w:rsid w:val="00A523EB"/>
    <w:rsid w:val="00A52CFC"/>
    <w:rsid w:val="00A543BF"/>
    <w:rsid w:val="00A5522E"/>
    <w:rsid w:val="00A605E8"/>
    <w:rsid w:val="00A61368"/>
    <w:rsid w:val="00A61445"/>
    <w:rsid w:val="00A63B93"/>
    <w:rsid w:val="00A64B65"/>
    <w:rsid w:val="00A64D8C"/>
    <w:rsid w:val="00A64F5D"/>
    <w:rsid w:val="00A65210"/>
    <w:rsid w:val="00A66765"/>
    <w:rsid w:val="00A66819"/>
    <w:rsid w:val="00A66C4B"/>
    <w:rsid w:val="00A713DB"/>
    <w:rsid w:val="00A72BB8"/>
    <w:rsid w:val="00A72D4B"/>
    <w:rsid w:val="00A74189"/>
    <w:rsid w:val="00A755C9"/>
    <w:rsid w:val="00A76209"/>
    <w:rsid w:val="00A76DE5"/>
    <w:rsid w:val="00A811DF"/>
    <w:rsid w:val="00A8141A"/>
    <w:rsid w:val="00A81B47"/>
    <w:rsid w:val="00A8335F"/>
    <w:rsid w:val="00A8365B"/>
    <w:rsid w:val="00A86281"/>
    <w:rsid w:val="00A90CE8"/>
    <w:rsid w:val="00A920CC"/>
    <w:rsid w:val="00A938B0"/>
    <w:rsid w:val="00A959CC"/>
    <w:rsid w:val="00A969F6"/>
    <w:rsid w:val="00A96D58"/>
    <w:rsid w:val="00A97381"/>
    <w:rsid w:val="00AA0424"/>
    <w:rsid w:val="00AA0F74"/>
    <w:rsid w:val="00AA216A"/>
    <w:rsid w:val="00AA45C1"/>
    <w:rsid w:val="00AA4F62"/>
    <w:rsid w:val="00AA58CE"/>
    <w:rsid w:val="00AA5B84"/>
    <w:rsid w:val="00AA5D1D"/>
    <w:rsid w:val="00AA5E96"/>
    <w:rsid w:val="00AA7B4E"/>
    <w:rsid w:val="00AA7C35"/>
    <w:rsid w:val="00AB08C9"/>
    <w:rsid w:val="00AB0AB3"/>
    <w:rsid w:val="00AB23CC"/>
    <w:rsid w:val="00AB26D9"/>
    <w:rsid w:val="00AB300D"/>
    <w:rsid w:val="00AB31B3"/>
    <w:rsid w:val="00AB3ED9"/>
    <w:rsid w:val="00AB6848"/>
    <w:rsid w:val="00AB7C9F"/>
    <w:rsid w:val="00AC0897"/>
    <w:rsid w:val="00AC1186"/>
    <w:rsid w:val="00AC21C0"/>
    <w:rsid w:val="00AC24F8"/>
    <w:rsid w:val="00AC31B0"/>
    <w:rsid w:val="00AC34E2"/>
    <w:rsid w:val="00AC360D"/>
    <w:rsid w:val="00AC42FB"/>
    <w:rsid w:val="00AC47C9"/>
    <w:rsid w:val="00AC4908"/>
    <w:rsid w:val="00AC67E2"/>
    <w:rsid w:val="00AD0080"/>
    <w:rsid w:val="00AD40C0"/>
    <w:rsid w:val="00AD57B9"/>
    <w:rsid w:val="00AD7923"/>
    <w:rsid w:val="00AE286C"/>
    <w:rsid w:val="00AE4AED"/>
    <w:rsid w:val="00AE5167"/>
    <w:rsid w:val="00AE583E"/>
    <w:rsid w:val="00AE5EF2"/>
    <w:rsid w:val="00AF0F52"/>
    <w:rsid w:val="00AF1CAC"/>
    <w:rsid w:val="00AF3143"/>
    <w:rsid w:val="00AF5424"/>
    <w:rsid w:val="00AF6D2F"/>
    <w:rsid w:val="00AF71FF"/>
    <w:rsid w:val="00AF72F7"/>
    <w:rsid w:val="00AF7922"/>
    <w:rsid w:val="00AF7F5B"/>
    <w:rsid w:val="00B00FC8"/>
    <w:rsid w:val="00B01697"/>
    <w:rsid w:val="00B01E32"/>
    <w:rsid w:val="00B02167"/>
    <w:rsid w:val="00B021D6"/>
    <w:rsid w:val="00B0254A"/>
    <w:rsid w:val="00B03278"/>
    <w:rsid w:val="00B046CE"/>
    <w:rsid w:val="00B04DD9"/>
    <w:rsid w:val="00B04E5C"/>
    <w:rsid w:val="00B05E4F"/>
    <w:rsid w:val="00B10AD1"/>
    <w:rsid w:val="00B10CAC"/>
    <w:rsid w:val="00B10D2A"/>
    <w:rsid w:val="00B11BF2"/>
    <w:rsid w:val="00B1227A"/>
    <w:rsid w:val="00B13398"/>
    <w:rsid w:val="00B137D0"/>
    <w:rsid w:val="00B13857"/>
    <w:rsid w:val="00B205F8"/>
    <w:rsid w:val="00B20EF2"/>
    <w:rsid w:val="00B21330"/>
    <w:rsid w:val="00B2202A"/>
    <w:rsid w:val="00B220D8"/>
    <w:rsid w:val="00B22D31"/>
    <w:rsid w:val="00B22F51"/>
    <w:rsid w:val="00B23CE3"/>
    <w:rsid w:val="00B24024"/>
    <w:rsid w:val="00B2454F"/>
    <w:rsid w:val="00B2586C"/>
    <w:rsid w:val="00B26131"/>
    <w:rsid w:val="00B26AA5"/>
    <w:rsid w:val="00B308C0"/>
    <w:rsid w:val="00B31391"/>
    <w:rsid w:val="00B3164A"/>
    <w:rsid w:val="00B32733"/>
    <w:rsid w:val="00B333FF"/>
    <w:rsid w:val="00B33BAD"/>
    <w:rsid w:val="00B35246"/>
    <w:rsid w:val="00B40DBD"/>
    <w:rsid w:val="00B41043"/>
    <w:rsid w:val="00B411DB"/>
    <w:rsid w:val="00B43223"/>
    <w:rsid w:val="00B445FE"/>
    <w:rsid w:val="00B45238"/>
    <w:rsid w:val="00B46DFF"/>
    <w:rsid w:val="00B47B48"/>
    <w:rsid w:val="00B5174F"/>
    <w:rsid w:val="00B52029"/>
    <w:rsid w:val="00B528C3"/>
    <w:rsid w:val="00B52E48"/>
    <w:rsid w:val="00B53359"/>
    <w:rsid w:val="00B533D2"/>
    <w:rsid w:val="00B53793"/>
    <w:rsid w:val="00B53F5A"/>
    <w:rsid w:val="00B554AD"/>
    <w:rsid w:val="00B611B5"/>
    <w:rsid w:val="00B626EC"/>
    <w:rsid w:val="00B63C1E"/>
    <w:rsid w:val="00B6525F"/>
    <w:rsid w:val="00B6539B"/>
    <w:rsid w:val="00B65569"/>
    <w:rsid w:val="00B655E7"/>
    <w:rsid w:val="00B656EB"/>
    <w:rsid w:val="00B65729"/>
    <w:rsid w:val="00B659D0"/>
    <w:rsid w:val="00B66285"/>
    <w:rsid w:val="00B66760"/>
    <w:rsid w:val="00B66797"/>
    <w:rsid w:val="00B67686"/>
    <w:rsid w:val="00B67ACE"/>
    <w:rsid w:val="00B67D5A"/>
    <w:rsid w:val="00B67E10"/>
    <w:rsid w:val="00B67EDE"/>
    <w:rsid w:val="00B71247"/>
    <w:rsid w:val="00B714F0"/>
    <w:rsid w:val="00B72CB6"/>
    <w:rsid w:val="00B73309"/>
    <w:rsid w:val="00B74B8B"/>
    <w:rsid w:val="00B74FCA"/>
    <w:rsid w:val="00B75ED9"/>
    <w:rsid w:val="00B76736"/>
    <w:rsid w:val="00B771A0"/>
    <w:rsid w:val="00B7769E"/>
    <w:rsid w:val="00B808B1"/>
    <w:rsid w:val="00B81563"/>
    <w:rsid w:val="00B81D5A"/>
    <w:rsid w:val="00B8244B"/>
    <w:rsid w:val="00B82968"/>
    <w:rsid w:val="00B8477A"/>
    <w:rsid w:val="00B84E61"/>
    <w:rsid w:val="00B85EF6"/>
    <w:rsid w:val="00B90B55"/>
    <w:rsid w:val="00B90BE8"/>
    <w:rsid w:val="00B9594B"/>
    <w:rsid w:val="00B95E5B"/>
    <w:rsid w:val="00B97CCF"/>
    <w:rsid w:val="00BA0511"/>
    <w:rsid w:val="00BA2186"/>
    <w:rsid w:val="00BA3154"/>
    <w:rsid w:val="00BA36E2"/>
    <w:rsid w:val="00BA428D"/>
    <w:rsid w:val="00BA46FC"/>
    <w:rsid w:val="00BA5279"/>
    <w:rsid w:val="00BA66D0"/>
    <w:rsid w:val="00BB03A4"/>
    <w:rsid w:val="00BB3942"/>
    <w:rsid w:val="00BB3957"/>
    <w:rsid w:val="00BB40DC"/>
    <w:rsid w:val="00BB64B8"/>
    <w:rsid w:val="00BB7EDD"/>
    <w:rsid w:val="00BC0D1D"/>
    <w:rsid w:val="00BC0E40"/>
    <w:rsid w:val="00BC1F70"/>
    <w:rsid w:val="00BC3360"/>
    <w:rsid w:val="00BC4C6A"/>
    <w:rsid w:val="00BC4F25"/>
    <w:rsid w:val="00BC55B5"/>
    <w:rsid w:val="00BC560A"/>
    <w:rsid w:val="00BC6061"/>
    <w:rsid w:val="00BC62E5"/>
    <w:rsid w:val="00BC6547"/>
    <w:rsid w:val="00BC7567"/>
    <w:rsid w:val="00BC7AEF"/>
    <w:rsid w:val="00BD1756"/>
    <w:rsid w:val="00BD2000"/>
    <w:rsid w:val="00BD4C1A"/>
    <w:rsid w:val="00BD6A92"/>
    <w:rsid w:val="00BD6BCF"/>
    <w:rsid w:val="00BD7653"/>
    <w:rsid w:val="00BD7AC1"/>
    <w:rsid w:val="00BE0ACC"/>
    <w:rsid w:val="00BE0B86"/>
    <w:rsid w:val="00BE10D2"/>
    <w:rsid w:val="00BE11BA"/>
    <w:rsid w:val="00BE144D"/>
    <w:rsid w:val="00BE1897"/>
    <w:rsid w:val="00BE28E2"/>
    <w:rsid w:val="00BE2F58"/>
    <w:rsid w:val="00BE3787"/>
    <w:rsid w:val="00BE4286"/>
    <w:rsid w:val="00BE4632"/>
    <w:rsid w:val="00BE4D44"/>
    <w:rsid w:val="00BE53C1"/>
    <w:rsid w:val="00BE5FF0"/>
    <w:rsid w:val="00BF001C"/>
    <w:rsid w:val="00BF1798"/>
    <w:rsid w:val="00BF32F6"/>
    <w:rsid w:val="00BF378A"/>
    <w:rsid w:val="00BF522B"/>
    <w:rsid w:val="00BF5D1F"/>
    <w:rsid w:val="00BF6D2C"/>
    <w:rsid w:val="00BF75CF"/>
    <w:rsid w:val="00C01291"/>
    <w:rsid w:val="00C02185"/>
    <w:rsid w:val="00C0286F"/>
    <w:rsid w:val="00C0287B"/>
    <w:rsid w:val="00C02CFB"/>
    <w:rsid w:val="00C04B21"/>
    <w:rsid w:val="00C04D0B"/>
    <w:rsid w:val="00C052D6"/>
    <w:rsid w:val="00C06047"/>
    <w:rsid w:val="00C10B55"/>
    <w:rsid w:val="00C10E98"/>
    <w:rsid w:val="00C1109C"/>
    <w:rsid w:val="00C128BC"/>
    <w:rsid w:val="00C14272"/>
    <w:rsid w:val="00C155F8"/>
    <w:rsid w:val="00C15EE8"/>
    <w:rsid w:val="00C15F89"/>
    <w:rsid w:val="00C17EC1"/>
    <w:rsid w:val="00C208F0"/>
    <w:rsid w:val="00C21503"/>
    <w:rsid w:val="00C2239B"/>
    <w:rsid w:val="00C2390B"/>
    <w:rsid w:val="00C2439B"/>
    <w:rsid w:val="00C25C8E"/>
    <w:rsid w:val="00C25E7D"/>
    <w:rsid w:val="00C26035"/>
    <w:rsid w:val="00C267BA"/>
    <w:rsid w:val="00C274D5"/>
    <w:rsid w:val="00C30389"/>
    <w:rsid w:val="00C307C5"/>
    <w:rsid w:val="00C30FFB"/>
    <w:rsid w:val="00C3119F"/>
    <w:rsid w:val="00C313C2"/>
    <w:rsid w:val="00C31A3B"/>
    <w:rsid w:val="00C323BD"/>
    <w:rsid w:val="00C33403"/>
    <w:rsid w:val="00C342B0"/>
    <w:rsid w:val="00C347F1"/>
    <w:rsid w:val="00C360E0"/>
    <w:rsid w:val="00C368EC"/>
    <w:rsid w:val="00C41104"/>
    <w:rsid w:val="00C4182B"/>
    <w:rsid w:val="00C42C20"/>
    <w:rsid w:val="00C431B6"/>
    <w:rsid w:val="00C471A3"/>
    <w:rsid w:val="00C47EE6"/>
    <w:rsid w:val="00C52029"/>
    <w:rsid w:val="00C52F80"/>
    <w:rsid w:val="00C56570"/>
    <w:rsid w:val="00C57911"/>
    <w:rsid w:val="00C57CEB"/>
    <w:rsid w:val="00C61A2E"/>
    <w:rsid w:val="00C61F0F"/>
    <w:rsid w:val="00C623BB"/>
    <w:rsid w:val="00C6343E"/>
    <w:rsid w:val="00C640FE"/>
    <w:rsid w:val="00C642AE"/>
    <w:rsid w:val="00C65163"/>
    <w:rsid w:val="00C65A19"/>
    <w:rsid w:val="00C667ED"/>
    <w:rsid w:val="00C669D8"/>
    <w:rsid w:val="00C66B17"/>
    <w:rsid w:val="00C67603"/>
    <w:rsid w:val="00C70A4E"/>
    <w:rsid w:val="00C73216"/>
    <w:rsid w:val="00C73A53"/>
    <w:rsid w:val="00C73F7D"/>
    <w:rsid w:val="00C74D85"/>
    <w:rsid w:val="00C75173"/>
    <w:rsid w:val="00C75181"/>
    <w:rsid w:val="00C75235"/>
    <w:rsid w:val="00C774AB"/>
    <w:rsid w:val="00C77C29"/>
    <w:rsid w:val="00C803C1"/>
    <w:rsid w:val="00C8053E"/>
    <w:rsid w:val="00C80983"/>
    <w:rsid w:val="00C80FD7"/>
    <w:rsid w:val="00C820FE"/>
    <w:rsid w:val="00C8211E"/>
    <w:rsid w:val="00C83206"/>
    <w:rsid w:val="00C83C4E"/>
    <w:rsid w:val="00C843E8"/>
    <w:rsid w:val="00C86D73"/>
    <w:rsid w:val="00C86E2B"/>
    <w:rsid w:val="00C86F0B"/>
    <w:rsid w:val="00C87AC5"/>
    <w:rsid w:val="00C87F17"/>
    <w:rsid w:val="00C90A2B"/>
    <w:rsid w:val="00C916FA"/>
    <w:rsid w:val="00C92B0B"/>
    <w:rsid w:val="00C932A2"/>
    <w:rsid w:val="00C939BA"/>
    <w:rsid w:val="00C96EA3"/>
    <w:rsid w:val="00C9711A"/>
    <w:rsid w:val="00C9764A"/>
    <w:rsid w:val="00C97DC6"/>
    <w:rsid w:val="00CA0F45"/>
    <w:rsid w:val="00CA1A3B"/>
    <w:rsid w:val="00CA1D18"/>
    <w:rsid w:val="00CA3523"/>
    <w:rsid w:val="00CA366B"/>
    <w:rsid w:val="00CA3FAA"/>
    <w:rsid w:val="00CA4152"/>
    <w:rsid w:val="00CA4E72"/>
    <w:rsid w:val="00CA5C7F"/>
    <w:rsid w:val="00CB129C"/>
    <w:rsid w:val="00CB2B47"/>
    <w:rsid w:val="00CB359D"/>
    <w:rsid w:val="00CB5526"/>
    <w:rsid w:val="00CB6BFA"/>
    <w:rsid w:val="00CB7236"/>
    <w:rsid w:val="00CB74DE"/>
    <w:rsid w:val="00CB78D4"/>
    <w:rsid w:val="00CC0804"/>
    <w:rsid w:val="00CC0A7D"/>
    <w:rsid w:val="00CC0AF3"/>
    <w:rsid w:val="00CC19F9"/>
    <w:rsid w:val="00CC22C9"/>
    <w:rsid w:val="00CC2E50"/>
    <w:rsid w:val="00CC2FA4"/>
    <w:rsid w:val="00CC30D0"/>
    <w:rsid w:val="00CC3701"/>
    <w:rsid w:val="00CC4BC4"/>
    <w:rsid w:val="00CC6A54"/>
    <w:rsid w:val="00CC6DE6"/>
    <w:rsid w:val="00CD0489"/>
    <w:rsid w:val="00CD04D8"/>
    <w:rsid w:val="00CD0E41"/>
    <w:rsid w:val="00CD14F1"/>
    <w:rsid w:val="00CD251F"/>
    <w:rsid w:val="00CD310D"/>
    <w:rsid w:val="00CD3753"/>
    <w:rsid w:val="00CD421B"/>
    <w:rsid w:val="00CD4423"/>
    <w:rsid w:val="00CD462D"/>
    <w:rsid w:val="00CD4B80"/>
    <w:rsid w:val="00CD4EA0"/>
    <w:rsid w:val="00CD50D2"/>
    <w:rsid w:val="00CD5A2A"/>
    <w:rsid w:val="00CD6F3D"/>
    <w:rsid w:val="00CD78FB"/>
    <w:rsid w:val="00CD7DD6"/>
    <w:rsid w:val="00CE0108"/>
    <w:rsid w:val="00CE04EE"/>
    <w:rsid w:val="00CE0D50"/>
    <w:rsid w:val="00CE0DFF"/>
    <w:rsid w:val="00CE1715"/>
    <w:rsid w:val="00CE422B"/>
    <w:rsid w:val="00CE5685"/>
    <w:rsid w:val="00CE608E"/>
    <w:rsid w:val="00CE6197"/>
    <w:rsid w:val="00CE6781"/>
    <w:rsid w:val="00CE6DE8"/>
    <w:rsid w:val="00CE79F8"/>
    <w:rsid w:val="00CF148F"/>
    <w:rsid w:val="00CF1B03"/>
    <w:rsid w:val="00CF1D9D"/>
    <w:rsid w:val="00CF6FCB"/>
    <w:rsid w:val="00CF7D0D"/>
    <w:rsid w:val="00D00E9D"/>
    <w:rsid w:val="00D01EA0"/>
    <w:rsid w:val="00D02AB8"/>
    <w:rsid w:val="00D02BF2"/>
    <w:rsid w:val="00D03640"/>
    <w:rsid w:val="00D04A38"/>
    <w:rsid w:val="00D05721"/>
    <w:rsid w:val="00D05EF4"/>
    <w:rsid w:val="00D065AB"/>
    <w:rsid w:val="00D066EB"/>
    <w:rsid w:val="00D11C72"/>
    <w:rsid w:val="00D11E9B"/>
    <w:rsid w:val="00D11F16"/>
    <w:rsid w:val="00D131B2"/>
    <w:rsid w:val="00D13531"/>
    <w:rsid w:val="00D136C2"/>
    <w:rsid w:val="00D1435D"/>
    <w:rsid w:val="00D14A0E"/>
    <w:rsid w:val="00D14A8D"/>
    <w:rsid w:val="00D169BB"/>
    <w:rsid w:val="00D17F51"/>
    <w:rsid w:val="00D20674"/>
    <w:rsid w:val="00D20696"/>
    <w:rsid w:val="00D20D0E"/>
    <w:rsid w:val="00D2113A"/>
    <w:rsid w:val="00D21302"/>
    <w:rsid w:val="00D21515"/>
    <w:rsid w:val="00D215FD"/>
    <w:rsid w:val="00D22BCD"/>
    <w:rsid w:val="00D238BF"/>
    <w:rsid w:val="00D2426B"/>
    <w:rsid w:val="00D260F9"/>
    <w:rsid w:val="00D269FE"/>
    <w:rsid w:val="00D26E3A"/>
    <w:rsid w:val="00D278ED"/>
    <w:rsid w:val="00D27DAB"/>
    <w:rsid w:val="00D32CA0"/>
    <w:rsid w:val="00D33DD9"/>
    <w:rsid w:val="00D34707"/>
    <w:rsid w:val="00D37870"/>
    <w:rsid w:val="00D37E4D"/>
    <w:rsid w:val="00D37F20"/>
    <w:rsid w:val="00D40278"/>
    <w:rsid w:val="00D4275C"/>
    <w:rsid w:val="00D43977"/>
    <w:rsid w:val="00D44CEE"/>
    <w:rsid w:val="00D5070C"/>
    <w:rsid w:val="00D50742"/>
    <w:rsid w:val="00D54176"/>
    <w:rsid w:val="00D54774"/>
    <w:rsid w:val="00D54C55"/>
    <w:rsid w:val="00D54EFA"/>
    <w:rsid w:val="00D55214"/>
    <w:rsid w:val="00D553E0"/>
    <w:rsid w:val="00D55E48"/>
    <w:rsid w:val="00D56D9E"/>
    <w:rsid w:val="00D57585"/>
    <w:rsid w:val="00D57813"/>
    <w:rsid w:val="00D6282D"/>
    <w:rsid w:val="00D629C4"/>
    <w:rsid w:val="00D62B14"/>
    <w:rsid w:val="00D66F70"/>
    <w:rsid w:val="00D70B11"/>
    <w:rsid w:val="00D710B6"/>
    <w:rsid w:val="00D726FC"/>
    <w:rsid w:val="00D72DC9"/>
    <w:rsid w:val="00D732C1"/>
    <w:rsid w:val="00D73C25"/>
    <w:rsid w:val="00D73D62"/>
    <w:rsid w:val="00D75944"/>
    <w:rsid w:val="00D75A15"/>
    <w:rsid w:val="00D766FA"/>
    <w:rsid w:val="00D803CA"/>
    <w:rsid w:val="00D814E7"/>
    <w:rsid w:val="00D825E9"/>
    <w:rsid w:val="00D82BD6"/>
    <w:rsid w:val="00D83EC1"/>
    <w:rsid w:val="00D844B1"/>
    <w:rsid w:val="00D8475C"/>
    <w:rsid w:val="00D859AF"/>
    <w:rsid w:val="00D85EF7"/>
    <w:rsid w:val="00D87B09"/>
    <w:rsid w:val="00D87BC3"/>
    <w:rsid w:val="00D92BA1"/>
    <w:rsid w:val="00D93BD0"/>
    <w:rsid w:val="00D94496"/>
    <w:rsid w:val="00D950F8"/>
    <w:rsid w:val="00DA3688"/>
    <w:rsid w:val="00DB080F"/>
    <w:rsid w:val="00DB0FE3"/>
    <w:rsid w:val="00DB1B52"/>
    <w:rsid w:val="00DB27EA"/>
    <w:rsid w:val="00DB31B8"/>
    <w:rsid w:val="00DB3493"/>
    <w:rsid w:val="00DB4B20"/>
    <w:rsid w:val="00DB7525"/>
    <w:rsid w:val="00DB7925"/>
    <w:rsid w:val="00DC0289"/>
    <w:rsid w:val="00DC0821"/>
    <w:rsid w:val="00DC0C58"/>
    <w:rsid w:val="00DC0CFE"/>
    <w:rsid w:val="00DC16D3"/>
    <w:rsid w:val="00DC3F21"/>
    <w:rsid w:val="00DC46D5"/>
    <w:rsid w:val="00DC4C32"/>
    <w:rsid w:val="00DC6F87"/>
    <w:rsid w:val="00DD0866"/>
    <w:rsid w:val="00DD118D"/>
    <w:rsid w:val="00DD1445"/>
    <w:rsid w:val="00DD2192"/>
    <w:rsid w:val="00DD2DB3"/>
    <w:rsid w:val="00DD48FA"/>
    <w:rsid w:val="00DD5ED4"/>
    <w:rsid w:val="00DD6196"/>
    <w:rsid w:val="00DD657F"/>
    <w:rsid w:val="00DE0B7D"/>
    <w:rsid w:val="00DE2D5E"/>
    <w:rsid w:val="00DE4C55"/>
    <w:rsid w:val="00DE53EA"/>
    <w:rsid w:val="00DE70F4"/>
    <w:rsid w:val="00DE78E7"/>
    <w:rsid w:val="00DF05DD"/>
    <w:rsid w:val="00DF0E1A"/>
    <w:rsid w:val="00DF0FEA"/>
    <w:rsid w:val="00DF12BC"/>
    <w:rsid w:val="00DF1547"/>
    <w:rsid w:val="00DF175B"/>
    <w:rsid w:val="00DF1FF5"/>
    <w:rsid w:val="00DF23EB"/>
    <w:rsid w:val="00DF261B"/>
    <w:rsid w:val="00DF403E"/>
    <w:rsid w:val="00DF4380"/>
    <w:rsid w:val="00DF4766"/>
    <w:rsid w:val="00DF480E"/>
    <w:rsid w:val="00DF5DCE"/>
    <w:rsid w:val="00E0041A"/>
    <w:rsid w:val="00E00BAF"/>
    <w:rsid w:val="00E00CFE"/>
    <w:rsid w:val="00E00E4F"/>
    <w:rsid w:val="00E0126D"/>
    <w:rsid w:val="00E0197C"/>
    <w:rsid w:val="00E038E8"/>
    <w:rsid w:val="00E058B7"/>
    <w:rsid w:val="00E0600B"/>
    <w:rsid w:val="00E104FE"/>
    <w:rsid w:val="00E126A3"/>
    <w:rsid w:val="00E14680"/>
    <w:rsid w:val="00E1488E"/>
    <w:rsid w:val="00E15A3D"/>
    <w:rsid w:val="00E15F25"/>
    <w:rsid w:val="00E17027"/>
    <w:rsid w:val="00E1721D"/>
    <w:rsid w:val="00E21A14"/>
    <w:rsid w:val="00E2238D"/>
    <w:rsid w:val="00E227C0"/>
    <w:rsid w:val="00E22C7A"/>
    <w:rsid w:val="00E2359A"/>
    <w:rsid w:val="00E23AAF"/>
    <w:rsid w:val="00E23B49"/>
    <w:rsid w:val="00E23DC8"/>
    <w:rsid w:val="00E240DF"/>
    <w:rsid w:val="00E25113"/>
    <w:rsid w:val="00E26322"/>
    <w:rsid w:val="00E27653"/>
    <w:rsid w:val="00E2766B"/>
    <w:rsid w:val="00E30DAD"/>
    <w:rsid w:val="00E31D7C"/>
    <w:rsid w:val="00E35E16"/>
    <w:rsid w:val="00E36100"/>
    <w:rsid w:val="00E374E5"/>
    <w:rsid w:val="00E42165"/>
    <w:rsid w:val="00E42DE5"/>
    <w:rsid w:val="00E433A7"/>
    <w:rsid w:val="00E4452F"/>
    <w:rsid w:val="00E4528A"/>
    <w:rsid w:val="00E4697A"/>
    <w:rsid w:val="00E47AAB"/>
    <w:rsid w:val="00E50A71"/>
    <w:rsid w:val="00E5137B"/>
    <w:rsid w:val="00E51D0B"/>
    <w:rsid w:val="00E52E03"/>
    <w:rsid w:val="00E54218"/>
    <w:rsid w:val="00E54956"/>
    <w:rsid w:val="00E54C82"/>
    <w:rsid w:val="00E552C5"/>
    <w:rsid w:val="00E55D40"/>
    <w:rsid w:val="00E55E6E"/>
    <w:rsid w:val="00E56D2D"/>
    <w:rsid w:val="00E57901"/>
    <w:rsid w:val="00E62166"/>
    <w:rsid w:val="00E62B6D"/>
    <w:rsid w:val="00E65383"/>
    <w:rsid w:val="00E66EDA"/>
    <w:rsid w:val="00E67AA8"/>
    <w:rsid w:val="00E67C84"/>
    <w:rsid w:val="00E72670"/>
    <w:rsid w:val="00E727B5"/>
    <w:rsid w:val="00E73156"/>
    <w:rsid w:val="00E73710"/>
    <w:rsid w:val="00E74881"/>
    <w:rsid w:val="00E75031"/>
    <w:rsid w:val="00E8288E"/>
    <w:rsid w:val="00E8493D"/>
    <w:rsid w:val="00E855EE"/>
    <w:rsid w:val="00E85769"/>
    <w:rsid w:val="00E86C6D"/>
    <w:rsid w:val="00E9037E"/>
    <w:rsid w:val="00E91DE1"/>
    <w:rsid w:val="00E91EA9"/>
    <w:rsid w:val="00E91F53"/>
    <w:rsid w:val="00E92D08"/>
    <w:rsid w:val="00E932E3"/>
    <w:rsid w:val="00E93D96"/>
    <w:rsid w:val="00E95357"/>
    <w:rsid w:val="00E97286"/>
    <w:rsid w:val="00EA1844"/>
    <w:rsid w:val="00EA1A72"/>
    <w:rsid w:val="00EA27E9"/>
    <w:rsid w:val="00EA4AF9"/>
    <w:rsid w:val="00EA4D0A"/>
    <w:rsid w:val="00EA4DFC"/>
    <w:rsid w:val="00EA4E62"/>
    <w:rsid w:val="00EA5AE9"/>
    <w:rsid w:val="00EA5BE0"/>
    <w:rsid w:val="00EA663F"/>
    <w:rsid w:val="00EA6B48"/>
    <w:rsid w:val="00EA7589"/>
    <w:rsid w:val="00EA75B0"/>
    <w:rsid w:val="00EA7BE8"/>
    <w:rsid w:val="00EB153C"/>
    <w:rsid w:val="00EB27DA"/>
    <w:rsid w:val="00EB2F33"/>
    <w:rsid w:val="00EB303D"/>
    <w:rsid w:val="00EB48F0"/>
    <w:rsid w:val="00EB4EF0"/>
    <w:rsid w:val="00EB5852"/>
    <w:rsid w:val="00EB5905"/>
    <w:rsid w:val="00EB5A6F"/>
    <w:rsid w:val="00EB7460"/>
    <w:rsid w:val="00EB7C64"/>
    <w:rsid w:val="00EC24BD"/>
    <w:rsid w:val="00EC25DA"/>
    <w:rsid w:val="00EC430D"/>
    <w:rsid w:val="00EC43AB"/>
    <w:rsid w:val="00EC4F41"/>
    <w:rsid w:val="00EC68AF"/>
    <w:rsid w:val="00EC6FF0"/>
    <w:rsid w:val="00EC78DD"/>
    <w:rsid w:val="00EC7FDC"/>
    <w:rsid w:val="00ED203B"/>
    <w:rsid w:val="00ED22E9"/>
    <w:rsid w:val="00ED34B0"/>
    <w:rsid w:val="00ED4A3B"/>
    <w:rsid w:val="00ED634B"/>
    <w:rsid w:val="00ED6DA6"/>
    <w:rsid w:val="00ED6F46"/>
    <w:rsid w:val="00ED7592"/>
    <w:rsid w:val="00EE255F"/>
    <w:rsid w:val="00EE46D2"/>
    <w:rsid w:val="00EE4D75"/>
    <w:rsid w:val="00EE5C23"/>
    <w:rsid w:val="00EE5FC4"/>
    <w:rsid w:val="00EF0137"/>
    <w:rsid w:val="00EF0959"/>
    <w:rsid w:val="00EF159C"/>
    <w:rsid w:val="00EF326D"/>
    <w:rsid w:val="00EF3547"/>
    <w:rsid w:val="00EF5F8E"/>
    <w:rsid w:val="00EF6DD9"/>
    <w:rsid w:val="00F02235"/>
    <w:rsid w:val="00F05EF4"/>
    <w:rsid w:val="00F06B08"/>
    <w:rsid w:val="00F079B2"/>
    <w:rsid w:val="00F10B77"/>
    <w:rsid w:val="00F11634"/>
    <w:rsid w:val="00F11812"/>
    <w:rsid w:val="00F11D08"/>
    <w:rsid w:val="00F11E1A"/>
    <w:rsid w:val="00F121BD"/>
    <w:rsid w:val="00F123F1"/>
    <w:rsid w:val="00F12C86"/>
    <w:rsid w:val="00F14F3B"/>
    <w:rsid w:val="00F17F70"/>
    <w:rsid w:val="00F201D7"/>
    <w:rsid w:val="00F20731"/>
    <w:rsid w:val="00F210AD"/>
    <w:rsid w:val="00F21431"/>
    <w:rsid w:val="00F21BEA"/>
    <w:rsid w:val="00F21BF2"/>
    <w:rsid w:val="00F22406"/>
    <w:rsid w:val="00F2529B"/>
    <w:rsid w:val="00F25857"/>
    <w:rsid w:val="00F2607D"/>
    <w:rsid w:val="00F260F8"/>
    <w:rsid w:val="00F261C3"/>
    <w:rsid w:val="00F2746D"/>
    <w:rsid w:val="00F32304"/>
    <w:rsid w:val="00F3246F"/>
    <w:rsid w:val="00F32B51"/>
    <w:rsid w:val="00F32D16"/>
    <w:rsid w:val="00F341C6"/>
    <w:rsid w:val="00F342E2"/>
    <w:rsid w:val="00F34771"/>
    <w:rsid w:val="00F34C12"/>
    <w:rsid w:val="00F363D8"/>
    <w:rsid w:val="00F3650E"/>
    <w:rsid w:val="00F37A06"/>
    <w:rsid w:val="00F407A3"/>
    <w:rsid w:val="00F40CE0"/>
    <w:rsid w:val="00F41673"/>
    <w:rsid w:val="00F41DD3"/>
    <w:rsid w:val="00F4223E"/>
    <w:rsid w:val="00F42EC5"/>
    <w:rsid w:val="00F430C7"/>
    <w:rsid w:val="00F4321F"/>
    <w:rsid w:val="00F43A8E"/>
    <w:rsid w:val="00F449BA"/>
    <w:rsid w:val="00F46CF7"/>
    <w:rsid w:val="00F47FA8"/>
    <w:rsid w:val="00F51B23"/>
    <w:rsid w:val="00F5419D"/>
    <w:rsid w:val="00F541C2"/>
    <w:rsid w:val="00F558B2"/>
    <w:rsid w:val="00F55D03"/>
    <w:rsid w:val="00F606DE"/>
    <w:rsid w:val="00F61430"/>
    <w:rsid w:val="00F6206D"/>
    <w:rsid w:val="00F628FC"/>
    <w:rsid w:val="00F62CC8"/>
    <w:rsid w:val="00F63AEC"/>
    <w:rsid w:val="00F641C0"/>
    <w:rsid w:val="00F6426A"/>
    <w:rsid w:val="00F64A02"/>
    <w:rsid w:val="00F66B8E"/>
    <w:rsid w:val="00F70395"/>
    <w:rsid w:val="00F71F35"/>
    <w:rsid w:val="00F72B72"/>
    <w:rsid w:val="00F740B9"/>
    <w:rsid w:val="00F74F2C"/>
    <w:rsid w:val="00F7529E"/>
    <w:rsid w:val="00F76A93"/>
    <w:rsid w:val="00F76D5F"/>
    <w:rsid w:val="00F77ABD"/>
    <w:rsid w:val="00F77C00"/>
    <w:rsid w:val="00F80401"/>
    <w:rsid w:val="00F80C38"/>
    <w:rsid w:val="00F81E90"/>
    <w:rsid w:val="00F8273E"/>
    <w:rsid w:val="00F82960"/>
    <w:rsid w:val="00F82EA6"/>
    <w:rsid w:val="00F83BF3"/>
    <w:rsid w:val="00F84911"/>
    <w:rsid w:val="00F9176E"/>
    <w:rsid w:val="00F9187A"/>
    <w:rsid w:val="00F925C3"/>
    <w:rsid w:val="00F93686"/>
    <w:rsid w:val="00F93C54"/>
    <w:rsid w:val="00F96A37"/>
    <w:rsid w:val="00F97794"/>
    <w:rsid w:val="00FA11B8"/>
    <w:rsid w:val="00FA1881"/>
    <w:rsid w:val="00FA2A2A"/>
    <w:rsid w:val="00FA2BB3"/>
    <w:rsid w:val="00FA3531"/>
    <w:rsid w:val="00FA58EF"/>
    <w:rsid w:val="00FA7123"/>
    <w:rsid w:val="00FA7142"/>
    <w:rsid w:val="00FA7350"/>
    <w:rsid w:val="00FA798B"/>
    <w:rsid w:val="00FB09E5"/>
    <w:rsid w:val="00FB644A"/>
    <w:rsid w:val="00FC18A2"/>
    <w:rsid w:val="00FC2EEC"/>
    <w:rsid w:val="00FC6155"/>
    <w:rsid w:val="00FC6946"/>
    <w:rsid w:val="00FC7ADE"/>
    <w:rsid w:val="00FC7B69"/>
    <w:rsid w:val="00FD14C8"/>
    <w:rsid w:val="00FD2931"/>
    <w:rsid w:val="00FD6850"/>
    <w:rsid w:val="00FD68E4"/>
    <w:rsid w:val="00FE09CC"/>
    <w:rsid w:val="00FE0EC0"/>
    <w:rsid w:val="00FE124E"/>
    <w:rsid w:val="00FE15C4"/>
    <w:rsid w:val="00FE2603"/>
    <w:rsid w:val="00FE343A"/>
    <w:rsid w:val="00FE3A0D"/>
    <w:rsid w:val="00FE56D2"/>
    <w:rsid w:val="00FE59D6"/>
    <w:rsid w:val="00FE6917"/>
    <w:rsid w:val="00FE6E01"/>
    <w:rsid w:val="00FF00D0"/>
    <w:rsid w:val="00FF0647"/>
    <w:rsid w:val="00FF120E"/>
    <w:rsid w:val="00FF1985"/>
    <w:rsid w:val="00FF1BAB"/>
    <w:rsid w:val="00FF1E3C"/>
    <w:rsid w:val="00FF2C45"/>
    <w:rsid w:val="00FF3560"/>
    <w:rsid w:val="00FF3BD0"/>
    <w:rsid w:val="00FF48AE"/>
    <w:rsid w:val="00FF504A"/>
    <w:rsid w:val="00FF56AE"/>
    <w:rsid w:val="00FF5887"/>
    <w:rsid w:val="00FF6AB3"/>
    <w:rsid w:val="025E5795"/>
    <w:rsid w:val="02671768"/>
    <w:rsid w:val="02725537"/>
    <w:rsid w:val="03211870"/>
    <w:rsid w:val="03600692"/>
    <w:rsid w:val="03611F96"/>
    <w:rsid w:val="03B52F0D"/>
    <w:rsid w:val="04D1736D"/>
    <w:rsid w:val="05F61B0C"/>
    <w:rsid w:val="06315EE9"/>
    <w:rsid w:val="063F4ED6"/>
    <w:rsid w:val="06E966ED"/>
    <w:rsid w:val="07E4230F"/>
    <w:rsid w:val="099D065F"/>
    <w:rsid w:val="09A75433"/>
    <w:rsid w:val="0A786C09"/>
    <w:rsid w:val="0A886720"/>
    <w:rsid w:val="0AF24A51"/>
    <w:rsid w:val="0B071145"/>
    <w:rsid w:val="0BEC5D46"/>
    <w:rsid w:val="0C691DC1"/>
    <w:rsid w:val="0C774C9E"/>
    <w:rsid w:val="0CAC1548"/>
    <w:rsid w:val="0CC223BD"/>
    <w:rsid w:val="0D886124"/>
    <w:rsid w:val="0D913B3D"/>
    <w:rsid w:val="0DD81C5B"/>
    <w:rsid w:val="0E3F3599"/>
    <w:rsid w:val="0EB977F0"/>
    <w:rsid w:val="0F0255FC"/>
    <w:rsid w:val="0F3D7AE4"/>
    <w:rsid w:val="0F68332B"/>
    <w:rsid w:val="108143B6"/>
    <w:rsid w:val="10BE733F"/>
    <w:rsid w:val="113F6433"/>
    <w:rsid w:val="1187380C"/>
    <w:rsid w:val="12483364"/>
    <w:rsid w:val="13D7569A"/>
    <w:rsid w:val="13E3628F"/>
    <w:rsid w:val="1448764C"/>
    <w:rsid w:val="14DA7C69"/>
    <w:rsid w:val="152B20F3"/>
    <w:rsid w:val="154F67B8"/>
    <w:rsid w:val="16D5759D"/>
    <w:rsid w:val="16E803EC"/>
    <w:rsid w:val="171B0542"/>
    <w:rsid w:val="171D3A7F"/>
    <w:rsid w:val="1773268B"/>
    <w:rsid w:val="18093A75"/>
    <w:rsid w:val="18A85B98"/>
    <w:rsid w:val="1A0D0041"/>
    <w:rsid w:val="1AE31E7C"/>
    <w:rsid w:val="1B6278D0"/>
    <w:rsid w:val="1BB92EE2"/>
    <w:rsid w:val="1BE85270"/>
    <w:rsid w:val="1D4137F3"/>
    <w:rsid w:val="1D4A6FFC"/>
    <w:rsid w:val="1D8B2357"/>
    <w:rsid w:val="1D927B8A"/>
    <w:rsid w:val="1E531CF7"/>
    <w:rsid w:val="1F881244"/>
    <w:rsid w:val="1FCA340D"/>
    <w:rsid w:val="1FE51A3A"/>
    <w:rsid w:val="21152F89"/>
    <w:rsid w:val="211F0D93"/>
    <w:rsid w:val="21B1721B"/>
    <w:rsid w:val="22ED3995"/>
    <w:rsid w:val="233A536D"/>
    <w:rsid w:val="244055B2"/>
    <w:rsid w:val="2452130C"/>
    <w:rsid w:val="246A58FF"/>
    <w:rsid w:val="24991E9C"/>
    <w:rsid w:val="25E22D30"/>
    <w:rsid w:val="26B77320"/>
    <w:rsid w:val="27050AFB"/>
    <w:rsid w:val="275C0E08"/>
    <w:rsid w:val="28433817"/>
    <w:rsid w:val="28731623"/>
    <w:rsid w:val="294174C6"/>
    <w:rsid w:val="295B3526"/>
    <w:rsid w:val="29BD1987"/>
    <w:rsid w:val="2A0F0615"/>
    <w:rsid w:val="2A213692"/>
    <w:rsid w:val="2ABC535A"/>
    <w:rsid w:val="2B2E5E2F"/>
    <w:rsid w:val="2B9634E6"/>
    <w:rsid w:val="2BFA7026"/>
    <w:rsid w:val="2BFB66F7"/>
    <w:rsid w:val="2C491D5B"/>
    <w:rsid w:val="2D067C4C"/>
    <w:rsid w:val="2D8A262B"/>
    <w:rsid w:val="2D9F04D0"/>
    <w:rsid w:val="2E086469"/>
    <w:rsid w:val="302440ED"/>
    <w:rsid w:val="306058C5"/>
    <w:rsid w:val="31126BC0"/>
    <w:rsid w:val="31190AB4"/>
    <w:rsid w:val="314B01C0"/>
    <w:rsid w:val="31794E91"/>
    <w:rsid w:val="31D245A1"/>
    <w:rsid w:val="32F9219D"/>
    <w:rsid w:val="3502519D"/>
    <w:rsid w:val="3536311F"/>
    <w:rsid w:val="355E5766"/>
    <w:rsid w:val="35876A57"/>
    <w:rsid w:val="36873BAC"/>
    <w:rsid w:val="37841E99"/>
    <w:rsid w:val="37BF2ED1"/>
    <w:rsid w:val="398C16E5"/>
    <w:rsid w:val="3AD676B7"/>
    <w:rsid w:val="3BEB1E04"/>
    <w:rsid w:val="3C060F0C"/>
    <w:rsid w:val="3E2A1ABA"/>
    <w:rsid w:val="3FBF495C"/>
    <w:rsid w:val="3FF17510"/>
    <w:rsid w:val="400718BA"/>
    <w:rsid w:val="40736643"/>
    <w:rsid w:val="40FC0583"/>
    <w:rsid w:val="41A876DF"/>
    <w:rsid w:val="41B31CF9"/>
    <w:rsid w:val="41E12803"/>
    <w:rsid w:val="432033BE"/>
    <w:rsid w:val="4340580E"/>
    <w:rsid w:val="445552E9"/>
    <w:rsid w:val="448E4F6C"/>
    <w:rsid w:val="461A5397"/>
    <w:rsid w:val="471F573B"/>
    <w:rsid w:val="47255F5D"/>
    <w:rsid w:val="47C66589"/>
    <w:rsid w:val="47F7B009"/>
    <w:rsid w:val="496C4A42"/>
    <w:rsid w:val="49F41101"/>
    <w:rsid w:val="49F809B9"/>
    <w:rsid w:val="4A286FFC"/>
    <w:rsid w:val="4CD3453F"/>
    <w:rsid w:val="4D381304"/>
    <w:rsid w:val="4F267EB2"/>
    <w:rsid w:val="4F512B51"/>
    <w:rsid w:val="50851B65"/>
    <w:rsid w:val="50CA2BBB"/>
    <w:rsid w:val="513444D8"/>
    <w:rsid w:val="519F2428"/>
    <w:rsid w:val="52100AA2"/>
    <w:rsid w:val="52F66F9E"/>
    <w:rsid w:val="530B346C"/>
    <w:rsid w:val="531E4218"/>
    <w:rsid w:val="53BB4A3D"/>
    <w:rsid w:val="53D96BBC"/>
    <w:rsid w:val="549A0AF6"/>
    <w:rsid w:val="54AA6D86"/>
    <w:rsid w:val="54AD25D8"/>
    <w:rsid w:val="55205F1E"/>
    <w:rsid w:val="55825C81"/>
    <w:rsid w:val="55F0285C"/>
    <w:rsid w:val="568D26C1"/>
    <w:rsid w:val="57D608EE"/>
    <w:rsid w:val="57F572B3"/>
    <w:rsid w:val="586A603B"/>
    <w:rsid w:val="599B2011"/>
    <w:rsid w:val="59B44408"/>
    <w:rsid w:val="59C703CC"/>
    <w:rsid w:val="59F17208"/>
    <w:rsid w:val="5A5019D9"/>
    <w:rsid w:val="5AC06412"/>
    <w:rsid w:val="5C2B09CF"/>
    <w:rsid w:val="5CA256C6"/>
    <w:rsid w:val="5CBA3AE4"/>
    <w:rsid w:val="5D875110"/>
    <w:rsid w:val="5DBC1ADE"/>
    <w:rsid w:val="5DF04A1B"/>
    <w:rsid w:val="5F073334"/>
    <w:rsid w:val="5FA647F3"/>
    <w:rsid w:val="60BD4558"/>
    <w:rsid w:val="60E530F9"/>
    <w:rsid w:val="613A1697"/>
    <w:rsid w:val="61ED04B8"/>
    <w:rsid w:val="626E4139"/>
    <w:rsid w:val="62B10E4A"/>
    <w:rsid w:val="62C15B94"/>
    <w:rsid w:val="62DD22DA"/>
    <w:rsid w:val="632206C3"/>
    <w:rsid w:val="63910C6B"/>
    <w:rsid w:val="64266179"/>
    <w:rsid w:val="64F26248"/>
    <w:rsid w:val="65F75187"/>
    <w:rsid w:val="665656C3"/>
    <w:rsid w:val="66783D95"/>
    <w:rsid w:val="667C4500"/>
    <w:rsid w:val="67833F0B"/>
    <w:rsid w:val="67CE661D"/>
    <w:rsid w:val="67DB2A19"/>
    <w:rsid w:val="68D7798E"/>
    <w:rsid w:val="69117181"/>
    <w:rsid w:val="691577C3"/>
    <w:rsid w:val="6A427FA9"/>
    <w:rsid w:val="6A9936C9"/>
    <w:rsid w:val="6AC87D14"/>
    <w:rsid w:val="6C5C0C3C"/>
    <w:rsid w:val="6CC437DE"/>
    <w:rsid w:val="6D0C7D8B"/>
    <w:rsid w:val="6DD05370"/>
    <w:rsid w:val="6F271E49"/>
    <w:rsid w:val="6F777BA3"/>
    <w:rsid w:val="701D28B0"/>
    <w:rsid w:val="70EA0FB9"/>
    <w:rsid w:val="71234381"/>
    <w:rsid w:val="71D5183A"/>
    <w:rsid w:val="71EE4DBB"/>
    <w:rsid w:val="72004668"/>
    <w:rsid w:val="72785B7B"/>
    <w:rsid w:val="727D5888"/>
    <w:rsid w:val="72E53824"/>
    <w:rsid w:val="737C6DF6"/>
    <w:rsid w:val="740930CE"/>
    <w:rsid w:val="74DA48CB"/>
    <w:rsid w:val="75A629FF"/>
    <w:rsid w:val="766C077E"/>
    <w:rsid w:val="77DB7EBE"/>
    <w:rsid w:val="78FD0582"/>
    <w:rsid w:val="79AB4102"/>
    <w:rsid w:val="7A4A6B5F"/>
    <w:rsid w:val="7AB30E5A"/>
    <w:rsid w:val="7AC322A6"/>
    <w:rsid w:val="7B24161E"/>
    <w:rsid w:val="7B256ABC"/>
    <w:rsid w:val="7B5D6256"/>
    <w:rsid w:val="7BE83190"/>
    <w:rsid w:val="7C0A2C05"/>
    <w:rsid w:val="7C414641"/>
    <w:rsid w:val="7D753A3D"/>
    <w:rsid w:val="7E723DC7"/>
    <w:rsid w:val="DFFA67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9"/>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7"/>
    <w:link w:val="60"/>
    <w:qFormat/>
    <w:uiPriority w:val="0"/>
    <w:pPr>
      <w:keepNext/>
      <w:keepLines/>
      <w:tabs>
        <w:tab w:val="left" w:pos="1740"/>
      </w:tabs>
      <w:spacing w:before="260" w:line="413" w:lineRule="auto"/>
      <w:ind w:left="1740"/>
      <w:outlineLvl w:val="2"/>
    </w:pPr>
    <w:rPr>
      <w:b/>
      <w:bCs/>
      <w:kern w:val="0"/>
      <w:sz w:val="32"/>
      <w:szCs w:val="32"/>
    </w:rPr>
  </w:style>
  <w:style w:type="paragraph" w:styleId="8">
    <w:name w:val="heading 4"/>
    <w:basedOn w:val="1"/>
    <w:next w:val="1"/>
    <w:link w:val="61"/>
    <w:qFormat/>
    <w:uiPriority w:val="0"/>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62"/>
    <w:qFormat/>
    <w:uiPriority w:val="0"/>
    <w:pPr>
      <w:keepNext/>
      <w:keepLines/>
      <w:tabs>
        <w:tab w:val="left" w:pos="2580"/>
      </w:tabs>
      <w:spacing w:before="280" w:line="372" w:lineRule="auto"/>
      <w:outlineLvl w:val="4"/>
    </w:pPr>
    <w:rPr>
      <w:b/>
      <w:bCs/>
      <w:kern w:val="0"/>
      <w:sz w:val="28"/>
      <w:szCs w:val="28"/>
    </w:rPr>
  </w:style>
  <w:style w:type="paragraph" w:styleId="10">
    <w:name w:val="heading 6"/>
    <w:basedOn w:val="1"/>
    <w:next w:val="1"/>
    <w:link w:val="63"/>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1">
    <w:name w:val="heading 7"/>
    <w:basedOn w:val="1"/>
    <w:next w:val="12"/>
    <w:link w:val="64"/>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3">
    <w:name w:val="heading 8"/>
    <w:basedOn w:val="1"/>
    <w:next w:val="1"/>
    <w:link w:val="65"/>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4">
    <w:name w:val="heading 9"/>
    <w:basedOn w:val="1"/>
    <w:next w:val="1"/>
    <w:link w:val="66"/>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2">
    <w:name w:val="正文文本 31"/>
    <w:basedOn w:val="1"/>
    <w:qFormat/>
    <w:uiPriority w:val="0"/>
    <w:rPr>
      <w:sz w:val="16"/>
      <w:szCs w:val="16"/>
    </w:rPr>
  </w:style>
  <w:style w:type="paragraph" w:styleId="5">
    <w:name w:val="Normal Indent"/>
    <w:basedOn w:val="1"/>
    <w:next w:val="1"/>
    <w:link w:val="101"/>
    <w:qFormat/>
    <w:uiPriority w:val="0"/>
    <w:pPr>
      <w:ind w:firstLine="420"/>
    </w:pPr>
    <w:rPr>
      <w:rFonts w:ascii="Calibri" w:hAnsi="Calibri"/>
      <w:szCs w:val="22"/>
    </w:rPr>
  </w:style>
  <w:style w:type="paragraph" w:customStyle="1" w:styleId="7">
    <w:name w:val="段落文字"/>
    <w:basedOn w:val="1"/>
    <w:qFormat/>
    <w:uiPriority w:val="0"/>
    <w:pPr>
      <w:ind w:firstLine="200"/>
    </w:pPr>
  </w:style>
  <w:style w:type="paragraph" w:customStyle="1" w:styleId="12">
    <w:name w:val="文档正文"/>
    <w:basedOn w:val="1"/>
    <w:qFormat/>
    <w:uiPriority w:val="0"/>
    <w:pPr>
      <w:adjustRightInd w:val="0"/>
      <w:spacing w:before="60" w:line="360" w:lineRule="atLeast"/>
      <w:ind w:firstLine="482"/>
      <w:textAlignment w:val="baseline"/>
    </w:pPr>
    <w:rPr>
      <w:sz w:val="24"/>
    </w:rPr>
  </w:style>
  <w:style w:type="paragraph" w:styleId="15">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54"/>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8">
    <w:name w:val="annotation text"/>
    <w:basedOn w:val="1"/>
    <w:link w:val="121"/>
    <w:qFormat/>
    <w:uiPriority w:val="0"/>
    <w:pPr>
      <w:spacing w:afterLines="100" w:line="360" w:lineRule="auto"/>
      <w:ind w:firstLine="200" w:firstLineChars="200"/>
      <w:jc w:val="left"/>
    </w:pPr>
    <w:rPr>
      <w:rFonts w:ascii="Calibri" w:hAnsi="Calibri"/>
      <w:kern w:val="0"/>
      <w:sz w:val="24"/>
    </w:rPr>
  </w:style>
  <w:style w:type="paragraph" w:styleId="19">
    <w:name w:val="Body Text 3"/>
    <w:basedOn w:val="1"/>
    <w:link w:val="151"/>
    <w:qFormat/>
    <w:uiPriority w:val="0"/>
    <w:pPr>
      <w:snapToGrid w:val="0"/>
      <w:spacing w:before="50" w:after="50"/>
    </w:pPr>
    <w:rPr>
      <w:rFonts w:ascii="Calibri" w:hAnsi="宋体" w:eastAsia="仿宋_GB2312"/>
      <w:b/>
      <w:bCs/>
      <w:kern w:val="0"/>
      <w:sz w:val="24"/>
      <w:szCs w:val="20"/>
    </w:rPr>
  </w:style>
  <w:style w:type="paragraph" w:styleId="20">
    <w:name w:val="Body Text"/>
    <w:basedOn w:val="1"/>
    <w:next w:val="21"/>
    <w:link w:val="96"/>
    <w:qFormat/>
    <w:uiPriority w:val="99"/>
    <w:pPr>
      <w:spacing w:after="120"/>
    </w:pPr>
    <w:rPr>
      <w:rFonts w:ascii="Calibri" w:hAnsi="Calibri"/>
      <w:kern w:val="0"/>
      <w:sz w:val="28"/>
    </w:rPr>
  </w:style>
  <w:style w:type="paragraph" w:styleId="21">
    <w:name w:val="Body Text First Indent"/>
    <w:basedOn w:val="20"/>
    <w:next w:val="22"/>
    <w:link w:val="95"/>
    <w:unhideWhenUsed/>
    <w:qFormat/>
    <w:uiPriority w:val="0"/>
    <w:pPr>
      <w:ind w:firstLine="420" w:firstLineChars="100"/>
    </w:pPr>
  </w:style>
  <w:style w:type="paragraph" w:styleId="22">
    <w:name w:val="toc 6"/>
    <w:basedOn w:val="1"/>
    <w:next w:val="1"/>
    <w:qFormat/>
    <w:uiPriority w:val="39"/>
    <w:pPr>
      <w:ind w:left="1200"/>
      <w:jc w:val="left"/>
    </w:pPr>
    <w:rPr>
      <w:rFonts w:ascii="Calibri" w:hAnsi="Calibri"/>
      <w:sz w:val="18"/>
      <w:szCs w:val="18"/>
    </w:rPr>
  </w:style>
  <w:style w:type="paragraph" w:styleId="23">
    <w:name w:val="Body Text Indent"/>
    <w:basedOn w:val="1"/>
    <w:link w:val="72"/>
    <w:unhideWhenUsed/>
    <w:qFormat/>
    <w:uiPriority w:val="0"/>
    <w:pPr>
      <w:spacing w:after="120"/>
      <w:ind w:left="420" w:leftChars="200"/>
    </w:pPr>
    <w:rPr>
      <w:kern w:val="0"/>
      <w:sz w:val="20"/>
    </w:rPr>
  </w:style>
  <w:style w:type="paragraph" w:styleId="24">
    <w:name w:val="List Number 3"/>
    <w:basedOn w:val="1"/>
    <w:qFormat/>
    <w:uiPriority w:val="0"/>
    <w:pPr>
      <w:tabs>
        <w:tab w:val="left" w:pos="1200"/>
      </w:tabs>
      <w:ind w:left="1200" w:hanging="360"/>
    </w:pPr>
  </w:style>
  <w:style w:type="paragraph" w:styleId="25">
    <w:name w:val="List 2"/>
    <w:basedOn w:val="1"/>
    <w:qFormat/>
    <w:uiPriority w:val="0"/>
    <w:pPr>
      <w:ind w:left="100" w:leftChars="200" w:hanging="200" w:hangingChars="200"/>
    </w:pPr>
    <w:rPr>
      <w:sz w:val="28"/>
    </w:rPr>
  </w:style>
  <w:style w:type="paragraph" w:styleId="26">
    <w:name w:val="toc 3"/>
    <w:basedOn w:val="1"/>
    <w:next w:val="1"/>
    <w:qFormat/>
    <w:uiPriority w:val="39"/>
    <w:pPr>
      <w:spacing w:line="360" w:lineRule="auto"/>
      <w:ind w:left="480" w:firstLine="200" w:firstLineChars="200"/>
      <w:jc w:val="left"/>
    </w:pPr>
    <w:rPr>
      <w:i/>
      <w:iCs/>
      <w:sz w:val="20"/>
      <w:szCs w:val="20"/>
    </w:rPr>
  </w:style>
  <w:style w:type="paragraph" w:styleId="27">
    <w:name w:val="Plain Text"/>
    <w:basedOn w:val="1"/>
    <w:link w:val="148"/>
    <w:qFormat/>
    <w:uiPriority w:val="0"/>
    <w:pPr>
      <w:spacing w:beforeLines="50" w:afterLines="50" w:line="400" w:lineRule="exact"/>
    </w:pPr>
    <w:rPr>
      <w:rFonts w:ascii="宋体" w:hAnsi="Courier New"/>
      <w:kern w:val="0"/>
      <w:sz w:val="24"/>
    </w:rPr>
  </w:style>
  <w:style w:type="paragraph" w:styleId="28">
    <w:name w:val="Date"/>
    <w:basedOn w:val="1"/>
    <w:next w:val="1"/>
    <w:link w:val="132"/>
    <w:qFormat/>
    <w:uiPriority w:val="0"/>
    <w:pPr>
      <w:ind w:left="2500" w:leftChars="2500"/>
    </w:pPr>
    <w:rPr>
      <w:rFonts w:ascii="Calibri" w:hAnsi="Calibri" w:eastAsia="楷体_GB2312"/>
      <w:kern w:val="0"/>
      <w:sz w:val="32"/>
      <w:szCs w:val="20"/>
    </w:rPr>
  </w:style>
  <w:style w:type="paragraph" w:styleId="29">
    <w:name w:val="Body Text Indent 2"/>
    <w:basedOn w:val="1"/>
    <w:link w:val="126"/>
    <w:qFormat/>
    <w:uiPriority w:val="0"/>
    <w:pPr>
      <w:snapToGrid w:val="0"/>
      <w:ind w:firstLine="542" w:firstLineChars="225"/>
    </w:pPr>
    <w:rPr>
      <w:rFonts w:ascii="仿宋_GB2312" w:hAnsi="宋体"/>
      <w:b/>
      <w:bCs/>
      <w:color w:val="000000"/>
      <w:kern w:val="0"/>
      <w:sz w:val="24"/>
    </w:rPr>
  </w:style>
  <w:style w:type="paragraph" w:styleId="30">
    <w:name w:val="Balloon Text"/>
    <w:basedOn w:val="1"/>
    <w:link w:val="69"/>
    <w:unhideWhenUsed/>
    <w:qFormat/>
    <w:uiPriority w:val="0"/>
    <w:rPr>
      <w:rFonts w:ascii="Calibri" w:hAnsi="Calibri"/>
      <w:kern w:val="0"/>
      <w:sz w:val="16"/>
      <w:szCs w:val="16"/>
    </w:rPr>
  </w:style>
  <w:style w:type="paragraph" w:styleId="31">
    <w:name w:val="footer"/>
    <w:basedOn w:val="1"/>
    <w:link w:val="57"/>
    <w:unhideWhenUsed/>
    <w:qFormat/>
    <w:uiPriority w:val="99"/>
    <w:pPr>
      <w:tabs>
        <w:tab w:val="center" w:pos="4153"/>
        <w:tab w:val="right" w:pos="8306"/>
      </w:tabs>
      <w:snapToGrid w:val="0"/>
      <w:jc w:val="left"/>
    </w:pPr>
    <w:rPr>
      <w:rFonts w:ascii="Calibri" w:hAnsi="Calibri"/>
      <w:kern w:val="0"/>
      <w:sz w:val="18"/>
      <w:szCs w:val="18"/>
    </w:rPr>
  </w:style>
  <w:style w:type="paragraph" w:styleId="32">
    <w:name w:val="header"/>
    <w:basedOn w:val="1"/>
    <w:link w:val="56"/>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3">
    <w:name w:val="toc 1"/>
    <w:basedOn w:val="1"/>
    <w:next w:val="1"/>
    <w:qFormat/>
    <w:uiPriority w:val="39"/>
  </w:style>
  <w:style w:type="paragraph" w:styleId="34">
    <w:name w:val="Subtitle"/>
    <w:basedOn w:val="1"/>
    <w:next w:val="1"/>
    <w:link w:val="113"/>
    <w:qFormat/>
    <w:uiPriority w:val="11"/>
    <w:pPr>
      <w:spacing w:before="240" w:after="60" w:line="312" w:lineRule="auto"/>
      <w:jc w:val="center"/>
      <w:outlineLvl w:val="1"/>
    </w:pPr>
    <w:rPr>
      <w:rFonts w:ascii="Cambria" w:hAnsi="Cambria"/>
      <w:b/>
      <w:bCs/>
      <w:kern w:val="28"/>
      <w:sz w:val="32"/>
      <w:szCs w:val="32"/>
    </w:rPr>
  </w:style>
  <w:style w:type="paragraph" w:styleId="35">
    <w:name w:val="List"/>
    <w:basedOn w:val="1"/>
    <w:qFormat/>
    <w:uiPriority w:val="0"/>
    <w:pPr>
      <w:ind w:left="200" w:hanging="200" w:hangingChars="200"/>
    </w:pPr>
    <w:rPr>
      <w:sz w:val="28"/>
    </w:rPr>
  </w:style>
  <w:style w:type="paragraph" w:styleId="36">
    <w:name w:val="footnote text"/>
    <w:basedOn w:val="1"/>
    <w:link w:val="79"/>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7">
    <w:name w:val="Body Text Indent 3"/>
    <w:basedOn w:val="1"/>
    <w:link w:val="123"/>
    <w:qFormat/>
    <w:uiPriority w:val="0"/>
    <w:pPr>
      <w:snapToGrid w:val="0"/>
      <w:ind w:firstLine="480" w:firstLineChars="200"/>
      <w:jc w:val="left"/>
    </w:pPr>
    <w:rPr>
      <w:rFonts w:ascii="仿宋_GB2312" w:hAnsi="宋体" w:eastAsia="仿宋_GB2312"/>
      <w:color w:val="000000"/>
      <w:kern w:val="0"/>
      <w:sz w:val="24"/>
    </w:rPr>
  </w:style>
  <w:style w:type="paragraph" w:styleId="38">
    <w:name w:val="toc 2"/>
    <w:basedOn w:val="1"/>
    <w:next w:val="1"/>
    <w:unhideWhenUsed/>
    <w:qFormat/>
    <w:uiPriority w:val="39"/>
    <w:pPr>
      <w:ind w:left="420" w:leftChars="200"/>
    </w:pPr>
  </w:style>
  <w:style w:type="paragraph" w:styleId="39">
    <w:name w:val="Body Text 2"/>
    <w:basedOn w:val="1"/>
    <w:link w:val="128"/>
    <w:qFormat/>
    <w:uiPriority w:val="0"/>
    <w:pPr>
      <w:widowControl/>
      <w:snapToGrid w:val="0"/>
      <w:spacing w:before="50" w:afterLines="50" w:line="400" w:lineRule="exact"/>
      <w:jc w:val="left"/>
    </w:pPr>
    <w:rPr>
      <w:rFonts w:ascii="宋体" w:hAnsi="宋体"/>
      <w:color w:val="000000"/>
      <w:kern w:val="0"/>
      <w:sz w:val="24"/>
    </w:rPr>
  </w:style>
  <w:style w:type="paragraph" w:styleId="40">
    <w:name w:val="HTML Preformatted"/>
    <w:basedOn w:val="1"/>
    <w:link w:val="136"/>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link w:val="164"/>
    <w:qFormat/>
    <w:uiPriority w:val="99"/>
    <w:pPr>
      <w:widowControl/>
      <w:spacing w:before="100" w:beforeAutospacing="1" w:after="100" w:afterAutospacing="1"/>
      <w:jc w:val="left"/>
    </w:pPr>
    <w:rPr>
      <w:rFonts w:ascii="Calibri" w:hAnsi="Calibri"/>
      <w:kern w:val="0"/>
      <w:sz w:val="24"/>
    </w:rPr>
  </w:style>
  <w:style w:type="paragraph" w:styleId="42">
    <w:name w:val="Title"/>
    <w:basedOn w:val="1"/>
    <w:link w:val="371"/>
    <w:qFormat/>
    <w:uiPriority w:val="0"/>
    <w:pPr>
      <w:spacing w:before="240" w:after="60"/>
      <w:jc w:val="center"/>
      <w:outlineLvl w:val="0"/>
    </w:pPr>
    <w:rPr>
      <w:rFonts w:ascii="Arial" w:hAnsi="Arial" w:eastAsia="仿宋_GB2312"/>
      <w:b/>
      <w:bCs/>
      <w:kern w:val="0"/>
      <w:sz w:val="36"/>
      <w:szCs w:val="32"/>
    </w:rPr>
  </w:style>
  <w:style w:type="paragraph" w:styleId="43">
    <w:name w:val="annotation subject"/>
    <w:basedOn w:val="18"/>
    <w:next w:val="18"/>
    <w:link w:val="159"/>
    <w:qFormat/>
    <w:uiPriority w:val="0"/>
    <w:rPr>
      <w:b/>
      <w:bCs/>
    </w:rPr>
  </w:style>
  <w:style w:type="paragraph" w:styleId="44">
    <w:name w:val="Body Text First Indent 2"/>
    <w:basedOn w:val="23"/>
    <w:link w:val="71"/>
    <w:semiHidden/>
    <w:qFormat/>
    <w:uiPriority w:val="0"/>
    <w:pPr>
      <w:spacing w:line="360" w:lineRule="auto"/>
      <w:ind w:firstLine="420" w:firstLineChars="200"/>
    </w:pPr>
    <w:rPr>
      <w:rFonts w:ascii="宋体" w:hAnsi="Courier New"/>
      <w:spacing w:val="-4"/>
      <w:sz w:val="24"/>
    </w:rPr>
  </w:style>
  <w:style w:type="table" w:styleId="46">
    <w:name w:val="Table Grid"/>
    <w:basedOn w:val="4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22"/>
    <w:rPr>
      <w:b/>
      <w:bCs/>
    </w:rPr>
  </w:style>
  <w:style w:type="character" w:styleId="49">
    <w:name w:val="page number"/>
    <w:basedOn w:val="47"/>
    <w:qFormat/>
    <w:uiPriority w:val="0"/>
  </w:style>
  <w:style w:type="character" w:styleId="50">
    <w:name w:val="FollowedHyperlink"/>
    <w:semiHidden/>
    <w:unhideWhenUsed/>
    <w:qFormat/>
    <w:uiPriority w:val="99"/>
    <w:rPr>
      <w:color w:val="800080"/>
      <w:u w:val="single"/>
    </w:rPr>
  </w:style>
  <w:style w:type="character" w:styleId="51">
    <w:name w:val="Emphasis"/>
    <w:qFormat/>
    <w:uiPriority w:val="0"/>
    <w:rPr>
      <w:i/>
    </w:rPr>
  </w:style>
  <w:style w:type="character" w:styleId="52">
    <w:name w:val="Hyperlink"/>
    <w:qFormat/>
    <w:uiPriority w:val="99"/>
    <w:rPr>
      <w:color w:val="0000FF"/>
      <w:u w:val="single"/>
    </w:rPr>
  </w:style>
  <w:style w:type="character" w:styleId="53">
    <w:name w:val="annotation reference"/>
    <w:qFormat/>
    <w:uiPriority w:val="0"/>
    <w:rPr>
      <w:sz w:val="21"/>
      <w:szCs w:val="21"/>
    </w:rPr>
  </w:style>
  <w:style w:type="paragraph" w:customStyle="1" w:styleId="54">
    <w:name w:val="正文缩进1"/>
    <w:basedOn w:val="1"/>
    <w:qFormat/>
    <w:uiPriority w:val="99"/>
    <w:pPr>
      <w:ind w:firstLine="420" w:firstLineChars="200"/>
    </w:pPr>
  </w:style>
  <w:style w:type="paragraph" w:customStyle="1" w:styleId="55">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character" w:customStyle="1" w:styleId="56">
    <w:name w:val="页眉 字符"/>
    <w:link w:val="32"/>
    <w:qFormat/>
    <w:uiPriority w:val="99"/>
    <w:rPr>
      <w:sz w:val="18"/>
      <w:szCs w:val="18"/>
    </w:rPr>
  </w:style>
  <w:style w:type="character" w:customStyle="1" w:styleId="57">
    <w:name w:val="页脚 字符1"/>
    <w:link w:val="31"/>
    <w:qFormat/>
    <w:uiPriority w:val="99"/>
    <w:rPr>
      <w:sz w:val="18"/>
      <w:szCs w:val="18"/>
    </w:rPr>
  </w:style>
  <w:style w:type="character" w:customStyle="1" w:styleId="58">
    <w:name w:val="标题 1 字符"/>
    <w:link w:val="3"/>
    <w:qFormat/>
    <w:uiPriority w:val="0"/>
    <w:rPr>
      <w:rFonts w:ascii="Times New Roman" w:hAnsi="Times New Roman" w:eastAsia="宋体" w:cs="Times New Roman"/>
      <w:b/>
      <w:bCs/>
      <w:kern w:val="44"/>
      <w:sz w:val="44"/>
      <w:szCs w:val="44"/>
    </w:rPr>
  </w:style>
  <w:style w:type="character" w:customStyle="1" w:styleId="59">
    <w:name w:val="标题 2 字符"/>
    <w:link w:val="4"/>
    <w:qFormat/>
    <w:uiPriority w:val="0"/>
    <w:rPr>
      <w:rFonts w:ascii="Arial" w:hAnsi="Arial" w:eastAsia="黑体" w:cs="Times New Roman"/>
      <w:b/>
      <w:bCs/>
      <w:sz w:val="32"/>
      <w:szCs w:val="32"/>
    </w:rPr>
  </w:style>
  <w:style w:type="character" w:customStyle="1" w:styleId="60">
    <w:name w:val="标题 3 字符"/>
    <w:link w:val="6"/>
    <w:qFormat/>
    <w:uiPriority w:val="0"/>
    <w:rPr>
      <w:rFonts w:ascii="Times New Roman" w:hAnsi="Times New Roman" w:eastAsia="宋体" w:cs="Times New Roman"/>
      <w:b/>
      <w:bCs/>
      <w:sz w:val="32"/>
      <w:szCs w:val="32"/>
    </w:rPr>
  </w:style>
  <w:style w:type="character" w:customStyle="1" w:styleId="61">
    <w:name w:val="标题 4 字符"/>
    <w:link w:val="8"/>
    <w:qFormat/>
    <w:uiPriority w:val="0"/>
    <w:rPr>
      <w:rFonts w:ascii="Cambria" w:hAnsi="Cambria" w:eastAsia="宋体" w:cs="Times New Roman"/>
      <w:b/>
      <w:bCs/>
      <w:sz w:val="28"/>
      <w:szCs w:val="28"/>
    </w:rPr>
  </w:style>
  <w:style w:type="character" w:customStyle="1" w:styleId="62">
    <w:name w:val="标题 5 字符"/>
    <w:link w:val="9"/>
    <w:qFormat/>
    <w:uiPriority w:val="0"/>
    <w:rPr>
      <w:rFonts w:ascii="Times New Roman" w:hAnsi="Times New Roman" w:eastAsia="宋体" w:cs="Times New Roman"/>
      <w:b/>
      <w:bCs/>
      <w:sz w:val="28"/>
      <w:szCs w:val="28"/>
    </w:rPr>
  </w:style>
  <w:style w:type="character" w:customStyle="1" w:styleId="63">
    <w:name w:val="标题 6 字符"/>
    <w:link w:val="10"/>
    <w:qFormat/>
    <w:uiPriority w:val="0"/>
    <w:rPr>
      <w:rFonts w:ascii="Arial" w:hAnsi="Arial" w:eastAsia="黑体" w:cs="Times New Roman"/>
      <w:b/>
      <w:bCs/>
      <w:sz w:val="24"/>
      <w:szCs w:val="24"/>
    </w:rPr>
  </w:style>
  <w:style w:type="character" w:customStyle="1" w:styleId="64">
    <w:name w:val="标题 7 字符"/>
    <w:link w:val="11"/>
    <w:qFormat/>
    <w:uiPriority w:val="0"/>
    <w:rPr>
      <w:rFonts w:ascii="Times New Roman" w:hAnsi="Times New Roman" w:eastAsia="宋体" w:cs="Times New Roman"/>
      <w:b/>
      <w:bCs/>
      <w:sz w:val="24"/>
      <w:szCs w:val="24"/>
    </w:rPr>
  </w:style>
  <w:style w:type="character" w:customStyle="1" w:styleId="65">
    <w:name w:val="标题 8 字符"/>
    <w:link w:val="13"/>
    <w:qFormat/>
    <w:uiPriority w:val="0"/>
    <w:rPr>
      <w:rFonts w:ascii="Arial" w:hAnsi="Arial" w:eastAsia="黑体" w:cs="Times New Roman"/>
      <w:sz w:val="24"/>
      <w:szCs w:val="24"/>
    </w:rPr>
  </w:style>
  <w:style w:type="character" w:customStyle="1" w:styleId="66">
    <w:name w:val="标题 9 字符"/>
    <w:link w:val="14"/>
    <w:qFormat/>
    <w:uiPriority w:val="0"/>
    <w:rPr>
      <w:rFonts w:ascii="Arial" w:hAnsi="Arial" w:eastAsia="黑体" w:cs="Times New Roman"/>
      <w:szCs w:val="21"/>
    </w:rPr>
  </w:style>
  <w:style w:type="paragraph" w:customStyle="1" w:styleId="67">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Char Char4"/>
    <w:qFormat/>
    <w:uiPriority w:val="0"/>
    <w:rPr>
      <w:rFonts w:eastAsia="宋体"/>
      <w:kern w:val="2"/>
      <w:sz w:val="24"/>
      <w:lang w:val="en-US" w:eastAsia="zh-CN" w:bidi="ar-SA"/>
    </w:rPr>
  </w:style>
  <w:style w:type="character" w:customStyle="1" w:styleId="69">
    <w:name w:val="批注框文本 字符"/>
    <w:link w:val="30"/>
    <w:qFormat/>
    <w:uiPriority w:val="0"/>
    <w:rPr>
      <w:sz w:val="16"/>
      <w:szCs w:val="16"/>
    </w:rPr>
  </w:style>
  <w:style w:type="character" w:customStyle="1" w:styleId="70">
    <w:name w:val="批注框文本 Char1"/>
    <w:semiHidden/>
    <w:qFormat/>
    <w:uiPriority w:val="99"/>
    <w:rPr>
      <w:rFonts w:ascii="Times New Roman" w:hAnsi="Times New Roman" w:eastAsia="宋体" w:cs="Times New Roman"/>
      <w:sz w:val="18"/>
      <w:szCs w:val="18"/>
    </w:rPr>
  </w:style>
  <w:style w:type="character" w:customStyle="1" w:styleId="71">
    <w:name w:val="正文首行缩进 2 字符"/>
    <w:link w:val="44"/>
    <w:semiHidden/>
    <w:qFormat/>
    <w:uiPriority w:val="0"/>
    <w:rPr>
      <w:rFonts w:ascii="宋体" w:hAnsi="Courier New"/>
      <w:spacing w:val="-4"/>
      <w:sz w:val="24"/>
      <w:szCs w:val="24"/>
    </w:rPr>
  </w:style>
  <w:style w:type="character" w:customStyle="1" w:styleId="72">
    <w:name w:val="正文文本缩进 字符"/>
    <w:link w:val="23"/>
    <w:qFormat/>
    <w:uiPriority w:val="0"/>
    <w:rPr>
      <w:rFonts w:ascii="Times New Roman" w:hAnsi="Times New Roman" w:eastAsia="宋体" w:cs="Times New Roman"/>
      <w:szCs w:val="24"/>
    </w:rPr>
  </w:style>
  <w:style w:type="character" w:customStyle="1" w:styleId="73">
    <w:name w:val="正文首行缩进 2 Char1"/>
    <w:semiHidden/>
    <w:qFormat/>
    <w:uiPriority w:val="99"/>
    <w:rPr>
      <w:rFonts w:ascii="Times New Roman" w:hAnsi="Times New Roman" w:eastAsia="宋体" w:cs="Times New Roman"/>
      <w:szCs w:val="24"/>
    </w:rPr>
  </w:style>
  <w:style w:type="character" w:customStyle="1" w:styleId="74">
    <w:name w:val="投标文件 正文首行缩进 Char"/>
    <w:qFormat/>
    <w:uiPriority w:val="0"/>
    <w:rPr>
      <w:rFonts w:ascii="Arial" w:hAnsi="Arial" w:eastAsia="宋体"/>
      <w:kern w:val="2"/>
      <w:sz w:val="21"/>
      <w:szCs w:val="24"/>
      <w:lang w:val="en-US" w:eastAsia="zh-CN" w:bidi="ar-SA"/>
    </w:rPr>
  </w:style>
  <w:style w:type="character" w:customStyle="1" w:styleId="75">
    <w:name w:val="_正文段落 Char"/>
    <w:qFormat/>
    <w:uiPriority w:val="0"/>
    <w:rPr>
      <w:rFonts w:eastAsia="宋体"/>
      <w:kern w:val="2"/>
      <w:sz w:val="21"/>
      <w:szCs w:val="24"/>
      <w:lang w:val="en-US" w:eastAsia="zh-CN" w:bidi="ar-SA"/>
    </w:rPr>
  </w:style>
  <w:style w:type="character" w:customStyle="1" w:styleId="76">
    <w:name w:val="Char Char17"/>
    <w:qFormat/>
    <w:uiPriority w:val="0"/>
    <w:rPr>
      <w:rFonts w:ascii="Arial" w:hAnsi="Arial" w:eastAsia="黑体"/>
      <w:b/>
      <w:bCs/>
      <w:kern w:val="2"/>
      <w:sz w:val="32"/>
      <w:szCs w:val="32"/>
      <w:lang w:val="en-US" w:eastAsia="zh-CN" w:bidi="ar-SA"/>
    </w:rPr>
  </w:style>
  <w:style w:type="character" w:customStyle="1" w:styleId="77">
    <w:name w:val="Char Char14"/>
    <w:qFormat/>
    <w:uiPriority w:val="0"/>
    <w:rPr>
      <w:rFonts w:eastAsia="宋体"/>
      <w:b/>
      <w:bCs/>
      <w:kern w:val="2"/>
      <w:sz w:val="28"/>
      <w:szCs w:val="28"/>
      <w:lang w:val="en-US" w:eastAsia="zh-CN" w:bidi="ar-SA"/>
    </w:rPr>
  </w:style>
  <w:style w:type="character" w:customStyle="1" w:styleId="78">
    <w:name w:val="ptt1"/>
    <w:qFormat/>
    <w:uiPriority w:val="0"/>
    <w:rPr>
      <w:rFonts w:hint="eastAsia" w:ascii="宋体" w:hAnsi="宋体" w:eastAsia="宋体"/>
      <w:sz w:val="18"/>
      <w:szCs w:val="18"/>
    </w:rPr>
  </w:style>
  <w:style w:type="character" w:customStyle="1" w:styleId="79">
    <w:name w:val="脚注文本 字符"/>
    <w:link w:val="36"/>
    <w:semiHidden/>
    <w:qFormat/>
    <w:uiPriority w:val="0"/>
    <w:rPr>
      <w:sz w:val="18"/>
      <w:szCs w:val="24"/>
    </w:rPr>
  </w:style>
  <w:style w:type="character" w:customStyle="1" w:styleId="80">
    <w:name w:val="脚注文本 Char1"/>
    <w:semiHidden/>
    <w:qFormat/>
    <w:uiPriority w:val="99"/>
    <w:rPr>
      <w:rFonts w:ascii="Times New Roman" w:hAnsi="Times New Roman" w:eastAsia="宋体" w:cs="Times New Roman"/>
      <w:sz w:val="18"/>
      <w:szCs w:val="18"/>
    </w:rPr>
  </w:style>
  <w:style w:type="character" w:customStyle="1" w:styleId="81">
    <w:name w:val="Char Char18"/>
    <w:qFormat/>
    <w:uiPriority w:val="0"/>
    <w:rPr>
      <w:rFonts w:eastAsia="宋体"/>
      <w:b/>
      <w:bCs/>
      <w:kern w:val="44"/>
      <w:sz w:val="44"/>
      <w:szCs w:val="44"/>
      <w:lang w:val="en-US" w:eastAsia="zh-CN" w:bidi="ar-SA"/>
    </w:rPr>
  </w:style>
  <w:style w:type="character" w:customStyle="1" w:styleId="82">
    <w:name w:val="font2"/>
    <w:qFormat/>
    <w:uiPriority w:val="0"/>
  </w:style>
  <w:style w:type="character" w:customStyle="1" w:styleId="83">
    <w:name w:val="缺省文本 Char"/>
    <w:qFormat/>
    <w:uiPriority w:val="0"/>
    <w:rPr>
      <w:rFonts w:eastAsia="宋体"/>
      <w:sz w:val="24"/>
      <w:lang w:val="en-US" w:eastAsia="zh-CN" w:bidi="ar-SA"/>
    </w:rPr>
  </w:style>
  <w:style w:type="character" w:customStyle="1" w:styleId="84">
    <w:name w:val="HTML 预设格式 Char1"/>
    <w:semiHidden/>
    <w:qFormat/>
    <w:uiPriority w:val="99"/>
    <w:rPr>
      <w:rFonts w:ascii="Courier New" w:hAnsi="Courier New"/>
      <w:kern w:val="2"/>
    </w:rPr>
  </w:style>
  <w:style w:type="character" w:customStyle="1" w:styleId="85">
    <w:name w:val="Char Char8"/>
    <w:qFormat/>
    <w:uiPriority w:val="0"/>
    <w:rPr>
      <w:sz w:val="24"/>
    </w:rPr>
  </w:style>
  <w:style w:type="character" w:customStyle="1" w:styleId="86">
    <w:name w:val="Char Char9"/>
    <w:qFormat/>
    <w:uiPriority w:val="0"/>
    <w:rPr>
      <w:rFonts w:ascii="Arial" w:hAnsi="Arial" w:cs="Arial"/>
      <w:vanish/>
      <w:sz w:val="16"/>
      <w:szCs w:val="16"/>
    </w:rPr>
  </w:style>
  <w:style w:type="character" w:customStyle="1" w:styleId="87">
    <w:name w:val="font31"/>
    <w:qFormat/>
    <w:uiPriority w:val="0"/>
    <w:rPr>
      <w:rFonts w:hint="default" w:ascii="Times New Roman" w:hAnsi="Times New Roman" w:cs="Times New Roman"/>
      <w:color w:val="FF0000"/>
      <w:sz w:val="24"/>
      <w:szCs w:val="24"/>
      <w:u w:val="none"/>
    </w:rPr>
  </w:style>
  <w:style w:type="character" w:customStyle="1" w:styleId="88">
    <w:name w:val="列出段落 字符"/>
    <w:link w:val="89"/>
    <w:qFormat/>
    <w:uiPriority w:val="0"/>
    <w:rPr>
      <w:rFonts w:ascii="Calibri" w:hAnsi="Calibri"/>
    </w:rPr>
  </w:style>
  <w:style w:type="paragraph" w:styleId="89">
    <w:name w:val="List Paragraph"/>
    <w:basedOn w:val="1"/>
    <w:link w:val="88"/>
    <w:qFormat/>
    <w:uiPriority w:val="0"/>
    <w:pPr>
      <w:ind w:left="420" w:firstLine="420" w:firstLineChars="200"/>
    </w:pPr>
    <w:rPr>
      <w:rFonts w:ascii="Calibri" w:hAnsi="Calibri"/>
      <w:kern w:val="0"/>
      <w:sz w:val="20"/>
      <w:szCs w:val="20"/>
    </w:rPr>
  </w:style>
  <w:style w:type="character" w:customStyle="1" w:styleId="90">
    <w:name w:val="_标题3 Char"/>
    <w:qFormat/>
    <w:uiPriority w:val="0"/>
    <w:rPr>
      <w:rFonts w:ascii="Arial" w:hAnsi="Arial" w:eastAsia="黑体"/>
      <w:bCs/>
      <w:kern w:val="2"/>
      <w:sz w:val="30"/>
      <w:szCs w:val="32"/>
      <w:lang w:val="en-US" w:eastAsia="zh-CN" w:bidi="ar-SA"/>
    </w:rPr>
  </w:style>
  <w:style w:type="character" w:customStyle="1" w:styleId="91">
    <w:name w:val="_正文段落加粗 Char"/>
    <w:qFormat/>
    <w:uiPriority w:val="0"/>
    <w:rPr>
      <w:rFonts w:eastAsia="宋体"/>
      <w:b/>
      <w:kern w:val="2"/>
      <w:sz w:val="21"/>
      <w:szCs w:val="24"/>
      <w:lang w:val="en-US" w:eastAsia="zh-CN" w:bidi="ar-SA"/>
    </w:rPr>
  </w:style>
  <w:style w:type="character" w:customStyle="1" w:styleId="92">
    <w:name w:val="Char Char"/>
    <w:qFormat/>
    <w:uiPriority w:val="0"/>
    <w:rPr>
      <w:rFonts w:ascii="宋体" w:hAnsi="Courier New"/>
      <w:kern w:val="2"/>
      <w:sz w:val="21"/>
    </w:rPr>
  </w:style>
  <w:style w:type="character" w:customStyle="1" w:styleId="93">
    <w:name w:val="p2"/>
    <w:qFormat/>
    <w:uiPriority w:val="0"/>
  </w:style>
  <w:style w:type="character" w:customStyle="1" w:styleId="94">
    <w:name w:val="_题注 Char"/>
    <w:qFormat/>
    <w:uiPriority w:val="0"/>
    <w:rPr>
      <w:rFonts w:ascii="Arial" w:hAnsi="Arial" w:eastAsia="黑体" w:cs="Arial"/>
      <w:kern w:val="2"/>
      <w:sz w:val="21"/>
      <w:lang w:val="en-US" w:eastAsia="zh-CN" w:bidi="ar-SA"/>
    </w:rPr>
  </w:style>
  <w:style w:type="character" w:customStyle="1" w:styleId="95">
    <w:name w:val="正文首行缩进 字符"/>
    <w:link w:val="21"/>
    <w:qFormat/>
    <w:uiPriority w:val="0"/>
    <w:rPr>
      <w:sz w:val="28"/>
      <w:szCs w:val="24"/>
    </w:rPr>
  </w:style>
  <w:style w:type="character" w:customStyle="1" w:styleId="96">
    <w:name w:val="正文文本 字符"/>
    <w:link w:val="20"/>
    <w:qFormat/>
    <w:uiPriority w:val="99"/>
    <w:rPr>
      <w:sz w:val="28"/>
      <w:szCs w:val="24"/>
    </w:rPr>
  </w:style>
  <w:style w:type="character" w:customStyle="1" w:styleId="97">
    <w:name w:val="正文文本 Char1"/>
    <w:semiHidden/>
    <w:qFormat/>
    <w:uiPriority w:val="99"/>
    <w:rPr>
      <w:rFonts w:ascii="Times New Roman" w:hAnsi="Times New Roman" w:eastAsia="宋体" w:cs="Times New Roman"/>
      <w:szCs w:val="24"/>
    </w:rPr>
  </w:style>
  <w:style w:type="character" w:customStyle="1" w:styleId="98">
    <w:name w:val="正文首行缩进 Char1"/>
    <w:semiHidden/>
    <w:qFormat/>
    <w:uiPriority w:val="99"/>
    <w:rPr>
      <w:rFonts w:ascii="Times New Roman" w:hAnsi="Times New Roman" w:eastAsia="宋体" w:cs="Times New Roman"/>
      <w:szCs w:val="24"/>
    </w:rPr>
  </w:style>
  <w:style w:type="character" w:customStyle="1" w:styleId="99">
    <w:name w:val="样式1 Char Char"/>
    <w:link w:val="100"/>
    <w:qFormat/>
    <w:uiPriority w:val="0"/>
    <w:rPr>
      <w:rFonts w:ascii="Arial" w:hAnsi="Arial"/>
      <w:szCs w:val="24"/>
    </w:rPr>
  </w:style>
  <w:style w:type="paragraph" w:customStyle="1" w:styleId="100">
    <w:name w:val="样式1"/>
    <w:basedOn w:val="1"/>
    <w:link w:val="99"/>
    <w:qFormat/>
    <w:uiPriority w:val="0"/>
    <w:pPr>
      <w:spacing w:line="360" w:lineRule="exact"/>
      <w:ind w:firstLine="200" w:firstLineChars="200"/>
    </w:pPr>
    <w:rPr>
      <w:rFonts w:ascii="Arial" w:hAnsi="Arial"/>
      <w:kern w:val="0"/>
      <w:sz w:val="20"/>
    </w:rPr>
  </w:style>
  <w:style w:type="character" w:customStyle="1" w:styleId="101">
    <w:name w:val="正文缩进 字符"/>
    <w:link w:val="5"/>
    <w:qFormat/>
    <w:uiPriority w:val="0"/>
  </w:style>
  <w:style w:type="character" w:customStyle="1" w:styleId="102">
    <w:name w:val="z-窗体顶端 字符"/>
    <w:link w:val="103"/>
    <w:qFormat/>
    <w:uiPriority w:val="0"/>
    <w:rPr>
      <w:rFonts w:ascii="Arial" w:hAnsi="Arial" w:cs="Arial"/>
      <w:vanish/>
      <w:sz w:val="16"/>
      <w:szCs w:val="16"/>
    </w:rPr>
  </w:style>
  <w:style w:type="paragraph" w:customStyle="1" w:styleId="103">
    <w:name w:val="z-窗体顶端1"/>
    <w:basedOn w:val="1"/>
    <w:next w:val="1"/>
    <w:link w:val="102"/>
    <w:qFormat/>
    <w:uiPriority w:val="0"/>
    <w:pPr>
      <w:widowControl/>
      <w:pBdr>
        <w:bottom w:val="single" w:color="auto" w:sz="6" w:space="1"/>
      </w:pBdr>
      <w:jc w:val="center"/>
    </w:pPr>
    <w:rPr>
      <w:rFonts w:ascii="Arial" w:hAnsi="Arial"/>
      <w:vanish/>
      <w:kern w:val="0"/>
      <w:sz w:val="16"/>
      <w:szCs w:val="16"/>
    </w:rPr>
  </w:style>
  <w:style w:type="character" w:customStyle="1" w:styleId="104">
    <w:name w:val="z-窗体顶端 Char1"/>
    <w:semiHidden/>
    <w:qFormat/>
    <w:uiPriority w:val="99"/>
    <w:rPr>
      <w:rFonts w:ascii="Arial" w:hAnsi="Arial" w:eastAsia="宋体" w:cs="Arial"/>
      <w:vanish/>
      <w:sz w:val="16"/>
      <w:szCs w:val="16"/>
    </w:rPr>
  </w:style>
  <w:style w:type="character" w:customStyle="1" w:styleId="105">
    <w:name w:val="z-窗体底端 字符"/>
    <w:link w:val="106"/>
    <w:qFormat/>
    <w:uiPriority w:val="0"/>
    <w:rPr>
      <w:rFonts w:ascii="Arial" w:hAnsi="Arial" w:cs="Arial"/>
      <w:vanish/>
      <w:sz w:val="16"/>
      <w:szCs w:val="16"/>
    </w:rPr>
  </w:style>
  <w:style w:type="paragraph" w:customStyle="1" w:styleId="106">
    <w:name w:val="z-窗体底端1"/>
    <w:basedOn w:val="1"/>
    <w:next w:val="1"/>
    <w:link w:val="105"/>
    <w:qFormat/>
    <w:uiPriority w:val="0"/>
    <w:pPr>
      <w:widowControl/>
      <w:pBdr>
        <w:top w:val="single" w:color="auto" w:sz="6" w:space="1"/>
      </w:pBdr>
      <w:jc w:val="center"/>
    </w:pPr>
    <w:rPr>
      <w:rFonts w:ascii="Arial" w:hAnsi="Arial"/>
      <w:vanish/>
      <w:kern w:val="0"/>
      <w:sz w:val="16"/>
      <w:szCs w:val="16"/>
    </w:rPr>
  </w:style>
  <w:style w:type="character" w:customStyle="1" w:styleId="107">
    <w:name w:val="z-窗体底端 Char1"/>
    <w:semiHidden/>
    <w:qFormat/>
    <w:uiPriority w:val="99"/>
    <w:rPr>
      <w:rFonts w:ascii="Arial" w:hAnsi="Arial" w:eastAsia="宋体" w:cs="Arial"/>
      <w:vanish/>
      <w:sz w:val="16"/>
      <w:szCs w:val="16"/>
    </w:rPr>
  </w:style>
  <w:style w:type="character" w:customStyle="1" w:styleId="108">
    <w:name w:val="正文首行缩进两字符 Char"/>
    <w:qFormat/>
    <w:uiPriority w:val="0"/>
    <w:rPr>
      <w:rFonts w:ascii="Arial" w:hAnsi="Arial"/>
      <w:kern w:val="2"/>
      <w:sz w:val="24"/>
      <w:szCs w:val="24"/>
    </w:rPr>
  </w:style>
  <w:style w:type="character" w:customStyle="1" w:styleId="109">
    <w:name w:val="msonormal"/>
    <w:qFormat/>
    <w:uiPriority w:val="0"/>
  </w:style>
  <w:style w:type="character" w:customStyle="1" w:styleId="110">
    <w:name w:val="Char Char2"/>
    <w:qFormat/>
    <w:uiPriority w:val="0"/>
    <w:rPr>
      <w:sz w:val="24"/>
    </w:rPr>
  </w:style>
  <w:style w:type="character" w:customStyle="1" w:styleId="111">
    <w:name w:val="Char Char3"/>
    <w:qFormat/>
    <w:uiPriority w:val="0"/>
    <w:rPr>
      <w:rFonts w:ascii="宋体" w:hAnsi="宋体" w:cs="宋体"/>
      <w:sz w:val="24"/>
      <w:szCs w:val="24"/>
    </w:rPr>
  </w:style>
  <w:style w:type="character" w:customStyle="1" w:styleId="112">
    <w:name w:val="Char Char5"/>
    <w:qFormat/>
    <w:uiPriority w:val="0"/>
    <w:rPr>
      <w:rFonts w:ascii="Arial" w:hAnsi="Arial" w:eastAsia="黑体" w:cs="Arial"/>
    </w:rPr>
  </w:style>
  <w:style w:type="character" w:customStyle="1" w:styleId="113">
    <w:name w:val="副标题 字符"/>
    <w:link w:val="34"/>
    <w:qFormat/>
    <w:uiPriority w:val="11"/>
    <w:rPr>
      <w:rFonts w:ascii="Cambria" w:hAnsi="Cambria"/>
      <w:b/>
      <w:bCs/>
      <w:kern w:val="28"/>
      <w:sz w:val="32"/>
      <w:szCs w:val="32"/>
    </w:rPr>
  </w:style>
  <w:style w:type="character" w:customStyle="1" w:styleId="114">
    <w:name w:val="副标题 Char1"/>
    <w:qFormat/>
    <w:uiPriority w:val="11"/>
    <w:rPr>
      <w:rFonts w:ascii="Cambria" w:hAnsi="Cambria" w:eastAsia="宋体" w:cs="Times New Roman"/>
      <w:b/>
      <w:bCs/>
      <w:kern w:val="28"/>
      <w:sz w:val="32"/>
      <w:szCs w:val="32"/>
    </w:rPr>
  </w:style>
  <w:style w:type="character" w:customStyle="1" w:styleId="115">
    <w:name w:val="_标题2 Char"/>
    <w:qFormat/>
    <w:uiPriority w:val="0"/>
    <w:rPr>
      <w:rFonts w:ascii="Tahoma" w:hAnsi="Tahoma" w:eastAsia="黑体"/>
      <w:bCs/>
      <w:kern w:val="2"/>
      <w:sz w:val="32"/>
      <w:szCs w:val="32"/>
      <w:lang w:val="en-US" w:eastAsia="zh-CN" w:bidi="ar-SA"/>
    </w:rPr>
  </w:style>
  <w:style w:type="character" w:customStyle="1" w:styleId="116">
    <w:name w:val="f14b1"/>
    <w:qFormat/>
    <w:uiPriority w:val="0"/>
    <w:rPr>
      <w:rFonts w:hint="default" w:ascii="??" w:hAnsi="??"/>
      <w:b/>
      <w:bCs/>
      <w:color w:val="333333"/>
      <w:sz w:val="21"/>
      <w:szCs w:val="21"/>
    </w:rPr>
  </w:style>
  <w:style w:type="character" w:customStyle="1" w:styleId="117">
    <w:name w:val="首行缩进2字符 Char"/>
    <w:qFormat/>
    <w:uiPriority w:val="0"/>
    <w:rPr>
      <w:rFonts w:eastAsia="宋体"/>
      <w:snapToGrid w:val="0"/>
      <w:sz w:val="21"/>
      <w:szCs w:val="21"/>
      <w:lang w:val="en-US" w:eastAsia="zh-CN" w:bidi="ar-SA"/>
    </w:rPr>
  </w:style>
  <w:style w:type="character" w:customStyle="1" w:styleId="118">
    <w:name w:val="Char Char6"/>
    <w:qFormat/>
    <w:uiPriority w:val="0"/>
    <w:rPr>
      <w:rFonts w:ascii="Arial" w:hAnsi="Arial" w:cs="Arial"/>
      <w:vanish/>
      <w:sz w:val="16"/>
      <w:szCs w:val="16"/>
    </w:rPr>
  </w:style>
  <w:style w:type="character" w:customStyle="1" w:styleId="119">
    <w:name w:val="文档正文 Char"/>
    <w:qFormat/>
    <w:uiPriority w:val="0"/>
    <w:rPr>
      <w:rFonts w:eastAsia="宋体"/>
      <w:sz w:val="24"/>
      <w:lang w:val="en-US" w:eastAsia="zh-CN" w:bidi="ar-SA"/>
    </w:rPr>
  </w:style>
  <w:style w:type="character" w:customStyle="1" w:styleId="120">
    <w:name w:val="Char Char11"/>
    <w:qFormat/>
    <w:uiPriority w:val="0"/>
    <w:rPr>
      <w:rFonts w:ascii="Arial" w:hAnsi="Arial" w:eastAsia="黑体"/>
      <w:sz w:val="24"/>
      <w:szCs w:val="24"/>
      <w:lang w:val="en-US" w:eastAsia="zh-CN" w:bidi="ar-SA"/>
    </w:rPr>
  </w:style>
  <w:style w:type="character" w:customStyle="1" w:styleId="121">
    <w:name w:val="批注文字 字符"/>
    <w:link w:val="18"/>
    <w:qFormat/>
    <w:uiPriority w:val="0"/>
    <w:rPr>
      <w:sz w:val="24"/>
      <w:szCs w:val="24"/>
    </w:rPr>
  </w:style>
  <w:style w:type="character" w:customStyle="1" w:styleId="122">
    <w:name w:val="批注文字 Char1"/>
    <w:semiHidden/>
    <w:qFormat/>
    <w:uiPriority w:val="99"/>
    <w:rPr>
      <w:rFonts w:ascii="Times New Roman" w:hAnsi="Times New Roman" w:eastAsia="宋体" w:cs="Times New Roman"/>
      <w:szCs w:val="24"/>
    </w:rPr>
  </w:style>
  <w:style w:type="character" w:customStyle="1" w:styleId="123">
    <w:name w:val="正文文本缩进 3 字符"/>
    <w:link w:val="37"/>
    <w:qFormat/>
    <w:uiPriority w:val="0"/>
    <w:rPr>
      <w:rFonts w:ascii="仿宋_GB2312" w:hAnsi="宋体" w:eastAsia="仿宋_GB2312"/>
      <w:color w:val="000000"/>
      <w:sz w:val="24"/>
      <w:szCs w:val="24"/>
    </w:rPr>
  </w:style>
  <w:style w:type="character" w:customStyle="1" w:styleId="124">
    <w:name w:val="正文文本缩进 3 Char1"/>
    <w:semiHidden/>
    <w:qFormat/>
    <w:uiPriority w:val="99"/>
    <w:rPr>
      <w:rFonts w:ascii="Times New Roman" w:hAnsi="Times New Roman" w:eastAsia="宋体" w:cs="Times New Roman"/>
      <w:sz w:val="16"/>
      <w:szCs w:val="16"/>
    </w:rPr>
  </w:style>
  <w:style w:type="character" w:customStyle="1" w:styleId="125">
    <w:name w:val="_表格文字 Char"/>
    <w:qFormat/>
    <w:uiPriority w:val="0"/>
    <w:rPr>
      <w:rFonts w:eastAsia="宋体"/>
      <w:kern w:val="2"/>
      <w:sz w:val="21"/>
      <w:szCs w:val="24"/>
      <w:lang w:val="en-US" w:eastAsia="zh-CN" w:bidi="ar-SA"/>
    </w:rPr>
  </w:style>
  <w:style w:type="character" w:customStyle="1" w:styleId="126">
    <w:name w:val="正文文本缩进 2 字符"/>
    <w:link w:val="29"/>
    <w:qFormat/>
    <w:uiPriority w:val="0"/>
    <w:rPr>
      <w:rFonts w:ascii="仿宋_GB2312" w:hAnsi="宋体" w:cs="Arial"/>
      <w:b/>
      <w:bCs/>
      <w:color w:val="000000"/>
      <w:sz w:val="24"/>
      <w:szCs w:val="24"/>
    </w:rPr>
  </w:style>
  <w:style w:type="character" w:customStyle="1" w:styleId="127">
    <w:name w:val="正文文本缩进 2 Char1"/>
    <w:semiHidden/>
    <w:qFormat/>
    <w:uiPriority w:val="99"/>
    <w:rPr>
      <w:rFonts w:ascii="Times New Roman" w:hAnsi="Times New Roman" w:eastAsia="宋体" w:cs="Times New Roman"/>
      <w:szCs w:val="24"/>
    </w:rPr>
  </w:style>
  <w:style w:type="character" w:customStyle="1" w:styleId="128">
    <w:name w:val="正文文本 2 字符"/>
    <w:link w:val="39"/>
    <w:qFormat/>
    <w:uiPriority w:val="0"/>
    <w:rPr>
      <w:rFonts w:ascii="宋体" w:hAnsi="宋体"/>
      <w:color w:val="000000"/>
      <w:sz w:val="24"/>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图 Char Char"/>
    <w:qFormat/>
    <w:uiPriority w:val="0"/>
    <w:rPr>
      <w:rFonts w:eastAsia="黑体"/>
      <w:b/>
      <w:sz w:val="24"/>
    </w:rPr>
  </w:style>
  <w:style w:type="character" w:customStyle="1" w:styleId="131">
    <w:name w:val="普通文字1 Char"/>
    <w:qFormat/>
    <w:uiPriority w:val="0"/>
    <w:rPr>
      <w:rFonts w:ascii="宋体" w:hAnsi="Courier New" w:eastAsia="宋体" w:cs="Courier New"/>
      <w:kern w:val="2"/>
      <w:sz w:val="21"/>
      <w:szCs w:val="21"/>
      <w:lang w:val="en-US" w:eastAsia="zh-CN" w:bidi="ar-SA"/>
    </w:rPr>
  </w:style>
  <w:style w:type="character" w:customStyle="1" w:styleId="132">
    <w:name w:val="日期 字符"/>
    <w:link w:val="28"/>
    <w:qFormat/>
    <w:uiPriority w:val="0"/>
    <w:rPr>
      <w:rFonts w:eastAsia="楷体_GB2312"/>
      <w:sz w:val="32"/>
    </w:rPr>
  </w:style>
  <w:style w:type="character" w:customStyle="1" w:styleId="133">
    <w:name w:val="日期 Char1"/>
    <w:semiHidden/>
    <w:qFormat/>
    <w:uiPriority w:val="99"/>
    <w:rPr>
      <w:rFonts w:ascii="Times New Roman" w:hAnsi="Times New Roman" w:eastAsia="宋体" w:cs="Times New Roman"/>
      <w:szCs w:val="24"/>
    </w:rPr>
  </w:style>
  <w:style w:type="character" w:customStyle="1" w:styleId="134">
    <w:name w:val="mark13"/>
    <w:basedOn w:val="47"/>
    <w:qFormat/>
    <w:uiPriority w:val="0"/>
  </w:style>
  <w:style w:type="character" w:customStyle="1" w:styleId="135">
    <w:name w:val="st1"/>
    <w:qFormat/>
    <w:uiPriority w:val="0"/>
    <w:rPr>
      <w:spacing w:val="240"/>
    </w:rPr>
  </w:style>
  <w:style w:type="character" w:customStyle="1" w:styleId="136">
    <w:name w:val="HTML 预设格式 字符"/>
    <w:link w:val="40"/>
    <w:semiHidden/>
    <w:qFormat/>
    <w:uiPriority w:val="0"/>
    <w:rPr>
      <w:rFonts w:ascii="宋体" w:hAnsi="宋体" w:cs="宋体"/>
      <w:sz w:val="24"/>
      <w:szCs w:val="24"/>
    </w:rPr>
  </w:style>
  <w:style w:type="character" w:customStyle="1" w:styleId="137">
    <w:name w:val="HTML 预设格式 Char2"/>
    <w:semiHidden/>
    <w:qFormat/>
    <w:uiPriority w:val="99"/>
    <w:rPr>
      <w:rFonts w:ascii="Courier New" w:hAnsi="Courier New" w:eastAsia="宋体" w:cs="Courier New"/>
      <w:sz w:val="20"/>
      <w:szCs w:val="20"/>
    </w:rPr>
  </w:style>
  <w:style w:type="character" w:customStyle="1" w:styleId="138">
    <w:name w:val="Char Char1"/>
    <w:qFormat/>
    <w:uiPriority w:val="0"/>
    <w:rPr>
      <w:sz w:val="24"/>
    </w:rPr>
  </w:style>
  <w:style w:type="character" w:customStyle="1" w:styleId="139">
    <w:name w:val="图 Char"/>
    <w:qFormat/>
    <w:uiPriority w:val="0"/>
    <w:rPr>
      <w:rFonts w:eastAsia="黑体"/>
      <w:b/>
      <w:sz w:val="24"/>
      <w:lang w:val="en-US" w:eastAsia="zh-CN" w:bidi="ar-SA"/>
    </w:rPr>
  </w:style>
  <w:style w:type="character" w:customStyle="1" w:styleId="140">
    <w:name w:val="font61"/>
    <w:qFormat/>
    <w:uiPriority w:val="0"/>
    <w:rPr>
      <w:rFonts w:hint="eastAsia" w:ascii="宋体" w:hAnsi="宋体" w:eastAsia="宋体" w:cs="宋体"/>
      <w:color w:val="000000"/>
      <w:sz w:val="24"/>
      <w:szCs w:val="24"/>
      <w:u w:val="none"/>
    </w:rPr>
  </w:style>
  <w:style w:type="character" w:customStyle="1" w:styleId="141">
    <w:name w:val="a4red1"/>
    <w:qFormat/>
    <w:uiPriority w:val="0"/>
    <w:rPr>
      <w:rFonts w:hint="default" w:ascii="Tahoma" w:hAnsi="Tahoma" w:cs="Tahoma"/>
      <w:color w:val="FF3300"/>
      <w:sz w:val="18"/>
      <w:szCs w:val="18"/>
      <w:u w:val="single"/>
    </w:rPr>
  </w:style>
  <w:style w:type="character" w:customStyle="1" w:styleId="142">
    <w:name w:val="Char Char12"/>
    <w:qFormat/>
    <w:uiPriority w:val="0"/>
    <w:rPr>
      <w:rFonts w:eastAsia="宋体"/>
      <w:b/>
      <w:bCs/>
      <w:sz w:val="24"/>
      <w:szCs w:val="24"/>
      <w:lang w:val="en-US" w:eastAsia="zh-CN" w:bidi="ar-SA"/>
    </w:rPr>
  </w:style>
  <w:style w:type="character" w:customStyle="1" w:styleId="143">
    <w:name w:val="orange"/>
    <w:basedOn w:val="47"/>
    <w:qFormat/>
    <w:uiPriority w:val="0"/>
  </w:style>
  <w:style w:type="character" w:customStyle="1" w:styleId="144">
    <w:name w:val="font01"/>
    <w:qFormat/>
    <w:uiPriority w:val="0"/>
    <w:rPr>
      <w:rFonts w:hint="eastAsia" w:ascii="宋体" w:hAnsi="宋体" w:eastAsia="宋体" w:cs="宋体"/>
      <w:color w:val="FF0000"/>
      <w:sz w:val="24"/>
      <w:szCs w:val="24"/>
      <w:u w:val="none"/>
    </w:rPr>
  </w:style>
  <w:style w:type="character" w:customStyle="1" w:styleId="145">
    <w:name w:val="jianju1"/>
    <w:qFormat/>
    <w:uiPriority w:val="0"/>
    <w:rPr>
      <w:color w:val="000000"/>
      <w:sz w:val="21"/>
      <w:szCs w:val="21"/>
      <w:u w:val="none"/>
    </w:rPr>
  </w:style>
  <w:style w:type="character" w:customStyle="1" w:styleId="146">
    <w:name w:val="fontb5"/>
    <w:basedOn w:val="47"/>
    <w:qFormat/>
    <w:uiPriority w:val="0"/>
  </w:style>
  <w:style w:type="character" w:customStyle="1" w:styleId="147">
    <w:name w:val="_列表 Char"/>
    <w:qFormat/>
    <w:uiPriority w:val="0"/>
    <w:rPr>
      <w:kern w:val="2"/>
      <w:sz w:val="24"/>
      <w:szCs w:val="24"/>
    </w:rPr>
  </w:style>
  <w:style w:type="character" w:customStyle="1" w:styleId="148">
    <w:name w:val="纯文本 字符"/>
    <w:link w:val="27"/>
    <w:qFormat/>
    <w:uiPriority w:val="0"/>
    <w:rPr>
      <w:rFonts w:ascii="宋体" w:hAnsi="Courier New"/>
      <w:sz w:val="24"/>
      <w:szCs w:val="24"/>
    </w:rPr>
  </w:style>
  <w:style w:type="character" w:customStyle="1" w:styleId="149">
    <w:name w:val="纯文本 Char1"/>
    <w:semiHidden/>
    <w:qFormat/>
    <w:uiPriority w:val="99"/>
    <w:rPr>
      <w:rFonts w:ascii="宋体" w:hAnsi="Courier New" w:eastAsia="宋体" w:cs="Courier New"/>
      <w:szCs w:val="21"/>
    </w:rPr>
  </w:style>
  <w:style w:type="character" w:customStyle="1" w:styleId="150">
    <w:name w:val="Char Char15"/>
    <w:qFormat/>
    <w:uiPriority w:val="0"/>
    <w:rPr>
      <w:rFonts w:ascii="Arial" w:hAnsi="Arial" w:eastAsia="黑体"/>
      <w:b/>
      <w:bCs/>
      <w:kern w:val="2"/>
      <w:sz w:val="28"/>
      <w:szCs w:val="28"/>
      <w:lang w:val="en-US" w:eastAsia="zh-CN" w:bidi="ar-SA"/>
    </w:rPr>
  </w:style>
  <w:style w:type="character" w:customStyle="1" w:styleId="151">
    <w:name w:val="正文文本 3 字符"/>
    <w:link w:val="19"/>
    <w:qFormat/>
    <w:uiPriority w:val="0"/>
    <w:rPr>
      <w:rFonts w:hAnsi="宋体" w:eastAsia="仿宋_GB2312"/>
      <w:b/>
      <w:bCs/>
      <w:sz w:val="24"/>
    </w:rPr>
  </w:style>
  <w:style w:type="character" w:customStyle="1" w:styleId="152">
    <w:name w:val="正文文本 3 Char1"/>
    <w:semiHidden/>
    <w:qFormat/>
    <w:uiPriority w:val="99"/>
    <w:rPr>
      <w:rFonts w:ascii="Times New Roman" w:hAnsi="Times New Roman" w:eastAsia="宋体" w:cs="Times New Roman"/>
      <w:sz w:val="16"/>
      <w:szCs w:val="16"/>
    </w:rPr>
  </w:style>
  <w:style w:type="character" w:customStyle="1" w:styleId="153">
    <w:name w:val="font11"/>
    <w:qFormat/>
    <w:uiPriority w:val="0"/>
    <w:rPr>
      <w:rFonts w:hint="default" w:ascii="Times New Roman" w:hAnsi="Times New Roman" w:cs="Times New Roman"/>
      <w:color w:val="000000"/>
      <w:sz w:val="24"/>
      <w:szCs w:val="24"/>
      <w:u w:val="none"/>
    </w:rPr>
  </w:style>
  <w:style w:type="character" w:customStyle="1" w:styleId="154">
    <w:name w:val="文档结构图 字符"/>
    <w:link w:val="17"/>
    <w:semiHidden/>
    <w:qFormat/>
    <w:uiPriority w:val="0"/>
    <w:rPr>
      <w:sz w:val="24"/>
      <w:szCs w:val="24"/>
      <w:shd w:val="clear" w:color="auto" w:fill="000080"/>
    </w:rPr>
  </w:style>
  <w:style w:type="character" w:customStyle="1" w:styleId="155">
    <w:name w:val="文档结构图 Char1"/>
    <w:semiHidden/>
    <w:qFormat/>
    <w:uiPriority w:val="99"/>
    <w:rPr>
      <w:rFonts w:ascii="宋体" w:hAnsi="Times New Roman" w:eastAsia="宋体" w:cs="Times New Roman"/>
      <w:sz w:val="18"/>
      <w:szCs w:val="18"/>
    </w:rPr>
  </w:style>
  <w:style w:type="character" w:customStyle="1" w:styleId="156">
    <w:name w:val="Char Char13"/>
    <w:qFormat/>
    <w:uiPriority w:val="0"/>
    <w:rPr>
      <w:rFonts w:ascii="Arial" w:hAnsi="Arial" w:eastAsia="黑体"/>
      <w:b/>
      <w:bCs/>
      <w:kern w:val="2"/>
      <w:sz w:val="24"/>
      <w:szCs w:val="24"/>
      <w:lang w:val="en-US" w:eastAsia="zh-CN" w:bidi="ar-SA"/>
    </w:rPr>
  </w:style>
  <w:style w:type="character" w:customStyle="1" w:styleId="157">
    <w:name w:val="_标题4 Char"/>
    <w:qFormat/>
    <w:uiPriority w:val="0"/>
    <w:rPr>
      <w:rFonts w:ascii="Tahoma" w:hAnsi="Tahoma" w:eastAsia="黑体"/>
      <w:bCs/>
      <w:kern w:val="2"/>
      <w:sz w:val="28"/>
      <w:szCs w:val="28"/>
      <w:lang w:val="en-US" w:eastAsia="zh-CN" w:bidi="ar-SA"/>
    </w:rPr>
  </w:style>
  <w:style w:type="character" w:customStyle="1" w:styleId="158">
    <w:name w:val="_表格标题 Char"/>
    <w:qFormat/>
    <w:uiPriority w:val="0"/>
    <w:rPr>
      <w:rFonts w:eastAsia="宋体"/>
      <w:b/>
      <w:kern w:val="2"/>
      <w:sz w:val="24"/>
      <w:szCs w:val="24"/>
      <w:lang w:val="en-US" w:eastAsia="zh-CN" w:bidi="ar-SA"/>
    </w:rPr>
  </w:style>
  <w:style w:type="character" w:customStyle="1" w:styleId="159">
    <w:name w:val="批注主题 字符"/>
    <w:link w:val="43"/>
    <w:qFormat/>
    <w:uiPriority w:val="0"/>
    <w:rPr>
      <w:b/>
      <w:bCs/>
      <w:sz w:val="24"/>
      <w:szCs w:val="24"/>
    </w:rPr>
  </w:style>
  <w:style w:type="character" w:customStyle="1" w:styleId="160">
    <w:name w:val="批注主题 Char1"/>
    <w:semiHidden/>
    <w:qFormat/>
    <w:uiPriority w:val="99"/>
    <w:rPr>
      <w:rFonts w:ascii="Times New Roman" w:hAnsi="Times New Roman" w:eastAsia="宋体" w:cs="Times New Roman"/>
      <w:b/>
      <w:bCs/>
      <w:szCs w:val="24"/>
    </w:rPr>
  </w:style>
  <w:style w:type="character" w:customStyle="1" w:styleId="161">
    <w:name w:val="普通正文 Char"/>
    <w:qFormat/>
    <w:uiPriority w:val="0"/>
    <w:rPr>
      <w:rFonts w:ascii="Arial" w:hAnsi="Arial" w:eastAsia="宋体"/>
      <w:sz w:val="24"/>
      <w:lang w:val="en-US" w:eastAsia="zh-CN" w:bidi="ar-SA"/>
    </w:rPr>
  </w:style>
  <w:style w:type="character" w:customStyle="1" w:styleId="162">
    <w:name w:val="Char Char7"/>
    <w:qFormat/>
    <w:uiPriority w:val="0"/>
    <w:rPr>
      <w:sz w:val="18"/>
    </w:rPr>
  </w:style>
  <w:style w:type="character" w:customStyle="1" w:styleId="163">
    <w:name w:val="tw4winMark"/>
    <w:qFormat/>
    <w:uiPriority w:val="0"/>
    <w:rPr>
      <w:rFonts w:ascii="Courier New" w:hAnsi="Courier New" w:cs="Courier New"/>
      <w:vanish/>
      <w:color w:val="800080"/>
      <w:vertAlign w:val="subscript"/>
    </w:rPr>
  </w:style>
  <w:style w:type="character" w:customStyle="1" w:styleId="164">
    <w:name w:val="普通(网站) 字符"/>
    <w:link w:val="41"/>
    <w:qFormat/>
    <w:locked/>
    <w:uiPriority w:val="99"/>
    <w:rPr>
      <w:sz w:val="24"/>
      <w:szCs w:val="24"/>
    </w:rPr>
  </w:style>
  <w:style w:type="character" w:customStyle="1" w:styleId="165">
    <w:name w:val="Char Char16"/>
    <w:qFormat/>
    <w:uiPriority w:val="0"/>
    <w:rPr>
      <w:rFonts w:eastAsia="宋体"/>
      <w:b/>
      <w:bCs/>
      <w:kern w:val="2"/>
      <w:sz w:val="32"/>
      <w:szCs w:val="32"/>
      <w:lang w:val="en-US" w:eastAsia="zh-CN" w:bidi="ar-SA"/>
    </w:rPr>
  </w:style>
  <w:style w:type="paragraph" w:customStyle="1" w:styleId="166">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67">
    <w:name w:val="缺省文本"/>
    <w:basedOn w:val="1"/>
    <w:qFormat/>
    <w:uiPriority w:val="0"/>
    <w:pPr>
      <w:autoSpaceDE w:val="0"/>
      <w:autoSpaceDN w:val="0"/>
      <w:adjustRightInd w:val="0"/>
      <w:ind w:firstLine="454"/>
    </w:pPr>
    <w:rPr>
      <w:sz w:val="24"/>
    </w:rPr>
  </w:style>
  <w:style w:type="paragraph" w:customStyle="1" w:styleId="168">
    <w:name w:val="默认段落字体 Para Char Char Char Char Char Char Char Char Char1 Char Char Char Char"/>
    <w:basedOn w:val="1"/>
    <w:qFormat/>
    <w:uiPriority w:val="0"/>
    <w:rPr>
      <w:rFonts w:ascii="Tahoma" w:hAnsi="Tahoma"/>
      <w:sz w:val="24"/>
      <w:szCs w:val="20"/>
    </w:rPr>
  </w:style>
  <w:style w:type="paragraph" w:customStyle="1" w:styleId="169">
    <w:name w:val="首行缩进2字符"/>
    <w:basedOn w:val="1"/>
    <w:qFormat/>
    <w:uiPriority w:val="0"/>
    <w:pPr>
      <w:autoSpaceDE w:val="0"/>
      <w:autoSpaceDN w:val="0"/>
      <w:adjustRightInd w:val="0"/>
      <w:spacing w:line="360" w:lineRule="auto"/>
      <w:ind w:firstLine="420" w:firstLineChars="200"/>
      <w:jc w:val="left"/>
    </w:pPr>
    <w:rPr>
      <w:snapToGrid w:val="0"/>
      <w:szCs w:val="21"/>
    </w:rPr>
  </w:style>
  <w:style w:type="paragraph" w:customStyle="1" w:styleId="170">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1">
    <w:name w:val="五级条标题"/>
    <w:basedOn w:val="172"/>
    <w:next w:val="1"/>
    <w:qFormat/>
    <w:uiPriority w:val="0"/>
    <w:pPr>
      <w:tabs>
        <w:tab w:val="left" w:pos="360"/>
      </w:tabs>
      <w:outlineLvl w:val="6"/>
    </w:pPr>
  </w:style>
  <w:style w:type="paragraph" w:customStyle="1" w:styleId="172">
    <w:name w:val="四级条标题"/>
    <w:basedOn w:val="173"/>
    <w:next w:val="1"/>
    <w:qFormat/>
    <w:uiPriority w:val="0"/>
    <w:pPr>
      <w:tabs>
        <w:tab w:val="left" w:pos="360"/>
      </w:tabs>
      <w:outlineLvl w:val="5"/>
    </w:pPr>
  </w:style>
  <w:style w:type="paragraph" w:customStyle="1" w:styleId="173">
    <w:name w:val="三级条标题"/>
    <w:basedOn w:val="174"/>
    <w:next w:val="1"/>
    <w:qFormat/>
    <w:uiPriority w:val="0"/>
    <w:pPr>
      <w:tabs>
        <w:tab w:val="left" w:pos="360"/>
      </w:tabs>
      <w:outlineLvl w:val="4"/>
    </w:pPr>
  </w:style>
  <w:style w:type="paragraph" w:customStyle="1" w:styleId="174">
    <w:name w:val="二级条标题"/>
    <w:basedOn w:val="175"/>
    <w:next w:val="1"/>
    <w:qFormat/>
    <w:uiPriority w:val="0"/>
    <w:pPr>
      <w:tabs>
        <w:tab w:val="left" w:pos="360"/>
      </w:tabs>
      <w:outlineLvl w:val="3"/>
    </w:pPr>
  </w:style>
  <w:style w:type="paragraph" w:customStyle="1" w:styleId="175">
    <w:name w:val="一级条标题"/>
    <w:basedOn w:val="176"/>
    <w:next w:val="1"/>
    <w:qFormat/>
    <w:uiPriority w:val="0"/>
    <w:pPr>
      <w:tabs>
        <w:tab w:val="left" w:pos="360"/>
      </w:tabs>
      <w:spacing w:beforeLines="0" w:afterLines="0"/>
      <w:outlineLvl w:val="2"/>
    </w:pPr>
  </w:style>
  <w:style w:type="paragraph" w:customStyle="1" w:styleId="176">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8">
    <w:name w:val="Char Char Char"/>
    <w:basedOn w:val="1"/>
    <w:qFormat/>
    <w:uiPriority w:val="0"/>
  </w:style>
  <w:style w:type="paragraph" w:customStyle="1" w:styleId="179">
    <w:name w:val="Char Char Char Char Char Char Char Char Char Char Char Char1 Char"/>
    <w:basedOn w:val="17"/>
    <w:qFormat/>
    <w:uiPriority w:val="0"/>
    <w:pPr>
      <w:spacing w:afterLines="0" w:line="240" w:lineRule="auto"/>
      <w:ind w:firstLine="0" w:firstLineChars="0"/>
    </w:pPr>
    <w:rPr>
      <w:rFonts w:ascii="Tahoma" w:hAnsi="Tahoma"/>
    </w:rPr>
  </w:style>
  <w:style w:type="paragraph" w:customStyle="1" w:styleId="180">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81">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182">
    <w:name w:val="_标题6"/>
    <w:basedOn w:val="10"/>
    <w:next w:val="183"/>
    <w:qFormat/>
    <w:uiPriority w:val="0"/>
    <w:pPr>
      <w:ind w:left="4820" w:hanging="4820" w:firstLineChars="0"/>
    </w:pPr>
    <w:rPr>
      <w:rFonts w:ascii="Tahoma" w:hAnsi="Tahoma"/>
      <w:b w:val="0"/>
    </w:rPr>
  </w:style>
  <w:style w:type="paragraph" w:customStyle="1" w:styleId="183">
    <w:name w:val="_正文段落"/>
    <w:basedOn w:val="1"/>
    <w:qFormat/>
    <w:uiPriority w:val="0"/>
    <w:pPr>
      <w:spacing w:beforeLines="15" w:afterLines="15" w:line="360" w:lineRule="auto"/>
      <w:ind w:firstLine="200" w:firstLineChars="200"/>
    </w:pPr>
  </w:style>
  <w:style w:type="paragraph" w:customStyle="1" w:styleId="184">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8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6">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87">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188">
    <w:name w:val="CM37"/>
    <w:basedOn w:val="55"/>
    <w:next w:val="55"/>
    <w:qFormat/>
    <w:uiPriority w:val="0"/>
    <w:pPr>
      <w:spacing w:after="533"/>
    </w:pPr>
    <w:rPr>
      <w:rFonts w:ascii="宋体" w:hAnsi="Times New Roman"/>
      <w:color w:val="auto"/>
    </w:rPr>
  </w:style>
  <w:style w:type="paragraph" w:customStyle="1" w:styleId="189">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90">
    <w:name w:val="_标题3"/>
    <w:basedOn w:val="6"/>
    <w:next w:val="183"/>
    <w:qFormat/>
    <w:uiPriority w:val="0"/>
    <w:pPr>
      <w:tabs>
        <w:tab w:val="left" w:pos="720"/>
      </w:tabs>
      <w:spacing w:beforeLines="50" w:afterLines="50"/>
      <w:ind w:left="720"/>
    </w:pPr>
    <w:rPr>
      <w:rFonts w:ascii="Arial" w:hAnsi="Arial" w:eastAsia="黑体"/>
      <w:sz w:val="30"/>
    </w:rPr>
  </w:style>
  <w:style w:type="paragraph" w:customStyle="1" w:styleId="191">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2">
    <w:name w:val="Main Title"/>
    <w:basedOn w:val="1"/>
    <w:qFormat/>
    <w:uiPriority w:val="0"/>
    <w:pPr>
      <w:spacing w:before="480" w:afterLines="50"/>
      <w:jc w:val="center"/>
    </w:pPr>
    <w:rPr>
      <w:rFonts w:ascii="Arial" w:hAnsi="Arial"/>
      <w:b/>
      <w:kern w:val="28"/>
      <w:sz w:val="32"/>
      <w:szCs w:val="20"/>
      <w:lang w:eastAsia="en-US"/>
    </w:rPr>
  </w:style>
  <w:style w:type="paragraph" w:customStyle="1" w:styleId="193">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4">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5">
    <w:name w:val="Char Char Char Char Char Char"/>
    <w:basedOn w:val="1"/>
    <w:qFormat/>
    <w:uiPriority w:val="0"/>
    <w:rPr>
      <w:rFonts w:ascii="Tahoma" w:hAnsi="Tahoma"/>
      <w:sz w:val="24"/>
      <w:szCs w:val="20"/>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8">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99">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0">
    <w:name w:val="图名"/>
    <w:basedOn w:val="1"/>
    <w:qFormat/>
    <w:uiPriority w:val="0"/>
    <w:pPr>
      <w:spacing w:line="360" w:lineRule="auto"/>
      <w:jc w:val="center"/>
    </w:pPr>
    <w:rPr>
      <w:rFonts w:ascii="黑体" w:eastAsia="黑体"/>
      <w:b/>
      <w:sz w:val="32"/>
      <w:szCs w:val="32"/>
    </w:rPr>
  </w:style>
  <w:style w:type="paragraph" w:customStyle="1" w:styleId="201">
    <w:name w:val="_标题5"/>
    <w:basedOn w:val="9"/>
    <w:next w:val="183"/>
    <w:qFormat/>
    <w:uiPriority w:val="0"/>
    <w:pPr>
      <w:ind w:left="4253" w:hanging="4253"/>
    </w:pPr>
    <w:rPr>
      <w:rFonts w:ascii="Arial" w:hAnsi="Arial" w:eastAsia="黑体"/>
      <w:b w:val="0"/>
      <w:sz w:val="24"/>
    </w:rPr>
  </w:style>
  <w:style w:type="paragraph" w:customStyle="1" w:styleId="202">
    <w:name w:val="标题 21"/>
    <w:basedOn w:val="1"/>
    <w:qFormat/>
    <w:uiPriority w:val="0"/>
    <w:pPr>
      <w:spacing w:afterLines="100" w:line="360" w:lineRule="auto"/>
    </w:pPr>
    <w:rPr>
      <w:sz w:val="24"/>
    </w:rPr>
  </w:style>
  <w:style w:type="paragraph" w:customStyle="1" w:styleId="203">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204">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0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7">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0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10">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1">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2">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3">
    <w:name w:val="标题 12"/>
    <w:basedOn w:val="1"/>
    <w:qFormat/>
    <w:uiPriority w:val="0"/>
    <w:pPr>
      <w:spacing w:afterLines="100" w:line="360" w:lineRule="auto"/>
    </w:pPr>
    <w:rPr>
      <w:sz w:val="24"/>
    </w:rPr>
  </w:style>
  <w:style w:type="paragraph" w:customStyle="1" w:styleId="214">
    <w:name w:val="font9"/>
    <w:basedOn w:val="1"/>
    <w:qFormat/>
    <w:uiPriority w:val="0"/>
    <w:pPr>
      <w:widowControl/>
      <w:spacing w:before="100" w:beforeAutospacing="1" w:afterAutospacing="1"/>
      <w:jc w:val="left"/>
    </w:pPr>
    <w:rPr>
      <w:kern w:val="0"/>
      <w:sz w:val="20"/>
      <w:szCs w:val="20"/>
    </w:rPr>
  </w:style>
  <w:style w:type="paragraph" w:customStyle="1" w:styleId="21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6">
    <w:name w:val="p15"/>
    <w:basedOn w:val="1"/>
    <w:qFormat/>
    <w:uiPriority w:val="0"/>
    <w:pPr>
      <w:widowControl/>
    </w:pPr>
    <w:rPr>
      <w:kern w:val="0"/>
      <w:sz w:val="24"/>
    </w:rPr>
  </w:style>
  <w:style w:type="paragraph" w:customStyle="1" w:styleId="217">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9">
    <w:name w:val="Char1"/>
    <w:basedOn w:val="1"/>
    <w:qFormat/>
    <w:uiPriority w:val="0"/>
    <w:pPr>
      <w:widowControl/>
      <w:spacing w:line="240" w:lineRule="exact"/>
      <w:jc w:val="left"/>
    </w:pPr>
    <w:rPr>
      <w:rFonts w:ascii="Verdana" w:hAnsi="Verdana"/>
      <w:kern w:val="0"/>
      <w:szCs w:val="20"/>
      <w:lang w:eastAsia="en-US"/>
    </w:rPr>
  </w:style>
  <w:style w:type="paragraph" w:customStyle="1" w:styleId="220">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1">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2">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223">
    <w:name w:val="默认段落字体 Para Char"/>
    <w:basedOn w:val="1"/>
    <w:qFormat/>
    <w:uiPriority w:val="0"/>
    <w:rPr>
      <w:rFonts w:ascii="Tahoma" w:hAnsi="Tahoma"/>
      <w:sz w:val="24"/>
      <w:szCs w:val="20"/>
    </w:rPr>
  </w:style>
  <w:style w:type="paragraph" w:customStyle="1" w:styleId="224">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22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6">
    <w:name w:val="样式 标题 5口H5PIM 5h5Level 3 - iheading 51.1.1.1.1标题 5标ghfhg..."/>
    <w:basedOn w:val="9"/>
    <w:qFormat/>
    <w:uiPriority w:val="0"/>
    <w:pPr>
      <w:adjustRightInd w:val="0"/>
      <w:spacing w:line="376" w:lineRule="atLeast"/>
      <w:ind w:left="992" w:hanging="420"/>
      <w:textAlignment w:val="baseline"/>
    </w:pPr>
    <w:rPr>
      <w:color w:val="000000"/>
      <w:sz w:val="24"/>
      <w:szCs w:val="20"/>
    </w:rPr>
  </w:style>
  <w:style w:type="paragraph" w:customStyle="1" w:styleId="227">
    <w:name w:val="列出段落2"/>
    <w:basedOn w:val="1"/>
    <w:qFormat/>
    <w:uiPriority w:val="0"/>
    <w:pPr>
      <w:ind w:firstLine="420" w:firstLineChars="200"/>
    </w:pPr>
    <w:rPr>
      <w:rFonts w:ascii="Calibri" w:hAnsi="Calibri"/>
      <w:szCs w:val="22"/>
    </w:rPr>
  </w:style>
  <w:style w:type="paragraph" w:customStyle="1" w:styleId="228">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2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0">
    <w:name w:val="标题 31"/>
    <w:basedOn w:val="1"/>
    <w:qFormat/>
    <w:uiPriority w:val="0"/>
    <w:pPr>
      <w:spacing w:afterLines="100" w:line="360" w:lineRule="auto"/>
    </w:pPr>
    <w:rPr>
      <w:sz w:val="24"/>
    </w:rPr>
  </w:style>
  <w:style w:type="paragraph" w:customStyle="1" w:styleId="231">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232">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233">
    <w:name w:val="项目"/>
    <w:basedOn w:val="183"/>
    <w:qFormat/>
    <w:uiPriority w:val="0"/>
    <w:pPr>
      <w:spacing w:beforeLines="0" w:afterLines="0"/>
      <w:ind w:firstLine="0" w:firstLineChars="0"/>
    </w:pPr>
    <w:rPr>
      <w:rFonts w:ascii="宋体" w:hAnsi="宋体"/>
      <w:sz w:val="24"/>
    </w:rPr>
  </w:style>
  <w:style w:type="paragraph" w:customStyle="1" w:styleId="234">
    <w:name w:val="_表格文字"/>
    <w:basedOn w:val="1"/>
    <w:qFormat/>
    <w:uiPriority w:val="0"/>
    <w:pPr>
      <w:spacing w:beforeLines="10" w:afterLines="10"/>
    </w:pPr>
  </w:style>
  <w:style w:type="paragraph" w:customStyle="1" w:styleId="235">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6">
    <w:name w:val="Char"/>
    <w:basedOn w:val="1"/>
    <w:qFormat/>
    <w:uiPriority w:val="0"/>
    <w:rPr>
      <w:sz w:val="24"/>
    </w:rPr>
  </w:style>
  <w:style w:type="paragraph" w:customStyle="1" w:styleId="237">
    <w:name w:val="样式 标题 5 + 右侧:  -0.18 字符"/>
    <w:basedOn w:val="1"/>
    <w:qFormat/>
    <w:uiPriority w:val="0"/>
    <w:pPr>
      <w:tabs>
        <w:tab w:val="left" w:pos="1008"/>
      </w:tabs>
      <w:ind w:left="1008" w:hanging="1008"/>
    </w:pPr>
  </w:style>
  <w:style w:type="paragraph" w:customStyle="1" w:styleId="238">
    <w:name w:val="Char Char1 Char"/>
    <w:basedOn w:val="1"/>
    <w:qFormat/>
    <w:uiPriority w:val="0"/>
    <w:pPr>
      <w:spacing w:line="360" w:lineRule="auto"/>
    </w:pPr>
    <w:rPr>
      <w:rFonts w:ascii="Tahoma" w:hAnsi="Tahoma"/>
      <w:sz w:val="24"/>
      <w:szCs w:val="20"/>
    </w:rPr>
  </w:style>
  <w:style w:type="paragraph" w:customStyle="1" w:styleId="239">
    <w:name w:val="_正文段落加粗"/>
    <w:basedOn w:val="183"/>
    <w:qFormat/>
    <w:uiPriority w:val="0"/>
    <w:pPr>
      <w:spacing w:beforeLines="0" w:afterLines="0"/>
      <w:ind w:firstLine="480"/>
    </w:pPr>
    <w:rPr>
      <w:b/>
    </w:rPr>
  </w:style>
  <w:style w:type="paragraph" w:customStyle="1" w:styleId="240">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1">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242">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243">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6">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9">
    <w:name w:val="pt105"/>
    <w:basedOn w:val="1"/>
    <w:qFormat/>
    <w:uiPriority w:val="0"/>
    <w:pPr>
      <w:widowControl/>
      <w:spacing w:before="100" w:beforeAutospacing="1" w:afterLines="100"/>
      <w:jc w:val="left"/>
    </w:pPr>
    <w:rPr>
      <w:rFonts w:ascii="宋体" w:hAnsi="宋体" w:cs="宋体"/>
      <w:kern w:val="0"/>
      <w:sz w:val="24"/>
    </w:rPr>
  </w:style>
  <w:style w:type="paragraph" w:customStyle="1" w:styleId="25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1">
    <w:name w:val="Char2"/>
    <w:basedOn w:val="1"/>
    <w:qFormat/>
    <w:uiPriority w:val="0"/>
    <w:rPr>
      <w:rFonts w:ascii="Tahoma" w:hAnsi="Tahoma"/>
      <w:sz w:val="24"/>
      <w:szCs w:val="20"/>
    </w:rPr>
  </w:style>
  <w:style w:type="paragraph" w:customStyle="1" w:styleId="252">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3">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4">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5">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256">
    <w:name w:val="_标题4"/>
    <w:basedOn w:val="8"/>
    <w:next w:val="183"/>
    <w:qFormat/>
    <w:uiPriority w:val="0"/>
    <w:pPr>
      <w:tabs>
        <w:tab w:val="left" w:pos="2160"/>
      </w:tabs>
      <w:spacing w:after="0" w:line="372" w:lineRule="auto"/>
      <w:ind w:left="3402" w:hanging="3402"/>
    </w:pPr>
    <w:rPr>
      <w:rFonts w:ascii="Tahoma" w:hAnsi="Tahoma" w:eastAsia="黑体"/>
    </w:rPr>
  </w:style>
  <w:style w:type="paragraph" w:customStyle="1" w:styleId="25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58">
    <w:name w:val="表"/>
    <w:basedOn w:val="1"/>
    <w:next w:val="12"/>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59">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60">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2">
    <w:name w:val="公文行文"/>
    <w:basedOn w:val="1"/>
    <w:qFormat/>
    <w:uiPriority w:val="0"/>
    <w:pPr>
      <w:spacing w:line="360" w:lineRule="auto"/>
      <w:ind w:firstLine="200" w:firstLineChars="200"/>
    </w:pPr>
    <w:rPr>
      <w:rFonts w:eastAsia="仿宋_GB2312"/>
      <w:sz w:val="28"/>
    </w:rPr>
  </w:style>
  <w:style w:type="paragraph" w:customStyle="1" w:styleId="263">
    <w:name w:val="正文首行缩进两字符"/>
    <w:basedOn w:val="1"/>
    <w:qFormat/>
    <w:uiPriority w:val="0"/>
    <w:pPr>
      <w:spacing w:line="300" w:lineRule="auto"/>
      <w:ind w:firstLine="200" w:firstLineChars="200"/>
    </w:pPr>
    <w:rPr>
      <w:rFonts w:ascii="Arial" w:hAnsi="Arial"/>
      <w:sz w:val="24"/>
    </w:rPr>
  </w:style>
  <w:style w:type="paragraph" w:customStyle="1" w:styleId="26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5">
    <w:name w:val="_题注"/>
    <w:basedOn w:val="16"/>
    <w:qFormat/>
    <w:uiPriority w:val="0"/>
    <w:pPr>
      <w:spacing w:before="0" w:afterLines="100"/>
      <w:jc w:val="center"/>
    </w:pPr>
    <w:rPr>
      <w:sz w:val="21"/>
      <w:szCs w:val="24"/>
    </w:rPr>
  </w:style>
  <w:style w:type="paragraph" w:customStyle="1" w:styleId="266">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7">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268">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69">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270">
    <w:name w:val="_列表"/>
    <w:basedOn w:val="183"/>
    <w:qFormat/>
    <w:uiPriority w:val="0"/>
    <w:pPr>
      <w:spacing w:beforeLines="0" w:afterLines="0"/>
    </w:pPr>
    <w:rPr>
      <w:sz w:val="24"/>
    </w:rPr>
  </w:style>
  <w:style w:type="paragraph" w:customStyle="1" w:styleId="271">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2">
    <w:name w:val="标题 11"/>
    <w:basedOn w:val="1"/>
    <w:qFormat/>
    <w:uiPriority w:val="0"/>
    <w:pPr>
      <w:spacing w:afterLines="100" w:line="360" w:lineRule="auto"/>
    </w:pPr>
    <w:rPr>
      <w:sz w:val="24"/>
    </w:rPr>
  </w:style>
  <w:style w:type="paragraph" w:customStyle="1" w:styleId="273">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274">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5">
    <w:name w:val="_标题1"/>
    <w:basedOn w:val="3"/>
    <w:next w:val="183"/>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7">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78">
    <w:name w:val="TOC 标题1"/>
    <w:basedOn w:val="3"/>
    <w:next w:val="1"/>
    <w:qFormat/>
    <w:uiPriority w:val="39"/>
    <w:pPr>
      <w:outlineLvl w:val="9"/>
    </w:pPr>
  </w:style>
  <w:style w:type="paragraph" w:customStyle="1" w:styleId="279">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80">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8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2">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4">
    <w:name w:val="_标题2"/>
    <w:basedOn w:val="4"/>
    <w:next w:val="183"/>
    <w:qFormat/>
    <w:uiPriority w:val="0"/>
    <w:pPr>
      <w:tabs>
        <w:tab w:val="left" w:pos="860"/>
      </w:tabs>
      <w:spacing w:beforeLines="50" w:afterLines="50" w:line="413" w:lineRule="auto"/>
      <w:ind w:left="1418" w:hanging="1418"/>
    </w:pPr>
    <w:rPr>
      <w:rFonts w:ascii="Tahoma" w:hAnsi="Tahoma"/>
    </w:rPr>
  </w:style>
  <w:style w:type="paragraph" w:customStyle="1" w:styleId="285">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6">
    <w:name w:val="_图片"/>
    <w:basedOn w:val="1"/>
    <w:next w:val="183"/>
    <w:qFormat/>
    <w:uiPriority w:val="0"/>
    <w:pPr>
      <w:spacing w:before="46" w:line="360" w:lineRule="auto"/>
      <w:jc w:val="center"/>
    </w:pPr>
    <w:rPr>
      <w:sz w:val="18"/>
    </w:rPr>
  </w:style>
  <w:style w:type="paragraph" w:customStyle="1" w:styleId="287">
    <w:name w:val="投标文件 正文首行缩进"/>
    <w:basedOn w:val="44"/>
    <w:qFormat/>
    <w:uiPriority w:val="0"/>
    <w:pPr>
      <w:spacing w:after="220"/>
      <w:ind w:left="0" w:leftChars="0" w:firstLine="200"/>
    </w:pPr>
    <w:rPr>
      <w:rFonts w:ascii="Arial" w:hAnsi="Arial"/>
      <w:sz w:val="21"/>
    </w:rPr>
  </w:style>
  <w:style w:type="paragraph" w:customStyle="1" w:styleId="288">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89">
    <w:name w:val="图"/>
    <w:basedOn w:val="1"/>
    <w:next w:val="12"/>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90">
    <w:name w:val="indent"/>
    <w:basedOn w:val="1"/>
    <w:qFormat/>
    <w:uiPriority w:val="0"/>
    <w:pPr>
      <w:widowControl/>
      <w:spacing w:before="60"/>
      <w:jc w:val="left"/>
    </w:pPr>
    <w:rPr>
      <w:rFonts w:ascii="Verdana" w:hAnsi="Verdana" w:cs="宋体"/>
      <w:color w:val="000000"/>
      <w:kern w:val="0"/>
      <w:sz w:val="18"/>
      <w:szCs w:val="18"/>
    </w:rPr>
  </w:style>
  <w:style w:type="paragraph" w:customStyle="1" w:styleId="291">
    <w:name w:val="正文段"/>
    <w:basedOn w:val="1"/>
    <w:qFormat/>
    <w:uiPriority w:val="0"/>
    <w:pPr>
      <w:widowControl/>
      <w:snapToGrid w:val="0"/>
      <w:spacing w:afterLines="50"/>
      <w:ind w:firstLine="200" w:firstLineChars="200"/>
    </w:pPr>
    <w:rPr>
      <w:kern w:val="0"/>
      <w:sz w:val="24"/>
      <w:szCs w:val="20"/>
    </w:rPr>
  </w:style>
  <w:style w:type="paragraph" w:customStyle="1" w:styleId="292">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3">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5">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296">
    <w:name w:val="表格文字"/>
    <w:basedOn w:val="1"/>
    <w:qFormat/>
    <w:uiPriority w:val="0"/>
    <w:pPr>
      <w:spacing w:beforeLines="25" w:afterLines="25"/>
      <w:jc w:val="left"/>
    </w:pPr>
    <w:rPr>
      <w:spacing w:val="10"/>
      <w:sz w:val="24"/>
    </w:rPr>
  </w:style>
  <w:style w:type="paragraph" w:customStyle="1" w:styleId="297">
    <w:name w:val="标题 22"/>
    <w:basedOn w:val="1"/>
    <w:qFormat/>
    <w:uiPriority w:val="0"/>
    <w:pPr>
      <w:spacing w:afterLines="100" w:line="360" w:lineRule="auto"/>
    </w:pPr>
    <w:rPr>
      <w:sz w:val="24"/>
    </w:rPr>
  </w:style>
  <w:style w:type="paragraph" w:customStyle="1" w:styleId="298">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9">
    <w:name w:val="_表格标题"/>
    <w:basedOn w:val="234"/>
    <w:qFormat/>
    <w:uiPriority w:val="0"/>
    <w:pPr>
      <w:spacing w:beforeLines="30" w:afterLines="30"/>
      <w:jc w:val="center"/>
    </w:pPr>
    <w:rPr>
      <w:b/>
      <w:sz w:val="24"/>
    </w:rPr>
  </w:style>
  <w:style w:type="paragraph" w:customStyle="1" w:styleId="300">
    <w:name w:val="Char Char Char Char Char Char Char Char Char Char Char Char Char Char Char Char"/>
    <w:basedOn w:val="1"/>
    <w:qFormat/>
    <w:uiPriority w:val="0"/>
    <w:rPr>
      <w:sz w:val="24"/>
    </w:rPr>
  </w:style>
  <w:style w:type="paragraph" w:customStyle="1" w:styleId="301">
    <w:name w:val="xl26"/>
    <w:basedOn w:val="1"/>
    <w:qFormat/>
    <w:uiPriority w:val="0"/>
    <w:pPr>
      <w:widowControl/>
      <w:spacing w:before="100" w:beforeAutospacing="1" w:afterAutospacing="1"/>
      <w:jc w:val="center"/>
    </w:pPr>
    <w:rPr>
      <w:rFonts w:ascii="宋体" w:hAnsi="宋体"/>
      <w:kern w:val="0"/>
      <w:sz w:val="24"/>
    </w:rPr>
  </w:style>
  <w:style w:type="paragraph" w:customStyle="1" w:styleId="302">
    <w:name w:val="CM13"/>
    <w:basedOn w:val="55"/>
    <w:next w:val="55"/>
    <w:qFormat/>
    <w:uiPriority w:val="0"/>
    <w:pPr>
      <w:spacing w:line="468" w:lineRule="atLeast"/>
    </w:pPr>
    <w:rPr>
      <w:rFonts w:ascii="宋体" w:hAnsi="Times New Roman"/>
      <w:color w:val="auto"/>
    </w:rPr>
  </w:style>
  <w:style w:type="paragraph" w:customStyle="1" w:styleId="303">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4">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5">
    <w:name w:val="标题 32"/>
    <w:basedOn w:val="1"/>
    <w:qFormat/>
    <w:uiPriority w:val="0"/>
    <w:pPr>
      <w:spacing w:afterLines="100" w:line="360" w:lineRule="auto"/>
    </w:pPr>
    <w:rPr>
      <w:sz w:val="24"/>
    </w:rPr>
  </w:style>
  <w:style w:type="paragraph" w:customStyle="1" w:styleId="306">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307">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8">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09">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31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1">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312">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3">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4">
    <w:name w:val="插图"/>
    <w:basedOn w:val="27"/>
    <w:qFormat/>
    <w:uiPriority w:val="0"/>
    <w:pPr>
      <w:tabs>
        <w:tab w:val="left" w:pos="425"/>
      </w:tabs>
      <w:spacing w:beforeLines="0" w:afterLines="0" w:line="240" w:lineRule="auto"/>
      <w:jc w:val="center"/>
    </w:pPr>
    <w:rPr>
      <w:sz w:val="21"/>
      <w:szCs w:val="21"/>
    </w:rPr>
  </w:style>
  <w:style w:type="paragraph" w:customStyle="1" w:styleId="315">
    <w:name w:val="模板普通正文"/>
    <w:basedOn w:val="23"/>
    <w:qFormat/>
    <w:uiPriority w:val="0"/>
    <w:pPr>
      <w:spacing w:beforeLines="50" w:line="360" w:lineRule="auto"/>
      <w:ind w:left="0" w:leftChars="0" w:firstLine="490" w:firstLineChars="175"/>
      <w:jc w:val="left"/>
    </w:pPr>
    <w:rPr>
      <w:sz w:val="24"/>
    </w:rPr>
  </w:style>
  <w:style w:type="paragraph" w:customStyle="1" w:styleId="316">
    <w:name w:val="p0"/>
    <w:basedOn w:val="1"/>
    <w:qFormat/>
    <w:uiPriority w:val="0"/>
    <w:pPr>
      <w:widowControl/>
    </w:pPr>
    <w:rPr>
      <w:rFonts w:ascii="華康辦公用具篇" w:hAnsi="華康辦公用具篇" w:cs="宋体"/>
      <w:kern w:val="0"/>
      <w:szCs w:val="21"/>
    </w:rPr>
  </w:style>
  <w:style w:type="paragraph" w:customStyle="1" w:styleId="3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8">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319">
    <w:name w:val="Char Char1 Char Char Char Char"/>
    <w:basedOn w:val="17"/>
    <w:qFormat/>
    <w:uiPriority w:val="0"/>
    <w:pPr>
      <w:spacing w:afterLines="0"/>
      <w:ind w:firstLine="540" w:firstLineChars="0"/>
    </w:pPr>
    <w:rPr>
      <w:rFonts w:eastAsia="仿宋_GB2312"/>
      <w:b/>
      <w:sz w:val="36"/>
      <w:szCs w:val="36"/>
    </w:rPr>
  </w:style>
  <w:style w:type="paragraph" w:customStyle="1" w:styleId="320">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21">
    <w:name w:val="程序段"/>
    <w:basedOn w:val="1"/>
    <w:qFormat/>
    <w:uiPriority w:val="0"/>
    <w:pPr>
      <w:ind w:firstLine="420" w:firstLineChars="200"/>
    </w:pPr>
    <w:rPr>
      <w:rFonts w:ascii="Courier" w:hAnsi="Courier"/>
    </w:rPr>
  </w:style>
  <w:style w:type="paragraph" w:customStyle="1" w:styleId="322">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3">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24">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5">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32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7">
    <w:name w:val="font12"/>
    <w:basedOn w:val="1"/>
    <w:qFormat/>
    <w:uiPriority w:val="0"/>
    <w:pPr>
      <w:widowControl/>
      <w:spacing w:before="100" w:beforeAutospacing="1" w:afterAutospacing="1"/>
      <w:jc w:val="left"/>
    </w:pPr>
    <w:rPr>
      <w:color w:val="000000"/>
      <w:kern w:val="0"/>
      <w:sz w:val="28"/>
      <w:szCs w:val="28"/>
    </w:rPr>
  </w:style>
  <w:style w:type="paragraph" w:customStyle="1" w:styleId="328">
    <w:name w:val="列出段落3"/>
    <w:basedOn w:val="1"/>
    <w:qFormat/>
    <w:uiPriority w:val="0"/>
    <w:pPr>
      <w:ind w:firstLine="420" w:firstLineChars="200"/>
    </w:pPr>
    <w:rPr>
      <w:rFonts w:ascii="Calibri" w:hAnsi="Calibri"/>
      <w:szCs w:val="22"/>
    </w:rPr>
  </w:style>
  <w:style w:type="paragraph" w:customStyle="1" w:styleId="32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1">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2">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33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6">
    <w:name w:val="xl24"/>
    <w:basedOn w:val="1"/>
    <w:qFormat/>
    <w:uiPriority w:val="0"/>
    <w:pPr>
      <w:widowControl/>
      <w:spacing w:before="100" w:beforeAutospacing="1" w:afterAutospacing="1"/>
      <w:jc w:val="center"/>
    </w:pPr>
    <w:rPr>
      <w:rFonts w:ascii="宋体" w:hAnsi="宋体"/>
      <w:kern w:val="0"/>
      <w:sz w:val="24"/>
    </w:rPr>
  </w:style>
  <w:style w:type="paragraph" w:customStyle="1" w:styleId="33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40">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1">
    <w:name w:val="xl27"/>
    <w:basedOn w:val="1"/>
    <w:qFormat/>
    <w:uiPriority w:val="0"/>
    <w:pPr>
      <w:widowControl/>
      <w:spacing w:before="100" w:beforeAutospacing="1" w:afterAutospacing="1"/>
      <w:jc w:val="center"/>
    </w:pPr>
    <w:rPr>
      <w:rFonts w:ascii="宋体" w:hAnsi="宋体"/>
      <w:kern w:val="0"/>
      <w:sz w:val="24"/>
    </w:rPr>
  </w:style>
  <w:style w:type="paragraph" w:customStyle="1" w:styleId="342">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3">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4">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5">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51">
    <w:name w:val="xl28"/>
    <w:basedOn w:val="1"/>
    <w:qFormat/>
    <w:uiPriority w:val="0"/>
    <w:pPr>
      <w:widowControl/>
      <w:spacing w:before="100" w:beforeAutospacing="1" w:afterAutospacing="1"/>
      <w:jc w:val="center"/>
    </w:pPr>
    <w:rPr>
      <w:kern w:val="0"/>
      <w:sz w:val="28"/>
      <w:szCs w:val="28"/>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5">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7">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1">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4">
    <w:name w:val="xl60"/>
    <w:basedOn w:val="1"/>
    <w:qFormat/>
    <w:uiPriority w:val="0"/>
    <w:pPr>
      <w:widowControl/>
      <w:spacing w:before="100" w:beforeAutospacing="1" w:afterAutospacing="1"/>
      <w:jc w:val="center"/>
      <w:textAlignment w:val="center"/>
    </w:pPr>
    <w:rPr>
      <w:rFonts w:ascii="宋体" w:hAnsi="宋体"/>
      <w:kern w:val="0"/>
      <w:sz w:val="24"/>
    </w:rPr>
  </w:style>
  <w:style w:type="paragraph" w:customStyle="1" w:styleId="365">
    <w:name w:val="xl62"/>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366">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367">
    <w:name w:val="table_lines"/>
    <w:basedOn w:val="1"/>
    <w:qFormat/>
    <w:uiPriority w:val="0"/>
    <w:pPr>
      <w:widowControl/>
      <w:jc w:val="left"/>
    </w:pPr>
    <w:rPr>
      <w:rFonts w:eastAsia="MS Mincho"/>
      <w:kern w:val="0"/>
      <w:sz w:val="20"/>
      <w:szCs w:val="20"/>
      <w:lang w:val="de-DE" w:eastAsia="de-DE"/>
    </w:rPr>
  </w:style>
  <w:style w:type="character" w:customStyle="1" w:styleId="368">
    <w:name w:val="3zw1"/>
    <w:qFormat/>
    <w:uiPriority w:val="0"/>
    <w:rPr>
      <w:color w:val="000000"/>
      <w:sz w:val="21"/>
      <w:szCs w:val="21"/>
    </w:rPr>
  </w:style>
  <w:style w:type="character" w:customStyle="1" w:styleId="369">
    <w:name w:val="正文2 Char Char"/>
    <w:link w:val="370"/>
    <w:qFormat/>
    <w:uiPriority w:val="0"/>
    <w:rPr>
      <w:sz w:val="24"/>
    </w:rPr>
  </w:style>
  <w:style w:type="paragraph" w:customStyle="1" w:styleId="370">
    <w:name w:val="正文2"/>
    <w:basedOn w:val="1"/>
    <w:link w:val="369"/>
    <w:qFormat/>
    <w:uiPriority w:val="0"/>
    <w:pPr>
      <w:spacing w:before="156" w:line="360" w:lineRule="auto"/>
      <w:ind w:firstLine="510" w:firstLineChars="200"/>
    </w:pPr>
    <w:rPr>
      <w:rFonts w:ascii="Calibri" w:hAnsi="Calibri"/>
      <w:kern w:val="0"/>
      <w:sz w:val="24"/>
      <w:szCs w:val="20"/>
    </w:rPr>
  </w:style>
  <w:style w:type="character" w:customStyle="1" w:styleId="371">
    <w:name w:val="标题 字符"/>
    <w:link w:val="42"/>
    <w:qFormat/>
    <w:uiPriority w:val="0"/>
    <w:rPr>
      <w:rFonts w:ascii="Arial" w:hAnsi="Arial" w:eastAsia="仿宋_GB2312"/>
      <w:b/>
      <w:bCs/>
      <w:sz w:val="36"/>
      <w:szCs w:val="32"/>
    </w:rPr>
  </w:style>
  <w:style w:type="character" w:customStyle="1" w:styleId="372">
    <w:name w:val="标题 Char1"/>
    <w:qFormat/>
    <w:uiPriority w:val="10"/>
    <w:rPr>
      <w:rFonts w:ascii="Cambria" w:hAnsi="Cambria" w:eastAsia="宋体" w:cs="Times New Roman"/>
      <w:b/>
      <w:bCs/>
      <w:sz w:val="32"/>
      <w:szCs w:val="32"/>
    </w:rPr>
  </w:style>
  <w:style w:type="character" w:customStyle="1" w:styleId="373">
    <w:name w:val="font101"/>
    <w:qFormat/>
    <w:uiPriority w:val="0"/>
    <w:rPr>
      <w:rFonts w:hint="default" w:ascii="Times New Roman" w:hAnsi="Times New Roman" w:cs="Times New Roman"/>
      <w:color w:val="000000"/>
      <w:sz w:val="21"/>
      <w:szCs w:val="21"/>
      <w:u w:val="none"/>
    </w:rPr>
  </w:style>
  <w:style w:type="character" w:customStyle="1" w:styleId="374">
    <w:name w:val="页脚 字符"/>
    <w:qFormat/>
    <w:uiPriority w:val="99"/>
  </w:style>
  <w:style w:type="character" w:customStyle="1" w:styleId="375">
    <w:name w:val="param-name1"/>
    <w:qFormat/>
    <w:uiPriority w:val="0"/>
    <w:rPr>
      <w:rFonts w:cs="Times New Roman"/>
      <w:b/>
    </w:rPr>
  </w:style>
  <w:style w:type="character" w:customStyle="1" w:styleId="376">
    <w:name w:val="font91"/>
    <w:qFormat/>
    <w:uiPriority w:val="0"/>
    <w:rPr>
      <w:rFonts w:hint="eastAsia" w:ascii="宋体" w:hAnsi="宋体" w:eastAsia="宋体" w:cs="宋体"/>
      <w:color w:val="000000"/>
      <w:sz w:val="21"/>
      <w:szCs w:val="21"/>
      <w:u w:val="none"/>
    </w:rPr>
  </w:style>
  <w:style w:type="character" w:customStyle="1" w:styleId="377">
    <w:name w:val="font71"/>
    <w:qFormat/>
    <w:uiPriority w:val="0"/>
    <w:rPr>
      <w:rFonts w:hint="eastAsia" w:ascii="宋体" w:hAnsi="宋体" w:eastAsia="宋体" w:cs="宋体"/>
      <w:color w:val="000000"/>
      <w:sz w:val="21"/>
      <w:szCs w:val="21"/>
      <w:u w:val="none"/>
    </w:rPr>
  </w:style>
  <w:style w:type="character" w:customStyle="1" w:styleId="378">
    <w:name w:val="15"/>
    <w:qFormat/>
    <w:uiPriority w:val="0"/>
    <w:rPr>
      <w:rFonts w:hint="eastAsia" w:ascii="宋体" w:hAnsi="宋体" w:eastAsia="宋体" w:cs="宋体"/>
      <w:color w:val="000000"/>
      <w:sz w:val="22"/>
      <w:szCs w:val="22"/>
    </w:rPr>
  </w:style>
  <w:style w:type="character" w:customStyle="1" w:styleId="379">
    <w:name w:val="font21"/>
    <w:qFormat/>
    <w:uiPriority w:val="0"/>
    <w:rPr>
      <w:rFonts w:ascii="Arial" w:hAnsi="Arial" w:cs="Arial"/>
      <w:color w:val="000000"/>
      <w:sz w:val="21"/>
      <w:szCs w:val="21"/>
      <w:u w:val="none"/>
    </w:rPr>
  </w:style>
  <w:style w:type="character" w:customStyle="1" w:styleId="380">
    <w:name w:val="font161"/>
    <w:qFormat/>
    <w:uiPriority w:val="0"/>
    <w:rPr>
      <w:rFonts w:hint="default" w:ascii="Times New Roman" w:hAnsi="Times New Roman" w:cs="Times New Roman"/>
      <w:color w:val="000000"/>
      <w:sz w:val="18"/>
      <w:szCs w:val="18"/>
      <w:u w:val="none"/>
    </w:rPr>
  </w:style>
  <w:style w:type="character" w:customStyle="1" w:styleId="381">
    <w:name w:val="font41"/>
    <w:qFormat/>
    <w:uiPriority w:val="0"/>
    <w:rPr>
      <w:rFonts w:hint="eastAsia" w:ascii="宋体" w:hAnsi="宋体" w:eastAsia="宋体" w:cs="宋体"/>
      <w:color w:val="FF0000"/>
      <w:sz w:val="28"/>
      <w:szCs w:val="28"/>
      <w:u w:val="none"/>
    </w:rPr>
  </w:style>
  <w:style w:type="character" w:customStyle="1" w:styleId="382">
    <w:name w:val="apple-converted-space"/>
    <w:basedOn w:val="47"/>
    <w:qFormat/>
    <w:uiPriority w:val="0"/>
  </w:style>
  <w:style w:type="character" w:customStyle="1" w:styleId="383">
    <w:name w:val="font151"/>
    <w:qFormat/>
    <w:uiPriority w:val="0"/>
    <w:rPr>
      <w:rFonts w:hint="default" w:ascii="Times New Roman" w:hAnsi="Times New Roman" w:cs="Times New Roman"/>
      <w:color w:val="000000"/>
      <w:sz w:val="21"/>
      <w:szCs w:val="21"/>
      <w:u w:val="none"/>
    </w:rPr>
  </w:style>
  <w:style w:type="paragraph" w:customStyle="1" w:styleId="38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Fließtext"/>
    <w:basedOn w:val="1"/>
    <w:qFormat/>
    <w:uiPriority w:val="0"/>
    <w:pPr>
      <w:overflowPunct w:val="0"/>
      <w:autoSpaceDE w:val="0"/>
      <w:autoSpaceDN w:val="0"/>
      <w:adjustRightInd w:val="0"/>
      <w:textAlignment w:val="baseline"/>
    </w:pPr>
    <w:rPr>
      <w:kern w:val="28"/>
      <w:szCs w:val="20"/>
    </w:rPr>
  </w:style>
  <w:style w:type="paragraph" w:customStyle="1" w:styleId="386">
    <w:name w:val="Body Text First Indent 21"/>
    <w:basedOn w:val="1"/>
    <w:qFormat/>
    <w:uiPriority w:val="0"/>
    <w:pPr>
      <w:ind w:left="420" w:leftChars="200" w:firstLine="420"/>
    </w:pPr>
    <w:rPr>
      <w:szCs w:val="21"/>
    </w:rPr>
  </w:style>
  <w:style w:type="paragraph" w:customStyle="1" w:styleId="387">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88">
    <w:name w:val="fontstyle01"/>
    <w:qFormat/>
    <w:uiPriority w:val="0"/>
    <w:rPr>
      <w:rFonts w:hint="eastAsia" w:ascii="宋体" w:hAnsi="宋体" w:eastAsia="宋体"/>
      <w:color w:val="000000"/>
      <w:sz w:val="22"/>
      <w:szCs w:val="22"/>
    </w:rPr>
  </w:style>
  <w:style w:type="paragraph" w:customStyle="1" w:styleId="38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90">
    <w:name w:val="p17"/>
    <w:basedOn w:val="1"/>
    <w:unhideWhenUsed/>
    <w:qFormat/>
    <w:uiPriority w:val="0"/>
    <w:pPr>
      <w:widowControl/>
      <w:snapToGrid w:val="0"/>
      <w:spacing w:line="315" w:lineRule="atLeast"/>
      <w:ind w:firstLine="420"/>
      <w:jc w:val="left"/>
    </w:pPr>
    <w:rPr>
      <w:rFonts w:ascii="宋体" w:hAnsi="宋体"/>
      <w:kern w:val="0"/>
      <w:szCs w:val="21"/>
    </w:rPr>
  </w:style>
  <w:style w:type="character" w:customStyle="1" w:styleId="391">
    <w:name w:val="未处理的提及1"/>
    <w:basedOn w:val="47"/>
    <w:semiHidden/>
    <w:unhideWhenUsed/>
    <w:qFormat/>
    <w:uiPriority w:val="99"/>
    <w:rPr>
      <w:color w:val="605E5C"/>
      <w:shd w:val="clear" w:color="auto" w:fill="E1DFDD"/>
    </w:rPr>
  </w:style>
  <w:style w:type="paragraph" w:customStyle="1" w:styleId="392">
    <w:name w:val="D&amp;L"/>
    <w:basedOn w:val="32"/>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table" w:customStyle="1" w:styleId="393">
    <w:name w:val="无格式表格 21"/>
    <w:basedOn w:val="45"/>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394">
    <w:name w:val="表格式"/>
    <w:basedOn w:val="1"/>
    <w:next w:val="1"/>
    <w:qFormat/>
    <w:uiPriority w:val="0"/>
    <w:pPr>
      <w:widowControl/>
      <w:jc w:val="center"/>
      <w:textAlignment w:val="center"/>
    </w:pPr>
    <w:rPr>
      <w:rFonts w:eastAsiaTheme="minorEastAsia" w:cstheme="minorBidi"/>
      <w:bCs/>
      <w:color w:val="000000"/>
      <w:szCs w:val="21"/>
    </w:rPr>
  </w:style>
  <w:style w:type="paragraph" w:customStyle="1" w:styleId="395">
    <w:name w:val="表格正文"/>
    <w:qFormat/>
    <w:uiPriority w:val="0"/>
    <w:pPr>
      <w:jc w:val="center"/>
    </w:pPr>
    <w:rPr>
      <w:rFonts w:ascii="Times New Roman" w:hAnsi="Times New Roman" w:eastAsia="宋体" w:cs="宋体"/>
      <w:kern w:val="2"/>
      <w:sz w:val="21"/>
      <w:szCs w:val="21"/>
      <w:lang w:val="en-US" w:eastAsia="zh-CN" w:bidi="ar-SA"/>
    </w:rPr>
  </w:style>
  <w:style w:type="paragraph" w:customStyle="1" w:styleId="396">
    <w:name w:val="表-图"/>
    <w:basedOn w:val="1"/>
    <w:qFormat/>
    <w:uiPriority w:val="0"/>
    <w:pPr>
      <w:keepLines/>
      <w:spacing w:before="120" w:after="120"/>
      <w:jc w:val="center"/>
    </w:pPr>
    <w:rPr>
      <w:rFonts w:eastAsia="黑体" w:asciiTheme="majorHAnsi" w:hAnsiTheme="majorHAnsi" w:cstheme="majorBidi"/>
      <w:sz w:val="20"/>
      <w:szCs w:val="20"/>
    </w:rPr>
  </w:style>
  <w:style w:type="paragraph" w:customStyle="1" w:styleId="397">
    <w:name w:val="小标题4级"/>
    <w:basedOn w:val="1"/>
    <w:qFormat/>
    <w:uiPriority w:val="0"/>
    <w:pPr>
      <w:numPr>
        <w:ilvl w:val="0"/>
        <w:numId w:val="2"/>
      </w:numPr>
      <w:tabs>
        <w:tab w:val="left" w:pos="240"/>
      </w:tabs>
      <w:spacing w:before="120" w:after="120"/>
      <w:ind w:firstLine="0"/>
    </w:pPr>
    <w:rPr>
      <w:rFonts w:asciiTheme="minorHAnsi" w:hAnsiTheme="minorHAnsi" w:cstheme="minorBidi"/>
      <w:color w:val="000000"/>
      <w:szCs w:val="21"/>
    </w:rPr>
  </w:style>
  <w:style w:type="paragraph" w:customStyle="1" w:styleId="398">
    <w:name w:val="小标题3级"/>
    <w:basedOn w:val="1"/>
    <w:qFormat/>
    <w:uiPriority w:val="0"/>
    <w:pPr>
      <w:numPr>
        <w:ilvl w:val="0"/>
        <w:numId w:val="3"/>
      </w:numPr>
      <w:tabs>
        <w:tab w:val="left" w:pos="240"/>
      </w:tabs>
      <w:spacing w:before="120" w:after="120"/>
      <w:ind w:left="0" w:firstLine="420"/>
    </w:pPr>
    <w:rPr>
      <w:rFonts w:ascii="宋体" w:hAnsi="宋体" w:cstheme="minorBidi"/>
      <w:bCs/>
      <w:szCs w:val="21"/>
    </w:rPr>
  </w:style>
  <w:style w:type="paragraph" w:customStyle="1" w:styleId="399">
    <w:name w:val="居中表格内容标题"/>
    <w:basedOn w:val="1"/>
    <w:qFormat/>
    <w:uiPriority w:val="1"/>
    <w:pPr>
      <w:widowControl/>
      <w:jc w:val="center"/>
    </w:pPr>
    <w:rPr>
      <w:b/>
      <w:szCs w:val="20"/>
    </w:rPr>
  </w:style>
  <w:style w:type="paragraph" w:customStyle="1" w:styleId="400">
    <w:name w:val="*正文"/>
    <w:basedOn w:val="1"/>
    <w:qFormat/>
    <w:uiPriority w:val="0"/>
    <w:pPr>
      <w:widowControl/>
      <w:spacing w:before="156" w:after="156"/>
      <w:contextualSpacing/>
    </w:pPr>
    <w:rPr>
      <w:rFonts w:ascii="等线" w:hAnsi="等线" w:eastAsia="等线"/>
      <w:kern w:val="0"/>
      <w:lang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6276</Words>
  <Characters>35777</Characters>
  <Lines>298</Lines>
  <Paragraphs>83</Paragraphs>
  <TotalTime>0</TotalTime>
  <ScaleCrop>false</ScaleCrop>
  <LinksUpToDate>false</LinksUpToDate>
  <CharactersWithSpaces>41970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2023-02-23T08:58:00Z</dcterms:created>
  <dc:creator>Administrator</dc:creator>
  <cp:lastModifiedBy>a</cp:lastModifiedBy>
  <cp:lastPrinted>2023-05-05T15:36:00Z</cp:lastPrinted>
  <dcterms:modified xsi:type="dcterms:W3CDTF">2023-11-08T08:02:55Z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55246FDB3DD34F1BBF2F6A88DE7ADAEF_13</vt:lpwstr>
  </property>
</Properties>
</file>