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jc w:val="center"/>
        <w:rPr>
          <w:rFonts w:hint="eastAsia" w:ascii="宋体" w:hAnsi="宋体" w:cs="宋体"/>
          <w:b/>
          <w:sz w:val="72"/>
          <w:szCs w:val="72"/>
        </w:rPr>
      </w:pPr>
      <w:bookmarkStart w:id="0" w:name="_Toc1485"/>
      <w:bookmarkStart w:id="1" w:name="_Toc28305"/>
      <w:bookmarkStart w:id="170" w:name="_GoBack"/>
      <w:bookmarkEnd w:id="170"/>
      <w:r>
        <w:rPr>
          <w:lang/>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-895985</wp:posOffset>
            </wp:positionV>
            <wp:extent cx="7525385" cy="10645140"/>
            <wp:effectExtent l="0" t="0" r="18415" b="3810"/>
            <wp:wrapNone/>
            <wp:docPr id="1" name="图片 2" descr="封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封面-1"/>
                    <pic:cNvPicPr>
                      <a:picLocks noChangeAspect="1"/>
                    </pic:cNvPicPr>
                  </pic:nvPicPr>
                  <pic:blipFill>
                    <a:blip r:embed="rId12"/>
                    <a:stretch>
                      <a:fillRect/>
                    </a:stretch>
                  </pic:blipFill>
                  <pic:spPr>
                    <a:xfrm>
                      <a:off x="0" y="0"/>
                      <a:ext cx="7525385" cy="10645140"/>
                    </a:xfrm>
                    <a:prstGeom prst="rect">
                      <a:avLst/>
                    </a:prstGeom>
                    <a:noFill/>
                    <a:ln>
                      <a:noFill/>
                    </a:ln>
                  </pic:spPr>
                </pic:pic>
              </a:graphicData>
            </a:graphic>
          </wp:anchor>
        </w:drawing>
      </w:r>
    </w:p>
    <w:p>
      <w:pPr>
        <w:spacing w:before="120" w:beforeLines="50"/>
        <w:jc w:val="center"/>
        <w:rPr>
          <w:rFonts w:ascii="宋体" w:hAnsi="宋体" w:cs="宋体"/>
          <w:b/>
          <w:sz w:val="72"/>
          <w:szCs w:val="72"/>
        </w:rPr>
      </w:pPr>
      <w:r>
        <w:rPr>
          <w:rFonts w:hint="eastAsia" w:ascii="宋体" w:hAnsi="宋体" w:cs="宋体"/>
          <w:b/>
          <w:sz w:val="72"/>
          <w:szCs w:val="72"/>
        </w:rPr>
        <w:t>公开招标采购文件</w:t>
      </w:r>
    </w:p>
    <w:p>
      <w:pPr>
        <w:snapToGrid w:val="0"/>
        <w:spacing w:before="120" w:beforeLines="50" w:line="360" w:lineRule="auto"/>
        <w:rPr>
          <w:rFonts w:ascii="宋体" w:hAnsi="宋体" w:cs="宋体"/>
          <w:sz w:val="30"/>
          <w:szCs w:val="72"/>
        </w:rPr>
      </w:pPr>
    </w:p>
    <w:p>
      <w:pPr>
        <w:snapToGrid w:val="0"/>
        <w:spacing w:before="120" w:beforeLines="50" w:line="360" w:lineRule="auto"/>
        <w:rPr>
          <w:rFonts w:ascii="宋体" w:hAnsi="宋体" w:cs="宋体"/>
          <w:sz w:val="30"/>
          <w:szCs w:val="72"/>
        </w:rPr>
      </w:pPr>
    </w:p>
    <w:p>
      <w:pPr>
        <w:snapToGrid w:val="0"/>
        <w:spacing w:before="120" w:beforeLines="50" w:line="360" w:lineRule="auto"/>
        <w:rPr>
          <w:rFonts w:ascii="宋体" w:hAnsi="宋体" w:cs="宋体"/>
          <w:sz w:val="30"/>
          <w:szCs w:val="72"/>
        </w:rPr>
      </w:pPr>
    </w:p>
    <w:p>
      <w:pPr>
        <w:snapToGrid w:val="0"/>
        <w:spacing w:before="120" w:beforeLines="50" w:line="360" w:lineRule="auto"/>
        <w:rPr>
          <w:rFonts w:ascii="宋体" w:hAnsi="宋体" w:cs="宋体"/>
          <w:sz w:val="30"/>
          <w:szCs w:val="72"/>
        </w:rPr>
      </w:pPr>
    </w:p>
    <w:p>
      <w:pPr>
        <w:snapToGrid w:val="0"/>
        <w:spacing w:before="120" w:after="120" w:line="480" w:lineRule="auto"/>
        <w:rPr>
          <w:rFonts w:ascii="宋体" w:hAnsi="宋体" w:cs="宋体"/>
          <w:b/>
          <w:sz w:val="32"/>
          <w:szCs w:val="72"/>
        </w:rPr>
      </w:pPr>
      <w:r>
        <w:rPr>
          <w:rFonts w:hint="eastAsia" w:ascii="宋体" w:hAnsi="宋体" w:cs="宋体"/>
          <w:b/>
          <w:sz w:val="32"/>
          <w:szCs w:val="72"/>
        </w:rPr>
        <w:t>项目编号：</w:t>
      </w:r>
    </w:p>
    <w:p>
      <w:pPr>
        <w:snapToGrid w:val="0"/>
        <w:spacing w:before="120" w:after="120" w:line="480" w:lineRule="auto"/>
        <w:ind w:left="1606" w:hanging="1606" w:hangingChars="500"/>
        <w:rPr>
          <w:rFonts w:ascii="宋体" w:hAnsi="宋体" w:cs="宋体"/>
          <w:b/>
          <w:sz w:val="32"/>
          <w:szCs w:val="72"/>
        </w:rPr>
      </w:pPr>
      <w:r>
        <w:rPr>
          <w:rFonts w:hint="eastAsia" w:ascii="宋体" w:hAnsi="宋体" w:cs="宋体"/>
          <w:b/>
          <w:sz w:val="32"/>
          <w:szCs w:val="72"/>
        </w:rPr>
        <w:t>项目名称：潘火街道2024-2026年度绿化养护服务及零星整改提升项目</w:t>
      </w:r>
    </w:p>
    <w:p>
      <w:pPr>
        <w:snapToGrid w:val="0"/>
        <w:spacing w:before="120" w:after="120" w:line="480" w:lineRule="auto"/>
        <w:rPr>
          <w:rFonts w:ascii="宋体" w:hAnsi="宋体" w:cs="宋体"/>
          <w:b/>
          <w:sz w:val="32"/>
          <w:szCs w:val="72"/>
        </w:rPr>
      </w:pPr>
      <w:r>
        <w:rPr>
          <w:rFonts w:hint="eastAsia" w:ascii="宋体" w:hAnsi="宋体" w:cs="宋体"/>
          <w:b/>
          <w:sz w:val="32"/>
          <w:szCs w:val="72"/>
        </w:rPr>
        <w:t>采购单位：宁波市鄞州区人民政府潘火街道办事处</w:t>
      </w:r>
    </w:p>
    <w:p>
      <w:pPr>
        <w:spacing w:line="480" w:lineRule="auto"/>
        <w:rPr>
          <w:rFonts w:hint="eastAsia" w:ascii="宋体" w:hAnsi="宋体" w:cs="宋体"/>
          <w:b/>
          <w:sz w:val="32"/>
          <w:szCs w:val="72"/>
        </w:rPr>
      </w:pPr>
      <w:r>
        <w:rPr>
          <w:rFonts w:hint="eastAsia" w:ascii="宋体" w:hAnsi="宋体" w:cs="宋体"/>
          <w:b/>
          <w:sz w:val="32"/>
          <w:szCs w:val="72"/>
        </w:rPr>
        <w:t>代理机构：宁波和丰建设项目管理有限公司</w:t>
      </w:r>
    </w:p>
    <w:p>
      <w:pPr>
        <w:pStyle w:val="10"/>
        <w:rPr>
          <w:rFonts w:hint="eastAsia"/>
        </w:rPr>
      </w:pPr>
    </w:p>
    <w:p>
      <w:pPr>
        <w:pStyle w:val="9"/>
        <w:ind w:firstLine="280"/>
        <w:rPr>
          <w:rFonts w:hint="eastAsia"/>
        </w:rPr>
      </w:pPr>
    </w:p>
    <w:p>
      <w:pPr>
        <w:pStyle w:val="9"/>
        <w:ind w:firstLine="280"/>
        <w:rPr>
          <w:rFonts w:hint="eastAsia"/>
        </w:rPr>
      </w:pPr>
    </w:p>
    <w:p>
      <w:pPr>
        <w:pStyle w:val="9"/>
        <w:ind w:firstLine="280"/>
        <w:rPr>
          <w:rFonts w:hint="eastAsia"/>
        </w:rPr>
      </w:pPr>
    </w:p>
    <w:p>
      <w:pPr>
        <w:pStyle w:val="9"/>
        <w:ind w:firstLine="280"/>
        <w:rPr>
          <w:rFonts w:hint="eastAsia"/>
        </w:rPr>
      </w:pPr>
    </w:p>
    <w:p>
      <w:pPr>
        <w:pStyle w:val="9"/>
        <w:ind w:firstLine="280"/>
        <w:rPr>
          <w:rFonts w:hint="eastAsia"/>
        </w:rPr>
      </w:pPr>
    </w:p>
    <w:p>
      <w:pPr>
        <w:jc w:val="center"/>
        <w:rPr>
          <w:rFonts w:hint="eastAsia" w:ascii="宋体" w:hAnsi="宋体" w:cs="宋体"/>
          <w:b/>
          <w:bCs/>
          <w:sz w:val="32"/>
          <w:szCs w:val="30"/>
        </w:rPr>
      </w:pPr>
      <w:r>
        <w:rPr>
          <w:rFonts w:hint="eastAsia" w:ascii="宋体" w:hAnsi="宋体" w:cs="宋体"/>
          <w:b/>
          <w:bCs/>
          <w:sz w:val="32"/>
          <w:szCs w:val="30"/>
        </w:rPr>
        <w:t>二〇二三年十二月</w:t>
      </w:r>
    </w:p>
    <w:p>
      <w:pPr>
        <w:pStyle w:val="124"/>
        <w:rPr>
          <w:rFonts w:hint="eastAsia" w:ascii="宋体" w:hAnsi="宋体"/>
          <w:sz w:val="24"/>
          <w:szCs w:val="32"/>
        </w:rPr>
      </w:pPr>
    </w:p>
    <w:p>
      <w:pPr>
        <w:pStyle w:val="124"/>
        <w:rPr>
          <w:rFonts w:hint="eastAsia" w:ascii="宋体" w:hAnsi="宋体"/>
          <w:sz w:val="24"/>
          <w:szCs w:val="32"/>
        </w:rPr>
        <w:sectPr>
          <w:footerReference r:id="rId3" w:type="even"/>
          <w:pgSz w:w="11849" w:h="16781"/>
          <w:pgMar w:top="1417" w:right="1797" w:bottom="1417" w:left="1797" w:header="720" w:footer="720" w:gutter="0"/>
          <w:pgNumType w:start="1"/>
          <w:cols w:space="720" w:num="1"/>
          <w:docGrid w:linePitch="312" w:charSpace="0"/>
        </w:sectPr>
      </w:pPr>
    </w:p>
    <w:p>
      <w:pPr>
        <w:pStyle w:val="124"/>
        <w:rPr>
          <w:rFonts w:hint="eastAsia" w:ascii="宋体" w:hAnsi="宋体"/>
          <w:sz w:val="24"/>
          <w:szCs w:val="32"/>
        </w:rPr>
      </w:pPr>
    </w:p>
    <w:p>
      <w:pPr>
        <w:adjustRightInd w:val="0"/>
        <w:snapToGrid w:val="0"/>
        <w:spacing w:line="360" w:lineRule="auto"/>
        <w:jc w:val="center"/>
        <w:outlineLvl w:val="0"/>
        <w:rPr>
          <w:rFonts w:hint="eastAsia" w:ascii="宋体" w:hAnsi="宋体" w:cs="宋体"/>
          <w:b/>
          <w:bCs/>
          <w:kern w:val="44"/>
          <w:sz w:val="36"/>
          <w:szCs w:val="36"/>
        </w:rPr>
      </w:pPr>
      <w:bookmarkStart w:id="2" w:name="_Toc31695"/>
      <w:r>
        <w:rPr>
          <w:rFonts w:hint="eastAsia" w:ascii="宋体" w:hAnsi="宋体" w:cs="宋体"/>
          <w:b/>
          <w:bCs/>
          <w:kern w:val="44"/>
          <w:sz w:val="36"/>
          <w:szCs w:val="36"/>
        </w:rPr>
        <w:t>目  录</w:t>
      </w:r>
      <w:bookmarkEnd w:id="0"/>
      <w:bookmarkEnd w:id="1"/>
      <w:bookmarkEnd w:id="2"/>
    </w:p>
    <w:p>
      <w:pPr>
        <w:spacing w:line="360" w:lineRule="auto"/>
        <w:rPr>
          <w:rFonts w:hint="eastAsia"/>
          <w:sz w:val="30"/>
          <w:szCs w:val="30"/>
        </w:rPr>
      </w:pPr>
      <w:r>
        <w:rPr>
          <w:rFonts w:hint="eastAsia"/>
          <w:sz w:val="30"/>
          <w:szCs w:val="30"/>
        </w:rPr>
        <w:t>第一章</w:t>
      </w:r>
      <w:r>
        <w:rPr>
          <w:rFonts w:hint="eastAsia"/>
          <w:sz w:val="30"/>
          <w:szCs w:val="30"/>
        </w:rPr>
        <w:tab/>
      </w:r>
      <w:r>
        <w:rPr>
          <w:rFonts w:hint="eastAsia"/>
          <w:sz w:val="30"/>
          <w:szCs w:val="30"/>
        </w:rPr>
        <w:t>公开招标采购公告</w:t>
      </w:r>
    </w:p>
    <w:p>
      <w:pPr>
        <w:spacing w:line="360" w:lineRule="auto"/>
        <w:rPr>
          <w:rFonts w:hint="eastAsia"/>
          <w:sz w:val="30"/>
          <w:szCs w:val="30"/>
        </w:rPr>
      </w:pPr>
      <w:r>
        <w:rPr>
          <w:rFonts w:hint="eastAsia"/>
          <w:sz w:val="30"/>
          <w:szCs w:val="30"/>
        </w:rPr>
        <w:t>第二章</w:t>
      </w:r>
      <w:r>
        <w:rPr>
          <w:rFonts w:hint="eastAsia"/>
          <w:sz w:val="30"/>
          <w:szCs w:val="30"/>
        </w:rPr>
        <w:tab/>
      </w:r>
      <w:r>
        <w:rPr>
          <w:rFonts w:hint="eastAsia"/>
          <w:sz w:val="30"/>
          <w:szCs w:val="30"/>
        </w:rPr>
        <w:t>采购需求</w:t>
      </w:r>
    </w:p>
    <w:p>
      <w:pPr>
        <w:spacing w:line="360" w:lineRule="auto"/>
        <w:rPr>
          <w:rFonts w:hint="eastAsia"/>
          <w:sz w:val="30"/>
          <w:szCs w:val="30"/>
        </w:rPr>
      </w:pPr>
      <w:r>
        <w:rPr>
          <w:rFonts w:hint="eastAsia"/>
          <w:sz w:val="30"/>
          <w:szCs w:val="30"/>
        </w:rPr>
        <w:t>第三章</w:t>
      </w:r>
      <w:r>
        <w:rPr>
          <w:rFonts w:hint="eastAsia"/>
          <w:sz w:val="30"/>
          <w:szCs w:val="30"/>
        </w:rPr>
        <w:tab/>
      </w:r>
      <w:r>
        <w:rPr>
          <w:rFonts w:hint="eastAsia"/>
          <w:sz w:val="30"/>
          <w:szCs w:val="30"/>
        </w:rPr>
        <w:t>供应商须知</w:t>
      </w:r>
    </w:p>
    <w:p>
      <w:pPr>
        <w:spacing w:line="360" w:lineRule="auto"/>
        <w:rPr>
          <w:rFonts w:hint="eastAsia"/>
          <w:sz w:val="30"/>
          <w:szCs w:val="30"/>
        </w:rPr>
      </w:pPr>
      <w:r>
        <w:rPr>
          <w:rFonts w:hint="eastAsia"/>
          <w:sz w:val="30"/>
          <w:szCs w:val="30"/>
        </w:rPr>
        <w:t>第四章</w:t>
      </w:r>
      <w:r>
        <w:rPr>
          <w:rFonts w:hint="eastAsia"/>
          <w:sz w:val="30"/>
          <w:szCs w:val="30"/>
        </w:rPr>
        <w:tab/>
      </w:r>
      <w:r>
        <w:rPr>
          <w:rFonts w:hint="eastAsia"/>
          <w:sz w:val="30"/>
          <w:szCs w:val="30"/>
        </w:rPr>
        <w:t>评标办法及评分标准</w:t>
      </w:r>
    </w:p>
    <w:p>
      <w:pPr>
        <w:spacing w:line="360" w:lineRule="auto"/>
        <w:rPr>
          <w:rFonts w:hint="eastAsia"/>
          <w:sz w:val="30"/>
          <w:szCs w:val="30"/>
        </w:rPr>
      </w:pPr>
      <w:r>
        <w:rPr>
          <w:rFonts w:hint="eastAsia"/>
          <w:sz w:val="30"/>
          <w:szCs w:val="30"/>
        </w:rPr>
        <w:t>第五章</w:t>
      </w:r>
      <w:r>
        <w:rPr>
          <w:rFonts w:hint="eastAsia"/>
          <w:sz w:val="30"/>
          <w:szCs w:val="30"/>
        </w:rPr>
        <w:tab/>
      </w:r>
      <w:r>
        <w:rPr>
          <w:rFonts w:hint="eastAsia"/>
          <w:sz w:val="30"/>
          <w:szCs w:val="30"/>
        </w:rPr>
        <w:t>政府采购合同主要条款</w:t>
      </w:r>
    </w:p>
    <w:p>
      <w:pPr>
        <w:spacing w:line="360" w:lineRule="auto"/>
        <w:rPr>
          <w:rFonts w:hint="eastAsia"/>
          <w:sz w:val="30"/>
          <w:szCs w:val="30"/>
        </w:rPr>
      </w:pPr>
      <w:r>
        <w:rPr>
          <w:rFonts w:hint="eastAsia"/>
          <w:sz w:val="30"/>
          <w:szCs w:val="30"/>
        </w:rPr>
        <w:t>第六章</w:t>
      </w:r>
      <w:r>
        <w:rPr>
          <w:rFonts w:hint="eastAsia"/>
          <w:sz w:val="30"/>
          <w:szCs w:val="30"/>
        </w:rPr>
        <w:tab/>
      </w:r>
      <w:r>
        <w:rPr>
          <w:rFonts w:hint="eastAsia"/>
          <w:sz w:val="30"/>
          <w:szCs w:val="30"/>
        </w:rPr>
        <w:t>投标文件格式</w:t>
      </w:r>
    </w:p>
    <w:p>
      <w:pPr>
        <w:pStyle w:val="4"/>
        <w:adjustRightInd w:val="0"/>
        <w:snapToGrid w:val="0"/>
        <w:spacing w:before="0" w:after="0" w:line="480" w:lineRule="auto"/>
        <w:rPr>
          <w:rFonts w:hint="eastAsia" w:ascii="宋体" w:hAnsi="宋体" w:cs="宋体"/>
          <w:szCs w:val="30"/>
        </w:rPr>
        <w:sectPr>
          <w:footerReference r:id="rId4" w:type="default"/>
          <w:pgSz w:w="11849" w:h="16781"/>
          <w:pgMar w:top="1417" w:right="1797" w:bottom="1417" w:left="1797" w:header="720" w:footer="720" w:gutter="0"/>
          <w:pgNumType w:start="1"/>
          <w:cols w:space="720" w:num="1"/>
          <w:docGrid w:linePitch="312" w:charSpace="0"/>
        </w:sectPr>
      </w:pPr>
    </w:p>
    <w:p>
      <w:pPr>
        <w:adjustRightInd w:val="0"/>
        <w:snapToGrid w:val="0"/>
        <w:spacing w:line="360" w:lineRule="auto"/>
        <w:jc w:val="center"/>
        <w:outlineLvl w:val="0"/>
        <w:rPr>
          <w:rFonts w:hint="eastAsia" w:ascii="宋体" w:hAnsi="宋体" w:cs="宋体"/>
          <w:b/>
          <w:bCs/>
          <w:kern w:val="44"/>
          <w:sz w:val="32"/>
          <w:szCs w:val="32"/>
        </w:rPr>
      </w:pPr>
      <w:bookmarkStart w:id="3" w:name="_Toc30529"/>
      <w:bookmarkStart w:id="4" w:name="_Toc22982"/>
      <w:bookmarkStart w:id="5" w:name="_Toc18231"/>
      <w:bookmarkStart w:id="6" w:name="_Toc15427"/>
      <w:r>
        <w:rPr>
          <w:rFonts w:hint="eastAsia" w:ascii="宋体" w:hAnsi="宋体" w:cs="宋体"/>
          <w:b/>
          <w:bCs/>
          <w:kern w:val="44"/>
          <w:sz w:val="32"/>
          <w:szCs w:val="32"/>
        </w:rPr>
        <w:t>第一章 公开招标采购公告</w:t>
      </w:r>
      <w:bookmarkEnd w:id="3"/>
      <w:bookmarkEnd w:id="4"/>
      <w:bookmarkEnd w:id="5"/>
      <w:bookmarkEnd w:id="6"/>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szCs w:val="21"/>
        </w:rPr>
      </w:pPr>
      <w:r>
        <w:rPr>
          <w:rFonts w:hint="eastAsia" w:ascii="宋体" w:hAnsi="宋体" w:cs="宋体"/>
          <w:szCs w:val="21"/>
          <w:u w:val="single"/>
        </w:rPr>
        <w:t>潘火街道2024-2026年度绿化养护服务及零星整改提升项目</w:t>
      </w:r>
      <w:r>
        <w:rPr>
          <w:rFonts w:hint="eastAsia" w:ascii="宋体" w:hAnsi="宋体" w:cs="宋体"/>
          <w:szCs w:val="21"/>
        </w:rPr>
        <w:t>的潜在投标人应在</w:t>
      </w:r>
      <w:r>
        <w:rPr>
          <w:rFonts w:hint="eastAsia" w:ascii="宋体" w:hAnsi="宋体" w:cs="宋体"/>
          <w:szCs w:val="22"/>
          <w:u w:val="single"/>
        </w:rPr>
        <w:t>浙江政府采购云平台（</w:t>
      </w:r>
      <w:r>
        <w:rPr>
          <w:rFonts w:hint="eastAsia" w:ascii="宋体" w:hAnsi="宋体" w:cs="宋体"/>
        </w:rPr>
        <w:fldChar w:fldCharType="begin"/>
      </w:r>
      <w:r>
        <w:rPr>
          <w:rFonts w:hint="eastAsia" w:ascii="宋体" w:hAnsi="宋体" w:cs="宋体"/>
        </w:rPr>
        <w:instrText xml:space="preserve"> HYPERLINK "http://www.zcy.gov.cn/" \h </w:instrText>
      </w:r>
      <w:r>
        <w:rPr>
          <w:rFonts w:hint="eastAsia" w:ascii="宋体" w:hAnsi="宋体" w:cs="宋体"/>
        </w:rPr>
        <w:fldChar w:fldCharType="separate"/>
      </w:r>
      <w:r>
        <w:rPr>
          <w:rFonts w:hint="eastAsia" w:ascii="宋体" w:hAnsi="宋体" w:cs="宋体"/>
          <w:szCs w:val="22"/>
          <w:u w:val="single"/>
        </w:rPr>
        <w:t>http://www.zcy.gov.cn/</w:t>
      </w:r>
      <w:r>
        <w:rPr>
          <w:rFonts w:hint="eastAsia" w:ascii="宋体" w:hAnsi="宋体" w:cs="宋体"/>
          <w:szCs w:val="22"/>
          <w:u w:val="single"/>
        </w:rPr>
        <w:fldChar w:fldCharType="end"/>
      </w:r>
      <w:r>
        <w:rPr>
          <w:rFonts w:hint="eastAsia" w:ascii="宋体" w:hAnsi="宋体" w:cs="宋体"/>
          <w:szCs w:val="22"/>
          <w:u w:val="single"/>
        </w:rPr>
        <w:t>）</w:t>
      </w:r>
      <w:r>
        <w:rPr>
          <w:rFonts w:hint="eastAsia" w:ascii="宋体" w:hAnsi="宋体" w:cs="宋体"/>
          <w:szCs w:val="21"/>
        </w:rPr>
        <w:t>获取（下载）招标文件，并于</w:t>
      </w:r>
      <w:r>
        <w:rPr>
          <w:rFonts w:hint="eastAsia" w:ascii="宋体" w:hAnsi="宋体" w:cs="宋体"/>
          <w:spacing w:val="-6"/>
          <w:szCs w:val="21"/>
        </w:rPr>
        <w:t>2023年12月</w:t>
      </w:r>
      <w:r>
        <w:rPr>
          <w:rFonts w:hint="eastAsia" w:ascii="宋体" w:hAnsi="宋体" w:cs="宋体"/>
          <w:szCs w:val="21"/>
          <w:shd w:val="clear" w:color="auto" w:fill="FFFFFF"/>
        </w:rPr>
        <w:t>26日9:00</w:t>
      </w:r>
      <w:r>
        <w:rPr>
          <w:rFonts w:hint="eastAsia" w:ascii="宋体" w:hAnsi="宋体" w:cs="宋体"/>
          <w:spacing w:val="-6"/>
          <w:szCs w:val="21"/>
        </w:rPr>
        <w:t>（北京时间）</w:t>
      </w:r>
      <w:r>
        <w:rPr>
          <w:rFonts w:hint="eastAsia" w:ascii="宋体" w:hAnsi="宋体" w:cs="宋体"/>
          <w:bCs/>
          <w:szCs w:val="21"/>
        </w:rPr>
        <w:t>前递交</w:t>
      </w:r>
      <w:r>
        <w:rPr>
          <w:rFonts w:hint="eastAsia" w:ascii="宋体" w:hAnsi="宋体" w:cs="宋体"/>
          <w:szCs w:val="21"/>
        </w:rPr>
        <w:t>（上传）</w:t>
      </w:r>
      <w:r>
        <w:rPr>
          <w:rFonts w:hint="eastAsia" w:ascii="宋体" w:hAnsi="宋体" w:cs="宋体"/>
          <w:bCs/>
          <w:szCs w:val="21"/>
        </w:rPr>
        <w:t>投标文件</w:t>
      </w:r>
      <w:r>
        <w:rPr>
          <w:rFonts w:hint="eastAsia" w:ascii="宋体" w:hAnsi="宋体" w:cs="宋体"/>
          <w:szCs w:val="21"/>
        </w:rPr>
        <w:t>。</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一、项目基本情况</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项目编号: NBHFZB2023107</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项目名称：潘火街道2024-2026年度绿化养护服务及零星整改提升项目</w:t>
      </w:r>
    </w:p>
    <w:p>
      <w:pPr>
        <w:pStyle w:val="45"/>
        <w:adjustRightInd w:val="0"/>
        <w:snapToGrid w:val="0"/>
        <w:spacing w:before="0" w:beforeAutospacing="0" w:after="0" w:afterAutospacing="0" w:line="360" w:lineRule="auto"/>
        <w:ind w:firstLine="420" w:firstLineChars="200"/>
        <w:jc w:val="both"/>
        <w:rPr>
          <w:rFonts w:ascii="宋体" w:hAnsi="宋体" w:cs="宋体"/>
          <w:sz w:val="21"/>
          <w:szCs w:val="21"/>
          <w:shd w:val="clear" w:color="auto" w:fill="FFFFFF"/>
        </w:rPr>
      </w:pPr>
      <w:r>
        <w:rPr>
          <w:rFonts w:hint="eastAsia" w:ascii="宋体" w:hAnsi="宋体" w:cs="宋体"/>
          <w:sz w:val="21"/>
          <w:szCs w:val="21"/>
          <w:shd w:val="clear" w:color="auto" w:fill="FFFFFF"/>
        </w:rPr>
        <w:t>预算金额（元）：7000000</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最高限价（元）： 6976053</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采购需求：</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标项名称: 潘火街道2024-2026年度绿化养护服务及零星整改提升项目</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数量:1项</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预算金额（元）: 7000000</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简要规格描述或项目基本概况介绍、用途：潘火街道2024-2026年度绿化养护服务及零星整改提升项目，详见采购文件第二章“采购需求”。</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备注：/。</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合同履行期限：三年，合同一年一签。采购人根据中标单位在上一年合同履行期间考核情况及资金审批情况决定是否续签</w:t>
      </w:r>
      <w:r>
        <w:rPr>
          <w:rFonts w:ascii="宋体" w:hAnsi="宋体" w:cs="宋体"/>
          <w:spacing w:val="-1"/>
          <w:sz w:val="21"/>
          <w:szCs w:val="21"/>
        </w:rPr>
        <w:t>。</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本项目（否）接受联合体投标。</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二、申请人的资格要求：</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shd w:val="clear" w:color="auto" w:fill="FFFFFF"/>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5"/>
        <w:adjustRightInd w:val="0"/>
        <w:snapToGrid w:val="0"/>
        <w:spacing w:before="0" w:beforeAutospacing="0" w:after="0" w:afterAutospacing="0" w:line="360" w:lineRule="auto"/>
        <w:ind w:firstLine="420" w:firstLineChars="200"/>
        <w:jc w:val="both"/>
        <w:rPr>
          <w:rFonts w:hint="eastAsia" w:ascii="仿宋" w:hAnsi="仿宋" w:eastAsia="仿宋" w:cs="仿宋"/>
          <w:sz w:val="18"/>
          <w:szCs w:val="18"/>
        </w:rPr>
      </w:pPr>
      <w:r>
        <w:rPr>
          <w:rFonts w:hint="eastAsia" w:ascii="宋体" w:hAnsi="宋体" w:cs="宋体"/>
          <w:sz w:val="21"/>
          <w:szCs w:val="21"/>
          <w:shd w:val="clear" w:color="auto" w:fill="FFFFFF"/>
        </w:rPr>
        <w:t>2.落实政府采购政策需满足的资格要求：本项目专门面向中小企业</w:t>
      </w:r>
      <w:r>
        <w:rPr>
          <w:rFonts w:ascii="Calibri" w:hAnsi="Calibri" w:cs="Calibri"/>
          <w:color w:val="000000"/>
          <w:sz w:val="22"/>
        </w:rPr>
        <w:t>。</w:t>
      </w:r>
    </w:p>
    <w:p>
      <w:pPr>
        <w:pStyle w:val="45"/>
        <w:adjustRightInd w:val="0"/>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shd w:val="clear" w:color="auto" w:fill="FFFFFF"/>
        </w:rPr>
        <w:t>3.本项目的特定资格要求：无。</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三、获取采购文件</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shd w:val="clear" w:color="auto" w:fill="FFFFFF"/>
        </w:rPr>
        <w:t>时间：2023年12月5日至 2023年12月12日，每天上午00:00至12:00，下午12:00至23:59（北京时间，线上获取法定节假日均可，线下获取文件法定节假日除外）；</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shd w:val="clear" w:color="auto" w:fill="FFFFFF"/>
        </w:rPr>
        <w:t>地点（网址）：政府采购云平台（www.zcygov.cn）；</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方式：供应商登录政府采购云平台（www.zcygov.cn）在线申请获取采购文件（进入“项目采购”应用，在获取采购文件菜单中选择项目，申请获取采购文件）。</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shd w:val="clear" w:color="auto" w:fill="FFFFFF"/>
        </w:rPr>
        <w:t>售价（元）：0</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四、提交投标文件截止时间、开标时间和地点</w:t>
      </w:r>
    </w:p>
    <w:p>
      <w:pPr>
        <w:pStyle w:val="45"/>
        <w:spacing w:before="0" w:beforeAutospacing="0" w:after="0" w:afterAutospacing="0" w:line="360" w:lineRule="auto"/>
        <w:ind w:firstLine="420"/>
        <w:jc w:val="both"/>
        <w:rPr>
          <w:rFonts w:hint="eastAsia" w:ascii="宋体" w:hAnsi="宋体" w:cs="宋体"/>
          <w:sz w:val="21"/>
          <w:szCs w:val="21"/>
        </w:rPr>
      </w:pPr>
      <w:r>
        <w:rPr>
          <w:rFonts w:hint="eastAsia" w:ascii="宋体" w:hAnsi="宋体" w:cs="宋体"/>
          <w:sz w:val="21"/>
          <w:szCs w:val="21"/>
          <w:shd w:val="clear" w:color="auto" w:fill="FFFFFF"/>
        </w:rPr>
        <w:t>提交投标文件截止时间：2023年12月26日9:00（北京时间）</w:t>
      </w:r>
    </w:p>
    <w:p>
      <w:pPr>
        <w:pStyle w:val="45"/>
        <w:spacing w:before="0" w:beforeAutospacing="0" w:after="0" w:afterAutospacing="0" w:line="360" w:lineRule="auto"/>
        <w:ind w:firstLine="420"/>
        <w:jc w:val="both"/>
        <w:rPr>
          <w:rFonts w:hint="eastAsia" w:ascii="宋体" w:hAnsi="宋体" w:cs="宋体"/>
          <w:sz w:val="21"/>
          <w:szCs w:val="21"/>
        </w:rPr>
      </w:pPr>
      <w:r>
        <w:rPr>
          <w:rFonts w:hint="eastAsia" w:ascii="宋体" w:hAnsi="宋体" w:cs="宋体"/>
          <w:sz w:val="21"/>
          <w:szCs w:val="21"/>
          <w:shd w:val="clear" w:color="auto" w:fill="FFFFFF"/>
        </w:rPr>
        <w:t>投标地点（网址）：宁波市鄞州区公共资源交易中心开标室（鄞州区蕙江路567号，鄞州区政务服务中心5楼，详见电子显示屏），本项目通过“政府采购云平台（www.zcygov.cn）”实行在线制作并提交投标文件（电子投标）。</w:t>
      </w:r>
    </w:p>
    <w:p>
      <w:pPr>
        <w:pStyle w:val="45"/>
        <w:spacing w:before="0" w:beforeAutospacing="0" w:after="0" w:afterAutospacing="0" w:line="360" w:lineRule="auto"/>
        <w:ind w:firstLine="420"/>
        <w:jc w:val="both"/>
        <w:rPr>
          <w:rFonts w:hint="eastAsia" w:ascii="宋体" w:hAnsi="宋体" w:cs="宋体"/>
          <w:sz w:val="21"/>
          <w:szCs w:val="21"/>
        </w:rPr>
      </w:pPr>
      <w:r>
        <w:rPr>
          <w:rFonts w:hint="eastAsia" w:ascii="宋体" w:hAnsi="宋体" w:cs="宋体"/>
          <w:sz w:val="21"/>
          <w:szCs w:val="21"/>
          <w:shd w:val="clear" w:color="auto" w:fill="FFFFFF"/>
        </w:rPr>
        <w:t>开标时间：2023年12月26日9:00（北京时间）</w:t>
      </w:r>
    </w:p>
    <w:p>
      <w:pPr>
        <w:pStyle w:val="45"/>
        <w:spacing w:before="0" w:beforeAutospacing="0" w:after="0" w:afterAutospacing="0" w:line="360" w:lineRule="auto"/>
        <w:ind w:firstLine="420"/>
        <w:jc w:val="both"/>
        <w:rPr>
          <w:rFonts w:hint="eastAsia" w:ascii="宋体" w:hAnsi="宋体" w:cs="宋体"/>
          <w:sz w:val="21"/>
          <w:szCs w:val="21"/>
        </w:rPr>
      </w:pPr>
      <w:r>
        <w:rPr>
          <w:rFonts w:hint="eastAsia" w:ascii="宋体" w:hAnsi="宋体" w:cs="宋体"/>
          <w:sz w:val="21"/>
          <w:szCs w:val="21"/>
          <w:shd w:val="clear" w:color="auto" w:fill="FFFFFF"/>
        </w:rPr>
        <w:t>开标地点（网址）：宁波市鄞州区行政服务中心五楼（鄞州区蕙江路567号，鄞州区妇儿医院对面，详见电子显示屏），本项目通过“政府采购云平台”实行在线电子评标，投标人可在线参加开标。</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五、公告期限</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shd w:val="clear" w:color="auto" w:fill="FFFFFF"/>
        </w:rPr>
        <w:t>自本公告发布之日起5个工作日。</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六、其他补充事宜</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1、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2.其他事项：（1）需要落实的政府采购政策：对小微企业的产品、服务给予价格优惠（监狱企业、残疾人福利性单位视同小微企业；残疾人福利性单位属于小型、微型企业的，不重复享受政策），详见采购文件的第二部分总则。（2）2.1单位负责人为同一人或者存在直接控股、管理关系的不同供应商，不得参加同一合同项下的政府采购活动；为采购项目提供整体设计、规范编制或者项目管理、监理、检测等服务后不得再参加该采购项目的其他采购活动。2.2因信用中国网站中“重大税收违法案件当事人名单”已调整为”重大税收违法失信主体“，但政采云系统自动生成的仍为“重大税收违法案件当事人名单”，故查询的内容以“重大税收违法失信主体”为准。（3）电子招投标的说明：3.1电子招投标：本项目以数据电文形式，依托“政府采购云平台（www.zcygov.cn）”进行招投标活动，本项目需提供纸质投标文件（如内容不一致以电子投标文件为准）；3.2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3.3采购文件的获取：使用账号登录或者使用CA登录政采云平台；进入“项目采购”应用，在获取采购文件菜单中选择项目，获取采购文件；3.4投标文件的制作：在“政采云电子交易客户端”中完成“填写基本信息”、“导入投标文件”、“标书关联”、“标书检查”、“电子签名”、“生成电子标书”等操作；3.5采购人、采购代理机构将依托政采云平台完成本项目的电子交易活动，平台不接受未按上述方式获取采购文件的供应商进行投标活动；3.6对未按上述方式获取采购文件的供应商对该文件提出的质疑，采购人或采购代理机构将不予处理；3.7不提供采购文件纸质版；3.8投标文件的传输递交：投标人在投标截止时间前将加密的投标文件上传至政府采购云平台，还可以在投标截止时间前直接提交或者以邮政快递方式递交备份投标文件1份。备份投标文件的制作、存储、密封详见采购文件第三部分第4点—“备份投标文件”；3.9投标文件的解密：投标人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3.10具体操作指南：详见政采云平台“服务中心-帮助文档-项目采购-操作流程-电子招投标-政府采购项目电子交易管理操作指南-供应商”。（4）采购文件公告期限与采购公告的公告期限一致。</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Style w:val="51"/>
          <w:rFonts w:hint="eastAsia" w:ascii="宋体" w:hAnsi="宋体" w:cs="宋体"/>
          <w:sz w:val="21"/>
          <w:szCs w:val="21"/>
          <w:shd w:val="clear" w:color="auto" w:fill="FFFFFF"/>
        </w:rPr>
        <w:t>七、对本次招标提出询问、质疑、投诉，请按以下方式联系。</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1.采购人信息</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名    称：宁波市鄞州区人民政府潘火街道办事处</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地    址：</w:t>
      </w:r>
      <w:r>
        <w:rPr>
          <w:rFonts w:hint="eastAsia" w:ascii="宋体" w:hAnsi="宋体" w:cs="宋体"/>
          <w:sz w:val="21"/>
          <w:szCs w:val="21"/>
        </w:rPr>
        <w:t>宁波市鄞州区诚信路668号</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传    真：/</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项目联系人（询问）：周老师</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 xml:space="preserve">项目联系方式（询问）：0574-83088576      </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 xml:space="preserve">质疑联系人：杨老师  </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 xml:space="preserve">质疑联系方式：0574-83088576      </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2.采购代理机构信息</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名   称：宁波和丰建设项目管理有限公司</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地    址：宁波市鄞州区四明东路568号1号楼501室</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传     真：/</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项目联系人（询问）：巴敬文 </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项目联系方式（询问）：0574-88395925</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质疑联系人：张月侠</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质疑联系方式：0574-88395926</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3.同级政府采购监督管理部门</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名    称：</w:t>
      </w:r>
      <w:r>
        <w:rPr>
          <w:rFonts w:hint="eastAsia" w:ascii="宋体" w:hAnsi="宋体" w:cs="宋体"/>
          <w:sz w:val="21"/>
          <w:szCs w:val="21"/>
        </w:rPr>
        <w:t xml:space="preserve">宁波市鄞州区政府采购管理办公室 </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地    址：</w:t>
      </w:r>
      <w:r>
        <w:rPr>
          <w:rFonts w:hint="eastAsia" w:ascii="宋体" w:hAnsi="宋体" w:cs="宋体"/>
          <w:sz w:val="21"/>
          <w:szCs w:val="21"/>
        </w:rPr>
        <w:t xml:space="preserve">/   </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传     真：/</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shd w:val="clear" w:color="auto" w:fill="FFFFFF"/>
        </w:rPr>
      </w:pPr>
      <w:r>
        <w:rPr>
          <w:rFonts w:hint="eastAsia" w:ascii="宋体" w:hAnsi="宋体" w:cs="宋体"/>
          <w:sz w:val="21"/>
          <w:szCs w:val="21"/>
          <w:shd w:val="clear" w:color="auto" w:fill="FFFFFF"/>
        </w:rPr>
        <w:t>联  系  人：</w:t>
      </w:r>
      <w:r>
        <w:rPr>
          <w:rFonts w:hint="eastAsia" w:ascii="宋体" w:hAnsi="宋体" w:cs="宋体"/>
          <w:sz w:val="21"/>
          <w:szCs w:val="21"/>
        </w:rPr>
        <w:t>郑老师</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shd w:val="clear" w:color="auto" w:fill="FFFFFF"/>
        </w:rPr>
        <w:t>监督投诉电话：</w:t>
      </w:r>
      <w:r>
        <w:rPr>
          <w:rFonts w:hint="eastAsia" w:ascii="宋体" w:hAnsi="宋体" w:cs="宋体"/>
          <w:sz w:val="21"/>
          <w:szCs w:val="21"/>
        </w:rPr>
        <w:t>0574-89295894</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p>
    <w:p>
      <w:pPr>
        <w:pStyle w:val="45"/>
        <w:adjustRightInd w:val="0"/>
        <w:snapToGrid w:val="0"/>
        <w:spacing w:before="0" w:beforeAutospacing="0" w:after="0" w:afterAutospacing="0" w:line="360" w:lineRule="auto"/>
        <w:jc w:val="both"/>
        <w:rPr>
          <w:rFonts w:hint="eastAsia" w:ascii="宋体" w:hAnsi="宋体" w:cs="宋体"/>
          <w:sz w:val="21"/>
          <w:szCs w:val="21"/>
        </w:rPr>
      </w:pPr>
      <w:r>
        <w:rPr>
          <w:rFonts w:hint="eastAsia" w:ascii="宋体" w:hAnsi="宋体" w:cs="宋体"/>
          <w:sz w:val="21"/>
          <w:szCs w:val="21"/>
        </w:rPr>
        <w:t xml:space="preserve">若对项目采购电子交易系统操作有疑问，可登录政采云（https://www.zcygov.cn/），点击右侧咨询小采，获取采小蜜智能服务管家帮助，或拨打政采云服务热线400-881-7190获取热线服务帮助。       </w:t>
      </w:r>
    </w:p>
    <w:p>
      <w:pPr>
        <w:pStyle w:val="45"/>
        <w:adjustRightInd w:val="0"/>
        <w:snapToGrid w:val="0"/>
        <w:spacing w:before="0" w:beforeAutospacing="0" w:after="0" w:afterAutospacing="0" w:line="360" w:lineRule="auto"/>
        <w:jc w:val="both"/>
        <w:rPr>
          <w:rFonts w:hint="eastAsia" w:ascii="宋体" w:hAnsi="宋体" w:cs="宋体"/>
          <w:sz w:val="21"/>
          <w:szCs w:val="21"/>
        </w:rPr>
      </w:pPr>
      <w:r>
        <w:rPr>
          <w:rFonts w:hint="eastAsia" w:ascii="宋体" w:hAnsi="宋体" w:cs="宋体"/>
          <w:sz w:val="21"/>
          <w:szCs w:val="21"/>
        </w:rPr>
        <w:t>CA问题联系电话（人工）：汇信CA 400-888-4636；天谷CA 400-087-8198。</w:t>
      </w:r>
    </w:p>
    <w:p>
      <w:pPr>
        <w:adjustRightInd w:val="0"/>
        <w:snapToGrid w:val="0"/>
        <w:jc w:val="center"/>
        <w:outlineLvl w:val="0"/>
        <w:rPr>
          <w:rFonts w:hint="eastAsia" w:ascii="宋体" w:hAnsi="宋体" w:cs="宋体"/>
          <w:b/>
          <w:bCs/>
          <w:kern w:val="44"/>
          <w:sz w:val="32"/>
          <w:szCs w:val="32"/>
        </w:rPr>
      </w:pPr>
      <w:bookmarkStart w:id="7" w:name="_Toc2894"/>
      <w:bookmarkStart w:id="8" w:name="_Toc29498"/>
      <w:bookmarkStart w:id="9" w:name="_Toc17629"/>
      <w:bookmarkStart w:id="10" w:name="_Toc11688"/>
      <w:r>
        <w:rPr>
          <w:rFonts w:hint="eastAsia" w:ascii="宋体" w:hAnsi="宋体" w:cs="宋体"/>
          <w:sz w:val="32"/>
          <w:szCs w:val="32"/>
        </w:rPr>
        <w:br w:type="page"/>
      </w:r>
      <w:bookmarkStart w:id="11" w:name="_Toc12491"/>
      <w:r>
        <w:rPr>
          <w:rFonts w:hint="eastAsia" w:ascii="宋体" w:hAnsi="宋体" w:cs="宋体"/>
          <w:b/>
          <w:bCs/>
          <w:kern w:val="44"/>
          <w:sz w:val="32"/>
          <w:szCs w:val="32"/>
        </w:rPr>
        <w:t>第二章 采购需求</w:t>
      </w:r>
    </w:p>
    <w:p>
      <w:pPr>
        <w:snapToGrid w:val="0"/>
        <w:spacing w:before="156" w:beforeLines="50" w:after="156" w:afterLines="50"/>
        <w:ind w:left="238"/>
        <w:jc w:val="center"/>
        <w:outlineLvl w:val="1"/>
        <w:rPr>
          <w:rFonts w:hint="eastAsia" w:ascii="宋体" w:hAnsi="宋体"/>
          <w:b/>
          <w:szCs w:val="28"/>
        </w:rPr>
      </w:pPr>
      <w:bookmarkStart w:id="12" w:name="_Toc72268734"/>
      <w:bookmarkStart w:id="13" w:name="_Toc72268815"/>
      <w:r>
        <w:rPr>
          <w:rFonts w:hint="eastAsia" w:ascii="宋体" w:hAnsi="宋体"/>
          <w:b/>
          <w:szCs w:val="28"/>
        </w:rPr>
        <w:t>前附表</w:t>
      </w:r>
      <w:bookmarkEnd w:id="12"/>
      <w:bookmarkEnd w:id="13"/>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277"/>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序号</w:t>
            </w:r>
          </w:p>
        </w:tc>
        <w:tc>
          <w:tcPr>
            <w:tcW w:w="2277"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项目</w:t>
            </w:r>
          </w:p>
        </w:tc>
        <w:tc>
          <w:tcPr>
            <w:tcW w:w="5191"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采购内容</w:t>
            </w:r>
          </w:p>
        </w:tc>
        <w:tc>
          <w:tcPr>
            <w:tcW w:w="5191" w:type="dxa"/>
            <w:noWrap w:val="0"/>
            <w:vAlign w:val="center"/>
          </w:tcPr>
          <w:p>
            <w:pPr>
              <w:spacing w:line="360" w:lineRule="auto"/>
              <w:jc w:val="left"/>
              <w:rPr>
                <w:rFonts w:hint="eastAsia" w:ascii="宋体" w:hAnsi="宋体" w:cs="宋体"/>
                <w:szCs w:val="21"/>
              </w:rPr>
            </w:pPr>
            <w:r>
              <w:rPr>
                <w:rFonts w:hint="eastAsia" w:ascii="宋体" w:hAnsi="宋体" w:cs="宋体"/>
                <w:bCs/>
                <w:szCs w:val="21"/>
              </w:rPr>
              <w:t>详见</w:t>
            </w:r>
            <w:r>
              <w:rPr>
                <w:rFonts w:hint="eastAsia" w:ascii="宋体" w:hAnsi="宋体" w:cs="宋体"/>
                <w:szCs w:val="21"/>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单位及数量</w:t>
            </w:r>
          </w:p>
        </w:tc>
        <w:tc>
          <w:tcPr>
            <w:tcW w:w="5191" w:type="dxa"/>
            <w:noWrap w:val="0"/>
            <w:vAlign w:val="center"/>
          </w:tcPr>
          <w:p>
            <w:pPr>
              <w:spacing w:line="360" w:lineRule="auto"/>
              <w:jc w:val="left"/>
              <w:rPr>
                <w:rFonts w:hint="eastAsia" w:ascii="宋体" w:hAnsi="宋体" w:cs="宋体"/>
                <w:szCs w:val="21"/>
              </w:rPr>
            </w:pPr>
            <w:r>
              <w:rPr>
                <w:rFonts w:hint="eastAsia" w:ascii="宋体" w:hAnsi="宋体" w:cs="宋体"/>
                <w:bCs/>
                <w:szCs w:val="21"/>
              </w:rPr>
              <w:t>详见</w:t>
            </w:r>
            <w:r>
              <w:rPr>
                <w:rFonts w:hint="eastAsia" w:ascii="宋体" w:hAnsi="宋体" w:cs="宋体"/>
                <w:szCs w:val="21"/>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2277" w:type="dxa"/>
            <w:noWrap w:val="0"/>
            <w:vAlign w:val="center"/>
          </w:tcPr>
          <w:p>
            <w:pPr>
              <w:spacing w:line="360" w:lineRule="auto"/>
              <w:jc w:val="left"/>
              <w:textAlignment w:val="baseline"/>
              <w:rPr>
                <w:rFonts w:hint="eastAsia" w:ascii="宋体" w:hAnsi="宋体" w:cs="宋体"/>
                <w:szCs w:val="21"/>
              </w:rPr>
            </w:pPr>
            <w:r>
              <w:rPr>
                <w:rFonts w:hint="eastAsia" w:ascii="宋体" w:hAnsi="宋体" w:cs="宋体"/>
                <w:szCs w:val="21"/>
              </w:rPr>
              <w:t>服务期限和服务地点</w:t>
            </w:r>
          </w:p>
        </w:tc>
        <w:tc>
          <w:tcPr>
            <w:tcW w:w="5191" w:type="dxa"/>
            <w:noWrap w:val="0"/>
            <w:vAlign w:val="center"/>
          </w:tcPr>
          <w:p>
            <w:pPr>
              <w:spacing w:line="360" w:lineRule="auto"/>
              <w:jc w:val="left"/>
              <w:rPr>
                <w:rFonts w:hint="eastAsia" w:ascii="宋体" w:hAnsi="宋体" w:cs="宋体"/>
                <w:szCs w:val="21"/>
              </w:rPr>
            </w:pPr>
            <w:r>
              <w:rPr>
                <w:rFonts w:hint="eastAsia" w:ascii="宋体" w:hAnsi="宋体" w:cs="宋体"/>
                <w:szCs w:val="21"/>
              </w:rPr>
              <w:t>详见第一章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2277" w:type="dxa"/>
            <w:noWrap w:val="0"/>
            <w:vAlign w:val="center"/>
          </w:tcPr>
          <w:p>
            <w:pPr>
              <w:spacing w:line="360" w:lineRule="auto"/>
              <w:jc w:val="left"/>
              <w:textAlignment w:val="baseline"/>
              <w:rPr>
                <w:rFonts w:hint="eastAsia" w:ascii="宋体" w:hAnsi="宋体" w:cs="宋体"/>
                <w:szCs w:val="21"/>
              </w:rPr>
            </w:pPr>
            <w:r>
              <w:rPr>
                <w:rFonts w:hint="eastAsia" w:ascii="宋体" w:hAnsi="宋体" w:cs="宋体"/>
                <w:szCs w:val="21"/>
              </w:rPr>
              <w:t>需实现的功能或者目标</w:t>
            </w:r>
          </w:p>
        </w:tc>
        <w:tc>
          <w:tcPr>
            <w:tcW w:w="5191" w:type="dxa"/>
            <w:noWrap w:val="0"/>
            <w:vAlign w:val="center"/>
          </w:tcPr>
          <w:p>
            <w:pPr>
              <w:spacing w:line="360" w:lineRule="auto"/>
              <w:jc w:val="left"/>
              <w:rPr>
                <w:rFonts w:hint="eastAsia" w:ascii="宋体" w:hAnsi="宋体" w:cs="宋体"/>
                <w:szCs w:val="21"/>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5</w:t>
            </w:r>
          </w:p>
        </w:tc>
        <w:tc>
          <w:tcPr>
            <w:tcW w:w="2277" w:type="dxa"/>
            <w:noWrap w:val="0"/>
            <w:vAlign w:val="center"/>
          </w:tcPr>
          <w:p>
            <w:pPr>
              <w:spacing w:line="360" w:lineRule="auto"/>
              <w:jc w:val="left"/>
              <w:textAlignment w:val="baseline"/>
              <w:rPr>
                <w:rFonts w:hint="eastAsia" w:ascii="宋体" w:hAnsi="宋体" w:cs="宋体"/>
                <w:szCs w:val="21"/>
              </w:rPr>
            </w:pPr>
            <w:r>
              <w:rPr>
                <w:rFonts w:hint="eastAsia" w:ascii="宋体" w:hAnsi="宋体" w:cs="宋体"/>
                <w:szCs w:val="21"/>
              </w:rPr>
              <w:t>执行的国家相关标准、行业标准、地方标准或者其它标准、规范</w:t>
            </w:r>
          </w:p>
        </w:tc>
        <w:tc>
          <w:tcPr>
            <w:tcW w:w="5191" w:type="dxa"/>
            <w:noWrap w:val="0"/>
            <w:vAlign w:val="center"/>
          </w:tcPr>
          <w:p>
            <w:pPr>
              <w:spacing w:line="360" w:lineRule="auto"/>
              <w:jc w:val="left"/>
              <w:rPr>
                <w:rFonts w:ascii="宋体" w:hAnsi="宋体" w:cs="宋体"/>
                <w:szCs w:val="21"/>
              </w:rPr>
            </w:pPr>
            <w:r>
              <w:rPr>
                <w:rFonts w:hint="eastAsia" w:ascii="宋体" w:hAnsi="宋体" w:cs="宋体"/>
                <w:szCs w:val="21"/>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6</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技术规格要求</w:t>
            </w:r>
          </w:p>
        </w:tc>
        <w:tc>
          <w:tcPr>
            <w:tcW w:w="5191" w:type="dxa"/>
            <w:noWrap w:val="0"/>
            <w:vAlign w:val="top"/>
          </w:tcPr>
          <w:p>
            <w:pPr>
              <w:spacing w:line="360" w:lineRule="auto"/>
              <w:rPr>
                <w:rFonts w:hint="eastAsia" w:ascii="宋体" w:hAnsi="宋体" w:cs="宋体"/>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7</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物理特性要求</w:t>
            </w:r>
          </w:p>
        </w:tc>
        <w:tc>
          <w:tcPr>
            <w:tcW w:w="5191" w:type="dxa"/>
            <w:noWrap w:val="0"/>
            <w:vAlign w:val="top"/>
          </w:tcPr>
          <w:p>
            <w:pPr>
              <w:spacing w:line="360" w:lineRule="auto"/>
              <w:rPr>
                <w:rFonts w:hint="eastAsia" w:ascii="宋体" w:hAnsi="宋体" w:cs="宋体"/>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8</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质量、安全要求</w:t>
            </w:r>
          </w:p>
        </w:tc>
        <w:tc>
          <w:tcPr>
            <w:tcW w:w="5191" w:type="dxa"/>
            <w:noWrap w:val="0"/>
            <w:vAlign w:val="center"/>
          </w:tcPr>
          <w:p>
            <w:pPr>
              <w:spacing w:line="360" w:lineRule="auto"/>
              <w:rPr>
                <w:rFonts w:hint="eastAsia" w:ascii="宋体" w:hAnsi="宋体" w:cs="宋体"/>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9</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服务标准、期限、效率(培训等）</w:t>
            </w:r>
          </w:p>
        </w:tc>
        <w:tc>
          <w:tcPr>
            <w:tcW w:w="5191" w:type="dxa"/>
            <w:noWrap w:val="0"/>
            <w:vAlign w:val="center"/>
          </w:tcPr>
          <w:p>
            <w:pPr>
              <w:spacing w:line="360" w:lineRule="auto"/>
              <w:jc w:val="left"/>
              <w:rPr>
                <w:rFonts w:hint="eastAsia" w:ascii="宋体" w:hAnsi="宋体" w:cs="宋体"/>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10</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验收标准</w:t>
            </w:r>
          </w:p>
        </w:tc>
        <w:tc>
          <w:tcPr>
            <w:tcW w:w="5191" w:type="dxa"/>
            <w:noWrap w:val="0"/>
            <w:vAlign w:val="center"/>
          </w:tcPr>
          <w:p>
            <w:pPr>
              <w:spacing w:line="360" w:lineRule="auto"/>
              <w:jc w:val="left"/>
              <w:rPr>
                <w:rFonts w:hint="eastAsia" w:ascii="宋体" w:hAnsi="宋体" w:cs="宋体"/>
              </w:rPr>
            </w:pPr>
            <w:r>
              <w:rPr>
                <w:rFonts w:hint="eastAsia" w:ascii="宋体" w:hAnsi="宋体" w:cs="宋体"/>
                <w:szCs w:val="21"/>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11</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现场踏勘</w:t>
            </w:r>
          </w:p>
        </w:tc>
        <w:tc>
          <w:tcPr>
            <w:tcW w:w="5191" w:type="dxa"/>
            <w:noWrap w:val="0"/>
            <w:vAlign w:val="center"/>
          </w:tcPr>
          <w:p>
            <w:pPr>
              <w:spacing w:line="360" w:lineRule="auto"/>
              <w:rPr>
                <w:rFonts w:hint="eastAsia" w:ascii="宋体" w:hAnsi="宋体" w:cs="宋体"/>
                <w:szCs w:val="21"/>
              </w:rPr>
            </w:pPr>
            <w:r>
              <w:rPr>
                <w:rFonts w:hint="eastAsia" w:ascii="宋体" w:hAnsi="宋体" w:cs="宋体"/>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12</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演示时间及地点</w:t>
            </w:r>
          </w:p>
        </w:tc>
        <w:tc>
          <w:tcPr>
            <w:tcW w:w="5191" w:type="dxa"/>
            <w:noWrap w:val="0"/>
            <w:vAlign w:val="center"/>
          </w:tcPr>
          <w:p>
            <w:pPr>
              <w:spacing w:line="360" w:lineRule="auto"/>
              <w:rPr>
                <w:rFonts w:hint="eastAsia"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13</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样品要求</w:t>
            </w:r>
          </w:p>
        </w:tc>
        <w:tc>
          <w:tcPr>
            <w:tcW w:w="5191" w:type="dxa"/>
            <w:noWrap w:val="0"/>
            <w:vAlign w:val="center"/>
          </w:tcPr>
          <w:p>
            <w:pPr>
              <w:spacing w:line="360" w:lineRule="auto"/>
              <w:rPr>
                <w:rFonts w:hint="eastAsia"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spacing w:line="360" w:lineRule="auto"/>
              <w:jc w:val="center"/>
              <w:rPr>
                <w:rFonts w:hint="eastAsia" w:ascii="宋体" w:hAnsi="宋体" w:cs="宋体"/>
                <w:szCs w:val="21"/>
              </w:rPr>
            </w:pPr>
            <w:r>
              <w:rPr>
                <w:rFonts w:hint="eastAsia" w:ascii="宋体" w:hAnsi="宋体" w:cs="宋体"/>
                <w:szCs w:val="21"/>
              </w:rPr>
              <w:t>14</w:t>
            </w:r>
          </w:p>
        </w:tc>
        <w:tc>
          <w:tcPr>
            <w:tcW w:w="2277" w:type="dxa"/>
            <w:noWrap w:val="0"/>
            <w:vAlign w:val="center"/>
          </w:tcPr>
          <w:p>
            <w:pPr>
              <w:spacing w:line="360" w:lineRule="auto"/>
              <w:jc w:val="left"/>
              <w:rPr>
                <w:rFonts w:hint="eastAsia" w:ascii="宋体" w:hAnsi="宋体" w:cs="宋体"/>
                <w:szCs w:val="21"/>
              </w:rPr>
            </w:pPr>
            <w:r>
              <w:rPr>
                <w:rFonts w:hint="eastAsia" w:ascii="宋体" w:hAnsi="宋体" w:cs="宋体"/>
                <w:szCs w:val="21"/>
              </w:rPr>
              <w:t>本项目的核心产品</w:t>
            </w:r>
          </w:p>
        </w:tc>
        <w:tc>
          <w:tcPr>
            <w:tcW w:w="5191" w:type="dxa"/>
            <w:noWrap w:val="0"/>
            <w:vAlign w:val="center"/>
          </w:tcPr>
          <w:p>
            <w:pPr>
              <w:spacing w:line="360" w:lineRule="auto"/>
              <w:rPr>
                <w:rFonts w:hint="eastAsia" w:ascii="宋体" w:hAnsi="宋体" w:cs="宋体"/>
                <w:szCs w:val="21"/>
              </w:rPr>
            </w:pPr>
            <w:r>
              <w:rPr>
                <w:rFonts w:hint="eastAsia" w:ascii="宋体" w:hAnsi="宋体" w:cs="宋体"/>
                <w:szCs w:val="21"/>
              </w:rPr>
              <w:t>无</w:t>
            </w:r>
          </w:p>
        </w:tc>
      </w:tr>
    </w:tbl>
    <w:p>
      <w:pPr>
        <w:spacing w:line="360" w:lineRule="auto"/>
        <w:ind w:firstLine="420"/>
        <w:rPr>
          <w:rFonts w:ascii="宋体" w:hAnsi="宋体" w:cs="宋体"/>
        </w:rPr>
      </w:pPr>
      <w:r>
        <w:rPr>
          <w:rFonts w:hint="eastAsia" w:ascii="宋体" w:hAnsi="宋体" w:cs="宋体"/>
        </w:rPr>
        <w:t xml:space="preserve"> </w:t>
      </w:r>
    </w:p>
    <w:p>
      <w:pPr>
        <w:pStyle w:val="26"/>
        <w:snapToGrid w:val="0"/>
        <w:spacing w:before="120" w:beforeLines="0" w:after="120" w:afterLines="0" w:line="240" w:lineRule="auto"/>
        <w:outlineLvl w:val="0"/>
        <w:rPr>
          <w:rFonts w:hAnsi="宋体"/>
          <w:b/>
          <w:bCs/>
          <w:sz w:val="21"/>
        </w:rPr>
      </w:pPr>
      <w:bookmarkStart w:id="14" w:name="_Toc72268770"/>
      <w:bookmarkStart w:id="15" w:name="_Toc72268851"/>
    </w:p>
    <w:p>
      <w:pPr>
        <w:pStyle w:val="26"/>
        <w:snapToGrid w:val="0"/>
        <w:spacing w:before="120" w:beforeLines="0" w:after="120" w:afterLines="0" w:line="240" w:lineRule="auto"/>
        <w:outlineLvl w:val="0"/>
        <w:rPr>
          <w:rFonts w:hAnsi="宋体"/>
          <w:b/>
          <w:bCs/>
          <w:sz w:val="21"/>
        </w:rPr>
      </w:pPr>
    </w:p>
    <w:p>
      <w:pPr>
        <w:pStyle w:val="26"/>
        <w:snapToGrid w:val="0"/>
        <w:spacing w:before="120" w:beforeLines="0" w:after="120" w:afterLines="0" w:line="240" w:lineRule="auto"/>
        <w:outlineLvl w:val="0"/>
        <w:rPr>
          <w:rFonts w:hAnsi="宋体"/>
          <w:b/>
          <w:bCs/>
          <w:sz w:val="21"/>
        </w:rPr>
      </w:pPr>
      <w:r>
        <w:rPr>
          <w:rFonts w:hAnsi="宋体"/>
          <w:b/>
          <w:bCs/>
          <w:sz w:val="21"/>
        </w:rPr>
        <w:t>一、商务要求表</w:t>
      </w:r>
      <w:bookmarkEnd w:id="14"/>
      <w:bookmarkEnd w:id="15"/>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9"/>
        <w:gridCol w:w="6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rPr>
            </w:pPr>
            <w:bookmarkStart w:id="16" w:name="_Toc513103337"/>
            <w:r>
              <w:rPr>
                <w:rFonts w:hint="eastAsia" w:ascii="宋体" w:hAnsi="宋体" w:cs="宋体"/>
                <w:b/>
                <w:bCs/>
                <w:szCs w:val="21"/>
              </w:rPr>
              <w:t>项目</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szCs w:val="21"/>
              </w:rPr>
            </w:pPr>
            <w:r>
              <w:rPr>
                <w:rFonts w:hint="eastAsia" w:ascii="宋体" w:hAnsi="宋体" w:cs="宋体"/>
                <w:szCs w:val="21"/>
              </w:rPr>
              <w:t>1、合同履行期限</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详见第一章 《公开招标公告》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2、付款方式</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rPr>
            </w:pPr>
            <w:r>
              <w:rPr>
                <w:rFonts w:ascii="宋体" w:hAnsi="宋体" w:cs="宋体"/>
                <w:szCs w:val="21"/>
              </w:rPr>
              <w:t>每两个月拨付一次，每月的服务经费金额与当月的考核结果相挂钩。每月核拨基准额度=合同总价/12，</w:t>
            </w:r>
            <w:r>
              <w:rPr>
                <w:rFonts w:hint="eastAsia" w:ascii="宋体" w:hAnsi="宋体" w:cs="宋体"/>
                <w:szCs w:val="21"/>
              </w:rPr>
              <w:t>采购人</w:t>
            </w:r>
            <w:r>
              <w:rPr>
                <w:rFonts w:ascii="宋体" w:hAnsi="宋体" w:cs="宋体"/>
                <w:szCs w:val="21"/>
              </w:rPr>
              <w:t>每月按考核评分表进行评分，考核结果直接与月度养护经费挂钩。每两个月考核后，由</w:t>
            </w:r>
            <w:r>
              <w:rPr>
                <w:rFonts w:hint="eastAsia" w:ascii="宋体" w:hAnsi="宋体" w:cs="宋体"/>
                <w:szCs w:val="21"/>
              </w:rPr>
              <w:t>采购人</w:t>
            </w:r>
            <w:r>
              <w:rPr>
                <w:rFonts w:ascii="宋体" w:hAnsi="宋体" w:cs="宋体"/>
                <w:szCs w:val="21"/>
              </w:rPr>
              <w:t>核拨给</w:t>
            </w:r>
            <w:r>
              <w:rPr>
                <w:rFonts w:hint="eastAsia" w:ascii="宋体" w:hAnsi="宋体" w:cs="宋体"/>
                <w:szCs w:val="21"/>
              </w:rPr>
              <w:t>中标人</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3、合同终止</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rPr>
              <w:t>1.中标人在合同有效期内，不得无理由终止合同，确有特殊情况的，须提前两个月向采购人提出书面申请，经采购人同意后，方可终止合同。因中标人不能保证工作质量，或发生重大差错事故的，采购人可有权终止协议，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szCs w:val="21"/>
              </w:rPr>
            </w:pPr>
            <w:r>
              <w:rPr>
                <w:rFonts w:hint="eastAsia" w:ascii="宋体" w:hAnsi="宋体" w:cs="宋体"/>
                <w:szCs w:val="21"/>
              </w:rPr>
              <w:t>4、履约保证金</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51" w:lineRule="auto"/>
              <w:ind w:right="156"/>
              <w:rPr>
                <w:rFonts w:hint="eastAsia" w:ascii="宋体" w:hAnsi="宋体" w:cs="宋体"/>
                <w:szCs w:val="21"/>
              </w:rPr>
            </w:pPr>
            <w:r>
              <w:rPr>
                <w:rFonts w:hint="eastAsia" w:ascii="宋体" w:hAnsi="宋体" w:cs="宋体"/>
                <w:szCs w:val="21"/>
              </w:rPr>
              <w:t>1.乙方在签订本合同之前向甲方提交中标标项合同</w:t>
            </w:r>
            <w:r>
              <w:rPr>
                <w:rFonts w:ascii="宋体" w:hAnsi="宋体" w:cs="宋体"/>
                <w:szCs w:val="21"/>
              </w:rPr>
              <w:t>金额</w:t>
            </w:r>
            <w:r>
              <w:rPr>
                <w:rFonts w:hint="eastAsia" w:ascii="宋体" w:hAnsi="宋体" w:cs="宋体"/>
                <w:szCs w:val="21"/>
              </w:rPr>
              <w:t>1%的履约保证金。</w:t>
            </w:r>
          </w:p>
          <w:p>
            <w:pPr>
              <w:spacing w:line="351" w:lineRule="auto"/>
              <w:ind w:right="156"/>
              <w:rPr>
                <w:rFonts w:hint="eastAsia" w:ascii="宋体" w:hAnsi="宋体" w:cs="宋体"/>
                <w:szCs w:val="21"/>
              </w:rPr>
            </w:pPr>
            <w:r>
              <w:rPr>
                <w:rFonts w:hint="eastAsia" w:ascii="宋体" w:hAnsi="宋体" w:cs="宋体"/>
                <w:szCs w:val="21"/>
              </w:rPr>
              <w:t>2.履约保证金形式：保险保单、银行保函等非现金形式。</w:t>
            </w:r>
          </w:p>
          <w:p>
            <w:pPr>
              <w:spacing w:line="351" w:lineRule="auto"/>
              <w:ind w:right="156"/>
              <w:rPr>
                <w:rFonts w:ascii="宋体" w:hAnsi="宋体" w:cs="宋体"/>
                <w:spacing w:val="1"/>
                <w:szCs w:val="21"/>
              </w:rPr>
            </w:pPr>
            <w:r>
              <w:rPr>
                <w:rFonts w:hint="eastAsia" w:ascii="宋体" w:hAnsi="宋体" w:cs="宋体"/>
                <w:szCs w:val="21"/>
              </w:rPr>
              <w:t>3.履约保证金的退取：待乙方完成合同履约后一个月内返还。如在合同履约期间未完全履行合同内容的，甲方将视其情节严重程度给予相应处罚，直至没收其履约保证金，甲方保留终止合同的权利。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szCs w:val="21"/>
              </w:rPr>
            </w:pPr>
            <w:r>
              <w:rPr>
                <w:rFonts w:hint="eastAsia" w:ascii="宋体" w:hAnsi="宋体" w:cs="宋体"/>
                <w:szCs w:val="21"/>
              </w:rPr>
              <w:t>*5、对采购内容进行变更的处理</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36" w:lineRule="auto"/>
              <w:textAlignment w:val="baseline"/>
              <w:rPr>
                <w:rFonts w:hint="eastAsia" w:ascii="宋体" w:hAnsi="宋体" w:cs="宋体"/>
                <w:szCs w:val="21"/>
              </w:rPr>
            </w:pPr>
            <w:r>
              <w:rPr>
                <w:rFonts w:hint="eastAsia" w:ascii="宋体" w:hAnsi="宋体" w:cs="宋体"/>
                <w:szCs w:val="21"/>
              </w:rPr>
              <w:t>1、合同期内，因故致使本项目服务范围调整，经采购人同意进行增减，按新范围重新测算服务费（调整范围不超过±10%），以联系单为准；</w:t>
            </w:r>
          </w:p>
          <w:p>
            <w:pPr>
              <w:spacing w:line="336" w:lineRule="auto"/>
              <w:textAlignment w:val="baseline"/>
              <w:rPr>
                <w:rFonts w:hint="eastAsia" w:ascii="宋体" w:hAnsi="宋体" w:cs="宋体"/>
                <w:szCs w:val="21"/>
              </w:rPr>
            </w:pPr>
            <w:r>
              <w:rPr>
                <w:rFonts w:hint="eastAsia" w:ascii="宋体" w:hAnsi="宋体" w:cs="宋体"/>
                <w:szCs w:val="21"/>
              </w:rPr>
              <w:t>2、国家上调最低工资标准和养老保险标准的，采购人均不作费用调整，供应商报价时须进行综合考虑。</w:t>
            </w:r>
          </w:p>
          <w:p>
            <w:pPr>
              <w:spacing w:line="351" w:lineRule="auto"/>
              <w:ind w:right="156"/>
              <w:rPr>
                <w:rFonts w:hint="eastAsia"/>
              </w:rPr>
            </w:pPr>
            <w:r>
              <w:rPr>
                <w:rFonts w:hint="eastAsia" w:ascii="宋体" w:hAnsi="宋体" w:cs="宋体"/>
                <w:szCs w:val="21"/>
              </w:rPr>
              <w:t>3、因工作需要调整服务标准的，按新标准重新测算服务费。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109" w:type="dxa"/>
            <w:tcBorders>
              <w:top w:val="single" w:color="auto" w:sz="4" w:space="0"/>
              <w:left w:val="single" w:color="auto" w:sz="4" w:space="0"/>
              <w:bottom w:val="single" w:color="auto" w:sz="4" w:space="0"/>
              <w:right w:val="single" w:color="auto" w:sz="4" w:space="0"/>
            </w:tcBorders>
            <w:noWrap w:val="0"/>
            <w:vAlign w:val="center"/>
          </w:tcPr>
          <w:p>
            <w:pPr>
              <w:tabs>
                <w:tab w:val="left" w:pos="3234"/>
              </w:tabs>
              <w:spacing w:line="336" w:lineRule="auto"/>
              <w:jc w:val="left"/>
              <w:rPr>
                <w:rFonts w:hint="eastAsia" w:ascii="宋体" w:hAnsi="宋体" w:cs="宋体"/>
                <w:szCs w:val="21"/>
              </w:rPr>
            </w:pPr>
            <w:r>
              <w:rPr>
                <w:rFonts w:hint="eastAsia" w:ascii="宋体" w:hAnsi="宋体" w:cs="宋体"/>
                <w:szCs w:val="21"/>
              </w:rPr>
              <w:t>6、合同终止</w:t>
            </w:r>
          </w:p>
        </w:tc>
        <w:tc>
          <w:tcPr>
            <w:tcW w:w="6504" w:type="dxa"/>
            <w:tcBorders>
              <w:top w:val="single" w:color="auto" w:sz="4" w:space="0"/>
              <w:left w:val="single" w:color="auto" w:sz="4" w:space="0"/>
              <w:bottom w:val="single" w:color="auto" w:sz="4" w:space="0"/>
              <w:right w:val="single" w:color="auto" w:sz="4" w:space="0"/>
            </w:tcBorders>
            <w:noWrap w:val="0"/>
            <w:vAlign w:val="center"/>
          </w:tcPr>
          <w:p>
            <w:pPr>
              <w:spacing w:line="336" w:lineRule="auto"/>
              <w:textAlignment w:val="baseline"/>
              <w:rPr>
                <w:rFonts w:hint="eastAsia" w:ascii="宋体" w:hAnsi="宋体" w:cs="宋体"/>
                <w:szCs w:val="21"/>
              </w:rPr>
            </w:pPr>
            <w:r>
              <w:rPr>
                <w:rFonts w:hint="eastAsia" w:ascii="宋体" w:hAnsi="宋体" w:cs="宋体"/>
                <w:szCs w:val="21"/>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tc>
      </w:tr>
      <w:bookmarkEnd w:id="16"/>
    </w:tbl>
    <w:p>
      <w:pPr>
        <w:snapToGrid w:val="0"/>
        <w:rPr>
          <w:rFonts w:ascii="宋体" w:hAnsi="宋体"/>
        </w:rPr>
      </w:pPr>
    </w:p>
    <w:p>
      <w:pPr>
        <w:pStyle w:val="7"/>
        <w:numPr>
          <w:ilvl w:val="0"/>
          <w:numId w:val="2"/>
        </w:numPr>
        <w:spacing w:line="360" w:lineRule="auto"/>
        <w:ind w:firstLine="0"/>
        <w:rPr>
          <w:rFonts w:hint="eastAsia" w:ascii="宋体" w:hAnsi="宋体"/>
          <w:b/>
          <w:bCs/>
          <w:szCs w:val="21"/>
        </w:rPr>
      </w:pPr>
      <w:r>
        <w:rPr>
          <w:rFonts w:hint="eastAsia" w:ascii="宋体" w:hAnsi="宋体"/>
          <w:b/>
          <w:bCs/>
          <w:szCs w:val="21"/>
        </w:rPr>
        <w:t>服务内容</w:t>
      </w:r>
    </w:p>
    <w:p>
      <w:pPr>
        <w:pStyle w:val="7"/>
        <w:spacing w:line="360" w:lineRule="auto"/>
        <w:ind w:firstLine="0"/>
        <w:rPr>
          <w:rFonts w:hint="eastAsia" w:ascii="宋体" w:hAnsi="宋体" w:cs="宋体"/>
          <w:b/>
        </w:rPr>
      </w:pPr>
      <w:r>
        <w:rPr>
          <w:rFonts w:hint="eastAsia" w:ascii="宋体" w:hAnsi="宋体" w:cs="宋体"/>
          <w:b/>
        </w:rPr>
        <w:t>（一）服务范围及内容</w:t>
      </w:r>
    </w:p>
    <w:p>
      <w:pPr>
        <w:pStyle w:val="7"/>
        <w:spacing w:line="360" w:lineRule="auto"/>
        <w:ind w:firstLine="422" w:firstLineChars="200"/>
        <w:rPr>
          <w:rFonts w:ascii="宋体" w:hAnsi="宋体" w:cs="宋体"/>
          <w:b/>
        </w:rPr>
      </w:pPr>
      <w:r>
        <w:rPr>
          <w:rFonts w:hint="eastAsia" w:ascii="宋体" w:hAnsi="宋体" w:cs="宋体"/>
          <w:b/>
        </w:rPr>
        <w:t>1、服务范围【以下所列数量（面积）为暂定数量，最终面积以采购人实际交接的面积为准。】</w:t>
      </w:r>
    </w:p>
    <w:p>
      <w:pPr>
        <w:pStyle w:val="7"/>
        <w:spacing w:line="360" w:lineRule="auto"/>
        <w:ind w:firstLineChars="200"/>
        <w:rPr>
          <w:rFonts w:hint="eastAsia" w:ascii="宋体" w:hAnsi="宋体" w:cs="宋体"/>
          <w:bCs/>
        </w:rPr>
      </w:pPr>
      <w:r>
        <w:rPr>
          <w:rFonts w:hint="eastAsia" w:ascii="宋体" w:hAnsi="宋体" w:cs="宋体"/>
          <w:bCs/>
        </w:rPr>
        <w:t>本次服务范围道路绿化总面积为416357m2，公园绿化总面积为225180m2，苗圃总面积为36003m2，退红区域总面积为32254m2，时令草花面积为1882m2，行道树8349棵，公厕3座。具体范围详见附件9。</w:t>
      </w:r>
    </w:p>
    <w:p>
      <w:pPr>
        <w:pStyle w:val="7"/>
        <w:spacing w:line="360" w:lineRule="auto"/>
        <w:ind w:firstLine="422" w:firstLineChars="200"/>
        <w:rPr>
          <w:rFonts w:ascii="宋体" w:hAnsi="宋体" w:cs="宋体"/>
          <w:bCs/>
        </w:rPr>
      </w:pPr>
      <w:r>
        <w:rPr>
          <w:rFonts w:hint="eastAsia" w:ascii="宋体" w:hAnsi="宋体" w:cs="宋体"/>
          <w:b/>
        </w:rPr>
        <w:t>2、服务内容：</w:t>
      </w:r>
      <w:r>
        <w:rPr>
          <w:rFonts w:hint="eastAsia" w:ascii="宋体" w:hAnsi="宋体" w:cs="宋体"/>
          <w:bCs/>
        </w:rPr>
        <w:t>日常巡查管理、绿化养护（乔木、灌木、草坪、地被、水生植物、垂直绿化、时令草花、花境等植物的日常养护，包括水肥管理、中耕除草、培土、修剪整形、补植涂白、病虫害防治等）、绿地保洁、配套设施维护、应急或突发事件处理、抗台防汛、冰冻雪灾、暴雨、重大活动保障等涉及绿化养护、绿地管理、公厕日常保洁维护以及配合采购人完成日常简易清理杂草作业等一系列工作。</w:t>
      </w:r>
    </w:p>
    <w:p>
      <w:pPr>
        <w:pStyle w:val="7"/>
        <w:spacing w:line="360" w:lineRule="auto"/>
        <w:ind w:firstLine="0"/>
        <w:rPr>
          <w:rFonts w:hint="eastAsia" w:ascii="宋体" w:hAnsi="宋体" w:cs="宋体"/>
          <w:b/>
        </w:rPr>
      </w:pPr>
      <w:r>
        <w:rPr>
          <w:rFonts w:hint="eastAsia" w:ascii="宋体" w:hAnsi="宋体" w:cs="宋体"/>
          <w:b/>
        </w:rPr>
        <w:t>（二）服务标准</w:t>
      </w:r>
    </w:p>
    <w:p>
      <w:pPr>
        <w:pStyle w:val="7"/>
        <w:spacing w:line="360" w:lineRule="auto"/>
        <w:ind w:firstLineChars="200"/>
        <w:rPr>
          <w:rFonts w:hint="eastAsia" w:ascii="宋体" w:hAnsi="宋体" w:cs="宋体"/>
          <w:bCs/>
        </w:rPr>
      </w:pPr>
      <w:r>
        <w:rPr>
          <w:rFonts w:hint="eastAsia" w:ascii="宋体" w:hAnsi="宋体" w:cs="宋体"/>
          <w:bCs/>
        </w:rPr>
        <w:t>1、养护技术规程参照现行的《宁波市城市绿地养护技术规范》DB3302/T 1117-2020，中标人遵照《宁波市城市绿地养护质量等级标准》DB3302/T 1016-2010中相应绿地养护质量等级标准执行，公厕保洁要求详见《附件2：厕所保洁质量及保洁作业要求》。</w:t>
      </w:r>
    </w:p>
    <w:p>
      <w:pPr>
        <w:pStyle w:val="7"/>
        <w:spacing w:line="360" w:lineRule="auto"/>
        <w:ind w:firstLineChars="200"/>
        <w:rPr>
          <w:rFonts w:hint="eastAsia" w:ascii="宋体" w:hAnsi="宋体" w:cs="宋体"/>
          <w:bCs/>
        </w:rPr>
      </w:pPr>
      <w:r>
        <w:rPr>
          <w:rFonts w:hint="eastAsia" w:ascii="宋体" w:hAnsi="宋体" w:cs="宋体"/>
          <w:bCs/>
        </w:rPr>
        <w:t>2、承包方式：包工包料，合同价（合同价在总承包期内）不因市场因素和政策因素的调整（包含最低工资、社保的调整）而调整。</w:t>
      </w:r>
    </w:p>
    <w:p>
      <w:pPr>
        <w:pStyle w:val="7"/>
        <w:spacing w:line="360" w:lineRule="auto"/>
        <w:ind w:firstLineChars="200"/>
        <w:rPr>
          <w:rFonts w:hint="eastAsia" w:ascii="宋体" w:hAnsi="宋体" w:cs="宋体"/>
          <w:bCs/>
        </w:rPr>
      </w:pPr>
      <w:r>
        <w:rPr>
          <w:rFonts w:hint="eastAsia" w:ascii="宋体" w:hAnsi="宋体" w:cs="宋体"/>
          <w:bCs/>
        </w:rPr>
        <w:t>3、本项目绿化养护服务所需的一切劳动力、材料、设备、水费、事项（包括绿化人为损坏造成的补种）均由中标人负责，由此产生的一切费用均由中标人自行承担。</w:t>
      </w:r>
    </w:p>
    <w:p>
      <w:pPr>
        <w:pStyle w:val="7"/>
        <w:spacing w:line="360" w:lineRule="auto"/>
        <w:ind w:firstLineChars="200"/>
        <w:rPr>
          <w:rFonts w:hint="eastAsia" w:ascii="宋体" w:hAnsi="宋体" w:cs="宋体"/>
          <w:bCs/>
        </w:rPr>
      </w:pPr>
      <w:r>
        <w:rPr>
          <w:rFonts w:hint="eastAsia" w:ascii="宋体" w:hAnsi="宋体" w:cs="宋体"/>
          <w:bCs/>
        </w:rPr>
        <w:t>4、本项目服务范围包含公园内的所有配套设施维护（包含公园内健身器材、标示牌、果壳箱、亭、休息长廊、休息凳、休息桌子等所有设施），其中单项设施维护金额在1000元以下的由中标人自行承担，单项设施维护金额在1000元及以上的费用单列。</w:t>
      </w:r>
    </w:p>
    <w:p>
      <w:pPr>
        <w:pStyle w:val="7"/>
        <w:spacing w:line="360" w:lineRule="auto"/>
        <w:ind w:firstLineChars="200"/>
        <w:rPr>
          <w:rFonts w:hint="eastAsia" w:ascii="宋体" w:hAnsi="宋体" w:cs="宋体"/>
          <w:bCs/>
        </w:rPr>
      </w:pPr>
      <w:r>
        <w:rPr>
          <w:rFonts w:hint="eastAsia" w:ascii="宋体" w:hAnsi="宋体" w:cs="宋体"/>
          <w:bCs/>
        </w:rPr>
        <w:t>5、绿地养护管理所需的养护管理房，由中标人自行解决。</w:t>
      </w:r>
    </w:p>
    <w:p>
      <w:pPr>
        <w:pStyle w:val="7"/>
        <w:spacing w:line="360" w:lineRule="auto"/>
        <w:ind w:firstLineChars="200"/>
        <w:rPr>
          <w:rFonts w:hint="eastAsia" w:ascii="宋体" w:hAnsi="宋体" w:cs="宋体"/>
          <w:bCs/>
        </w:rPr>
      </w:pPr>
      <w:r>
        <w:rPr>
          <w:rFonts w:hint="eastAsia" w:ascii="宋体" w:hAnsi="宋体" w:cs="宋体"/>
          <w:bCs/>
        </w:rPr>
        <w:t>6、中标人需按鄞州区绿地养护管理作业规范开展工作，合理组织，精心养护，保质、保量完成本项目绿地养护管理任务。</w:t>
      </w:r>
    </w:p>
    <w:p>
      <w:pPr>
        <w:pStyle w:val="7"/>
        <w:spacing w:line="360" w:lineRule="auto"/>
        <w:ind w:firstLineChars="200"/>
        <w:rPr>
          <w:rFonts w:hint="eastAsia" w:ascii="宋体" w:hAnsi="宋体" w:cs="宋体"/>
          <w:bCs/>
        </w:rPr>
      </w:pPr>
      <w:r>
        <w:rPr>
          <w:rFonts w:hint="eastAsia" w:ascii="宋体" w:hAnsi="宋体" w:cs="宋体"/>
          <w:bCs/>
        </w:rPr>
        <w:t>7、中标人应保证养护绿地数量无减少、无毁损，达到本项目绿地养护标准要求且植株无缺株、死树，乔灌木保存率达到本项目绿地养护质量标准要求及以上，所养护的树木，在养护期间发生减少或毁损，中标人应予及时补齐，并自行承担所需费用，单株树木单价在5000元以上的如发生减少或损毁，按同品种、相当规格进行补种，未及时补种的，从养护经费中扣除与树木款相等的金额。每年度合同期满时，采购人将对养护对象进行清点，如有缺失、损坏按实赔偿或由采购人自行委托第三方进行补齐或修复，费用由中标人承担。本绿地养护项目包含行道树秋冬季节的防冻、树木的大修剪（采购人通知的临时修剪）等内容。供应商在投标报价中需考虑以上内容，采购人在合同执行期间就以上内容不再另行支付费用。养护垃圾（除树枝及建筑垃圾外）自行处理，树枝及建筑垃圾由中标人自行负责倾倒至各主管部门同意倾倒的地点，由此产生的费用由中标人自行负责。</w:t>
      </w:r>
    </w:p>
    <w:p>
      <w:pPr>
        <w:pStyle w:val="7"/>
        <w:spacing w:line="360" w:lineRule="auto"/>
        <w:ind w:firstLineChars="200"/>
        <w:rPr>
          <w:rFonts w:hint="eastAsia" w:ascii="宋体" w:hAnsi="宋体" w:cs="宋体"/>
          <w:bCs/>
        </w:rPr>
      </w:pPr>
      <w:r>
        <w:rPr>
          <w:rFonts w:hint="eastAsia" w:ascii="宋体" w:hAnsi="宋体" w:cs="宋体"/>
          <w:bCs/>
        </w:rPr>
        <w:t>8、中标人应认真实施绿地养护的护管工作，确保所养护绿地内的绿植生长良好、绿化带内整洁，自觉配合区、街道重大活动、道路巡查、区绿化养护监管单位等上级部门的考核，且必须参加区绿化养护监管单位组织的绿地养护培训。要求员工进行上岗前培训，做到规范作业、规范养护、统一着装上岗。</w:t>
      </w:r>
    </w:p>
    <w:p>
      <w:pPr>
        <w:pStyle w:val="7"/>
        <w:spacing w:line="360" w:lineRule="auto"/>
        <w:ind w:firstLineChars="200"/>
        <w:rPr>
          <w:rFonts w:hint="eastAsia" w:ascii="宋体" w:hAnsi="宋体" w:cs="宋体"/>
          <w:bCs/>
        </w:rPr>
      </w:pPr>
      <w:r>
        <w:rPr>
          <w:rFonts w:hint="eastAsia" w:ascii="宋体" w:hAnsi="宋体" w:cs="宋体"/>
          <w:bCs/>
        </w:rPr>
        <w:t>9、本项目绿地养护区域，如有因工程施工等造成的毁绿损绿现象的中标人应及时监督，并及时督促其办理有关手续。因施工原因造成绿化缺失、损坏，由中标人与施工方协商，双方自行达成一致意见，按要求进行绿地植被的补种，如工程为政府投资项目的具体绿地恢复方案由采购人确定。</w:t>
      </w:r>
    </w:p>
    <w:p>
      <w:pPr>
        <w:pStyle w:val="7"/>
        <w:spacing w:line="360" w:lineRule="auto"/>
        <w:ind w:firstLineChars="200"/>
        <w:rPr>
          <w:rFonts w:hint="eastAsia" w:ascii="宋体" w:hAnsi="宋体" w:cs="宋体"/>
          <w:bCs/>
        </w:rPr>
      </w:pPr>
      <w:r>
        <w:rPr>
          <w:rFonts w:hint="eastAsia" w:ascii="宋体" w:hAnsi="宋体" w:cs="宋体"/>
          <w:bCs/>
        </w:rPr>
        <w:t xml:space="preserve">10、承包的绿地区域内的环境要求：为搞好环境卫生，对修剪下来的枝条等须在第一时间进行清理。 </w:t>
      </w:r>
    </w:p>
    <w:p>
      <w:pPr>
        <w:pStyle w:val="7"/>
        <w:spacing w:line="360" w:lineRule="auto"/>
        <w:ind w:firstLineChars="200"/>
        <w:rPr>
          <w:rFonts w:hint="eastAsia" w:ascii="宋体" w:hAnsi="宋体" w:cs="宋体"/>
          <w:bCs/>
        </w:rPr>
      </w:pPr>
      <w:r>
        <w:rPr>
          <w:rFonts w:hint="eastAsia" w:ascii="宋体" w:hAnsi="宋体" w:cs="宋体"/>
          <w:bCs/>
        </w:rPr>
        <w:t>11、中标人必须重视安全工作，确保合同履行期间不出安全、交通事故。如发生安全、交通事故，由中标人承担一切责任及损失。</w:t>
      </w:r>
    </w:p>
    <w:p>
      <w:pPr>
        <w:pStyle w:val="7"/>
        <w:spacing w:line="360" w:lineRule="auto"/>
        <w:ind w:firstLineChars="200"/>
        <w:rPr>
          <w:rFonts w:hint="eastAsia" w:ascii="宋体" w:hAnsi="宋体" w:cs="宋体"/>
          <w:bCs/>
        </w:rPr>
      </w:pPr>
      <w:r>
        <w:rPr>
          <w:rFonts w:hint="eastAsia" w:ascii="宋体" w:hAnsi="宋体" w:cs="宋体"/>
          <w:bCs/>
        </w:rPr>
        <w:t>12、突发事件处理</w:t>
      </w:r>
    </w:p>
    <w:p>
      <w:pPr>
        <w:pStyle w:val="7"/>
        <w:spacing w:line="360" w:lineRule="auto"/>
        <w:ind w:firstLineChars="200"/>
        <w:rPr>
          <w:rFonts w:hint="eastAsia" w:ascii="宋体" w:hAnsi="宋体" w:cs="宋体"/>
          <w:bCs/>
        </w:rPr>
      </w:pPr>
      <w:r>
        <w:rPr>
          <w:rFonts w:hint="eastAsia" w:ascii="宋体" w:hAnsi="宋体" w:cs="宋体"/>
          <w:bCs/>
        </w:rPr>
        <w:t>（1）在遇到各类重大活动、检查时中标人应做好采购人临时安排的突击性养护任务。</w:t>
      </w:r>
    </w:p>
    <w:p>
      <w:pPr>
        <w:pStyle w:val="7"/>
        <w:spacing w:line="360" w:lineRule="auto"/>
        <w:ind w:firstLineChars="200"/>
        <w:rPr>
          <w:rFonts w:hint="eastAsia" w:ascii="宋体" w:hAnsi="宋体" w:cs="宋体"/>
          <w:bCs/>
        </w:rPr>
      </w:pPr>
      <w:r>
        <w:rPr>
          <w:rFonts w:hint="eastAsia" w:ascii="宋体" w:hAnsi="宋体" w:cs="宋体"/>
          <w:bCs/>
        </w:rPr>
        <w:t>（2）如发生台风、暴雨、火灾、暴雪等灾害性事件，应按预案正确处理，在事件发生后24小时内配置充足的养护及保洁人员到位。</w:t>
      </w:r>
    </w:p>
    <w:p>
      <w:pPr>
        <w:pStyle w:val="7"/>
        <w:spacing w:line="360" w:lineRule="auto"/>
        <w:ind w:firstLineChars="200"/>
        <w:rPr>
          <w:rFonts w:hint="eastAsia" w:ascii="宋体" w:hAnsi="宋体" w:cs="宋体"/>
          <w:bCs/>
        </w:rPr>
      </w:pPr>
      <w:r>
        <w:rPr>
          <w:rFonts w:hint="eastAsia" w:ascii="宋体" w:hAnsi="宋体" w:cs="宋体"/>
          <w:bCs/>
        </w:rPr>
        <w:t>13、中标人应在每月25日之前向采购人提供下月绿地养护管理等服务计划和本月绿化养护等服务工作总结，以便采购人进行监督考核。</w:t>
      </w:r>
    </w:p>
    <w:p>
      <w:pPr>
        <w:pStyle w:val="7"/>
        <w:spacing w:line="360" w:lineRule="auto"/>
        <w:ind w:firstLineChars="200"/>
        <w:rPr>
          <w:rFonts w:ascii="宋体" w:hAnsi="宋体" w:cs="宋体"/>
          <w:bCs/>
        </w:rPr>
      </w:pPr>
      <w:r>
        <w:rPr>
          <w:rFonts w:hint="eastAsia" w:ascii="宋体" w:hAnsi="宋体" w:cs="宋体"/>
          <w:bCs/>
        </w:rPr>
        <w:t>14、退红区域清理杂草、修剪的养护费用在投标报价中考虑，不再另行计取；如需补种需报采购人确认后实施，费用另行计取。</w:t>
      </w:r>
    </w:p>
    <w:p>
      <w:pPr>
        <w:pStyle w:val="7"/>
        <w:spacing w:line="360" w:lineRule="auto"/>
        <w:ind w:firstLineChars="200"/>
        <w:rPr>
          <w:rFonts w:ascii="宋体" w:hAnsi="宋体" w:cs="宋体"/>
          <w:bCs/>
        </w:rPr>
      </w:pPr>
      <w:r>
        <w:rPr>
          <w:rFonts w:hint="eastAsia" w:ascii="宋体" w:hAnsi="宋体" w:cs="宋体"/>
          <w:bCs/>
        </w:rPr>
        <w:t>15、养护范围内因自然灾害等不可抗力因素造成的第三方人身或财产损害损失的，费用由中标人承担。</w:t>
      </w:r>
    </w:p>
    <w:p>
      <w:pPr>
        <w:pStyle w:val="7"/>
        <w:spacing w:line="360" w:lineRule="auto"/>
        <w:ind w:firstLineChars="200"/>
        <w:rPr>
          <w:rFonts w:ascii="宋体" w:hAnsi="宋体" w:cs="宋体"/>
          <w:bCs/>
        </w:rPr>
      </w:pPr>
      <w:r>
        <w:rPr>
          <w:rFonts w:hint="eastAsia" w:ascii="宋体" w:hAnsi="宋体" w:cs="宋体"/>
          <w:bCs/>
        </w:rPr>
        <w:t>16、公园内果壳箱的养护保洁包含在本次养护范围内，中标人负责清洁、保养、维护，如有损坏需合理赔偿。</w:t>
      </w:r>
    </w:p>
    <w:p>
      <w:pPr>
        <w:pStyle w:val="7"/>
        <w:spacing w:line="360" w:lineRule="auto"/>
        <w:ind w:firstLine="0"/>
        <w:rPr>
          <w:rFonts w:hint="eastAsia" w:ascii="宋体" w:hAnsi="宋体" w:cs="宋体"/>
          <w:b/>
        </w:rPr>
      </w:pPr>
      <w:r>
        <w:rPr>
          <w:rFonts w:hint="eastAsia" w:ascii="宋体" w:hAnsi="宋体" w:cs="宋体"/>
          <w:b/>
        </w:rPr>
        <w:t>（三）人员、设备要求</w:t>
      </w:r>
    </w:p>
    <w:p>
      <w:pPr>
        <w:tabs>
          <w:tab w:val="left" w:pos="0"/>
        </w:tabs>
        <w:spacing w:line="360" w:lineRule="auto"/>
        <w:ind w:firstLine="420" w:firstLineChars="200"/>
        <w:rPr>
          <w:rFonts w:ascii="宋体" w:hAnsi="宋体" w:cs="宋体"/>
          <w:kern w:val="0"/>
          <w:szCs w:val="21"/>
        </w:rPr>
      </w:pPr>
      <w:r>
        <w:rPr>
          <w:rFonts w:hint="eastAsia" w:ascii="宋体" w:hAnsi="宋体" w:cs="宋体"/>
          <w:kern w:val="0"/>
          <w:szCs w:val="21"/>
        </w:rPr>
        <w:t>1、人员配备要求：</w:t>
      </w:r>
    </w:p>
    <w:p>
      <w:pPr>
        <w:pStyle w:val="7"/>
        <w:spacing w:line="360" w:lineRule="auto"/>
        <w:ind w:firstLineChars="200"/>
        <w:rPr>
          <w:rFonts w:hint="eastAsia" w:ascii="宋体" w:hAnsi="宋体" w:cs="宋体"/>
          <w:bCs/>
        </w:rPr>
      </w:pPr>
      <w:r>
        <w:rPr>
          <w:rFonts w:hint="eastAsia" w:ascii="宋体" w:hAnsi="宋体" w:cs="宋体"/>
          <w:bCs/>
        </w:rPr>
        <w:t>1.本项目道路绿地养护人员配备不得少于12000m2/人；公园绿地养护人员配备不得少于8500m2/人，保洁人员配备不得少于60000m2/人；苗圃养护人员配备不得少于1人；公厕管理人员不得少于3人；绿地养护、保洁人员总人数不得少于70人。绿地养护需配备专门的项目负责人1名，设施维修人员不少于1名，巡查监管人员不少于1名。供应商须按上述人员配置要求进行配置。合同期间设施量如有增减的，中标人应根据实际增减情况根据配备要求自行调配人员，保证服务质量。</w:t>
      </w:r>
    </w:p>
    <w:p>
      <w:pPr>
        <w:pStyle w:val="7"/>
        <w:spacing w:line="360" w:lineRule="auto"/>
        <w:ind w:firstLineChars="200"/>
        <w:rPr>
          <w:rFonts w:hint="eastAsia" w:ascii="宋体" w:hAnsi="宋体" w:cs="宋体"/>
          <w:bCs/>
        </w:rPr>
      </w:pPr>
      <w:r>
        <w:rPr>
          <w:rFonts w:hint="eastAsia" w:ascii="宋体" w:hAnsi="宋体" w:cs="宋体"/>
          <w:bCs/>
        </w:rPr>
        <w:t>本项目公园内的公厕保洁由中标人负责，公厕保洁所需的作业人员及设施、设备由中标人负责配置、提供，产生的费用由中标人承担，该部分费用包含在投标总价中。</w:t>
      </w:r>
    </w:p>
    <w:p>
      <w:pPr>
        <w:pStyle w:val="7"/>
        <w:spacing w:line="360" w:lineRule="auto"/>
        <w:ind w:firstLineChars="200"/>
        <w:rPr>
          <w:rFonts w:hint="eastAsia" w:ascii="宋体" w:hAnsi="宋体" w:cs="宋体"/>
          <w:bCs/>
        </w:rPr>
      </w:pPr>
      <w:r>
        <w:rPr>
          <w:rFonts w:hint="eastAsia" w:ascii="宋体" w:hAnsi="宋体" w:cs="宋体"/>
          <w:bCs/>
        </w:rPr>
        <w:t>2.若供应商已在本次投标时已全部或部分配备的养护作业人员，在投标文件中提供人员配置清单；若供应商在本次投标时还未配备的养护作业人员，则可不提供这部分作业人员清单，但投标人须承诺：一旦中标，作业人员应在合同签订后30日内全部配备完毕，并报采购人审核确认，否则中标无效。</w:t>
      </w:r>
    </w:p>
    <w:p>
      <w:pPr>
        <w:pStyle w:val="7"/>
        <w:spacing w:line="360" w:lineRule="auto"/>
        <w:ind w:firstLineChars="200"/>
        <w:rPr>
          <w:rFonts w:hint="eastAsia" w:ascii="宋体" w:hAnsi="宋体" w:cs="宋体"/>
          <w:bCs/>
        </w:rPr>
      </w:pPr>
      <w:r>
        <w:rPr>
          <w:rFonts w:hint="eastAsia" w:ascii="宋体" w:hAnsi="宋体" w:cs="宋体"/>
          <w:bCs/>
        </w:rPr>
        <w:t>3.供应商须为全体作业员工购买社保（五金等）、人身意外等保险。一线作业人员和巡查人员需穿着辨识度较高的作业服装。</w:t>
      </w:r>
    </w:p>
    <w:p>
      <w:pPr>
        <w:pStyle w:val="7"/>
        <w:spacing w:line="360" w:lineRule="auto"/>
        <w:ind w:firstLineChars="200"/>
        <w:rPr>
          <w:rFonts w:ascii="宋体" w:hAnsi="宋体" w:cs="宋体"/>
          <w:bCs/>
        </w:rPr>
      </w:pPr>
      <w:r>
        <w:rPr>
          <w:rFonts w:hint="eastAsia" w:ascii="宋体" w:hAnsi="宋体" w:cs="宋体"/>
          <w:bCs/>
        </w:rPr>
        <w:t>4.中标人在搞好日常绿地养护、保洁等工作的同时，必须配合采购人为参加市、区布置的各项节目或重大活动而临时布置任务以及各类应急任务。</w:t>
      </w:r>
    </w:p>
    <w:p>
      <w:pPr>
        <w:pStyle w:val="7"/>
        <w:spacing w:line="360" w:lineRule="auto"/>
        <w:ind w:firstLineChars="200"/>
        <w:rPr>
          <w:rFonts w:hint="eastAsia" w:ascii="宋体" w:hAnsi="宋体" w:cs="宋体"/>
          <w:bCs/>
        </w:rPr>
      </w:pPr>
      <w:r>
        <w:rPr>
          <w:rFonts w:hint="eastAsia" w:ascii="宋体" w:hAnsi="宋体" w:cs="宋体"/>
          <w:bCs/>
        </w:rPr>
        <w:t>5.中标人不得无故拖欠本项目配置员工的工资，如出现以上情况的采购人有权终止拨付服务经费。</w:t>
      </w:r>
    </w:p>
    <w:p>
      <w:pPr>
        <w:pStyle w:val="7"/>
        <w:spacing w:line="360" w:lineRule="auto"/>
        <w:ind w:firstLineChars="200"/>
        <w:rPr>
          <w:rFonts w:hint="eastAsia" w:ascii="宋体" w:hAnsi="宋体" w:cs="宋体"/>
          <w:bCs/>
        </w:rPr>
      </w:pPr>
      <w:r>
        <w:rPr>
          <w:rFonts w:hint="eastAsia" w:ascii="宋体" w:hAnsi="宋体" w:cs="宋体"/>
          <w:bCs/>
        </w:rPr>
        <w:t>6.养护设备配备要求：</w:t>
      </w:r>
    </w:p>
    <w:p>
      <w:pPr>
        <w:pStyle w:val="7"/>
        <w:spacing w:line="360" w:lineRule="auto"/>
        <w:ind w:firstLineChars="200"/>
        <w:rPr>
          <w:rFonts w:hint="eastAsia" w:ascii="宋体" w:hAnsi="宋体" w:cs="宋体"/>
          <w:bCs/>
        </w:rPr>
      </w:pPr>
      <w:r>
        <w:rPr>
          <w:rFonts w:hint="eastAsia" w:ascii="宋体" w:hAnsi="宋体" w:cs="宋体"/>
          <w:bCs/>
        </w:rPr>
        <w:t>（1）根据设施量、养护质量标准及考核标准等，由供应商按要求自行配置巡查、作业所需的车辆、机械和设备。</w:t>
      </w:r>
    </w:p>
    <w:p>
      <w:pPr>
        <w:pStyle w:val="7"/>
        <w:spacing w:line="360" w:lineRule="auto"/>
        <w:ind w:firstLineChars="200"/>
        <w:rPr>
          <w:rFonts w:hint="eastAsia" w:ascii="宋体" w:hAnsi="宋体" w:cs="宋体"/>
          <w:bCs/>
        </w:rPr>
      </w:pPr>
      <w:r>
        <w:rPr>
          <w:rFonts w:hint="eastAsia" w:ascii="宋体" w:hAnsi="宋体" w:cs="宋体"/>
          <w:bCs/>
        </w:rPr>
        <w:t>（2）供应商须配备以下种类的养护作业车辆和设备：吊机、运输车、登高车、洒水车、割草机、割灌机、绿篱机、喷雾机、打药机、打药泵、水泵、油锯及其他投标人完成本项目需要提供的机具。</w:t>
      </w:r>
    </w:p>
    <w:p>
      <w:pPr>
        <w:pStyle w:val="7"/>
        <w:spacing w:line="360" w:lineRule="auto"/>
        <w:ind w:firstLineChars="200"/>
        <w:rPr>
          <w:rFonts w:hint="eastAsia" w:ascii="宋体" w:hAnsi="宋体" w:cs="宋体"/>
          <w:bCs/>
        </w:rPr>
      </w:pPr>
      <w:r>
        <w:rPr>
          <w:rFonts w:hint="eastAsia" w:ascii="宋体" w:hAnsi="宋体" w:cs="宋体"/>
          <w:bCs/>
        </w:rPr>
        <w:t>（3）上述车辆要求中标人在签订合同后30日内按照采购文件的要求及投标承诺配备完毕。</w:t>
      </w:r>
    </w:p>
    <w:p>
      <w:pPr>
        <w:pStyle w:val="7"/>
        <w:spacing w:line="360" w:lineRule="auto"/>
        <w:ind w:firstLine="0"/>
        <w:rPr>
          <w:rFonts w:hint="eastAsia" w:ascii="宋体" w:hAnsi="宋体" w:cs="宋体"/>
          <w:b/>
        </w:rPr>
      </w:pPr>
      <w:r>
        <w:rPr>
          <w:rFonts w:hint="eastAsia" w:ascii="宋体" w:hAnsi="宋体" w:cs="宋体"/>
          <w:b/>
        </w:rPr>
        <w:t>（四）项目其他要求</w:t>
      </w:r>
    </w:p>
    <w:p>
      <w:pPr>
        <w:pStyle w:val="7"/>
        <w:spacing w:line="360" w:lineRule="auto"/>
        <w:ind w:firstLineChars="200"/>
        <w:rPr>
          <w:rFonts w:hint="eastAsia" w:ascii="宋体" w:hAnsi="宋体" w:cs="宋体"/>
          <w:bCs/>
        </w:rPr>
      </w:pPr>
      <w:r>
        <w:rPr>
          <w:rFonts w:hint="eastAsia" w:ascii="宋体" w:hAnsi="宋体" w:cs="宋体"/>
          <w:bCs/>
        </w:rPr>
        <w:t>1、因自然灾害等不可抗力因素造成本项目经济损失的，双方应本着实事求是的原则共同协商妥善解决。</w:t>
      </w:r>
    </w:p>
    <w:p>
      <w:pPr>
        <w:pStyle w:val="7"/>
        <w:spacing w:line="360" w:lineRule="auto"/>
        <w:ind w:firstLineChars="200"/>
        <w:rPr>
          <w:rFonts w:hint="eastAsia" w:ascii="宋体" w:hAnsi="宋体" w:cs="宋体"/>
          <w:bCs/>
        </w:rPr>
      </w:pPr>
      <w:r>
        <w:rPr>
          <w:rFonts w:hint="eastAsia" w:ascii="宋体" w:hAnsi="宋体" w:cs="宋体"/>
          <w:bCs/>
        </w:rPr>
        <w:t>2、如因城市建设等原因，造成合同执行期内养护内容、面积、设施数量的增加或减少，则以采购人核定的实际工作量按各类别养护中标综合单价按实结算。</w:t>
      </w:r>
    </w:p>
    <w:p>
      <w:pPr>
        <w:pStyle w:val="7"/>
        <w:spacing w:line="360" w:lineRule="auto"/>
        <w:ind w:firstLineChars="200"/>
        <w:rPr>
          <w:rFonts w:ascii="宋体" w:hAnsi="宋体" w:cs="宋体"/>
          <w:bCs/>
        </w:rPr>
      </w:pPr>
      <w:r>
        <w:rPr>
          <w:rFonts w:hint="eastAsia" w:ascii="宋体" w:hAnsi="宋体" w:cs="宋体"/>
          <w:bCs/>
        </w:rPr>
        <w:t>3、中标人须配合采购人完成日常简易清理杂草作业内容，该部分工作量不单独按实结算（含如本次投标报价内），中标人须自行承担相关的费用及风险，不得拒绝采购人下达的日常简易清理杂草作业任务。</w:t>
      </w:r>
    </w:p>
    <w:p>
      <w:pPr>
        <w:pStyle w:val="7"/>
        <w:spacing w:line="360" w:lineRule="auto"/>
        <w:ind w:firstLine="0"/>
        <w:rPr>
          <w:rFonts w:hint="eastAsia" w:ascii="宋体" w:hAnsi="宋体" w:cs="宋体"/>
          <w:b/>
        </w:rPr>
      </w:pPr>
      <w:r>
        <w:rPr>
          <w:rFonts w:hint="eastAsia" w:ascii="宋体" w:hAnsi="宋体" w:cs="宋体"/>
          <w:b/>
        </w:rPr>
        <w:t>（五）违约责任</w:t>
      </w:r>
    </w:p>
    <w:p>
      <w:pPr>
        <w:pStyle w:val="7"/>
        <w:spacing w:line="360" w:lineRule="auto"/>
        <w:ind w:firstLineChars="200"/>
        <w:rPr>
          <w:rFonts w:hint="eastAsia" w:ascii="宋体" w:hAnsi="宋体" w:cs="宋体"/>
          <w:bCs/>
        </w:rPr>
      </w:pPr>
      <w:r>
        <w:rPr>
          <w:rFonts w:hint="eastAsia" w:ascii="宋体" w:hAnsi="宋体" w:cs="宋体"/>
          <w:bCs/>
        </w:rPr>
        <w:t xml:space="preserve">1、出现中标人转包或分包情形的，履约保证金不予退还，采购人有权单方终止合同； </w:t>
      </w:r>
    </w:p>
    <w:p>
      <w:pPr>
        <w:pStyle w:val="7"/>
        <w:spacing w:line="360" w:lineRule="auto"/>
        <w:ind w:firstLineChars="200"/>
        <w:rPr>
          <w:rFonts w:hint="eastAsia" w:ascii="宋体" w:hAnsi="宋体" w:cs="宋体"/>
          <w:bCs/>
        </w:rPr>
      </w:pPr>
      <w:r>
        <w:rPr>
          <w:rFonts w:hint="eastAsia" w:ascii="宋体" w:hAnsi="宋体" w:cs="宋体"/>
          <w:bCs/>
        </w:rPr>
        <w:t>2、在合同期履行期间，如出现群众、相关部门投诉，中标人应在接到投诉电话后及时赶到被投诉事件的发生地点，并及时处理。</w:t>
      </w:r>
    </w:p>
    <w:p>
      <w:pPr>
        <w:pStyle w:val="7"/>
        <w:spacing w:line="360" w:lineRule="auto"/>
        <w:ind w:firstLine="0"/>
        <w:rPr>
          <w:rFonts w:ascii="宋体" w:hAnsi="宋体" w:cs="宋体"/>
          <w:b/>
        </w:rPr>
      </w:pPr>
      <w:r>
        <w:rPr>
          <w:rFonts w:hint="eastAsia" w:ascii="宋体" w:hAnsi="宋体" w:cs="宋体"/>
          <w:b/>
        </w:rPr>
        <w:t>三</w:t>
      </w:r>
      <w:r>
        <w:rPr>
          <w:rFonts w:ascii="宋体" w:hAnsi="宋体" w:cs="宋体"/>
          <w:b/>
        </w:rPr>
        <w:t>、</w:t>
      </w:r>
      <w:r>
        <w:rPr>
          <w:rFonts w:hint="eastAsia" w:ascii="宋体" w:hAnsi="宋体" w:cs="宋体"/>
          <w:b/>
        </w:rPr>
        <w:t>零星整改提升项目</w:t>
      </w:r>
    </w:p>
    <w:p>
      <w:pPr>
        <w:pStyle w:val="7"/>
        <w:spacing w:line="360" w:lineRule="auto"/>
        <w:ind w:firstLineChars="200"/>
        <w:rPr>
          <w:rFonts w:ascii="宋体" w:hAnsi="宋体" w:cs="宋体"/>
          <w:bCs/>
        </w:rPr>
      </w:pPr>
      <w:r>
        <w:rPr>
          <w:rFonts w:hint="eastAsia" w:ascii="宋体" w:hAnsi="宋体" w:cs="宋体"/>
          <w:bCs/>
        </w:rPr>
        <w:t>1、实施范围：潘火街道辖区内零星绿化、绿地整改提升、栽植花木、大树迁移及景观小品整治等工程施工且单个合同10万以内（本项目养护区域以外的零星整改提升项目，具体实施的项目以发包人的书面通知为准）。</w:t>
      </w:r>
    </w:p>
    <w:p>
      <w:pPr>
        <w:pStyle w:val="7"/>
        <w:spacing w:line="360" w:lineRule="auto"/>
        <w:ind w:firstLineChars="200"/>
        <w:rPr>
          <w:rFonts w:ascii="宋体" w:hAnsi="宋体" w:cs="宋体"/>
          <w:bCs/>
        </w:rPr>
      </w:pPr>
      <w:r>
        <w:rPr>
          <w:rFonts w:hint="eastAsia" w:ascii="宋体" w:hAnsi="宋体" w:cs="宋体"/>
          <w:bCs/>
        </w:rPr>
        <w:t>2、暂估金额：年度费用限价100万元，本暂估金额在投标报价时不得更改。</w:t>
      </w:r>
    </w:p>
    <w:p>
      <w:pPr>
        <w:pStyle w:val="7"/>
        <w:spacing w:line="360" w:lineRule="auto"/>
        <w:ind w:firstLineChars="200"/>
        <w:rPr>
          <w:rFonts w:ascii="宋体" w:hAnsi="宋体" w:cs="宋体"/>
          <w:bCs/>
        </w:rPr>
      </w:pPr>
      <w:r>
        <w:rPr>
          <w:rFonts w:hint="eastAsia" w:ascii="宋体" w:hAnsi="宋体" w:cs="宋体"/>
          <w:bCs/>
        </w:rPr>
        <w:t>3、结算依据：</w:t>
      </w:r>
    </w:p>
    <w:p>
      <w:pPr>
        <w:pStyle w:val="7"/>
        <w:spacing w:line="360" w:lineRule="auto"/>
        <w:ind w:firstLineChars="200"/>
        <w:rPr>
          <w:rFonts w:ascii="宋体" w:hAnsi="宋体" w:cs="宋体"/>
          <w:bCs/>
        </w:rPr>
      </w:pPr>
      <w:r>
        <w:rPr>
          <w:rFonts w:hint="eastAsia" w:ascii="宋体" w:hAnsi="宋体" w:cs="宋体"/>
          <w:bCs/>
        </w:rPr>
        <w:t>3.1计价规范：《浙江省园林绿化及仿古建筑工程预算定额》（2018版）、《浙江省市政工程预算定额（2018版）》、《浙江省安装工程预算定额（2018版）》、《浙江省房屋建筑与装饰工程预算定额（2018版）》、《浙江省建设工程计价规则（2018版）、《浙江省施工机械台班费用参考单价（2018版）》、《建设工程工程量清单计价规范》（GB50500-2013）、《浙江省建设工程工程量清单计价指引（2013版）》、《宁波市建设工程造价信息》综合版、《浙江造价信息》及省、市造价文件{含浙建建发（2019）92号文件，采用一般计税法。}，如有新文件颁发，则根据新文件执行。</w:t>
      </w:r>
    </w:p>
    <w:p>
      <w:pPr>
        <w:pStyle w:val="7"/>
        <w:spacing w:line="360" w:lineRule="auto"/>
        <w:ind w:firstLineChars="200"/>
        <w:rPr>
          <w:rFonts w:ascii="宋体" w:hAnsi="宋体" w:cs="宋体"/>
          <w:bCs/>
        </w:rPr>
      </w:pPr>
      <w:r>
        <w:rPr>
          <w:rFonts w:hint="eastAsia" w:ascii="宋体" w:hAnsi="宋体" w:cs="宋体"/>
          <w:bCs/>
        </w:rPr>
        <w:t>3.2材料价格：</w:t>
      </w:r>
      <w:r>
        <w:rPr>
          <w:rFonts w:hint="eastAsia" w:ascii="宋体" w:hAnsi="宋体" w:cs="宋体"/>
          <w:bCs/>
        </w:rPr>
        <w:fldChar w:fldCharType="begin"/>
      </w:r>
      <w:r>
        <w:rPr>
          <w:rFonts w:hint="eastAsia" w:ascii="宋体" w:hAnsi="宋体" w:cs="宋体"/>
          <w:bCs/>
        </w:rPr>
        <w:instrText xml:space="preserve"> = 1 \* GB3 </w:instrText>
      </w:r>
      <w:r>
        <w:rPr>
          <w:rFonts w:hint="eastAsia" w:ascii="宋体" w:hAnsi="宋体" w:cs="宋体"/>
          <w:bCs/>
        </w:rPr>
        <w:fldChar w:fldCharType="separate"/>
      </w:r>
      <w:r>
        <w:rPr>
          <w:rFonts w:hint="eastAsia" w:ascii="宋体" w:hAnsi="宋体" w:cs="宋体"/>
          <w:bCs/>
        </w:rPr>
        <w:t>①</w:t>
      </w:r>
      <w:r>
        <w:rPr>
          <w:rFonts w:hint="eastAsia" w:ascii="宋体" w:hAnsi="宋体" w:cs="宋体"/>
          <w:bCs/>
        </w:rPr>
        <w:fldChar w:fldCharType="end"/>
      </w:r>
      <w:r>
        <w:rPr>
          <w:rFonts w:hint="eastAsia" w:ascii="宋体" w:hAnsi="宋体" w:cs="宋体"/>
          <w:bCs/>
        </w:rPr>
        <w:t>材料价格期刊：按发包人（或监理人）发出开工令（开工报告）上的开工时间的材料期刊价格为准；</w:t>
      </w:r>
      <w:r>
        <w:rPr>
          <w:rFonts w:hint="eastAsia" w:ascii="宋体" w:hAnsi="宋体" w:cs="宋体"/>
          <w:bCs/>
        </w:rPr>
        <w:fldChar w:fldCharType="begin"/>
      </w:r>
      <w:r>
        <w:rPr>
          <w:rFonts w:hint="eastAsia" w:ascii="宋体" w:hAnsi="宋体" w:cs="宋体"/>
          <w:bCs/>
        </w:rPr>
        <w:instrText xml:space="preserve"> = 2 \* GB3 </w:instrText>
      </w:r>
      <w:r>
        <w:rPr>
          <w:rFonts w:hint="eastAsia" w:ascii="宋体" w:hAnsi="宋体" w:cs="宋体"/>
          <w:bCs/>
        </w:rPr>
        <w:fldChar w:fldCharType="separate"/>
      </w:r>
      <w:r>
        <w:rPr>
          <w:rFonts w:hint="eastAsia" w:ascii="宋体" w:hAnsi="宋体" w:cs="宋体"/>
          <w:bCs/>
        </w:rPr>
        <w:t>②</w:t>
      </w:r>
      <w:r>
        <w:rPr>
          <w:rFonts w:hint="eastAsia" w:ascii="宋体" w:hAnsi="宋体" w:cs="宋体"/>
          <w:bCs/>
        </w:rPr>
        <w:fldChar w:fldCharType="end"/>
      </w:r>
      <w:r>
        <w:rPr>
          <w:rFonts w:hint="eastAsia" w:ascii="宋体" w:hAnsi="宋体" w:cs="宋体"/>
          <w:bCs/>
        </w:rPr>
        <w:t>材料计价顺序：《宁波市建设工程造价信息》(综合版)、《浙江造价信息》、市场询价。注：材料价格均为除税价。</w:t>
      </w:r>
    </w:p>
    <w:p>
      <w:pPr>
        <w:pStyle w:val="7"/>
        <w:spacing w:line="360" w:lineRule="auto"/>
        <w:ind w:firstLineChars="200"/>
        <w:rPr>
          <w:rFonts w:ascii="宋体" w:hAnsi="宋体" w:cs="宋体"/>
          <w:bCs/>
        </w:rPr>
      </w:pPr>
      <w:r>
        <w:rPr>
          <w:rFonts w:hint="eastAsia" w:ascii="宋体" w:hAnsi="宋体" w:cs="宋体"/>
          <w:bCs/>
        </w:rPr>
        <w:t>3.3人工市场信息价：按发包人（或监理人）发出开工令（开工报告）上的开工时间的《宁波建设工程造价信息》（综合版）当月信息价计取。</w:t>
      </w:r>
    </w:p>
    <w:p>
      <w:pPr>
        <w:pStyle w:val="7"/>
        <w:spacing w:line="360" w:lineRule="auto"/>
        <w:ind w:firstLineChars="200"/>
        <w:rPr>
          <w:rFonts w:ascii="宋体" w:hAnsi="宋体" w:cs="宋体"/>
          <w:bCs/>
        </w:rPr>
      </w:pPr>
      <w:r>
        <w:rPr>
          <w:rFonts w:hint="eastAsia" w:ascii="宋体" w:hAnsi="宋体" w:cs="宋体"/>
          <w:bCs/>
        </w:rPr>
        <w:t>3.4无信息价材料由承包人根据发包人对该材料的品牌、规格及技术参数要求及时提出适当的材料价格，经发包人、监理在市场询价(除税价格)的基础上协商确定，最终以审核确定为准。</w:t>
      </w:r>
    </w:p>
    <w:p>
      <w:pPr>
        <w:pStyle w:val="7"/>
        <w:spacing w:line="360" w:lineRule="auto"/>
        <w:ind w:firstLineChars="200"/>
        <w:rPr>
          <w:rFonts w:ascii="宋体" w:hAnsi="宋体" w:cs="宋体"/>
          <w:bCs/>
        </w:rPr>
      </w:pPr>
      <w:r>
        <w:rPr>
          <w:rFonts w:hint="eastAsia" w:ascii="宋体" w:hAnsi="宋体" w:cs="宋体"/>
          <w:bCs/>
        </w:rPr>
        <w:t>3.5有关事项说明：1）、零星整改提升项目的养护期按 1 年计，反季节种植费不考虑；2）、在施工期间绿化保活费用不另外考虑；3）本工程临时用电、用水接口，由承包人自行解决，费用已包含在投标报价中。</w:t>
      </w:r>
    </w:p>
    <w:p>
      <w:pPr>
        <w:pStyle w:val="7"/>
        <w:spacing w:line="360" w:lineRule="auto"/>
        <w:ind w:firstLineChars="200"/>
        <w:rPr>
          <w:rFonts w:ascii="宋体" w:hAnsi="宋体" w:cs="宋体"/>
          <w:bCs/>
        </w:rPr>
      </w:pPr>
      <w:r>
        <w:rPr>
          <w:rFonts w:hint="eastAsia" w:ascii="宋体" w:hAnsi="宋体" w:cs="宋体"/>
          <w:bCs/>
        </w:rPr>
        <w:t>3.6上述结算以每个项目为单位分别计算,最终结算价按零星整改提升项目统一浮动率进行浮动，零星整改提升项目统一浮动率=（养护费用年度报价/最高限价-1）×100%-10%。</w:t>
      </w:r>
    </w:p>
    <w:p>
      <w:pPr>
        <w:pStyle w:val="7"/>
        <w:spacing w:line="360" w:lineRule="auto"/>
        <w:ind w:firstLineChars="200"/>
        <w:rPr>
          <w:rFonts w:hint="eastAsia" w:ascii="宋体" w:hAnsi="宋体" w:cs="宋体"/>
          <w:bCs/>
        </w:rPr>
      </w:pPr>
      <w:r>
        <w:rPr>
          <w:rFonts w:hint="eastAsia" w:ascii="宋体" w:hAnsi="宋体" w:cs="宋体"/>
          <w:bCs/>
        </w:rPr>
        <w:t>3.7付款：</w:t>
      </w:r>
      <w:r>
        <w:rPr>
          <w:rFonts w:ascii="宋体" w:hAnsi="宋体" w:cs="宋体"/>
          <w:bCs/>
        </w:rPr>
        <w:t>承包人每季度上报已完成项目的结算资料（须提供具体项目的影像资料），</w:t>
      </w:r>
      <w:r>
        <w:rPr>
          <w:rFonts w:hint="eastAsia" w:ascii="宋体" w:hAnsi="宋体" w:cs="宋体"/>
          <w:bCs/>
        </w:rPr>
        <w:t>根据审计报告支付至结算价的98.5%，结算价的1.5%为质保金；待工程最后一次竣工验收合格后，退回履约担保；</w:t>
      </w:r>
      <w:r>
        <w:rPr>
          <w:rFonts w:ascii="宋体" w:hAnsi="宋体" w:cs="宋体"/>
          <w:bCs/>
        </w:rPr>
        <w:t>质量保修金待保修期（以最后一次验收合格之日算起）满 1年后结清。</w:t>
      </w:r>
    </w:p>
    <w:p>
      <w:pPr>
        <w:widowControl/>
        <w:spacing w:after="100" w:afterAutospacing="1" w:line="380" w:lineRule="exact"/>
        <w:rPr>
          <w:rFonts w:ascii="宋体" w:hAnsi="宋体" w:cs="宋体"/>
          <w:kern w:val="0"/>
          <w:szCs w:val="21"/>
        </w:rPr>
      </w:pPr>
      <w:r>
        <w:rPr>
          <w:b/>
          <w:bCs/>
        </w:rPr>
        <w:br w:type="page"/>
      </w:r>
      <w:r>
        <w:rPr>
          <w:rFonts w:hint="eastAsia"/>
          <w:b/>
          <w:bCs/>
        </w:rPr>
        <w:t>附件1：</w:t>
      </w:r>
      <w:r>
        <w:rPr>
          <w:rFonts w:hint="eastAsia"/>
          <w:szCs w:val="21"/>
        </w:rPr>
        <w:t>鄞州区城市绿地养护质量等级标准</w:t>
      </w:r>
    </w:p>
    <w:p>
      <w:pPr>
        <w:pStyle w:val="45"/>
        <w:shd w:val="clear" w:color="auto" w:fill="FFFFFF"/>
        <w:spacing w:line="315" w:lineRule="atLeast"/>
        <w:rPr>
          <w:rFonts w:hint="eastAsia"/>
          <w:sz w:val="21"/>
          <w:szCs w:val="21"/>
        </w:rPr>
      </w:pPr>
      <w:r>
        <w:rPr>
          <w:rFonts w:hint="eastAsia"/>
          <w:sz w:val="21"/>
          <w:szCs w:val="21"/>
        </w:rPr>
        <w:t>一、二级公园绿地养护质量等级标准</w:t>
      </w:r>
    </w:p>
    <w:p>
      <w:pPr>
        <w:pStyle w:val="45"/>
        <w:shd w:val="clear" w:color="auto" w:fill="FFFFFF"/>
        <w:spacing w:line="315" w:lineRule="atLeast"/>
        <w:ind w:left="420" w:leftChars="200"/>
        <w:rPr>
          <w:sz w:val="21"/>
          <w:szCs w:val="21"/>
        </w:rPr>
      </w:pPr>
      <w:r>
        <w:rPr>
          <w:rFonts w:hint="eastAsia"/>
          <w:sz w:val="21"/>
          <w:szCs w:val="21"/>
        </w:rPr>
        <w:t>1.1.1景观效果：绿量比较充分，乔、灌、草（地被）搭配合理，比例合宜，基本达到黄土不露天，绿化景观效果良好。</w:t>
      </w:r>
    </w:p>
    <w:p>
      <w:pPr>
        <w:pStyle w:val="45"/>
        <w:shd w:val="clear" w:color="auto" w:fill="FFFFFF"/>
        <w:spacing w:line="315" w:lineRule="atLeast"/>
        <w:ind w:left="420" w:leftChars="200"/>
        <w:rPr>
          <w:sz w:val="21"/>
          <w:szCs w:val="21"/>
        </w:rPr>
      </w:pPr>
      <w:r>
        <w:rPr>
          <w:rFonts w:hint="eastAsia"/>
          <w:sz w:val="21"/>
          <w:szCs w:val="21"/>
        </w:rPr>
        <w:t>1.1.2植物生长状况： 植株生长强健，生长发育良好，无明显枯枝、徒长枝、死杈，病虫害枝控制在5%以下；</w:t>
      </w:r>
    </w:p>
    <w:p>
      <w:pPr>
        <w:pStyle w:val="45"/>
        <w:shd w:val="clear" w:color="auto" w:fill="FFFFFF"/>
        <w:spacing w:line="315" w:lineRule="atLeast"/>
        <w:ind w:left="420" w:leftChars="200"/>
        <w:rPr>
          <w:sz w:val="21"/>
          <w:szCs w:val="21"/>
        </w:rPr>
      </w:pPr>
      <w:r>
        <w:rPr>
          <w:rFonts w:hint="eastAsia"/>
          <w:sz w:val="21"/>
          <w:szCs w:val="21"/>
        </w:rPr>
        <w:t xml:space="preserve">1.1.3树木树冠圆满，分支点合适，主侧枝分布均衡、数量适宜、内膛不乱、通风透光； </w:t>
      </w:r>
    </w:p>
    <w:p>
      <w:pPr>
        <w:pStyle w:val="45"/>
        <w:shd w:val="clear" w:color="auto" w:fill="FFFFFF"/>
        <w:spacing w:line="315" w:lineRule="atLeast"/>
        <w:ind w:left="420" w:leftChars="200"/>
        <w:rPr>
          <w:sz w:val="21"/>
          <w:szCs w:val="21"/>
        </w:rPr>
      </w:pPr>
      <w:r>
        <w:rPr>
          <w:rFonts w:hint="eastAsia"/>
          <w:sz w:val="21"/>
          <w:szCs w:val="21"/>
        </w:rPr>
        <w:t>1.1.4叶色、叶形正常，无病虫害，叶上无虫粪虫网灰尘。</w:t>
      </w:r>
    </w:p>
    <w:p>
      <w:pPr>
        <w:pStyle w:val="45"/>
        <w:shd w:val="clear" w:color="auto" w:fill="FFFFFF"/>
        <w:spacing w:line="315" w:lineRule="atLeast"/>
        <w:ind w:left="420" w:leftChars="200"/>
        <w:rPr>
          <w:sz w:val="21"/>
          <w:szCs w:val="21"/>
        </w:rPr>
      </w:pPr>
      <w:r>
        <w:rPr>
          <w:rFonts w:hint="eastAsia"/>
          <w:sz w:val="21"/>
          <w:szCs w:val="21"/>
        </w:rPr>
        <w:t>1.1.5植物养护状况：绿地内无死株、缺株，无明显倾斜或倒伏植株（保留树种、依景观需要的除外），乔灌木保存率98%以上；绿地内植株扶正、补植及时；所有乔木主干每年涂白一次；</w:t>
      </w:r>
    </w:p>
    <w:p>
      <w:pPr>
        <w:pStyle w:val="45"/>
        <w:shd w:val="clear" w:color="auto" w:fill="FFFFFF"/>
        <w:spacing w:line="315" w:lineRule="atLeast"/>
        <w:ind w:left="420" w:leftChars="200"/>
        <w:rPr>
          <w:sz w:val="21"/>
          <w:szCs w:val="21"/>
        </w:rPr>
      </w:pPr>
      <w:r>
        <w:rPr>
          <w:rFonts w:hint="eastAsia"/>
          <w:sz w:val="21"/>
          <w:szCs w:val="21"/>
        </w:rPr>
        <w:t xml:space="preserve">1.1.6绿篱、色块根据其生长特性及配置要求合理修剪，无过度修剪现象，高度适宜，无5cm以上徒长枝，无杂草； </w:t>
      </w:r>
    </w:p>
    <w:p>
      <w:pPr>
        <w:pStyle w:val="45"/>
        <w:shd w:val="clear" w:color="auto" w:fill="FFFFFF"/>
        <w:spacing w:line="315" w:lineRule="atLeast"/>
        <w:ind w:left="420" w:leftChars="200"/>
        <w:rPr>
          <w:sz w:val="21"/>
          <w:szCs w:val="21"/>
        </w:rPr>
      </w:pPr>
      <w:r>
        <w:rPr>
          <w:rFonts w:hint="eastAsia"/>
          <w:sz w:val="21"/>
          <w:szCs w:val="21"/>
        </w:rPr>
        <w:t xml:space="preserve">1.1.7草坪、地被覆盖率达到100％；草坪内杂草控制在6公分以内，切边完整，草坪内杂草控制在5%以内且无10cm以上杂草、无积水；生长茂盛颜色正常； </w:t>
      </w:r>
    </w:p>
    <w:p>
      <w:pPr>
        <w:pStyle w:val="45"/>
        <w:shd w:val="clear" w:color="auto" w:fill="FFFFFF"/>
        <w:spacing w:line="315" w:lineRule="atLeast"/>
        <w:ind w:left="420" w:leftChars="200"/>
        <w:rPr>
          <w:sz w:val="21"/>
          <w:szCs w:val="21"/>
        </w:rPr>
      </w:pPr>
      <w:r>
        <w:rPr>
          <w:rFonts w:hint="eastAsia"/>
          <w:sz w:val="21"/>
          <w:szCs w:val="21"/>
        </w:rPr>
        <w:t xml:space="preserve">1.1.8绿地内四季有花，草花花色鲜艳，无败叶、残花，最佳观赏期后及时更换，花境内无杂草； </w:t>
      </w:r>
    </w:p>
    <w:p>
      <w:pPr>
        <w:pStyle w:val="45"/>
        <w:shd w:val="clear" w:color="auto" w:fill="FFFFFF"/>
        <w:spacing w:line="315" w:lineRule="atLeast"/>
        <w:ind w:left="420" w:leftChars="200"/>
        <w:rPr>
          <w:sz w:val="21"/>
          <w:szCs w:val="21"/>
        </w:rPr>
      </w:pPr>
      <w:r>
        <w:rPr>
          <w:rFonts w:hint="eastAsia"/>
          <w:sz w:val="21"/>
          <w:szCs w:val="21"/>
        </w:rPr>
        <w:t>1.1.9修剪得当，时间适合，修剪作业符合植物生长特性；</w:t>
      </w:r>
    </w:p>
    <w:p>
      <w:pPr>
        <w:pStyle w:val="45"/>
        <w:shd w:val="clear" w:color="auto" w:fill="FFFFFF"/>
        <w:spacing w:line="315" w:lineRule="atLeast"/>
        <w:ind w:left="420" w:leftChars="200"/>
        <w:rPr>
          <w:sz w:val="21"/>
          <w:szCs w:val="21"/>
        </w:rPr>
      </w:pPr>
      <w:r>
        <w:rPr>
          <w:rFonts w:hint="eastAsia"/>
          <w:sz w:val="21"/>
          <w:szCs w:val="21"/>
        </w:rPr>
        <w:t>1.1.10病虫害防治措施效果显著，无常见病虫害危害发生情况。</w:t>
      </w:r>
    </w:p>
    <w:p>
      <w:pPr>
        <w:pStyle w:val="45"/>
        <w:shd w:val="clear" w:color="auto" w:fill="FFFFFF"/>
        <w:spacing w:line="315" w:lineRule="atLeast"/>
        <w:ind w:left="420" w:leftChars="200"/>
        <w:rPr>
          <w:sz w:val="21"/>
          <w:szCs w:val="21"/>
        </w:rPr>
      </w:pPr>
      <w:r>
        <w:rPr>
          <w:rFonts w:hint="eastAsia"/>
          <w:sz w:val="21"/>
          <w:szCs w:val="21"/>
        </w:rPr>
        <w:t>1.1.11卫生状况：古树名木及古树后备资源由责任单位负责管护，措施有力，资料备案完善，抢救和复壮及时</w:t>
      </w:r>
    </w:p>
    <w:p>
      <w:pPr>
        <w:pStyle w:val="45"/>
        <w:shd w:val="clear" w:color="auto" w:fill="FFFFFF"/>
        <w:spacing w:line="315" w:lineRule="atLeast"/>
        <w:ind w:left="420" w:leftChars="200"/>
        <w:rPr>
          <w:sz w:val="21"/>
          <w:szCs w:val="21"/>
        </w:rPr>
      </w:pPr>
      <w:r>
        <w:rPr>
          <w:rFonts w:hint="eastAsia"/>
          <w:sz w:val="21"/>
          <w:szCs w:val="21"/>
        </w:rPr>
        <w:t>1.1.12立体绿化及水（湿）生环境植物配置合理，生长健壮，内容丰富。</w:t>
      </w:r>
    </w:p>
    <w:p>
      <w:pPr>
        <w:pStyle w:val="45"/>
        <w:shd w:val="clear" w:color="auto" w:fill="FFFFFF"/>
        <w:spacing w:line="315" w:lineRule="atLeast"/>
        <w:ind w:left="420" w:leftChars="200"/>
        <w:rPr>
          <w:sz w:val="21"/>
          <w:szCs w:val="21"/>
        </w:rPr>
      </w:pPr>
      <w:r>
        <w:rPr>
          <w:rFonts w:hint="eastAsia"/>
          <w:sz w:val="21"/>
          <w:szCs w:val="21"/>
        </w:rPr>
        <w:t>1.1.13绿地、园路、广场等公园设施整洁，绿化生产垃圾（如：树枝、草末等）做到随产随清，无砖石瓦块、纸屑果皮和塑料袋及其他废弃物、垃圾，绿地实行十二小时动态保洁；有节假日或重要活动时，做到十八小时保洁。</w:t>
      </w:r>
    </w:p>
    <w:p>
      <w:pPr>
        <w:pStyle w:val="45"/>
        <w:shd w:val="clear" w:color="auto" w:fill="FFFFFF"/>
        <w:spacing w:line="315" w:lineRule="atLeast"/>
        <w:ind w:left="420" w:leftChars="200"/>
        <w:rPr>
          <w:sz w:val="21"/>
          <w:szCs w:val="21"/>
        </w:rPr>
      </w:pPr>
      <w:r>
        <w:rPr>
          <w:rFonts w:hint="eastAsia"/>
          <w:sz w:val="21"/>
          <w:szCs w:val="21"/>
        </w:rPr>
        <w:t>1.1.14水面清澈、无飘浮物和沉淀物。</w:t>
      </w:r>
    </w:p>
    <w:p>
      <w:pPr>
        <w:pStyle w:val="45"/>
        <w:shd w:val="clear" w:color="auto" w:fill="FFFFFF"/>
        <w:spacing w:line="315" w:lineRule="atLeast"/>
        <w:ind w:left="420" w:leftChars="200"/>
        <w:rPr>
          <w:sz w:val="21"/>
          <w:szCs w:val="21"/>
        </w:rPr>
      </w:pPr>
      <w:r>
        <w:rPr>
          <w:rFonts w:hint="eastAsia"/>
          <w:sz w:val="21"/>
          <w:szCs w:val="21"/>
        </w:rPr>
        <w:t>1.1.15栏杆、园路、桌椅、井盖、假山、园灯和牌饰等园林设施完整，基本无乱张贴、乱涂写、乱刻画，做到及时维护和油饰； 　　</w:t>
      </w:r>
    </w:p>
    <w:p>
      <w:pPr>
        <w:pStyle w:val="45"/>
        <w:shd w:val="clear" w:color="auto" w:fill="FFFFFF"/>
        <w:spacing w:line="315" w:lineRule="atLeast"/>
        <w:ind w:left="420" w:leftChars="200"/>
        <w:rPr>
          <w:sz w:val="21"/>
          <w:szCs w:val="21"/>
        </w:rPr>
      </w:pPr>
      <w:r>
        <w:rPr>
          <w:rFonts w:hint="eastAsia"/>
          <w:sz w:val="21"/>
          <w:szCs w:val="21"/>
        </w:rPr>
        <w:t>1.1.16绿地内园灯完好，亮灯率在100%，景观灯、喷泉按规定开放。</w:t>
      </w:r>
    </w:p>
    <w:p>
      <w:pPr>
        <w:pStyle w:val="45"/>
        <w:shd w:val="clear" w:color="auto" w:fill="FFFFFF"/>
        <w:spacing w:line="315" w:lineRule="atLeast"/>
        <w:ind w:left="420" w:leftChars="200"/>
        <w:rPr>
          <w:rFonts w:hint="eastAsia"/>
          <w:sz w:val="21"/>
          <w:szCs w:val="21"/>
        </w:rPr>
      </w:pPr>
      <w:r>
        <w:rPr>
          <w:rFonts w:hint="eastAsia"/>
          <w:sz w:val="21"/>
          <w:szCs w:val="21"/>
        </w:rPr>
        <w:t>1.1.17无擅自占用绿地现象，无明显人为损坏。</w:t>
      </w:r>
    </w:p>
    <w:p>
      <w:pPr>
        <w:pStyle w:val="45"/>
        <w:shd w:val="clear" w:color="auto" w:fill="FFFFFF"/>
        <w:rPr>
          <w:sz w:val="21"/>
          <w:szCs w:val="21"/>
        </w:rPr>
      </w:pPr>
      <w:r>
        <w:rPr>
          <w:rFonts w:hint="eastAsia"/>
          <w:sz w:val="21"/>
          <w:szCs w:val="21"/>
        </w:rPr>
        <w:t>　二、二级道路绿地标准</w:t>
      </w:r>
    </w:p>
    <w:p>
      <w:pPr>
        <w:pStyle w:val="45"/>
        <w:shd w:val="clear" w:color="auto" w:fill="FFFFFF"/>
        <w:rPr>
          <w:sz w:val="21"/>
          <w:szCs w:val="21"/>
        </w:rPr>
      </w:pPr>
      <w:r>
        <w:rPr>
          <w:rFonts w:hint="eastAsia"/>
          <w:sz w:val="21"/>
          <w:szCs w:val="21"/>
        </w:rPr>
        <w:t xml:space="preserve">　　2.1景观效果： </w:t>
      </w:r>
    </w:p>
    <w:p>
      <w:pPr>
        <w:pStyle w:val="45"/>
        <w:shd w:val="clear" w:color="auto" w:fill="FFFFFF"/>
        <w:rPr>
          <w:sz w:val="21"/>
          <w:szCs w:val="21"/>
        </w:rPr>
      </w:pPr>
      <w:r>
        <w:rPr>
          <w:rFonts w:hint="eastAsia"/>
          <w:sz w:val="21"/>
          <w:szCs w:val="21"/>
        </w:rPr>
        <w:t xml:space="preserve">    2.1.1道路绿量较为充足，覆盖率达到15%以上； </w:t>
      </w:r>
    </w:p>
    <w:p>
      <w:pPr>
        <w:pStyle w:val="45"/>
        <w:shd w:val="clear" w:color="auto" w:fill="FFFFFF"/>
        <w:rPr>
          <w:sz w:val="21"/>
          <w:szCs w:val="21"/>
        </w:rPr>
      </w:pPr>
      <w:r>
        <w:rPr>
          <w:rFonts w:hint="eastAsia"/>
          <w:sz w:val="21"/>
          <w:szCs w:val="21"/>
        </w:rPr>
        <w:t xml:space="preserve">    2.1.2道路红线范围内基本无绿化死角；</w:t>
      </w:r>
    </w:p>
    <w:p>
      <w:pPr>
        <w:pStyle w:val="45"/>
        <w:shd w:val="clear" w:color="auto" w:fill="FFFFFF"/>
        <w:rPr>
          <w:sz w:val="21"/>
          <w:szCs w:val="21"/>
        </w:rPr>
      </w:pPr>
      <w:r>
        <w:rPr>
          <w:rFonts w:hint="eastAsia"/>
          <w:sz w:val="21"/>
          <w:szCs w:val="21"/>
        </w:rPr>
        <w:t xml:space="preserve">    2.1.3道路整体视觉效果良好。</w:t>
      </w:r>
    </w:p>
    <w:p>
      <w:pPr>
        <w:pStyle w:val="45"/>
        <w:shd w:val="clear" w:color="auto" w:fill="FFFFFF"/>
        <w:rPr>
          <w:sz w:val="21"/>
          <w:szCs w:val="21"/>
        </w:rPr>
      </w:pPr>
      <w:r>
        <w:rPr>
          <w:rFonts w:hint="eastAsia"/>
          <w:sz w:val="21"/>
          <w:szCs w:val="21"/>
        </w:rPr>
        <w:t xml:space="preserve">　　2.2行道树达到： </w:t>
      </w:r>
    </w:p>
    <w:p>
      <w:pPr>
        <w:pStyle w:val="45"/>
        <w:shd w:val="clear" w:color="auto" w:fill="FFFFFF"/>
        <w:rPr>
          <w:sz w:val="21"/>
          <w:szCs w:val="21"/>
        </w:rPr>
      </w:pPr>
      <w:r>
        <w:rPr>
          <w:rFonts w:hint="eastAsia"/>
          <w:sz w:val="21"/>
          <w:szCs w:val="21"/>
        </w:rPr>
        <w:t xml:space="preserve">    2.2.1生长健康，病虫害现象控制在8%以下；</w:t>
      </w:r>
    </w:p>
    <w:p>
      <w:pPr>
        <w:pStyle w:val="45"/>
        <w:shd w:val="clear" w:color="auto" w:fill="FFFFFF"/>
        <w:rPr>
          <w:sz w:val="21"/>
          <w:szCs w:val="21"/>
        </w:rPr>
      </w:pPr>
      <w:r>
        <w:rPr>
          <w:rFonts w:hint="eastAsia"/>
          <w:sz w:val="21"/>
          <w:szCs w:val="21"/>
        </w:rPr>
        <w:t xml:space="preserve">    2.2.2叶色、叶形基本正常；</w:t>
      </w:r>
    </w:p>
    <w:p>
      <w:pPr>
        <w:pStyle w:val="45"/>
        <w:shd w:val="clear" w:color="auto" w:fill="FFFFFF"/>
        <w:rPr>
          <w:sz w:val="21"/>
          <w:szCs w:val="21"/>
        </w:rPr>
      </w:pPr>
      <w:r>
        <w:rPr>
          <w:rFonts w:hint="eastAsia"/>
          <w:sz w:val="21"/>
          <w:szCs w:val="21"/>
        </w:rPr>
        <w:t xml:space="preserve">    2.2.3枝、干基本正常：无明显枯枝、徒长枝、病虫枝、死杈，无明显萌蘖；90％以上的树冠基本完整，分支点距离地面2.8米以上，主侧枝分布匀称，通风透光。</w:t>
      </w:r>
    </w:p>
    <w:p>
      <w:pPr>
        <w:pStyle w:val="45"/>
        <w:shd w:val="clear" w:color="auto" w:fill="FFFFFF"/>
        <w:rPr>
          <w:sz w:val="21"/>
          <w:szCs w:val="21"/>
        </w:rPr>
      </w:pPr>
      <w:r>
        <w:rPr>
          <w:rFonts w:hint="eastAsia"/>
          <w:sz w:val="21"/>
          <w:szCs w:val="21"/>
        </w:rPr>
        <w:t xml:space="preserve">    2.2.4乔灌木保存率90%以上，新种树倾斜度不超过10度，倾斜率不超过5%，对死株、缺株、倾斜或倒伏株能予扶正、补植；行道树与公用设施有矛盾的枝条应及时剪去，修剪下来的树枝，必须加以清除。属检疫对象的病虫枝应予以烧毁；树干每年涂白一次。 </w:t>
      </w:r>
    </w:p>
    <w:p>
      <w:pPr>
        <w:pStyle w:val="45"/>
        <w:shd w:val="clear" w:color="auto" w:fill="FFFFFF"/>
        <w:rPr>
          <w:sz w:val="21"/>
          <w:szCs w:val="21"/>
        </w:rPr>
      </w:pPr>
      <w:r>
        <w:rPr>
          <w:rFonts w:hint="eastAsia"/>
          <w:sz w:val="21"/>
          <w:szCs w:val="21"/>
        </w:rPr>
        <w:t>　　2.3植物养护状况：</w:t>
      </w:r>
    </w:p>
    <w:p>
      <w:pPr>
        <w:pStyle w:val="45"/>
        <w:shd w:val="clear" w:color="auto" w:fill="FFFFFF"/>
        <w:rPr>
          <w:sz w:val="21"/>
          <w:szCs w:val="21"/>
        </w:rPr>
      </w:pPr>
      <w:r>
        <w:rPr>
          <w:rFonts w:hint="eastAsia"/>
          <w:sz w:val="21"/>
          <w:szCs w:val="21"/>
        </w:rPr>
        <w:t xml:space="preserve">    2.3.1绿篱、色块根据其生长特性及配置要求合理修剪，基本无过度修剪现象，生长较好，无明显死株、残株，无10cm以上徒长枝，无明显杂草；</w:t>
      </w:r>
    </w:p>
    <w:p>
      <w:pPr>
        <w:pStyle w:val="45"/>
        <w:shd w:val="clear" w:color="auto" w:fill="FFFFFF"/>
        <w:rPr>
          <w:rFonts w:hint="eastAsia"/>
          <w:sz w:val="21"/>
          <w:szCs w:val="21"/>
        </w:rPr>
      </w:pPr>
      <w:r>
        <w:rPr>
          <w:rFonts w:hint="eastAsia"/>
          <w:sz w:val="21"/>
          <w:szCs w:val="21"/>
        </w:rPr>
        <w:t xml:space="preserve">    2.3.2草花、盆花布置较及时，无明显枯叶、残花，花盆基本清洁、无破损；</w:t>
      </w:r>
    </w:p>
    <w:p>
      <w:pPr>
        <w:pStyle w:val="45"/>
        <w:shd w:val="clear" w:color="auto" w:fill="FFFFFF"/>
        <w:rPr>
          <w:rFonts w:hint="eastAsia"/>
          <w:sz w:val="21"/>
          <w:szCs w:val="21"/>
        </w:rPr>
      </w:pPr>
      <w:r>
        <w:rPr>
          <w:rFonts w:hint="eastAsia"/>
          <w:sz w:val="21"/>
          <w:szCs w:val="21"/>
        </w:rPr>
        <w:t xml:space="preserve">    2.3.3草坪生长良好，高度控制适宜，无明显裸地、杂草、积水； </w:t>
      </w:r>
    </w:p>
    <w:p>
      <w:pPr>
        <w:pStyle w:val="45"/>
        <w:shd w:val="clear" w:color="auto" w:fill="FFFFFF"/>
        <w:rPr>
          <w:rFonts w:hint="eastAsia"/>
          <w:sz w:val="21"/>
          <w:szCs w:val="21"/>
        </w:rPr>
      </w:pPr>
      <w:r>
        <w:rPr>
          <w:rFonts w:hint="eastAsia"/>
          <w:sz w:val="21"/>
          <w:szCs w:val="21"/>
        </w:rPr>
        <w:t xml:space="preserve">    2.3.4有病虫害防治措施，常见病虫害危害率控制在8%以下。</w:t>
      </w:r>
    </w:p>
    <w:p>
      <w:pPr>
        <w:pStyle w:val="45"/>
        <w:shd w:val="clear" w:color="auto" w:fill="FFFFFF"/>
        <w:rPr>
          <w:rFonts w:hint="eastAsia"/>
          <w:sz w:val="21"/>
          <w:szCs w:val="21"/>
        </w:rPr>
      </w:pPr>
      <w:r>
        <w:rPr>
          <w:rFonts w:hint="eastAsia"/>
          <w:sz w:val="21"/>
          <w:szCs w:val="21"/>
        </w:rPr>
        <w:t xml:space="preserve">　  2.4、卫生状况： </w:t>
      </w:r>
    </w:p>
    <w:p>
      <w:pPr>
        <w:pStyle w:val="45"/>
        <w:shd w:val="clear" w:color="auto" w:fill="FFFFFF"/>
        <w:rPr>
          <w:rFonts w:hint="eastAsia"/>
          <w:sz w:val="21"/>
          <w:szCs w:val="21"/>
        </w:rPr>
      </w:pPr>
      <w:r>
        <w:rPr>
          <w:rFonts w:hint="eastAsia"/>
          <w:sz w:val="21"/>
          <w:szCs w:val="21"/>
        </w:rPr>
        <w:t xml:space="preserve">    2.4.1生产垃圾（如：树枝、草末等）做到日产日清； </w:t>
      </w:r>
    </w:p>
    <w:p>
      <w:pPr>
        <w:pStyle w:val="45"/>
        <w:shd w:val="clear" w:color="auto" w:fill="FFFFFF"/>
        <w:rPr>
          <w:rFonts w:hint="eastAsia"/>
          <w:sz w:val="21"/>
          <w:szCs w:val="21"/>
        </w:rPr>
      </w:pPr>
      <w:r>
        <w:rPr>
          <w:rFonts w:hint="eastAsia"/>
          <w:sz w:val="21"/>
          <w:szCs w:val="21"/>
        </w:rPr>
        <w:t xml:space="preserve">    2.4.2绿篱、树穴八小时保洁，并能坚持在节假日或重要活动前进行突击清理。</w:t>
      </w:r>
    </w:p>
    <w:p>
      <w:pPr>
        <w:pStyle w:val="45"/>
        <w:shd w:val="clear" w:color="auto" w:fill="FFFFFF"/>
        <w:ind w:firstLine="420" w:firstLineChars="200"/>
        <w:rPr>
          <w:rFonts w:hint="eastAsia"/>
          <w:sz w:val="21"/>
          <w:szCs w:val="21"/>
        </w:rPr>
      </w:pPr>
      <w:r>
        <w:rPr>
          <w:rFonts w:hint="eastAsia"/>
          <w:sz w:val="21"/>
          <w:szCs w:val="21"/>
        </w:rPr>
        <w:t>2.5、其它：</w:t>
      </w:r>
    </w:p>
    <w:p>
      <w:pPr>
        <w:pStyle w:val="45"/>
        <w:shd w:val="clear" w:color="auto" w:fill="FFFFFF"/>
        <w:ind w:firstLine="420" w:firstLineChars="200"/>
        <w:rPr>
          <w:rFonts w:hint="eastAsia"/>
          <w:sz w:val="21"/>
          <w:szCs w:val="21"/>
        </w:rPr>
      </w:pPr>
      <w:r>
        <w:rPr>
          <w:rFonts w:hint="eastAsia"/>
          <w:sz w:val="21"/>
          <w:szCs w:val="21"/>
        </w:rPr>
        <w:t xml:space="preserve">2.5.1无较严重的人为损坏。对轻微或偶尔发生难以控制的人为损坏，能及时发现和处理；行道树树干无明显地钉拴刻画、挂牌、架线现象； </w:t>
      </w:r>
    </w:p>
    <w:p>
      <w:pPr>
        <w:pStyle w:val="45"/>
        <w:shd w:val="clear" w:color="auto" w:fill="FFFFFF"/>
        <w:ind w:firstLine="420" w:firstLineChars="200"/>
        <w:rPr>
          <w:rFonts w:hint="eastAsia"/>
          <w:sz w:val="21"/>
          <w:szCs w:val="21"/>
        </w:rPr>
      </w:pPr>
      <w:r>
        <w:rPr>
          <w:rFonts w:hint="eastAsia"/>
          <w:sz w:val="21"/>
          <w:szCs w:val="21"/>
        </w:rPr>
        <w:t>2.5.2树穴及绿地范围内基本无堆积物、堆料、搭棚、圈栏等影响树木养护管理和生长的现象。</w:t>
      </w:r>
    </w:p>
    <w:p>
      <w:pPr>
        <w:pStyle w:val="7"/>
        <w:spacing w:line="360" w:lineRule="auto"/>
        <w:ind w:firstLineChars="200"/>
        <w:rPr>
          <w:rFonts w:hint="eastAsia"/>
          <w:bCs/>
          <w:szCs w:val="21"/>
        </w:rPr>
      </w:pPr>
      <w:r>
        <w:rPr>
          <w:rFonts w:hint="eastAsia"/>
          <w:szCs w:val="21"/>
        </w:rPr>
        <w:br w:type="page"/>
      </w:r>
      <w:r>
        <w:rPr>
          <w:rFonts w:hint="eastAsia"/>
          <w:szCs w:val="21"/>
        </w:rPr>
        <w:t>附件2：</w:t>
      </w:r>
      <w:r>
        <w:rPr>
          <w:rFonts w:hint="eastAsia"/>
          <w:b/>
          <w:szCs w:val="21"/>
        </w:rPr>
        <w:t>厕所保洁质量及保洁作业要求</w:t>
      </w:r>
    </w:p>
    <w:tbl>
      <w:tblPr>
        <w:tblStyle w:val="48"/>
        <w:tblW w:w="8700"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649"/>
        <w:gridCol w:w="7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shd w:val="clear" w:color="auto" w:fill="auto"/>
            <w:noWrap w:val="0"/>
            <w:vAlign w:val="center"/>
          </w:tcPr>
          <w:p>
            <w:pPr>
              <w:spacing w:line="300" w:lineRule="exact"/>
              <w:jc w:val="center"/>
              <w:rPr>
                <w:rFonts w:hint="eastAsia" w:ascii="Arial" w:hAnsi="Arial"/>
                <w:szCs w:val="21"/>
              </w:rPr>
            </w:pPr>
            <w:r>
              <w:rPr>
                <w:rFonts w:hint="eastAsia" w:ascii="Arial" w:hAnsi="Arial"/>
                <w:szCs w:val="21"/>
              </w:rPr>
              <w:t>名 称</w:t>
            </w: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Arial" w:hAnsi="Arial"/>
                <w:szCs w:val="21"/>
              </w:rPr>
              <w:t>项目</w:t>
            </w:r>
          </w:p>
        </w:tc>
        <w:tc>
          <w:tcPr>
            <w:tcW w:w="7222" w:type="dxa"/>
            <w:shd w:val="clear" w:color="auto" w:fill="auto"/>
            <w:noWrap w:val="0"/>
            <w:vAlign w:val="center"/>
          </w:tcPr>
          <w:p>
            <w:pPr>
              <w:spacing w:line="300" w:lineRule="exact"/>
              <w:jc w:val="center"/>
              <w:rPr>
                <w:rFonts w:hint="eastAsia" w:ascii="Arial" w:hAnsi="Arial"/>
                <w:szCs w:val="21"/>
              </w:rPr>
            </w:pPr>
            <w:r>
              <w:rPr>
                <w:rFonts w:hint="eastAsia" w:ascii="Arial" w:hAnsi="Arial"/>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restart"/>
            <w:shd w:val="clear" w:color="auto" w:fill="auto"/>
            <w:noWrap w:val="0"/>
            <w:vAlign w:val="center"/>
          </w:tcPr>
          <w:p>
            <w:pPr>
              <w:spacing w:line="300" w:lineRule="exact"/>
              <w:jc w:val="center"/>
              <w:rPr>
                <w:rFonts w:hint="eastAsia" w:ascii="Arial" w:hAnsi="Arial"/>
                <w:szCs w:val="21"/>
              </w:rPr>
            </w:pPr>
            <w:r>
              <w:rPr>
                <w:rFonts w:hint="eastAsia" w:ascii="Arial" w:hAnsi="Arial"/>
                <w:szCs w:val="21"/>
              </w:rPr>
              <w:t>保洁质量</w:t>
            </w: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Arial" w:hAnsi="Arial"/>
                <w:szCs w:val="21"/>
              </w:rPr>
              <w:t>厕外环境</w:t>
            </w:r>
          </w:p>
        </w:tc>
        <w:tc>
          <w:tcPr>
            <w:tcW w:w="7222" w:type="dxa"/>
            <w:shd w:val="clear" w:color="auto" w:fill="auto"/>
            <w:noWrap w:val="0"/>
            <w:vAlign w:val="top"/>
          </w:tcPr>
          <w:p>
            <w:pPr>
              <w:rPr>
                <w:rFonts w:hint="eastAsia" w:ascii="宋体" w:hAnsi="宋体" w:cs="宋体"/>
                <w:szCs w:val="21"/>
              </w:rPr>
            </w:pPr>
            <w:r>
              <w:rPr>
                <w:rFonts w:hint="eastAsia" w:ascii="宋体" w:hAnsi="宋体" w:cs="宋体"/>
                <w:kern w:val="0"/>
                <w:szCs w:val="21"/>
                <w:lang w:bidi="ar"/>
              </w:rPr>
              <w:t xml:space="preserve">1. 公共厕所市容环境卫生责任区的环境应整洁有序，无垃圾、无污水、无乱堆放、无乱吊挂。 </w:t>
            </w:r>
          </w:p>
          <w:p>
            <w:pPr>
              <w:rPr>
                <w:rFonts w:hint="eastAsia" w:ascii="宋体" w:hAnsi="宋体" w:cs="宋体"/>
                <w:szCs w:val="21"/>
              </w:rPr>
            </w:pPr>
            <w:r>
              <w:rPr>
                <w:rFonts w:hint="eastAsia" w:ascii="宋体" w:hAnsi="宋体" w:cs="宋体"/>
                <w:kern w:val="0"/>
                <w:szCs w:val="21"/>
                <w:lang w:bidi="ar"/>
              </w:rPr>
              <w:t xml:space="preserve">2. 坡道、台阶、扶手应保持干净整洁，无破损、无障碍物。 </w:t>
            </w:r>
          </w:p>
          <w:p>
            <w:pPr>
              <w:rPr>
                <w:rFonts w:hint="eastAsia" w:ascii="Arial" w:hAnsi="Arial"/>
                <w:szCs w:val="21"/>
              </w:rPr>
            </w:pPr>
            <w:r>
              <w:rPr>
                <w:rFonts w:hint="eastAsia" w:ascii="宋体" w:hAnsi="宋体" w:cs="宋体"/>
                <w:kern w:val="0"/>
                <w:szCs w:val="21"/>
                <w:lang w:bidi="ar"/>
              </w:rPr>
              <w:t>3. 化（贮）粪池及周围场地应保持整洁、卫生，不得满溢，无恶臭、无蝇蛆。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厕内环境</w:t>
            </w:r>
          </w:p>
        </w:tc>
        <w:tc>
          <w:tcPr>
            <w:tcW w:w="7222" w:type="dxa"/>
            <w:shd w:val="clear" w:color="auto" w:fill="auto"/>
            <w:noWrap w:val="0"/>
            <w:vAlign w:val="top"/>
          </w:tcPr>
          <w:p>
            <w:pPr>
              <w:rPr>
                <w:rFonts w:hint="eastAsia" w:ascii="宋体" w:hAnsi="宋体" w:cs="宋体"/>
                <w:szCs w:val="21"/>
              </w:rPr>
            </w:pPr>
            <w:r>
              <w:rPr>
                <w:rFonts w:hint="eastAsia" w:ascii="宋体" w:hAnsi="宋体" w:cs="宋体"/>
                <w:kern w:val="0"/>
                <w:szCs w:val="21"/>
                <w:lang w:bidi="ar"/>
              </w:rPr>
              <w:t>1. 公共</w:t>
            </w:r>
            <w:r>
              <w:rPr>
                <w:rFonts w:hint="eastAsia" w:ascii="宋体" w:hAnsi="宋体" w:cs="仿宋"/>
                <w:szCs w:val="21"/>
              </w:rPr>
              <w:t>厕所</w:t>
            </w:r>
            <w:r>
              <w:rPr>
                <w:rFonts w:hint="eastAsia" w:ascii="宋体" w:hAnsi="宋体" w:cs="宋体"/>
                <w:kern w:val="0"/>
                <w:szCs w:val="21"/>
                <w:lang w:bidi="ar"/>
              </w:rPr>
              <w:t xml:space="preserve">内采光、照明和通风应良好。无明显臭味。 </w:t>
            </w:r>
          </w:p>
          <w:p>
            <w:pPr>
              <w:rPr>
                <w:rFonts w:hint="eastAsia" w:ascii="Arial" w:hAnsi="Arial"/>
                <w:szCs w:val="21"/>
              </w:rPr>
            </w:pPr>
            <w:r>
              <w:rPr>
                <w:rFonts w:hint="eastAsia" w:ascii="宋体" w:hAnsi="宋体" w:cs="宋体"/>
                <w:kern w:val="0"/>
                <w:szCs w:val="21"/>
                <w:lang w:bidi="ar"/>
              </w:rPr>
              <w:t>2. 公共厕所内环境应整洁，无堆放杂物。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门窗及墙面</w:t>
            </w:r>
          </w:p>
        </w:tc>
        <w:tc>
          <w:tcPr>
            <w:tcW w:w="7222" w:type="dxa"/>
            <w:shd w:val="clear" w:color="auto" w:fill="auto"/>
            <w:noWrap w:val="0"/>
            <w:vAlign w:val="center"/>
          </w:tcPr>
          <w:p>
            <w:pPr>
              <w:rPr>
                <w:rFonts w:hint="eastAsia" w:ascii="宋体" w:hAnsi="宋体" w:cs="宋体"/>
                <w:szCs w:val="21"/>
              </w:rPr>
            </w:pPr>
            <w:r>
              <w:rPr>
                <w:rFonts w:hint="eastAsia" w:ascii="宋体" w:hAnsi="宋体" w:cs="宋体"/>
                <w:kern w:val="0"/>
                <w:szCs w:val="21"/>
                <w:lang w:bidi="ar"/>
              </w:rPr>
              <w:t>1. 门窗、墙面、天花板等设施应无积灰、污迹、蛛网，无乱涂画，墙面应光洁。</w:t>
            </w:r>
          </w:p>
          <w:p>
            <w:pPr>
              <w:rPr>
                <w:rFonts w:hint="eastAsia" w:ascii="Arial" w:hAnsi="Arial"/>
                <w:szCs w:val="21"/>
              </w:rPr>
            </w:pPr>
            <w:r>
              <w:rPr>
                <w:rFonts w:hint="eastAsia" w:ascii="宋体" w:hAnsi="宋体" w:cs="宋体"/>
                <w:kern w:val="0"/>
                <w:szCs w:val="21"/>
                <w:lang w:bidi="ar"/>
              </w:rPr>
              <w:t>2. 公共厕所外墙、屋顶应保持整洁。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地面</w:t>
            </w:r>
          </w:p>
        </w:tc>
        <w:tc>
          <w:tcPr>
            <w:tcW w:w="7222" w:type="dxa"/>
            <w:shd w:val="clear" w:color="auto" w:fill="auto"/>
            <w:noWrap w:val="0"/>
            <w:vAlign w:val="top"/>
          </w:tcPr>
          <w:p>
            <w:pPr>
              <w:widowControl/>
              <w:jc w:val="left"/>
              <w:rPr>
                <w:rFonts w:hint="eastAsia" w:ascii="宋体" w:hAnsi="宋体" w:cs="宋体"/>
                <w:szCs w:val="21"/>
              </w:rPr>
            </w:pPr>
            <w:r>
              <w:rPr>
                <w:rFonts w:hint="eastAsia" w:ascii="宋体" w:hAnsi="宋体" w:cs="宋体"/>
                <w:kern w:val="0"/>
                <w:szCs w:val="21"/>
                <w:lang w:bidi="ar"/>
              </w:rPr>
              <w:t xml:space="preserve">1. 地面应防滑，无积水。 </w:t>
            </w:r>
          </w:p>
          <w:p>
            <w:pPr>
              <w:spacing w:line="300" w:lineRule="exact"/>
              <w:rPr>
                <w:rFonts w:hint="eastAsia" w:ascii="Arial" w:hAnsi="Arial"/>
                <w:szCs w:val="21"/>
              </w:rPr>
            </w:pPr>
            <w:r>
              <w:rPr>
                <w:rFonts w:hint="eastAsia" w:ascii="宋体" w:hAnsi="宋体" w:cs="宋体"/>
                <w:kern w:val="0"/>
                <w:szCs w:val="21"/>
                <w:lang w:bidi="ar"/>
              </w:rPr>
              <w:t>2. 地面应整洁，无污渍、无垃圾。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厕位</w:t>
            </w:r>
          </w:p>
        </w:tc>
        <w:tc>
          <w:tcPr>
            <w:tcW w:w="7222" w:type="dxa"/>
            <w:shd w:val="clear" w:color="auto" w:fill="auto"/>
            <w:noWrap w:val="0"/>
            <w:vAlign w:val="top"/>
          </w:tcPr>
          <w:p>
            <w:pPr>
              <w:widowControl/>
              <w:jc w:val="left"/>
              <w:rPr>
                <w:rFonts w:hint="eastAsia" w:ascii="宋体" w:hAnsi="宋体" w:cs="宋体"/>
                <w:szCs w:val="21"/>
              </w:rPr>
            </w:pPr>
            <w:r>
              <w:rPr>
                <w:rFonts w:hint="eastAsia" w:ascii="宋体" w:hAnsi="宋体" w:cs="宋体"/>
                <w:kern w:val="0"/>
                <w:szCs w:val="21"/>
                <w:lang w:bidi="ar"/>
              </w:rPr>
              <w:t xml:space="preserve">1.便器应完好、干净整洁，无水锈、无污物。 </w:t>
            </w:r>
          </w:p>
          <w:p>
            <w:pPr>
              <w:spacing w:line="300" w:lineRule="exact"/>
              <w:rPr>
                <w:rFonts w:hint="eastAsia" w:ascii="Arial" w:hAnsi="Arial"/>
                <w:szCs w:val="21"/>
              </w:rPr>
            </w:pPr>
            <w:r>
              <w:rPr>
                <w:rFonts w:hint="eastAsia" w:ascii="宋体" w:hAnsi="宋体" w:cs="宋体"/>
                <w:kern w:val="0"/>
                <w:szCs w:val="21"/>
                <w:lang w:bidi="ar"/>
              </w:rPr>
              <w:t>2. 厕位隔断应保持完好、干净整洁，门锁应能正常使用。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厕内设施</w:t>
            </w:r>
          </w:p>
        </w:tc>
        <w:tc>
          <w:tcPr>
            <w:tcW w:w="7222" w:type="dxa"/>
            <w:shd w:val="clear" w:color="auto" w:fill="auto"/>
            <w:noWrap w:val="0"/>
            <w:vAlign w:val="top"/>
          </w:tcPr>
          <w:p>
            <w:pPr>
              <w:widowControl/>
              <w:jc w:val="left"/>
              <w:rPr>
                <w:rFonts w:hint="eastAsia"/>
              </w:rPr>
            </w:pPr>
            <w:r>
              <w:rPr>
                <w:rFonts w:hint="eastAsia"/>
              </w:rPr>
              <w:t xml:space="preserve">1.公共厕所内通风管道、排水管道应密封，并保持畅通。 </w:t>
            </w:r>
          </w:p>
          <w:p>
            <w:pPr>
              <w:widowControl/>
              <w:jc w:val="left"/>
              <w:rPr>
                <w:rFonts w:hint="eastAsia"/>
              </w:rPr>
            </w:pPr>
            <w:r>
              <w:rPr>
                <w:rFonts w:hint="eastAsia"/>
              </w:rPr>
              <w:t xml:space="preserve">2. 公共厕所内卫生洁具、照明通风等设施，以及镜子、挂衣钩、扶手、手纸架等设备应完好、整洁，无积灰、积水、污渍。 </w:t>
            </w:r>
          </w:p>
          <w:p>
            <w:pPr>
              <w:widowControl/>
              <w:jc w:val="left"/>
              <w:rPr>
                <w:rFonts w:hint="eastAsia"/>
              </w:rPr>
            </w:pPr>
            <w:r>
              <w:rPr>
                <w:rFonts w:hint="eastAsia"/>
              </w:rPr>
              <w:t xml:space="preserve">3. 公厕应提供免费洗手液或肥皂。 </w:t>
            </w:r>
          </w:p>
          <w:p>
            <w:pPr>
              <w:widowControl/>
              <w:jc w:val="left"/>
            </w:pPr>
            <w:r>
              <w:rPr>
                <w:rFonts w:hint="eastAsia"/>
              </w:rPr>
              <w:t>4.各类文明标识等贴置到位。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工具间</w:t>
            </w:r>
          </w:p>
        </w:tc>
        <w:tc>
          <w:tcPr>
            <w:tcW w:w="7222" w:type="dxa"/>
            <w:shd w:val="clear" w:color="auto" w:fill="auto"/>
            <w:noWrap w:val="0"/>
            <w:vAlign w:val="top"/>
          </w:tcPr>
          <w:p>
            <w:pPr>
              <w:spacing w:line="300" w:lineRule="exact"/>
              <w:rPr>
                <w:rFonts w:hint="eastAsia" w:ascii="Arial" w:hAnsi="Arial"/>
                <w:szCs w:val="21"/>
              </w:rPr>
            </w:pPr>
            <w:r>
              <w:rPr>
                <w:rFonts w:hint="eastAsia" w:ascii="宋体" w:hAnsi="宋体" w:cs="宋体"/>
                <w:kern w:val="0"/>
                <w:szCs w:val="21"/>
                <w:lang w:bidi="ar"/>
              </w:rPr>
              <w:t>工具间应保持整洁、无异味，保洁工具应收纳于工具间，并存放整齐。工具间不应堆放保洁员个人或其他无关物品。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29" w:type="dxa"/>
            <w:vMerge w:val="continue"/>
            <w:shd w:val="clear" w:color="auto" w:fill="auto"/>
            <w:noWrap w:val="0"/>
            <w:vAlign w:val="center"/>
          </w:tcPr>
          <w:p>
            <w:pPr>
              <w:spacing w:line="300" w:lineRule="exact"/>
              <w:jc w:val="center"/>
              <w:rPr>
                <w:rFonts w:hint="eastAsia" w:ascii="Arial" w:hAnsi="Arial"/>
                <w:szCs w:val="21"/>
              </w:rPr>
            </w:pPr>
          </w:p>
        </w:tc>
        <w:tc>
          <w:tcPr>
            <w:tcW w:w="64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kern w:val="0"/>
                <w:szCs w:val="21"/>
                <w:lang w:bidi="ar"/>
              </w:rPr>
              <w:t>卫生消毒</w:t>
            </w:r>
          </w:p>
        </w:tc>
        <w:tc>
          <w:tcPr>
            <w:tcW w:w="7222" w:type="dxa"/>
            <w:shd w:val="clear" w:color="auto" w:fill="auto"/>
            <w:noWrap w:val="0"/>
            <w:vAlign w:val="top"/>
          </w:tcPr>
          <w:p>
            <w:pPr>
              <w:widowControl/>
              <w:jc w:val="left"/>
              <w:rPr>
                <w:rFonts w:hint="eastAsia" w:ascii="宋体" w:hAnsi="宋体" w:cs="宋体"/>
                <w:szCs w:val="21"/>
              </w:rPr>
            </w:pPr>
            <w:r>
              <w:rPr>
                <w:rFonts w:hint="eastAsia" w:ascii="宋体" w:hAnsi="宋体" w:cs="宋体"/>
                <w:kern w:val="0"/>
                <w:szCs w:val="21"/>
                <w:lang w:bidi="ar"/>
              </w:rPr>
              <w:t xml:space="preserve">1.公共厕所内的便器、洗手器具、扶手等每日卫生消毒 1 次及以上；通风、给排水设施、烘手器等设施设备每月卫生消毒 1 次及以上。 </w:t>
            </w:r>
          </w:p>
          <w:p>
            <w:pPr>
              <w:widowControl/>
              <w:jc w:val="left"/>
              <w:rPr>
                <w:rFonts w:hint="eastAsia" w:ascii="宋体" w:hAnsi="宋体" w:cs="宋体"/>
                <w:szCs w:val="21"/>
              </w:rPr>
            </w:pPr>
            <w:r>
              <w:rPr>
                <w:rFonts w:hint="eastAsia" w:ascii="宋体" w:hAnsi="宋体" w:cs="宋体"/>
                <w:kern w:val="0"/>
                <w:szCs w:val="21"/>
                <w:lang w:bidi="ar"/>
              </w:rPr>
              <w:t xml:space="preserve">2. 蚊蝇孽生季节（4 月至 10 月），根据实际情况每日至少 1 次喷洒灭蚊蝇药物，控制蝇蛆孽生。 </w:t>
            </w:r>
          </w:p>
          <w:p>
            <w:pPr>
              <w:widowControl/>
              <w:jc w:val="left"/>
              <w:rPr>
                <w:rFonts w:hint="eastAsia" w:ascii="Arial" w:hAnsi="Arial"/>
                <w:szCs w:val="21"/>
              </w:rPr>
            </w:pPr>
            <w:r>
              <w:rPr>
                <w:rFonts w:hint="eastAsia" w:ascii="宋体" w:hAnsi="宋体" w:cs="宋体"/>
                <w:kern w:val="0"/>
                <w:szCs w:val="21"/>
                <w:lang w:bidi="ar"/>
              </w:rPr>
              <w:t xml:space="preserve">3. 在传染病流行期间，应做好公共厕所的卫生消毒工作，提高消毒次数。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829" w:type="dxa"/>
            <w:shd w:val="clear" w:color="auto" w:fill="auto"/>
            <w:noWrap w:val="0"/>
            <w:vAlign w:val="center"/>
          </w:tcPr>
          <w:p>
            <w:pPr>
              <w:spacing w:line="300" w:lineRule="exact"/>
              <w:jc w:val="center"/>
              <w:rPr>
                <w:rFonts w:hint="eastAsia" w:ascii="Arial" w:hAnsi="Arial"/>
                <w:szCs w:val="21"/>
              </w:rPr>
            </w:pPr>
            <w:r>
              <w:rPr>
                <w:rFonts w:hint="eastAsia" w:ascii="宋体" w:hAnsi="宋体" w:cs="宋体"/>
                <w:b/>
                <w:bCs/>
                <w:kern w:val="0"/>
                <w:szCs w:val="21"/>
                <w:lang w:bidi="ar"/>
              </w:rPr>
              <w:t>保洁作业要求</w:t>
            </w:r>
          </w:p>
        </w:tc>
        <w:tc>
          <w:tcPr>
            <w:tcW w:w="649" w:type="dxa"/>
            <w:shd w:val="clear" w:color="auto" w:fill="auto"/>
            <w:noWrap w:val="0"/>
            <w:vAlign w:val="top"/>
          </w:tcPr>
          <w:p>
            <w:pPr>
              <w:spacing w:line="300" w:lineRule="exact"/>
              <w:rPr>
                <w:rFonts w:hint="eastAsia" w:ascii="Arial" w:hAnsi="Arial"/>
                <w:szCs w:val="21"/>
              </w:rPr>
            </w:pPr>
          </w:p>
        </w:tc>
        <w:tc>
          <w:tcPr>
            <w:tcW w:w="7222" w:type="dxa"/>
            <w:shd w:val="clear" w:color="auto" w:fill="auto"/>
            <w:noWrap w:val="0"/>
            <w:vAlign w:val="top"/>
          </w:tcPr>
          <w:p>
            <w:pPr>
              <w:widowControl/>
              <w:jc w:val="left"/>
              <w:rPr>
                <w:rFonts w:hint="eastAsia" w:ascii="宋体" w:hAnsi="宋体" w:cs="宋体"/>
                <w:szCs w:val="21"/>
              </w:rPr>
            </w:pPr>
            <w:r>
              <w:rPr>
                <w:rFonts w:hint="eastAsia" w:ascii="宋体" w:hAnsi="宋体" w:cs="宋体"/>
                <w:kern w:val="0"/>
                <w:szCs w:val="21"/>
                <w:lang w:bidi="ar"/>
              </w:rPr>
              <w:t xml:space="preserve">1. 公共厕所开放前接通设备电源，检查各类设施设备完好性，确保正常使用；设施功能异常的要停止使用并立即报修。 </w:t>
            </w:r>
          </w:p>
          <w:p>
            <w:pPr>
              <w:widowControl/>
              <w:jc w:val="left"/>
              <w:rPr>
                <w:rFonts w:hint="eastAsia" w:ascii="宋体" w:hAnsi="宋体" w:cs="宋体"/>
                <w:szCs w:val="21"/>
              </w:rPr>
            </w:pPr>
            <w:r>
              <w:rPr>
                <w:rFonts w:hint="eastAsia" w:ascii="宋体" w:hAnsi="宋体" w:cs="宋体"/>
                <w:kern w:val="0"/>
                <w:szCs w:val="21"/>
                <w:lang w:bidi="ar"/>
              </w:rPr>
              <w:t xml:space="preserve">2.公共厕所开放前全面清扫公共厕所市容环境卫生责任区，保持整洁；全面清除设施设备、地面、墙面等处的灰尘、污渍。 </w:t>
            </w:r>
          </w:p>
          <w:p>
            <w:pPr>
              <w:widowControl/>
              <w:jc w:val="left"/>
              <w:rPr>
                <w:rFonts w:hint="eastAsia" w:ascii="宋体" w:hAnsi="宋体" w:cs="宋体"/>
                <w:szCs w:val="21"/>
              </w:rPr>
            </w:pPr>
            <w:r>
              <w:rPr>
                <w:rFonts w:hint="eastAsia" w:ascii="宋体" w:hAnsi="宋体" w:cs="宋体"/>
                <w:kern w:val="0"/>
                <w:szCs w:val="21"/>
                <w:lang w:bidi="ar"/>
              </w:rPr>
              <w:t xml:space="preserve">3.公共厕所保洁以跟踪保洁为主，做到卫生洁具干净、洗手台无积水、镜面无水迹、洗手盆无积垢、地面墙面整洁；清洁便器污迹，擦净厕间、隔断、扶手等部位，喷洒消毒液。 </w:t>
            </w:r>
          </w:p>
          <w:p>
            <w:pPr>
              <w:widowControl/>
              <w:jc w:val="left"/>
              <w:rPr>
                <w:rFonts w:hint="eastAsia" w:ascii="宋体" w:hAnsi="宋体" w:cs="宋体"/>
                <w:szCs w:val="21"/>
              </w:rPr>
            </w:pPr>
            <w:r>
              <w:rPr>
                <w:rFonts w:hint="eastAsia" w:ascii="宋体" w:hAnsi="宋体" w:cs="宋体"/>
                <w:kern w:val="0"/>
                <w:szCs w:val="21"/>
                <w:lang w:bidi="ar"/>
              </w:rPr>
              <w:t xml:space="preserve">4. 及时清除纸篓内废弃物，补充洗手液（肥皂）、卫生纸、擦手纸等用品。 </w:t>
            </w:r>
          </w:p>
          <w:p>
            <w:pPr>
              <w:widowControl/>
              <w:jc w:val="left"/>
              <w:rPr>
                <w:rFonts w:hint="eastAsia" w:ascii="宋体" w:hAnsi="宋体" w:cs="宋体"/>
                <w:szCs w:val="21"/>
              </w:rPr>
            </w:pPr>
            <w:r>
              <w:rPr>
                <w:rFonts w:hint="eastAsia" w:ascii="宋体" w:hAnsi="宋体" w:cs="宋体"/>
                <w:kern w:val="0"/>
                <w:szCs w:val="21"/>
                <w:lang w:bidi="ar"/>
              </w:rPr>
              <w:t xml:space="preserve">5. 保洁过程中，不得将水渍等污物溅洒到如厕人。  </w:t>
            </w:r>
          </w:p>
          <w:p>
            <w:pPr>
              <w:widowControl/>
              <w:jc w:val="left"/>
              <w:rPr>
                <w:rFonts w:hint="eastAsia" w:ascii="宋体" w:hAnsi="宋体" w:cs="宋体"/>
                <w:szCs w:val="21"/>
              </w:rPr>
            </w:pPr>
            <w:r>
              <w:rPr>
                <w:rFonts w:hint="eastAsia" w:ascii="宋体" w:hAnsi="宋体" w:cs="宋体"/>
                <w:kern w:val="0"/>
                <w:szCs w:val="21"/>
                <w:lang w:bidi="ar"/>
              </w:rPr>
              <w:t xml:space="preserve">6. 潮湿气候应铺设防滑垫，设置防滑标识，并及时使用干燥拖把清除地面水渍。冬季 3℃以下，不得冲洗地面。 </w:t>
            </w:r>
          </w:p>
          <w:p>
            <w:pPr>
              <w:widowControl/>
              <w:jc w:val="left"/>
              <w:rPr>
                <w:rFonts w:hint="eastAsia" w:ascii="宋体" w:hAnsi="宋体" w:cs="宋体"/>
                <w:szCs w:val="21"/>
              </w:rPr>
            </w:pPr>
            <w:r>
              <w:rPr>
                <w:rFonts w:hint="eastAsia" w:ascii="宋体" w:hAnsi="宋体" w:cs="宋体"/>
                <w:kern w:val="0"/>
                <w:szCs w:val="21"/>
                <w:lang w:bidi="ar"/>
              </w:rPr>
              <w:t xml:space="preserve">7. 保洁人员进入异性厕所保洁前，必须询问是否有人使用，待无人使用或征得如厕人员同意后，方可进入保洁。 </w:t>
            </w:r>
          </w:p>
          <w:p>
            <w:pPr>
              <w:widowControl/>
              <w:jc w:val="left"/>
              <w:rPr>
                <w:rFonts w:hint="eastAsia" w:ascii="宋体" w:hAnsi="宋体" w:cs="宋体"/>
                <w:szCs w:val="21"/>
              </w:rPr>
            </w:pPr>
            <w:r>
              <w:rPr>
                <w:rFonts w:hint="eastAsia" w:ascii="宋体" w:hAnsi="宋体" w:cs="宋体"/>
                <w:kern w:val="0"/>
                <w:szCs w:val="21"/>
                <w:lang w:bidi="ar"/>
              </w:rPr>
              <w:t xml:space="preserve">8. 公共厕所停止服务前，保洁人员应询问、检查是否有人如厕，必须在确保无人如厕后再关闭公厕。 </w:t>
            </w:r>
          </w:p>
          <w:p>
            <w:pPr>
              <w:widowControl/>
              <w:jc w:val="left"/>
              <w:rPr>
                <w:rFonts w:hint="eastAsia" w:ascii="宋体" w:hAnsi="宋体" w:cs="宋体"/>
                <w:szCs w:val="21"/>
              </w:rPr>
            </w:pPr>
            <w:r>
              <w:rPr>
                <w:rFonts w:hint="eastAsia" w:ascii="宋体" w:hAnsi="宋体" w:cs="宋体"/>
                <w:kern w:val="0"/>
                <w:szCs w:val="21"/>
                <w:lang w:bidi="ar"/>
              </w:rPr>
              <w:t xml:space="preserve">9. 保洁结束后，应将保洁工具清洗干净并整齐摆放。 </w:t>
            </w:r>
          </w:p>
          <w:p>
            <w:pPr>
              <w:widowControl/>
              <w:jc w:val="left"/>
              <w:rPr>
                <w:rFonts w:hint="eastAsia" w:ascii="Arial" w:hAnsi="Arial"/>
                <w:szCs w:val="21"/>
              </w:rPr>
            </w:pPr>
            <w:r>
              <w:rPr>
                <w:rFonts w:hint="eastAsia" w:ascii="宋体" w:hAnsi="宋体" w:cs="宋体"/>
                <w:kern w:val="0"/>
                <w:szCs w:val="21"/>
                <w:lang w:bidi="ar"/>
              </w:rPr>
              <w:t>10. 关闭公共厕所之前，应当切断电源、水源，关好门窗。</w:t>
            </w:r>
          </w:p>
        </w:tc>
      </w:tr>
    </w:tbl>
    <w:p>
      <w:pPr>
        <w:spacing w:line="360" w:lineRule="exact"/>
        <w:rPr>
          <w:rFonts w:ascii="宋体" w:hAnsi="宋体"/>
          <w:b/>
          <w:bCs/>
        </w:rPr>
      </w:pPr>
      <w:r>
        <w:rPr>
          <w:szCs w:val="21"/>
        </w:rPr>
        <w:br w:type="page"/>
      </w:r>
      <w:r>
        <w:rPr>
          <w:rFonts w:hint="eastAsia"/>
          <w:szCs w:val="21"/>
        </w:rPr>
        <w:t>附件3：</w:t>
      </w:r>
      <w:r>
        <w:rPr>
          <w:rFonts w:hint="eastAsia" w:ascii="宋体" w:hAnsi="宋体"/>
          <w:b/>
          <w:bCs/>
        </w:rPr>
        <w:t>潘火街道</w:t>
      </w:r>
      <w:r>
        <w:rPr>
          <w:rFonts w:ascii="宋体" w:hAnsi="宋体"/>
          <w:b/>
          <w:bCs/>
        </w:rPr>
        <w:t>绿地养护考核管理办法</w:t>
      </w:r>
    </w:p>
    <w:p>
      <w:pPr>
        <w:spacing w:line="360" w:lineRule="auto"/>
        <w:ind w:firstLine="420" w:firstLineChars="200"/>
        <w:contextualSpacing/>
        <w:rPr>
          <w:rFonts w:hint="eastAsia" w:ascii="宋体" w:hAnsi="宋体" w:cs="宋体"/>
          <w:szCs w:val="21"/>
        </w:rPr>
      </w:pPr>
      <w:r>
        <w:rPr>
          <w:rFonts w:hint="eastAsia" w:ascii="宋体" w:hAnsi="宋体" w:cs="宋体"/>
          <w:szCs w:val="21"/>
        </w:rPr>
        <w:t>根据《宁波市城市绿化条例》、《宁波市城市绿地养护技术规范》DB3302/T 1117-2020、《宁波市城市绿地养护质量等级标准》DB3302/T 1016-2010等相关文件规定，结合我街道实际，特制订本考核办法。如上级部门出台新的政策文件，采购人将根据新的文件要求对本办法进行调整。</w:t>
      </w:r>
    </w:p>
    <w:p>
      <w:pPr>
        <w:spacing w:line="360" w:lineRule="auto"/>
        <w:ind w:firstLine="422" w:firstLineChars="200"/>
        <w:contextualSpacing/>
        <w:rPr>
          <w:rFonts w:ascii="宋体" w:hAnsi="宋体"/>
          <w:b/>
          <w:bCs/>
          <w:szCs w:val="21"/>
        </w:rPr>
      </w:pPr>
      <w:r>
        <w:rPr>
          <w:rFonts w:hint="eastAsia" w:ascii="宋体" w:hAnsi="宋体" w:cs="宋体"/>
          <w:b/>
          <w:bCs/>
          <w:szCs w:val="21"/>
        </w:rPr>
        <w:t>一、考核对象</w:t>
      </w:r>
    </w:p>
    <w:p>
      <w:pPr>
        <w:spacing w:line="360" w:lineRule="auto"/>
        <w:ind w:firstLine="411" w:firstLineChars="196"/>
        <w:contextualSpacing/>
        <w:rPr>
          <w:rFonts w:ascii="宋体" w:hAnsi="宋体"/>
          <w:szCs w:val="21"/>
        </w:rPr>
      </w:pPr>
      <w:r>
        <w:rPr>
          <w:rFonts w:hint="eastAsia" w:ascii="宋体" w:hAnsi="宋体" w:cs="宋体"/>
          <w:szCs w:val="21"/>
        </w:rPr>
        <w:t>本办法适用于宁波市鄞州区人民政府潘火街道办事处管辖范围内由区财政核拨养护经费并经招投标的园林绿化养护服务项目。</w:t>
      </w:r>
    </w:p>
    <w:p>
      <w:pPr>
        <w:spacing w:line="360" w:lineRule="auto"/>
        <w:ind w:firstLine="413" w:firstLineChars="196"/>
        <w:contextualSpacing/>
        <w:rPr>
          <w:rFonts w:ascii="宋体" w:hAnsi="宋体"/>
          <w:b/>
          <w:bCs/>
          <w:szCs w:val="21"/>
        </w:rPr>
      </w:pPr>
      <w:r>
        <w:rPr>
          <w:rFonts w:hint="eastAsia" w:ascii="宋体" w:hAnsi="宋体" w:cs="宋体"/>
          <w:b/>
          <w:bCs/>
          <w:szCs w:val="21"/>
        </w:rPr>
        <w:t>二、考核计分方式</w:t>
      </w:r>
    </w:p>
    <w:p>
      <w:pPr>
        <w:spacing w:line="360" w:lineRule="auto"/>
        <w:ind w:firstLine="411" w:firstLineChars="196"/>
        <w:contextualSpacing/>
        <w:rPr>
          <w:rFonts w:ascii="宋体" w:hAnsi="宋体"/>
          <w:szCs w:val="21"/>
        </w:rPr>
      </w:pPr>
      <w:r>
        <w:rPr>
          <w:rFonts w:hint="eastAsia" w:ascii="宋体" w:hAnsi="宋体" w:cs="宋体"/>
          <w:szCs w:val="21"/>
        </w:rPr>
        <w:t>根据园林绿化养护质量标准及考核扣分细则，考核总分</w:t>
      </w:r>
      <w:r>
        <w:rPr>
          <w:rFonts w:ascii="宋体" w:hAnsi="宋体" w:cs="宋体"/>
          <w:szCs w:val="21"/>
        </w:rPr>
        <w:t xml:space="preserve">100 </w:t>
      </w:r>
      <w:r>
        <w:rPr>
          <w:rFonts w:hint="eastAsia" w:ascii="宋体" w:hAnsi="宋体" w:cs="宋体"/>
          <w:szCs w:val="21"/>
        </w:rPr>
        <w:t>分。考核形式为月度考核，综合考核评分和直接扣款两种形式组成。</w:t>
      </w:r>
    </w:p>
    <w:p>
      <w:pPr>
        <w:spacing w:line="360" w:lineRule="auto"/>
        <w:ind w:firstLine="422" w:firstLineChars="200"/>
        <w:contextualSpacing/>
        <w:rPr>
          <w:rFonts w:ascii="宋体" w:hAnsi="宋体"/>
          <w:b/>
          <w:bCs/>
          <w:szCs w:val="21"/>
        </w:rPr>
      </w:pPr>
      <w:r>
        <w:rPr>
          <w:rFonts w:hint="eastAsia" w:ascii="宋体" w:hAnsi="宋体" w:cs="宋体"/>
          <w:b/>
          <w:bCs/>
          <w:szCs w:val="21"/>
        </w:rPr>
        <w:t>三、考核结果运用</w:t>
      </w:r>
    </w:p>
    <w:p>
      <w:pPr>
        <w:spacing w:line="360" w:lineRule="auto"/>
        <w:ind w:firstLine="420" w:firstLineChars="200"/>
        <w:contextualSpacing/>
        <w:rPr>
          <w:rFonts w:ascii="宋体" w:hAnsi="宋体" w:cs="宋体"/>
          <w:szCs w:val="21"/>
        </w:rPr>
      </w:pPr>
      <w:r>
        <w:rPr>
          <w:rFonts w:hint="eastAsia" w:ascii="宋体" w:hAnsi="宋体" w:cs="宋体"/>
          <w:szCs w:val="21"/>
        </w:rPr>
        <w:t>1、</w:t>
      </w:r>
      <w:r>
        <w:rPr>
          <w:rFonts w:hint="eastAsia" w:ascii="宋体" w:hAnsi="Arial"/>
          <w:szCs w:val="21"/>
        </w:rPr>
        <w:t>每两个月拨付一次，每月的服务经费金额与当月的考核结果相挂钩。</w:t>
      </w:r>
      <w:r>
        <w:rPr>
          <w:rFonts w:hint="eastAsia" w:ascii="宋体" w:hAnsi="宋体" w:cs="宋体"/>
          <w:szCs w:val="21"/>
        </w:rPr>
        <w:t>每月核拨基准额度</w:t>
      </w:r>
      <w:r>
        <w:rPr>
          <w:rFonts w:ascii="宋体" w:hAnsi="宋体" w:cs="宋体"/>
          <w:szCs w:val="21"/>
        </w:rPr>
        <w:t>=</w:t>
      </w:r>
      <w:r>
        <w:rPr>
          <w:rFonts w:hint="eastAsia" w:ascii="宋体" w:hAnsi="宋体" w:cs="宋体"/>
          <w:szCs w:val="21"/>
        </w:rPr>
        <w:t>合同总价</w:t>
      </w:r>
      <w:r>
        <w:rPr>
          <w:rFonts w:ascii="宋体" w:hAnsi="宋体" w:cs="宋体"/>
          <w:szCs w:val="21"/>
        </w:rPr>
        <w:t>/12</w:t>
      </w:r>
      <w:r>
        <w:rPr>
          <w:rFonts w:hint="eastAsia" w:ascii="宋体" w:hAnsi="宋体" w:cs="宋体"/>
          <w:szCs w:val="21"/>
        </w:rPr>
        <w:t>，甲方每月按考核评分表进行评分，考核结果直接与月度养护经费挂钩。每两个月考核后，由甲方核拨给乙方。</w:t>
      </w:r>
    </w:p>
    <w:p>
      <w:pPr>
        <w:spacing w:line="360" w:lineRule="auto"/>
        <w:ind w:firstLine="420" w:firstLineChars="200"/>
        <w:contextualSpacing/>
        <w:rPr>
          <w:rFonts w:ascii="宋体" w:hAnsi="宋体"/>
          <w:szCs w:val="21"/>
        </w:rPr>
      </w:pPr>
      <w:r>
        <w:rPr>
          <w:rFonts w:hint="eastAsia" w:ascii="宋体" w:hAnsi="宋体" w:cs="宋体"/>
          <w:szCs w:val="21"/>
        </w:rPr>
        <w:t>具体按下列标准根据考核得分核拨经费：</w:t>
      </w:r>
    </w:p>
    <w:p>
      <w:pPr>
        <w:spacing w:line="360" w:lineRule="auto"/>
        <w:ind w:firstLine="420" w:firstLineChars="200"/>
        <w:contextualSpacing/>
        <w:rPr>
          <w:rFonts w:hint="eastAsia" w:ascii="宋体" w:hAnsi="宋体" w:cs="宋体"/>
          <w:szCs w:val="21"/>
        </w:rPr>
      </w:pPr>
      <w:r>
        <w:rPr>
          <w:rFonts w:hint="eastAsia" w:ascii="宋体" w:hAnsi="宋体" w:cs="宋体"/>
          <w:szCs w:val="21"/>
        </w:rPr>
        <w:t>（1）考核分在91（含）分及以上为优秀，全额核拨月度养护经费。</w:t>
      </w:r>
    </w:p>
    <w:p>
      <w:pPr>
        <w:spacing w:line="360" w:lineRule="auto"/>
        <w:ind w:firstLine="420" w:firstLineChars="200"/>
        <w:contextualSpacing/>
        <w:rPr>
          <w:rFonts w:hint="eastAsia" w:ascii="宋体" w:hAnsi="宋体" w:cs="宋体"/>
          <w:szCs w:val="21"/>
        </w:rPr>
      </w:pPr>
      <w:r>
        <w:rPr>
          <w:rFonts w:hint="eastAsia" w:ascii="宋体" w:hAnsi="宋体" w:cs="宋体"/>
          <w:szCs w:val="21"/>
        </w:rPr>
        <w:t>（2）考核分在90（含）- 86分（含）之间为良好，以91分为基准，每下降1分，扣月度养护经费的1%。</w:t>
      </w:r>
    </w:p>
    <w:p>
      <w:pPr>
        <w:spacing w:line="360" w:lineRule="auto"/>
        <w:ind w:firstLine="420" w:firstLineChars="200"/>
        <w:contextualSpacing/>
        <w:rPr>
          <w:rFonts w:hint="eastAsia" w:ascii="宋体" w:hAnsi="宋体" w:cs="宋体"/>
          <w:szCs w:val="21"/>
        </w:rPr>
      </w:pPr>
      <w:r>
        <w:rPr>
          <w:rFonts w:hint="eastAsia" w:ascii="宋体" w:hAnsi="宋体" w:cs="宋体"/>
          <w:szCs w:val="21"/>
        </w:rPr>
        <w:t>（3）考核分在85（含）- -81分（含）为合格，以86分为基准，每下降1分，扣月度养护经费的2%。</w:t>
      </w:r>
    </w:p>
    <w:p>
      <w:pPr>
        <w:spacing w:line="360" w:lineRule="auto"/>
        <w:ind w:firstLine="420" w:firstLineChars="200"/>
        <w:contextualSpacing/>
        <w:rPr>
          <w:rFonts w:ascii="宋体" w:hAnsi="宋体"/>
          <w:szCs w:val="21"/>
        </w:rPr>
      </w:pPr>
      <w:r>
        <w:rPr>
          <w:rFonts w:hint="eastAsia" w:ascii="宋体" w:hAnsi="宋体" w:cs="宋体"/>
          <w:szCs w:val="21"/>
        </w:rPr>
        <w:t>（4）考核分在80分及以下为不合格，核拨月度养护经费的70%，扣除的金额不再拨付。</w:t>
      </w:r>
    </w:p>
    <w:p>
      <w:pPr>
        <w:spacing w:line="360" w:lineRule="auto"/>
        <w:ind w:firstLine="420" w:firstLineChars="200"/>
        <w:contextualSpacing/>
        <w:rPr>
          <w:rFonts w:ascii="宋体" w:hAnsi="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）甲方每月按考核评分表内的各分类分项进行评分，每月考核总得分=所有类别得分×各类别占比。</w:t>
      </w:r>
    </w:p>
    <w:p>
      <w:pPr>
        <w:spacing w:line="360" w:lineRule="auto"/>
        <w:ind w:firstLine="420" w:firstLineChars="200"/>
        <w:contextualSpacing/>
        <w:rPr>
          <w:rFonts w:ascii="宋体" w:hAnsi="宋体"/>
          <w:szCs w:val="21"/>
        </w:rPr>
      </w:pPr>
      <w:r>
        <w:rPr>
          <w:rFonts w:hint="eastAsia" w:ascii="宋体" w:hAnsi="宋体" w:cs="宋体"/>
          <w:szCs w:val="21"/>
        </w:rPr>
        <w:t>2、根据平常检查情况和每月考核得分结果，将综合情况与评优评先及下一年度养护合同续签挂钩。</w:t>
      </w:r>
    </w:p>
    <w:p>
      <w:pPr>
        <w:widowControl/>
        <w:spacing w:line="360" w:lineRule="auto"/>
        <w:ind w:firstLine="420" w:firstLineChars="200"/>
        <w:contextualSpacing/>
        <w:rPr>
          <w:rFonts w:ascii="宋体" w:hAnsi="宋体"/>
          <w:szCs w:val="21"/>
        </w:rPr>
      </w:pPr>
      <w:r>
        <w:rPr>
          <w:rFonts w:hint="eastAsia" w:ascii="宋体" w:hAnsi="宋体" w:cs="宋体"/>
          <w:szCs w:val="21"/>
        </w:rPr>
        <w:t>3、年度养护结束发现因乙方养护不力而导致乔木死亡的，</w:t>
      </w:r>
      <w:r>
        <w:rPr>
          <w:rFonts w:ascii="宋体" w:hAnsi="宋体" w:cs="宋体"/>
          <w:szCs w:val="21"/>
        </w:rPr>
        <w:t>乙方必须</w:t>
      </w:r>
      <w:r>
        <w:rPr>
          <w:rFonts w:hint="eastAsia" w:ascii="宋体" w:hAnsi="宋体" w:cs="宋体"/>
          <w:szCs w:val="21"/>
        </w:rPr>
        <w:t>及时适时</w:t>
      </w:r>
      <w:r>
        <w:rPr>
          <w:rFonts w:ascii="宋体" w:hAnsi="宋体" w:cs="宋体"/>
          <w:szCs w:val="21"/>
        </w:rPr>
        <w:t>按同品种同规格进行补种。</w:t>
      </w:r>
      <w:r>
        <w:rPr>
          <w:rFonts w:hint="eastAsia" w:ascii="宋体" w:hAnsi="宋体" w:cs="宋体"/>
          <w:szCs w:val="21"/>
        </w:rPr>
        <w:t>确因实际情况，经甲方同意确认需更换品种或规格的，按宁波市当月苗木市场信息价的补差进行扣款。</w:t>
      </w:r>
    </w:p>
    <w:p>
      <w:pPr>
        <w:spacing w:line="360" w:lineRule="auto"/>
        <w:ind w:firstLine="420" w:firstLineChars="200"/>
        <w:contextualSpacing/>
        <w:rPr>
          <w:rFonts w:ascii="宋体" w:hAnsi="宋体"/>
          <w:szCs w:val="21"/>
        </w:rPr>
      </w:pPr>
      <w:r>
        <w:rPr>
          <w:rFonts w:hint="eastAsia" w:ascii="宋体" w:hAnsi="宋体" w:cs="宋体"/>
          <w:szCs w:val="21"/>
        </w:rPr>
        <w:t>4、施肥视植物生长状况合理作业。一般绿地内乔、灌、草、地被植物等保证每年施有机肥或者复合肥</w:t>
      </w:r>
      <w:r>
        <w:rPr>
          <w:rFonts w:ascii="宋体" w:hAnsi="宋体" w:cs="宋体"/>
          <w:szCs w:val="21"/>
        </w:rPr>
        <w:t>2-3</w:t>
      </w:r>
      <w:r>
        <w:rPr>
          <w:rFonts w:hint="eastAsia" w:ascii="宋体" w:hAnsi="宋体" w:cs="宋体"/>
          <w:szCs w:val="21"/>
        </w:rPr>
        <w:t>次，个别品种如黑麦草、时令草花及一些开花乔、灌木做好适时追肥工作。肥料年用量不得少于计划量。乙方需及时上报施肥计划并提早一天通知甲方具体的施肥作业安排，甲方考核人员在施肥期间根据乙方的计划安排现场核实确认，以签证联系单的形式检查施肥作业工作，包括施肥范围、面积、用量等内容。如不达标，则根据考核办法、采购文件要求及中标响应中明确的肥料经费中扣除。</w:t>
      </w:r>
    </w:p>
    <w:p>
      <w:pPr>
        <w:spacing w:line="360" w:lineRule="auto"/>
        <w:ind w:firstLine="422" w:firstLineChars="200"/>
        <w:contextualSpacing/>
        <w:rPr>
          <w:rFonts w:ascii="宋体" w:hAnsi="宋体"/>
          <w:b/>
          <w:bCs/>
          <w:szCs w:val="21"/>
        </w:rPr>
      </w:pPr>
      <w:r>
        <w:rPr>
          <w:rFonts w:hint="eastAsia" w:ascii="宋体" w:hAnsi="宋体" w:cs="宋体"/>
          <w:b/>
          <w:bCs/>
          <w:szCs w:val="21"/>
        </w:rPr>
        <w:t>5、中标人应根据树种特性、季节特点，及时做好相关的病虫害防治工作，规范操作。</w:t>
      </w:r>
      <w:r>
        <w:rPr>
          <w:rFonts w:hint="eastAsia" w:ascii="宋体" w:hAnsi="宋体" w:cs="宋体"/>
          <w:szCs w:val="21"/>
        </w:rPr>
        <w:t>如不达标，则根据考核办法扣罚。</w:t>
      </w:r>
    </w:p>
    <w:p>
      <w:pPr>
        <w:widowControl/>
        <w:spacing w:line="360" w:lineRule="auto"/>
        <w:ind w:firstLine="420" w:firstLineChars="200"/>
        <w:contextualSpacing/>
        <w:rPr>
          <w:rFonts w:ascii="宋体" w:hAnsi="宋体"/>
          <w:szCs w:val="21"/>
        </w:rPr>
      </w:pPr>
      <w:r>
        <w:rPr>
          <w:rFonts w:hint="eastAsia" w:ascii="宋体" w:hAnsi="宋体" w:cs="宋体"/>
          <w:szCs w:val="21"/>
        </w:rPr>
        <w:t>6、企业退出机制</w:t>
      </w:r>
    </w:p>
    <w:p>
      <w:pPr>
        <w:widowControl/>
        <w:spacing w:line="360" w:lineRule="auto"/>
        <w:ind w:firstLine="420" w:firstLineChars="200"/>
        <w:contextualSpacing/>
        <w:rPr>
          <w:rFonts w:ascii="宋体" w:hAnsi="宋体"/>
          <w:szCs w:val="21"/>
        </w:rPr>
      </w:pPr>
      <w:r>
        <w:rPr>
          <w:rFonts w:hint="eastAsia" w:ascii="宋体" w:hAnsi="宋体" w:cs="宋体"/>
          <w:szCs w:val="21"/>
        </w:rPr>
        <w:t>（1）年度考核累计两次不合格。</w:t>
      </w:r>
    </w:p>
    <w:p>
      <w:pPr>
        <w:widowControl/>
        <w:spacing w:line="360" w:lineRule="auto"/>
        <w:ind w:firstLine="420" w:firstLineChars="200"/>
        <w:contextualSpacing/>
        <w:rPr>
          <w:rFonts w:ascii="宋体" w:hAnsi="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）非自然原因造成绿地设施重大损失（具体根据养护合同内规定）。</w:t>
      </w:r>
    </w:p>
    <w:p>
      <w:pPr>
        <w:widowControl/>
        <w:spacing w:line="360" w:lineRule="auto"/>
        <w:ind w:firstLine="420" w:firstLineChars="200"/>
        <w:contextualSpacing/>
        <w:rPr>
          <w:rFonts w:ascii="宋体" w:hAnsi="宋体" w:cs="宋体"/>
          <w:szCs w:val="21"/>
        </w:rPr>
      </w:pPr>
      <w:r>
        <w:rPr>
          <w:rFonts w:hint="eastAsia" w:ascii="宋体" w:hAnsi="宋体" w:cs="宋体"/>
          <w:szCs w:val="21"/>
        </w:rPr>
        <w:t>7、</w:t>
      </w:r>
      <w:r>
        <w:rPr>
          <w:rFonts w:ascii="宋体" w:hAnsi="宋体" w:cs="宋体"/>
          <w:szCs w:val="21"/>
        </w:rPr>
        <w:t>未按招标要求进行养护服务</w:t>
      </w:r>
      <w:r>
        <w:rPr>
          <w:rFonts w:hint="eastAsia" w:ascii="宋体" w:hAnsi="宋体" w:cs="宋体"/>
          <w:szCs w:val="21"/>
        </w:rPr>
        <w:t>且</w:t>
      </w:r>
      <w:r>
        <w:rPr>
          <w:rFonts w:ascii="宋体" w:hAnsi="宋体" w:cs="宋体"/>
          <w:szCs w:val="21"/>
        </w:rPr>
        <w:t>情节严重</w:t>
      </w:r>
      <w:r>
        <w:rPr>
          <w:rFonts w:hint="eastAsia" w:ascii="宋体" w:hAnsi="宋体" w:cs="宋体"/>
          <w:szCs w:val="21"/>
        </w:rPr>
        <w:t>的</w:t>
      </w:r>
      <w:r>
        <w:rPr>
          <w:rFonts w:ascii="宋体" w:hAnsi="宋体" w:cs="宋体"/>
          <w:szCs w:val="21"/>
        </w:rPr>
        <w:t>，第一次警告</w:t>
      </w:r>
      <w:r>
        <w:rPr>
          <w:rFonts w:hint="eastAsia" w:ascii="宋体" w:hAnsi="宋体" w:cs="宋体"/>
          <w:szCs w:val="21"/>
        </w:rPr>
        <w:t>，</w:t>
      </w:r>
      <w:r>
        <w:rPr>
          <w:rFonts w:ascii="宋体" w:hAnsi="宋体" w:cs="宋体"/>
          <w:szCs w:val="21"/>
        </w:rPr>
        <w:t>第二次约谈</w:t>
      </w:r>
      <w:r>
        <w:rPr>
          <w:rFonts w:hint="eastAsia" w:ascii="宋体" w:hAnsi="宋体" w:cs="宋体"/>
          <w:szCs w:val="21"/>
        </w:rPr>
        <w:t>，</w:t>
      </w:r>
      <w:r>
        <w:rPr>
          <w:rFonts w:ascii="宋体" w:hAnsi="宋体" w:cs="宋体"/>
          <w:szCs w:val="21"/>
        </w:rPr>
        <w:t>第三次仍未达标的</w:t>
      </w:r>
      <w:r>
        <w:rPr>
          <w:rFonts w:hint="eastAsia" w:ascii="宋体" w:hAnsi="宋体" w:cs="宋体"/>
          <w:szCs w:val="21"/>
        </w:rPr>
        <w:t>，采购人</w:t>
      </w:r>
      <w:r>
        <w:rPr>
          <w:rFonts w:ascii="宋体" w:hAnsi="宋体" w:cs="宋体"/>
          <w:szCs w:val="21"/>
        </w:rPr>
        <w:t>有权解除合同</w:t>
      </w:r>
      <w:r>
        <w:rPr>
          <w:rFonts w:hint="eastAsia" w:ascii="宋体" w:hAnsi="宋体" w:cs="宋体"/>
          <w:szCs w:val="21"/>
        </w:rPr>
        <w:t>。</w:t>
      </w:r>
    </w:p>
    <w:p>
      <w:pPr>
        <w:widowControl/>
        <w:jc w:val="left"/>
        <w:rPr>
          <w:rFonts w:hint="eastAsia" w:ascii="宋体" w:hAnsi="宋体"/>
        </w:rPr>
      </w:pPr>
      <w:r>
        <w:rPr>
          <w:rFonts w:ascii="宋体" w:hAnsi="宋体"/>
          <w:b/>
          <w:bCs/>
        </w:rPr>
        <w:br w:type="page"/>
      </w:r>
      <w:r>
        <w:rPr>
          <w:rFonts w:ascii="宋体" w:hAnsi="宋体"/>
          <w:b/>
          <w:bCs/>
        </w:rPr>
        <w:t>附件</w:t>
      </w:r>
      <w:r>
        <w:rPr>
          <w:rFonts w:hint="eastAsia" w:ascii="宋体" w:hAnsi="宋体"/>
          <w:b/>
          <w:bCs/>
        </w:rPr>
        <w:t>4</w:t>
      </w:r>
      <w:r>
        <w:rPr>
          <w:rFonts w:ascii="宋体" w:hAnsi="宋体"/>
          <w:b/>
          <w:bCs/>
        </w:rPr>
        <w:t>：绿地养护质量考核扣分细则</w:t>
      </w:r>
      <w:r>
        <w:rPr>
          <w:rFonts w:hint="eastAsia" w:ascii="宋体" w:hAnsi="宋体"/>
          <w:b/>
          <w:bCs/>
        </w:rPr>
        <w:t>（占比：45%）</w:t>
      </w:r>
    </w:p>
    <w:tbl>
      <w:tblPr>
        <w:tblStyle w:val="48"/>
        <w:tblW w:w="97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1127"/>
        <w:gridCol w:w="1127"/>
        <w:gridCol w:w="5072"/>
        <w:gridCol w:w="967"/>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blHeader/>
          <w:jc w:val="center"/>
        </w:trPr>
        <w:tc>
          <w:tcPr>
            <w:tcW w:w="706" w:type="dxa"/>
            <w:noWrap w:val="0"/>
            <w:vAlign w:val="center"/>
          </w:tcPr>
          <w:p>
            <w:pPr>
              <w:jc w:val="center"/>
              <w:rPr>
                <w:rFonts w:ascii="宋体" w:hAnsi="宋体"/>
                <w:b/>
                <w:szCs w:val="21"/>
              </w:rPr>
            </w:pPr>
            <w:r>
              <w:rPr>
                <w:rFonts w:hint="eastAsia" w:ascii="宋体" w:hAnsi="宋体" w:cs="仿宋"/>
                <w:b/>
                <w:szCs w:val="21"/>
              </w:rPr>
              <w:t>序号</w:t>
            </w:r>
          </w:p>
        </w:tc>
        <w:tc>
          <w:tcPr>
            <w:tcW w:w="1127" w:type="dxa"/>
            <w:noWrap w:val="0"/>
            <w:vAlign w:val="center"/>
          </w:tcPr>
          <w:p>
            <w:pPr>
              <w:jc w:val="center"/>
              <w:rPr>
                <w:rFonts w:ascii="宋体" w:hAnsi="宋体"/>
                <w:b/>
                <w:szCs w:val="21"/>
              </w:rPr>
            </w:pPr>
            <w:r>
              <w:rPr>
                <w:rFonts w:hint="eastAsia" w:ascii="宋体" w:hAnsi="宋体" w:cs="仿宋"/>
                <w:b/>
                <w:szCs w:val="21"/>
              </w:rPr>
              <w:t>项目</w:t>
            </w:r>
          </w:p>
        </w:tc>
        <w:tc>
          <w:tcPr>
            <w:tcW w:w="1127" w:type="dxa"/>
            <w:noWrap w:val="0"/>
            <w:vAlign w:val="center"/>
          </w:tcPr>
          <w:p>
            <w:pPr>
              <w:jc w:val="center"/>
              <w:rPr>
                <w:rFonts w:ascii="宋体" w:hAnsi="宋体"/>
                <w:b/>
                <w:szCs w:val="21"/>
              </w:rPr>
            </w:pPr>
            <w:r>
              <w:rPr>
                <w:rFonts w:hint="eastAsia" w:ascii="宋体" w:hAnsi="宋体" w:cs="仿宋"/>
                <w:b/>
                <w:szCs w:val="21"/>
              </w:rPr>
              <w:t>具体项目</w:t>
            </w:r>
          </w:p>
        </w:tc>
        <w:tc>
          <w:tcPr>
            <w:tcW w:w="5072" w:type="dxa"/>
            <w:noWrap w:val="0"/>
            <w:vAlign w:val="center"/>
          </w:tcPr>
          <w:p>
            <w:pPr>
              <w:jc w:val="center"/>
              <w:rPr>
                <w:rFonts w:ascii="宋体" w:hAnsi="宋体"/>
                <w:b/>
                <w:szCs w:val="21"/>
              </w:rPr>
            </w:pPr>
            <w:r>
              <w:rPr>
                <w:rFonts w:hint="eastAsia" w:ascii="宋体" w:hAnsi="宋体" w:cs="仿宋"/>
                <w:b/>
                <w:szCs w:val="21"/>
              </w:rPr>
              <w:t>评分标准</w:t>
            </w:r>
          </w:p>
        </w:tc>
        <w:tc>
          <w:tcPr>
            <w:tcW w:w="967" w:type="dxa"/>
            <w:noWrap w:val="0"/>
            <w:vAlign w:val="center"/>
          </w:tcPr>
          <w:p>
            <w:pPr>
              <w:jc w:val="center"/>
              <w:rPr>
                <w:rFonts w:ascii="宋体" w:hAnsi="宋体"/>
                <w:b/>
                <w:szCs w:val="21"/>
              </w:rPr>
            </w:pPr>
            <w:r>
              <w:rPr>
                <w:rFonts w:hint="eastAsia" w:ascii="宋体" w:hAnsi="宋体" w:cs="仿宋"/>
                <w:b/>
                <w:szCs w:val="21"/>
              </w:rPr>
              <w:t>标准分</w:t>
            </w:r>
          </w:p>
        </w:tc>
        <w:tc>
          <w:tcPr>
            <w:tcW w:w="705" w:type="dxa"/>
            <w:noWrap w:val="0"/>
            <w:vAlign w:val="center"/>
          </w:tcPr>
          <w:p>
            <w:pPr>
              <w:jc w:val="center"/>
              <w:rPr>
                <w:rFonts w:ascii="宋体" w:hAnsi="宋体"/>
                <w:b/>
                <w:szCs w:val="21"/>
              </w:rPr>
            </w:pPr>
            <w:r>
              <w:rPr>
                <w:rFonts w:hint="eastAsia" w:ascii="宋体" w:hAnsi="宋体" w:cs="仿宋"/>
                <w:b/>
                <w:szCs w:val="21"/>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706" w:type="dxa"/>
            <w:vMerge w:val="restart"/>
            <w:noWrap w:val="0"/>
            <w:vAlign w:val="center"/>
          </w:tcPr>
          <w:p>
            <w:pPr>
              <w:jc w:val="center"/>
              <w:rPr>
                <w:rFonts w:ascii="宋体" w:hAnsi="宋体"/>
                <w:szCs w:val="21"/>
              </w:rPr>
            </w:pPr>
            <w:r>
              <w:rPr>
                <w:rFonts w:hint="eastAsia" w:ascii="宋体" w:hAnsi="宋体" w:cs="仿宋"/>
                <w:szCs w:val="21"/>
              </w:rPr>
              <w:t>一</w:t>
            </w:r>
          </w:p>
        </w:tc>
        <w:tc>
          <w:tcPr>
            <w:tcW w:w="1127" w:type="dxa"/>
            <w:vMerge w:val="restart"/>
            <w:noWrap w:val="0"/>
            <w:vAlign w:val="center"/>
          </w:tcPr>
          <w:p>
            <w:pPr>
              <w:jc w:val="center"/>
              <w:rPr>
                <w:rFonts w:ascii="宋体" w:hAnsi="宋体"/>
                <w:szCs w:val="21"/>
              </w:rPr>
            </w:pPr>
            <w:r>
              <w:rPr>
                <w:rFonts w:hint="eastAsia" w:ascii="宋体" w:hAnsi="宋体" w:cs="仿宋"/>
                <w:szCs w:val="21"/>
              </w:rPr>
              <w:t>植物管理（</w:t>
            </w:r>
            <w:r>
              <w:rPr>
                <w:rFonts w:ascii="宋体" w:hAnsi="宋体" w:cs="仿宋"/>
                <w:szCs w:val="21"/>
              </w:rPr>
              <w:t>40</w:t>
            </w:r>
            <w:r>
              <w:rPr>
                <w:rFonts w:hint="eastAsia" w:ascii="宋体" w:hAnsi="宋体" w:cs="仿宋"/>
                <w:szCs w:val="21"/>
              </w:rPr>
              <w:t>分）</w:t>
            </w:r>
          </w:p>
        </w:tc>
        <w:tc>
          <w:tcPr>
            <w:tcW w:w="1127" w:type="dxa"/>
            <w:vMerge w:val="restart"/>
            <w:noWrap w:val="0"/>
            <w:vAlign w:val="center"/>
          </w:tcPr>
          <w:p>
            <w:pPr>
              <w:jc w:val="center"/>
              <w:rPr>
                <w:rFonts w:ascii="宋体" w:hAnsi="宋体"/>
                <w:szCs w:val="21"/>
              </w:rPr>
            </w:pPr>
            <w:r>
              <w:rPr>
                <w:rFonts w:hint="eastAsia" w:ascii="宋体" w:hAnsi="宋体" w:cs="仿宋"/>
                <w:szCs w:val="21"/>
              </w:rPr>
              <w:t>乔木管理</w:t>
            </w:r>
            <w:r>
              <w:rPr>
                <w:rFonts w:ascii="宋体" w:hAnsi="宋体" w:cs="仿宋"/>
                <w:szCs w:val="21"/>
              </w:rPr>
              <w:t>(15</w:t>
            </w:r>
            <w:r>
              <w:rPr>
                <w:rFonts w:hint="eastAsia" w:ascii="宋体" w:hAnsi="宋体" w:cs="仿宋"/>
                <w:szCs w:val="21"/>
              </w:rPr>
              <w:t>分</w:t>
            </w:r>
            <w:r>
              <w:rPr>
                <w:rFonts w:ascii="宋体" w:hAnsi="宋体" w:cs="仿宋"/>
                <w:szCs w:val="21"/>
              </w:rPr>
              <w:t>)</w:t>
            </w:r>
          </w:p>
        </w:tc>
        <w:tc>
          <w:tcPr>
            <w:tcW w:w="5072" w:type="dxa"/>
            <w:noWrap w:val="0"/>
            <w:vAlign w:val="center"/>
          </w:tcPr>
          <w:p>
            <w:pPr>
              <w:rPr>
                <w:rFonts w:ascii="宋体" w:hAnsi="宋体"/>
                <w:szCs w:val="21"/>
              </w:rPr>
            </w:pPr>
            <w:r>
              <w:rPr>
                <w:rFonts w:hint="eastAsia" w:ascii="宋体" w:hAnsi="宋体" w:cs="仿宋"/>
                <w:szCs w:val="21"/>
              </w:rPr>
              <w:t>缺株、死株、明显倾斜或倒伏未及时补种或扶正、残桩未及时清理，扣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株。树木支撑破损缺失、老化、构件嵌入植株、草绳等包裹物未及时松绑清理，扣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株；台风等恶劣天气前后应对树木支撑进行检查未及时发现问题并加以扶正加固，扣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67" w:type="dxa"/>
            <w:noWrap w:val="0"/>
            <w:vAlign w:val="center"/>
          </w:tcPr>
          <w:p>
            <w:pPr>
              <w:jc w:val="center"/>
              <w:rPr>
                <w:rFonts w:ascii="宋体" w:hAnsi="宋体"/>
                <w:szCs w:val="21"/>
              </w:rPr>
            </w:pPr>
            <w:r>
              <w:rPr>
                <w:rFonts w:ascii="宋体" w:hAnsi="宋体" w:cs="仿宋"/>
                <w:szCs w:val="21"/>
              </w:rPr>
              <w:t>5</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有病虫枝、残枝、</w:t>
            </w:r>
            <w:r>
              <w:rPr>
                <w:rFonts w:ascii="宋体" w:hAnsi="宋体" w:cs="仿宋"/>
                <w:szCs w:val="21"/>
              </w:rPr>
              <w:t>10cm</w:t>
            </w:r>
            <w:r>
              <w:rPr>
                <w:rFonts w:hint="eastAsia" w:ascii="宋体" w:hAnsi="宋体" w:cs="仿宋"/>
                <w:szCs w:val="21"/>
              </w:rPr>
              <w:t>以上徒长枝未及时清理，修剪切口不平整，伤口处理不规范，扣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株；内膛过密、通风透光不良扣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株；叶色、叶形不正常</w:t>
            </w:r>
            <w:r>
              <w:rPr>
                <w:rFonts w:ascii="宋体" w:hAnsi="宋体" w:cs="仿宋"/>
                <w:szCs w:val="21"/>
              </w:rPr>
              <w:t>(</w:t>
            </w:r>
            <w:r>
              <w:rPr>
                <w:rFonts w:hint="eastAsia" w:ascii="宋体" w:hAnsi="宋体" w:cs="仿宋"/>
                <w:szCs w:val="21"/>
              </w:rPr>
              <w:t>黄叶、焦叶、卷叶、落叶</w:t>
            </w:r>
            <w:r>
              <w:rPr>
                <w:rFonts w:ascii="宋体" w:hAnsi="宋体" w:cs="仿宋"/>
                <w:szCs w:val="21"/>
              </w:rPr>
              <w:t>)</w:t>
            </w:r>
            <w:r>
              <w:rPr>
                <w:rFonts w:hint="eastAsia" w:ascii="宋体" w:hAnsi="宋体" w:cs="仿宋"/>
                <w:szCs w:val="21"/>
              </w:rPr>
              <w:t>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67" w:type="dxa"/>
            <w:noWrap w:val="0"/>
            <w:vAlign w:val="center"/>
          </w:tcPr>
          <w:p>
            <w:pPr>
              <w:jc w:val="center"/>
              <w:rPr>
                <w:rFonts w:ascii="宋体" w:hAnsi="宋体"/>
                <w:szCs w:val="21"/>
              </w:rPr>
            </w:pPr>
            <w:r>
              <w:rPr>
                <w:rFonts w:ascii="宋体" w:hAnsi="宋体" w:cs="仿宋"/>
                <w:szCs w:val="21"/>
              </w:rPr>
              <w:t>4</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树下绿地堆物、堆料，树穴裸露，树挂，树干有钉子、铁丝、晾晒及刻画张贴等现象，扣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szCs w:val="21"/>
              </w:rPr>
            </w:pPr>
            <w:r>
              <w:rPr>
                <w:rFonts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胸径</w:t>
            </w:r>
            <w:r>
              <w:rPr>
                <w:rFonts w:ascii="宋体" w:hAnsi="宋体" w:cs="仿宋"/>
                <w:szCs w:val="21"/>
              </w:rPr>
              <w:t>10</w:t>
            </w:r>
            <w:r>
              <w:rPr>
                <w:rFonts w:hint="eastAsia" w:ascii="宋体" w:hAnsi="宋体" w:cs="仿宋"/>
                <w:szCs w:val="21"/>
              </w:rPr>
              <w:t>公分以上乔木主干未及时涂白，高度未达标准（</w:t>
            </w:r>
            <w:r>
              <w:rPr>
                <w:rFonts w:ascii="宋体" w:hAnsi="宋体" w:cs="仿宋"/>
                <w:szCs w:val="21"/>
              </w:rPr>
              <w:t>1.2</w:t>
            </w:r>
            <w:r>
              <w:rPr>
                <w:rFonts w:hint="eastAsia" w:ascii="宋体" w:hAnsi="宋体" w:cs="仿宋"/>
                <w:szCs w:val="21"/>
              </w:rPr>
              <w:t>米），扣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株；涂料堆放不规范或工程结束后未及时清理现场，扣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处。热带植物冬季需进行保温保湿处理，（保温膜、草绳等）冬季防冻措施未到位，扣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67" w:type="dxa"/>
            <w:noWrap w:val="0"/>
            <w:vAlign w:val="center"/>
          </w:tcPr>
          <w:p>
            <w:pPr>
              <w:jc w:val="center"/>
              <w:rPr>
                <w:rFonts w:ascii="宋体" w:hAnsi="宋体"/>
                <w:szCs w:val="21"/>
              </w:rPr>
            </w:pPr>
            <w:r>
              <w:rPr>
                <w:rFonts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1"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restart"/>
            <w:noWrap w:val="0"/>
            <w:vAlign w:val="center"/>
          </w:tcPr>
          <w:p>
            <w:pPr>
              <w:jc w:val="center"/>
              <w:rPr>
                <w:rFonts w:ascii="宋体" w:hAnsi="宋体"/>
                <w:szCs w:val="21"/>
              </w:rPr>
            </w:pPr>
            <w:r>
              <w:rPr>
                <w:rFonts w:hint="eastAsia" w:ascii="宋体" w:hAnsi="宋体" w:cs="仿宋"/>
                <w:szCs w:val="21"/>
              </w:rPr>
              <w:t>灌木及绿篱管理（</w:t>
            </w:r>
            <w:r>
              <w:rPr>
                <w:rFonts w:ascii="宋体" w:hAnsi="宋体" w:cs="仿宋"/>
                <w:szCs w:val="21"/>
              </w:rPr>
              <w:t>15</w:t>
            </w:r>
            <w:r>
              <w:rPr>
                <w:rFonts w:hint="eastAsia" w:ascii="宋体" w:hAnsi="宋体" w:cs="仿宋"/>
                <w:szCs w:val="21"/>
              </w:rPr>
              <w:t>分）</w:t>
            </w:r>
          </w:p>
        </w:tc>
        <w:tc>
          <w:tcPr>
            <w:tcW w:w="5072" w:type="dxa"/>
            <w:noWrap w:val="0"/>
            <w:vAlign w:val="center"/>
          </w:tcPr>
          <w:p>
            <w:pPr>
              <w:rPr>
                <w:rFonts w:ascii="宋体" w:hAnsi="宋体"/>
                <w:szCs w:val="21"/>
              </w:rPr>
            </w:pPr>
            <w:r>
              <w:rPr>
                <w:rFonts w:hint="eastAsia" w:ascii="宋体" w:hAnsi="宋体" w:cs="仿宋"/>
                <w:szCs w:val="21"/>
              </w:rPr>
              <w:t>有死株、缺株未及时补植，灌木扣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株，绿篱、色块扣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宋体"/>
                <w:szCs w:val="21"/>
              </w:rPr>
              <w:t>²</w:t>
            </w:r>
            <w:r>
              <w:rPr>
                <w:rFonts w:hint="eastAsia" w:ascii="宋体" w:hAnsi="宋体" w:cs="仿宋"/>
                <w:szCs w:val="21"/>
              </w:rPr>
              <w:t>；灌木最大倾斜度超过</w:t>
            </w:r>
            <w:r>
              <w:rPr>
                <w:rFonts w:ascii="宋体" w:hAnsi="宋体" w:cs="仿宋"/>
                <w:szCs w:val="21"/>
              </w:rPr>
              <w:t>5</w:t>
            </w:r>
            <w:r>
              <w:rPr>
                <w:rFonts w:hint="eastAsia" w:ascii="宋体" w:hAnsi="宋体" w:cs="仿宋"/>
                <w:szCs w:val="21"/>
              </w:rPr>
              <w:t>度（整形性歪斜除外）扣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株；易穿行、踩踏区未采取有效措施解决设施，扣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处；隔离带人行通道口、端头绿篱高度应控制在距地面</w:t>
            </w:r>
            <w:r>
              <w:rPr>
                <w:rFonts w:ascii="宋体" w:hAnsi="宋体" w:cs="仿宋"/>
                <w:szCs w:val="21"/>
              </w:rPr>
              <w:t>80cm</w:t>
            </w:r>
            <w:r>
              <w:rPr>
                <w:rFonts w:hint="eastAsia" w:ascii="宋体" w:hAnsi="宋体" w:cs="仿宋"/>
                <w:szCs w:val="21"/>
              </w:rPr>
              <w:t>以下，以免遮挡视线引发交通事故，未达标，扣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szCs w:val="21"/>
              </w:rPr>
            </w:pPr>
            <w:r>
              <w:rPr>
                <w:rFonts w:ascii="宋体" w:hAnsi="宋体" w:cs="仿宋"/>
                <w:szCs w:val="21"/>
              </w:rPr>
              <w:t>6</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花灌木开花及时，花后修剪合理；绿篱、色块轮廓清晰、整齐美观，及时修剪窜枝，未达标，扣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仿宋"/>
                <w:szCs w:val="21"/>
              </w:rPr>
              <w:t>²；</w:t>
            </w:r>
          </w:p>
        </w:tc>
        <w:tc>
          <w:tcPr>
            <w:tcW w:w="967" w:type="dxa"/>
            <w:noWrap w:val="0"/>
            <w:vAlign w:val="center"/>
          </w:tcPr>
          <w:p>
            <w:pPr>
              <w:jc w:val="center"/>
              <w:rPr>
                <w:rFonts w:ascii="宋体" w:hAnsi="宋体"/>
                <w:szCs w:val="21"/>
              </w:rPr>
            </w:pPr>
            <w:r>
              <w:rPr>
                <w:rFonts w:ascii="宋体" w:hAnsi="宋体" w:cs="仿宋"/>
                <w:szCs w:val="21"/>
              </w:rPr>
              <w:t>6</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垂直绿化、水生植物有残花败叶、杂乱现象扣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处；根据不同攀援植物的攀爬特点，及时采取相应牵引、设置网架，对多年生的攀援植物未定期翻蔓，清除枯枝，疏删老弱的藤蔓，扣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szCs w:val="21"/>
              </w:rPr>
            </w:pPr>
            <w:r>
              <w:rPr>
                <w:rFonts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restart"/>
            <w:noWrap w:val="0"/>
            <w:vAlign w:val="center"/>
          </w:tcPr>
          <w:p>
            <w:pPr>
              <w:jc w:val="center"/>
              <w:rPr>
                <w:rFonts w:ascii="宋体" w:hAnsi="宋体"/>
                <w:szCs w:val="21"/>
              </w:rPr>
            </w:pPr>
            <w:r>
              <w:rPr>
                <w:rFonts w:hint="eastAsia" w:ascii="宋体" w:hAnsi="宋体" w:cs="仿宋"/>
                <w:szCs w:val="21"/>
              </w:rPr>
              <w:t>草坪及地被管理（</w:t>
            </w:r>
            <w:r>
              <w:rPr>
                <w:rFonts w:ascii="宋体" w:hAnsi="宋体" w:cs="仿宋"/>
                <w:szCs w:val="21"/>
              </w:rPr>
              <w:t>10</w:t>
            </w:r>
            <w:r>
              <w:rPr>
                <w:rFonts w:hint="eastAsia" w:ascii="宋体" w:hAnsi="宋体" w:cs="仿宋"/>
                <w:szCs w:val="21"/>
              </w:rPr>
              <w:t>分）</w:t>
            </w:r>
          </w:p>
        </w:tc>
        <w:tc>
          <w:tcPr>
            <w:tcW w:w="5072" w:type="dxa"/>
            <w:noWrap w:val="0"/>
            <w:vAlign w:val="center"/>
          </w:tcPr>
          <w:p>
            <w:pPr>
              <w:rPr>
                <w:rFonts w:ascii="宋体" w:hAnsi="宋体"/>
                <w:szCs w:val="21"/>
              </w:rPr>
            </w:pPr>
            <w:r>
              <w:rPr>
                <w:rFonts w:hint="eastAsia" w:ascii="宋体" w:hAnsi="宋体" w:cs="仿宋"/>
                <w:szCs w:val="21"/>
              </w:rPr>
              <w:t>草坪反季节枯黄、枯死，泥土裸露、杂草丛生未在规定时间内修复清理，扣</w:t>
            </w:r>
            <w:r>
              <w:rPr>
                <w:rFonts w:ascii="宋体" w:hAnsi="宋体" w:cs="仿宋"/>
                <w:szCs w:val="21"/>
              </w:rPr>
              <w:t>0.2</w:t>
            </w:r>
            <w:r>
              <w:rPr>
                <w:rFonts w:hint="eastAsia" w:ascii="宋体" w:hAnsi="宋体" w:cs="仿宋"/>
                <w:szCs w:val="21"/>
              </w:rPr>
              <w:t>分</w:t>
            </w:r>
            <w:r>
              <w:rPr>
                <w:rFonts w:ascii="宋体" w:hAnsi="宋体" w:cs="仿宋"/>
                <w:szCs w:val="21"/>
              </w:rPr>
              <w:t>/ m</w:t>
            </w:r>
            <w:r>
              <w:rPr>
                <w:rFonts w:hint="eastAsia" w:ascii="宋体" w:hAnsi="宋体" w:cs="宋体"/>
                <w:szCs w:val="21"/>
              </w:rPr>
              <w:t>²</w:t>
            </w:r>
            <w:r>
              <w:rPr>
                <w:rFonts w:hint="eastAsia" w:ascii="宋体" w:hAnsi="宋体" w:cs="仿宋"/>
                <w:szCs w:val="21"/>
              </w:rPr>
              <w:t>。积水及坑注现象的，扣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宋体"/>
                <w:szCs w:val="21"/>
              </w:rPr>
              <w:t>²</w:t>
            </w:r>
            <w:r>
              <w:rPr>
                <w:rFonts w:hint="eastAsia" w:ascii="宋体" w:hAnsi="宋体" w:cs="仿宋"/>
                <w:szCs w:val="21"/>
              </w:rPr>
              <w:t>。</w:t>
            </w:r>
          </w:p>
        </w:tc>
        <w:tc>
          <w:tcPr>
            <w:tcW w:w="967" w:type="dxa"/>
            <w:noWrap w:val="0"/>
            <w:vAlign w:val="center"/>
          </w:tcPr>
          <w:p>
            <w:pPr>
              <w:jc w:val="center"/>
              <w:rPr>
                <w:rFonts w:ascii="宋体" w:hAnsi="宋体"/>
                <w:szCs w:val="21"/>
              </w:rPr>
            </w:pPr>
            <w:r>
              <w:rPr>
                <w:rFonts w:ascii="宋体" w:hAnsi="宋体" w:cs="仿宋"/>
                <w:szCs w:val="21"/>
              </w:rPr>
              <w:t>5</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jc w:val="center"/>
        </w:trPr>
        <w:tc>
          <w:tcPr>
            <w:tcW w:w="706"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1127" w:type="dxa"/>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草坪修剪高度不符作业规范要求，暖季型草坪</w:t>
            </w:r>
            <w:r>
              <w:rPr>
                <w:rFonts w:ascii="宋体" w:hAnsi="宋体" w:cs="仿宋"/>
                <w:szCs w:val="21"/>
              </w:rPr>
              <w:t>(</w:t>
            </w:r>
            <w:r>
              <w:rPr>
                <w:rFonts w:hint="eastAsia" w:ascii="宋体" w:hAnsi="宋体" w:cs="仿宋"/>
                <w:szCs w:val="21"/>
              </w:rPr>
              <w:t>如马尼拉</w:t>
            </w:r>
            <w:r>
              <w:rPr>
                <w:rFonts w:ascii="宋体" w:hAnsi="宋体" w:cs="仿宋"/>
                <w:szCs w:val="21"/>
              </w:rPr>
              <w:t>)</w:t>
            </w:r>
            <w:r>
              <w:rPr>
                <w:rFonts w:hint="eastAsia" w:ascii="宋体" w:hAnsi="宋体" w:cs="仿宋"/>
                <w:szCs w:val="21"/>
              </w:rPr>
              <w:t>超过</w:t>
            </w:r>
            <w:r>
              <w:rPr>
                <w:rFonts w:ascii="宋体" w:hAnsi="宋体" w:cs="仿宋"/>
                <w:szCs w:val="21"/>
              </w:rPr>
              <w:t>6cm</w:t>
            </w:r>
            <w:r>
              <w:rPr>
                <w:rFonts w:hint="eastAsia" w:ascii="宋体" w:hAnsi="宋体" w:cs="仿宋"/>
                <w:szCs w:val="21"/>
              </w:rPr>
              <w:t>高度，扣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宋体"/>
                <w:szCs w:val="21"/>
              </w:rPr>
              <w:t>²</w:t>
            </w:r>
            <w:r>
              <w:rPr>
                <w:rFonts w:hint="eastAsia" w:ascii="宋体" w:hAnsi="宋体" w:cs="仿宋"/>
                <w:szCs w:val="21"/>
              </w:rPr>
              <w:t>，冷季型草坪</w:t>
            </w:r>
            <w:r>
              <w:rPr>
                <w:rFonts w:ascii="宋体" w:hAnsi="宋体" w:cs="仿宋"/>
                <w:szCs w:val="21"/>
              </w:rPr>
              <w:t>(</w:t>
            </w:r>
            <w:r>
              <w:rPr>
                <w:rFonts w:hint="eastAsia" w:ascii="宋体" w:hAnsi="宋体" w:cs="仿宋"/>
                <w:szCs w:val="21"/>
              </w:rPr>
              <w:t>如高羊茅</w:t>
            </w:r>
            <w:r>
              <w:rPr>
                <w:rFonts w:ascii="宋体" w:hAnsi="宋体" w:cs="仿宋"/>
                <w:szCs w:val="21"/>
              </w:rPr>
              <w:t>)</w:t>
            </w:r>
            <w:r>
              <w:rPr>
                <w:rFonts w:hint="eastAsia" w:ascii="宋体" w:hAnsi="宋体" w:cs="仿宋"/>
                <w:szCs w:val="21"/>
              </w:rPr>
              <w:t>超过</w:t>
            </w:r>
            <w:r>
              <w:rPr>
                <w:rFonts w:ascii="宋体" w:hAnsi="宋体" w:cs="仿宋"/>
                <w:szCs w:val="21"/>
              </w:rPr>
              <w:t>8cm</w:t>
            </w:r>
            <w:r>
              <w:rPr>
                <w:rFonts w:hint="eastAsia" w:ascii="宋体" w:hAnsi="宋体" w:cs="仿宋"/>
                <w:szCs w:val="21"/>
              </w:rPr>
              <w:t>高度，扣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宋体"/>
                <w:szCs w:val="21"/>
              </w:rPr>
              <w:t>²</w:t>
            </w:r>
            <w:r>
              <w:rPr>
                <w:rFonts w:hint="eastAsia" w:ascii="宋体" w:hAnsi="宋体" w:cs="仿宋"/>
                <w:szCs w:val="21"/>
              </w:rPr>
              <w:t>；修剪物半天内未及时清理，扣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szCs w:val="21"/>
              </w:rPr>
            </w:pPr>
            <w:r>
              <w:rPr>
                <w:rFonts w:ascii="宋体" w:hAnsi="宋体" w:cs="仿宋"/>
                <w:szCs w:val="21"/>
              </w:rPr>
              <w:t>5</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706" w:type="dxa"/>
            <w:noWrap w:val="0"/>
            <w:vAlign w:val="center"/>
          </w:tcPr>
          <w:p>
            <w:pPr>
              <w:jc w:val="center"/>
              <w:rPr>
                <w:rFonts w:ascii="宋体" w:hAnsi="宋体"/>
                <w:szCs w:val="21"/>
              </w:rPr>
            </w:pPr>
            <w:r>
              <w:rPr>
                <w:rFonts w:hint="eastAsia" w:ascii="宋体" w:hAnsi="宋体" w:cs="仿宋"/>
                <w:szCs w:val="21"/>
              </w:rPr>
              <w:t>二</w:t>
            </w:r>
          </w:p>
        </w:tc>
        <w:tc>
          <w:tcPr>
            <w:tcW w:w="2254" w:type="dxa"/>
            <w:gridSpan w:val="2"/>
            <w:noWrap w:val="0"/>
            <w:vAlign w:val="center"/>
          </w:tcPr>
          <w:p>
            <w:pPr>
              <w:jc w:val="center"/>
              <w:rPr>
                <w:rFonts w:ascii="宋体" w:hAnsi="宋体"/>
                <w:szCs w:val="21"/>
              </w:rPr>
            </w:pPr>
            <w:r>
              <w:rPr>
                <w:rFonts w:hint="eastAsia" w:ascii="宋体" w:hAnsi="宋体" w:cs="仿宋"/>
                <w:szCs w:val="21"/>
              </w:rPr>
              <w:t>肥水标准</w:t>
            </w:r>
          </w:p>
          <w:p>
            <w:pPr>
              <w:jc w:val="center"/>
              <w:rPr>
                <w:rFonts w:ascii="宋体" w:hAnsi="宋体"/>
                <w:szCs w:val="21"/>
              </w:rPr>
            </w:pPr>
            <w:r>
              <w:rPr>
                <w:rFonts w:hint="eastAsia" w:ascii="宋体" w:hAnsi="宋体" w:cs="仿宋"/>
                <w:szCs w:val="21"/>
              </w:rPr>
              <w:t>（</w:t>
            </w:r>
            <w:r>
              <w:rPr>
                <w:rFonts w:ascii="宋体" w:hAnsi="宋体" w:cs="仿宋"/>
                <w:szCs w:val="21"/>
              </w:rPr>
              <w:t>5</w:t>
            </w:r>
            <w:r>
              <w:rPr>
                <w:rFonts w:hint="eastAsia" w:ascii="宋体" w:hAnsi="宋体" w:cs="仿宋"/>
                <w:szCs w:val="21"/>
              </w:rPr>
              <w:t>分）</w:t>
            </w:r>
          </w:p>
        </w:tc>
        <w:tc>
          <w:tcPr>
            <w:tcW w:w="5072" w:type="dxa"/>
            <w:noWrap w:val="0"/>
            <w:vAlign w:val="center"/>
          </w:tcPr>
          <w:p>
            <w:pPr>
              <w:rPr>
                <w:rFonts w:ascii="宋体" w:hAnsi="宋体"/>
                <w:szCs w:val="21"/>
              </w:rPr>
            </w:pPr>
            <w:r>
              <w:rPr>
                <w:rFonts w:hint="eastAsia" w:ascii="宋体" w:hAnsi="宋体" w:cs="仿宋"/>
                <w:szCs w:val="21"/>
              </w:rPr>
              <w:t>肥、水管理不善造成的枯黄、叶烧现象</w:t>
            </w:r>
            <w:r>
              <w:rPr>
                <w:rFonts w:ascii="宋体" w:hAnsi="宋体" w:cs="仿宋"/>
                <w:szCs w:val="21"/>
              </w:rPr>
              <w:t>,</w:t>
            </w:r>
            <w:r>
              <w:rPr>
                <w:rFonts w:hint="eastAsia" w:ascii="宋体" w:hAnsi="宋体" w:cs="仿宋"/>
                <w:szCs w:val="21"/>
              </w:rPr>
              <w:t>乔灌木每株、绿篱、草坪，扣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宋体"/>
                <w:szCs w:val="21"/>
              </w:rPr>
              <w:t>²</w:t>
            </w:r>
            <w:r>
              <w:rPr>
                <w:rFonts w:hint="eastAsia" w:ascii="宋体" w:hAnsi="宋体" w:cs="仿宋"/>
                <w:szCs w:val="21"/>
              </w:rPr>
              <w:t>；没有肥、水计划扣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月度；未按标准施肥、灌溉的</w:t>
            </w:r>
            <w:r>
              <w:rPr>
                <w:rFonts w:ascii="宋体" w:hAnsi="宋体" w:cs="仿宋"/>
                <w:szCs w:val="21"/>
              </w:rPr>
              <w:t xml:space="preserve">, </w:t>
            </w:r>
            <w:r>
              <w:rPr>
                <w:rFonts w:hint="eastAsia" w:ascii="宋体" w:hAnsi="宋体" w:cs="仿宋"/>
                <w:szCs w:val="21"/>
              </w:rPr>
              <w:t>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次。</w:t>
            </w:r>
          </w:p>
        </w:tc>
        <w:tc>
          <w:tcPr>
            <w:tcW w:w="967" w:type="dxa"/>
            <w:noWrap w:val="0"/>
            <w:vAlign w:val="center"/>
          </w:tcPr>
          <w:p>
            <w:pPr>
              <w:jc w:val="center"/>
              <w:rPr>
                <w:rFonts w:ascii="宋体" w:hAnsi="宋体"/>
                <w:szCs w:val="21"/>
              </w:rPr>
            </w:pPr>
            <w:r>
              <w:rPr>
                <w:rFonts w:ascii="宋体" w:hAnsi="宋体" w:cs="仿宋"/>
                <w:szCs w:val="21"/>
              </w:rPr>
              <w:t>5</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9" w:hRule="atLeast"/>
          <w:jc w:val="center"/>
        </w:trPr>
        <w:tc>
          <w:tcPr>
            <w:tcW w:w="706" w:type="dxa"/>
            <w:noWrap w:val="0"/>
            <w:vAlign w:val="center"/>
          </w:tcPr>
          <w:p>
            <w:pPr>
              <w:jc w:val="center"/>
              <w:rPr>
                <w:rFonts w:ascii="宋体" w:hAnsi="宋体"/>
                <w:szCs w:val="21"/>
              </w:rPr>
            </w:pPr>
            <w:r>
              <w:rPr>
                <w:rFonts w:hint="eastAsia" w:ascii="宋体" w:hAnsi="宋体" w:cs="仿宋"/>
                <w:szCs w:val="21"/>
              </w:rPr>
              <w:t>三</w:t>
            </w:r>
          </w:p>
        </w:tc>
        <w:tc>
          <w:tcPr>
            <w:tcW w:w="2254" w:type="dxa"/>
            <w:gridSpan w:val="2"/>
            <w:noWrap w:val="0"/>
            <w:vAlign w:val="center"/>
          </w:tcPr>
          <w:p>
            <w:pPr>
              <w:jc w:val="center"/>
              <w:rPr>
                <w:rFonts w:ascii="宋体" w:hAnsi="宋体"/>
                <w:szCs w:val="21"/>
              </w:rPr>
            </w:pPr>
            <w:r>
              <w:rPr>
                <w:rFonts w:hint="eastAsia" w:ascii="宋体" w:hAnsi="宋体" w:cs="仿宋"/>
                <w:szCs w:val="21"/>
              </w:rPr>
              <w:t>病虫害防治</w:t>
            </w:r>
          </w:p>
          <w:p>
            <w:pPr>
              <w:jc w:val="center"/>
              <w:rPr>
                <w:rFonts w:ascii="宋体" w:hAnsi="宋体"/>
                <w:szCs w:val="21"/>
              </w:rPr>
            </w:pPr>
            <w:r>
              <w:rPr>
                <w:rFonts w:hint="eastAsia" w:ascii="宋体" w:hAnsi="宋体" w:cs="仿宋"/>
                <w:szCs w:val="21"/>
              </w:rPr>
              <w:t>（</w:t>
            </w:r>
            <w:r>
              <w:rPr>
                <w:rFonts w:ascii="宋体" w:hAnsi="宋体" w:cs="仿宋"/>
                <w:szCs w:val="21"/>
              </w:rPr>
              <w:t>5</w:t>
            </w:r>
            <w:r>
              <w:rPr>
                <w:rFonts w:hint="eastAsia" w:ascii="宋体" w:hAnsi="宋体" w:cs="仿宋"/>
                <w:szCs w:val="21"/>
              </w:rPr>
              <w:t>分）</w:t>
            </w:r>
          </w:p>
        </w:tc>
        <w:tc>
          <w:tcPr>
            <w:tcW w:w="5072" w:type="dxa"/>
            <w:noWrap w:val="0"/>
            <w:vAlign w:val="center"/>
          </w:tcPr>
          <w:p>
            <w:pPr>
              <w:rPr>
                <w:rFonts w:ascii="宋体" w:hAnsi="宋体"/>
                <w:szCs w:val="21"/>
              </w:rPr>
            </w:pPr>
            <w:r>
              <w:rPr>
                <w:rFonts w:hint="eastAsia" w:ascii="宋体" w:hAnsi="宋体" w:cs="仿宋"/>
                <w:szCs w:val="21"/>
              </w:rPr>
              <w:t>树木蛀虫害虫的活卵、活虫，不得超过每株树面积</w:t>
            </w:r>
            <w:r>
              <w:rPr>
                <w:rFonts w:ascii="宋体" w:hAnsi="宋体" w:cs="仿宋"/>
                <w:szCs w:val="21"/>
              </w:rPr>
              <w:t>10-15%</w:t>
            </w:r>
            <w:r>
              <w:rPr>
                <w:rFonts w:hint="eastAsia" w:ascii="宋体" w:hAnsi="宋体" w:cs="仿宋"/>
                <w:szCs w:val="21"/>
              </w:rPr>
              <w:t>，树木叶片表面虫粪、虫网，被虫啃食及病斑叶片不超过每株树</w:t>
            </w:r>
            <w:r>
              <w:rPr>
                <w:rFonts w:ascii="宋体" w:hAnsi="宋体" w:cs="仿宋"/>
                <w:szCs w:val="21"/>
              </w:rPr>
              <w:t>10-15%</w:t>
            </w:r>
            <w:r>
              <w:rPr>
                <w:rFonts w:hint="eastAsia" w:ascii="宋体" w:hAnsi="宋体" w:cs="仿宋"/>
                <w:szCs w:val="21"/>
              </w:rPr>
              <w:t>面积，每一品种色块带叶片表面虫粪、虫网，被虫啃食及病斑叶片不超过</w:t>
            </w:r>
            <w:r>
              <w:rPr>
                <w:rFonts w:ascii="宋体" w:hAnsi="宋体" w:cs="仿宋"/>
                <w:szCs w:val="21"/>
              </w:rPr>
              <w:t>10-15%</w:t>
            </w:r>
            <w:r>
              <w:rPr>
                <w:rFonts w:hint="eastAsia" w:ascii="宋体" w:hAnsi="宋体" w:cs="仿宋"/>
                <w:szCs w:val="21"/>
              </w:rPr>
              <w:t>；乔灌木扣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株</w:t>
            </w:r>
            <w:r>
              <w:rPr>
                <w:rFonts w:ascii="宋体" w:hAnsi="宋体" w:cs="仿宋"/>
                <w:szCs w:val="21"/>
              </w:rPr>
              <w:t>,</w:t>
            </w:r>
            <w:r>
              <w:rPr>
                <w:rFonts w:hint="eastAsia" w:ascii="宋体" w:hAnsi="宋体" w:cs="仿宋"/>
                <w:szCs w:val="21"/>
              </w:rPr>
              <w:t>绿化带扣</w:t>
            </w:r>
            <w:r>
              <w:rPr>
                <w:rFonts w:ascii="宋体" w:hAnsi="宋体" w:cs="仿宋"/>
                <w:szCs w:val="21"/>
              </w:rPr>
              <w:t>0.2</w:t>
            </w:r>
            <w:r>
              <w:rPr>
                <w:rFonts w:hint="eastAsia" w:ascii="宋体" w:hAnsi="宋体" w:cs="仿宋"/>
                <w:szCs w:val="21"/>
              </w:rPr>
              <w:t>分</w:t>
            </w:r>
            <w:r>
              <w:rPr>
                <w:rFonts w:ascii="宋体" w:hAnsi="宋体" w:cs="仿宋"/>
                <w:szCs w:val="21"/>
              </w:rPr>
              <w:t>/m</w:t>
            </w:r>
            <w:r>
              <w:rPr>
                <w:rFonts w:hint="eastAsia" w:ascii="宋体" w:hAnsi="宋体" w:cs="仿宋"/>
                <w:szCs w:val="21"/>
              </w:rPr>
              <w:t>²；用药配比不正确、操作不规范，扣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处；无病虫害防治预案和防治计划，扣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月度；发生大面积虫害事件、药害事故的</w:t>
            </w:r>
            <w:r>
              <w:rPr>
                <w:rFonts w:ascii="宋体" w:hAnsi="宋体" w:cs="仿宋"/>
                <w:szCs w:val="21"/>
              </w:rPr>
              <w:t>,</w:t>
            </w:r>
            <w:r>
              <w:rPr>
                <w:rFonts w:hint="eastAsia" w:ascii="宋体" w:hAnsi="宋体" w:cs="仿宋"/>
                <w:szCs w:val="21"/>
              </w:rPr>
              <w:t>该项全扣。</w:t>
            </w:r>
          </w:p>
        </w:tc>
        <w:tc>
          <w:tcPr>
            <w:tcW w:w="967" w:type="dxa"/>
            <w:noWrap w:val="0"/>
            <w:vAlign w:val="center"/>
          </w:tcPr>
          <w:p>
            <w:pPr>
              <w:jc w:val="center"/>
              <w:rPr>
                <w:rFonts w:ascii="宋体" w:hAnsi="宋体"/>
                <w:szCs w:val="21"/>
              </w:rPr>
            </w:pPr>
            <w:r>
              <w:rPr>
                <w:rFonts w:ascii="宋体" w:hAnsi="宋体" w:cs="仿宋"/>
                <w:szCs w:val="21"/>
              </w:rPr>
              <w:t>5</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706" w:type="dxa"/>
            <w:vMerge w:val="restart"/>
            <w:noWrap w:val="0"/>
            <w:vAlign w:val="center"/>
          </w:tcPr>
          <w:p>
            <w:pPr>
              <w:jc w:val="center"/>
              <w:rPr>
                <w:rFonts w:ascii="宋体" w:hAnsi="宋体"/>
                <w:szCs w:val="21"/>
              </w:rPr>
            </w:pPr>
            <w:r>
              <w:rPr>
                <w:rFonts w:hint="eastAsia" w:ascii="宋体" w:hAnsi="宋体" w:cs="仿宋"/>
                <w:szCs w:val="21"/>
              </w:rPr>
              <w:t>四</w:t>
            </w:r>
          </w:p>
        </w:tc>
        <w:tc>
          <w:tcPr>
            <w:tcW w:w="2254" w:type="dxa"/>
            <w:gridSpan w:val="2"/>
            <w:vMerge w:val="restart"/>
            <w:noWrap w:val="0"/>
            <w:vAlign w:val="center"/>
          </w:tcPr>
          <w:p>
            <w:pPr>
              <w:jc w:val="center"/>
              <w:rPr>
                <w:rFonts w:ascii="宋体" w:hAnsi="宋体"/>
                <w:szCs w:val="21"/>
              </w:rPr>
            </w:pPr>
            <w:r>
              <w:rPr>
                <w:rFonts w:hint="eastAsia" w:ascii="宋体" w:hAnsi="宋体" w:cs="仿宋"/>
                <w:szCs w:val="21"/>
              </w:rPr>
              <w:t>园林小品及设施管理（</w:t>
            </w:r>
            <w:r>
              <w:rPr>
                <w:rFonts w:ascii="宋体" w:hAnsi="宋体" w:cs="仿宋"/>
                <w:szCs w:val="21"/>
              </w:rPr>
              <w:t>1</w:t>
            </w:r>
            <w:r>
              <w:rPr>
                <w:rFonts w:hint="eastAsia" w:ascii="宋体" w:hAnsi="宋体" w:cs="仿宋"/>
                <w:szCs w:val="21"/>
              </w:rPr>
              <w:t>0分）</w:t>
            </w:r>
          </w:p>
        </w:tc>
        <w:tc>
          <w:tcPr>
            <w:tcW w:w="5072" w:type="dxa"/>
            <w:noWrap w:val="0"/>
            <w:vAlign w:val="center"/>
          </w:tcPr>
          <w:p>
            <w:pPr>
              <w:rPr>
                <w:rFonts w:ascii="宋体" w:hAnsi="宋体"/>
                <w:szCs w:val="21"/>
              </w:rPr>
            </w:pPr>
            <w:r>
              <w:rPr>
                <w:rFonts w:hint="eastAsia" w:ascii="宋体" w:hAnsi="宋体" w:cs="仿宋"/>
                <w:szCs w:val="21"/>
              </w:rPr>
              <w:t>园林建筑及构筑物、园路铺装、台阶、廊架、井盖类等设施破损或残缺，未及时发现以及未在规定时间内修复的，扣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处，修复不达标，扣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hint="eastAsia" w:ascii="宋体" w:hAnsi="宋体"/>
                <w:szCs w:val="21"/>
              </w:rPr>
            </w:pPr>
            <w:r>
              <w:rPr>
                <w:rFonts w:hint="eastAsia" w:ascii="宋体" w:hAnsi="宋体" w:cs="仿宋"/>
                <w:szCs w:val="21"/>
              </w:rPr>
              <w:t>4</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706" w:type="dxa"/>
            <w:vMerge w:val="continue"/>
            <w:noWrap w:val="0"/>
            <w:vAlign w:val="center"/>
          </w:tcPr>
          <w:p>
            <w:pPr>
              <w:widowControl/>
              <w:jc w:val="left"/>
              <w:rPr>
                <w:rFonts w:ascii="宋体" w:hAnsi="宋体"/>
                <w:szCs w:val="21"/>
              </w:rPr>
            </w:pPr>
          </w:p>
        </w:tc>
        <w:tc>
          <w:tcPr>
            <w:tcW w:w="2254" w:type="dxa"/>
            <w:gridSpan w:val="2"/>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园林小品及城市家具</w:t>
            </w:r>
            <w:r>
              <w:rPr>
                <w:rFonts w:ascii="宋体" w:hAnsi="宋体" w:cs="仿宋"/>
                <w:szCs w:val="21"/>
              </w:rPr>
              <w:t>(</w:t>
            </w:r>
            <w:r>
              <w:rPr>
                <w:rFonts w:hint="eastAsia" w:ascii="宋体" w:hAnsi="宋体" w:cs="仿宋"/>
                <w:szCs w:val="21"/>
              </w:rPr>
              <w:t>桌椅、护栏、垃扱桶、各类牌示、花坛、雕望、景墙等</w:t>
            </w:r>
            <w:r>
              <w:rPr>
                <w:rFonts w:ascii="宋体" w:hAnsi="宋体" w:cs="仿宋"/>
                <w:szCs w:val="21"/>
              </w:rPr>
              <w:t>)</w:t>
            </w:r>
            <w:r>
              <w:rPr>
                <w:rFonts w:hint="eastAsia" w:ascii="宋体" w:hAnsi="宋体" w:cs="仿宋"/>
                <w:szCs w:val="21"/>
              </w:rPr>
              <w:t>零部件缺损、毁坏、内容有问题的未在规定时间内修复的，扣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hint="eastAsia" w:ascii="宋体" w:hAnsi="宋体"/>
                <w:szCs w:val="21"/>
              </w:rPr>
            </w:pPr>
            <w:r>
              <w:rPr>
                <w:rFonts w:hint="eastAsia"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06" w:type="dxa"/>
            <w:vMerge w:val="continue"/>
            <w:noWrap w:val="0"/>
            <w:vAlign w:val="center"/>
          </w:tcPr>
          <w:p>
            <w:pPr>
              <w:widowControl/>
              <w:jc w:val="left"/>
              <w:rPr>
                <w:rFonts w:ascii="宋体" w:hAnsi="宋体"/>
                <w:szCs w:val="21"/>
              </w:rPr>
            </w:pPr>
          </w:p>
        </w:tc>
        <w:tc>
          <w:tcPr>
            <w:tcW w:w="2254" w:type="dxa"/>
            <w:gridSpan w:val="2"/>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设施油饰维护不及时，油漆脱落，影响景观，扣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hint="eastAsia" w:ascii="宋体" w:hAnsi="宋体"/>
                <w:szCs w:val="21"/>
              </w:rPr>
            </w:pPr>
            <w:r>
              <w:rPr>
                <w:rFonts w:hint="eastAsia"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706" w:type="dxa"/>
            <w:vMerge w:val="restart"/>
            <w:noWrap w:val="0"/>
            <w:vAlign w:val="center"/>
          </w:tcPr>
          <w:p>
            <w:pPr>
              <w:jc w:val="center"/>
              <w:rPr>
                <w:rFonts w:ascii="宋体" w:hAnsi="宋体"/>
                <w:szCs w:val="21"/>
              </w:rPr>
            </w:pPr>
            <w:r>
              <w:rPr>
                <w:rFonts w:hint="eastAsia" w:ascii="宋体" w:hAnsi="宋体" w:cs="仿宋"/>
                <w:szCs w:val="21"/>
              </w:rPr>
              <w:t>五</w:t>
            </w:r>
          </w:p>
        </w:tc>
        <w:tc>
          <w:tcPr>
            <w:tcW w:w="2254" w:type="dxa"/>
            <w:gridSpan w:val="2"/>
            <w:vMerge w:val="restart"/>
            <w:noWrap w:val="0"/>
            <w:vAlign w:val="center"/>
          </w:tcPr>
          <w:p>
            <w:pPr>
              <w:jc w:val="center"/>
              <w:rPr>
                <w:rFonts w:ascii="宋体" w:hAnsi="宋体"/>
                <w:szCs w:val="21"/>
              </w:rPr>
            </w:pPr>
            <w:r>
              <w:rPr>
                <w:rFonts w:hint="eastAsia" w:ascii="宋体" w:hAnsi="宋体" w:cs="仿宋"/>
                <w:szCs w:val="21"/>
              </w:rPr>
              <w:t>卫生保洁管理</w:t>
            </w:r>
          </w:p>
          <w:p>
            <w:pPr>
              <w:jc w:val="center"/>
              <w:rPr>
                <w:rFonts w:ascii="宋体" w:hAnsi="宋体"/>
                <w:szCs w:val="21"/>
              </w:rPr>
            </w:pPr>
            <w:r>
              <w:rPr>
                <w:rFonts w:hint="eastAsia" w:ascii="宋体" w:hAnsi="宋体" w:cs="仿宋"/>
                <w:szCs w:val="21"/>
              </w:rPr>
              <w:t>（</w:t>
            </w:r>
            <w:r>
              <w:rPr>
                <w:rFonts w:ascii="宋体" w:hAnsi="宋体" w:cs="仿宋"/>
                <w:szCs w:val="21"/>
              </w:rPr>
              <w:t>1</w:t>
            </w:r>
            <w:r>
              <w:rPr>
                <w:rFonts w:hint="eastAsia" w:ascii="宋体" w:hAnsi="宋体" w:cs="仿宋"/>
                <w:szCs w:val="21"/>
              </w:rPr>
              <w:t>5分）</w:t>
            </w:r>
          </w:p>
        </w:tc>
        <w:tc>
          <w:tcPr>
            <w:tcW w:w="5072" w:type="dxa"/>
            <w:noWrap w:val="0"/>
            <w:vAlign w:val="center"/>
          </w:tcPr>
          <w:p>
            <w:pPr>
              <w:rPr>
                <w:rFonts w:ascii="宋体" w:hAnsi="宋体"/>
                <w:szCs w:val="21"/>
              </w:rPr>
            </w:pPr>
            <w:r>
              <w:rPr>
                <w:rFonts w:hint="eastAsia" w:ascii="宋体" w:hAnsi="宋体" w:cs="仿宋"/>
                <w:szCs w:val="21"/>
              </w:rPr>
              <w:t>绿地实行</w:t>
            </w:r>
            <w:r>
              <w:rPr>
                <w:rFonts w:ascii="宋体" w:hAnsi="宋体" w:cs="仿宋"/>
                <w:szCs w:val="21"/>
              </w:rPr>
              <w:t>12</w:t>
            </w:r>
            <w:r>
              <w:rPr>
                <w:rFonts w:hint="eastAsia" w:ascii="宋体" w:hAnsi="宋体" w:cs="仿宋"/>
                <w:szCs w:val="21"/>
              </w:rPr>
              <w:t>小时动态保洁</w:t>
            </w:r>
            <w:r>
              <w:rPr>
                <w:rFonts w:ascii="宋体" w:hAnsi="宋体" w:cs="仿宋"/>
                <w:szCs w:val="21"/>
              </w:rPr>
              <w:t>,</w:t>
            </w:r>
            <w:r>
              <w:rPr>
                <w:rFonts w:hint="eastAsia" w:ascii="宋体" w:hAnsi="宋体" w:cs="仿宋"/>
                <w:szCs w:val="21"/>
              </w:rPr>
              <w:t>绿地内有白色垃圾、污物或其他有形垃圾及杂物</w:t>
            </w:r>
            <w:r>
              <w:rPr>
                <w:rFonts w:ascii="宋体" w:hAnsi="宋体" w:cs="仿宋"/>
                <w:szCs w:val="21"/>
              </w:rPr>
              <w:t>,</w:t>
            </w:r>
            <w:r>
              <w:rPr>
                <w:rFonts w:hint="eastAsia" w:ascii="宋体" w:hAnsi="宋体" w:cs="仿宋"/>
                <w:szCs w:val="21"/>
              </w:rPr>
              <w:t>枝叶上有垃圾、晾晒物、吊挂物</w:t>
            </w:r>
            <w:r>
              <w:rPr>
                <w:rFonts w:ascii="宋体" w:hAnsi="宋体" w:cs="仿宋"/>
                <w:szCs w:val="21"/>
              </w:rPr>
              <w:t>,</w:t>
            </w:r>
            <w:r>
              <w:rPr>
                <w:rFonts w:hint="eastAsia" w:ascii="宋体" w:hAnsi="宋体" w:cs="仿宋"/>
                <w:szCs w:val="21"/>
              </w:rPr>
              <w:t>停留时间超过</w:t>
            </w:r>
            <w:r>
              <w:rPr>
                <w:rFonts w:ascii="宋体" w:hAnsi="宋体" w:cs="仿宋"/>
                <w:szCs w:val="21"/>
              </w:rPr>
              <w:t>1</w:t>
            </w:r>
            <w:r>
              <w:rPr>
                <w:rFonts w:hint="eastAsia" w:ascii="宋体" w:hAnsi="宋体" w:cs="仿宋"/>
                <w:szCs w:val="21"/>
              </w:rPr>
              <w:t>小时，扣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处；卫生死角，扣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处。垃圾桶外观不清洁，垃圾袋缺失，垃圾外露，扣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szCs w:val="21"/>
              </w:rPr>
            </w:pPr>
            <w:r>
              <w:rPr>
                <w:rFonts w:ascii="宋体" w:hAnsi="宋体" w:cs="仿宋"/>
                <w:szCs w:val="21"/>
              </w:rPr>
              <w:t>4</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706" w:type="dxa"/>
            <w:vMerge w:val="continue"/>
            <w:noWrap w:val="0"/>
            <w:vAlign w:val="top"/>
          </w:tcPr>
          <w:p>
            <w:pPr>
              <w:widowControl/>
              <w:jc w:val="left"/>
              <w:rPr>
                <w:rFonts w:ascii="宋体" w:hAnsi="宋体"/>
                <w:szCs w:val="21"/>
              </w:rPr>
            </w:pPr>
          </w:p>
        </w:tc>
        <w:tc>
          <w:tcPr>
            <w:tcW w:w="2254" w:type="dxa"/>
            <w:gridSpan w:val="2"/>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园林建筑、小品、城市家具等附属设施有积尘、虫网、“三乱</w:t>
            </w:r>
            <w:r>
              <w:rPr>
                <w:rFonts w:ascii="宋体" w:hAnsi="宋体" w:cs="仿宋"/>
                <w:szCs w:val="21"/>
              </w:rPr>
              <w:t>(</w:t>
            </w:r>
            <w:r>
              <w:rPr>
                <w:rFonts w:hint="eastAsia" w:ascii="宋体" w:hAnsi="宋体" w:cs="仿宋"/>
                <w:szCs w:val="21"/>
              </w:rPr>
              <w:t>乱张贴、乱涂写、乱刻画</w:t>
            </w:r>
            <w:r>
              <w:rPr>
                <w:rFonts w:ascii="宋体" w:hAnsi="宋体" w:cs="仿宋"/>
                <w:szCs w:val="21"/>
              </w:rPr>
              <w:t>)</w:t>
            </w:r>
            <w:r>
              <w:rPr>
                <w:rFonts w:hint="eastAsia" w:ascii="宋体" w:hAnsi="宋体" w:cs="仿宋"/>
                <w:szCs w:val="21"/>
              </w:rPr>
              <w:t>”现象，扣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szCs w:val="21"/>
              </w:rPr>
            </w:pPr>
            <w:r>
              <w:rPr>
                <w:rFonts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706" w:type="dxa"/>
            <w:vMerge w:val="continue"/>
            <w:noWrap w:val="0"/>
            <w:vAlign w:val="top"/>
          </w:tcPr>
          <w:p>
            <w:pPr>
              <w:widowControl/>
              <w:jc w:val="left"/>
              <w:rPr>
                <w:rFonts w:ascii="宋体" w:hAnsi="宋体"/>
                <w:szCs w:val="21"/>
              </w:rPr>
            </w:pPr>
          </w:p>
        </w:tc>
        <w:tc>
          <w:tcPr>
            <w:tcW w:w="2254" w:type="dxa"/>
            <w:gridSpan w:val="2"/>
            <w:vMerge w:val="continue"/>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及时清理水体漂浮物、杂物、水域福寿螺，未达标，扣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noWrap w:val="0"/>
            <w:vAlign w:val="center"/>
          </w:tcPr>
          <w:p>
            <w:pPr>
              <w:jc w:val="center"/>
              <w:rPr>
                <w:rFonts w:ascii="宋体" w:hAnsi="宋体" w:cs="仿宋"/>
                <w:szCs w:val="21"/>
              </w:rPr>
            </w:pPr>
            <w:r>
              <w:rPr>
                <w:rFonts w:ascii="宋体" w:hAnsi="宋体" w:cs="仿宋"/>
                <w:szCs w:val="21"/>
              </w:rPr>
              <w:t>3</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706" w:type="dxa"/>
            <w:vMerge w:val="continue"/>
            <w:noWrap w:val="0"/>
            <w:vAlign w:val="top"/>
          </w:tcPr>
          <w:p>
            <w:pPr>
              <w:widowControl/>
              <w:jc w:val="left"/>
              <w:rPr>
                <w:rFonts w:ascii="宋体" w:hAnsi="宋体"/>
                <w:szCs w:val="21"/>
              </w:rPr>
            </w:pPr>
          </w:p>
        </w:tc>
        <w:tc>
          <w:tcPr>
            <w:tcW w:w="2254" w:type="dxa"/>
            <w:gridSpan w:val="2"/>
            <w:vMerge w:val="continue"/>
            <w:noWrap w:val="0"/>
            <w:vAlign w:val="center"/>
          </w:tcPr>
          <w:p>
            <w:pPr>
              <w:widowControl/>
              <w:jc w:val="left"/>
              <w:rPr>
                <w:rFonts w:ascii="宋体" w:hAnsi="宋体"/>
                <w:szCs w:val="21"/>
              </w:rPr>
            </w:pPr>
          </w:p>
        </w:tc>
        <w:tc>
          <w:tcPr>
            <w:tcW w:w="5072" w:type="dxa"/>
            <w:noWrap w:val="0"/>
            <w:vAlign w:val="top"/>
          </w:tcPr>
          <w:p>
            <w:pPr>
              <w:spacing w:line="260" w:lineRule="exact"/>
              <w:ind w:left="-57" w:right="-57"/>
              <w:rPr>
                <w:rFonts w:hint="eastAsia" w:ascii="宋体" w:hAnsi="宋体" w:cs="宋体"/>
                <w:sz w:val="18"/>
                <w:szCs w:val="18"/>
              </w:rPr>
            </w:pPr>
            <w:r>
              <w:rPr>
                <w:rFonts w:hint="eastAsia" w:ascii="宋体" w:hAnsi="宋体" w:cs="宋体"/>
                <w:sz w:val="18"/>
                <w:szCs w:val="18"/>
              </w:rPr>
              <w:t>大便坑沿有粪，小便池有尿碱，池外有积尿的，扣0.2分/处；清扫冲洗、消毒不及时，有蚊、蝇、臭味的，扣0.2分/处。扣完为止。</w:t>
            </w:r>
          </w:p>
        </w:tc>
        <w:tc>
          <w:tcPr>
            <w:tcW w:w="967" w:type="dxa"/>
            <w:noWrap w:val="0"/>
            <w:vAlign w:val="center"/>
          </w:tcPr>
          <w:p>
            <w:pPr>
              <w:jc w:val="center"/>
              <w:rPr>
                <w:rFonts w:hint="eastAsia" w:ascii="宋体" w:hAnsi="宋体" w:cs="仿宋"/>
                <w:szCs w:val="21"/>
              </w:rPr>
            </w:pPr>
            <w:r>
              <w:rPr>
                <w:rFonts w:hint="eastAsia" w:ascii="宋体" w:hAnsi="宋体" w:cs="仿宋"/>
                <w:szCs w:val="21"/>
              </w:rPr>
              <w:t>5</w:t>
            </w:r>
          </w:p>
        </w:tc>
        <w:tc>
          <w:tcPr>
            <w:tcW w:w="705" w:type="dxa"/>
            <w:noWrap w:val="0"/>
            <w:vAlign w:val="center"/>
          </w:tcPr>
          <w:p>
            <w:pPr>
              <w:spacing w:line="340" w:lineRule="exact"/>
              <w:ind w:left="-57" w:right="-57"/>
              <w:jc w:val="center"/>
              <w:rPr>
                <w:rFonts w:hint="eastAsia" w:ascii="宋体" w:hAnsi="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jc w:val="center"/>
        </w:trPr>
        <w:tc>
          <w:tcPr>
            <w:tcW w:w="706" w:type="dxa"/>
            <w:tcBorders>
              <w:top w:val="single" w:color="auto" w:sz="4" w:space="0"/>
              <w:bottom w:val="single" w:color="auto" w:sz="4" w:space="0"/>
            </w:tcBorders>
            <w:noWrap w:val="0"/>
            <w:vAlign w:val="center"/>
          </w:tcPr>
          <w:p>
            <w:pPr>
              <w:jc w:val="center"/>
              <w:rPr>
                <w:rFonts w:ascii="宋体" w:hAnsi="宋体"/>
                <w:szCs w:val="21"/>
              </w:rPr>
            </w:pPr>
            <w:r>
              <w:rPr>
                <w:rFonts w:hint="eastAsia" w:ascii="宋体" w:hAnsi="宋体" w:cs="仿宋"/>
                <w:szCs w:val="21"/>
              </w:rPr>
              <w:t>六</w:t>
            </w:r>
          </w:p>
        </w:tc>
        <w:tc>
          <w:tcPr>
            <w:tcW w:w="2254" w:type="dxa"/>
            <w:gridSpan w:val="2"/>
            <w:tcBorders>
              <w:top w:val="single" w:color="auto" w:sz="4" w:space="0"/>
              <w:bottom w:val="single" w:color="auto" w:sz="4" w:space="0"/>
            </w:tcBorders>
            <w:noWrap w:val="0"/>
            <w:vAlign w:val="center"/>
          </w:tcPr>
          <w:p>
            <w:pPr>
              <w:jc w:val="center"/>
              <w:rPr>
                <w:rFonts w:ascii="宋体" w:hAnsi="宋体"/>
                <w:szCs w:val="21"/>
              </w:rPr>
            </w:pPr>
            <w:r>
              <w:rPr>
                <w:rFonts w:hint="eastAsia" w:ascii="宋体" w:hAnsi="宋体" w:cs="仿宋"/>
                <w:szCs w:val="21"/>
              </w:rPr>
              <w:t>绿地监管</w:t>
            </w:r>
          </w:p>
          <w:p>
            <w:pPr>
              <w:jc w:val="center"/>
              <w:rPr>
                <w:rFonts w:ascii="宋体" w:hAnsi="宋体"/>
                <w:szCs w:val="21"/>
              </w:rPr>
            </w:pPr>
            <w:r>
              <w:rPr>
                <w:rFonts w:hint="eastAsia" w:ascii="宋体" w:hAnsi="宋体" w:cs="仿宋"/>
                <w:szCs w:val="21"/>
              </w:rPr>
              <w:t>（</w:t>
            </w:r>
            <w:r>
              <w:rPr>
                <w:rFonts w:ascii="宋体" w:hAnsi="宋体" w:cs="仿宋"/>
                <w:szCs w:val="21"/>
              </w:rPr>
              <w:t>5</w:t>
            </w:r>
            <w:r>
              <w:rPr>
                <w:rFonts w:hint="eastAsia" w:ascii="宋体" w:hAnsi="宋体" w:cs="仿宋"/>
                <w:szCs w:val="21"/>
              </w:rPr>
              <w:t>分）</w:t>
            </w:r>
          </w:p>
        </w:tc>
        <w:tc>
          <w:tcPr>
            <w:tcW w:w="5072" w:type="dxa"/>
            <w:noWrap w:val="0"/>
            <w:vAlign w:val="center"/>
          </w:tcPr>
          <w:p>
            <w:pPr>
              <w:rPr>
                <w:rFonts w:ascii="宋体" w:hAnsi="宋体"/>
                <w:szCs w:val="21"/>
              </w:rPr>
            </w:pPr>
            <w:r>
              <w:rPr>
                <w:rFonts w:hint="eastAsia" w:ascii="宋体" w:hAnsi="宋体" w:cs="仿宋"/>
                <w:szCs w:val="21"/>
              </w:rPr>
              <w:t>对占绿毁绿现象、破坏景观行为未及时劝阻的</w:t>
            </w:r>
            <w:r>
              <w:rPr>
                <w:rFonts w:ascii="宋体" w:hAnsi="宋体" w:cs="仿宋"/>
                <w:szCs w:val="21"/>
              </w:rPr>
              <w:t>,</w:t>
            </w:r>
            <w:r>
              <w:rPr>
                <w:rFonts w:hint="eastAsia" w:ascii="宋体" w:hAnsi="宋体" w:cs="仿宋"/>
                <w:szCs w:val="21"/>
              </w:rPr>
              <w:t>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次。</w:t>
            </w:r>
          </w:p>
        </w:tc>
        <w:tc>
          <w:tcPr>
            <w:tcW w:w="967" w:type="dxa"/>
            <w:noWrap w:val="0"/>
            <w:vAlign w:val="center"/>
          </w:tcPr>
          <w:p>
            <w:pPr>
              <w:jc w:val="center"/>
              <w:rPr>
                <w:rFonts w:ascii="宋体" w:hAnsi="宋体"/>
                <w:szCs w:val="21"/>
              </w:rPr>
            </w:pPr>
            <w:r>
              <w:rPr>
                <w:rFonts w:ascii="宋体" w:hAnsi="宋体" w:cs="仿宋"/>
                <w:szCs w:val="21"/>
              </w:rPr>
              <w:t>5</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706" w:type="dxa"/>
            <w:vMerge w:val="restart"/>
            <w:tcBorders>
              <w:top w:val="single" w:color="auto" w:sz="4" w:space="0"/>
            </w:tcBorders>
            <w:noWrap w:val="0"/>
            <w:vAlign w:val="center"/>
          </w:tcPr>
          <w:p>
            <w:pPr>
              <w:jc w:val="center"/>
              <w:rPr>
                <w:rFonts w:ascii="宋体" w:hAnsi="宋体"/>
                <w:szCs w:val="21"/>
              </w:rPr>
            </w:pPr>
            <w:r>
              <w:rPr>
                <w:rFonts w:hint="eastAsia" w:ascii="宋体" w:hAnsi="宋体" w:cs="仿宋"/>
                <w:szCs w:val="21"/>
              </w:rPr>
              <w:t>七</w:t>
            </w:r>
          </w:p>
        </w:tc>
        <w:tc>
          <w:tcPr>
            <w:tcW w:w="2254" w:type="dxa"/>
            <w:gridSpan w:val="2"/>
            <w:vMerge w:val="restart"/>
            <w:tcBorders>
              <w:top w:val="single" w:color="auto" w:sz="4" w:space="0"/>
            </w:tcBorders>
            <w:noWrap w:val="0"/>
            <w:vAlign w:val="center"/>
          </w:tcPr>
          <w:p>
            <w:pPr>
              <w:jc w:val="center"/>
              <w:rPr>
                <w:rFonts w:ascii="宋体" w:hAnsi="宋体"/>
                <w:szCs w:val="21"/>
              </w:rPr>
            </w:pPr>
            <w:r>
              <w:rPr>
                <w:rFonts w:hint="eastAsia" w:ascii="宋体" w:hAnsi="宋体" w:cs="仿宋"/>
                <w:szCs w:val="21"/>
              </w:rPr>
              <w:t>安全文明作业</w:t>
            </w:r>
          </w:p>
          <w:p>
            <w:pPr>
              <w:jc w:val="center"/>
              <w:rPr>
                <w:rFonts w:ascii="宋体" w:hAnsi="宋体"/>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p>
            <w:pPr>
              <w:jc w:val="center"/>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养护人员、巡查人员着装与证件佩戴不规范，车辆设备无统一标识的每发现扣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人或车；</w:t>
            </w:r>
          </w:p>
        </w:tc>
        <w:tc>
          <w:tcPr>
            <w:tcW w:w="967" w:type="dxa"/>
            <w:vMerge w:val="restart"/>
            <w:noWrap w:val="0"/>
            <w:vAlign w:val="center"/>
          </w:tcPr>
          <w:p>
            <w:pPr>
              <w:jc w:val="center"/>
              <w:rPr>
                <w:rFonts w:ascii="宋体" w:hAnsi="宋体"/>
                <w:szCs w:val="21"/>
              </w:rPr>
            </w:pPr>
            <w:r>
              <w:rPr>
                <w:rFonts w:ascii="宋体" w:hAnsi="宋体" w:cs="仿宋"/>
                <w:szCs w:val="21"/>
              </w:rPr>
              <w:t>10</w:t>
            </w: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06" w:type="dxa"/>
            <w:vMerge w:val="continue"/>
            <w:tcBorders>
              <w:top w:val="single" w:color="auto" w:sz="4" w:space="0"/>
            </w:tcBorders>
            <w:noWrap w:val="0"/>
            <w:vAlign w:val="center"/>
          </w:tcPr>
          <w:p>
            <w:pPr>
              <w:widowControl/>
              <w:jc w:val="left"/>
              <w:rPr>
                <w:rFonts w:ascii="宋体" w:hAnsi="宋体"/>
                <w:szCs w:val="21"/>
              </w:rPr>
            </w:pPr>
          </w:p>
        </w:tc>
        <w:tc>
          <w:tcPr>
            <w:tcW w:w="2254" w:type="dxa"/>
            <w:gridSpan w:val="2"/>
            <w:vMerge w:val="continue"/>
            <w:tcBorders>
              <w:top w:val="single" w:color="auto" w:sz="4" w:space="0"/>
            </w:tcBorders>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施工场地无规范围护、告示牌等安全文明施工措施，扣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67" w:type="dxa"/>
            <w:vMerge w:val="continue"/>
            <w:noWrap w:val="0"/>
            <w:vAlign w:val="center"/>
          </w:tcPr>
          <w:p>
            <w:pPr>
              <w:widowControl/>
              <w:jc w:val="left"/>
              <w:rPr>
                <w:rFonts w:ascii="宋体" w:hAnsi="宋体"/>
                <w:szCs w:val="21"/>
              </w:rPr>
            </w:pP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706" w:type="dxa"/>
            <w:vMerge w:val="continue"/>
            <w:tcBorders>
              <w:top w:val="single" w:color="auto" w:sz="4" w:space="0"/>
            </w:tcBorders>
            <w:noWrap w:val="0"/>
            <w:vAlign w:val="center"/>
          </w:tcPr>
          <w:p>
            <w:pPr>
              <w:widowControl/>
              <w:jc w:val="left"/>
              <w:rPr>
                <w:rFonts w:ascii="宋体" w:hAnsi="宋体"/>
                <w:szCs w:val="21"/>
              </w:rPr>
            </w:pPr>
          </w:p>
        </w:tc>
        <w:tc>
          <w:tcPr>
            <w:tcW w:w="2254" w:type="dxa"/>
            <w:gridSpan w:val="2"/>
            <w:vMerge w:val="continue"/>
            <w:tcBorders>
              <w:top w:val="single" w:color="auto" w:sz="4" w:space="0"/>
            </w:tcBorders>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喷药作业未按规定时间进行、未设置安全告示标识，扣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次；剩余药剂、药瓶乱丢弃的，扣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处；浇灌作业未按规定时间、规范操作要求进行的，扣</w:t>
            </w:r>
            <w:r>
              <w:rPr>
                <w:rFonts w:ascii="宋体" w:hAnsi="宋体" w:cs="仿宋"/>
                <w:szCs w:val="21"/>
              </w:rPr>
              <w:t>0.2</w:t>
            </w:r>
            <w:r>
              <w:rPr>
                <w:rFonts w:hint="eastAsia" w:ascii="宋体" w:hAnsi="宋体" w:cs="仿宋"/>
                <w:szCs w:val="21"/>
              </w:rPr>
              <w:t>分</w:t>
            </w:r>
            <w:r>
              <w:rPr>
                <w:rFonts w:ascii="宋体" w:hAnsi="宋体" w:cs="仿宋"/>
                <w:szCs w:val="21"/>
              </w:rPr>
              <w:t>/</w:t>
            </w:r>
            <w:r>
              <w:rPr>
                <w:rFonts w:hint="eastAsia" w:ascii="宋体" w:hAnsi="宋体" w:cs="仿宋"/>
                <w:szCs w:val="21"/>
              </w:rPr>
              <w:t>次。</w:t>
            </w:r>
          </w:p>
        </w:tc>
        <w:tc>
          <w:tcPr>
            <w:tcW w:w="967" w:type="dxa"/>
            <w:vMerge w:val="continue"/>
            <w:noWrap w:val="0"/>
            <w:vAlign w:val="center"/>
          </w:tcPr>
          <w:p>
            <w:pPr>
              <w:widowControl/>
              <w:jc w:val="left"/>
              <w:rPr>
                <w:rFonts w:ascii="宋体" w:hAnsi="宋体"/>
                <w:szCs w:val="21"/>
              </w:rPr>
            </w:pP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06" w:type="dxa"/>
            <w:vMerge w:val="continue"/>
            <w:tcBorders>
              <w:top w:val="single" w:color="auto" w:sz="4" w:space="0"/>
            </w:tcBorders>
            <w:noWrap w:val="0"/>
            <w:vAlign w:val="center"/>
          </w:tcPr>
          <w:p>
            <w:pPr>
              <w:widowControl/>
              <w:jc w:val="left"/>
              <w:rPr>
                <w:rFonts w:ascii="宋体" w:hAnsi="宋体"/>
                <w:szCs w:val="21"/>
              </w:rPr>
            </w:pPr>
          </w:p>
        </w:tc>
        <w:tc>
          <w:tcPr>
            <w:tcW w:w="2254" w:type="dxa"/>
            <w:gridSpan w:val="2"/>
            <w:vMerge w:val="continue"/>
            <w:tcBorders>
              <w:top w:val="single" w:color="auto" w:sz="4" w:space="0"/>
            </w:tcBorders>
            <w:noWrap w:val="0"/>
            <w:vAlign w:val="center"/>
          </w:tcPr>
          <w:p>
            <w:pPr>
              <w:widowControl/>
              <w:jc w:val="left"/>
              <w:rPr>
                <w:rFonts w:ascii="宋体" w:hAnsi="宋体"/>
                <w:szCs w:val="21"/>
              </w:rPr>
            </w:pPr>
          </w:p>
        </w:tc>
        <w:tc>
          <w:tcPr>
            <w:tcW w:w="5072" w:type="dxa"/>
            <w:noWrap w:val="0"/>
            <w:vAlign w:val="center"/>
          </w:tcPr>
          <w:p>
            <w:pPr>
              <w:rPr>
                <w:rFonts w:ascii="宋体" w:hAnsi="宋体"/>
                <w:szCs w:val="21"/>
              </w:rPr>
            </w:pPr>
            <w:r>
              <w:rPr>
                <w:rFonts w:hint="eastAsia" w:ascii="宋体" w:hAnsi="宋体" w:cs="仿宋"/>
                <w:szCs w:val="21"/>
              </w:rPr>
              <w:t>绿化垃圾乱堆放，焚烧绿化垃圾、修剪物，扣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次。</w:t>
            </w:r>
          </w:p>
        </w:tc>
        <w:tc>
          <w:tcPr>
            <w:tcW w:w="967" w:type="dxa"/>
            <w:vMerge w:val="continue"/>
            <w:noWrap w:val="0"/>
            <w:vAlign w:val="center"/>
          </w:tcPr>
          <w:p>
            <w:pPr>
              <w:widowControl/>
              <w:jc w:val="left"/>
              <w:rPr>
                <w:rFonts w:ascii="宋体" w:hAnsi="宋体"/>
                <w:szCs w:val="21"/>
              </w:rPr>
            </w:pPr>
          </w:p>
        </w:tc>
        <w:tc>
          <w:tcPr>
            <w:tcW w:w="705" w:type="dxa"/>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06" w:type="dxa"/>
            <w:vMerge w:val="restart"/>
            <w:tcBorders>
              <w:bottom w:val="single" w:color="auto" w:sz="4" w:space="0"/>
            </w:tcBorders>
            <w:noWrap w:val="0"/>
            <w:vAlign w:val="center"/>
          </w:tcPr>
          <w:p>
            <w:pPr>
              <w:jc w:val="center"/>
              <w:rPr>
                <w:rFonts w:ascii="宋体" w:hAnsi="宋体"/>
                <w:szCs w:val="21"/>
              </w:rPr>
            </w:pPr>
            <w:r>
              <w:rPr>
                <w:rFonts w:hint="eastAsia" w:ascii="宋体" w:hAnsi="宋体" w:cs="仿宋"/>
                <w:szCs w:val="21"/>
              </w:rPr>
              <w:t>八</w:t>
            </w:r>
          </w:p>
        </w:tc>
        <w:tc>
          <w:tcPr>
            <w:tcW w:w="2254" w:type="dxa"/>
            <w:gridSpan w:val="2"/>
            <w:vMerge w:val="restart"/>
            <w:tcBorders>
              <w:bottom w:val="single" w:color="auto" w:sz="4" w:space="0"/>
            </w:tcBorders>
            <w:noWrap w:val="0"/>
            <w:vAlign w:val="center"/>
          </w:tcPr>
          <w:p>
            <w:pPr>
              <w:jc w:val="center"/>
              <w:rPr>
                <w:rFonts w:ascii="宋体" w:hAnsi="宋体"/>
                <w:szCs w:val="21"/>
              </w:rPr>
            </w:pPr>
            <w:r>
              <w:rPr>
                <w:rFonts w:hint="eastAsia" w:ascii="宋体" w:hAnsi="宋体" w:cs="仿宋"/>
                <w:szCs w:val="21"/>
              </w:rPr>
              <w:t>管理考核</w:t>
            </w:r>
          </w:p>
          <w:p>
            <w:pPr>
              <w:jc w:val="center"/>
              <w:rPr>
                <w:rFonts w:ascii="宋体" w:hAnsi="宋体"/>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tc>
        <w:tc>
          <w:tcPr>
            <w:tcW w:w="5072" w:type="dxa"/>
            <w:tcBorders>
              <w:bottom w:val="single" w:color="auto" w:sz="4" w:space="0"/>
            </w:tcBorders>
            <w:noWrap w:val="0"/>
            <w:vAlign w:val="center"/>
          </w:tcPr>
          <w:p>
            <w:pPr>
              <w:rPr>
                <w:rFonts w:ascii="宋体" w:hAnsi="宋体"/>
                <w:szCs w:val="21"/>
              </w:rPr>
            </w:pPr>
            <w:r>
              <w:rPr>
                <w:rFonts w:hint="eastAsia" w:ascii="宋体" w:hAnsi="宋体" w:cs="仿宋"/>
                <w:szCs w:val="21"/>
              </w:rPr>
              <w:t>月度养护计划在每</w:t>
            </w:r>
            <w:r>
              <w:rPr>
                <w:rFonts w:ascii="宋体" w:hAnsi="宋体" w:cs="仿宋"/>
                <w:szCs w:val="21"/>
              </w:rPr>
              <w:t>25</w:t>
            </w:r>
            <w:r>
              <w:rPr>
                <w:rFonts w:hint="eastAsia" w:ascii="宋体" w:hAnsi="宋体" w:cs="仿宋"/>
                <w:szCs w:val="21"/>
              </w:rPr>
              <w:t>日前上报（包含养护人员名单），养护计划应科学合理，未达标，扣1分；做好绿地设施统计报表</w:t>
            </w:r>
            <w:r>
              <w:rPr>
                <w:rFonts w:ascii="宋体" w:hAnsi="宋体" w:cs="仿宋"/>
                <w:szCs w:val="21"/>
              </w:rPr>
              <w:t>(</w:t>
            </w:r>
            <w:r>
              <w:rPr>
                <w:rFonts w:hint="eastAsia" w:ascii="宋体" w:hAnsi="宋体" w:cs="仿宋"/>
                <w:szCs w:val="21"/>
              </w:rPr>
              <w:t>设施量增减明细</w:t>
            </w:r>
            <w:r>
              <w:rPr>
                <w:rFonts w:ascii="宋体" w:hAnsi="宋体" w:cs="仿宋"/>
                <w:szCs w:val="21"/>
              </w:rPr>
              <w:t>)</w:t>
            </w:r>
            <w:r>
              <w:rPr>
                <w:rFonts w:hint="eastAsia" w:ascii="宋体" w:hAnsi="宋体" w:cs="仿宋"/>
                <w:szCs w:val="21"/>
              </w:rPr>
              <w:t>，要求每月更新一次，未达标，扣1分。</w:t>
            </w:r>
          </w:p>
        </w:tc>
        <w:tc>
          <w:tcPr>
            <w:tcW w:w="967" w:type="dxa"/>
            <w:tcBorders>
              <w:bottom w:val="single" w:color="auto" w:sz="4" w:space="0"/>
            </w:tcBorders>
            <w:noWrap w:val="0"/>
            <w:vAlign w:val="center"/>
          </w:tcPr>
          <w:p>
            <w:pPr>
              <w:jc w:val="center"/>
              <w:rPr>
                <w:rFonts w:ascii="宋体" w:hAnsi="宋体"/>
                <w:szCs w:val="21"/>
              </w:rPr>
            </w:pPr>
            <w:r>
              <w:rPr>
                <w:rFonts w:ascii="宋体" w:hAnsi="宋体" w:cs="仿宋"/>
                <w:szCs w:val="21"/>
              </w:rPr>
              <w:t>2</w:t>
            </w:r>
          </w:p>
        </w:tc>
        <w:tc>
          <w:tcPr>
            <w:tcW w:w="705" w:type="dxa"/>
            <w:tcBorders>
              <w:bottom w:val="single" w:color="auto" w:sz="4" w:space="0"/>
            </w:tcBorders>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706" w:type="dxa"/>
            <w:vMerge w:val="continue"/>
            <w:tcBorders>
              <w:bottom w:val="single" w:color="auto" w:sz="4" w:space="0"/>
            </w:tcBorders>
            <w:noWrap w:val="0"/>
            <w:vAlign w:val="center"/>
          </w:tcPr>
          <w:p>
            <w:pPr>
              <w:widowControl/>
              <w:jc w:val="left"/>
              <w:rPr>
                <w:rFonts w:ascii="宋体" w:hAnsi="宋体"/>
                <w:szCs w:val="21"/>
              </w:rPr>
            </w:pPr>
          </w:p>
        </w:tc>
        <w:tc>
          <w:tcPr>
            <w:tcW w:w="2254" w:type="dxa"/>
            <w:gridSpan w:val="2"/>
            <w:vMerge w:val="continue"/>
            <w:tcBorders>
              <w:bottom w:val="single" w:color="auto" w:sz="4" w:space="0"/>
            </w:tcBorders>
            <w:noWrap w:val="0"/>
            <w:vAlign w:val="center"/>
          </w:tcPr>
          <w:p>
            <w:pPr>
              <w:widowControl/>
              <w:jc w:val="left"/>
              <w:rPr>
                <w:rFonts w:ascii="宋体" w:hAnsi="宋体"/>
                <w:szCs w:val="21"/>
              </w:rPr>
            </w:pPr>
          </w:p>
        </w:tc>
        <w:tc>
          <w:tcPr>
            <w:tcW w:w="5072" w:type="dxa"/>
            <w:tcBorders>
              <w:top w:val="single" w:color="auto" w:sz="4" w:space="0"/>
              <w:bottom w:val="single" w:color="auto" w:sz="4" w:space="0"/>
            </w:tcBorders>
            <w:noWrap w:val="0"/>
            <w:vAlign w:val="center"/>
          </w:tcPr>
          <w:p>
            <w:pPr>
              <w:rPr>
                <w:rFonts w:ascii="宋体" w:hAnsi="宋体"/>
                <w:szCs w:val="21"/>
              </w:rPr>
            </w:pPr>
            <w:r>
              <w:rPr>
                <w:rFonts w:hint="eastAsia" w:ascii="宋体" w:hAnsi="宋体" w:cs="仿宋"/>
                <w:szCs w:val="21"/>
              </w:rPr>
              <w:t>重大活动保障不力、突发事件处理不当，扣2分；出现群众投诉、媒体曝光事件，凡经查证属实，扣2分。</w:t>
            </w:r>
          </w:p>
        </w:tc>
        <w:tc>
          <w:tcPr>
            <w:tcW w:w="967" w:type="dxa"/>
            <w:tcBorders>
              <w:top w:val="single" w:color="auto" w:sz="4" w:space="0"/>
              <w:bottom w:val="single" w:color="auto" w:sz="4" w:space="0"/>
            </w:tcBorders>
            <w:noWrap w:val="0"/>
            <w:vAlign w:val="center"/>
          </w:tcPr>
          <w:p>
            <w:pPr>
              <w:jc w:val="center"/>
              <w:rPr>
                <w:rFonts w:ascii="宋体" w:hAnsi="宋体"/>
                <w:szCs w:val="21"/>
              </w:rPr>
            </w:pPr>
            <w:r>
              <w:rPr>
                <w:rFonts w:ascii="宋体" w:hAnsi="宋体" w:cs="仿宋"/>
                <w:szCs w:val="21"/>
              </w:rPr>
              <w:t>4</w:t>
            </w:r>
          </w:p>
        </w:tc>
        <w:tc>
          <w:tcPr>
            <w:tcW w:w="705" w:type="dxa"/>
            <w:tcBorders>
              <w:top w:val="single" w:color="auto" w:sz="4" w:space="0"/>
              <w:bottom w:val="single" w:color="auto" w:sz="4" w:space="0"/>
            </w:tcBorders>
            <w:noWrap w:val="0"/>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8" w:hRule="atLeast"/>
          <w:jc w:val="center"/>
        </w:trPr>
        <w:tc>
          <w:tcPr>
            <w:tcW w:w="706" w:type="dxa"/>
            <w:vMerge w:val="continue"/>
            <w:tcBorders>
              <w:bottom w:val="single" w:color="auto" w:sz="4" w:space="0"/>
            </w:tcBorders>
            <w:noWrap w:val="0"/>
            <w:vAlign w:val="center"/>
          </w:tcPr>
          <w:p>
            <w:pPr>
              <w:widowControl/>
              <w:jc w:val="left"/>
              <w:rPr>
                <w:rFonts w:ascii="宋体" w:hAnsi="宋体"/>
                <w:szCs w:val="21"/>
              </w:rPr>
            </w:pPr>
          </w:p>
        </w:tc>
        <w:tc>
          <w:tcPr>
            <w:tcW w:w="2254" w:type="dxa"/>
            <w:gridSpan w:val="2"/>
            <w:vMerge w:val="continue"/>
            <w:tcBorders>
              <w:bottom w:val="single" w:color="auto" w:sz="4" w:space="0"/>
            </w:tcBorders>
            <w:noWrap w:val="0"/>
            <w:vAlign w:val="center"/>
          </w:tcPr>
          <w:p>
            <w:pPr>
              <w:widowControl/>
              <w:jc w:val="left"/>
              <w:rPr>
                <w:rFonts w:ascii="宋体" w:hAnsi="宋体"/>
                <w:szCs w:val="21"/>
              </w:rPr>
            </w:pPr>
          </w:p>
        </w:tc>
        <w:tc>
          <w:tcPr>
            <w:tcW w:w="5072" w:type="dxa"/>
            <w:tcBorders>
              <w:top w:val="single" w:color="auto" w:sz="4" w:space="0"/>
              <w:bottom w:val="single" w:color="auto" w:sz="4" w:space="0"/>
            </w:tcBorders>
            <w:noWrap w:val="0"/>
            <w:vAlign w:val="center"/>
          </w:tcPr>
          <w:p>
            <w:pPr>
              <w:rPr>
                <w:rFonts w:ascii="宋体" w:hAnsi="宋体"/>
                <w:szCs w:val="21"/>
              </w:rPr>
            </w:pPr>
            <w:r>
              <w:rPr>
                <w:rFonts w:hint="eastAsia" w:ascii="宋体" w:hAnsi="宋体" w:cs="仿宋"/>
                <w:szCs w:val="21"/>
              </w:rPr>
              <w:t>根据智慧城管要求，及时处理派件，提高整改时效，管理部门提出的问题应在规定的时间内完成。如因工作推诿、拖拉造成智慧城管案件退单或红灯或重复出整改通知单，扣4分。</w:t>
            </w:r>
          </w:p>
        </w:tc>
        <w:tc>
          <w:tcPr>
            <w:tcW w:w="967" w:type="dxa"/>
            <w:tcBorders>
              <w:top w:val="single" w:color="auto" w:sz="4" w:space="0"/>
              <w:bottom w:val="single" w:color="auto" w:sz="4" w:space="0"/>
            </w:tcBorders>
            <w:noWrap w:val="0"/>
            <w:vAlign w:val="center"/>
          </w:tcPr>
          <w:p>
            <w:pPr>
              <w:jc w:val="center"/>
              <w:rPr>
                <w:rFonts w:ascii="宋体" w:hAnsi="宋体"/>
                <w:szCs w:val="21"/>
              </w:rPr>
            </w:pPr>
            <w:r>
              <w:rPr>
                <w:rFonts w:ascii="宋体" w:hAnsi="宋体" w:cs="仿宋"/>
                <w:szCs w:val="21"/>
              </w:rPr>
              <w:t>4</w:t>
            </w:r>
          </w:p>
        </w:tc>
        <w:tc>
          <w:tcPr>
            <w:tcW w:w="705" w:type="dxa"/>
            <w:tcBorders>
              <w:top w:val="single" w:color="auto" w:sz="4" w:space="0"/>
              <w:bottom w:val="single" w:color="auto" w:sz="4" w:space="0"/>
            </w:tcBorders>
            <w:noWrap w:val="0"/>
            <w:vAlign w:val="center"/>
          </w:tcPr>
          <w:p>
            <w:pPr>
              <w:jc w:val="center"/>
              <w:rPr>
                <w:rFonts w:ascii="宋体" w:hAnsi="宋体"/>
                <w:szCs w:val="21"/>
              </w:rPr>
            </w:pPr>
          </w:p>
        </w:tc>
      </w:tr>
    </w:tbl>
    <w:p>
      <w:pPr>
        <w:pStyle w:val="2"/>
        <w:spacing w:line="400" w:lineRule="exact"/>
        <w:ind w:firstLine="0"/>
        <w:jc w:val="left"/>
        <w:rPr>
          <w:rFonts w:hAnsi="宋体"/>
          <w:spacing w:val="0"/>
          <w:szCs w:val="24"/>
        </w:rPr>
        <w:sectPr>
          <w:pgSz w:w="11906" w:h="16838"/>
          <w:pgMar w:top="1440" w:right="1800" w:bottom="1440" w:left="1800" w:header="851" w:footer="992" w:gutter="0"/>
          <w:cols w:space="720" w:num="1"/>
          <w:docGrid w:type="lines" w:linePitch="312" w:charSpace="0"/>
        </w:sectPr>
      </w:pPr>
    </w:p>
    <w:p>
      <w:pPr>
        <w:pStyle w:val="2"/>
        <w:spacing w:line="400" w:lineRule="exact"/>
        <w:ind w:firstLine="0"/>
        <w:jc w:val="left"/>
        <w:rPr>
          <w:rFonts w:hAnsi="宋体"/>
          <w:b/>
          <w:bCs/>
          <w:spacing w:val="0"/>
          <w:szCs w:val="24"/>
        </w:rPr>
      </w:pPr>
      <w:r>
        <w:rPr>
          <w:rFonts w:hAnsi="宋体"/>
          <w:b/>
          <w:bCs/>
          <w:spacing w:val="0"/>
          <w:szCs w:val="24"/>
        </w:rPr>
        <w:t>附件</w:t>
      </w:r>
      <w:r>
        <w:rPr>
          <w:rFonts w:hint="eastAsia" w:hAnsi="宋体"/>
          <w:b/>
          <w:bCs/>
          <w:spacing w:val="0"/>
          <w:szCs w:val="24"/>
        </w:rPr>
        <w:t>5</w:t>
      </w:r>
      <w:r>
        <w:rPr>
          <w:rFonts w:hAnsi="宋体"/>
          <w:b/>
          <w:bCs/>
          <w:spacing w:val="0"/>
          <w:szCs w:val="24"/>
        </w:rPr>
        <w:t>：鄞州区行道树养护质量考核扣分细则</w:t>
      </w:r>
      <w:r>
        <w:rPr>
          <w:rFonts w:hint="eastAsia" w:hAnsi="宋体"/>
          <w:b/>
          <w:bCs/>
          <w:spacing w:val="0"/>
          <w:szCs w:val="24"/>
        </w:rPr>
        <w:t>（占比：20%）</w:t>
      </w:r>
    </w:p>
    <w:tbl>
      <w:tblPr>
        <w:tblStyle w:val="48"/>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680"/>
        <w:gridCol w:w="90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trPr>
        <w:tc>
          <w:tcPr>
            <w:tcW w:w="1368" w:type="dxa"/>
            <w:noWrap w:val="0"/>
            <w:vAlign w:val="center"/>
          </w:tcPr>
          <w:p>
            <w:pPr>
              <w:jc w:val="center"/>
              <w:rPr>
                <w:rFonts w:ascii="宋体" w:hAnsi="宋体"/>
                <w:b/>
                <w:szCs w:val="21"/>
              </w:rPr>
            </w:pPr>
            <w:r>
              <w:rPr>
                <w:rFonts w:hint="eastAsia" w:ascii="宋体" w:hAnsi="宋体" w:cs="仿宋"/>
                <w:b/>
                <w:szCs w:val="21"/>
              </w:rPr>
              <w:t>类别</w:t>
            </w:r>
          </w:p>
        </w:tc>
        <w:tc>
          <w:tcPr>
            <w:tcW w:w="1440" w:type="dxa"/>
            <w:noWrap w:val="0"/>
            <w:vAlign w:val="center"/>
          </w:tcPr>
          <w:p>
            <w:pPr>
              <w:jc w:val="center"/>
              <w:rPr>
                <w:rFonts w:ascii="宋体" w:hAnsi="宋体"/>
                <w:b/>
                <w:szCs w:val="21"/>
              </w:rPr>
            </w:pPr>
            <w:r>
              <w:rPr>
                <w:rFonts w:hint="eastAsia" w:ascii="宋体" w:hAnsi="宋体" w:cs="仿宋"/>
                <w:b/>
                <w:szCs w:val="21"/>
              </w:rPr>
              <w:t>项目</w:t>
            </w:r>
          </w:p>
        </w:tc>
        <w:tc>
          <w:tcPr>
            <w:tcW w:w="4680" w:type="dxa"/>
            <w:noWrap w:val="0"/>
            <w:vAlign w:val="center"/>
          </w:tcPr>
          <w:p>
            <w:pPr>
              <w:jc w:val="center"/>
              <w:rPr>
                <w:rFonts w:ascii="宋体" w:hAnsi="宋体"/>
                <w:b/>
                <w:szCs w:val="21"/>
              </w:rPr>
            </w:pPr>
            <w:r>
              <w:rPr>
                <w:rFonts w:hint="eastAsia" w:ascii="宋体" w:hAnsi="宋体" w:cs="仿宋"/>
                <w:b/>
                <w:szCs w:val="21"/>
              </w:rPr>
              <w:t>评分标准</w:t>
            </w:r>
          </w:p>
        </w:tc>
        <w:tc>
          <w:tcPr>
            <w:tcW w:w="900" w:type="dxa"/>
            <w:noWrap w:val="0"/>
            <w:vAlign w:val="center"/>
          </w:tcPr>
          <w:p>
            <w:pPr>
              <w:jc w:val="center"/>
              <w:rPr>
                <w:rFonts w:ascii="宋体" w:hAnsi="宋体"/>
                <w:b/>
                <w:szCs w:val="21"/>
              </w:rPr>
            </w:pPr>
            <w:r>
              <w:rPr>
                <w:rFonts w:hint="eastAsia" w:ascii="宋体" w:hAnsi="宋体" w:cs="仿宋"/>
                <w:b/>
                <w:szCs w:val="21"/>
              </w:rPr>
              <w:t>标准分</w:t>
            </w:r>
          </w:p>
        </w:tc>
        <w:tc>
          <w:tcPr>
            <w:tcW w:w="673" w:type="dxa"/>
            <w:noWrap w:val="0"/>
            <w:vAlign w:val="center"/>
          </w:tcPr>
          <w:p>
            <w:pPr>
              <w:jc w:val="center"/>
              <w:rPr>
                <w:rFonts w:ascii="宋体" w:hAnsi="宋体"/>
                <w:b/>
                <w:szCs w:val="21"/>
              </w:rPr>
            </w:pPr>
            <w:r>
              <w:rPr>
                <w:rFonts w:hint="eastAsia" w:ascii="宋体" w:hAnsi="宋体" w:cs="仿宋"/>
                <w:b/>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1368" w:type="dxa"/>
            <w:vMerge w:val="restart"/>
            <w:noWrap w:val="0"/>
            <w:vAlign w:val="center"/>
          </w:tcPr>
          <w:p>
            <w:pPr>
              <w:jc w:val="center"/>
              <w:rPr>
                <w:rFonts w:ascii="宋体" w:hAnsi="宋体"/>
                <w:szCs w:val="21"/>
              </w:rPr>
            </w:pPr>
            <w:r>
              <w:rPr>
                <w:rFonts w:hint="eastAsia" w:ascii="宋体" w:hAnsi="宋体" w:cs="仿宋"/>
                <w:szCs w:val="21"/>
              </w:rPr>
              <w:t>行道树养护（</w:t>
            </w:r>
            <w:r>
              <w:rPr>
                <w:rFonts w:ascii="宋体" w:hAnsi="宋体" w:cs="仿宋"/>
                <w:szCs w:val="21"/>
              </w:rPr>
              <w:t>100</w:t>
            </w:r>
            <w:r>
              <w:rPr>
                <w:rFonts w:hint="eastAsia" w:ascii="宋体" w:hAnsi="宋体" w:cs="仿宋"/>
                <w:szCs w:val="21"/>
              </w:rPr>
              <w:t>分）</w:t>
            </w:r>
          </w:p>
        </w:tc>
        <w:tc>
          <w:tcPr>
            <w:tcW w:w="1440" w:type="dxa"/>
            <w:noWrap w:val="0"/>
            <w:vAlign w:val="center"/>
          </w:tcPr>
          <w:p>
            <w:pPr>
              <w:jc w:val="center"/>
              <w:rPr>
                <w:rFonts w:ascii="宋体" w:hAnsi="宋体"/>
                <w:szCs w:val="21"/>
              </w:rPr>
            </w:pPr>
            <w:r>
              <w:rPr>
                <w:rFonts w:hint="eastAsia" w:ascii="宋体" w:hAnsi="宋体" w:cs="仿宋"/>
                <w:szCs w:val="21"/>
              </w:rPr>
              <w:t>整体景观</w:t>
            </w:r>
          </w:p>
          <w:p>
            <w:pPr>
              <w:jc w:val="center"/>
              <w:rPr>
                <w:rFonts w:ascii="宋体" w:hAnsi="宋体"/>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生长不良，叶色、叶形不正常（黄叶、焦叶、卷叶、落叶），扣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株；树干未及时抹芽，扣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00" w:type="dxa"/>
            <w:noWrap w:val="0"/>
            <w:vAlign w:val="center"/>
          </w:tcPr>
          <w:p>
            <w:pPr>
              <w:jc w:val="center"/>
              <w:rPr>
                <w:rFonts w:ascii="宋体" w:hAnsi="宋体"/>
                <w:szCs w:val="21"/>
              </w:rPr>
            </w:pPr>
            <w:r>
              <w:rPr>
                <w:rFonts w:ascii="宋体" w:hAnsi="宋体" w:cs="仿宋"/>
                <w:szCs w:val="21"/>
              </w:rPr>
              <w:t>10</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8" w:hRule="atLeast"/>
        </w:trPr>
        <w:tc>
          <w:tcPr>
            <w:tcW w:w="1368" w:type="dxa"/>
            <w:vMerge w:val="continue"/>
            <w:noWrap w:val="0"/>
            <w:vAlign w:val="center"/>
          </w:tcPr>
          <w:p>
            <w:pPr>
              <w:jc w:val="center"/>
              <w:rPr>
                <w:rFonts w:ascii="宋体" w:hAnsi="宋体"/>
                <w:szCs w:val="21"/>
              </w:rPr>
            </w:pPr>
          </w:p>
        </w:tc>
        <w:tc>
          <w:tcPr>
            <w:tcW w:w="1440" w:type="dxa"/>
            <w:noWrap w:val="0"/>
            <w:vAlign w:val="center"/>
          </w:tcPr>
          <w:p>
            <w:pPr>
              <w:jc w:val="center"/>
              <w:rPr>
                <w:rFonts w:ascii="宋体" w:hAnsi="宋体"/>
                <w:szCs w:val="21"/>
              </w:rPr>
            </w:pPr>
            <w:r>
              <w:rPr>
                <w:rFonts w:hint="eastAsia" w:ascii="宋体" w:hAnsi="宋体" w:cs="仿宋"/>
                <w:szCs w:val="21"/>
              </w:rPr>
              <w:t>补种情况</w:t>
            </w:r>
          </w:p>
          <w:p>
            <w:pPr>
              <w:jc w:val="center"/>
              <w:rPr>
                <w:rFonts w:ascii="宋体" w:hAnsi="宋体"/>
                <w:szCs w:val="21"/>
              </w:rPr>
            </w:pPr>
            <w:r>
              <w:rPr>
                <w:rFonts w:hint="eastAsia" w:ascii="宋体" w:hAnsi="宋体" w:cs="仿宋"/>
                <w:szCs w:val="21"/>
              </w:rPr>
              <w:t>（</w:t>
            </w:r>
            <w:r>
              <w:rPr>
                <w:rFonts w:ascii="宋体" w:hAnsi="宋体" w:cs="仿宋"/>
                <w:szCs w:val="21"/>
              </w:rPr>
              <w:t>15</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缺株、死株、明显倾斜或倒伏未按规定时间及时补种或扶正，扣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株。新种乔木品种、规格未按标准执行，或树冠未达到三级分枝以上或种植倾斜，扣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00" w:type="dxa"/>
            <w:noWrap w:val="0"/>
            <w:vAlign w:val="center"/>
          </w:tcPr>
          <w:p>
            <w:pPr>
              <w:jc w:val="center"/>
              <w:rPr>
                <w:rFonts w:ascii="宋体" w:hAnsi="宋体"/>
                <w:szCs w:val="21"/>
              </w:rPr>
            </w:pPr>
            <w:r>
              <w:rPr>
                <w:rFonts w:ascii="宋体" w:hAnsi="宋体" w:cs="仿宋"/>
                <w:szCs w:val="21"/>
              </w:rPr>
              <w:t>15</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1368" w:type="dxa"/>
            <w:vMerge w:val="continue"/>
            <w:noWrap w:val="0"/>
            <w:vAlign w:val="center"/>
          </w:tcPr>
          <w:p>
            <w:pPr>
              <w:jc w:val="center"/>
              <w:rPr>
                <w:rFonts w:ascii="宋体" w:hAnsi="宋体"/>
                <w:szCs w:val="21"/>
              </w:rPr>
            </w:pPr>
          </w:p>
        </w:tc>
        <w:tc>
          <w:tcPr>
            <w:tcW w:w="1440" w:type="dxa"/>
            <w:noWrap w:val="0"/>
            <w:vAlign w:val="center"/>
          </w:tcPr>
          <w:p>
            <w:pPr>
              <w:jc w:val="center"/>
              <w:rPr>
                <w:rFonts w:ascii="宋体" w:hAnsi="宋体"/>
                <w:szCs w:val="21"/>
              </w:rPr>
            </w:pPr>
            <w:r>
              <w:rPr>
                <w:rFonts w:hint="eastAsia" w:ascii="宋体" w:hAnsi="宋体" w:cs="仿宋"/>
                <w:szCs w:val="21"/>
              </w:rPr>
              <w:t>修剪情况</w:t>
            </w:r>
          </w:p>
          <w:p>
            <w:pPr>
              <w:jc w:val="center"/>
              <w:rPr>
                <w:rFonts w:ascii="宋体" w:hAnsi="宋体"/>
                <w:szCs w:val="21"/>
              </w:rPr>
            </w:pPr>
            <w:r>
              <w:rPr>
                <w:rFonts w:hint="eastAsia" w:ascii="宋体" w:hAnsi="宋体" w:cs="仿宋"/>
                <w:szCs w:val="21"/>
              </w:rPr>
              <w:t>（</w:t>
            </w:r>
            <w:r>
              <w:rPr>
                <w:rFonts w:ascii="宋体" w:hAnsi="宋体" w:cs="仿宋"/>
                <w:szCs w:val="21"/>
              </w:rPr>
              <w:t>15</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有病虫枝、残枝、枯枝、</w:t>
            </w:r>
            <w:r>
              <w:rPr>
                <w:rFonts w:ascii="宋体" w:hAnsi="宋体" w:cs="仿宋"/>
                <w:szCs w:val="21"/>
              </w:rPr>
              <w:t xml:space="preserve">10cm </w:t>
            </w:r>
            <w:r>
              <w:rPr>
                <w:rFonts w:hint="eastAsia" w:ascii="宋体" w:hAnsi="宋体" w:cs="仿宋"/>
                <w:szCs w:val="21"/>
              </w:rPr>
              <w:t>以上徒长枝，未及时清理，扣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株。内膛过密、通风透光不良，扣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株。修剪切口不平整，伤口处理不规范，扣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株。分支点过低影响通行，扣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00" w:type="dxa"/>
            <w:noWrap w:val="0"/>
            <w:vAlign w:val="center"/>
          </w:tcPr>
          <w:p>
            <w:pPr>
              <w:jc w:val="center"/>
              <w:rPr>
                <w:rFonts w:ascii="宋体" w:hAnsi="宋体"/>
                <w:szCs w:val="21"/>
              </w:rPr>
            </w:pPr>
            <w:r>
              <w:rPr>
                <w:rFonts w:ascii="宋体" w:hAnsi="宋体" w:cs="仿宋"/>
                <w:szCs w:val="21"/>
              </w:rPr>
              <w:t>15</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5" w:hRule="atLeast"/>
        </w:trPr>
        <w:tc>
          <w:tcPr>
            <w:tcW w:w="1368" w:type="dxa"/>
            <w:vMerge w:val="continue"/>
            <w:noWrap w:val="0"/>
            <w:vAlign w:val="center"/>
          </w:tcPr>
          <w:p>
            <w:pPr>
              <w:jc w:val="center"/>
              <w:rPr>
                <w:rFonts w:ascii="宋体" w:hAnsi="宋体"/>
                <w:szCs w:val="21"/>
              </w:rPr>
            </w:pPr>
          </w:p>
        </w:tc>
        <w:tc>
          <w:tcPr>
            <w:tcW w:w="1440" w:type="dxa"/>
            <w:noWrap w:val="0"/>
            <w:vAlign w:val="center"/>
          </w:tcPr>
          <w:p>
            <w:pPr>
              <w:jc w:val="center"/>
              <w:rPr>
                <w:rFonts w:ascii="宋体" w:hAnsi="宋体"/>
                <w:szCs w:val="21"/>
              </w:rPr>
            </w:pPr>
            <w:r>
              <w:rPr>
                <w:rFonts w:hint="eastAsia" w:ascii="宋体" w:hAnsi="宋体" w:cs="仿宋"/>
                <w:szCs w:val="21"/>
              </w:rPr>
              <w:t>病虫害防治</w:t>
            </w:r>
          </w:p>
          <w:p>
            <w:pPr>
              <w:jc w:val="center"/>
              <w:rPr>
                <w:rFonts w:ascii="宋体" w:hAnsi="宋体"/>
                <w:szCs w:val="21"/>
              </w:rPr>
            </w:pPr>
            <w:r>
              <w:rPr>
                <w:rFonts w:hint="eastAsia" w:ascii="宋体" w:hAnsi="宋体" w:cs="仿宋"/>
                <w:szCs w:val="21"/>
              </w:rPr>
              <w:t>（</w:t>
            </w:r>
            <w:r>
              <w:rPr>
                <w:rFonts w:ascii="宋体" w:hAnsi="宋体" w:cs="仿宋"/>
                <w:szCs w:val="21"/>
              </w:rPr>
              <w:t>15</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无病虫害防治预案和防治计划，扣</w:t>
            </w:r>
            <w:r>
              <w:rPr>
                <w:rFonts w:ascii="宋体" w:hAnsi="宋体" w:cs="仿宋"/>
                <w:szCs w:val="21"/>
              </w:rPr>
              <w:t>2</w:t>
            </w:r>
            <w:r>
              <w:rPr>
                <w:rFonts w:hint="eastAsia" w:ascii="宋体" w:hAnsi="宋体" w:cs="仿宋"/>
                <w:szCs w:val="21"/>
              </w:rPr>
              <w:t>分</w:t>
            </w:r>
            <w:r>
              <w:rPr>
                <w:rFonts w:ascii="宋体" w:hAnsi="宋体" w:cs="仿宋"/>
                <w:szCs w:val="21"/>
              </w:rPr>
              <w:t>/</w:t>
            </w:r>
            <w:r>
              <w:rPr>
                <w:rFonts w:hint="eastAsia" w:ascii="宋体" w:hAnsi="宋体" w:cs="仿宋"/>
                <w:szCs w:val="21"/>
              </w:rPr>
              <w:t>月度；有明显病虫害危害的，扣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株；用药配比不正确、操作不规范，扣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处；发生大面积虫害事件、药害事故的</w:t>
            </w:r>
            <w:r>
              <w:rPr>
                <w:rFonts w:ascii="宋体" w:hAnsi="宋体" w:cs="仿宋"/>
                <w:szCs w:val="21"/>
              </w:rPr>
              <w:t>,</w:t>
            </w:r>
            <w:r>
              <w:rPr>
                <w:rFonts w:hint="eastAsia" w:ascii="宋体" w:hAnsi="宋体" w:cs="仿宋"/>
                <w:szCs w:val="21"/>
              </w:rPr>
              <w:t>扣</w:t>
            </w:r>
            <w:r>
              <w:rPr>
                <w:rFonts w:ascii="宋体" w:hAnsi="宋体" w:cs="仿宋"/>
                <w:szCs w:val="21"/>
              </w:rPr>
              <w:t>5</w:t>
            </w:r>
            <w:r>
              <w:rPr>
                <w:rFonts w:hint="eastAsia" w:ascii="宋体" w:hAnsi="宋体" w:cs="仿宋"/>
                <w:szCs w:val="21"/>
              </w:rPr>
              <w:t>分</w:t>
            </w:r>
            <w:r>
              <w:rPr>
                <w:rFonts w:ascii="宋体" w:hAnsi="宋体" w:cs="仿宋"/>
                <w:szCs w:val="21"/>
              </w:rPr>
              <w:t>/</w:t>
            </w:r>
            <w:r>
              <w:rPr>
                <w:rFonts w:hint="eastAsia" w:ascii="宋体" w:hAnsi="宋体" w:cs="仿宋"/>
                <w:szCs w:val="21"/>
              </w:rPr>
              <w:t>次。</w:t>
            </w:r>
          </w:p>
        </w:tc>
        <w:tc>
          <w:tcPr>
            <w:tcW w:w="900" w:type="dxa"/>
            <w:noWrap w:val="0"/>
            <w:vAlign w:val="center"/>
          </w:tcPr>
          <w:p>
            <w:pPr>
              <w:jc w:val="center"/>
              <w:rPr>
                <w:rFonts w:ascii="宋体" w:hAnsi="宋体"/>
                <w:szCs w:val="21"/>
              </w:rPr>
            </w:pPr>
            <w:r>
              <w:rPr>
                <w:rFonts w:ascii="宋体" w:hAnsi="宋体" w:cs="仿宋"/>
                <w:szCs w:val="21"/>
              </w:rPr>
              <w:t>15</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1368" w:type="dxa"/>
            <w:vMerge w:val="continue"/>
            <w:noWrap w:val="0"/>
            <w:vAlign w:val="center"/>
          </w:tcPr>
          <w:p>
            <w:pPr>
              <w:jc w:val="center"/>
              <w:rPr>
                <w:rFonts w:ascii="宋体" w:hAnsi="宋体"/>
                <w:szCs w:val="21"/>
              </w:rPr>
            </w:pPr>
          </w:p>
        </w:tc>
        <w:tc>
          <w:tcPr>
            <w:tcW w:w="1440" w:type="dxa"/>
            <w:noWrap w:val="0"/>
            <w:vAlign w:val="center"/>
          </w:tcPr>
          <w:p>
            <w:pPr>
              <w:jc w:val="center"/>
              <w:rPr>
                <w:rFonts w:ascii="宋体" w:hAnsi="宋体"/>
                <w:szCs w:val="21"/>
              </w:rPr>
            </w:pPr>
            <w:r>
              <w:rPr>
                <w:rFonts w:hint="eastAsia" w:ascii="宋体" w:hAnsi="宋体" w:cs="仿宋"/>
                <w:szCs w:val="21"/>
              </w:rPr>
              <w:t>树干刷白</w:t>
            </w:r>
          </w:p>
          <w:p>
            <w:pPr>
              <w:jc w:val="center"/>
              <w:rPr>
                <w:rFonts w:ascii="宋体" w:hAnsi="宋体"/>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行道树主干未涂白，扣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株；涂白高度未达</w:t>
            </w:r>
            <w:r>
              <w:rPr>
                <w:rFonts w:ascii="宋体" w:hAnsi="宋体" w:cs="仿宋"/>
                <w:szCs w:val="21"/>
              </w:rPr>
              <w:t>1.2</w:t>
            </w:r>
            <w:r>
              <w:rPr>
                <w:rFonts w:hint="eastAsia" w:ascii="宋体" w:hAnsi="宋体" w:cs="仿宋"/>
                <w:szCs w:val="21"/>
              </w:rPr>
              <w:t>米，高度未统一的，扣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株；涂料配比不规范，扣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处；涂料堆放不规范或工程结束后未及时清理现场，扣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处。</w:t>
            </w:r>
          </w:p>
        </w:tc>
        <w:tc>
          <w:tcPr>
            <w:tcW w:w="900" w:type="dxa"/>
            <w:noWrap w:val="0"/>
            <w:vAlign w:val="center"/>
          </w:tcPr>
          <w:p>
            <w:pPr>
              <w:jc w:val="center"/>
              <w:rPr>
                <w:rFonts w:ascii="宋体" w:hAnsi="宋体"/>
                <w:szCs w:val="21"/>
              </w:rPr>
            </w:pPr>
            <w:r>
              <w:rPr>
                <w:rFonts w:ascii="宋体" w:hAnsi="宋体" w:cs="仿宋"/>
                <w:szCs w:val="21"/>
              </w:rPr>
              <w:t>10</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 w:hRule="atLeast"/>
        </w:trPr>
        <w:tc>
          <w:tcPr>
            <w:tcW w:w="1368" w:type="dxa"/>
            <w:vMerge w:val="continue"/>
            <w:noWrap w:val="0"/>
            <w:vAlign w:val="center"/>
          </w:tcPr>
          <w:p>
            <w:pPr>
              <w:jc w:val="center"/>
              <w:rPr>
                <w:rFonts w:ascii="宋体" w:hAnsi="宋体"/>
                <w:szCs w:val="21"/>
              </w:rPr>
            </w:pPr>
          </w:p>
        </w:tc>
        <w:tc>
          <w:tcPr>
            <w:tcW w:w="1440" w:type="dxa"/>
            <w:noWrap w:val="0"/>
            <w:vAlign w:val="center"/>
          </w:tcPr>
          <w:p>
            <w:pPr>
              <w:jc w:val="center"/>
              <w:rPr>
                <w:rFonts w:ascii="宋体" w:hAnsi="宋体"/>
                <w:szCs w:val="21"/>
              </w:rPr>
            </w:pPr>
            <w:r>
              <w:rPr>
                <w:rFonts w:hint="eastAsia" w:ascii="宋体" w:hAnsi="宋体" w:cs="仿宋"/>
                <w:szCs w:val="21"/>
              </w:rPr>
              <w:t>水肥管理</w:t>
            </w:r>
          </w:p>
          <w:p>
            <w:pPr>
              <w:jc w:val="center"/>
              <w:rPr>
                <w:rFonts w:ascii="宋体" w:hAnsi="宋体"/>
                <w:szCs w:val="21"/>
              </w:rPr>
            </w:pPr>
            <w:r>
              <w:rPr>
                <w:rFonts w:hint="eastAsia" w:ascii="宋体" w:hAnsi="宋体" w:cs="仿宋"/>
                <w:szCs w:val="21"/>
              </w:rPr>
              <w:t>（</w:t>
            </w:r>
            <w:r>
              <w:rPr>
                <w:rFonts w:ascii="宋体" w:hAnsi="宋体" w:cs="仿宋"/>
                <w:szCs w:val="21"/>
              </w:rPr>
              <w:t>15</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没有肥、水计划扣</w:t>
            </w:r>
            <w:r>
              <w:rPr>
                <w:rFonts w:ascii="宋体" w:hAnsi="宋体" w:cs="仿宋"/>
                <w:szCs w:val="21"/>
              </w:rPr>
              <w:t>2</w:t>
            </w:r>
            <w:r>
              <w:rPr>
                <w:rFonts w:hint="eastAsia" w:ascii="宋体" w:hAnsi="宋体" w:cs="仿宋"/>
                <w:szCs w:val="21"/>
              </w:rPr>
              <w:t>分</w:t>
            </w:r>
            <w:r>
              <w:rPr>
                <w:rFonts w:ascii="宋体" w:hAnsi="宋体" w:cs="仿宋"/>
                <w:szCs w:val="21"/>
              </w:rPr>
              <w:t>/</w:t>
            </w:r>
            <w:r>
              <w:rPr>
                <w:rFonts w:hint="eastAsia" w:ascii="宋体" w:hAnsi="宋体" w:cs="仿宋"/>
                <w:szCs w:val="21"/>
              </w:rPr>
              <w:t>月度；由于肥、水管理不善造成的枯黄、叶烧、严重缺水现象，扣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株；未按标准施肥、浇水的，扣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w:t>
            </w:r>
          </w:p>
        </w:tc>
        <w:tc>
          <w:tcPr>
            <w:tcW w:w="900" w:type="dxa"/>
            <w:noWrap w:val="0"/>
            <w:vAlign w:val="center"/>
          </w:tcPr>
          <w:p>
            <w:pPr>
              <w:jc w:val="center"/>
              <w:rPr>
                <w:rFonts w:ascii="宋体" w:hAnsi="宋体"/>
                <w:szCs w:val="21"/>
              </w:rPr>
            </w:pPr>
            <w:r>
              <w:rPr>
                <w:rFonts w:ascii="宋体" w:hAnsi="宋体" w:cs="仿宋"/>
                <w:szCs w:val="21"/>
              </w:rPr>
              <w:t>15</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8" w:hRule="atLeast"/>
        </w:trPr>
        <w:tc>
          <w:tcPr>
            <w:tcW w:w="1368" w:type="dxa"/>
            <w:vMerge w:val="continue"/>
            <w:noWrap w:val="0"/>
            <w:vAlign w:val="center"/>
          </w:tcPr>
          <w:p>
            <w:pPr>
              <w:jc w:val="center"/>
              <w:rPr>
                <w:rFonts w:ascii="宋体" w:hAnsi="宋体"/>
                <w:szCs w:val="21"/>
              </w:rPr>
            </w:pPr>
          </w:p>
        </w:tc>
        <w:tc>
          <w:tcPr>
            <w:tcW w:w="1440" w:type="dxa"/>
            <w:noWrap w:val="0"/>
            <w:vAlign w:val="center"/>
          </w:tcPr>
          <w:p>
            <w:pPr>
              <w:jc w:val="center"/>
              <w:rPr>
                <w:rFonts w:ascii="宋体" w:hAnsi="宋体"/>
                <w:szCs w:val="21"/>
              </w:rPr>
            </w:pPr>
            <w:r>
              <w:rPr>
                <w:rFonts w:hint="eastAsia" w:ascii="宋体" w:hAnsi="宋体" w:cs="仿宋"/>
                <w:szCs w:val="21"/>
              </w:rPr>
              <w:t>树穴及支撑</w:t>
            </w:r>
          </w:p>
          <w:p>
            <w:pPr>
              <w:jc w:val="center"/>
              <w:rPr>
                <w:rFonts w:ascii="宋体" w:hAnsi="宋体"/>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支撑架不规范，扣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株；草绳缠绕凌乱，扣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株。树穴黄土明显裸露，树穴地被缺株严重，扣</w:t>
            </w:r>
            <w:r>
              <w:rPr>
                <w:rFonts w:ascii="宋体" w:hAnsi="宋体" w:cs="仿宋"/>
                <w:szCs w:val="21"/>
              </w:rPr>
              <w:t>0.5</w:t>
            </w:r>
            <w:r>
              <w:rPr>
                <w:rFonts w:hint="eastAsia" w:ascii="宋体" w:hAnsi="宋体" w:cs="仿宋"/>
                <w:szCs w:val="21"/>
              </w:rPr>
              <w:t>分</w:t>
            </w:r>
            <w:r>
              <w:rPr>
                <w:rFonts w:ascii="宋体" w:hAnsi="宋体" w:cs="仿宋"/>
                <w:szCs w:val="21"/>
              </w:rPr>
              <w:t>/</w:t>
            </w:r>
            <w:r>
              <w:rPr>
                <w:rFonts w:hint="eastAsia" w:ascii="宋体" w:hAnsi="宋体" w:cs="仿宋"/>
                <w:szCs w:val="21"/>
              </w:rPr>
              <w:t>个；树穴杂草发现一次扣0.5分；树穴覆盖设施（盖板、树篦子、鹅卵石、透水石）破损，未在规定时间内修复的，扣</w:t>
            </w:r>
            <w:r>
              <w:rPr>
                <w:rFonts w:ascii="宋体" w:hAnsi="宋体" w:cs="仿宋"/>
                <w:szCs w:val="21"/>
              </w:rPr>
              <w:t>1</w:t>
            </w:r>
            <w:r>
              <w:rPr>
                <w:rFonts w:hint="eastAsia" w:ascii="宋体" w:hAnsi="宋体" w:cs="仿宋"/>
                <w:szCs w:val="21"/>
              </w:rPr>
              <w:t>分</w:t>
            </w:r>
            <w:r>
              <w:rPr>
                <w:rFonts w:ascii="宋体" w:hAnsi="宋体" w:cs="仿宋"/>
                <w:szCs w:val="21"/>
              </w:rPr>
              <w:t>/</w:t>
            </w:r>
            <w:r>
              <w:rPr>
                <w:rFonts w:hint="eastAsia" w:ascii="宋体" w:hAnsi="宋体" w:cs="仿宋"/>
                <w:szCs w:val="21"/>
              </w:rPr>
              <w:t>个。</w:t>
            </w:r>
          </w:p>
        </w:tc>
        <w:tc>
          <w:tcPr>
            <w:tcW w:w="900" w:type="dxa"/>
            <w:noWrap w:val="0"/>
            <w:vAlign w:val="center"/>
          </w:tcPr>
          <w:p>
            <w:pPr>
              <w:jc w:val="center"/>
              <w:rPr>
                <w:rFonts w:ascii="宋体" w:hAnsi="宋体"/>
                <w:szCs w:val="21"/>
              </w:rPr>
            </w:pPr>
            <w:r>
              <w:rPr>
                <w:rFonts w:ascii="宋体" w:hAnsi="宋体" w:cs="仿宋"/>
                <w:szCs w:val="21"/>
              </w:rPr>
              <w:t>10</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1368" w:type="dxa"/>
            <w:vMerge w:val="continue"/>
            <w:noWrap w:val="0"/>
            <w:vAlign w:val="center"/>
          </w:tcPr>
          <w:p>
            <w:pPr>
              <w:jc w:val="center"/>
              <w:rPr>
                <w:rFonts w:ascii="宋体" w:hAnsi="宋体"/>
                <w:szCs w:val="21"/>
              </w:rPr>
            </w:pPr>
          </w:p>
        </w:tc>
        <w:tc>
          <w:tcPr>
            <w:tcW w:w="1440" w:type="dxa"/>
            <w:vMerge w:val="restart"/>
            <w:noWrap w:val="0"/>
            <w:vAlign w:val="center"/>
          </w:tcPr>
          <w:p>
            <w:pPr>
              <w:jc w:val="center"/>
              <w:rPr>
                <w:rFonts w:ascii="宋体" w:hAnsi="宋体"/>
                <w:szCs w:val="21"/>
              </w:rPr>
            </w:pPr>
            <w:r>
              <w:rPr>
                <w:rFonts w:hint="eastAsia" w:ascii="宋体" w:hAnsi="宋体" w:cs="宋体"/>
                <w:szCs w:val="21"/>
              </w:rPr>
              <w:t>管理考核</w:t>
            </w:r>
          </w:p>
          <w:p>
            <w:pPr>
              <w:jc w:val="center"/>
              <w:rPr>
                <w:rFonts w:ascii="宋体" w:hAnsi="宋体"/>
                <w:szCs w:val="21"/>
              </w:rPr>
            </w:pPr>
            <w:r>
              <w:rPr>
                <w:rFonts w:hint="eastAsia" w:ascii="宋体" w:hAnsi="宋体" w:cs="仿宋"/>
                <w:szCs w:val="21"/>
              </w:rPr>
              <w:t>（</w:t>
            </w:r>
            <w:r>
              <w:rPr>
                <w:rFonts w:ascii="宋体" w:hAnsi="宋体" w:cs="仿宋"/>
                <w:szCs w:val="21"/>
              </w:rPr>
              <w:t>10</w:t>
            </w:r>
            <w:r>
              <w:rPr>
                <w:rFonts w:hint="eastAsia" w:ascii="宋体" w:hAnsi="宋体" w:cs="仿宋"/>
                <w:szCs w:val="21"/>
              </w:rPr>
              <w:t>分）</w:t>
            </w:r>
          </w:p>
        </w:tc>
        <w:tc>
          <w:tcPr>
            <w:tcW w:w="4680" w:type="dxa"/>
            <w:noWrap w:val="0"/>
            <w:vAlign w:val="center"/>
          </w:tcPr>
          <w:p>
            <w:pPr>
              <w:rPr>
                <w:rFonts w:ascii="宋体" w:hAnsi="宋体"/>
                <w:szCs w:val="21"/>
              </w:rPr>
            </w:pPr>
            <w:r>
              <w:rPr>
                <w:rFonts w:hint="eastAsia" w:ascii="宋体" w:hAnsi="宋体" w:cs="仿宋"/>
                <w:szCs w:val="21"/>
              </w:rPr>
              <w:t>树冠无悬挂物，树干无钉子、铁丝、晾晒等绑缚物</w:t>
            </w:r>
            <w:r>
              <w:rPr>
                <w:rFonts w:ascii="宋体" w:hAnsi="宋体" w:cs="仿宋"/>
                <w:szCs w:val="21"/>
              </w:rPr>
              <w:t>,</w:t>
            </w:r>
            <w:r>
              <w:rPr>
                <w:rFonts w:hint="eastAsia" w:ascii="宋体" w:hAnsi="宋体" w:cs="仿宋"/>
                <w:szCs w:val="21"/>
              </w:rPr>
              <w:t>发现一处扣1分。</w:t>
            </w:r>
          </w:p>
        </w:tc>
        <w:tc>
          <w:tcPr>
            <w:tcW w:w="900" w:type="dxa"/>
            <w:noWrap w:val="0"/>
            <w:vAlign w:val="center"/>
          </w:tcPr>
          <w:p>
            <w:pPr>
              <w:jc w:val="center"/>
              <w:rPr>
                <w:rFonts w:ascii="宋体" w:hAnsi="宋体"/>
                <w:szCs w:val="21"/>
              </w:rPr>
            </w:pPr>
            <w:r>
              <w:rPr>
                <w:rFonts w:hint="eastAsia" w:ascii="宋体" w:hAnsi="宋体" w:cs="仿宋"/>
                <w:szCs w:val="21"/>
              </w:rPr>
              <w:t>6</w:t>
            </w:r>
          </w:p>
        </w:tc>
        <w:tc>
          <w:tcPr>
            <w:tcW w:w="67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 w:hRule="atLeast"/>
        </w:trPr>
        <w:tc>
          <w:tcPr>
            <w:tcW w:w="1368" w:type="dxa"/>
            <w:vMerge w:val="continue"/>
            <w:noWrap w:val="0"/>
            <w:vAlign w:val="center"/>
          </w:tcPr>
          <w:p>
            <w:pPr>
              <w:jc w:val="center"/>
              <w:rPr>
                <w:rFonts w:ascii="宋体" w:hAnsi="宋体"/>
                <w:szCs w:val="21"/>
              </w:rPr>
            </w:pPr>
          </w:p>
        </w:tc>
        <w:tc>
          <w:tcPr>
            <w:tcW w:w="1440" w:type="dxa"/>
            <w:vMerge w:val="continue"/>
            <w:noWrap w:val="0"/>
            <w:vAlign w:val="center"/>
          </w:tcPr>
          <w:p>
            <w:pPr>
              <w:jc w:val="center"/>
              <w:rPr>
                <w:rFonts w:hint="eastAsia" w:ascii="宋体" w:hAnsi="宋体" w:cs="宋体"/>
                <w:szCs w:val="21"/>
              </w:rPr>
            </w:pPr>
          </w:p>
        </w:tc>
        <w:tc>
          <w:tcPr>
            <w:tcW w:w="4680" w:type="dxa"/>
            <w:noWrap w:val="0"/>
            <w:vAlign w:val="center"/>
          </w:tcPr>
          <w:p>
            <w:pPr>
              <w:rPr>
                <w:rFonts w:hint="eastAsia" w:ascii="宋体" w:hAnsi="宋体" w:cs="仿宋"/>
                <w:szCs w:val="21"/>
              </w:rPr>
            </w:pPr>
            <w:r>
              <w:rPr>
                <w:rFonts w:hint="eastAsia" w:ascii="宋体" w:hAnsi="宋体" w:cs="仿宋"/>
                <w:szCs w:val="21"/>
              </w:rPr>
              <w:t>月度养护计划在每</w:t>
            </w:r>
            <w:r>
              <w:rPr>
                <w:rFonts w:ascii="宋体" w:hAnsi="宋体" w:cs="仿宋"/>
                <w:szCs w:val="21"/>
              </w:rPr>
              <w:t>25</w:t>
            </w:r>
            <w:r>
              <w:rPr>
                <w:rFonts w:hint="eastAsia" w:ascii="宋体" w:hAnsi="宋体" w:cs="仿宋"/>
                <w:szCs w:val="21"/>
              </w:rPr>
              <w:t>日前上报（包含养护人员名单），养护计划应科学合理，未达标，扣4分</w:t>
            </w:r>
          </w:p>
        </w:tc>
        <w:tc>
          <w:tcPr>
            <w:tcW w:w="900" w:type="dxa"/>
            <w:noWrap w:val="0"/>
            <w:vAlign w:val="center"/>
          </w:tcPr>
          <w:p>
            <w:pPr>
              <w:jc w:val="center"/>
              <w:rPr>
                <w:rFonts w:ascii="宋体" w:hAnsi="宋体" w:cs="仿宋"/>
                <w:szCs w:val="21"/>
              </w:rPr>
            </w:pPr>
            <w:r>
              <w:rPr>
                <w:rFonts w:hint="eastAsia" w:ascii="宋体" w:hAnsi="宋体" w:cs="仿宋"/>
                <w:szCs w:val="21"/>
              </w:rPr>
              <w:t>4</w:t>
            </w:r>
          </w:p>
        </w:tc>
        <w:tc>
          <w:tcPr>
            <w:tcW w:w="673" w:type="dxa"/>
            <w:noWrap w:val="0"/>
            <w:vAlign w:val="center"/>
          </w:tcPr>
          <w:p>
            <w:pPr>
              <w:jc w:val="center"/>
              <w:rPr>
                <w:rFonts w:ascii="宋体" w:hAnsi="宋体"/>
                <w:szCs w:val="21"/>
              </w:rPr>
            </w:pPr>
          </w:p>
        </w:tc>
      </w:tr>
    </w:tbl>
    <w:p>
      <w:pPr>
        <w:pStyle w:val="2"/>
        <w:spacing w:line="400" w:lineRule="exact"/>
        <w:ind w:firstLine="0"/>
        <w:jc w:val="left"/>
        <w:rPr>
          <w:rFonts w:hAnsi="宋体"/>
          <w:b/>
          <w:bCs/>
          <w:spacing w:val="0"/>
          <w:szCs w:val="24"/>
        </w:rPr>
        <w:sectPr>
          <w:pgSz w:w="11906" w:h="16838"/>
          <w:pgMar w:top="1440" w:right="1800" w:bottom="1440" w:left="1800" w:header="851" w:footer="992" w:gutter="0"/>
          <w:cols w:space="720" w:num="1"/>
          <w:docGrid w:type="lines" w:linePitch="312" w:charSpace="0"/>
        </w:sectPr>
      </w:pPr>
    </w:p>
    <w:p>
      <w:pPr>
        <w:pStyle w:val="2"/>
        <w:spacing w:line="400" w:lineRule="exact"/>
        <w:ind w:firstLine="0"/>
        <w:jc w:val="left"/>
        <w:rPr>
          <w:rFonts w:hAnsi="宋体"/>
          <w:b/>
          <w:bCs/>
          <w:spacing w:val="0"/>
          <w:szCs w:val="24"/>
        </w:rPr>
      </w:pPr>
      <w:r>
        <w:rPr>
          <w:rFonts w:hAnsi="宋体"/>
          <w:b/>
          <w:bCs/>
          <w:spacing w:val="0"/>
          <w:szCs w:val="24"/>
        </w:rPr>
        <w:t>附件</w:t>
      </w:r>
      <w:r>
        <w:rPr>
          <w:rFonts w:hint="eastAsia" w:hAnsi="宋体"/>
          <w:b/>
          <w:bCs/>
          <w:spacing w:val="0"/>
          <w:szCs w:val="24"/>
        </w:rPr>
        <w:t>6</w:t>
      </w:r>
      <w:r>
        <w:rPr>
          <w:rFonts w:hAnsi="宋体"/>
          <w:b/>
          <w:bCs/>
          <w:spacing w:val="0"/>
          <w:szCs w:val="24"/>
        </w:rPr>
        <w:t>：鄞州区花坛花境养护质量考核扣分细则</w:t>
      </w:r>
      <w:r>
        <w:rPr>
          <w:rFonts w:hint="eastAsia" w:hAnsi="宋体"/>
          <w:b/>
          <w:bCs/>
          <w:spacing w:val="0"/>
          <w:szCs w:val="24"/>
        </w:rPr>
        <w:t>（占比：20%）</w:t>
      </w:r>
    </w:p>
    <w:tbl>
      <w:tblPr>
        <w:tblStyle w:val="48"/>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680"/>
        <w:gridCol w:w="90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8"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类别</w:t>
            </w:r>
          </w:p>
        </w:tc>
        <w:tc>
          <w:tcPr>
            <w:tcW w:w="1440"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项目</w:t>
            </w:r>
          </w:p>
        </w:tc>
        <w:tc>
          <w:tcPr>
            <w:tcW w:w="4680"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评分标准</w:t>
            </w:r>
          </w:p>
        </w:tc>
        <w:tc>
          <w:tcPr>
            <w:tcW w:w="900"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标准分</w:t>
            </w:r>
          </w:p>
        </w:tc>
        <w:tc>
          <w:tcPr>
            <w:tcW w:w="673"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花坛花境花箱养护</w:t>
            </w:r>
          </w:p>
          <w:p>
            <w:pPr>
              <w:autoSpaceDE w:val="0"/>
              <w:autoSpaceDN w:val="0"/>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100</w:t>
            </w:r>
            <w:r>
              <w:rPr>
                <w:rFonts w:hint="eastAsia" w:ascii="宋体" w:hAnsi="宋体" w:cs="宋体"/>
                <w:szCs w:val="21"/>
                <w:lang w:val="zh-CN"/>
              </w:rPr>
              <w:t>分）</w:t>
            </w:r>
          </w:p>
        </w:tc>
        <w:tc>
          <w:tcPr>
            <w:tcW w:w="144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设计方案</w:t>
            </w:r>
          </w:p>
          <w:p>
            <w:pPr>
              <w:autoSpaceDE w:val="0"/>
              <w:autoSpaceDN w:val="0"/>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 xml:space="preserve">10 </w:t>
            </w:r>
            <w:r>
              <w:rPr>
                <w:rFonts w:hint="eastAsia" w:ascii="宋体" w:hAnsi="宋体" w:cs="宋体"/>
                <w:szCs w:val="21"/>
                <w:lang w:val="zh-CN"/>
              </w:rPr>
              <w:t>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花坛、花境有年度更新计划，每次更换内容未申请报批的，扣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10</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restart"/>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园林养护</w:t>
            </w:r>
          </w:p>
          <w:p>
            <w:pPr>
              <w:autoSpaceDE w:val="0"/>
              <w:autoSpaceDN w:val="0"/>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 xml:space="preserve">60 </w:t>
            </w:r>
            <w:r>
              <w:rPr>
                <w:rFonts w:hint="eastAsia" w:ascii="宋体" w:hAnsi="宋体" w:cs="宋体"/>
                <w:szCs w:val="21"/>
                <w:lang w:val="zh-CN"/>
              </w:rPr>
              <w:t>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花卉布置形式不合理、造型欠整齐美观的，扣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花卉品种不符合环境要求的，扣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花卉植株生长不健壮，花色不艳丽，扣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处。采用无花苗或已盛期的花苗，扣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10</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每次换花时，坛面裸露时间超过</w:t>
            </w:r>
            <w:r>
              <w:rPr>
                <w:rFonts w:ascii="宋体" w:hAnsi="宋体" w:cs="宋体"/>
                <w:szCs w:val="21"/>
                <w:lang w:val="zh-CN"/>
              </w:rPr>
              <w:t>3</w:t>
            </w:r>
            <w:r>
              <w:rPr>
                <w:rFonts w:hint="eastAsia" w:ascii="宋体" w:hAnsi="宋体" w:cs="宋体"/>
                <w:szCs w:val="21"/>
                <w:lang w:val="zh-CN"/>
              </w:rPr>
              <w:t>天的，未设置提示牌的，扣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换花时</w:t>
            </w:r>
            <w:r>
              <w:rPr>
                <w:rFonts w:ascii="宋体" w:hAnsi="宋体" w:cs="宋体"/>
                <w:szCs w:val="21"/>
                <w:lang w:val="zh-CN"/>
              </w:rPr>
              <w:t>,</w:t>
            </w:r>
            <w:r>
              <w:rPr>
                <w:rFonts w:hint="eastAsia" w:ascii="宋体" w:hAnsi="宋体" w:cs="宋体"/>
                <w:szCs w:val="21"/>
                <w:lang w:val="zh-CN"/>
              </w:rPr>
              <w:t>种植土未按规定更换的，扣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2</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盛花花坛采用绿色观叶植物，扣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花卉密度不足，造成黄土裸露，扣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5</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花卉种植床未低于侧石或花钵边缘</w:t>
            </w:r>
            <w:r>
              <w:rPr>
                <w:rFonts w:ascii="宋体" w:hAnsi="宋体" w:cs="宋体"/>
                <w:szCs w:val="21"/>
                <w:lang w:val="zh-CN"/>
              </w:rPr>
              <w:t xml:space="preserve"> 3-5cm</w:t>
            </w:r>
            <w:r>
              <w:rPr>
                <w:rFonts w:hint="eastAsia" w:ascii="宋体" w:hAnsi="宋体" w:cs="宋体"/>
                <w:szCs w:val="21"/>
                <w:lang w:val="zh-CN"/>
              </w:rPr>
              <w:t>，扣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在施肥过程中，使用有异味的肥料的，扣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2</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盛花花坛除冬季以外，观叶植物材料超过用花量的</w:t>
            </w:r>
            <w:r>
              <w:rPr>
                <w:rFonts w:ascii="宋体" w:hAnsi="宋体" w:cs="宋体"/>
                <w:szCs w:val="21"/>
                <w:lang w:val="zh-CN"/>
              </w:rPr>
              <w:t>10%</w:t>
            </w:r>
            <w:r>
              <w:rPr>
                <w:rFonts w:hint="eastAsia" w:ascii="宋体" w:hAnsi="宋体" w:cs="宋体"/>
                <w:szCs w:val="21"/>
                <w:lang w:val="zh-CN"/>
              </w:rPr>
              <w:t>，扣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有缺株倒伏、枯枝残花，且未在规定时间内补植的，扣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8</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球、宿根花卉未按期翻种，扣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5</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center"/>
          </w:tcPr>
          <w:p>
            <w:pPr>
              <w:autoSpaceDE w:val="0"/>
              <w:autoSpaceDN w:val="0"/>
              <w:ind w:firstLine="406"/>
              <w:jc w:val="center"/>
              <w:rPr>
                <w:rFonts w:ascii="宋体" w:hAnsi="宋体"/>
                <w:b/>
                <w:bCs/>
                <w:szCs w:val="21"/>
                <w:lang w:val="zh-CN"/>
              </w:rPr>
            </w:pP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花箱保洁未做到清洁、整齐的，扣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4</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病虫害防治</w:t>
            </w:r>
          </w:p>
          <w:p>
            <w:pPr>
              <w:autoSpaceDE w:val="0"/>
              <w:autoSpaceDN w:val="0"/>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10</w:t>
            </w:r>
            <w:r>
              <w:rPr>
                <w:rFonts w:hint="eastAsia" w:ascii="宋体" w:hAnsi="宋体" w:cs="宋体"/>
                <w:szCs w:val="21"/>
                <w:lang w:val="zh-CN"/>
              </w:rPr>
              <w:t>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有明显病虫害，影响景观的，扣</w:t>
            </w:r>
            <w:r>
              <w:rPr>
                <w:rFonts w:ascii="宋体" w:hAnsi="宋体" w:cs="宋体"/>
                <w:szCs w:val="21"/>
                <w:lang w:val="zh-CN"/>
              </w:rPr>
              <w:t>2</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10</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设施维护</w:t>
            </w:r>
          </w:p>
          <w:p>
            <w:pPr>
              <w:autoSpaceDE w:val="0"/>
              <w:autoSpaceDN w:val="0"/>
              <w:jc w:val="center"/>
              <w:rPr>
                <w:rFonts w:ascii="宋体" w:hAnsi="宋体" w:cs="宋体"/>
                <w:szCs w:val="21"/>
                <w:lang w:val="zh-CN"/>
              </w:rPr>
            </w:pPr>
            <w:r>
              <w:rPr>
                <w:rFonts w:hint="eastAsia" w:ascii="宋体" w:hAnsi="宋体" w:cs="宋体"/>
                <w:szCs w:val="21"/>
                <w:lang w:val="zh-CN"/>
              </w:rPr>
              <w:t>（</w:t>
            </w:r>
            <w:r>
              <w:rPr>
                <w:rFonts w:ascii="宋体" w:hAnsi="宋体" w:cs="宋体"/>
                <w:szCs w:val="21"/>
                <w:lang w:val="zh-CN"/>
              </w:rPr>
              <w:t>10</w:t>
            </w:r>
            <w:r>
              <w:rPr>
                <w:rFonts w:hint="eastAsia" w:ascii="宋体" w:hAnsi="宋体" w:cs="宋体"/>
                <w:szCs w:val="21"/>
                <w:lang w:val="zh-CN"/>
              </w:rPr>
              <w:t>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花坛防护设施破损，扣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ascii="宋体" w:hAnsi="宋体" w:cs="宋体"/>
                <w:szCs w:val="21"/>
                <w:lang w:val="zh-CN"/>
              </w:rPr>
              <w:t>10</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restart"/>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卫生保洁</w:t>
            </w:r>
          </w:p>
          <w:p>
            <w:pPr>
              <w:autoSpaceDE w:val="0"/>
              <w:autoSpaceDN w:val="0"/>
              <w:jc w:val="center"/>
              <w:rPr>
                <w:rFonts w:ascii="宋体" w:hAnsi="宋体" w:cs="宋体"/>
                <w:szCs w:val="21"/>
                <w:lang w:val="zh-CN"/>
              </w:rPr>
            </w:pPr>
            <w:r>
              <w:rPr>
                <w:rFonts w:hint="eastAsia" w:ascii="宋体" w:hAnsi="宋体" w:cs="宋体"/>
                <w:szCs w:val="21"/>
                <w:lang w:val="zh-CN"/>
              </w:rPr>
              <w:t>（6分）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宋体"/>
                <w:szCs w:val="21"/>
                <w:lang w:val="zh-CN"/>
              </w:rPr>
              <w:t>花坛、花境内杂草未清除，休眠期地上部分杂乱未修剪的，扣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3</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continue"/>
            <w:shd w:val="clear" w:color="auto" w:fill="auto"/>
            <w:noWrap w:val="0"/>
            <w:vAlign w:val="top"/>
          </w:tcPr>
          <w:p>
            <w:pPr>
              <w:autoSpaceDE w:val="0"/>
              <w:autoSpaceDN w:val="0"/>
              <w:jc w:val="center"/>
              <w:rPr>
                <w:rFonts w:hint="eastAsia" w:ascii="宋体" w:hAnsi="宋体" w:cs="宋体"/>
                <w:szCs w:val="21"/>
                <w:lang w:val="zh-CN"/>
              </w:rPr>
            </w:pPr>
          </w:p>
        </w:tc>
        <w:tc>
          <w:tcPr>
            <w:tcW w:w="4680" w:type="dxa"/>
            <w:shd w:val="clear" w:color="auto" w:fill="auto"/>
            <w:noWrap w:val="0"/>
            <w:vAlign w:val="top"/>
          </w:tcPr>
          <w:p>
            <w:pPr>
              <w:autoSpaceDE w:val="0"/>
              <w:autoSpaceDN w:val="0"/>
              <w:rPr>
                <w:rFonts w:hint="eastAsia" w:ascii="宋体" w:hAnsi="宋体" w:cs="宋体"/>
                <w:szCs w:val="21"/>
                <w:lang w:val="zh-CN"/>
              </w:rPr>
            </w:pPr>
            <w:r>
              <w:rPr>
                <w:rFonts w:hint="eastAsia" w:ascii="宋体" w:hAnsi="宋体" w:cs="宋体"/>
                <w:szCs w:val="21"/>
                <w:lang w:val="zh-CN"/>
              </w:rPr>
              <w:t>垃圾未及时清除，扣</w:t>
            </w:r>
            <w:r>
              <w:rPr>
                <w:rFonts w:ascii="宋体" w:hAnsi="宋体" w:cs="宋体"/>
                <w:szCs w:val="21"/>
                <w:lang w:val="zh-CN"/>
              </w:rPr>
              <w:t>1</w:t>
            </w:r>
            <w:r>
              <w:rPr>
                <w:rFonts w:hint="eastAsia" w:ascii="宋体" w:hAnsi="宋体" w:cs="宋体"/>
                <w:szCs w:val="21"/>
                <w:lang w:val="zh-CN"/>
              </w:rPr>
              <w:t>分</w:t>
            </w:r>
            <w:r>
              <w:rPr>
                <w:rFonts w:ascii="宋体" w:hAnsi="宋体" w:cs="宋体"/>
                <w:szCs w:val="21"/>
                <w:lang w:val="zh-CN"/>
              </w:rPr>
              <w:t>/</w:t>
            </w:r>
            <w:r>
              <w:rPr>
                <w:rFonts w:hint="eastAsia" w:ascii="宋体" w:hAnsi="宋体" w:cs="宋体"/>
                <w:szCs w:val="21"/>
                <w:lang w:val="zh-CN"/>
              </w:rPr>
              <w:t>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3</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68" w:type="dxa"/>
            <w:vMerge w:val="continue"/>
            <w:shd w:val="clear" w:color="auto" w:fill="auto"/>
            <w:noWrap w:val="0"/>
            <w:vAlign w:val="top"/>
          </w:tcPr>
          <w:p>
            <w:pPr>
              <w:autoSpaceDE w:val="0"/>
              <w:autoSpaceDN w:val="0"/>
              <w:ind w:firstLine="406"/>
              <w:jc w:val="center"/>
              <w:rPr>
                <w:rFonts w:ascii="宋体" w:hAnsi="宋体"/>
                <w:b/>
                <w:bCs/>
                <w:szCs w:val="21"/>
                <w:lang w:val="zh-CN"/>
              </w:rPr>
            </w:pPr>
          </w:p>
        </w:tc>
        <w:tc>
          <w:tcPr>
            <w:tcW w:w="1440" w:type="dxa"/>
            <w:vMerge w:val="restart"/>
            <w:shd w:val="clear" w:color="auto" w:fill="auto"/>
            <w:noWrap w:val="0"/>
            <w:vAlign w:val="center"/>
          </w:tcPr>
          <w:p>
            <w:pPr>
              <w:jc w:val="center"/>
              <w:rPr>
                <w:rFonts w:ascii="宋体" w:hAnsi="宋体"/>
                <w:szCs w:val="21"/>
              </w:rPr>
            </w:pPr>
            <w:r>
              <w:rPr>
                <w:rFonts w:hint="eastAsia" w:ascii="宋体" w:hAnsi="宋体" w:cs="宋体"/>
                <w:szCs w:val="21"/>
              </w:rPr>
              <w:t>管理考核</w:t>
            </w:r>
          </w:p>
          <w:p>
            <w:pPr>
              <w:autoSpaceDE w:val="0"/>
              <w:autoSpaceDN w:val="0"/>
              <w:jc w:val="center"/>
              <w:rPr>
                <w:rFonts w:ascii="宋体" w:hAnsi="宋体" w:cs="宋体"/>
                <w:szCs w:val="21"/>
                <w:lang w:val="zh-CN"/>
              </w:rPr>
            </w:pPr>
            <w:r>
              <w:rPr>
                <w:rFonts w:hint="eastAsia" w:ascii="宋体" w:hAnsi="宋体" w:cs="仿宋"/>
                <w:szCs w:val="21"/>
              </w:rPr>
              <w:t>（4分）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ascii="宋体" w:hAnsi="宋体" w:cs="仿宋"/>
                <w:szCs w:val="21"/>
              </w:rPr>
              <w:t>月度养护计划在每</w:t>
            </w:r>
            <w:r>
              <w:rPr>
                <w:rFonts w:ascii="宋体" w:hAnsi="宋体" w:cs="仿宋"/>
                <w:szCs w:val="21"/>
              </w:rPr>
              <w:t>25</w:t>
            </w:r>
            <w:r>
              <w:rPr>
                <w:rFonts w:hint="eastAsia" w:ascii="宋体" w:hAnsi="宋体" w:cs="仿宋"/>
                <w:szCs w:val="21"/>
              </w:rPr>
              <w:t>日前上报（包含养护人员名单），养护计划应科学合理，未达标，扣2分</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2</w:t>
            </w:r>
          </w:p>
        </w:tc>
        <w:tc>
          <w:tcPr>
            <w:tcW w:w="673" w:type="dxa"/>
            <w:shd w:val="clear" w:color="auto" w:fill="auto"/>
            <w:noWrap w:val="0"/>
            <w:vAlign w:val="top"/>
          </w:tcPr>
          <w:p>
            <w:pPr>
              <w:autoSpaceDE w:val="0"/>
              <w:autoSpaceDN w:val="0"/>
              <w:ind w:firstLine="406"/>
              <w:jc w:val="center"/>
              <w:rPr>
                <w:rFonts w:ascii="宋体" w:hAnsi="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368" w:type="dxa"/>
            <w:vMerge w:val="continue"/>
            <w:shd w:val="clear" w:color="auto" w:fill="auto"/>
            <w:noWrap w:val="0"/>
            <w:vAlign w:val="top"/>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top"/>
          </w:tcPr>
          <w:p>
            <w:pPr>
              <w:autoSpaceDE w:val="0"/>
              <w:autoSpaceDN w:val="0"/>
              <w:ind w:firstLine="404"/>
              <w:jc w:val="center"/>
              <w:rPr>
                <w:rFonts w:ascii="宋体" w:hAnsi="宋体" w:cs="宋体"/>
                <w:szCs w:val="21"/>
                <w:lang w:val="zh-CN"/>
              </w:rPr>
            </w:pPr>
          </w:p>
        </w:tc>
        <w:tc>
          <w:tcPr>
            <w:tcW w:w="4680" w:type="dxa"/>
            <w:shd w:val="clear" w:color="auto" w:fill="auto"/>
            <w:noWrap w:val="0"/>
            <w:vAlign w:val="top"/>
          </w:tcPr>
          <w:p>
            <w:pPr>
              <w:autoSpaceDE w:val="0"/>
              <w:autoSpaceDN w:val="0"/>
              <w:rPr>
                <w:rFonts w:ascii="宋体" w:hAnsi="宋体" w:cs="宋体"/>
                <w:szCs w:val="21"/>
                <w:lang w:val="zh-CN"/>
              </w:rPr>
            </w:pPr>
            <w:r>
              <w:rPr>
                <w:rFonts w:hint="eastAsia" w:ascii="宋体" w:hAnsi="宋体" w:cs="宋体"/>
                <w:szCs w:val="21"/>
              </w:rPr>
              <w:t>施工场地无规范围护、告示牌等安全文明施工措施，扣1分/处。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2</w:t>
            </w:r>
          </w:p>
        </w:tc>
        <w:tc>
          <w:tcPr>
            <w:tcW w:w="673" w:type="dxa"/>
            <w:shd w:val="clear" w:color="auto" w:fill="auto"/>
            <w:noWrap w:val="0"/>
            <w:vAlign w:val="top"/>
          </w:tcPr>
          <w:p>
            <w:pPr>
              <w:autoSpaceDE w:val="0"/>
              <w:autoSpaceDN w:val="0"/>
              <w:ind w:firstLine="404"/>
              <w:jc w:val="center"/>
              <w:rPr>
                <w:rFonts w:ascii="宋体" w:hAnsi="宋体" w:cs="宋体"/>
                <w:szCs w:val="21"/>
                <w:lang w:val="zh-CN"/>
              </w:rPr>
            </w:pPr>
          </w:p>
        </w:tc>
      </w:tr>
    </w:tbl>
    <w:p>
      <w:pPr>
        <w:pStyle w:val="2"/>
        <w:spacing w:line="400" w:lineRule="exact"/>
        <w:ind w:firstLine="0"/>
        <w:jc w:val="left"/>
        <w:rPr>
          <w:rFonts w:hAnsi="宋体"/>
          <w:b/>
          <w:bCs/>
          <w:spacing w:val="0"/>
          <w:szCs w:val="24"/>
        </w:rPr>
        <w:sectPr>
          <w:pgSz w:w="11906" w:h="16838"/>
          <w:pgMar w:top="1440" w:right="1800" w:bottom="1440" w:left="1800" w:header="851" w:footer="992" w:gutter="0"/>
          <w:cols w:space="720" w:num="1"/>
          <w:docGrid w:type="lines" w:linePitch="312" w:charSpace="0"/>
        </w:sectPr>
      </w:pPr>
    </w:p>
    <w:p>
      <w:pPr>
        <w:jc w:val="left"/>
        <w:rPr>
          <w:rFonts w:hint="eastAsia" w:ascii="宋体" w:hAnsi="宋体"/>
          <w:b/>
          <w:bCs/>
        </w:rPr>
      </w:pPr>
      <w:r>
        <w:rPr>
          <w:rFonts w:ascii="宋体" w:hAnsi="宋体"/>
          <w:b/>
          <w:bCs/>
        </w:rPr>
        <w:t>附件</w:t>
      </w:r>
      <w:r>
        <w:rPr>
          <w:rFonts w:hint="eastAsia" w:ascii="宋体" w:hAnsi="宋体"/>
          <w:b/>
          <w:bCs/>
        </w:rPr>
        <w:t>7</w:t>
      </w:r>
      <w:r>
        <w:rPr>
          <w:rFonts w:ascii="宋体" w:hAnsi="宋体"/>
          <w:b/>
          <w:bCs/>
        </w:rPr>
        <w:t>：</w:t>
      </w:r>
      <w:r>
        <w:rPr>
          <w:rFonts w:hint="eastAsia" w:ascii="宋体" w:hAnsi="宋体"/>
          <w:b/>
          <w:bCs/>
        </w:rPr>
        <w:t>苗圃月度养护考核细则（占比：15%）</w:t>
      </w:r>
    </w:p>
    <w:tbl>
      <w:tblPr>
        <w:tblStyle w:val="48"/>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4680"/>
        <w:gridCol w:w="90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8"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类别</w:t>
            </w:r>
          </w:p>
        </w:tc>
        <w:tc>
          <w:tcPr>
            <w:tcW w:w="1440"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项目</w:t>
            </w:r>
          </w:p>
        </w:tc>
        <w:tc>
          <w:tcPr>
            <w:tcW w:w="4680" w:type="dxa"/>
            <w:shd w:val="clear" w:color="auto" w:fill="auto"/>
            <w:noWrap w:val="0"/>
            <w:vAlign w:val="center"/>
          </w:tcPr>
          <w:p>
            <w:pPr>
              <w:autoSpaceDE w:val="0"/>
              <w:autoSpaceDN w:val="0"/>
              <w:ind w:firstLine="404"/>
              <w:jc w:val="center"/>
              <w:rPr>
                <w:rFonts w:ascii="宋体" w:hAnsi="宋体" w:cs="宋体"/>
                <w:b/>
                <w:szCs w:val="21"/>
                <w:lang w:val="zh-CN"/>
              </w:rPr>
            </w:pPr>
            <w:r>
              <w:rPr>
                <w:rFonts w:hint="eastAsia" w:ascii="宋体" w:hAnsi="宋体" w:cs="宋体"/>
                <w:b/>
                <w:szCs w:val="21"/>
                <w:lang w:val="zh-CN"/>
              </w:rPr>
              <w:t>评分标准</w:t>
            </w:r>
          </w:p>
        </w:tc>
        <w:tc>
          <w:tcPr>
            <w:tcW w:w="900"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标准分</w:t>
            </w:r>
          </w:p>
        </w:tc>
        <w:tc>
          <w:tcPr>
            <w:tcW w:w="673" w:type="dxa"/>
            <w:shd w:val="clear" w:color="auto" w:fill="auto"/>
            <w:noWrap w:val="0"/>
            <w:vAlign w:val="center"/>
          </w:tcPr>
          <w:p>
            <w:pPr>
              <w:autoSpaceDE w:val="0"/>
              <w:autoSpaceDN w:val="0"/>
              <w:jc w:val="center"/>
              <w:rPr>
                <w:rFonts w:ascii="宋体" w:hAnsi="宋体" w:cs="宋体"/>
                <w:b/>
                <w:szCs w:val="21"/>
                <w:lang w:val="zh-CN"/>
              </w:rPr>
            </w:pPr>
            <w:r>
              <w:rPr>
                <w:rFonts w:hint="eastAsia" w:ascii="宋体" w:hAnsi="宋体" w:cs="宋体"/>
                <w:b/>
                <w:szCs w:val="21"/>
                <w:lang w:val="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rPr>
              <w:t>苗圃</w:t>
            </w:r>
            <w:r>
              <w:rPr>
                <w:rFonts w:hint="eastAsia" w:ascii="宋体" w:hAnsi="宋体" w:cs="宋体"/>
                <w:szCs w:val="21"/>
                <w:lang w:val="zh-CN"/>
              </w:rPr>
              <w:t>养护</w:t>
            </w:r>
          </w:p>
          <w:p>
            <w:pPr>
              <w:autoSpaceDE w:val="0"/>
              <w:autoSpaceDN w:val="0"/>
              <w:jc w:val="center"/>
              <w:rPr>
                <w:rFonts w:ascii="宋体" w:hAnsi="宋体" w:cs="宋体"/>
                <w:szCs w:val="21"/>
                <w:lang w:val="zh-CN"/>
              </w:rPr>
            </w:pPr>
            <w:r>
              <w:rPr>
                <w:rFonts w:hint="eastAsia" w:ascii="宋体" w:hAnsi="宋体" w:cs="宋体"/>
                <w:szCs w:val="21"/>
                <w:lang w:val="zh-CN"/>
              </w:rPr>
              <w:t>（100 分）</w:t>
            </w:r>
          </w:p>
        </w:tc>
        <w:tc>
          <w:tcPr>
            <w:tcW w:w="1440" w:type="dxa"/>
            <w:vMerge w:val="restart"/>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苗床田间管理（</w:t>
            </w:r>
            <w:r>
              <w:rPr>
                <w:rFonts w:hint="eastAsia" w:ascii="宋体" w:hAnsi="宋体" w:cs="宋体"/>
                <w:szCs w:val="21"/>
              </w:rPr>
              <w:t>20</w:t>
            </w:r>
            <w:r>
              <w:rPr>
                <w:rFonts w:hint="eastAsia" w:ascii="宋体" w:hAnsi="宋体" w:cs="宋体"/>
                <w:szCs w:val="21"/>
                <w:lang w:val="zh-CN"/>
              </w:rPr>
              <w:t>分）</w:t>
            </w:r>
          </w:p>
        </w:tc>
        <w:tc>
          <w:tcPr>
            <w:tcW w:w="4680" w:type="dxa"/>
            <w:shd w:val="clear" w:color="auto" w:fill="auto"/>
            <w:noWrap w:val="0"/>
            <w:vAlign w:val="center"/>
          </w:tcPr>
          <w:p>
            <w:pPr>
              <w:autoSpaceDE w:val="0"/>
              <w:autoSpaceDN w:val="0"/>
              <w:rPr>
                <w:rFonts w:ascii="宋体" w:hAnsi="宋体" w:cs="宋体"/>
                <w:szCs w:val="21"/>
                <w:lang w:val="zh-CN"/>
              </w:rPr>
            </w:pPr>
            <w:r>
              <w:rPr>
                <w:rFonts w:hint="eastAsia"/>
              </w:rPr>
              <w:t>苗床的整作达不到标准，扣1分/床。</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6</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autoSpaceDE w:val="0"/>
              <w:autoSpaceDN w:val="0"/>
              <w:rPr>
                <w:rFonts w:hint="eastAsia"/>
              </w:rPr>
            </w:pPr>
            <w:r>
              <w:rPr>
                <w:rFonts w:hint="eastAsia"/>
              </w:rPr>
              <w:t>苗床地沟渠有堵塞、凹凸，步道不平直现象，扣0.1分/处。</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4</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苗床或地垄杂草高于8CM,圃道通道路杂草高于15cm,扣0.1分/m2。</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4</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未及时在生长期进行中耕；入冬前未一次对移植大苗地深翻冻土，扣1分/床。</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6</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restart"/>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苗床水肥管理（20分）</w:t>
            </w:r>
          </w:p>
        </w:tc>
        <w:tc>
          <w:tcPr>
            <w:tcW w:w="4680" w:type="dxa"/>
            <w:shd w:val="clear" w:color="auto" w:fill="auto"/>
            <w:noWrap w:val="0"/>
            <w:vAlign w:val="center"/>
          </w:tcPr>
          <w:p>
            <w:pPr>
              <w:rPr>
                <w:rFonts w:hint="eastAsia"/>
              </w:rPr>
            </w:pPr>
            <w:r>
              <w:rPr>
                <w:rFonts w:hint="eastAsia"/>
              </w:rPr>
              <w:t>苗木种植后未进行浇水灌溉复土，使苗木枯萎死亡，扣0.1分/株。</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4</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有明显干枝、灼叶、枯梢，扣0.1分/处。</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4</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有明显积水现象，扣0.5分/床。</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6</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苗木有明显缺肥、长势衰退，扣1分/床。</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6</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restart"/>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修剪整形（20分）</w:t>
            </w:r>
          </w:p>
        </w:tc>
        <w:tc>
          <w:tcPr>
            <w:tcW w:w="4680" w:type="dxa"/>
            <w:shd w:val="clear" w:color="auto" w:fill="auto"/>
            <w:noWrap w:val="0"/>
            <w:vAlign w:val="center"/>
          </w:tcPr>
          <w:p>
            <w:pPr>
              <w:rPr>
                <w:rFonts w:hint="eastAsia"/>
              </w:rPr>
            </w:pPr>
            <w:r>
              <w:rPr>
                <w:rFonts w:hint="eastAsia"/>
              </w:rPr>
              <w:t>小苗树冠不完整，扣0.1分/株；中、大苗树冠不完整，扣0.2分/株。</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8</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苗木修剪不及时，有萌芽、无用枝，扣0.1分/株。</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6</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修剪整形不及时，扣0.2分/株。</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6</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1440" w:type="dxa"/>
            <w:vMerge w:val="restart"/>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lang w:val="zh-CN"/>
              </w:rPr>
              <w:t>病虫害防治（</w:t>
            </w:r>
            <w:r>
              <w:rPr>
                <w:rFonts w:hint="eastAsia" w:ascii="宋体" w:hAnsi="宋体" w:cs="宋体"/>
                <w:szCs w:val="21"/>
              </w:rPr>
              <w:t>20</w:t>
            </w:r>
            <w:r>
              <w:rPr>
                <w:rFonts w:hint="eastAsia" w:ascii="宋体" w:hAnsi="宋体" w:cs="宋体"/>
                <w:szCs w:val="21"/>
                <w:lang w:val="zh-CN"/>
              </w:rPr>
              <w:t>分）</w:t>
            </w:r>
          </w:p>
        </w:tc>
        <w:tc>
          <w:tcPr>
            <w:tcW w:w="4680" w:type="dxa"/>
            <w:shd w:val="clear" w:color="auto" w:fill="auto"/>
            <w:noWrap w:val="0"/>
            <w:vAlign w:val="center"/>
          </w:tcPr>
          <w:p>
            <w:pPr>
              <w:rPr>
                <w:rFonts w:hint="eastAsia"/>
              </w:rPr>
            </w:pPr>
            <w:r>
              <w:rPr>
                <w:rFonts w:hint="eastAsia"/>
              </w:rPr>
              <w:t>有明显病虫害发生或超过10%，扣0.2分/床。</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rPr>
              <w:t>8</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ascii="宋体" w:hAnsi="宋体" w:cs="宋体"/>
                <w:szCs w:val="21"/>
                <w:lang w:val="zh-CN"/>
              </w:rPr>
            </w:pPr>
          </w:p>
        </w:tc>
        <w:tc>
          <w:tcPr>
            <w:tcW w:w="4680" w:type="dxa"/>
            <w:shd w:val="clear" w:color="auto" w:fill="auto"/>
            <w:noWrap w:val="0"/>
            <w:vAlign w:val="center"/>
          </w:tcPr>
          <w:p>
            <w:pPr>
              <w:rPr>
                <w:rFonts w:hint="eastAsia"/>
                <w:lang w:val="zh-CN"/>
              </w:rPr>
            </w:pPr>
            <w:r>
              <w:rPr>
                <w:rFonts w:hint="eastAsia"/>
              </w:rPr>
              <w:t>苗木有药害发生的，扣0.2分/床。</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rPr>
              <w:t>8</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lang w:val="zh-CN"/>
              </w:rPr>
            </w:pPr>
            <w:r>
              <w:rPr>
                <w:rFonts w:hint="eastAsia"/>
              </w:rPr>
              <w:t>防治不及时或有大面积发生，扣0.2分/床。</w:t>
            </w:r>
          </w:p>
        </w:tc>
        <w:tc>
          <w:tcPr>
            <w:tcW w:w="900" w:type="dxa"/>
            <w:shd w:val="clear" w:color="auto" w:fill="auto"/>
            <w:noWrap w:val="0"/>
            <w:vAlign w:val="center"/>
          </w:tcPr>
          <w:p>
            <w:pPr>
              <w:autoSpaceDE w:val="0"/>
              <w:autoSpaceDN w:val="0"/>
              <w:jc w:val="center"/>
              <w:rPr>
                <w:rFonts w:hint="eastAsia" w:ascii="宋体" w:hAnsi="宋体" w:cs="宋体"/>
                <w:szCs w:val="21"/>
                <w:lang w:val="zh-CN"/>
              </w:rPr>
            </w:pPr>
            <w:r>
              <w:rPr>
                <w:rFonts w:hint="eastAsia" w:ascii="宋体" w:hAnsi="宋体" w:cs="宋体"/>
                <w:szCs w:val="21"/>
              </w:rPr>
              <w:t>4</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restart"/>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lang w:val="zh-CN"/>
              </w:rPr>
              <w:t>档案管理</w:t>
            </w:r>
          </w:p>
          <w:p>
            <w:pPr>
              <w:autoSpaceDE w:val="0"/>
              <w:autoSpaceDN w:val="0"/>
              <w:jc w:val="center"/>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20</w:t>
            </w:r>
            <w:r>
              <w:rPr>
                <w:rFonts w:hint="eastAsia" w:ascii="宋体" w:hAnsi="宋体" w:cs="宋体"/>
                <w:szCs w:val="21"/>
                <w:lang w:val="zh-CN"/>
              </w:rPr>
              <w:t>分）</w:t>
            </w:r>
          </w:p>
        </w:tc>
        <w:tc>
          <w:tcPr>
            <w:tcW w:w="4680" w:type="dxa"/>
            <w:shd w:val="clear" w:color="auto" w:fill="auto"/>
            <w:noWrap w:val="0"/>
            <w:vAlign w:val="center"/>
          </w:tcPr>
          <w:p>
            <w:pPr>
              <w:rPr>
                <w:rFonts w:ascii="宋体" w:hAnsi="宋体" w:cs="宋体"/>
                <w:szCs w:val="21"/>
                <w:lang w:val="zh-CN"/>
              </w:rPr>
            </w:pPr>
            <w:r>
              <w:rPr>
                <w:rFonts w:hint="eastAsia"/>
              </w:rPr>
              <w:t>没有月度计划的直接扣1分；</w:t>
            </w:r>
          </w:p>
        </w:tc>
        <w:tc>
          <w:tcPr>
            <w:tcW w:w="900" w:type="dxa"/>
            <w:shd w:val="clear" w:color="auto" w:fill="auto"/>
            <w:noWrap w:val="0"/>
            <w:vAlign w:val="center"/>
          </w:tcPr>
          <w:p>
            <w:pPr>
              <w:autoSpaceDE w:val="0"/>
              <w:autoSpaceDN w:val="0"/>
              <w:jc w:val="center"/>
              <w:rPr>
                <w:rFonts w:ascii="宋体" w:hAnsi="宋体" w:cs="宋体"/>
                <w:szCs w:val="21"/>
                <w:lang w:val="zh-CN"/>
              </w:rPr>
            </w:pPr>
            <w:r>
              <w:rPr>
                <w:rFonts w:hint="eastAsia" w:ascii="宋体" w:hAnsi="宋体" w:cs="宋体"/>
                <w:szCs w:val="21"/>
              </w:rPr>
              <w:t>3</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autoSpaceDE w:val="0"/>
              <w:autoSpaceDN w:val="0"/>
              <w:rPr>
                <w:rFonts w:hint="eastAsia"/>
              </w:rPr>
            </w:pPr>
            <w:r>
              <w:rPr>
                <w:rFonts w:hint="eastAsia"/>
              </w:rPr>
              <w:t>未按时开会和未做好相应工作安排直接扣1分；</w:t>
            </w:r>
          </w:p>
        </w:tc>
        <w:tc>
          <w:tcPr>
            <w:tcW w:w="900" w:type="dxa"/>
            <w:shd w:val="clear" w:color="auto" w:fill="auto"/>
            <w:noWrap w:val="0"/>
            <w:vAlign w:val="center"/>
          </w:tcPr>
          <w:p>
            <w:pPr>
              <w:autoSpaceDE w:val="0"/>
              <w:autoSpaceDN w:val="0"/>
              <w:jc w:val="center"/>
              <w:rPr>
                <w:rFonts w:ascii="宋体" w:hAnsi="宋体" w:cs="宋体"/>
                <w:szCs w:val="21"/>
              </w:rPr>
            </w:pPr>
            <w:r>
              <w:rPr>
                <w:rFonts w:hint="eastAsia" w:ascii="宋体" w:hAnsi="宋体" w:cs="宋体"/>
                <w:szCs w:val="21"/>
              </w:rPr>
              <w:t>3</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未落实到养护人员扣1分/人；</w:t>
            </w:r>
          </w:p>
        </w:tc>
        <w:tc>
          <w:tcPr>
            <w:tcW w:w="900" w:type="dxa"/>
            <w:shd w:val="clear" w:color="auto" w:fill="auto"/>
            <w:noWrap w:val="0"/>
            <w:vAlign w:val="center"/>
          </w:tcPr>
          <w:p>
            <w:pPr>
              <w:autoSpaceDE w:val="0"/>
              <w:autoSpaceDN w:val="0"/>
              <w:jc w:val="center"/>
              <w:rPr>
                <w:rFonts w:ascii="宋体" w:hAnsi="宋体" w:cs="宋体"/>
                <w:szCs w:val="21"/>
              </w:rPr>
            </w:pPr>
            <w:r>
              <w:rPr>
                <w:rFonts w:hint="eastAsia" w:ascii="宋体" w:hAnsi="宋体" w:cs="宋体"/>
                <w:szCs w:val="21"/>
              </w:rPr>
              <w:t>3</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检查台账时，没有月计划及总结的，扣1分；没有其它台账的，每项扣1分，扣完为止；</w:t>
            </w:r>
          </w:p>
        </w:tc>
        <w:tc>
          <w:tcPr>
            <w:tcW w:w="900" w:type="dxa"/>
            <w:shd w:val="clear" w:color="auto" w:fill="auto"/>
            <w:noWrap w:val="0"/>
            <w:vAlign w:val="center"/>
          </w:tcPr>
          <w:p>
            <w:pPr>
              <w:autoSpaceDE w:val="0"/>
              <w:autoSpaceDN w:val="0"/>
              <w:jc w:val="center"/>
              <w:rPr>
                <w:rFonts w:ascii="宋体" w:hAnsi="宋体" w:cs="宋体"/>
                <w:szCs w:val="21"/>
              </w:rPr>
            </w:pPr>
            <w:r>
              <w:rPr>
                <w:rFonts w:hint="eastAsia" w:ascii="宋体" w:hAnsi="宋体" w:cs="宋体"/>
                <w:szCs w:val="21"/>
              </w:rPr>
              <w:t>3</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rPr>
                <w:rFonts w:hint="eastAsia"/>
              </w:rPr>
            </w:pPr>
            <w:r>
              <w:rPr>
                <w:rFonts w:hint="eastAsia"/>
              </w:rPr>
              <w:t>苗圃日平均养护作业人员低于招标标准，扣1分/人；</w:t>
            </w:r>
          </w:p>
        </w:tc>
        <w:tc>
          <w:tcPr>
            <w:tcW w:w="900" w:type="dxa"/>
            <w:shd w:val="clear" w:color="auto" w:fill="auto"/>
            <w:noWrap w:val="0"/>
            <w:vAlign w:val="center"/>
          </w:tcPr>
          <w:p>
            <w:pPr>
              <w:autoSpaceDE w:val="0"/>
              <w:autoSpaceDN w:val="0"/>
              <w:jc w:val="center"/>
              <w:rPr>
                <w:rFonts w:ascii="宋体" w:hAnsi="宋体" w:cs="宋体"/>
                <w:szCs w:val="21"/>
              </w:rPr>
            </w:pPr>
            <w:r>
              <w:rPr>
                <w:rFonts w:hint="eastAsia" w:ascii="宋体" w:hAnsi="宋体" w:cs="宋体"/>
                <w:szCs w:val="21"/>
              </w:rPr>
              <w:t>3</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noWrap w:val="0"/>
            <w:vAlign w:val="center"/>
          </w:tcPr>
          <w:p>
            <w:pPr>
              <w:autoSpaceDE w:val="0"/>
              <w:autoSpaceDN w:val="0"/>
              <w:ind w:firstLine="404"/>
              <w:jc w:val="center"/>
              <w:rPr>
                <w:rFonts w:ascii="宋体" w:hAnsi="宋体" w:cs="宋体"/>
                <w:szCs w:val="21"/>
                <w:lang w:val="zh-CN"/>
              </w:rPr>
            </w:pPr>
          </w:p>
        </w:tc>
        <w:tc>
          <w:tcPr>
            <w:tcW w:w="1440" w:type="dxa"/>
            <w:vMerge w:val="continue"/>
            <w:shd w:val="clear" w:color="auto" w:fill="auto"/>
            <w:noWrap w:val="0"/>
            <w:vAlign w:val="center"/>
          </w:tcPr>
          <w:p>
            <w:pPr>
              <w:autoSpaceDE w:val="0"/>
              <w:autoSpaceDN w:val="0"/>
              <w:jc w:val="center"/>
              <w:rPr>
                <w:rFonts w:hint="eastAsia" w:ascii="宋体" w:hAnsi="宋体" w:cs="宋体"/>
                <w:szCs w:val="21"/>
                <w:lang w:val="zh-CN"/>
              </w:rPr>
            </w:pPr>
          </w:p>
        </w:tc>
        <w:tc>
          <w:tcPr>
            <w:tcW w:w="4680" w:type="dxa"/>
            <w:shd w:val="clear" w:color="auto" w:fill="auto"/>
            <w:noWrap w:val="0"/>
            <w:vAlign w:val="center"/>
          </w:tcPr>
          <w:p>
            <w:pPr>
              <w:autoSpaceDE w:val="0"/>
              <w:autoSpaceDN w:val="0"/>
              <w:rPr>
                <w:rFonts w:hint="eastAsia"/>
              </w:rPr>
            </w:pPr>
            <w:r>
              <w:rPr>
                <w:rFonts w:hint="eastAsia"/>
              </w:rPr>
              <w:t>项目经理每月到场低于3次的，扣5分/次。</w:t>
            </w:r>
          </w:p>
        </w:tc>
        <w:tc>
          <w:tcPr>
            <w:tcW w:w="900" w:type="dxa"/>
            <w:shd w:val="clear" w:color="auto" w:fill="auto"/>
            <w:noWrap w:val="0"/>
            <w:vAlign w:val="center"/>
          </w:tcPr>
          <w:p>
            <w:pPr>
              <w:autoSpaceDE w:val="0"/>
              <w:autoSpaceDN w:val="0"/>
              <w:jc w:val="center"/>
              <w:rPr>
                <w:rFonts w:ascii="宋体" w:hAnsi="宋体" w:cs="宋体"/>
                <w:szCs w:val="21"/>
              </w:rPr>
            </w:pPr>
            <w:r>
              <w:rPr>
                <w:rFonts w:hint="eastAsia" w:ascii="宋体" w:hAnsi="宋体" w:cs="宋体"/>
                <w:szCs w:val="21"/>
              </w:rPr>
              <w:t>5</w:t>
            </w:r>
          </w:p>
        </w:tc>
        <w:tc>
          <w:tcPr>
            <w:tcW w:w="673" w:type="dxa"/>
            <w:shd w:val="clear" w:color="auto" w:fill="auto"/>
            <w:noWrap w:val="0"/>
            <w:vAlign w:val="center"/>
          </w:tcPr>
          <w:p>
            <w:pPr>
              <w:autoSpaceDE w:val="0"/>
              <w:autoSpaceDN w:val="0"/>
              <w:ind w:firstLine="404"/>
              <w:jc w:val="center"/>
              <w:rPr>
                <w:rFonts w:ascii="宋体" w:hAnsi="宋体" w:cs="宋体"/>
                <w:szCs w:val="21"/>
                <w:lang w:val="zh-CN"/>
              </w:rPr>
            </w:pPr>
          </w:p>
        </w:tc>
      </w:tr>
    </w:tbl>
    <w:p>
      <w:pPr>
        <w:pStyle w:val="2"/>
        <w:rPr>
          <w:rFonts w:hint="eastAsia"/>
        </w:rPr>
      </w:pPr>
    </w:p>
    <w:p>
      <w:pPr>
        <w:pStyle w:val="2"/>
        <w:spacing w:line="400" w:lineRule="exact"/>
        <w:ind w:firstLine="0"/>
        <w:jc w:val="left"/>
        <w:rPr>
          <w:rFonts w:hAnsi="宋体"/>
          <w:b/>
          <w:bCs/>
          <w:spacing w:val="0"/>
          <w:szCs w:val="24"/>
        </w:rPr>
        <w:sectPr>
          <w:pgSz w:w="11906" w:h="16838"/>
          <w:pgMar w:top="1440" w:right="1800" w:bottom="1440" w:left="1800" w:header="851" w:footer="992" w:gutter="0"/>
          <w:cols w:space="720" w:num="1"/>
          <w:docGrid w:type="lines" w:linePitch="312" w:charSpace="0"/>
        </w:sectPr>
      </w:pPr>
    </w:p>
    <w:p>
      <w:pPr>
        <w:pStyle w:val="2"/>
        <w:spacing w:line="360" w:lineRule="auto"/>
        <w:ind w:firstLine="0"/>
        <w:contextualSpacing/>
        <w:jc w:val="left"/>
        <w:rPr>
          <w:rFonts w:hAnsi="宋体"/>
          <w:b/>
          <w:bCs/>
          <w:spacing w:val="0"/>
          <w:szCs w:val="24"/>
        </w:rPr>
      </w:pPr>
      <w:r>
        <w:rPr>
          <w:rFonts w:hAnsi="宋体"/>
          <w:b/>
          <w:bCs/>
          <w:spacing w:val="0"/>
          <w:szCs w:val="24"/>
        </w:rPr>
        <w:t>附件</w:t>
      </w:r>
      <w:r>
        <w:rPr>
          <w:rFonts w:hint="eastAsia" w:hAnsi="宋体"/>
          <w:b/>
          <w:bCs/>
          <w:spacing w:val="0"/>
          <w:szCs w:val="24"/>
        </w:rPr>
        <w:t>8</w:t>
      </w:r>
      <w:r>
        <w:rPr>
          <w:rFonts w:hAnsi="宋体"/>
          <w:b/>
          <w:bCs/>
          <w:spacing w:val="0"/>
          <w:szCs w:val="24"/>
        </w:rPr>
        <w:t>：直接扣款项</w:t>
      </w:r>
    </w:p>
    <w:p>
      <w:pPr>
        <w:autoSpaceDE w:val="0"/>
        <w:autoSpaceDN w:val="0"/>
        <w:spacing w:line="360" w:lineRule="auto"/>
        <w:ind w:left="729" w:leftChars="297" w:hanging="105" w:hangingChars="50"/>
        <w:contextualSpacing/>
        <w:rPr>
          <w:rFonts w:ascii="宋体" w:hAnsi="宋体"/>
          <w:szCs w:val="21"/>
          <w:lang w:val="zh-CN"/>
        </w:rPr>
      </w:pPr>
      <w:r>
        <w:rPr>
          <w:rFonts w:hint="eastAsia" w:ascii="宋体" w:hAnsi="宋体" w:cs="仿宋_GB2312"/>
          <w:szCs w:val="21"/>
          <w:lang w:val="zh-CN"/>
        </w:rPr>
        <w:t>通过各渠道采集的绿化养护问题按以下情况分级扣款：</w:t>
      </w:r>
    </w:p>
    <w:p>
      <w:pPr>
        <w:autoSpaceDE w:val="0"/>
        <w:autoSpaceDN w:val="0"/>
        <w:spacing w:line="360" w:lineRule="auto"/>
        <w:ind w:firstLine="525" w:firstLineChars="250"/>
        <w:contextualSpacing/>
        <w:rPr>
          <w:rFonts w:ascii="宋体" w:hAnsi="宋体"/>
          <w:szCs w:val="21"/>
          <w:lang w:val="zh-CN"/>
        </w:rPr>
      </w:pPr>
      <w:r>
        <w:rPr>
          <w:rFonts w:ascii="宋体" w:hAnsi="宋体" w:cs="仿宋_GB2312"/>
          <w:szCs w:val="21"/>
          <w:lang w:val="zh-CN"/>
        </w:rPr>
        <w:t>1</w:t>
      </w:r>
      <w:r>
        <w:rPr>
          <w:rFonts w:hint="eastAsia" w:ascii="宋体" w:hAnsi="宋体" w:cs="仿宋_GB2312"/>
          <w:szCs w:val="21"/>
          <w:lang w:val="zh-CN"/>
        </w:rPr>
        <w:t>、以下问题每（件、处）扣减</w:t>
      </w:r>
      <w:r>
        <w:rPr>
          <w:rFonts w:ascii="宋体" w:hAnsi="宋体" w:cs="仿宋_GB2312"/>
          <w:szCs w:val="21"/>
        </w:rPr>
        <w:t>100</w:t>
      </w:r>
      <w:r>
        <w:rPr>
          <w:rFonts w:hint="eastAsia" w:ascii="宋体" w:hAnsi="宋体" w:cs="仿宋_GB2312"/>
          <w:szCs w:val="21"/>
          <w:lang w:val="zh-CN"/>
        </w:rPr>
        <w:t>元</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①乔灌木、色块绿篱、草坪未及时修剪（株、</w:t>
      </w:r>
      <w:r>
        <w:rPr>
          <w:rFonts w:ascii="宋体" w:hAnsi="宋体" w:cs="仿宋_GB2312"/>
          <w:szCs w:val="21"/>
        </w:rPr>
        <w:t>1m</w:t>
      </w:r>
      <w:r>
        <w:rPr>
          <w:rFonts w:ascii="宋体" w:hAnsi="宋体" w:cs="仿宋_GB2312"/>
          <w:szCs w:val="21"/>
          <w:vertAlign w:val="superscript"/>
        </w:rPr>
        <w:t>2</w:t>
      </w:r>
      <w:r>
        <w:rPr>
          <w:rFonts w:hint="eastAsia" w:ascii="宋体" w:hAnsi="宋体" w:cs="仿宋_GB2312"/>
          <w:szCs w:val="21"/>
        </w:rPr>
        <w:t>、</w:t>
      </w:r>
      <w:r>
        <w:rPr>
          <w:rFonts w:ascii="宋体" w:hAnsi="宋体" w:cs="仿宋_GB2312"/>
          <w:szCs w:val="21"/>
        </w:rPr>
        <w:t>10m</w:t>
      </w:r>
      <w:r>
        <w:rPr>
          <w:rFonts w:ascii="宋体" w:hAnsi="宋体" w:cs="仿宋_GB2312"/>
          <w:szCs w:val="21"/>
          <w:vertAlign w:val="superscript"/>
        </w:rPr>
        <w:t>2</w:t>
      </w:r>
      <w:r>
        <w:rPr>
          <w:rFonts w:hint="eastAsia" w:ascii="宋体" w:hAnsi="宋体" w:cs="仿宋_GB2312"/>
          <w:szCs w:val="21"/>
          <w:lang w:val="zh-CN"/>
        </w:rPr>
        <w:t>）</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②支撑破损缺失、草绳等包裹物未及时松绑（株）</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③小型设施破损</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④小件垃圾</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rPr>
        <w:t>⑤</w:t>
      </w:r>
      <w:r>
        <w:rPr>
          <w:rFonts w:hint="eastAsia" w:ascii="宋体" w:hAnsi="宋体" w:cs="仿宋_GB2312"/>
          <w:szCs w:val="21"/>
          <w:lang w:val="zh-CN"/>
        </w:rPr>
        <w:t>杂草（</w:t>
      </w:r>
      <w:r>
        <w:rPr>
          <w:rFonts w:ascii="宋体" w:hAnsi="宋体" w:cs="仿宋_GB2312"/>
          <w:szCs w:val="21"/>
        </w:rPr>
        <w:t>1m</w:t>
      </w:r>
      <w:r>
        <w:rPr>
          <w:rFonts w:ascii="宋体" w:hAnsi="宋体" w:cs="仿宋_GB2312"/>
          <w:szCs w:val="21"/>
          <w:vertAlign w:val="superscript"/>
        </w:rPr>
        <w:t>2</w:t>
      </w:r>
      <w:r>
        <w:rPr>
          <w:rFonts w:hint="eastAsia" w:ascii="宋体" w:hAnsi="宋体" w:cs="仿宋_GB2312"/>
          <w:szCs w:val="21"/>
          <w:lang w:val="zh-CN"/>
        </w:rPr>
        <w:t>）</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⑥裸地</w:t>
      </w:r>
      <w:r>
        <w:rPr>
          <w:rFonts w:hint="eastAsia" w:ascii="宋体" w:hAnsi="宋体" w:cs="仿宋_GB2312"/>
          <w:szCs w:val="21"/>
        </w:rPr>
        <w:t>（</w:t>
      </w:r>
      <w:r>
        <w:rPr>
          <w:rFonts w:ascii="宋体" w:hAnsi="宋体" w:cs="仿宋_GB2312"/>
          <w:szCs w:val="21"/>
        </w:rPr>
        <w:t>1m</w:t>
      </w:r>
      <w:r>
        <w:rPr>
          <w:rFonts w:ascii="宋体" w:hAnsi="宋体" w:cs="仿宋_GB2312"/>
          <w:szCs w:val="21"/>
          <w:vertAlign w:val="superscript"/>
        </w:rPr>
        <w:t>2</w:t>
      </w:r>
      <w:r>
        <w:rPr>
          <w:rFonts w:hint="eastAsia" w:ascii="宋体" w:hAnsi="宋体" w:cs="仿宋_GB2312"/>
          <w:szCs w:val="21"/>
        </w:rPr>
        <w:t>）</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⑦病虫害</w:t>
      </w:r>
      <w:r>
        <w:rPr>
          <w:rFonts w:hint="eastAsia" w:ascii="宋体" w:hAnsi="宋体" w:cs="仿宋_GB2312"/>
          <w:szCs w:val="21"/>
        </w:rPr>
        <w:t>（</w:t>
      </w:r>
      <w:r>
        <w:rPr>
          <w:rFonts w:hint="eastAsia" w:ascii="宋体" w:hAnsi="宋体" w:cs="仿宋_GB2312"/>
          <w:szCs w:val="21"/>
          <w:lang w:val="zh-CN"/>
        </w:rPr>
        <w:t>株、</w:t>
      </w:r>
      <w:r>
        <w:rPr>
          <w:rFonts w:ascii="宋体" w:hAnsi="宋体" w:cs="仿宋_GB2312"/>
          <w:szCs w:val="21"/>
        </w:rPr>
        <w:t>1m</w:t>
      </w:r>
      <w:r>
        <w:rPr>
          <w:rFonts w:ascii="宋体" w:hAnsi="宋体" w:cs="仿宋_GB2312"/>
          <w:szCs w:val="21"/>
          <w:vertAlign w:val="superscript"/>
        </w:rPr>
        <w:t>2</w:t>
      </w:r>
      <w:r>
        <w:rPr>
          <w:rFonts w:hint="eastAsia" w:ascii="宋体" w:hAnsi="宋体" w:cs="仿宋_GB2312"/>
          <w:szCs w:val="21"/>
        </w:rPr>
        <w:t>）</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rPr>
        <w:t>⑧其他；</w:t>
      </w:r>
    </w:p>
    <w:p>
      <w:pPr>
        <w:autoSpaceDE w:val="0"/>
        <w:autoSpaceDN w:val="0"/>
        <w:spacing w:line="360" w:lineRule="auto"/>
        <w:ind w:firstLine="525" w:firstLineChars="250"/>
        <w:contextualSpacing/>
        <w:rPr>
          <w:rFonts w:ascii="宋体" w:hAnsi="宋体"/>
          <w:szCs w:val="21"/>
        </w:rPr>
      </w:pPr>
      <w:r>
        <w:rPr>
          <w:rFonts w:ascii="宋体" w:hAnsi="宋体" w:cs="仿宋_GB2312"/>
          <w:szCs w:val="21"/>
          <w:lang w:val="zh-CN"/>
        </w:rPr>
        <w:t>2</w:t>
      </w:r>
      <w:r>
        <w:rPr>
          <w:rFonts w:hint="eastAsia" w:ascii="宋体" w:hAnsi="宋体" w:cs="仿宋_GB2312"/>
          <w:szCs w:val="21"/>
          <w:lang w:val="zh-CN"/>
        </w:rPr>
        <w:t>、以下问题每（件、处）扣减</w:t>
      </w:r>
      <w:r>
        <w:rPr>
          <w:rFonts w:ascii="宋体" w:hAnsi="宋体" w:cs="仿宋_GB2312"/>
          <w:szCs w:val="21"/>
        </w:rPr>
        <w:t>300</w:t>
      </w:r>
      <w:r>
        <w:rPr>
          <w:rFonts w:hint="eastAsia" w:ascii="宋体" w:hAnsi="宋体" w:cs="仿宋_GB2312"/>
          <w:szCs w:val="21"/>
          <w:lang w:val="zh-CN"/>
        </w:rPr>
        <w:t>元</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①乔灌木、行道树死（缺）株、植株残缺、残桩未及时清理</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②乔灌木明显倾斜、倒伏（株）</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③树穴裸露</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rPr>
        <w:t>④</w:t>
      </w:r>
      <w:r>
        <w:rPr>
          <w:rFonts w:hint="eastAsia" w:ascii="宋体" w:hAnsi="宋体" w:cs="仿宋_GB2312"/>
          <w:szCs w:val="21"/>
          <w:lang w:val="zh-CN"/>
        </w:rPr>
        <w:t>修剪不合理</w:t>
      </w:r>
      <w:r>
        <w:rPr>
          <w:rFonts w:hint="eastAsia" w:ascii="宋体" w:hAnsi="宋体" w:cs="仿宋_GB2312"/>
          <w:szCs w:val="21"/>
        </w:rPr>
        <w:t>，</w:t>
      </w:r>
      <w:r>
        <w:rPr>
          <w:rFonts w:hint="eastAsia" w:ascii="宋体" w:hAnsi="宋体" w:cs="仿宋_GB2312"/>
          <w:szCs w:val="21"/>
          <w:lang w:val="zh-CN"/>
        </w:rPr>
        <w:t>花前修剪等</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⑤草花未及时更换、密度不达标（</w:t>
      </w:r>
      <w:r>
        <w:rPr>
          <w:rFonts w:ascii="宋体" w:hAnsi="宋体" w:cs="仿宋_GB2312"/>
          <w:szCs w:val="21"/>
        </w:rPr>
        <w:t>1m</w:t>
      </w:r>
      <w:r>
        <w:rPr>
          <w:rFonts w:ascii="宋体" w:hAnsi="宋体" w:cs="仿宋_GB2312"/>
          <w:szCs w:val="21"/>
          <w:vertAlign w:val="superscript"/>
        </w:rPr>
        <w:t>2</w:t>
      </w:r>
      <w:r>
        <w:rPr>
          <w:rFonts w:hint="eastAsia" w:ascii="宋体" w:hAnsi="宋体" w:cs="仿宋_GB2312"/>
          <w:szCs w:val="21"/>
          <w:lang w:val="zh-CN"/>
        </w:rPr>
        <w:t>）</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rPr>
        <w:t>⑥</w:t>
      </w:r>
      <w:r>
        <w:rPr>
          <w:rFonts w:hint="eastAsia" w:ascii="宋体" w:hAnsi="宋体" w:cs="仿宋_GB2312"/>
          <w:szCs w:val="21"/>
          <w:lang w:val="zh-CN"/>
        </w:rPr>
        <w:t>垃圾堆</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⑦中型设施破损</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rPr>
        <w:t>⑧其他；</w:t>
      </w:r>
    </w:p>
    <w:p>
      <w:pPr>
        <w:autoSpaceDE w:val="0"/>
        <w:autoSpaceDN w:val="0"/>
        <w:spacing w:line="360" w:lineRule="auto"/>
        <w:ind w:firstLine="525" w:firstLineChars="250"/>
        <w:contextualSpacing/>
        <w:rPr>
          <w:rFonts w:ascii="宋体" w:hAnsi="宋体"/>
          <w:szCs w:val="21"/>
        </w:rPr>
      </w:pPr>
      <w:r>
        <w:rPr>
          <w:rFonts w:ascii="宋体" w:hAnsi="宋体" w:cs="仿宋_GB2312"/>
          <w:szCs w:val="21"/>
          <w:lang w:val="zh-CN"/>
        </w:rPr>
        <w:t>3</w:t>
      </w:r>
      <w:r>
        <w:rPr>
          <w:rFonts w:hint="eastAsia" w:ascii="宋体" w:hAnsi="宋体" w:cs="仿宋_GB2312"/>
          <w:szCs w:val="21"/>
          <w:lang w:val="zh-CN"/>
        </w:rPr>
        <w:t>、以下问题每（件、处、次）扣减</w:t>
      </w:r>
      <w:r>
        <w:rPr>
          <w:rFonts w:ascii="宋体" w:hAnsi="宋体" w:cs="仿宋_GB2312"/>
          <w:szCs w:val="21"/>
        </w:rPr>
        <w:t>500</w:t>
      </w:r>
      <w:r>
        <w:rPr>
          <w:rFonts w:hint="eastAsia" w:ascii="宋体" w:hAnsi="宋体" w:cs="仿宋_GB2312"/>
          <w:szCs w:val="21"/>
          <w:lang w:val="zh-CN"/>
        </w:rPr>
        <w:t>元</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①支撑构件嵌入植株</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②卫生死角</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③大型设施破损且存在安全隐患</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④种菜、停车等因监管不到位引起的占绿毁绿</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lang w:val="zh-CN"/>
        </w:rPr>
        <w:t>⑤乔木移植、改造修复项目等工程施工未按规定规范维护</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⑥施工遗留环境卫生问题</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⑦道路绿地高峰期浇水、喷洒药水</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rPr>
        <w:t>⑧</w:t>
      </w:r>
      <w:r>
        <w:rPr>
          <w:rFonts w:hint="eastAsia" w:ascii="宋体" w:hAnsi="宋体" w:cs="仿宋_GB2312"/>
          <w:szCs w:val="21"/>
          <w:lang w:val="zh-CN"/>
        </w:rPr>
        <w:t>焚烧绿化垃圾、修剪物</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rPr>
        <w:t>⑨其他；</w:t>
      </w:r>
    </w:p>
    <w:p>
      <w:pPr>
        <w:autoSpaceDE w:val="0"/>
        <w:autoSpaceDN w:val="0"/>
        <w:spacing w:line="360" w:lineRule="auto"/>
        <w:ind w:firstLine="525" w:firstLineChars="250"/>
        <w:contextualSpacing/>
        <w:rPr>
          <w:rFonts w:ascii="宋体" w:hAnsi="宋体"/>
          <w:szCs w:val="21"/>
          <w:lang w:val="zh-CN"/>
        </w:rPr>
      </w:pPr>
      <w:r>
        <w:rPr>
          <w:rFonts w:ascii="宋体" w:hAnsi="宋体" w:cs="仿宋_GB2312"/>
          <w:szCs w:val="21"/>
          <w:lang w:val="zh-CN"/>
        </w:rPr>
        <w:t>4</w:t>
      </w:r>
      <w:r>
        <w:rPr>
          <w:rFonts w:hint="eastAsia" w:ascii="宋体" w:hAnsi="宋体" w:cs="仿宋_GB2312"/>
          <w:szCs w:val="21"/>
          <w:lang w:val="zh-CN"/>
        </w:rPr>
        <w:t>、以下情况扣减</w:t>
      </w:r>
      <w:r>
        <w:rPr>
          <w:rFonts w:ascii="宋体" w:hAnsi="宋体" w:cs="仿宋_GB2312"/>
          <w:szCs w:val="21"/>
        </w:rPr>
        <w:t>1000</w:t>
      </w:r>
      <w:r>
        <w:rPr>
          <w:rFonts w:hint="eastAsia" w:ascii="宋体" w:hAnsi="宋体" w:cs="仿宋_GB2312"/>
          <w:szCs w:val="21"/>
          <w:lang w:val="zh-CN"/>
        </w:rPr>
        <w:t>元</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①市区综合行政执法局渠道通报问题（“行走甬城”、“鄞领城事”、局长信箱件等）</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②未在限时或约定整改期限内完成整改</w:t>
      </w:r>
    </w:p>
    <w:p>
      <w:pPr>
        <w:autoSpaceDE w:val="0"/>
        <w:autoSpaceDN w:val="0"/>
        <w:spacing w:line="360" w:lineRule="auto"/>
        <w:ind w:firstLine="315" w:firstLineChars="150"/>
        <w:contextualSpacing/>
        <w:rPr>
          <w:rFonts w:ascii="宋体" w:hAnsi="宋体" w:cs="仿宋_GB2312"/>
          <w:szCs w:val="21"/>
          <w:lang w:val="zh-CN"/>
        </w:rPr>
      </w:pPr>
      <w:r>
        <w:rPr>
          <w:rFonts w:hint="eastAsia" w:ascii="宋体" w:hAnsi="宋体" w:cs="仿宋_GB2312"/>
          <w:szCs w:val="21"/>
          <w:lang w:val="zh-CN"/>
        </w:rPr>
        <w:t>③整改质量不达标，存在敷衍现象；</w:t>
      </w:r>
    </w:p>
    <w:p>
      <w:pPr>
        <w:autoSpaceDE w:val="0"/>
        <w:autoSpaceDN w:val="0"/>
        <w:spacing w:line="360" w:lineRule="auto"/>
        <w:ind w:firstLine="315" w:firstLineChars="150"/>
        <w:contextualSpacing/>
        <w:rPr>
          <w:rFonts w:ascii="宋体" w:hAnsi="宋体" w:cs="仿宋_GB2312"/>
          <w:szCs w:val="21"/>
          <w:lang w:val="zh-CN"/>
        </w:rPr>
      </w:pPr>
      <w:r>
        <w:rPr>
          <w:rFonts w:ascii="宋体" w:hAnsi="宋体" w:cs="仿宋_GB2312"/>
          <w:szCs w:val="21"/>
          <w:lang w:val="zh-CN"/>
        </w:rPr>
        <w:t>④凡是被局安委办或委托的第三方安全专家检查发现到的安全隐患，每发现一处安全隐患扣款1000元，以此类推；</w:t>
      </w:r>
    </w:p>
    <w:p>
      <w:pPr>
        <w:pStyle w:val="2"/>
        <w:spacing w:line="400" w:lineRule="exact"/>
        <w:ind w:left="0" w:leftChars="0" w:firstLine="303" w:firstLineChars="150"/>
        <w:jc w:val="left"/>
      </w:pPr>
      <w:r>
        <w:rPr>
          <w:rFonts w:hAnsi="宋体" w:cs="仿宋_GB2312"/>
        </w:rPr>
        <w:t>⑤</w:t>
      </w:r>
      <w:r>
        <w:rPr>
          <w:rFonts w:hAnsi="宋体"/>
          <w:spacing w:val="0"/>
        </w:rPr>
        <w:t>发现养护人员缺位的，按照每人次1000元进行扣罚；</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⑥其他。</w:t>
      </w:r>
    </w:p>
    <w:p>
      <w:pPr>
        <w:autoSpaceDE w:val="0"/>
        <w:autoSpaceDN w:val="0"/>
        <w:spacing w:line="360" w:lineRule="auto"/>
        <w:ind w:firstLine="516" w:firstLineChars="246"/>
        <w:contextualSpacing/>
        <w:rPr>
          <w:rFonts w:ascii="宋体" w:hAnsi="宋体"/>
          <w:szCs w:val="21"/>
          <w:lang w:val="zh-CN"/>
        </w:rPr>
      </w:pPr>
      <w:r>
        <w:rPr>
          <w:rFonts w:ascii="宋体" w:hAnsi="宋体" w:cs="仿宋_GB2312"/>
          <w:szCs w:val="21"/>
          <w:lang w:val="zh-CN"/>
        </w:rPr>
        <w:t>5</w:t>
      </w:r>
      <w:r>
        <w:rPr>
          <w:rFonts w:hint="eastAsia" w:ascii="宋体" w:hAnsi="宋体" w:cs="仿宋_GB2312"/>
          <w:szCs w:val="21"/>
          <w:lang w:val="zh-CN"/>
        </w:rPr>
        <w:t>、以下情况扣减</w:t>
      </w:r>
      <w:r>
        <w:rPr>
          <w:rFonts w:hint="eastAsia" w:ascii="宋体" w:hAnsi="宋体" w:cs="仿宋_GB2312"/>
          <w:szCs w:val="21"/>
        </w:rPr>
        <w:t>5</w:t>
      </w:r>
      <w:r>
        <w:rPr>
          <w:rFonts w:ascii="宋体" w:hAnsi="宋体" w:cs="仿宋_GB2312"/>
          <w:szCs w:val="21"/>
        </w:rPr>
        <w:t>000</w:t>
      </w:r>
      <w:r>
        <w:rPr>
          <w:rFonts w:hint="eastAsia" w:ascii="宋体" w:hAnsi="宋体" w:cs="仿宋_GB2312"/>
          <w:szCs w:val="21"/>
          <w:lang w:val="zh-CN"/>
        </w:rPr>
        <w:t>元</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①市级渠道通报（含市委、市领导督办件、市长信箱等）以及群众举报或媒体曝光问题</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②上级通报、督办件、绿地巡查问题督办不力，或因主观原因催办迟迟未响应；</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③其他。</w:t>
      </w:r>
    </w:p>
    <w:p>
      <w:pPr>
        <w:autoSpaceDE w:val="0"/>
        <w:autoSpaceDN w:val="0"/>
        <w:spacing w:line="360" w:lineRule="auto"/>
        <w:ind w:firstLine="516" w:firstLineChars="246"/>
        <w:contextualSpacing/>
        <w:rPr>
          <w:rFonts w:ascii="宋体" w:hAnsi="宋体"/>
          <w:szCs w:val="21"/>
          <w:lang w:val="zh-CN"/>
        </w:rPr>
      </w:pPr>
      <w:r>
        <w:rPr>
          <w:rFonts w:ascii="宋体" w:hAnsi="宋体" w:cs="仿宋_GB2312"/>
          <w:szCs w:val="21"/>
        </w:rPr>
        <w:t>6</w:t>
      </w:r>
      <w:r>
        <w:rPr>
          <w:rFonts w:hint="eastAsia" w:ascii="宋体" w:hAnsi="宋体" w:cs="仿宋_GB2312"/>
          <w:szCs w:val="21"/>
        </w:rPr>
        <w:t>、</w:t>
      </w:r>
      <w:r>
        <w:rPr>
          <w:rFonts w:hint="eastAsia" w:ascii="宋体" w:hAnsi="宋体" w:cs="仿宋_GB2312"/>
          <w:szCs w:val="21"/>
          <w:lang w:val="zh-CN"/>
        </w:rPr>
        <w:t>以下情况扣减</w:t>
      </w:r>
      <w:r>
        <w:rPr>
          <w:rFonts w:hint="eastAsia" w:ascii="宋体" w:hAnsi="宋体" w:cs="仿宋_GB2312"/>
          <w:szCs w:val="21"/>
        </w:rPr>
        <w:t>10</w:t>
      </w:r>
      <w:r>
        <w:rPr>
          <w:rFonts w:ascii="宋体" w:hAnsi="宋体" w:cs="仿宋_GB2312"/>
          <w:szCs w:val="21"/>
        </w:rPr>
        <w:t>000</w:t>
      </w:r>
      <w:r>
        <w:rPr>
          <w:rFonts w:hint="eastAsia" w:ascii="宋体" w:hAnsi="宋体" w:cs="仿宋_GB2312"/>
          <w:szCs w:val="21"/>
          <w:lang w:val="zh-CN"/>
        </w:rPr>
        <w:t>元</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①存在大面积未经审批占用绿地行为，行为严重且未及时上报；</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②由于监管不力造成的严重安全责任事故</w:t>
      </w:r>
    </w:p>
    <w:p>
      <w:pPr>
        <w:autoSpaceDE w:val="0"/>
        <w:autoSpaceDN w:val="0"/>
        <w:spacing w:line="360" w:lineRule="auto"/>
        <w:ind w:firstLine="315" w:firstLineChars="150"/>
        <w:contextualSpacing/>
        <w:rPr>
          <w:rFonts w:ascii="宋体" w:hAnsi="宋体"/>
          <w:szCs w:val="21"/>
          <w:lang w:val="zh-CN"/>
        </w:rPr>
      </w:pPr>
      <w:r>
        <w:rPr>
          <w:rFonts w:hint="eastAsia" w:ascii="宋体" w:hAnsi="宋体" w:cs="仿宋_GB2312"/>
          <w:szCs w:val="21"/>
          <w:lang w:val="zh-CN"/>
        </w:rPr>
        <w:t>③其他。</w:t>
      </w:r>
    </w:p>
    <w:p>
      <w:pPr>
        <w:autoSpaceDE w:val="0"/>
        <w:autoSpaceDN w:val="0"/>
        <w:spacing w:line="360" w:lineRule="auto"/>
        <w:ind w:firstLine="315" w:firstLineChars="150"/>
        <w:contextualSpacing/>
        <w:rPr>
          <w:rFonts w:ascii="宋体" w:hAnsi="宋体" w:cs="仿宋_GB2312"/>
          <w:szCs w:val="21"/>
        </w:rPr>
      </w:pPr>
      <w:r>
        <w:rPr>
          <w:rFonts w:ascii="宋体" w:hAnsi="宋体" w:cs="仿宋_GB2312"/>
          <w:szCs w:val="21"/>
        </w:rPr>
        <w:t xml:space="preserve">  7</w:t>
      </w:r>
      <w:r>
        <w:rPr>
          <w:rFonts w:hint="eastAsia" w:ascii="宋体" w:hAnsi="宋体" w:cs="仿宋_GB2312"/>
          <w:szCs w:val="21"/>
        </w:rPr>
        <w:t>、以下情况</w:t>
      </w:r>
    </w:p>
    <w:p>
      <w:pPr>
        <w:pStyle w:val="2"/>
        <w:spacing w:line="360" w:lineRule="auto"/>
        <w:ind w:left="0" w:leftChars="0"/>
        <w:contextualSpacing/>
        <w:rPr>
          <w:rFonts w:hAnsi="宋体" w:cs="仿宋_GB2312"/>
        </w:rPr>
      </w:pPr>
      <w:r>
        <w:rPr>
          <w:rFonts w:hAnsi="宋体" w:cs="仿宋_GB2312"/>
        </w:rPr>
        <w:t>①</w:t>
      </w:r>
      <w:r>
        <w:rPr>
          <w:rFonts w:hint="eastAsia" w:hAnsi="宋体" w:cs="仿宋_GB2312"/>
        </w:rPr>
        <w:t>需更换项目经理的经采购人书面许可后允许更换的：</w:t>
      </w:r>
      <w:r>
        <w:rPr>
          <w:rFonts w:hAnsi="宋体"/>
          <w:bCs/>
        </w:rPr>
        <w:t>扣除违约金</w:t>
      </w:r>
      <w:r>
        <w:rPr>
          <w:rFonts w:hint="eastAsia" w:hAnsi="宋体"/>
          <w:bCs/>
        </w:rPr>
        <w:t>1</w:t>
      </w:r>
      <w:r>
        <w:rPr>
          <w:rFonts w:hAnsi="宋体"/>
          <w:bCs/>
        </w:rPr>
        <w:t>0000元/次。</w:t>
      </w:r>
    </w:p>
    <w:p>
      <w:pPr>
        <w:pStyle w:val="2"/>
        <w:spacing w:line="360" w:lineRule="auto"/>
        <w:ind w:left="0" w:leftChars="0"/>
        <w:contextualSpacing/>
        <w:rPr>
          <w:rFonts w:hAnsi="宋体"/>
          <w:bCs/>
        </w:rPr>
      </w:pPr>
      <w:r>
        <w:rPr>
          <w:rFonts w:hAnsi="宋体" w:cs="仿宋_GB2312"/>
        </w:rPr>
        <w:t>②</w:t>
      </w:r>
      <w:r>
        <w:rPr>
          <w:rFonts w:hAnsi="宋体"/>
          <w:bCs/>
        </w:rPr>
        <w:t>擅自更换项目经理的违约责任：扣除违约金</w:t>
      </w:r>
      <w:r>
        <w:rPr>
          <w:rFonts w:hint="eastAsia" w:hAnsi="宋体"/>
          <w:bCs/>
        </w:rPr>
        <w:t>2</w:t>
      </w:r>
      <w:r>
        <w:rPr>
          <w:rFonts w:hAnsi="宋体"/>
          <w:bCs/>
        </w:rPr>
        <w:t>0000元/次。</w:t>
      </w:r>
    </w:p>
    <w:p>
      <w:pPr>
        <w:pStyle w:val="2"/>
        <w:spacing w:line="360" w:lineRule="auto"/>
        <w:ind w:firstLine="0"/>
        <w:contextualSpacing/>
      </w:pPr>
      <w:r>
        <w:rPr>
          <w:rFonts w:hint="eastAsia" w:hAnsi="宋体" w:cs="仿宋_GB2312"/>
          <w:lang w:val="zh-CN"/>
        </w:rPr>
        <w:t>③</w:t>
      </w:r>
      <w:r>
        <w:rPr>
          <w:rFonts w:hAnsi="宋体"/>
          <w:bCs/>
        </w:rPr>
        <w:t>项</w:t>
      </w:r>
      <w:r>
        <w:rPr>
          <w:rFonts w:hAnsi="宋体"/>
          <w:bCs/>
          <w:spacing w:val="0"/>
        </w:rPr>
        <w:t>目经理未按招标约定设置，或缺位的，第一次发现扣除违约金10000元并处以警告；第二次扣除20000元并进行约谈；第三次扣除30000元，同时甲方有权解除合同。</w:t>
      </w:r>
    </w:p>
    <w:p>
      <w:pPr>
        <w:autoSpaceDE w:val="0"/>
        <w:autoSpaceDN w:val="0"/>
        <w:spacing w:line="360" w:lineRule="auto"/>
        <w:ind w:firstLine="315" w:firstLineChars="150"/>
        <w:contextualSpacing/>
        <w:rPr>
          <w:rFonts w:ascii="宋体" w:hAnsi="宋体"/>
          <w:szCs w:val="21"/>
        </w:rPr>
      </w:pPr>
      <w:r>
        <w:rPr>
          <w:rFonts w:hint="eastAsia" w:ascii="宋体" w:hAnsi="宋体" w:cs="仿宋_GB2312"/>
          <w:szCs w:val="21"/>
        </w:rPr>
        <w:t>8、其他</w:t>
      </w:r>
    </w:p>
    <w:p>
      <w:pPr>
        <w:autoSpaceDE w:val="0"/>
        <w:autoSpaceDN w:val="0"/>
        <w:spacing w:line="360" w:lineRule="auto"/>
        <w:ind w:firstLine="315" w:firstLineChars="150"/>
        <w:contextualSpacing/>
        <w:rPr>
          <w:rFonts w:ascii="宋体" w:hAnsi="宋体" w:cs="仿宋_GB2312"/>
          <w:szCs w:val="21"/>
          <w:lang w:val="zh-CN"/>
        </w:rPr>
        <w:sectPr>
          <w:headerReference r:id="rId5" w:type="default"/>
          <w:footerReference r:id="rId6" w:type="default"/>
          <w:pgSz w:w="11905" w:h="16838"/>
          <w:pgMar w:top="1474" w:right="1797" w:bottom="1247" w:left="1797" w:header="850" w:footer="850" w:gutter="0"/>
          <w:cols w:space="720" w:num="1"/>
          <w:docGrid w:linePitch="312" w:charSpace="0"/>
        </w:sectPr>
      </w:pPr>
      <w:r>
        <w:rPr>
          <w:rFonts w:hint="eastAsia" w:ascii="宋体" w:hAnsi="宋体" w:cs="仿宋_GB2312"/>
          <w:szCs w:val="21"/>
          <w:lang w:val="zh-CN"/>
        </w:rPr>
        <w:t>①园林设施存在安全隐患，养护施工作业不规范，导致第三方人员或财产伤害损失的，养护单位承担全部责任。</w:t>
      </w:r>
    </w:p>
    <w:p>
      <w:pPr>
        <w:autoSpaceDE w:val="0"/>
        <w:autoSpaceDN w:val="0"/>
        <w:spacing w:line="360" w:lineRule="auto"/>
        <w:contextualSpacing/>
        <w:rPr>
          <w:rFonts w:ascii="宋体" w:hAnsi="宋体" w:cs="仿宋_GB2312"/>
          <w:szCs w:val="21"/>
          <w:lang w:val="zh-CN"/>
        </w:rPr>
      </w:pPr>
    </w:p>
    <w:p>
      <w:pPr>
        <w:snapToGrid w:val="0"/>
        <w:rPr>
          <w:kern w:val="44"/>
          <w:sz w:val="30"/>
          <w:szCs w:val="30"/>
        </w:rPr>
      </w:pPr>
      <w:r>
        <w:rPr>
          <w:rFonts w:hint="eastAsia"/>
          <w:szCs w:val="21"/>
        </w:rPr>
        <w:t>附件</w:t>
      </w:r>
      <w:r>
        <w:rPr>
          <w:szCs w:val="21"/>
        </w:rPr>
        <w:t>9</w:t>
      </w:r>
      <w:r>
        <w:rPr>
          <w:rFonts w:hint="eastAsia"/>
          <w:szCs w:val="21"/>
        </w:rPr>
        <w:t>：鄞州区潘火街道绿化面积</w:t>
      </w:r>
    </w:p>
    <w:p>
      <w:pPr>
        <w:pStyle w:val="2"/>
      </w:pPr>
    </w:p>
    <w:tbl>
      <w:tblPr>
        <w:tblStyle w:val="48"/>
        <w:tblW w:w="0" w:type="auto"/>
        <w:tblInd w:w="93" w:type="dxa"/>
        <w:tblLayout w:type="fixed"/>
        <w:tblCellMar>
          <w:top w:w="0" w:type="dxa"/>
          <w:left w:w="108" w:type="dxa"/>
          <w:bottom w:w="0" w:type="dxa"/>
          <w:right w:w="108" w:type="dxa"/>
        </w:tblCellMar>
      </w:tblPr>
      <w:tblGrid>
        <w:gridCol w:w="582"/>
        <w:gridCol w:w="426"/>
        <w:gridCol w:w="1701"/>
        <w:gridCol w:w="567"/>
        <w:gridCol w:w="1275"/>
        <w:gridCol w:w="993"/>
        <w:gridCol w:w="665"/>
        <w:gridCol w:w="883"/>
        <w:gridCol w:w="833"/>
        <w:gridCol w:w="741"/>
        <w:gridCol w:w="705"/>
        <w:gridCol w:w="709"/>
        <w:gridCol w:w="708"/>
        <w:gridCol w:w="1276"/>
        <w:gridCol w:w="2176"/>
      </w:tblGrid>
      <w:tr>
        <w:tblPrEx>
          <w:tblCellMar>
            <w:top w:w="0" w:type="dxa"/>
            <w:left w:w="108" w:type="dxa"/>
            <w:bottom w:w="0" w:type="dxa"/>
            <w:right w:w="108" w:type="dxa"/>
          </w:tblCellMar>
        </w:tblPrEx>
        <w:trPr>
          <w:wBefore w:w="0" w:type="dxa"/>
          <w:wAfter w:w="0" w:type="dxa"/>
          <w:trHeight w:val="600" w:hRule="atLeast"/>
        </w:trPr>
        <w:tc>
          <w:tcPr>
            <w:tcW w:w="14240" w:type="dxa"/>
            <w:gridSpan w:val="15"/>
            <w:tcBorders>
              <w:top w:val="nil"/>
              <w:left w:val="nil"/>
              <w:bottom w:val="nil"/>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鄞州区潘火街道绿化面积表（2023）</w:t>
            </w:r>
          </w:p>
        </w:tc>
      </w:tr>
      <w:tr>
        <w:tblPrEx>
          <w:tblCellMar>
            <w:top w:w="0" w:type="dxa"/>
            <w:left w:w="108" w:type="dxa"/>
            <w:bottom w:w="0" w:type="dxa"/>
            <w:right w:w="108" w:type="dxa"/>
          </w:tblCellMar>
        </w:tblPrEx>
        <w:trPr>
          <w:wBefore w:w="0" w:type="dxa"/>
          <w:wAfter w:w="0" w:type="dxa"/>
          <w:trHeight w:val="600"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426"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道路等级</w:t>
            </w:r>
          </w:p>
        </w:tc>
        <w:tc>
          <w:tcPr>
            <w:tcW w:w="226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道路名称及编号</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起讫地段</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绿化面积（㎡）</w:t>
            </w:r>
          </w:p>
        </w:tc>
        <w:tc>
          <w:tcPr>
            <w:tcW w:w="66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未移交绿化</w:t>
            </w:r>
          </w:p>
        </w:tc>
        <w:tc>
          <w:tcPr>
            <w:tcW w:w="883"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公园面积</w:t>
            </w:r>
          </w:p>
        </w:tc>
        <w:tc>
          <w:tcPr>
            <w:tcW w:w="833"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未移交公园</w:t>
            </w:r>
          </w:p>
        </w:tc>
        <w:tc>
          <w:tcPr>
            <w:tcW w:w="741"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苗圃</w:t>
            </w:r>
          </w:p>
        </w:tc>
        <w:tc>
          <w:tcPr>
            <w:tcW w:w="70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退红（未移交）</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草花</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独立树（棵）</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退红区域</w:t>
            </w:r>
          </w:p>
        </w:tc>
        <w:tc>
          <w:tcPr>
            <w:tcW w:w="21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wBefore w:w="0" w:type="dxa"/>
          <w:wAfter w:w="0" w:type="dxa"/>
          <w:trHeight w:val="600" w:hRule="atLeast"/>
        </w:trPr>
        <w:tc>
          <w:tcPr>
            <w:tcW w:w="58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42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附图编号</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66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883"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833"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74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70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1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诚信路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凤起路-盛莫路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47306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3622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879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575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华信南、紫郡南、上上城北</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其中福庆南路-盛莫路绿化面积17689㎡，草花96㎡</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宜兴路-鄞县大道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10500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4847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1003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455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东方丽都西，华信东，宜家花园</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下应北路（高速立交桥-曹隘路口）；下应北路；宜园路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北斗路-鄞县大道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19839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1429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582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时尚城东、格兰晴天西、明月江南西</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（诚信路）启明路（界北）</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紫诚路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下应北路-鄞县大道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8015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392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新旧道路合计</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富强路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下应北路-宁和路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13593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440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（下应北路）富强路（金达路)富强路（界东）</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金达路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潘火路-鄞县大道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56767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387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（北斗路）金达路（富强路）金达路（界南)</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金源路</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35#</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紫城路-福庆南路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12402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2541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580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潘火***</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不含苗圃内绿化3861㎡</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潘火路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金达路-百宁街</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1633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3687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210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新旧道路合计</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金谷北路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北斗路-金谷中路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11291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894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150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中物科技园</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百宁街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星辰路-沧海路2750弄</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780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193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百宁街（宁横路-铁路）；百宁街（铁路-兴宁路）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百宁街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兴宁路-星辰路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行道树施工，没计入</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北斗路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下应北路-启明路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1973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369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（下应北路）北斗路（金谷北路）北斗路（界东）</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金谷中路东段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金谷北路-金源路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7605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279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金谷中路西段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金谷北路-金源路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10069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326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凤起北路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环城南路-潘园路南侧桥头</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1769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1597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209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金域传奇西面、南面，实验中学、红星美凯龙</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新旧道路合计</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规划三路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沧海路-紫诚路(凤起路修路分段）</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339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道路减少</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宁和路</w:t>
            </w:r>
          </w:p>
        </w:tc>
        <w:tc>
          <w:tcPr>
            <w:tcW w:w="56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2044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414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xml:space="preserve">235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宁和路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福明高架桥下(金桥水岸-东莺段）</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58#</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6508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金桥水岸段、东莺段南、羽毛球馆-环城南路段</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金谷南路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金源路-鄞县大道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9925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2850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272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南鹏公寓以南-鄞县大道</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金和路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紫诚路-鄞县大道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3179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186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包扩：上上城小区紫金路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金辉东路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金谷中路-福庆南路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4492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179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金辉西路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30#</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下应北路-金谷中路西</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4727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209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宜兴路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甬新河-海晏南路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706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634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宜兴路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祥和东路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44#</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金谷中路-福庆南路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3526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402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142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时尚城北</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祥和西路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下应北路-金谷中路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5547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221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机车面积为旧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金耀路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启明路-福庆南路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4067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91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耀辉路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海晏南路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兴宁路-潘火路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5527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1743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永达路东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沧海路-世纪大道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3045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世纪花园北、荣安心居南</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永达路东</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29</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永达路东辅路</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41#</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永达路东-环城南路小路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永达路东-环城南路小路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30</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永达路西</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42#</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福明高架下</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2657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30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永达路西（福明高架下面)</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佳童巷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百宁街-沧海路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新家苑路段（沧海路-百宁街）</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金潮路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紫诚路-甬新河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2824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清华世界城南</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清华世界城旁通往泗港东小路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金谷北支路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金谷北路-金谷北路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金谷两条支路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金谷中路西延伸段</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19#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富强路-金谷中路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53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金谷中路西延伸段</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金贤路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31#</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启明路-福庆南路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406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122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格兰晴天北</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勤泰路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金信路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金阳路-富强路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43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金阳路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金达路-金谷北路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496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东南路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金耀东路</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25#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382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浙江和悦科技网络公司面前道路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启明路677弄</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启明路-鄞州大道</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101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启明路777弄</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启明路-启明路677弄</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80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星辰路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潘火高架-百宁路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821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星辰路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42</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星辰东路</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47#</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193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53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荣安星苑北侧道路（星辰东路）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43</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甬骅路</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下应北路-金达路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1400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1400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115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宜家花园、颐景园</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甬骅路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东一路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富强路-诚信路向南228米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4016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37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宜家二路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449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界桥路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世纪大道-兴宁路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93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王家弄安置小区周边</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沧海路2025弄</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沧海路-界桥路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60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王家弄安置小区周边</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宁横路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仇毕交界-环城南路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937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77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老宁横路（仇毕交界-环城南路）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富宁路</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482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377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xml:space="preserve">82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富宁路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东迪巷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环城南路-潘火路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450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26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迪卡侬后一条支路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银和巷</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293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荣安蝶园北</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王家弄</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百丈东路-界桥路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194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26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王家弄村牌楼前村路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三级</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百兴街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51#</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1127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18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百兴街9号楼公寓旁小路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沧海路支路（杭甬高速以北）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沧海路-凤起北路</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136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潘火新村老花园，小花园</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德培小学南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433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51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德培小学南</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56</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沧海路2750弄</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57#</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福明高架-沧海路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12688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116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潘火小区以北；杭甬高速下（潘火中转站）</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行政服务中心旁停车场</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66#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下应北路和紫城路交叉口西南侧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563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1327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行政服务中心旁停车场</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58</w:t>
            </w:r>
          </w:p>
        </w:tc>
        <w:tc>
          <w:tcPr>
            <w:tcW w:w="42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沧海路停车场</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67#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沧海路和环城南路交叉口东北侧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853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荣安香园西苗圃</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19482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鄞县大道北侧，甬台温高速东侧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洋江公园（荣安香园大洋江沿岸绿化）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5356 </w:t>
            </w:r>
          </w:p>
        </w:tc>
        <w:tc>
          <w:tcPr>
            <w:tcW w:w="665"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9205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洋江公园（金源路段，荣安香园北侧绿化）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5179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洋江公园（金和路-下应北路段）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85#</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12454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洋江公园（下应北路-金达路段）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6554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汽车文化公园一期</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洋江公园（下应北路-金达路段）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11200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汽车文化公园二期</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洋江公园（金达路-金谷南路段）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2714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洋江公园（金谷南路-启明路段）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7357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因人行道拓宽，包含苗圃内新加绿化</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洋江公园（启明路-福庆路段）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5147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因人行道拓宽，包含苗圃内新加绿化</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68</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世纪花园（西侧辅路绿化）</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69#</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6814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世纪大道西侧辅路绿化</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紫郡公园</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83174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紫郡北绿化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35611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中塘河公园</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16838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金达路-启明路段</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沧海路与兴宁路西北公园</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4151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建设中</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北斗路苗圃1（泗港苗圃）</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3779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北斗路苗圃2</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75#</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10230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北斗路苗圃3（白龙寺后面绿化）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78#</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2512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金源路苗圃</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76#</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15608平方米</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和悦科技南绿地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8858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苗圃：8188.2  石子路：670.1</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78</w:t>
            </w:r>
          </w:p>
        </w:tc>
        <w:tc>
          <w:tcPr>
            <w:tcW w:w="42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杭甬高速绿化(福明立交-凤起北路段）</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62#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16302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杭甬高速绿化（东方丽都公园）</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45057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80</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杭甬高速绿化（金域传奇北花海）</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20387平方米，潘火中学停车场外扩对比2020年减掉937平方米</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潘火街道投创中心</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10080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东一路以西苗圃</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52534平方米</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福庆路东-富强路北绿化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68#</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42014平方米</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1#污水泵站</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686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兴宁府旁支路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兴宁府门前（北门）</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513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新加</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潘园路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金域传奇南侧（门口）</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166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68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东侧道路加进</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东葛路</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94#</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诚信大厦东侧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363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王家弄靠近世纪大道支路（加油站东侧）</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兴宁路和世纪大道交叉口西南侧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943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绿化带面积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王家弄村委会停车场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沧海路和昌兴街交叉口西南侧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393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诚信路厕所外围</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诚信路和金谷中路西段交叉口东北侧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4365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91</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怡沁苑北侧绿化带</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101#</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永达西路和百宁街交叉口西南侧</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371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荣安心居（沧海路东侧绿化）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102#</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沧海路和永达路东北侧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682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93</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迪卡侬北侧绿化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103#</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沧海路和环城南路交叉口东南侧</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1867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红星美凯龙北侧绿化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3037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潘火中学停车场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106#</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6027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22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单独绿化面积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96</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潘火菜市场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107#</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1104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单独绿化面积</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97</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蓝天救援队门口绿化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108#</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134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98</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映月江南府绿化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109#</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11807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映月江南府东、西、北侧</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99</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诚信路和紫城路交叉口西北角绿化</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55#</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1915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中塘河步道</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7731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以后续实际交面积为准</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101</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甬新河步道（潘火路以北）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3000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以后续实际交面积为准</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102</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咏兰郡西侧绿地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6175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以后续实际交面积为准</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103</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江山万里东侧绿地步道</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3200 </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以后续实际交面积为准</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104</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凤起路延河绿地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4095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以后续实际交面积为准</w:t>
            </w:r>
          </w:p>
        </w:tc>
      </w:tr>
      <w:tr>
        <w:tblPrEx>
          <w:tblCellMar>
            <w:top w:w="0" w:type="dxa"/>
            <w:left w:w="108" w:type="dxa"/>
            <w:bottom w:w="0" w:type="dxa"/>
            <w:right w:w="108" w:type="dxa"/>
          </w:tblCellMar>
        </w:tblPrEx>
        <w:trPr>
          <w:wBefore w:w="0" w:type="dxa"/>
          <w:wAfter w:w="0" w:type="dxa"/>
          <w:trHeight w:val="600"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105</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大朴江滨河</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6120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以后续实际交面积为准</w:t>
            </w:r>
          </w:p>
        </w:tc>
      </w:tr>
      <w:tr>
        <w:tblPrEx>
          <w:tblCellMar>
            <w:top w:w="0" w:type="dxa"/>
            <w:left w:w="108" w:type="dxa"/>
            <w:bottom w:w="0" w:type="dxa"/>
            <w:right w:w="108" w:type="dxa"/>
          </w:tblCellMar>
        </w:tblPrEx>
        <w:trPr>
          <w:wBefore w:w="0" w:type="dxa"/>
          <w:wAfter w:w="0" w:type="dxa"/>
          <w:trHeight w:val="600" w:hRule="atLeast"/>
        </w:trPr>
        <w:tc>
          <w:tcPr>
            <w:tcW w:w="3276" w:type="dxa"/>
            <w:gridSpan w:val="4"/>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400646 </w:t>
            </w:r>
          </w:p>
        </w:tc>
        <w:tc>
          <w:tcPr>
            <w:tcW w:w="6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15711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172740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52440 </w:t>
            </w:r>
          </w:p>
        </w:tc>
        <w:tc>
          <w:tcPr>
            <w:tcW w:w="7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36003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32254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1882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8349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c>
          <w:tcPr>
            <w:tcW w:w="2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r>
              <w:rPr>
                <w:rFonts w:hint="eastAsia" w:ascii="宋体" w:hAnsi="宋体" w:cs="宋体"/>
                <w:kern w:val="0"/>
                <w:szCs w:val="21"/>
              </w:rPr>
              <w:t>　</w:t>
            </w:r>
          </w:p>
        </w:tc>
      </w:tr>
    </w:tbl>
    <w:p>
      <w:pPr>
        <w:sectPr>
          <w:pgSz w:w="16838" w:h="11905" w:orient="landscape"/>
          <w:pgMar w:top="1797" w:right="1474" w:bottom="1797" w:left="1247" w:header="850" w:footer="850" w:gutter="0"/>
          <w:cols w:space="720" w:num="1"/>
          <w:docGrid w:linePitch="312" w:charSpace="0"/>
        </w:sectPr>
      </w:pPr>
      <w:r>
        <w:rPr>
          <w:rFonts w:hint="eastAsia"/>
        </w:rPr>
        <w:t>说明：十字路口，所有南北向道路与东西向道路交接口均计入东西向道路。</w:t>
      </w:r>
    </w:p>
    <w:p>
      <w:pPr>
        <w:tabs>
          <w:tab w:val="left" w:pos="0"/>
        </w:tabs>
        <w:spacing w:line="360" w:lineRule="auto"/>
        <w:jc w:val="center"/>
        <w:rPr>
          <w:rFonts w:hint="eastAsia" w:ascii="宋体" w:hAnsi="宋体" w:cs="宋体"/>
          <w:b/>
          <w:bCs/>
          <w:kern w:val="44"/>
          <w:sz w:val="32"/>
          <w:szCs w:val="32"/>
        </w:rPr>
      </w:pPr>
      <w:r>
        <w:rPr>
          <w:rFonts w:hint="eastAsia" w:ascii="宋体" w:hAnsi="宋体" w:cs="宋体"/>
          <w:b/>
          <w:bCs/>
          <w:kern w:val="44"/>
          <w:sz w:val="32"/>
          <w:szCs w:val="32"/>
        </w:rPr>
        <w:t xml:space="preserve">第三章 </w:t>
      </w:r>
      <w:bookmarkEnd w:id="7"/>
      <w:bookmarkEnd w:id="8"/>
      <w:bookmarkEnd w:id="9"/>
      <w:bookmarkEnd w:id="10"/>
      <w:bookmarkEnd w:id="11"/>
      <w:r>
        <w:rPr>
          <w:rFonts w:hint="eastAsia" w:ascii="宋体" w:hAnsi="宋体" w:cs="宋体"/>
          <w:b/>
          <w:bCs/>
          <w:kern w:val="44"/>
          <w:sz w:val="32"/>
          <w:szCs w:val="32"/>
        </w:rPr>
        <w:t>供应商须知</w:t>
      </w:r>
    </w:p>
    <w:p>
      <w:pPr>
        <w:jc w:val="center"/>
        <w:rPr>
          <w:rFonts w:hint="eastAsia" w:ascii="宋体" w:hAnsi="宋体" w:cs="宋体"/>
          <w:b/>
          <w:bCs/>
          <w:sz w:val="24"/>
        </w:rPr>
      </w:pPr>
      <w:r>
        <w:rPr>
          <w:rFonts w:hint="eastAsia" w:ascii="宋体" w:hAnsi="宋体" w:cs="宋体"/>
          <w:b/>
          <w:bCs/>
          <w:sz w:val="24"/>
        </w:rPr>
        <w:t>前附表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79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b/>
                <w:bCs/>
                <w:szCs w:val="21"/>
              </w:rPr>
            </w:pPr>
            <w:bookmarkStart w:id="17" w:name="_Toc19575"/>
            <w:bookmarkStart w:id="18" w:name="_Toc8408"/>
            <w:bookmarkStart w:id="19" w:name="_Toc15961"/>
            <w:bookmarkStart w:id="20" w:name="_Toc6500"/>
            <w:bookmarkStart w:id="21" w:name="_Toc31199"/>
            <w:r>
              <w:rPr>
                <w:rFonts w:hint="eastAsia" w:ascii="宋体" w:hAnsi="宋体" w:cs="宋体"/>
                <w:b/>
                <w:bCs/>
                <w:szCs w:val="21"/>
              </w:rPr>
              <w:t>序号</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b/>
                <w:bCs/>
                <w:szCs w:val="21"/>
              </w:rPr>
            </w:pPr>
            <w:r>
              <w:rPr>
                <w:rFonts w:hint="eastAsia" w:ascii="宋体" w:hAnsi="宋体" w:cs="宋体"/>
                <w:b/>
                <w:bCs/>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zCs w:val="21"/>
              </w:rPr>
            </w:pPr>
            <w:r>
              <w:rPr>
                <w:rFonts w:hint="eastAsia" w:ascii="宋体" w:hAnsi="宋体" w:cs="宋体"/>
                <w:szCs w:val="21"/>
              </w:rPr>
              <w:t>*1</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b/>
                <w:bCs/>
                <w:szCs w:val="21"/>
              </w:rPr>
            </w:pPr>
            <w:r>
              <w:rPr>
                <w:rFonts w:hint="eastAsia" w:ascii="宋体" w:hAnsi="宋体" w:cs="宋体"/>
                <w:b/>
                <w:bCs/>
                <w:szCs w:val="21"/>
              </w:rPr>
              <w:t>投标报价及费用：</w:t>
            </w:r>
          </w:p>
          <w:p>
            <w:pPr>
              <w:spacing w:line="288" w:lineRule="auto"/>
              <w:rPr>
                <w:rFonts w:hint="eastAsia" w:ascii="宋体" w:hAnsi="宋体" w:cs="宋体"/>
              </w:rPr>
            </w:pPr>
            <w:r>
              <w:rPr>
                <w:rFonts w:hint="eastAsia" w:ascii="宋体" w:hAnsi="宋体" w:cs="宋体"/>
              </w:rPr>
              <w:t>1） 报价方式：以人民币报价。</w:t>
            </w:r>
          </w:p>
          <w:p>
            <w:pPr>
              <w:spacing w:line="288" w:lineRule="auto"/>
              <w:rPr>
                <w:rFonts w:hint="eastAsia" w:ascii="宋体" w:hAnsi="宋体" w:cs="宋体"/>
              </w:rPr>
            </w:pPr>
            <w:r>
              <w:rPr>
                <w:rFonts w:hint="eastAsia" w:ascii="宋体" w:hAnsi="宋体" w:cs="宋体"/>
              </w:rPr>
              <w:t>2）报价内容：包含了完成绿化养护服务所需的所有费用，包括但不限于以下内容： 管理费、利润、人员费用(含工资、奖金、加班费、房补、劳保福利、养老、医疗、工伤、失业保险及教育培训、政策性调整费用、处理伤亡事故等) 、设备投资及租赁 费用、人员使用各类作业机械和工具过程中的各类耗材费，保险，重大活动或节假日应急保障费用、招标代理服务费及利润、管理费、税金等完成整个服务的一切费用。</w:t>
            </w:r>
          </w:p>
          <w:p>
            <w:pPr>
              <w:spacing w:line="288" w:lineRule="auto"/>
              <w:rPr>
                <w:rFonts w:hint="eastAsia" w:ascii="宋体" w:hAnsi="宋体" w:cs="宋体"/>
              </w:rPr>
            </w:pPr>
            <w:r>
              <w:rPr>
                <w:rFonts w:hint="eastAsia" w:ascii="宋体" w:hAnsi="宋体" w:cs="宋体"/>
              </w:rPr>
              <w:t>注：人员费用及福利等应符合《关于公布宁波市 2022 年度社会保险费征缴和待遇计 发依据的通知》、《关于调整宁波市最低工资标准的通知》甬人社发〔2021〕25号文件、《宁波市人民政府办公厅关于印发进一步加强市容环卫行业管理实施意见的通知》(甬政办发〔2014〕70号)等政策文件的要求。(服务期限内，如有最新，应按照最新标准执行。)</w:t>
            </w:r>
          </w:p>
          <w:p>
            <w:pPr>
              <w:spacing w:line="288" w:lineRule="auto"/>
              <w:rPr>
                <w:rFonts w:hint="eastAsia" w:ascii="宋体" w:hAnsi="宋体" w:cs="宋体"/>
              </w:rPr>
            </w:pPr>
            <w:r>
              <w:rPr>
                <w:rFonts w:hint="eastAsia" w:ascii="宋体" w:hAnsi="宋体" w:cs="宋体"/>
              </w:rPr>
              <w:t>3）采购预算（人民币）：详见第一章 公开招标公告，</w:t>
            </w:r>
            <w:r>
              <w:rPr>
                <w:rFonts w:ascii="宋体" w:hAnsi="宋体" w:cs="宋体"/>
                <w:spacing w:val="-8"/>
                <w:szCs w:val="21"/>
              </w:rPr>
              <w:t>投标</w:t>
            </w:r>
            <w:r>
              <w:rPr>
                <w:rFonts w:ascii="宋体" w:hAnsi="宋体" w:cs="宋体"/>
                <w:spacing w:val="-4"/>
                <w:szCs w:val="21"/>
              </w:rPr>
              <w:t>报价超过最高限价</w:t>
            </w:r>
            <w:r>
              <w:rPr>
                <w:rFonts w:hint="eastAsia" w:ascii="宋体" w:hAnsi="宋体" w:cs="宋体"/>
                <w:spacing w:val="-4"/>
                <w:szCs w:val="21"/>
              </w:rPr>
              <w:t>或综合单价最高限价的</w:t>
            </w:r>
            <w:r>
              <w:rPr>
                <w:rFonts w:ascii="宋体" w:hAnsi="宋体" w:cs="宋体"/>
                <w:spacing w:val="-4"/>
                <w:szCs w:val="21"/>
              </w:rPr>
              <w:t>，作无效标</w:t>
            </w:r>
            <w:r>
              <w:rPr>
                <w:rFonts w:ascii="宋体" w:hAnsi="宋体" w:cs="宋体"/>
                <w:spacing w:val="-11"/>
                <w:szCs w:val="21"/>
              </w:rPr>
              <w:t>处</w:t>
            </w:r>
            <w:r>
              <w:rPr>
                <w:rFonts w:ascii="宋体" w:hAnsi="宋体" w:cs="宋体"/>
                <w:spacing w:val="-8"/>
                <w:szCs w:val="21"/>
              </w:rPr>
              <w:t>理</w:t>
            </w:r>
            <w:r>
              <w:rPr>
                <w:rFonts w:hint="eastAsia" w:ascii="宋体" w:hAnsi="宋体" w:cs="宋体"/>
              </w:rPr>
              <w:t>。</w:t>
            </w:r>
          </w:p>
          <w:p>
            <w:pPr>
              <w:spacing w:line="288" w:lineRule="auto"/>
              <w:rPr>
                <w:rFonts w:hint="eastAsia" w:ascii="宋体" w:hAnsi="宋体" w:cs="宋体"/>
              </w:rPr>
            </w:pPr>
            <w:r>
              <w:rPr>
                <w:rFonts w:hint="eastAsia" w:ascii="宋体" w:hAnsi="宋体" w:cs="宋体"/>
              </w:rPr>
              <w:t>4）不论投标结果如何，供应商均应自行承担所有与投标有关的全部费用。</w:t>
            </w:r>
          </w:p>
          <w:p>
            <w:pPr>
              <w:spacing w:line="288" w:lineRule="auto"/>
              <w:rPr>
                <w:rFonts w:hint="eastAsia" w:ascii="宋体" w:hAnsi="宋体" w:cs="宋体"/>
              </w:rPr>
            </w:pPr>
            <w:r>
              <w:rPr>
                <w:rFonts w:hint="eastAsia" w:ascii="宋体" w:hAnsi="宋体" w:cs="宋体"/>
              </w:rPr>
              <w:t>5）代理机构代理费用的收取标准和方式：代理机构参照国家发改委发改办价格[2003]857号通知和原国家计委计价格[2002]1980号文件规定（收费标准见下表，按差额定率累进法计算）的服务招标代理收费标准下浮20%，依据中标金额计算后，向中标人收取中标服务费。</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52"/>
              <w:gridCol w:w="1175"/>
              <w:gridCol w:w="117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8" w:hRule="atLeast"/>
                <w:jc w:val="center"/>
              </w:trPr>
              <w:tc>
                <w:tcPr>
                  <w:tcW w:w="3552" w:type="dxa"/>
                  <w:tcBorders>
                    <w:tl2br w:val="single" w:color="auto" w:sz="4" w:space="0"/>
                  </w:tcBorders>
                  <w:noWrap w:val="0"/>
                  <w:tcMar>
                    <w:top w:w="30" w:type="dxa"/>
                    <w:left w:w="150" w:type="dxa"/>
                    <w:bottom w:w="30" w:type="dxa"/>
                    <w:right w:w="150" w:type="dxa"/>
                  </w:tcMar>
                  <w:vAlign w:val="center"/>
                </w:tcPr>
                <w:p>
                  <w:pPr>
                    <w:spacing w:line="312" w:lineRule="auto"/>
                    <w:jc w:val="right"/>
                    <w:rPr>
                      <w:rFonts w:hint="eastAsia" w:ascii="宋体" w:hAnsi="宋体" w:cs="宋体"/>
                      <w:sz w:val="18"/>
                    </w:rPr>
                  </w:pPr>
                </w:p>
                <w:p>
                  <w:pPr>
                    <w:snapToGrid w:val="0"/>
                    <w:jc w:val="right"/>
                    <w:rPr>
                      <w:rFonts w:hint="eastAsia" w:ascii="宋体" w:hAnsi="宋体" w:cs="宋体"/>
                      <w:sz w:val="18"/>
                    </w:rPr>
                  </w:pPr>
                  <w:r>
                    <w:rPr>
                      <w:rFonts w:hint="eastAsia" w:ascii="宋体" w:hAnsi="宋体" w:cs="宋体"/>
                      <w:b/>
                      <w:sz w:val="18"/>
                    </w:rPr>
                    <w:t>服务类型费率</w:t>
                  </w:r>
                </w:p>
                <w:p>
                  <w:pPr>
                    <w:snapToGrid w:val="0"/>
                    <w:rPr>
                      <w:rFonts w:hint="eastAsia" w:ascii="宋体" w:hAnsi="宋体" w:cs="宋体"/>
                      <w:sz w:val="18"/>
                    </w:rPr>
                  </w:pPr>
                  <w:r>
                    <w:rPr>
                      <w:rFonts w:hint="eastAsia" w:ascii="宋体" w:hAnsi="宋体" w:cs="宋体"/>
                      <w:b/>
                      <w:sz w:val="18"/>
                    </w:rPr>
                    <w:t>金额（万元）</w:t>
                  </w:r>
                </w:p>
                <w:p>
                  <w:pPr>
                    <w:spacing w:line="312" w:lineRule="auto"/>
                    <w:jc w:val="right"/>
                    <w:rPr>
                      <w:rFonts w:hint="eastAsia" w:ascii="宋体" w:hAnsi="宋体" w:cs="宋体"/>
                      <w:sz w:val="18"/>
                    </w:rPr>
                  </w:pP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b/>
                      <w:sz w:val="18"/>
                    </w:rPr>
                    <w:t>货物招标</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b/>
                      <w:sz w:val="18"/>
                    </w:rPr>
                    <w:t>服务招标</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b/>
                      <w:sz w:val="18"/>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552"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100以下</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1.5%</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1.5%</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552"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100-500</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1.1%</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0.8%</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552"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500-1000</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0.8%</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0.45%</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552"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1000-5000</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0.5%</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0.25%</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552"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5000-10000</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0.25%</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0.1%</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552"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1亿～5亿</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0.05%</w:t>
                  </w:r>
                </w:p>
              </w:tc>
              <w:tc>
                <w:tcPr>
                  <w:tcW w:w="1175"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0.05%</w:t>
                  </w:r>
                </w:p>
              </w:tc>
              <w:tc>
                <w:tcPr>
                  <w:tcW w:w="1177" w:type="dxa"/>
                  <w:noWrap w:val="0"/>
                  <w:tcMar>
                    <w:top w:w="30" w:type="dxa"/>
                    <w:left w:w="150" w:type="dxa"/>
                    <w:bottom w:w="30" w:type="dxa"/>
                    <w:right w:w="150" w:type="dxa"/>
                  </w:tcMar>
                  <w:vAlign w:val="center"/>
                </w:tcPr>
                <w:p>
                  <w:pPr>
                    <w:spacing w:line="312" w:lineRule="auto"/>
                    <w:jc w:val="center"/>
                    <w:rPr>
                      <w:rFonts w:hint="eastAsia" w:ascii="宋体" w:hAnsi="宋体" w:cs="宋体"/>
                      <w:sz w:val="18"/>
                    </w:rPr>
                  </w:pPr>
                  <w:r>
                    <w:rPr>
                      <w:rFonts w:hint="eastAsia" w:ascii="宋体" w:hAnsi="宋体" w:cs="宋体"/>
                      <w:sz w:val="18"/>
                    </w:rPr>
                    <w:t>0.05%</w:t>
                  </w:r>
                </w:p>
              </w:tc>
            </w:tr>
          </w:tbl>
          <w:p>
            <w:pPr>
              <w:spacing w:line="320" w:lineRule="exact"/>
              <w:rPr>
                <w:rFonts w:hint="eastAsia" w:ascii="宋体" w:hAnsi="宋体" w:cs="宋体"/>
                <w:szCs w:val="21"/>
              </w:rPr>
            </w:pPr>
            <w:r>
              <w:rPr>
                <w:rFonts w:hint="eastAsia" w:ascii="宋体" w:hAnsi="宋体" w:cs="宋体"/>
                <w:snapToGrid w:val="0"/>
                <w:szCs w:val="21"/>
              </w:rPr>
              <w:t>备注：（1）中标服务费按差额定率累进法计算；（2）中标服务费只收现金、银行票汇款、电汇款。中标人在接到我公司通知后5个工作日内向本公司支付中标服务费，并领取中标通知书。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zCs w:val="21"/>
              </w:rPr>
            </w:pPr>
            <w:r>
              <w:rPr>
                <w:rFonts w:hint="eastAsia" w:ascii="宋体" w:hAnsi="宋体" w:cs="宋体"/>
                <w:szCs w:val="21"/>
              </w:rPr>
              <w:t>2</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12" w:lineRule="auto"/>
              <w:textAlignment w:val="bottom"/>
              <w:rPr>
                <w:rFonts w:hint="eastAsia" w:ascii="宋体" w:hAnsi="宋体" w:cs="宋体"/>
                <w:szCs w:val="21"/>
              </w:rPr>
            </w:pPr>
            <w:r>
              <w:rPr>
                <w:rFonts w:hint="eastAsia" w:ascii="宋体" w:hAnsi="宋体" w:cs="宋体"/>
                <w:szCs w:val="21"/>
              </w:rPr>
              <w:t>投标文件组成与份数：</w:t>
            </w:r>
          </w:p>
          <w:p>
            <w:pPr>
              <w:autoSpaceDE w:val="0"/>
              <w:autoSpaceDN w:val="0"/>
              <w:spacing w:line="312" w:lineRule="auto"/>
              <w:textAlignment w:val="bottom"/>
              <w:rPr>
                <w:rFonts w:hint="eastAsia" w:ascii="宋体" w:hAnsi="宋体" w:cs="宋体"/>
                <w:szCs w:val="21"/>
              </w:rPr>
            </w:pPr>
            <w:r>
              <w:rPr>
                <w:rFonts w:hint="eastAsia" w:ascii="宋体" w:hAnsi="宋体" w:cs="宋体"/>
                <w:szCs w:val="21"/>
              </w:rPr>
              <w:t>*（1）上传到政府采购云平台的电子投标文件（含资格文件、商务技术文件、报价文件）1份。</w:t>
            </w:r>
          </w:p>
          <w:p>
            <w:pPr>
              <w:autoSpaceDE w:val="0"/>
              <w:autoSpaceDN w:val="0"/>
              <w:spacing w:line="312" w:lineRule="auto"/>
              <w:textAlignment w:val="bottom"/>
              <w:rPr>
                <w:rFonts w:hint="eastAsia" w:ascii="宋体" w:hAnsi="宋体" w:cs="宋体"/>
                <w:szCs w:val="21"/>
              </w:rPr>
            </w:pPr>
            <w:r>
              <w:rPr>
                <w:rFonts w:hint="eastAsia" w:ascii="宋体" w:hAnsi="宋体" w:cs="宋体"/>
                <w:szCs w:val="21"/>
              </w:rPr>
              <w:t>（2）以U盘存储的电子备份投标文件（含资格文件、商务技术文件、报价文件）1份。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zCs w:val="21"/>
              </w:rPr>
            </w:pPr>
            <w:r>
              <w:rPr>
                <w:rFonts w:hint="eastAsia" w:ascii="宋体" w:hAnsi="宋体" w:cs="宋体"/>
                <w:szCs w:val="21"/>
              </w:rPr>
              <w:t>3</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评标结果公示：评标结束后，评标结果公示网站详见第一章《公开招标公告》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zCs w:val="21"/>
              </w:rPr>
            </w:pPr>
            <w:r>
              <w:rPr>
                <w:rFonts w:hint="eastAsia" w:ascii="宋体" w:hAnsi="宋体" w:cs="宋体"/>
                <w:szCs w:val="21"/>
              </w:rPr>
              <w:t>4</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napToGrid w:val="0"/>
                <w:szCs w:val="21"/>
              </w:rPr>
              <w:t>合同签订时间：中标通知书发出30日内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zCs w:val="21"/>
              </w:rPr>
            </w:pPr>
            <w:r>
              <w:rPr>
                <w:rFonts w:hint="eastAsia" w:ascii="宋体" w:hAnsi="宋体" w:cs="宋体"/>
                <w:szCs w:val="21"/>
              </w:rPr>
              <w:t>5</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zCs w:val="21"/>
              </w:rPr>
            </w:pPr>
            <w:r>
              <w:rPr>
                <w:rFonts w:hint="eastAsia" w:ascii="宋体" w:hAnsi="宋体" w:cs="宋体"/>
                <w:szCs w:val="21"/>
              </w:rPr>
              <w:t>*6</w:t>
            </w:r>
          </w:p>
        </w:tc>
        <w:tc>
          <w:tcPr>
            <w:tcW w:w="7922"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投标文件有效期：自开标日起90天。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54"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b/>
                <w:bCs/>
                <w:szCs w:val="21"/>
              </w:rPr>
              <w:t>解释：本采购文件的解释权属于招标采购单位。</w:t>
            </w:r>
          </w:p>
        </w:tc>
      </w:tr>
    </w:tbl>
    <w:p>
      <w:pPr>
        <w:pStyle w:val="4"/>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br w:type="column"/>
      </w:r>
      <w:bookmarkEnd w:id="17"/>
      <w:bookmarkEnd w:id="18"/>
      <w:bookmarkEnd w:id="19"/>
      <w:bookmarkEnd w:id="20"/>
      <w:bookmarkEnd w:id="21"/>
      <w:bookmarkStart w:id="22" w:name="_Toc10473"/>
      <w:bookmarkStart w:id="23" w:name="_Toc10469"/>
      <w:r>
        <w:rPr>
          <w:rFonts w:hint="eastAsia" w:ascii="宋体" w:hAnsi="宋体" w:cs="宋体"/>
          <w:sz w:val="21"/>
          <w:szCs w:val="21"/>
        </w:rPr>
        <w:t>一、总则</w:t>
      </w:r>
      <w:bookmarkEnd w:id="22"/>
      <w:bookmarkEnd w:id="23"/>
    </w:p>
    <w:p>
      <w:pPr>
        <w:pStyle w:val="6"/>
        <w:spacing w:before="0" w:after="0" w:line="360" w:lineRule="auto"/>
        <w:ind w:firstLine="422" w:firstLineChars="200"/>
        <w:jc w:val="both"/>
        <w:rPr>
          <w:rFonts w:hint="eastAsia" w:ascii="宋体" w:hAnsi="宋体" w:cs="宋体"/>
          <w:sz w:val="21"/>
          <w:szCs w:val="21"/>
        </w:rPr>
      </w:pPr>
      <w:bookmarkStart w:id="24" w:name="_Toc29096"/>
      <w:bookmarkStart w:id="25" w:name="_Toc4585"/>
      <w:r>
        <w:rPr>
          <w:rFonts w:hint="eastAsia" w:ascii="宋体" w:hAnsi="宋体" w:cs="宋体"/>
          <w:sz w:val="21"/>
          <w:szCs w:val="21"/>
        </w:rPr>
        <w:t>（一）适用范围</w:t>
      </w:r>
      <w:bookmarkEnd w:id="24"/>
      <w:bookmarkEnd w:id="25"/>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本采购文件适用于</w:t>
      </w:r>
      <w:r>
        <w:rPr>
          <w:rFonts w:hint="eastAsia" w:hAnsi="宋体" w:cs="宋体"/>
          <w:b/>
          <w:bCs/>
          <w:sz w:val="21"/>
          <w:szCs w:val="21"/>
        </w:rPr>
        <w:t>潘火街道2024-2026年度绿化养护服务及零星整改提升项目</w:t>
      </w:r>
      <w:r>
        <w:rPr>
          <w:rFonts w:hint="eastAsia" w:hAnsi="宋体" w:cs="宋体"/>
          <w:sz w:val="21"/>
          <w:szCs w:val="21"/>
        </w:rPr>
        <w:t>的招标、投标、评标、定标、验收、合同履约、付款等行为（法律、法规另有规定的，从其规定）。</w:t>
      </w:r>
    </w:p>
    <w:p>
      <w:pPr>
        <w:pStyle w:val="4"/>
        <w:snapToGrid w:val="0"/>
        <w:spacing w:before="0" w:after="0" w:line="360" w:lineRule="auto"/>
        <w:ind w:firstLine="422" w:firstLineChars="200"/>
        <w:jc w:val="both"/>
        <w:rPr>
          <w:rFonts w:hint="eastAsia" w:ascii="宋体" w:hAnsi="宋体" w:cs="宋体"/>
          <w:sz w:val="21"/>
          <w:szCs w:val="21"/>
        </w:rPr>
      </w:pPr>
      <w:bookmarkStart w:id="26" w:name="_Toc15890"/>
      <w:bookmarkStart w:id="27" w:name="_Toc990"/>
      <w:bookmarkStart w:id="28" w:name="_Toc463726785"/>
      <w:r>
        <w:rPr>
          <w:rFonts w:hint="eastAsia" w:ascii="宋体" w:hAnsi="宋体" w:cs="宋体"/>
          <w:sz w:val="21"/>
          <w:szCs w:val="21"/>
        </w:rPr>
        <w:t>（二）定义</w:t>
      </w:r>
      <w:bookmarkEnd w:id="26"/>
      <w:bookmarkEnd w:id="27"/>
      <w:bookmarkEnd w:id="28"/>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1．“招标采购单位”系指组织本次招标的“</w:t>
      </w:r>
      <w:r>
        <w:rPr>
          <w:rFonts w:hint="eastAsia" w:hAnsi="宋体" w:cs="宋体"/>
          <w:b/>
          <w:bCs/>
          <w:sz w:val="21"/>
          <w:szCs w:val="21"/>
        </w:rPr>
        <w:t>宁波市鄞州区人民政府潘火街道办事处</w:t>
      </w:r>
      <w:r>
        <w:rPr>
          <w:rFonts w:hint="eastAsia" w:hAnsi="宋体" w:cs="宋体"/>
          <w:sz w:val="21"/>
          <w:szCs w:val="21"/>
        </w:rPr>
        <w:t>”。</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2．“采购代理机构”系指组织本次招标的“</w:t>
      </w:r>
      <w:r>
        <w:rPr>
          <w:rFonts w:hint="eastAsia" w:hAnsi="宋体" w:cs="宋体"/>
          <w:b/>
          <w:bCs/>
          <w:sz w:val="21"/>
          <w:szCs w:val="21"/>
        </w:rPr>
        <w:t>宁波和丰建设项目管理有限公司</w:t>
      </w:r>
      <w:r>
        <w:rPr>
          <w:rFonts w:hint="eastAsia" w:hAnsi="宋体" w:cs="宋体"/>
          <w:sz w:val="21"/>
          <w:szCs w:val="21"/>
        </w:rPr>
        <w:t>”。</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3．“供应商”系指向招标采购单位提交投标文件的投标单位。</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4．“货物/产品”系指供方按采购文件规定，须向采购人提供的一切设备、保险、税金、备品备件、工具、手册、台账记录及其它有关技术资料和材料。</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5．“服务”系指采购文件规定投标人须承担的安装、调试、技术协助、校准、培训、技术指导以及其他类似的义务。</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6．“项目”系指投标人按采购文件规定向采购人提供的货物/产品和服务。</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7．“书面形式”包括信函、传真、电报等。</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8．“*”系指实质性要求条款，投标人的投标对任何带“*”号的重要商务和技术条款的偏离和未作实质性响应都将直接导致无效标。</w:t>
      </w:r>
    </w:p>
    <w:p>
      <w:pPr>
        <w:pStyle w:val="6"/>
        <w:spacing w:before="0" w:after="0" w:line="360" w:lineRule="auto"/>
        <w:ind w:firstLine="422" w:firstLineChars="200"/>
        <w:jc w:val="both"/>
        <w:rPr>
          <w:rFonts w:hint="eastAsia" w:ascii="宋体" w:hAnsi="宋体" w:cs="宋体"/>
          <w:sz w:val="21"/>
          <w:szCs w:val="21"/>
        </w:rPr>
      </w:pPr>
      <w:bookmarkStart w:id="29" w:name="_Toc17292"/>
      <w:bookmarkStart w:id="30" w:name="_Toc13997"/>
      <w:bookmarkStart w:id="31" w:name="_Toc463726786"/>
      <w:r>
        <w:rPr>
          <w:rFonts w:hint="eastAsia" w:ascii="宋体" w:hAnsi="宋体" w:cs="宋体"/>
          <w:sz w:val="21"/>
          <w:szCs w:val="21"/>
        </w:rPr>
        <w:t>（三）招标方式</w:t>
      </w:r>
      <w:bookmarkEnd w:id="29"/>
      <w:bookmarkEnd w:id="30"/>
      <w:bookmarkEnd w:id="31"/>
    </w:p>
    <w:p>
      <w:pPr>
        <w:pStyle w:val="26"/>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本次招标采用公开招标方式进行。</w:t>
      </w:r>
    </w:p>
    <w:p>
      <w:pPr>
        <w:pStyle w:val="6"/>
        <w:spacing w:before="0" w:after="0" w:line="360" w:lineRule="auto"/>
        <w:ind w:firstLine="422" w:firstLineChars="200"/>
        <w:jc w:val="both"/>
        <w:rPr>
          <w:rFonts w:hint="eastAsia" w:ascii="宋体" w:hAnsi="宋体" w:cs="宋体"/>
          <w:sz w:val="21"/>
          <w:szCs w:val="21"/>
        </w:rPr>
      </w:pPr>
      <w:bookmarkStart w:id="32" w:name="_Toc5400"/>
      <w:bookmarkStart w:id="33" w:name="_Toc5871"/>
      <w:bookmarkStart w:id="34" w:name="_Toc463726787"/>
      <w:r>
        <w:rPr>
          <w:rFonts w:hint="eastAsia" w:ascii="宋体" w:hAnsi="宋体" w:cs="宋体"/>
          <w:sz w:val="21"/>
          <w:szCs w:val="21"/>
        </w:rPr>
        <w:t>（四）投标委托</w:t>
      </w:r>
      <w:bookmarkEnd w:id="32"/>
      <w:bookmarkEnd w:id="33"/>
      <w:bookmarkEnd w:id="34"/>
    </w:p>
    <w:p>
      <w:pPr>
        <w:pStyle w:val="6"/>
        <w:spacing w:before="0" w:after="0" w:line="360" w:lineRule="auto"/>
        <w:ind w:firstLine="420" w:firstLineChars="200"/>
        <w:jc w:val="both"/>
        <w:rPr>
          <w:rFonts w:hint="eastAsia" w:ascii="宋体" w:hAnsi="宋体" w:cs="宋体"/>
          <w:b w:val="0"/>
          <w:sz w:val="21"/>
          <w:szCs w:val="21"/>
        </w:rPr>
      </w:pPr>
      <w:bookmarkStart w:id="35" w:name="_Toc463726788"/>
      <w:bookmarkStart w:id="36" w:name="_Toc11329"/>
      <w:bookmarkStart w:id="37" w:name="_Toc15299"/>
      <w:r>
        <w:rPr>
          <w:rFonts w:hint="eastAsia" w:ascii="宋体" w:hAnsi="宋体" w:cs="宋体"/>
          <w:b w:val="0"/>
          <w:sz w:val="21"/>
          <w:szCs w:val="21"/>
        </w:rPr>
        <w:t>如供应商派授权代表出席开标会议，授权代表须携带有效身份证件。如供应商代表不是法定代表人，须有法定代表人出具的授权委托书（正本用原件，副本用扫描件，格式见第六章）。</w:t>
      </w:r>
    </w:p>
    <w:p>
      <w:pPr>
        <w:pStyle w:val="6"/>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（五）投标费用</w:t>
      </w:r>
      <w:bookmarkEnd w:id="35"/>
      <w:bookmarkEnd w:id="36"/>
      <w:bookmarkEnd w:id="37"/>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不论投标结果如何，投标人均应自行承担所有与投标有关的全部费用（采购文件有相关规定除外）。</w:t>
      </w:r>
    </w:p>
    <w:p>
      <w:pPr>
        <w:pStyle w:val="6"/>
        <w:spacing w:before="0" w:after="0" w:line="360" w:lineRule="auto"/>
        <w:ind w:firstLine="422" w:firstLineChars="200"/>
        <w:jc w:val="both"/>
        <w:rPr>
          <w:rFonts w:hint="eastAsia" w:ascii="宋体" w:hAnsi="宋体" w:cs="宋体"/>
          <w:sz w:val="21"/>
          <w:szCs w:val="21"/>
        </w:rPr>
      </w:pPr>
      <w:bookmarkStart w:id="38" w:name="_Toc20144"/>
      <w:bookmarkStart w:id="39" w:name="_Toc463726789"/>
      <w:bookmarkStart w:id="40" w:name="_Toc19724"/>
      <w:r>
        <w:rPr>
          <w:rFonts w:hint="eastAsia" w:ascii="宋体" w:hAnsi="宋体" w:cs="宋体"/>
          <w:sz w:val="21"/>
          <w:szCs w:val="21"/>
        </w:rPr>
        <w:t>（六）联合体投标</w:t>
      </w:r>
      <w:bookmarkEnd w:id="38"/>
      <w:bookmarkEnd w:id="39"/>
      <w:bookmarkEnd w:id="40"/>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本项目不接受联合体投标。</w:t>
      </w:r>
    </w:p>
    <w:p>
      <w:pPr>
        <w:pStyle w:val="6"/>
        <w:spacing w:before="0" w:after="0" w:line="360" w:lineRule="auto"/>
        <w:ind w:firstLine="422" w:firstLineChars="200"/>
        <w:jc w:val="both"/>
        <w:rPr>
          <w:rFonts w:hint="eastAsia" w:ascii="宋体" w:hAnsi="宋体" w:cs="宋体"/>
          <w:sz w:val="21"/>
          <w:szCs w:val="21"/>
        </w:rPr>
      </w:pPr>
      <w:bookmarkStart w:id="41" w:name="_Toc23312"/>
      <w:bookmarkStart w:id="42" w:name="_Toc463726790"/>
      <w:bookmarkStart w:id="43" w:name="_Toc23253"/>
      <w:r>
        <w:rPr>
          <w:rFonts w:hint="eastAsia" w:ascii="宋体" w:hAnsi="宋体" w:cs="宋体"/>
          <w:sz w:val="21"/>
          <w:szCs w:val="21"/>
        </w:rPr>
        <w:t>（七）转包与分包</w:t>
      </w:r>
      <w:bookmarkEnd w:id="41"/>
      <w:bookmarkEnd w:id="42"/>
      <w:bookmarkEnd w:id="43"/>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本项目不得转包</w:t>
      </w:r>
      <w:r>
        <w:rPr>
          <w:rFonts w:hAnsi="宋体" w:cs="宋体"/>
          <w:sz w:val="21"/>
          <w:szCs w:val="21"/>
        </w:rPr>
        <w:t>、分包</w:t>
      </w:r>
      <w:r>
        <w:rPr>
          <w:rFonts w:hint="eastAsia" w:hAnsi="宋体" w:cs="宋体"/>
          <w:sz w:val="21"/>
          <w:szCs w:val="21"/>
        </w:rPr>
        <w:t>。</w:t>
      </w:r>
    </w:p>
    <w:p>
      <w:pPr>
        <w:pStyle w:val="6"/>
        <w:spacing w:before="0" w:after="0" w:line="360" w:lineRule="auto"/>
        <w:ind w:firstLine="422" w:firstLineChars="200"/>
        <w:jc w:val="both"/>
        <w:rPr>
          <w:rFonts w:hint="eastAsia" w:ascii="宋体" w:hAnsi="宋体" w:cs="宋体"/>
          <w:sz w:val="21"/>
          <w:szCs w:val="21"/>
        </w:rPr>
      </w:pPr>
      <w:bookmarkStart w:id="44" w:name="_Toc27052"/>
      <w:bookmarkStart w:id="45" w:name="_Toc6313"/>
      <w:bookmarkStart w:id="46" w:name="_Toc463726791"/>
      <w:r>
        <w:rPr>
          <w:rFonts w:hint="eastAsia" w:ascii="宋体" w:hAnsi="宋体" w:cs="宋体"/>
          <w:sz w:val="21"/>
          <w:szCs w:val="21"/>
        </w:rPr>
        <w:t>（八）特别说明</w:t>
      </w:r>
      <w:bookmarkEnd w:id="44"/>
      <w:bookmarkEnd w:id="45"/>
      <w:bookmarkEnd w:id="46"/>
    </w:p>
    <w:p>
      <w:pPr>
        <w:widowControl/>
        <w:spacing w:line="360" w:lineRule="auto"/>
        <w:ind w:firstLine="420" w:firstLineChars="200"/>
        <w:rPr>
          <w:rFonts w:hint="eastAsia" w:ascii="宋体" w:hAnsi="宋体" w:cs="宋体"/>
          <w:szCs w:val="21"/>
        </w:rPr>
      </w:pPr>
      <w:bookmarkStart w:id="47" w:name="_Toc14980"/>
      <w:bookmarkStart w:id="48" w:name="_Toc24860"/>
      <w:bookmarkStart w:id="49" w:name="_Toc463726792"/>
      <w:r>
        <w:rPr>
          <w:rFonts w:hint="eastAsia" w:ascii="宋体" w:hAnsi="宋体" w:cs="宋体"/>
          <w:szCs w:val="21"/>
        </w:rPr>
        <w:t>1.投标人投标所使用的资格、信誉、荣誉、业绩与企业认证必须为本法人所拥有。投标人投标所使用的采购项目实施人员必须为本法人员工（或必须为本法人或控股公司正式员工）。</w:t>
      </w:r>
    </w:p>
    <w:p>
      <w:pPr>
        <w:widowControl/>
        <w:spacing w:line="360" w:lineRule="auto"/>
        <w:ind w:firstLine="420" w:firstLineChars="200"/>
        <w:rPr>
          <w:rFonts w:hint="eastAsia" w:ascii="宋体" w:hAnsi="宋体" w:cs="宋体"/>
          <w:szCs w:val="21"/>
        </w:rPr>
      </w:pPr>
      <w:r>
        <w:rPr>
          <w:rFonts w:hint="eastAsia" w:ascii="宋体" w:hAnsi="宋体" w:cs="宋体"/>
          <w:szCs w:val="21"/>
        </w:rPr>
        <w:t>2.投标人应仔细阅读采购文件的所有内容，按照采购文件的要求提交投标文件，并对所提供的全部资料的真实性承担法律责任。</w:t>
      </w:r>
    </w:p>
    <w:p>
      <w:pPr>
        <w:widowControl/>
        <w:spacing w:line="360" w:lineRule="auto"/>
        <w:ind w:firstLine="420" w:firstLineChars="200"/>
        <w:rPr>
          <w:rFonts w:hint="eastAsia" w:ascii="宋体" w:hAnsi="宋体" w:cs="宋体"/>
          <w:szCs w:val="21"/>
        </w:rPr>
      </w:pPr>
      <w:r>
        <w:rPr>
          <w:rFonts w:hint="eastAsia" w:ascii="宋体" w:hAnsi="宋体" w:cs="宋体"/>
          <w:szCs w:val="21"/>
        </w:rPr>
        <w:t>3.投标人在投标活动中提供任何虚假材料,其投标无效，并报监管部门查处；中标后发现的,中标人须依照相关规定赔偿采购人，且民事赔偿并不免除违法供应商的行政与刑事责任。</w:t>
      </w:r>
    </w:p>
    <w:p>
      <w:pPr>
        <w:pStyle w:val="6"/>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（九）质疑和投诉</w:t>
      </w:r>
      <w:bookmarkEnd w:id="47"/>
      <w:bookmarkEnd w:id="48"/>
      <w:bookmarkEnd w:id="49"/>
    </w:p>
    <w:p>
      <w:pPr>
        <w:widowControl/>
        <w:spacing w:line="360" w:lineRule="auto"/>
        <w:ind w:firstLine="420" w:firstLineChars="200"/>
        <w:rPr>
          <w:rFonts w:hint="eastAsia" w:ascii="宋体" w:hAnsi="宋体" w:cs="宋体"/>
          <w:szCs w:val="21"/>
        </w:rPr>
      </w:pPr>
      <w:r>
        <w:rPr>
          <w:rFonts w:hint="eastAsia" w:ascii="宋体" w:hAnsi="宋体" w:cs="宋体"/>
          <w:szCs w:val="21"/>
        </w:rPr>
        <w:t>1.投标人认为采购文件、招标过程或中标结果使自己的合法权益受到损害的，应当在知道或者应知其权益受到损害之日起七个工作日内，以书面形式向采购人、采购代理机构提出质疑。投标人对采购人、采购代理机构的答复不满意或者采购人、采购代理机构未在规定的时间内作出答复的，可以在答复期满后十五个工作日内向同级采购监管部门投诉。</w:t>
      </w:r>
    </w:p>
    <w:p>
      <w:pPr>
        <w:widowControl/>
        <w:spacing w:line="360" w:lineRule="auto"/>
        <w:ind w:firstLine="420" w:firstLineChars="200"/>
        <w:rPr>
          <w:rFonts w:hint="eastAsia" w:ascii="宋体" w:hAnsi="宋体" w:cs="宋体"/>
          <w:szCs w:val="21"/>
        </w:rPr>
      </w:pPr>
      <w:r>
        <w:rPr>
          <w:rFonts w:hint="eastAsia" w:ascii="宋体" w:hAnsi="宋体" w:cs="宋体"/>
          <w:szCs w:val="21"/>
        </w:rPr>
        <w:t>2.质疑、投诉应当采用书面形式，质疑书、投诉书均应明确阐述采购文件、招标过程或中标结果中使自己合法权益受到损害的实质性内容，提供相关事实、依据和证据及其来源或线索，便于有关单位调查、答复和处理。</w:t>
      </w:r>
    </w:p>
    <w:p>
      <w:pPr>
        <w:widowControl/>
        <w:spacing w:line="360" w:lineRule="auto"/>
        <w:ind w:firstLine="420" w:firstLineChars="200"/>
        <w:rPr>
          <w:rFonts w:hint="eastAsia" w:ascii="宋体" w:hAnsi="宋体" w:cs="宋体"/>
          <w:szCs w:val="21"/>
        </w:rPr>
      </w:pPr>
      <w:r>
        <w:rPr>
          <w:rFonts w:hint="eastAsia" w:ascii="宋体" w:hAnsi="宋体" w:cs="宋体"/>
          <w:szCs w:val="21"/>
        </w:rPr>
        <w:t>3.政府采购法第五十二条规定的投标人应知其权益受到损害之日，是指：</w:t>
      </w:r>
    </w:p>
    <w:p>
      <w:pPr>
        <w:widowControl/>
        <w:spacing w:line="360" w:lineRule="auto"/>
        <w:ind w:firstLine="420" w:firstLineChars="200"/>
        <w:rPr>
          <w:rFonts w:hint="eastAsia" w:ascii="宋体" w:hAnsi="宋体" w:cs="宋体"/>
          <w:szCs w:val="21"/>
        </w:rPr>
      </w:pPr>
      <w:r>
        <w:rPr>
          <w:rFonts w:hint="eastAsia" w:ascii="宋体" w:hAnsi="宋体" w:cs="宋体"/>
          <w:szCs w:val="21"/>
        </w:rPr>
        <w:t>（1）对可以质疑的采购文件提出质疑的，为收到采购文件之日或者采购文件公告期限届满之日；</w:t>
      </w:r>
    </w:p>
    <w:p>
      <w:pPr>
        <w:widowControl/>
        <w:spacing w:line="360" w:lineRule="auto"/>
        <w:ind w:firstLine="420" w:firstLineChars="200"/>
        <w:rPr>
          <w:rFonts w:hint="eastAsia" w:ascii="宋体" w:hAnsi="宋体" w:cs="宋体"/>
          <w:szCs w:val="21"/>
        </w:rPr>
      </w:pPr>
      <w:r>
        <w:rPr>
          <w:rFonts w:hint="eastAsia" w:ascii="宋体" w:hAnsi="宋体" w:cs="宋体"/>
          <w:szCs w:val="21"/>
        </w:rPr>
        <w:t>（2）对采购过程提出质疑的，为各采购程序环节结束之日；</w:t>
      </w:r>
    </w:p>
    <w:p>
      <w:pPr>
        <w:widowControl/>
        <w:spacing w:line="360" w:lineRule="auto"/>
        <w:ind w:firstLine="420" w:firstLineChars="200"/>
        <w:rPr>
          <w:rFonts w:hint="eastAsia" w:ascii="宋体" w:hAnsi="宋体" w:cs="宋体"/>
          <w:szCs w:val="21"/>
        </w:rPr>
      </w:pPr>
      <w:r>
        <w:rPr>
          <w:rFonts w:hint="eastAsia" w:ascii="宋体" w:hAnsi="宋体" w:cs="宋体"/>
          <w:szCs w:val="21"/>
        </w:rPr>
        <w:t>（3）对中标或者成交结果提出质疑的，为中标或者成交结果公告期限届满之日。</w:t>
      </w:r>
    </w:p>
    <w:p>
      <w:pPr>
        <w:pStyle w:val="5"/>
        <w:snapToGrid w:val="0"/>
        <w:spacing w:before="0" w:after="0" w:line="360" w:lineRule="auto"/>
        <w:ind w:firstLine="422" w:firstLineChars="200"/>
        <w:rPr>
          <w:rFonts w:hint="eastAsia" w:ascii="宋体" w:hAnsi="宋体" w:eastAsia="宋体" w:cs="宋体"/>
          <w:sz w:val="21"/>
          <w:szCs w:val="21"/>
        </w:rPr>
      </w:pPr>
      <w:bookmarkStart w:id="50" w:name="_Toc18365"/>
      <w:bookmarkStart w:id="51" w:name="_Toc7699"/>
      <w:bookmarkStart w:id="52" w:name="_Toc463726793"/>
      <w:r>
        <w:rPr>
          <w:rFonts w:hint="eastAsia" w:ascii="宋体" w:hAnsi="宋体" w:eastAsia="宋体" w:cs="宋体"/>
          <w:sz w:val="21"/>
          <w:szCs w:val="21"/>
        </w:rPr>
        <w:t>二、</w:t>
      </w:r>
      <w:bookmarkEnd w:id="50"/>
      <w:bookmarkEnd w:id="51"/>
      <w:bookmarkEnd w:id="52"/>
      <w:r>
        <w:rPr>
          <w:rFonts w:hint="eastAsia" w:ascii="宋体" w:hAnsi="宋体" w:eastAsia="宋体" w:cs="宋体"/>
          <w:sz w:val="21"/>
          <w:szCs w:val="21"/>
        </w:rPr>
        <w:t>采购文件</w:t>
      </w:r>
    </w:p>
    <w:p>
      <w:pPr>
        <w:pStyle w:val="6"/>
        <w:snapToGrid w:val="0"/>
        <w:spacing w:before="0" w:after="0" w:line="360" w:lineRule="auto"/>
        <w:ind w:firstLine="422" w:firstLineChars="200"/>
        <w:jc w:val="both"/>
        <w:rPr>
          <w:rFonts w:hint="eastAsia" w:ascii="宋体" w:hAnsi="宋体" w:cs="宋体"/>
          <w:sz w:val="21"/>
          <w:szCs w:val="21"/>
        </w:rPr>
      </w:pPr>
      <w:bookmarkStart w:id="53" w:name="_Toc18655"/>
      <w:bookmarkStart w:id="54" w:name="_Toc463726794"/>
      <w:bookmarkStart w:id="55" w:name="_Toc18067"/>
      <w:r>
        <w:rPr>
          <w:rFonts w:hint="eastAsia" w:ascii="宋体" w:hAnsi="宋体" w:cs="宋体"/>
          <w:sz w:val="21"/>
          <w:szCs w:val="21"/>
        </w:rPr>
        <w:t>（一）采购文件的构成</w:t>
      </w:r>
      <w:bookmarkEnd w:id="53"/>
      <w:bookmarkEnd w:id="54"/>
      <w:bookmarkEnd w:id="55"/>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本采购文件由以下部分组成：</w:t>
      </w:r>
      <w:bookmarkStart w:id="56" w:name="_Toc1942"/>
      <w:bookmarkStart w:id="57" w:name="_Toc463726795"/>
      <w:bookmarkStart w:id="58" w:name="_Toc4926"/>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1.公开招标采购公告；</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2.采购需求</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3.供应商须知</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4.评标办法及评分标准</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5.政府采购合同主要条款</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6.投标文件格式</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7.本项目采购文件的澄清、答复、修改、补充的内容</w:t>
      </w:r>
    </w:p>
    <w:p>
      <w:pPr>
        <w:pStyle w:val="6"/>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（二）</w:t>
      </w:r>
      <w:bookmarkEnd w:id="56"/>
      <w:bookmarkEnd w:id="57"/>
      <w:bookmarkEnd w:id="58"/>
      <w:r>
        <w:rPr>
          <w:rFonts w:hint="eastAsia" w:ascii="宋体" w:hAnsi="宋体" w:cs="宋体"/>
          <w:sz w:val="21"/>
          <w:szCs w:val="21"/>
        </w:rPr>
        <w:t>供应商的风险</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供应商没有按照采购文件要求提供全部资料，或者供应商没有对采购文件在各方面作出实质性响应是供应商的风险，并可能导致其投标被拒绝。</w:t>
      </w:r>
    </w:p>
    <w:p>
      <w:pPr>
        <w:pStyle w:val="6"/>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 xml:space="preserve">（三）采购文件的澄清与修改 </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采购单位、采购代理机构对已发出的采购文件进行必要的澄清或者修改时，澄清或者修改的内容可能影响投标文件编制的，将在招标公告规定的投标截止时间十五日前，以书面形式或在规定信息发布网站上通知所有已获取采购文件的潜在投标人，并要求潜在投标人进行传真或书面确认澄清和修改已收悉，澄清和修改的内容作为采购文件的组成部分。采购人或招标代理机构根据实际情况，延长投标截止时间的，在投标截止时间三日前告知所有已获取采购文件的潜在投标人，并要求回执确认。</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2.采购文件澄清、答复、修改、补充的内容为采购文件的组成部分。当采购文件与采购文件的答复、澄清、修改、补充通知就同一内容的表述不一致时，以最后发出的书面文件为准。</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3.采购文件的澄清、答复、修改或补充都应该通过本代理机构以法定形式发布，采购人非通过本机构，不得擅自澄清、答复、修改或补充采购文件。</w:t>
      </w:r>
    </w:p>
    <w:p>
      <w:pPr>
        <w:pStyle w:val="6"/>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（四）对采购文件的异议</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已获取采购文件的潜在投标人对采购文件有异议，应知其权益受到损害之日起七个工作日内书面提出。逾期提出的将不予受理。对采购文件的异议应有法定代表人或其委托代理人签字，并盖投标人公章和注明日期。</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2.没有提出异议且又参与了该项目投标的投标人将被视为完全认同采购文件。</w:t>
      </w:r>
    </w:p>
    <w:p>
      <w:pPr>
        <w:pStyle w:val="5"/>
        <w:snapToGrid w:val="0"/>
        <w:spacing w:before="0" w:after="0" w:line="360" w:lineRule="auto"/>
        <w:ind w:firstLine="422" w:firstLineChars="200"/>
        <w:rPr>
          <w:rFonts w:hint="eastAsia" w:ascii="宋体" w:hAnsi="宋体" w:eastAsia="宋体" w:cs="宋体"/>
          <w:sz w:val="21"/>
          <w:szCs w:val="21"/>
        </w:rPr>
      </w:pPr>
      <w:bookmarkStart w:id="59" w:name="_Toc13154"/>
      <w:bookmarkStart w:id="60" w:name="_Toc7461"/>
      <w:bookmarkStart w:id="61" w:name="_Toc463726798"/>
      <w:r>
        <w:rPr>
          <w:rFonts w:hint="eastAsia" w:ascii="宋体" w:hAnsi="宋体" w:eastAsia="宋体" w:cs="宋体"/>
          <w:sz w:val="21"/>
          <w:szCs w:val="21"/>
        </w:rPr>
        <w:t>三、投标文件的编制</w:t>
      </w:r>
      <w:bookmarkEnd w:id="59"/>
      <w:bookmarkEnd w:id="60"/>
      <w:bookmarkEnd w:id="61"/>
    </w:p>
    <w:p>
      <w:pPr>
        <w:snapToGrid w:val="0"/>
        <w:spacing w:line="360" w:lineRule="auto"/>
        <w:ind w:firstLine="422" w:firstLineChars="200"/>
        <w:outlineLvl w:val="2"/>
        <w:rPr>
          <w:rFonts w:hint="eastAsia" w:ascii="宋体" w:hAnsi="宋体" w:cs="宋体"/>
          <w:b/>
          <w:szCs w:val="21"/>
        </w:rPr>
      </w:pPr>
      <w:r>
        <w:rPr>
          <w:rFonts w:hint="eastAsia" w:ascii="宋体" w:hAnsi="宋体" w:cs="宋体"/>
          <w:b/>
          <w:szCs w:val="21"/>
        </w:rPr>
        <w:t>（一）投标文件的形式和效力</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1.投标文件分为电子投标文件以及备份投标文件，备份投标文件分为以U盘存储的电子备份投标文件。</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2.电子投标文件，按“政采云投标人项目采购-电子招投标操作指南”及本采购文件要求制作、加密并递交。</w:t>
      </w:r>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3.以U盘存储的电子备份投标文件，须按“政采云投标人项目采购-电子招投标操作指南”制作的备份文件（电子备份投标文件后缀格式为“.bfbs”）。</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4.投标文件的效力：</w:t>
      </w:r>
      <w:r>
        <w:rPr>
          <w:rFonts w:hint="eastAsia" w:hAnsi="宋体" w:cs="宋体"/>
          <w:b/>
          <w:bCs/>
          <w:sz w:val="21"/>
          <w:szCs w:val="21"/>
        </w:rPr>
        <w:t>投标文件的启用，按先后顺位分别为电子投标文件、以U盘存储的电子备份投标文件。在下一顺位的投标文件启用时，前一顺位的投标文件自动失效。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电子投标文件未能按时解密，投标人提供了电子备份投标文件以电子备份投标文件作为评标依据。电子投标文件已按时解密的，电子备份投标文件自动失效。</w:t>
      </w:r>
    </w:p>
    <w:p>
      <w:pPr>
        <w:adjustRightInd w:val="0"/>
        <w:snapToGrid w:val="0"/>
        <w:spacing w:line="360" w:lineRule="auto"/>
        <w:ind w:firstLine="422" w:firstLineChars="200"/>
        <w:outlineLvl w:val="2"/>
        <w:rPr>
          <w:rFonts w:hint="eastAsia" w:ascii="宋体" w:hAnsi="宋体" w:cs="宋体"/>
          <w:b/>
          <w:szCs w:val="21"/>
        </w:rPr>
      </w:pPr>
      <w:r>
        <w:rPr>
          <w:rFonts w:hint="eastAsia" w:ascii="宋体" w:hAnsi="宋体" w:cs="宋体"/>
          <w:b/>
          <w:szCs w:val="21"/>
        </w:rPr>
        <w:t>（二）投标文件的组成</w:t>
      </w:r>
    </w:p>
    <w:p>
      <w:pPr>
        <w:adjustRightInd w:val="0"/>
        <w:snapToGrid w:val="0"/>
        <w:spacing w:line="360" w:lineRule="auto"/>
        <w:ind w:firstLine="420" w:firstLineChars="200"/>
        <w:rPr>
          <w:rFonts w:hint="eastAsia" w:ascii="宋体" w:hAnsi="宋体" w:cs="宋体"/>
          <w:b/>
          <w:bCs/>
          <w:szCs w:val="21"/>
        </w:rPr>
      </w:pPr>
      <w:r>
        <w:rPr>
          <w:rFonts w:hint="eastAsia" w:ascii="宋体" w:hAnsi="宋体" w:cs="宋体"/>
          <w:szCs w:val="21"/>
        </w:rPr>
        <w:t>投标文件由资格文件、商务技术文件和报价文件三部分组成；</w:t>
      </w:r>
      <w:r>
        <w:rPr>
          <w:rFonts w:hint="eastAsia" w:ascii="宋体" w:hAnsi="宋体" w:cs="宋体"/>
          <w:b/>
          <w:bCs/>
          <w:szCs w:val="21"/>
        </w:rPr>
        <w:t>电子投标文件中所须加盖公章部分均采用CA签章。</w:t>
      </w:r>
    </w:p>
    <w:p>
      <w:pPr>
        <w:snapToGrid w:val="0"/>
        <w:spacing w:line="360" w:lineRule="auto"/>
        <w:ind w:firstLine="422" w:firstLineChars="200"/>
        <w:rPr>
          <w:rFonts w:hint="eastAsia" w:ascii="宋体" w:hAnsi="宋体" w:cs="宋体"/>
          <w:b/>
          <w:bCs/>
          <w:szCs w:val="21"/>
        </w:rPr>
      </w:pPr>
      <w:r>
        <w:rPr>
          <w:rFonts w:hint="eastAsia" w:ascii="宋体" w:hAnsi="宋体" w:cs="宋体"/>
          <w:b/>
          <w:bCs/>
          <w:szCs w:val="21"/>
        </w:rPr>
        <w:t>1.资格文件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（1）供应商资格声明函；</w:t>
      </w:r>
    </w:p>
    <w:p>
      <w:pPr>
        <w:snapToGrid w:val="0"/>
        <w:spacing w:line="360" w:lineRule="auto"/>
        <w:ind w:firstLine="420" w:firstLineChars="200"/>
        <w:rPr>
          <w:rFonts w:hint="eastAsia" w:ascii="宋体" w:hAnsi="宋体" w:cs="宋体"/>
          <w:szCs w:val="21"/>
        </w:rPr>
      </w:pPr>
      <w:r>
        <w:rPr>
          <w:rFonts w:hint="eastAsia" w:ascii="宋体" w:hAnsi="宋体" w:cs="宋体"/>
          <w:szCs w:val="21"/>
        </w:rPr>
        <w:t>（2）有效的企业法人营业执照（或事业法人登记证）、其他组织（个体工商户）的营业执照或者民办非企业单位登记证书扫描件；供应商如果有名称变更的，应提供由行政主管部门出具的变更证明文件；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（3）供应商特定资格条件的证明文件：详见“第一章 公开招标采购公告 二、申请人的资格要求：3.本项目的特定资格要求”；</w:t>
      </w:r>
    </w:p>
    <w:p>
      <w:pPr>
        <w:snapToGrid w:val="0"/>
        <w:spacing w:line="360" w:lineRule="auto"/>
        <w:ind w:firstLine="420" w:firstLineChars="200"/>
        <w:rPr>
          <w:rFonts w:hint="eastAsia" w:ascii="宋体" w:hAnsi="宋体" w:cs="宋体"/>
          <w:szCs w:val="21"/>
        </w:rPr>
      </w:pPr>
      <w:r>
        <w:rPr>
          <w:rFonts w:hint="eastAsia" w:ascii="宋体" w:hAnsi="宋体" w:cs="宋体"/>
          <w:szCs w:val="21"/>
        </w:rPr>
        <w:t>（4）供应商自觉抵制政府采购领域商业贿赂行为承诺书；</w:t>
      </w:r>
    </w:p>
    <w:p>
      <w:pPr>
        <w:snapToGrid w:val="0"/>
        <w:spacing w:line="360" w:lineRule="auto"/>
        <w:ind w:firstLine="420" w:firstLineChars="200"/>
        <w:rPr>
          <w:rFonts w:hint="eastAsia" w:ascii="宋体" w:hAnsi="宋体" w:cs="宋体"/>
          <w:szCs w:val="21"/>
        </w:rPr>
      </w:pPr>
      <w:r>
        <w:rPr>
          <w:rFonts w:hint="eastAsia" w:ascii="宋体" w:hAnsi="宋体" w:cs="宋体"/>
          <w:szCs w:val="21"/>
        </w:rPr>
        <w:t>（5）采购文件要求的其他资格条件证明材料（如有）；</w:t>
      </w:r>
    </w:p>
    <w:p>
      <w:pPr>
        <w:snapToGrid w:val="0"/>
        <w:spacing w:line="360" w:lineRule="auto"/>
        <w:ind w:firstLine="422" w:firstLineChars="200"/>
        <w:rPr>
          <w:rFonts w:hint="eastAsia" w:ascii="宋体" w:hAnsi="宋体" w:cs="宋体"/>
          <w:b/>
          <w:bCs/>
          <w:szCs w:val="21"/>
        </w:rPr>
      </w:pPr>
      <w:r>
        <w:rPr>
          <w:rFonts w:hint="eastAsia" w:ascii="宋体" w:hAnsi="宋体" w:cs="宋体"/>
          <w:b/>
          <w:bCs/>
          <w:szCs w:val="21"/>
        </w:rPr>
        <w:t>2.商务技术文件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（1）评分标准对应页码；</w:t>
      </w:r>
    </w:p>
    <w:p>
      <w:pPr>
        <w:snapToGrid w:val="0"/>
        <w:spacing w:line="360" w:lineRule="auto"/>
        <w:ind w:firstLine="420" w:firstLineChars="200"/>
        <w:rPr>
          <w:rFonts w:hint="eastAsia" w:ascii="宋体" w:hAnsi="宋体" w:cs="宋体"/>
          <w:szCs w:val="21"/>
        </w:rPr>
      </w:pPr>
      <w:r>
        <w:rPr>
          <w:rFonts w:hint="eastAsia" w:ascii="宋体" w:hAnsi="宋体" w:cs="宋体"/>
          <w:szCs w:val="21"/>
        </w:rPr>
        <w:t>（2）投标函；</w:t>
      </w:r>
    </w:p>
    <w:p>
      <w:pPr>
        <w:snapToGrid w:val="0"/>
        <w:spacing w:line="360" w:lineRule="auto"/>
        <w:ind w:firstLine="420" w:firstLineChars="200"/>
        <w:rPr>
          <w:rFonts w:hint="eastAsia" w:ascii="宋体" w:hAnsi="宋体" w:cs="宋体"/>
          <w:szCs w:val="21"/>
        </w:rPr>
      </w:pPr>
      <w:r>
        <w:rPr>
          <w:rFonts w:hint="eastAsia" w:ascii="宋体" w:hAnsi="宋体" w:cs="宋体"/>
          <w:szCs w:val="21"/>
        </w:rPr>
        <w:t>（3）法定代表人身份证明或法定代表人授权委托书；</w:t>
      </w:r>
    </w:p>
    <w:p>
      <w:pPr>
        <w:snapToGrid w:val="0"/>
        <w:spacing w:line="360" w:lineRule="auto"/>
        <w:ind w:firstLine="420" w:firstLineChars="200"/>
        <w:rPr>
          <w:rFonts w:hint="eastAsia" w:ascii="宋体" w:hAnsi="宋体" w:cs="宋体"/>
          <w:szCs w:val="21"/>
        </w:rPr>
      </w:pPr>
      <w:r>
        <w:rPr>
          <w:rFonts w:hint="eastAsia" w:ascii="宋体" w:hAnsi="宋体" w:cs="宋体"/>
          <w:szCs w:val="21"/>
        </w:rPr>
        <w:t>（4）供应商基本情况表；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（5）政府采购统计基础信息表；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（6）商务技术条款响应（偏离）表；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（7）拟派本项目人员配备汇总表；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（8）企业业绩表；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（9）根据采购文件或评分标准提供的商务技术材料；</w:t>
      </w:r>
    </w:p>
    <w:p>
      <w:pPr>
        <w:snapToGrid w:val="0"/>
        <w:spacing w:line="360" w:lineRule="auto"/>
        <w:ind w:firstLine="420" w:firstLineChars="200"/>
        <w:rPr>
          <w:rFonts w:hint="eastAsia" w:ascii="宋体" w:hAnsi="宋体" w:cs="宋体"/>
          <w:szCs w:val="21"/>
        </w:rPr>
      </w:pPr>
      <w:r>
        <w:rPr>
          <w:rFonts w:hint="eastAsia" w:ascii="宋体" w:hAnsi="宋体" w:cs="宋体"/>
          <w:szCs w:val="21"/>
        </w:rPr>
        <w:t>（10）供应商认为有需要提供的其它证明资料。</w:t>
      </w:r>
    </w:p>
    <w:p>
      <w:pPr>
        <w:snapToGrid w:val="0"/>
        <w:spacing w:line="360" w:lineRule="auto"/>
        <w:ind w:firstLine="422" w:firstLineChars="200"/>
        <w:rPr>
          <w:rFonts w:hint="eastAsia" w:ascii="宋体" w:hAnsi="宋体" w:cs="宋体"/>
          <w:b/>
          <w:bCs/>
          <w:szCs w:val="21"/>
        </w:rPr>
      </w:pPr>
      <w:r>
        <w:rPr>
          <w:rFonts w:hint="eastAsia" w:ascii="宋体" w:hAnsi="宋体" w:cs="宋体"/>
          <w:b/>
          <w:bCs/>
          <w:szCs w:val="21"/>
        </w:rPr>
        <w:t>3.报价文件</w:t>
      </w:r>
    </w:p>
    <w:p>
      <w:pPr>
        <w:snapToGrid w:val="0"/>
        <w:spacing w:line="360" w:lineRule="auto"/>
        <w:ind w:firstLine="420" w:firstLineChars="200"/>
        <w:rPr>
          <w:rFonts w:hint="eastAsia" w:ascii="宋体" w:hAnsi="宋体" w:cs="宋体"/>
          <w:szCs w:val="21"/>
        </w:rPr>
      </w:pPr>
      <w:bookmarkStart w:id="62" w:name="_Toc463726800"/>
      <w:bookmarkStart w:id="63" w:name="_Toc25668"/>
      <w:bookmarkStart w:id="64" w:name="_Toc21932"/>
      <w:r>
        <w:rPr>
          <w:rFonts w:hint="eastAsia" w:ascii="宋体" w:hAnsi="宋体" w:cs="宋体"/>
          <w:szCs w:val="21"/>
        </w:rPr>
        <w:t>（1）开标一览表；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（2）投标报价明细表；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（3）中小企业声明函（如有）；</w:t>
      </w:r>
    </w:p>
    <w:p>
      <w:pPr>
        <w:snapToGrid w:val="0"/>
        <w:spacing w:line="360" w:lineRule="auto"/>
        <w:ind w:firstLine="420" w:firstLineChars="200"/>
        <w:rPr>
          <w:rFonts w:hint="eastAsia" w:ascii="宋体" w:hAnsi="宋体" w:cs="宋体"/>
          <w:szCs w:val="21"/>
        </w:rPr>
      </w:pPr>
      <w:r>
        <w:rPr>
          <w:rFonts w:hint="eastAsia" w:ascii="宋体" w:hAnsi="宋体" w:cs="宋体"/>
          <w:szCs w:val="21"/>
        </w:rPr>
        <w:t>（4）残疾人福利性单位声明函（如有）；</w:t>
      </w:r>
    </w:p>
    <w:p>
      <w:pPr>
        <w:snapToGrid w:val="0"/>
        <w:spacing w:line="360" w:lineRule="auto"/>
        <w:ind w:firstLine="420" w:firstLineChars="200"/>
        <w:rPr>
          <w:rFonts w:hint="eastAsia" w:ascii="宋体" w:hAnsi="宋体" w:cs="宋体"/>
          <w:szCs w:val="21"/>
        </w:rPr>
      </w:pPr>
      <w:r>
        <w:rPr>
          <w:rFonts w:hint="eastAsia" w:ascii="宋体" w:hAnsi="宋体" w:cs="宋体"/>
          <w:szCs w:val="21"/>
        </w:rPr>
        <w:t>（5）采购代理服务费支付承诺函；</w:t>
      </w:r>
    </w:p>
    <w:p>
      <w:pPr>
        <w:snapToGrid w:val="0"/>
        <w:spacing w:line="360" w:lineRule="auto"/>
        <w:ind w:firstLine="420" w:firstLineChars="200"/>
        <w:rPr>
          <w:rFonts w:hint="eastAsia" w:ascii="宋体" w:hAnsi="宋体" w:cs="宋体"/>
          <w:szCs w:val="21"/>
        </w:rPr>
      </w:pPr>
      <w:r>
        <w:rPr>
          <w:rFonts w:hint="eastAsia" w:ascii="宋体" w:hAnsi="宋体" w:cs="宋体"/>
          <w:szCs w:val="21"/>
        </w:rPr>
        <w:t>（6）供应商针对报价需要说明的其他文件和说明</w:t>
      </w:r>
      <w:r>
        <w:rPr>
          <w:rFonts w:hint="eastAsia" w:ascii="宋体" w:hAnsi="宋体" w:cs="宋体"/>
        </w:rPr>
        <w:t>（格式自拟）</w:t>
      </w:r>
      <w:r>
        <w:rPr>
          <w:rFonts w:hint="eastAsia" w:ascii="宋体" w:hAnsi="宋体" w:cs="宋体"/>
          <w:szCs w:val="21"/>
        </w:rPr>
        <w:t>。</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4.注意事项</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*（1）电子投标文件中所须加盖公章部分均采用CA签章。</w:t>
      </w:r>
    </w:p>
    <w:p>
      <w:pPr>
        <w:snapToGrid w:val="0"/>
        <w:spacing w:line="360" w:lineRule="auto"/>
        <w:ind w:firstLine="420" w:firstLineChars="200"/>
        <w:rPr>
          <w:rFonts w:hint="eastAsia" w:ascii="宋体" w:hAnsi="宋体" w:cs="宋体"/>
          <w:szCs w:val="21"/>
        </w:rPr>
      </w:pPr>
      <w:r>
        <w:rPr>
          <w:rFonts w:hint="eastAsia" w:ascii="宋体" w:hAnsi="宋体" w:cs="宋体"/>
          <w:szCs w:val="21"/>
        </w:rPr>
        <w:t>（2）上述组成投标文件的各项资料中本采购文件的有规定格式的，应统一按本采购文件的规定格式填写。未有规定格式的资料，投标人应自行编制，但至少要包含以上要求的内容。</w:t>
      </w:r>
    </w:p>
    <w:p>
      <w:pPr>
        <w:snapToGrid w:val="0"/>
        <w:spacing w:line="360" w:lineRule="auto"/>
        <w:ind w:firstLine="420" w:firstLineChars="200"/>
        <w:rPr>
          <w:rFonts w:hint="eastAsia" w:ascii="宋体" w:hAnsi="宋体" w:cs="宋体"/>
          <w:szCs w:val="21"/>
        </w:rPr>
      </w:pPr>
      <w:r>
        <w:rPr>
          <w:rFonts w:hint="eastAsia" w:ascii="宋体" w:hAnsi="宋体" w:cs="宋体"/>
          <w:szCs w:val="21"/>
        </w:rPr>
        <w:t>（3）投标文件在提供对投标货物/产品技术条款响应表的应答时，对采购文件有技术数值要求的参数，必须以投标货物/产品的具体技术数值据实应答；对于采购文件无数值要求的参数的应答，必须作出明确、直接、无导致两种理解可能的应答。</w:t>
      </w:r>
    </w:p>
    <w:p>
      <w:pPr>
        <w:pStyle w:val="6"/>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（三）投标文件的语言及计量</w:t>
      </w:r>
      <w:bookmarkEnd w:id="62"/>
      <w:bookmarkEnd w:id="63"/>
      <w:bookmarkEnd w:id="64"/>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w:t>
      </w:r>
      <w:r>
        <w:rPr>
          <w:rFonts w:hint="eastAsia" w:hAnsi="宋体" w:cs="宋体"/>
          <w:kern w:val="0"/>
          <w:sz w:val="21"/>
          <w:szCs w:val="21"/>
        </w:rPr>
        <w:t>投标文件以及投标人与采购人就有关投标事宜的所有来往函电</w:t>
      </w:r>
      <w:r>
        <w:rPr>
          <w:rFonts w:hint="eastAsia" w:hAnsi="宋体" w:cs="宋体"/>
          <w:sz w:val="21"/>
          <w:szCs w:val="21"/>
        </w:rPr>
        <w:t>，均应以中文汉语书写。除签名、盖章、专用名称等特殊情形外，以中文汉语以外的文字表述的投标文件视同未提供。</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*2.投标计量单位，采购文件已有明确规定的，使用采购文件规定的计量单位；采购文件没有规定的，应采用中华人民共和国法定计量单位（货币单位：人民币元），否则视同未响应。</w:t>
      </w:r>
    </w:p>
    <w:p>
      <w:pPr>
        <w:pStyle w:val="6"/>
        <w:snapToGrid w:val="0"/>
        <w:spacing w:before="0" w:after="0" w:line="360" w:lineRule="auto"/>
        <w:ind w:firstLine="422" w:firstLineChars="200"/>
        <w:jc w:val="both"/>
        <w:rPr>
          <w:rFonts w:hint="eastAsia" w:ascii="宋体" w:hAnsi="宋体" w:cs="宋体"/>
          <w:sz w:val="21"/>
          <w:szCs w:val="21"/>
        </w:rPr>
      </w:pPr>
      <w:bookmarkStart w:id="65" w:name="_Toc8930"/>
      <w:bookmarkStart w:id="66" w:name="_Toc28562"/>
      <w:bookmarkStart w:id="67" w:name="_Toc463726801"/>
      <w:r>
        <w:rPr>
          <w:rFonts w:hint="eastAsia" w:ascii="宋体" w:hAnsi="宋体" w:cs="宋体"/>
          <w:sz w:val="21"/>
          <w:szCs w:val="21"/>
        </w:rPr>
        <w:t>（四）投标报价</w:t>
      </w:r>
      <w:bookmarkEnd w:id="65"/>
      <w:bookmarkEnd w:id="66"/>
      <w:bookmarkEnd w:id="67"/>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1.投标报价应按采购文件中相关附表格式填写。</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*2.投标文件只允许有一个报价，有选择的或有条件的报价将不予接受。</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3.所有投标报价必须以人民币报价，对用外汇支付部分，须折合成人民币计入总价，总报价不受汇率变动影响。不接受外币报价，除非采购文件另有要求。</w:t>
      </w:r>
    </w:p>
    <w:p>
      <w:pPr>
        <w:pStyle w:val="26"/>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4.本项目投标应以含税人民币报价，投标报价是履行合同的最终价格，应包括完成采购内容涉及的所有费用。</w:t>
      </w:r>
    </w:p>
    <w:p>
      <w:pPr>
        <w:pStyle w:val="6"/>
        <w:snapToGrid w:val="0"/>
        <w:spacing w:before="0" w:after="0" w:line="360" w:lineRule="auto"/>
        <w:ind w:firstLine="422" w:firstLineChars="200"/>
        <w:jc w:val="both"/>
        <w:rPr>
          <w:rFonts w:hint="eastAsia" w:ascii="宋体" w:hAnsi="宋体" w:cs="宋体"/>
          <w:sz w:val="21"/>
          <w:szCs w:val="21"/>
        </w:rPr>
      </w:pPr>
      <w:bookmarkStart w:id="68" w:name="_Toc13779"/>
      <w:bookmarkStart w:id="69" w:name="_Toc463726802"/>
      <w:bookmarkStart w:id="70" w:name="_Toc8691"/>
      <w:r>
        <w:rPr>
          <w:rFonts w:hint="eastAsia" w:ascii="宋体" w:hAnsi="宋体" w:cs="宋体"/>
          <w:sz w:val="21"/>
          <w:szCs w:val="21"/>
        </w:rPr>
        <w:t>（五）投标文件的有效期</w:t>
      </w:r>
      <w:bookmarkEnd w:id="68"/>
      <w:bookmarkEnd w:id="69"/>
      <w:bookmarkEnd w:id="70"/>
    </w:p>
    <w:p>
      <w:pPr>
        <w:pStyle w:val="17"/>
        <w:widowControl w:val="0"/>
        <w:tabs>
          <w:tab w:val="clear" w:pos="454"/>
        </w:tabs>
        <w:snapToGrid w:val="0"/>
        <w:spacing w:after="0" w:afterLines="0" w:line="360" w:lineRule="auto"/>
        <w:ind w:left="0" w:firstLine="420" w:firstLineChars="200"/>
        <w:jc w:val="both"/>
        <w:rPr>
          <w:rFonts w:hint="eastAsia" w:ascii="宋体" w:hAnsi="宋体" w:cs="宋体"/>
          <w:sz w:val="21"/>
          <w:szCs w:val="21"/>
        </w:rPr>
      </w:pPr>
      <w:r>
        <w:rPr>
          <w:rFonts w:hint="eastAsia" w:ascii="宋体" w:hAnsi="宋体" w:cs="宋体"/>
          <w:sz w:val="21"/>
          <w:szCs w:val="21"/>
        </w:rPr>
        <w:t>*1.自投标截止日起</w:t>
      </w:r>
      <w:r>
        <w:rPr>
          <w:rFonts w:hint="eastAsia" w:ascii="宋体" w:hAnsi="宋体" w:cs="宋体"/>
          <w:sz w:val="21"/>
          <w:szCs w:val="21"/>
          <w:u w:val="single"/>
        </w:rPr>
        <w:t xml:space="preserve"> 90 </w:t>
      </w:r>
      <w:r>
        <w:rPr>
          <w:rFonts w:hint="eastAsia" w:ascii="宋体" w:hAnsi="宋体" w:cs="宋体"/>
          <w:sz w:val="21"/>
          <w:szCs w:val="21"/>
        </w:rPr>
        <w:t>天投标文件应保持有效，有效期不足的投标文件将被拒绝。</w:t>
      </w:r>
    </w:p>
    <w:p>
      <w:pPr>
        <w:pStyle w:val="17"/>
        <w:widowControl w:val="0"/>
        <w:tabs>
          <w:tab w:val="clear" w:pos="454"/>
        </w:tabs>
        <w:snapToGrid w:val="0"/>
        <w:spacing w:after="0" w:afterLines="0" w:line="360" w:lineRule="auto"/>
        <w:ind w:left="0" w:firstLine="420" w:firstLineChars="200"/>
        <w:jc w:val="both"/>
        <w:rPr>
          <w:rFonts w:hint="eastAsia" w:ascii="宋体" w:hAnsi="宋体" w:cs="宋体"/>
          <w:sz w:val="21"/>
          <w:szCs w:val="21"/>
        </w:rPr>
      </w:pPr>
      <w:r>
        <w:rPr>
          <w:rFonts w:hint="eastAsia" w:ascii="宋体" w:hAnsi="宋体" w:cs="宋体"/>
          <w:sz w:val="21"/>
          <w:szCs w:val="21"/>
        </w:rPr>
        <w:t>2.在特殊情况下，采购人可与投标人协商延长投标书的有效期，这种要求和答复均以书面形式进行。</w:t>
      </w:r>
    </w:p>
    <w:p>
      <w:pPr>
        <w:pStyle w:val="17"/>
        <w:widowControl w:val="0"/>
        <w:tabs>
          <w:tab w:val="clear" w:pos="454"/>
        </w:tabs>
        <w:snapToGrid w:val="0"/>
        <w:spacing w:after="0" w:afterLines="0" w:line="360" w:lineRule="auto"/>
        <w:ind w:left="0" w:firstLine="420" w:firstLineChars="200"/>
        <w:jc w:val="both"/>
        <w:rPr>
          <w:rFonts w:hint="eastAsia" w:ascii="宋体" w:hAnsi="宋体" w:cs="宋体"/>
          <w:sz w:val="21"/>
          <w:szCs w:val="21"/>
        </w:rPr>
      </w:pPr>
      <w:r>
        <w:rPr>
          <w:rFonts w:hint="eastAsia" w:ascii="宋体" w:hAnsi="宋体" w:cs="宋体"/>
          <w:sz w:val="21"/>
          <w:szCs w:val="21"/>
        </w:rPr>
        <w:t xml:space="preserve">3.投标人可拒绝接受延期要求，同意延长有效期的投标人不能修改投标文件。 </w:t>
      </w:r>
    </w:p>
    <w:p>
      <w:pPr>
        <w:pStyle w:val="17"/>
        <w:widowControl w:val="0"/>
        <w:tabs>
          <w:tab w:val="clear" w:pos="454"/>
        </w:tabs>
        <w:snapToGrid w:val="0"/>
        <w:spacing w:after="0" w:afterLines="0" w:line="360" w:lineRule="auto"/>
        <w:ind w:left="0" w:firstLine="420" w:firstLineChars="200"/>
        <w:jc w:val="both"/>
        <w:rPr>
          <w:rFonts w:hint="eastAsia" w:ascii="宋体" w:hAnsi="宋体" w:cs="宋体"/>
          <w:sz w:val="21"/>
          <w:szCs w:val="21"/>
        </w:rPr>
      </w:pPr>
      <w:r>
        <w:rPr>
          <w:rFonts w:hint="eastAsia" w:ascii="宋体" w:hAnsi="宋体" w:cs="宋体"/>
          <w:sz w:val="21"/>
          <w:szCs w:val="21"/>
        </w:rPr>
        <w:t>4.中标供应商的投标文件自开标之日起至合同履行完毕止均应保持有效。</w:t>
      </w:r>
    </w:p>
    <w:p>
      <w:pPr>
        <w:pStyle w:val="6"/>
        <w:snapToGrid w:val="0"/>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（六）投标保证金：</w:t>
      </w:r>
      <w:r>
        <w:rPr>
          <w:rFonts w:hint="eastAsia" w:ascii="宋体" w:hAnsi="宋体" w:cs="宋体"/>
          <w:b w:val="0"/>
          <w:bCs w:val="0"/>
          <w:sz w:val="21"/>
          <w:szCs w:val="21"/>
        </w:rPr>
        <w:t>本项目不收取投标保证金。</w:t>
      </w:r>
    </w:p>
    <w:p>
      <w:pPr>
        <w:pStyle w:val="6"/>
        <w:snapToGrid w:val="0"/>
        <w:spacing w:before="0" w:after="0" w:line="360" w:lineRule="auto"/>
        <w:ind w:firstLine="422" w:firstLineChars="200"/>
        <w:jc w:val="both"/>
        <w:rPr>
          <w:rFonts w:hint="eastAsia" w:ascii="宋体" w:hAnsi="宋体" w:cs="宋体"/>
          <w:sz w:val="21"/>
          <w:szCs w:val="21"/>
        </w:rPr>
      </w:pPr>
      <w:bookmarkStart w:id="71" w:name="_Toc463726804"/>
      <w:bookmarkStart w:id="72" w:name="_Toc10397"/>
      <w:bookmarkStart w:id="73" w:name="_Toc1810"/>
      <w:bookmarkStart w:id="74" w:name="_Toc16604"/>
      <w:bookmarkStart w:id="75" w:name="_Toc26999"/>
      <w:bookmarkStart w:id="76" w:name="_Toc463726815"/>
      <w:bookmarkStart w:id="77" w:name="_Toc317685588"/>
      <w:r>
        <w:rPr>
          <w:rFonts w:hint="eastAsia" w:ascii="宋体" w:hAnsi="宋体" w:cs="宋体"/>
          <w:sz w:val="21"/>
          <w:szCs w:val="21"/>
        </w:rPr>
        <w:t>（七）投标文件的签署和份数</w:t>
      </w:r>
      <w:bookmarkEnd w:id="71"/>
      <w:bookmarkEnd w:id="72"/>
      <w:bookmarkEnd w:id="73"/>
    </w:p>
    <w:p>
      <w:pPr>
        <w:spacing w:line="360" w:lineRule="auto"/>
        <w:ind w:firstLine="420" w:firstLineChars="200"/>
        <w:rPr>
          <w:rFonts w:hint="eastAsia" w:ascii="宋体" w:hAnsi="宋体" w:cs="宋体"/>
          <w:bCs/>
          <w:szCs w:val="21"/>
        </w:rPr>
      </w:pPr>
      <w:r>
        <w:rPr>
          <w:rFonts w:hint="eastAsia" w:ascii="宋体" w:hAnsi="宋体" w:cs="宋体"/>
          <w:bCs/>
          <w:szCs w:val="21"/>
        </w:rPr>
        <w:t>1.供应商应按本采购文件规定的格式和顺序编制投标文件并标注页码，投标文件内容不完整、编排混乱、未正确关联定位导致投标文件被误读、漏读或者查找不到相关内容的，是投标人的责任。</w:t>
      </w:r>
    </w:p>
    <w:p>
      <w:pPr>
        <w:spacing w:line="360" w:lineRule="auto"/>
        <w:ind w:firstLine="420" w:firstLineChars="200"/>
        <w:rPr>
          <w:rFonts w:hint="eastAsia" w:ascii="宋体" w:hAnsi="宋体" w:cs="宋体"/>
          <w:bCs/>
          <w:szCs w:val="21"/>
        </w:rPr>
      </w:pPr>
      <w:r>
        <w:rPr>
          <w:rFonts w:hint="eastAsia" w:ascii="宋体" w:hAnsi="宋体" w:cs="宋体"/>
          <w:bCs/>
          <w:szCs w:val="21"/>
        </w:rPr>
        <w:t>2.电子投标文件部分：供应商应根据“政采云投标人项目采购-电子招投标操作指南”及本采购文件规定的格式和顺序编制电子投标文件并进行关联定位；电子投标文件中须加盖投标人公章部分均采用CA签章，签字部分可用CA锁法人章（如有），未申请法人章的将签名部分签好后以扫描件形式上传至投标文件（具体操作请咨询政采云400-881-7190）。</w:t>
      </w:r>
    </w:p>
    <w:p>
      <w:pPr>
        <w:spacing w:line="360" w:lineRule="auto"/>
        <w:ind w:firstLine="422" w:firstLineChars="200"/>
        <w:rPr>
          <w:rFonts w:hint="eastAsia" w:ascii="宋体" w:hAnsi="宋体" w:cs="宋体"/>
          <w:b/>
          <w:szCs w:val="21"/>
        </w:rPr>
      </w:pPr>
      <w:r>
        <w:rPr>
          <w:rFonts w:hint="eastAsia" w:ascii="宋体" w:hAnsi="宋体" w:cs="宋体"/>
          <w:b/>
          <w:szCs w:val="21"/>
        </w:rPr>
        <w:t>3.以U盘存储的备份投标文件部分：电子投标文件的备份文件，以U盘形式存储，并单独密封递交。</w:t>
      </w:r>
      <w:r>
        <w:rPr>
          <w:rFonts w:hint="eastAsia" w:ascii="宋体" w:hAnsi="宋体" w:cs="宋体"/>
          <w:b/>
          <w:bCs/>
          <w:szCs w:val="21"/>
        </w:rPr>
        <w:t>电子备份投标文件不作实质性要求，是否提交由投标人自行决定。</w:t>
      </w:r>
    </w:p>
    <w:p>
      <w:pPr>
        <w:adjustRightInd w:val="0"/>
        <w:snapToGrid w:val="0"/>
        <w:spacing w:line="360" w:lineRule="auto"/>
        <w:ind w:firstLine="422" w:firstLineChars="200"/>
        <w:outlineLvl w:val="2"/>
        <w:rPr>
          <w:rFonts w:hint="eastAsia" w:ascii="宋体" w:hAnsi="宋体" w:cs="宋体"/>
          <w:b/>
          <w:szCs w:val="21"/>
        </w:rPr>
      </w:pPr>
      <w:r>
        <w:rPr>
          <w:rFonts w:hint="eastAsia" w:ascii="宋体" w:hAnsi="宋体" w:cs="宋体"/>
          <w:b/>
          <w:szCs w:val="21"/>
        </w:rPr>
        <w:t>（八）投标文件的包装、递交、修改和撤回</w:t>
      </w:r>
    </w:p>
    <w:p>
      <w:pPr>
        <w:adjustRightInd w:val="0"/>
        <w:snapToGrid w:val="0"/>
        <w:spacing w:line="360" w:lineRule="auto"/>
        <w:ind w:firstLine="420" w:firstLineChars="200"/>
        <w:rPr>
          <w:rFonts w:hint="eastAsia" w:ascii="宋体" w:hAnsi="宋体" w:cs="宋体"/>
          <w:szCs w:val="21"/>
        </w:rPr>
      </w:pPr>
      <w:bookmarkStart w:id="78" w:name="_Toc29964"/>
      <w:bookmarkStart w:id="79" w:name="_Toc25507"/>
      <w:bookmarkStart w:id="80" w:name="_Toc463726805"/>
      <w:bookmarkStart w:id="81" w:name="_Toc22883"/>
      <w:bookmarkStart w:id="82" w:name="_Toc16256"/>
      <w:bookmarkStart w:id="83" w:name="_Toc463726806"/>
      <w:r>
        <w:rPr>
          <w:rFonts w:hint="eastAsia" w:ascii="宋体" w:hAnsi="宋体" w:cs="宋体"/>
          <w:szCs w:val="21"/>
        </w:rPr>
        <w:t>1.电子投标文件：投标人应根据“项目采购-电子招投标操作指南”及本采购文件规定的格式和顺序编制电子投标文件并进行关联定位。</w:t>
      </w:r>
    </w:p>
    <w:p>
      <w:pPr>
        <w:adjustRightInd w:val="0"/>
        <w:snapToGrid w:val="0"/>
        <w:spacing w:line="360" w:lineRule="auto"/>
        <w:ind w:firstLine="422" w:firstLineChars="200"/>
        <w:rPr>
          <w:rFonts w:hint="eastAsia" w:ascii="宋体" w:hAnsi="宋体" w:cs="宋体"/>
          <w:b/>
          <w:bCs/>
          <w:szCs w:val="21"/>
        </w:rPr>
      </w:pPr>
      <w:r>
        <w:rPr>
          <w:rFonts w:hint="eastAsia" w:ascii="宋体" w:hAnsi="宋体" w:cs="宋体"/>
          <w:b/>
          <w:bCs/>
          <w:szCs w:val="21"/>
        </w:rPr>
        <w:t>2.</w:t>
      </w:r>
      <w:r>
        <w:rPr>
          <w:rFonts w:hint="eastAsia" w:ascii="宋体" w:hAnsi="宋体" w:cs="宋体"/>
          <w:b/>
          <w:bCs/>
          <w:kern w:val="0"/>
          <w:szCs w:val="21"/>
        </w:rPr>
        <w:t>电子备份投标文件：单独包封，外包装封面上应注明投标人名称、投标人地址、投标文件名称（电子投标文件的备份文件）、投标项目名称、项目编号及</w:t>
      </w:r>
      <w:r>
        <w:rPr>
          <w:rFonts w:hint="eastAsia" w:ascii="宋体" w:hAnsi="宋体" w:cs="宋体"/>
          <w:b/>
          <w:bCs/>
          <w:szCs w:val="21"/>
        </w:rPr>
        <w:t>“投标文件于投标截止时间前不得启封”</w:t>
      </w:r>
      <w:r>
        <w:rPr>
          <w:rFonts w:hint="eastAsia" w:ascii="宋体" w:hAnsi="宋体" w:cs="宋体"/>
          <w:b/>
          <w:bCs/>
          <w:kern w:val="0"/>
          <w:szCs w:val="21"/>
        </w:rPr>
        <w:t>字样，并加盖投标人公章。</w:t>
      </w:r>
    </w:p>
    <w:p>
      <w:pPr>
        <w:adjustRightInd w:val="0"/>
        <w:snapToGrid w:val="0"/>
        <w:spacing w:line="360" w:lineRule="auto"/>
        <w:ind w:firstLine="420" w:firstLineChars="200"/>
        <w:rPr>
          <w:rFonts w:hint="eastAsia" w:ascii="宋体" w:hAnsi="宋体" w:cs="宋体"/>
          <w:bCs/>
          <w:szCs w:val="21"/>
        </w:rPr>
      </w:pPr>
      <w:r>
        <w:rPr>
          <w:rFonts w:hint="eastAsia" w:ascii="宋体" w:hAnsi="宋体" w:cs="宋体"/>
          <w:bCs/>
          <w:szCs w:val="21"/>
        </w:rPr>
        <w:t>3.未按规定密封或标记的投标文件，采购人有权拒绝接受其投标。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4.如果投标人未按上述要求密封或标记而造成投标文件被误投或提前拆封的风险由投标人承担。</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5.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adjustRightInd w:val="0"/>
        <w:snapToGrid w:val="0"/>
        <w:spacing w:line="360" w:lineRule="auto"/>
        <w:ind w:firstLine="422" w:firstLineChars="200"/>
        <w:outlineLvl w:val="2"/>
        <w:rPr>
          <w:rFonts w:hint="eastAsia" w:ascii="宋体" w:hAnsi="宋体" w:cs="宋体"/>
          <w:b/>
          <w:szCs w:val="21"/>
        </w:rPr>
      </w:pPr>
      <w:r>
        <w:rPr>
          <w:rFonts w:hint="eastAsia" w:ascii="宋体" w:hAnsi="宋体" w:cs="宋体"/>
          <w:b/>
          <w:szCs w:val="21"/>
        </w:rPr>
        <w:t>（九）投标无效的情形</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扫描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6"/>
        <w:spacing w:before="0" w:after="0" w:line="360" w:lineRule="auto"/>
        <w:ind w:firstLine="422" w:firstLineChars="200"/>
        <w:jc w:val="both"/>
        <w:rPr>
          <w:rFonts w:hint="eastAsia" w:ascii="宋体" w:hAnsi="宋体" w:cs="宋体"/>
          <w:color w:val="auto"/>
          <w:sz w:val="21"/>
          <w:szCs w:val="21"/>
        </w:rPr>
      </w:pPr>
      <w:r>
        <w:rPr>
          <w:rFonts w:hint="eastAsia" w:ascii="宋体" w:hAnsi="宋体" w:cs="宋体"/>
          <w:color w:val="auto"/>
          <w:sz w:val="21"/>
          <w:szCs w:val="21"/>
        </w:rPr>
        <w:t>1.在资格审查、符合性审查和商务评审时，如发现下列情形之一的，投标文件将被视为无效：</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（1）资格文件不全的或者不符合采购文件标明的资格要求的；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（2）供应商资格声明函填写项目不齐全的；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（3）未按采购文件要求盖章的；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（4）投标文件格式不规范或者内容虚假的；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（5）投标文件的实质性内容未使用中文表述、意思表述不明确、前后矛盾或者使用计量单位不符合采购文件要求的（经评标委员会认定并允许其当场更正的笔误除外）；</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（6）投标有效期不能满足采购文件要求的；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（7）带“*”的条款不能满足采购文件要求、未实质性响应采购文件要求或者投标文件有采购方不能接受的附加条件的。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（8）不同投标人的投标文件出自同一终端设备（同一网卡地址或同一IP地址的）或在相同Internet主机分配地址（相同IP地址）网上报名投标。</w:t>
      </w:r>
    </w:p>
    <w:p>
      <w:pPr>
        <w:pStyle w:val="46"/>
        <w:spacing w:before="0" w:after="0" w:line="360" w:lineRule="auto"/>
        <w:ind w:firstLine="422" w:firstLineChars="200"/>
        <w:jc w:val="both"/>
        <w:rPr>
          <w:rFonts w:hint="eastAsia" w:ascii="宋体" w:hAnsi="宋体" w:cs="宋体"/>
          <w:color w:val="auto"/>
          <w:sz w:val="21"/>
          <w:szCs w:val="21"/>
        </w:rPr>
      </w:pPr>
      <w:r>
        <w:rPr>
          <w:rFonts w:hint="eastAsia" w:ascii="宋体" w:hAnsi="宋体" w:cs="宋体"/>
          <w:color w:val="auto"/>
          <w:sz w:val="21"/>
          <w:szCs w:val="21"/>
        </w:rPr>
        <w:t>2.在技术评审时，如发现下列情形之一的，投标文件将被视为无效：</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（1）投标文件标明的响应或偏离与事实不符或虚假投标的；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（2）明显不符合采购文件要求的，或者与采购文件中标“*”的条款发生实质性负偏离的；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（3）投标技术方案不明确，存在一个或一个以上备选（替代）投标方案的；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（4）与其他参加本次投标投标人的投标文件（技术文件）的文字表述内容相同连续20行以上或者差错相同2处以上且经评标委员会多数成员认为有恶意串通情形的。</w:t>
      </w:r>
    </w:p>
    <w:p>
      <w:pPr>
        <w:pStyle w:val="46"/>
        <w:spacing w:before="0" w:after="0" w:line="360" w:lineRule="auto"/>
        <w:ind w:firstLine="422" w:firstLineChars="200"/>
        <w:jc w:val="both"/>
        <w:rPr>
          <w:rFonts w:hint="eastAsia" w:ascii="宋体" w:hAnsi="宋体" w:cs="宋体"/>
          <w:color w:val="auto"/>
          <w:sz w:val="21"/>
          <w:szCs w:val="21"/>
        </w:rPr>
      </w:pPr>
      <w:r>
        <w:rPr>
          <w:rFonts w:hint="eastAsia" w:ascii="宋体" w:hAnsi="宋体" w:cs="宋体"/>
          <w:color w:val="auto"/>
          <w:sz w:val="21"/>
          <w:szCs w:val="21"/>
        </w:rPr>
        <w:t>3.在报价评审时，如发现下列情形之一的，投标文件将被视为无效：</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（1）未采用投标文件要求的报价形式报价或报价超过最高限价的；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（2）评标委员会认为投标人的报价明显低于其他通过符合性审查投标人的报价，有可能影响产品质量或者不能诚信履约的，而投标人又不能证明其报价合理性的；</w:t>
      </w:r>
    </w:p>
    <w:p>
      <w:pPr>
        <w:pStyle w:val="46"/>
        <w:spacing w:before="0" w:after="0" w:line="360" w:lineRule="auto"/>
        <w:ind w:firstLine="420" w:firstLineChars="200"/>
        <w:jc w:val="both"/>
        <w:rPr>
          <w:rFonts w:hint="eastAsia" w:ascii="宋体" w:hAnsi="宋体" w:cs="宋体"/>
          <w:b w:val="0"/>
          <w:bCs/>
          <w:color w:val="auto"/>
          <w:sz w:val="21"/>
          <w:szCs w:val="21"/>
        </w:rPr>
      </w:pPr>
      <w:r>
        <w:rPr>
          <w:rFonts w:hint="eastAsia" w:ascii="宋体" w:hAnsi="宋体" w:cs="宋体"/>
          <w:b w:val="0"/>
          <w:bCs/>
          <w:color w:val="auto"/>
          <w:sz w:val="21"/>
          <w:szCs w:val="21"/>
        </w:rPr>
        <w:t>（3）投标报价具有选择性的；或投标文件中对同一项目（标段）有两个或多个报价，且未声明哪个为有效的，或投标报价中出现重大漏项、漏量的。</w:t>
      </w:r>
    </w:p>
    <w:p>
      <w:pPr>
        <w:pStyle w:val="46"/>
        <w:spacing w:before="0" w:after="0" w:line="360" w:lineRule="auto"/>
        <w:ind w:firstLine="422" w:firstLineChars="200"/>
        <w:jc w:val="both"/>
        <w:rPr>
          <w:rFonts w:hint="eastAsia" w:ascii="宋体" w:hAnsi="宋体" w:cs="宋体"/>
          <w:color w:val="auto"/>
          <w:sz w:val="21"/>
          <w:szCs w:val="21"/>
        </w:rPr>
      </w:pPr>
      <w:r>
        <w:rPr>
          <w:rFonts w:hint="eastAsia" w:ascii="宋体" w:hAnsi="宋体" w:cs="宋体"/>
          <w:color w:val="auto"/>
          <w:sz w:val="21"/>
          <w:szCs w:val="21"/>
        </w:rPr>
        <w:t>4．被拒绝的投标文件为无效。</w:t>
      </w:r>
    </w:p>
    <w:p>
      <w:pPr>
        <w:pStyle w:val="5"/>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四、开标</w:t>
      </w:r>
    </w:p>
    <w:p>
      <w:pPr>
        <w:widowControl/>
        <w:spacing w:line="360" w:lineRule="auto"/>
        <w:ind w:firstLine="422" w:firstLineChars="200"/>
        <w:rPr>
          <w:rFonts w:hint="eastAsia" w:ascii="宋体" w:hAnsi="宋体" w:cs="宋体"/>
          <w:b/>
          <w:szCs w:val="21"/>
        </w:rPr>
      </w:pPr>
      <w:r>
        <w:rPr>
          <w:rFonts w:hint="eastAsia" w:ascii="宋体" w:hAnsi="宋体" w:cs="宋体"/>
          <w:b/>
          <w:szCs w:val="21"/>
        </w:rPr>
        <w:t>（一）开标准备</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本项目为政采云平台电子交易全流程项目，投标人无需派代表出席开标会议。但若投标供应商派遣代表参加开标会议的，原则上不超过一名，须全程佩戴口罩进入开标现场，同时递交投标人的法定代表人（或其委托代理人）联系方式，并保证开标期间联系方式的畅通。</w:t>
      </w:r>
    </w:p>
    <w:p>
      <w:pPr>
        <w:widowControl/>
        <w:spacing w:line="360" w:lineRule="auto"/>
        <w:ind w:firstLine="422" w:firstLineChars="200"/>
        <w:rPr>
          <w:rFonts w:hint="eastAsia" w:ascii="宋体" w:hAnsi="宋体" w:cs="宋体"/>
          <w:b/>
          <w:szCs w:val="21"/>
        </w:rPr>
      </w:pPr>
      <w:r>
        <w:rPr>
          <w:rFonts w:hint="eastAsia" w:ascii="宋体" w:hAnsi="宋体" w:cs="宋体"/>
          <w:b/>
          <w:szCs w:val="21"/>
        </w:rPr>
        <w:t>（二）电子招投标开标程序</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1.投标截止时间后，投标人登录政采云平台，用“项目采购-开标评标”功能对电子投标文件进行在线解密，在线解密电子投标文件时间为开标时间起30分钟内；</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2.采购人或代理机构对投标人的资格进行审查；</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3.评标委员会对商务技术响应文件进行评审；</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4.在系统上公开资格和商务技术评审结果；</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5.在系统上公开报价开标情况；</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6.评标委员会对报价情况进行评审；</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7.在系统上公布评审结果。</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注：（1）开标过程需投标人确认的事宜，通过电话或电子邮箱发送邮件等方式进行，请投标人在开标期间做好相应的准备。（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widowControl/>
        <w:spacing w:line="360" w:lineRule="auto"/>
        <w:ind w:firstLine="422" w:firstLineChars="200"/>
        <w:rPr>
          <w:rFonts w:hint="eastAsia" w:ascii="宋体" w:hAnsi="宋体" w:cs="宋体"/>
          <w:b/>
          <w:szCs w:val="21"/>
        </w:rPr>
      </w:pPr>
      <w:r>
        <w:rPr>
          <w:rFonts w:hint="eastAsia" w:ascii="宋体" w:hAnsi="宋体" w:cs="宋体"/>
          <w:b/>
          <w:szCs w:val="21"/>
        </w:rPr>
        <w:t>（三）特别说明</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政府采购云平台如对电子化开标及评审程序有调整的，按调整后的程序操作。</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本项目原则上采用政采云电子投标开标及评审程序，但有下情形之一的，按以下情况处理：</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1.若投标人在规定时间内无法解密或解密失败，代理机构将开启所有投标人递交的以U盘存储的电子备份投标文件，上传至政采云平台项目采购模块，以完成开标，电子投标文件自动失效。</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2.采购过程中出现以下情形，导致电子交易平台无法正常运行，或者无法保证电子交易的公平、公正和安全时，采购人（或代理机构）可中止电子交易活动：</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（1）电子交易平台发生故障而无法登录访问的；</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（2）因政府采购云平台原因无法读取或电子开评标无法正常进行的；</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（3）电子交易平台应用或数据库出现错误，不能进行正常操作的；</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（4）电子交易平台发现严重安全漏洞，有潜在泄密危险；</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 xml:space="preserve">（5）病毒发作导致不能进行正常操作的； </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（6）其他无法保证电子交易的公平、公正和安全的情况。</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 xml:space="preserve"> 出现前款规定情形，不影响采购公平、公正性的，采购人（或代理机构）可以待上述情形消除后继续组织电子交易活动。</w:t>
      </w:r>
    </w:p>
    <w:p>
      <w:pPr>
        <w:pStyle w:val="5"/>
        <w:snapToGrid w:val="0"/>
        <w:spacing w:before="0" w:after="0" w:line="360" w:lineRule="auto"/>
        <w:ind w:firstLine="422" w:firstLineChars="200"/>
        <w:rPr>
          <w:rFonts w:hint="eastAsia" w:ascii="宋体" w:hAnsi="宋体" w:eastAsia="宋体" w:cs="宋体"/>
          <w:sz w:val="21"/>
          <w:szCs w:val="21"/>
        </w:rPr>
      </w:pPr>
      <w:bookmarkStart w:id="84" w:name="_Toc29849"/>
      <w:bookmarkStart w:id="85" w:name="_Toc463726810"/>
      <w:bookmarkStart w:id="86" w:name="_Toc11761"/>
      <w:r>
        <w:rPr>
          <w:rFonts w:hint="eastAsia" w:ascii="宋体" w:hAnsi="宋体" w:eastAsia="宋体" w:cs="宋体"/>
          <w:sz w:val="21"/>
          <w:szCs w:val="21"/>
        </w:rPr>
        <w:t>五、评标</w:t>
      </w:r>
      <w:bookmarkEnd w:id="84"/>
      <w:bookmarkEnd w:id="85"/>
      <w:bookmarkEnd w:id="86"/>
    </w:p>
    <w:p>
      <w:pPr>
        <w:pStyle w:val="6"/>
        <w:adjustRightInd w:val="0"/>
        <w:snapToGrid w:val="0"/>
        <w:spacing w:before="0" w:after="0" w:line="360" w:lineRule="auto"/>
        <w:ind w:firstLine="422" w:firstLineChars="200"/>
        <w:jc w:val="both"/>
        <w:rPr>
          <w:rFonts w:hint="eastAsia" w:ascii="宋体" w:hAnsi="宋体" w:cs="宋体"/>
          <w:sz w:val="21"/>
          <w:szCs w:val="21"/>
        </w:rPr>
      </w:pPr>
      <w:bookmarkStart w:id="87" w:name="_Toc463726811"/>
      <w:bookmarkStart w:id="88" w:name="_Toc26788"/>
      <w:bookmarkStart w:id="89" w:name="_Toc25132"/>
      <w:r>
        <w:rPr>
          <w:rFonts w:hint="eastAsia" w:ascii="宋体" w:hAnsi="宋体" w:cs="宋体"/>
          <w:sz w:val="21"/>
          <w:szCs w:val="21"/>
        </w:rPr>
        <w:t>（一）组建评标委员会</w:t>
      </w:r>
      <w:bookmarkEnd w:id="87"/>
      <w:bookmarkEnd w:id="88"/>
      <w:bookmarkEnd w:id="89"/>
    </w:p>
    <w:p>
      <w:pPr>
        <w:pStyle w:val="26"/>
        <w:adjustRightInd w:val="0"/>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评标委员会：采购人和采购代理机构根据采购项目的内容特点按照规定组建评标委员会，评标委员会由采购人代表和评审专家组成。</w:t>
      </w:r>
    </w:p>
    <w:p>
      <w:pPr>
        <w:pStyle w:val="26"/>
        <w:adjustRightInd w:val="0"/>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主持人宣布评标期间的有关事项，告知应当回避的情形，提请有关人员回避。</w:t>
      </w:r>
    </w:p>
    <w:p>
      <w:pPr>
        <w:pStyle w:val="6"/>
        <w:adjustRightInd w:val="0"/>
        <w:snapToGrid w:val="0"/>
        <w:spacing w:before="0" w:after="0" w:line="360" w:lineRule="auto"/>
        <w:ind w:firstLine="422" w:firstLineChars="200"/>
        <w:jc w:val="both"/>
        <w:rPr>
          <w:rFonts w:hint="eastAsia" w:ascii="宋体" w:hAnsi="宋体" w:cs="宋体"/>
          <w:sz w:val="21"/>
          <w:szCs w:val="21"/>
        </w:rPr>
      </w:pPr>
      <w:bookmarkStart w:id="90" w:name="_Toc4592"/>
      <w:bookmarkStart w:id="91" w:name="_Toc22910"/>
      <w:bookmarkStart w:id="92" w:name="_Toc463726812"/>
      <w:r>
        <w:rPr>
          <w:rFonts w:hint="eastAsia" w:ascii="宋体" w:hAnsi="宋体" w:cs="宋体"/>
          <w:sz w:val="21"/>
          <w:szCs w:val="21"/>
        </w:rPr>
        <w:t>（二）评标的方式</w:t>
      </w:r>
      <w:bookmarkEnd w:id="90"/>
      <w:bookmarkEnd w:id="91"/>
      <w:bookmarkEnd w:id="92"/>
    </w:p>
    <w:p>
      <w:pPr>
        <w:pStyle w:val="26"/>
        <w:adjustRightInd w:val="0"/>
        <w:snapToGrid w:val="0"/>
        <w:spacing w:before="0" w:beforeLines="0" w:after="0" w:afterLines="0" w:line="360" w:lineRule="auto"/>
        <w:ind w:firstLine="420" w:firstLineChars="200"/>
        <w:rPr>
          <w:rFonts w:hint="eastAsia" w:hAnsi="宋体" w:cs="宋体"/>
          <w:bCs/>
          <w:sz w:val="21"/>
          <w:szCs w:val="21"/>
        </w:rPr>
      </w:pPr>
      <w:r>
        <w:rPr>
          <w:rFonts w:hint="eastAsia" w:hAnsi="宋体" w:cs="宋体"/>
          <w:bCs/>
          <w:sz w:val="21"/>
          <w:szCs w:val="21"/>
        </w:rPr>
        <w:t>本项目采用不公开方式评标，评标的依据为采购文件和投标文件。</w:t>
      </w:r>
      <w:bookmarkStart w:id="93" w:name="_Toc463726813"/>
      <w:bookmarkStart w:id="94" w:name="_Toc25360"/>
      <w:bookmarkStart w:id="95" w:name="_Toc6683"/>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（三）评标程序</w:t>
      </w:r>
      <w:bookmarkEnd w:id="93"/>
      <w:bookmarkEnd w:id="94"/>
      <w:bookmarkEnd w:id="95"/>
    </w:p>
    <w:p>
      <w:pPr>
        <w:widowControl/>
        <w:spacing w:line="360" w:lineRule="auto"/>
        <w:ind w:firstLine="420" w:firstLineChars="200"/>
        <w:rPr>
          <w:rFonts w:hint="eastAsia" w:ascii="宋体" w:hAnsi="宋体" w:cs="宋体"/>
          <w:bCs/>
          <w:szCs w:val="21"/>
        </w:rPr>
      </w:pPr>
      <w:r>
        <w:rPr>
          <w:rFonts w:hint="eastAsia" w:ascii="宋体" w:hAnsi="宋体" w:cs="宋体"/>
          <w:bCs/>
          <w:szCs w:val="21"/>
        </w:rPr>
        <w:t>1.资格审查</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采购人代表或代理机构工作人员对投标人的资格进行审查；合格投标人不足3家的，评标程序不进行。</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2.符合性检查</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评标委员会对通过资格审查的投标人的投标文件的完整性、合法性进行符合性检查。</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3.实质审查与比较</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（1）评标委员会审查投标文件的实质性内容是否符合采购文件的实质性要求。</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（2）评标委员会将根据投标人的投标文件进行审查、核对,如有疑问,将对投标人进行询标,投标人要向评标委员会澄清有关问题,并最终以书面形式进行答复。</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投标人代表未到场或者拒绝澄清或者澄清的内容改变了投标文件的实质性内容的，评标委员会有权对该投标文件作出不利于投标人的评判。</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（3）各投标人的商务技术得分为所有评委的有效评分的算术平均数，由指定专人进行计算复核。</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（4）代理机构工作人员协助评标委员会根据本项目的评分标准计算各投标人的报价得分。</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（5）评标委员会完成评标后,评委或代理机构对各部分得分汇总,计算出本项目最终得分。评标委员会按评标原则推荐中标候选人同时起草评标报告。</w:t>
      </w:r>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（四）澄清问题的形式</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对投标文件中含义不明确、同类问题表述不一致或者有明显文字和计算错误的内容，评标委员会可要求投标人作出必要的澄清、说明或者纠正。供应商的澄清、说明或者补正应当采用书面形式，由其授权代表签字或盖章确认，并不得超出投标文件的范围或者改变投标文件的实质性内容。投标人提交澄清说明或补正的时间为30分钟。</w:t>
      </w:r>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（五）错误修正</w:t>
      </w:r>
    </w:p>
    <w:p>
      <w:pPr>
        <w:pStyle w:val="6"/>
        <w:spacing w:before="0" w:after="0" w:line="360" w:lineRule="auto"/>
        <w:ind w:firstLine="420" w:firstLineChars="200"/>
        <w:jc w:val="both"/>
        <w:rPr>
          <w:rFonts w:hint="eastAsia" w:ascii="宋体" w:hAnsi="宋体" w:cs="宋体"/>
          <w:b w:val="0"/>
          <w:bCs w:val="0"/>
          <w:sz w:val="21"/>
          <w:szCs w:val="21"/>
        </w:rPr>
      </w:pPr>
      <w:r>
        <w:rPr>
          <w:rFonts w:hint="eastAsia" w:ascii="宋体" w:hAnsi="宋体" w:cs="宋体"/>
          <w:b w:val="0"/>
          <w:bCs w:val="0"/>
          <w:sz w:val="21"/>
          <w:szCs w:val="21"/>
        </w:rPr>
        <w:t>投标文件如果出现计算或表达上的错误，修正错误的原则如下：</w:t>
      </w:r>
    </w:p>
    <w:p>
      <w:pPr>
        <w:pStyle w:val="6"/>
        <w:spacing w:before="0" w:after="0" w:line="360" w:lineRule="auto"/>
        <w:ind w:firstLine="420" w:firstLineChars="200"/>
        <w:jc w:val="both"/>
        <w:rPr>
          <w:rFonts w:hint="eastAsia" w:ascii="宋体" w:hAnsi="宋体" w:cs="宋体"/>
          <w:b w:val="0"/>
          <w:bCs w:val="0"/>
          <w:sz w:val="21"/>
          <w:szCs w:val="21"/>
        </w:rPr>
      </w:pPr>
      <w:r>
        <w:rPr>
          <w:rFonts w:hint="eastAsia" w:ascii="宋体" w:hAnsi="宋体" w:cs="宋体"/>
          <w:b w:val="0"/>
          <w:bCs w:val="0"/>
          <w:sz w:val="21"/>
          <w:szCs w:val="21"/>
        </w:rPr>
        <w:t>1.投标文件中开标一览表内容与投标文件中相应内容不一致的，以开标一览表为准；</w:t>
      </w:r>
    </w:p>
    <w:p>
      <w:pPr>
        <w:pStyle w:val="6"/>
        <w:spacing w:before="0" w:after="0" w:line="360" w:lineRule="auto"/>
        <w:ind w:firstLine="420" w:firstLineChars="200"/>
        <w:jc w:val="both"/>
        <w:rPr>
          <w:rFonts w:hint="eastAsia" w:ascii="宋体" w:hAnsi="宋体" w:cs="宋体"/>
          <w:b w:val="0"/>
          <w:bCs w:val="0"/>
          <w:sz w:val="21"/>
          <w:szCs w:val="21"/>
        </w:rPr>
      </w:pPr>
      <w:r>
        <w:rPr>
          <w:rFonts w:hint="eastAsia" w:ascii="宋体" w:hAnsi="宋体" w:cs="宋体"/>
          <w:b w:val="0"/>
          <w:bCs w:val="0"/>
          <w:sz w:val="21"/>
          <w:szCs w:val="21"/>
        </w:rPr>
        <w:t>2.政采云平台填报的开标一览表中的价格与上传的报价文件中开标一览表的报价不一致的，以上传的报价文件为准；</w:t>
      </w:r>
    </w:p>
    <w:p>
      <w:pPr>
        <w:pStyle w:val="6"/>
        <w:spacing w:before="0" w:after="0" w:line="360" w:lineRule="auto"/>
        <w:ind w:firstLine="420" w:firstLineChars="200"/>
        <w:jc w:val="both"/>
        <w:rPr>
          <w:rFonts w:hint="eastAsia" w:ascii="宋体" w:hAnsi="宋体" w:cs="宋体"/>
          <w:b w:val="0"/>
          <w:bCs w:val="0"/>
          <w:sz w:val="21"/>
          <w:szCs w:val="21"/>
        </w:rPr>
      </w:pPr>
      <w:r>
        <w:rPr>
          <w:rFonts w:hint="eastAsia" w:ascii="宋体" w:hAnsi="宋体" w:cs="宋体"/>
          <w:b w:val="0"/>
          <w:bCs w:val="0"/>
          <w:sz w:val="21"/>
          <w:szCs w:val="21"/>
        </w:rPr>
        <w:t>3.大写金额和小写金额不一致的，以大写金额为准；</w:t>
      </w:r>
    </w:p>
    <w:p>
      <w:pPr>
        <w:pStyle w:val="6"/>
        <w:spacing w:before="0" w:after="0" w:line="360" w:lineRule="auto"/>
        <w:ind w:firstLine="420" w:firstLineChars="200"/>
        <w:jc w:val="both"/>
        <w:rPr>
          <w:rFonts w:hint="eastAsia" w:ascii="宋体" w:hAnsi="宋体" w:cs="宋体"/>
          <w:b w:val="0"/>
          <w:bCs w:val="0"/>
          <w:sz w:val="21"/>
          <w:szCs w:val="21"/>
        </w:rPr>
      </w:pPr>
      <w:r>
        <w:rPr>
          <w:rFonts w:hint="eastAsia" w:ascii="宋体" w:hAnsi="宋体" w:cs="宋体"/>
          <w:b w:val="0"/>
          <w:bCs w:val="0"/>
          <w:sz w:val="21"/>
          <w:szCs w:val="21"/>
        </w:rPr>
        <w:t>4.单价金额小数点或者百分比有明显错位的，以开标一览表的总价为准，并修改单价；</w:t>
      </w:r>
    </w:p>
    <w:p>
      <w:pPr>
        <w:pStyle w:val="6"/>
        <w:spacing w:before="0" w:after="0" w:line="360" w:lineRule="auto"/>
        <w:ind w:firstLine="420" w:firstLineChars="200"/>
        <w:jc w:val="both"/>
        <w:rPr>
          <w:rFonts w:hint="eastAsia" w:ascii="宋体" w:hAnsi="宋体" w:cs="宋体"/>
          <w:b w:val="0"/>
          <w:bCs w:val="0"/>
          <w:sz w:val="21"/>
          <w:szCs w:val="21"/>
        </w:rPr>
      </w:pPr>
      <w:r>
        <w:rPr>
          <w:rFonts w:hint="eastAsia" w:ascii="宋体" w:hAnsi="宋体" w:cs="宋体"/>
          <w:b w:val="0"/>
          <w:bCs w:val="0"/>
          <w:sz w:val="21"/>
          <w:szCs w:val="21"/>
        </w:rPr>
        <w:t>5.总价金额与按单价汇总金额不一致的，以单价金额计算结果为准。</w:t>
      </w:r>
    </w:p>
    <w:p>
      <w:pPr>
        <w:pStyle w:val="6"/>
        <w:spacing w:before="0" w:after="0" w:line="360" w:lineRule="auto"/>
        <w:ind w:firstLine="422" w:firstLineChars="200"/>
        <w:jc w:val="both"/>
        <w:rPr>
          <w:rFonts w:hint="eastAsia" w:ascii="宋体" w:hAnsi="宋体" w:cs="宋体"/>
          <w:sz w:val="21"/>
          <w:szCs w:val="21"/>
        </w:rPr>
      </w:pPr>
      <w:r>
        <w:rPr>
          <w:rFonts w:hint="eastAsia" w:ascii="宋体" w:hAnsi="宋体" w:cs="宋体"/>
          <w:sz w:val="21"/>
          <w:szCs w:val="21"/>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（六）评标原则和评标办法</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2．评标办法：本项目评标办法是</w:t>
      </w:r>
      <w:r>
        <w:rPr>
          <w:rFonts w:hint="eastAsia" w:hAnsi="宋体" w:cs="宋体"/>
          <w:sz w:val="21"/>
          <w:szCs w:val="21"/>
          <w:u w:val="single"/>
        </w:rPr>
        <w:t xml:space="preserve"> 综合评分法 </w:t>
      </w:r>
      <w:r>
        <w:rPr>
          <w:rFonts w:hint="eastAsia" w:hAnsi="宋体" w:cs="宋体"/>
          <w:sz w:val="21"/>
          <w:szCs w:val="21"/>
        </w:rPr>
        <w:t>，具体评标内容及评分标准等详见本采购文件第四章《评标办法及评分标准》。</w:t>
      </w:r>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六、采购方式变更</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政府采购的国内公开招标，采购投标截止时间止或评审期间，出现参与采购响应或者对采购文件作出实质性响应的投标人不足3家的情况，采购人有权全部或部分终止招标。</w:t>
      </w:r>
    </w:p>
    <w:p>
      <w:pPr>
        <w:pStyle w:val="26"/>
        <w:adjustRightInd w:val="0"/>
        <w:snapToGrid w:val="0"/>
        <w:spacing w:before="0" w:beforeLines="0" w:after="0" w:afterLines="0" w:line="360" w:lineRule="auto"/>
        <w:ind w:firstLine="422" w:firstLineChars="200"/>
        <w:rPr>
          <w:rFonts w:hint="eastAsia" w:hAnsi="宋体" w:cs="宋体"/>
          <w:sz w:val="21"/>
          <w:szCs w:val="21"/>
        </w:rPr>
      </w:pPr>
      <w:r>
        <w:rPr>
          <w:rFonts w:hint="eastAsia" w:hAnsi="宋体" w:cs="宋体"/>
          <w:b/>
          <w:bCs/>
          <w:sz w:val="21"/>
          <w:szCs w:val="21"/>
        </w:rPr>
        <w:t>七、评标过程的监控与保密</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1.本项目评标过程实行全程录音、录像监控，投标人在评标过程中所进行的试图影响评标结果的不公正活动，可能导致其投标被拒绝。</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2.开标后到中标通知书发出之前，所有涉及评标委员会名单以及对投标文件的澄清、评价、比较等情况，评标委员会成员、采购人和采购代理机构的有关人员均不得向投标人或其他无关人员透露。</w:t>
      </w:r>
    </w:p>
    <w:p>
      <w:pPr>
        <w:pStyle w:val="26"/>
        <w:adjustRightInd w:val="0"/>
        <w:snapToGrid w:val="0"/>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八、定标</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1.确定中标人。本项目由评标委员会推荐中标候选人，采购人不得在评标委员会推荐的中标候选人以外确定中标候选人。</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2.采购代理机构在评标结束后2个工作日内将评标报告交采购人确认，同时在发布招标公告的网站上对评标结果进行公示。</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3.投标人对评标结果无异议的，采购人应在收到评标报告后5个工作日内对评标结果进行确认。如有投标人对评标结果提出质疑的，采购人可在质疑处理完毕后确定中标人。</w:t>
      </w:r>
    </w:p>
    <w:p>
      <w:pPr>
        <w:pStyle w:val="26"/>
        <w:adjustRightInd w:val="0"/>
        <w:snapToGrid w:val="0"/>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4.采购人依法确定中标人后2个工作日内，采购代理机构以书面形式发出《中标通知书》,并同时在相关网站上发布中标公告。</w:t>
      </w:r>
    </w:p>
    <w:p>
      <w:pPr>
        <w:widowControl/>
        <w:spacing w:line="360" w:lineRule="auto"/>
        <w:ind w:firstLine="420" w:firstLineChars="200"/>
        <w:rPr>
          <w:rFonts w:hint="eastAsia" w:ascii="宋体" w:hAnsi="宋体" w:cs="宋体"/>
          <w:szCs w:val="21"/>
        </w:rPr>
      </w:pPr>
      <w:r>
        <w:rPr>
          <w:rFonts w:hint="eastAsia" w:ascii="宋体" w:hAnsi="宋体" w:cs="宋体"/>
          <w:szCs w:val="21"/>
        </w:rPr>
        <w:t>5.凡发现中标人有下列行为之一的，将移交政府采购监督管理部门依法处理：</w:t>
      </w:r>
    </w:p>
    <w:p>
      <w:pPr>
        <w:widowControl/>
        <w:spacing w:line="360" w:lineRule="auto"/>
        <w:ind w:firstLine="420" w:firstLineChars="200"/>
        <w:rPr>
          <w:rFonts w:hint="eastAsia" w:ascii="宋体" w:hAnsi="宋体" w:cs="宋体"/>
          <w:szCs w:val="21"/>
        </w:rPr>
      </w:pPr>
      <w:r>
        <w:rPr>
          <w:rFonts w:hint="eastAsia" w:ascii="宋体" w:hAnsi="宋体" w:cs="宋体"/>
          <w:szCs w:val="21"/>
        </w:rPr>
        <w:t>（1）提供虚假材料谋取中标的；</w:t>
      </w:r>
    </w:p>
    <w:p>
      <w:pPr>
        <w:widowControl/>
        <w:spacing w:line="360" w:lineRule="auto"/>
        <w:ind w:firstLine="420" w:firstLineChars="200"/>
        <w:rPr>
          <w:rFonts w:hint="eastAsia" w:ascii="宋体" w:hAnsi="宋体" w:cs="宋体"/>
          <w:szCs w:val="21"/>
        </w:rPr>
      </w:pPr>
      <w:r>
        <w:rPr>
          <w:rFonts w:hint="eastAsia" w:ascii="宋体" w:hAnsi="宋体" w:cs="宋体"/>
          <w:szCs w:val="21"/>
        </w:rPr>
        <w:t>（2）采取不正当手段诋毁、排挤其他投标人的；</w:t>
      </w:r>
    </w:p>
    <w:p>
      <w:pPr>
        <w:widowControl/>
        <w:spacing w:line="360" w:lineRule="auto"/>
        <w:ind w:firstLine="420" w:firstLineChars="200"/>
        <w:rPr>
          <w:rFonts w:hint="eastAsia" w:ascii="宋体" w:hAnsi="宋体" w:cs="宋体"/>
          <w:szCs w:val="21"/>
        </w:rPr>
      </w:pPr>
      <w:r>
        <w:rPr>
          <w:rFonts w:hint="eastAsia" w:ascii="宋体" w:hAnsi="宋体" w:cs="宋体"/>
          <w:szCs w:val="21"/>
        </w:rPr>
        <w:t>（3）与采购人、其他投标人或者采购代理机构工作人员恶意串通的；</w:t>
      </w:r>
    </w:p>
    <w:p>
      <w:pPr>
        <w:widowControl/>
        <w:spacing w:line="360" w:lineRule="auto"/>
        <w:ind w:firstLine="420" w:firstLineChars="200"/>
        <w:rPr>
          <w:rFonts w:hint="eastAsia" w:ascii="宋体" w:hAnsi="宋体" w:cs="宋体"/>
          <w:szCs w:val="21"/>
        </w:rPr>
      </w:pPr>
      <w:r>
        <w:rPr>
          <w:rFonts w:hint="eastAsia" w:ascii="宋体" w:hAnsi="宋体" w:cs="宋体"/>
          <w:szCs w:val="21"/>
        </w:rPr>
        <w:t>（4）向采购人或采购代理机构人员行贿或者提供其他不正当利益的；</w:t>
      </w:r>
    </w:p>
    <w:p>
      <w:pPr>
        <w:widowControl/>
        <w:spacing w:line="360" w:lineRule="auto"/>
        <w:ind w:firstLine="420" w:firstLineChars="200"/>
        <w:rPr>
          <w:rFonts w:hint="eastAsia" w:ascii="宋体" w:hAnsi="宋体" w:cs="宋体"/>
          <w:szCs w:val="21"/>
        </w:rPr>
      </w:pPr>
      <w:r>
        <w:rPr>
          <w:rFonts w:hint="eastAsia" w:ascii="宋体" w:hAnsi="宋体" w:cs="宋体"/>
          <w:szCs w:val="21"/>
        </w:rPr>
        <w:t>（5）拒绝有关部门监督检查或者提供虚假情况的；</w:t>
      </w:r>
    </w:p>
    <w:p>
      <w:pPr>
        <w:widowControl/>
        <w:spacing w:line="360" w:lineRule="auto"/>
        <w:ind w:firstLine="422" w:firstLineChars="200"/>
        <w:rPr>
          <w:rFonts w:hint="eastAsia" w:ascii="宋体" w:hAnsi="宋体" w:cs="宋体"/>
          <w:b/>
          <w:bCs/>
          <w:szCs w:val="21"/>
        </w:rPr>
      </w:pPr>
      <w:r>
        <w:rPr>
          <w:rFonts w:hint="eastAsia" w:ascii="宋体" w:hAnsi="宋体" w:cs="宋体"/>
          <w:b/>
          <w:bCs/>
          <w:szCs w:val="21"/>
        </w:rPr>
        <w:t>九、合同授予及履约验收</w:t>
      </w:r>
    </w:p>
    <w:p>
      <w:pPr>
        <w:widowControl/>
        <w:spacing w:line="360" w:lineRule="auto"/>
        <w:ind w:firstLine="422" w:firstLineChars="200"/>
        <w:rPr>
          <w:rFonts w:hint="eastAsia" w:ascii="宋体" w:hAnsi="宋体" w:cs="宋体"/>
          <w:b/>
          <w:szCs w:val="21"/>
        </w:rPr>
      </w:pPr>
      <w:r>
        <w:rPr>
          <w:rFonts w:hint="eastAsia" w:ascii="宋体" w:hAnsi="宋体" w:cs="宋体"/>
          <w:b/>
          <w:szCs w:val="21"/>
        </w:rPr>
        <w:t>（一）签订合同</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1.采购人与中标人应当在《中标通知书》发出之日起30日内签订合同。同时采购代理机构对合同内容进行审查，如发现与采购结果和投标承诺内容不一致的，应予以纠正。</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中标人如不遵守采购文件或投标文件各项条款的邀约与要约，或在接到中标通知书后借故拖延，拒签合同的，采购人将按《浙江省政府采购投标人注册及诚信管理暂行办法》的规定上报诚信状况，并取消中标资格，给采购人造成损失的还应当予以赔偿。</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3.中标人拒绝与采购人签订合同的，采购人可以按照评审报告推荐的中标或成交候选人名单排序，确定下一候选人为中标人或成交人，也可以重新开展政府采购活动。</w:t>
      </w:r>
    </w:p>
    <w:p>
      <w:pPr>
        <w:widowControl/>
        <w:spacing w:line="360" w:lineRule="auto"/>
        <w:ind w:firstLine="422" w:firstLineChars="200"/>
        <w:rPr>
          <w:rFonts w:hint="eastAsia" w:ascii="宋体" w:hAnsi="宋体" w:cs="宋体"/>
          <w:b/>
          <w:szCs w:val="21"/>
        </w:rPr>
      </w:pPr>
      <w:r>
        <w:rPr>
          <w:rFonts w:hint="eastAsia" w:ascii="宋体" w:hAnsi="宋体" w:cs="宋体"/>
          <w:b/>
          <w:szCs w:val="21"/>
        </w:rPr>
        <w:t>（二）履约保证金</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1.乙方在签订本合同之前向甲方提交本</w:t>
      </w:r>
      <w:r>
        <w:rPr>
          <w:rFonts w:ascii="宋体" w:hAnsi="宋体" w:cs="宋体"/>
          <w:bCs/>
          <w:szCs w:val="21"/>
        </w:rPr>
        <w:t>合同</w:t>
      </w:r>
      <w:r>
        <w:rPr>
          <w:rFonts w:hint="eastAsia" w:ascii="宋体" w:hAnsi="宋体" w:cs="宋体"/>
          <w:bCs/>
          <w:szCs w:val="21"/>
        </w:rPr>
        <w:t>总</w:t>
      </w:r>
      <w:r>
        <w:rPr>
          <w:rFonts w:ascii="宋体" w:hAnsi="宋体" w:cs="宋体"/>
          <w:bCs/>
          <w:szCs w:val="21"/>
        </w:rPr>
        <w:t>金额</w:t>
      </w:r>
      <w:r>
        <w:rPr>
          <w:rFonts w:hint="eastAsia" w:ascii="宋体" w:hAnsi="宋体" w:cs="宋体"/>
          <w:bCs/>
          <w:szCs w:val="21"/>
        </w:rPr>
        <w:t>1 %的履约保证金。</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2.履约保证金形式：保险保单、银行保函等非现金形式。</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3.履约保证金的退取：待乙方完成合同履约后一个月内返还。如在合同履约期间未完全履行合同内容的，甲方将视其情节严重程度给予相应处罚，直至没收其履约保证金，甲方保留终止合同的权利。</w:t>
      </w:r>
    </w:p>
    <w:p>
      <w:pPr>
        <w:widowControl/>
        <w:spacing w:line="360" w:lineRule="auto"/>
        <w:ind w:firstLine="422" w:firstLineChars="200"/>
        <w:rPr>
          <w:rFonts w:hint="eastAsia" w:ascii="宋体" w:hAnsi="宋体" w:cs="宋体"/>
          <w:b/>
          <w:szCs w:val="21"/>
        </w:rPr>
      </w:pPr>
      <w:r>
        <w:rPr>
          <w:rFonts w:hint="eastAsia" w:ascii="宋体" w:hAnsi="宋体" w:cs="宋体"/>
          <w:b/>
          <w:szCs w:val="21"/>
        </w:rPr>
        <w:t>（三）履约验收</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采购人负责对中标投标人的履约行为进行验收。</w:t>
      </w:r>
    </w:p>
    <w:p>
      <w:pPr>
        <w:widowControl/>
        <w:spacing w:line="360" w:lineRule="auto"/>
        <w:ind w:firstLine="422" w:firstLineChars="200"/>
        <w:rPr>
          <w:rFonts w:hint="eastAsia" w:ascii="宋体" w:hAnsi="宋体" w:cs="宋体"/>
          <w:b/>
          <w:szCs w:val="21"/>
        </w:rPr>
      </w:pPr>
      <w:r>
        <w:rPr>
          <w:rFonts w:hint="eastAsia" w:ascii="宋体" w:hAnsi="宋体" w:cs="宋体"/>
          <w:b/>
          <w:szCs w:val="21"/>
        </w:rPr>
        <w:t>十、特别说明</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1.本项目专门面向中小企业。</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2.本项目对应的中小企业划分标准所属行业：</w:t>
      </w:r>
      <w:r>
        <w:rPr>
          <w:rFonts w:hint="eastAsia" w:ascii="宋体" w:hAnsi="宋体" w:cs="宋体"/>
          <w:bCs/>
          <w:szCs w:val="21"/>
          <w:u w:val="single"/>
        </w:rPr>
        <w:t>其他未列明行业</w:t>
      </w:r>
      <w:r>
        <w:rPr>
          <w:rFonts w:hint="eastAsia" w:ascii="宋体" w:hAnsi="宋体" w:cs="宋体"/>
          <w:bCs/>
          <w:szCs w:val="21"/>
        </w:rPr>
        <w:t xml:space="preserve">。 </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3.小微企业是指中华人民共和国境内依法设立，依据国务院批准的中小企业划分标准确定的小型企业和微型企业，但与大企业的负责人为同一人，或者与大企业存在直接控股、管理关系的除外。</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符合中小企业划分标准的个体工商户，在政府采购活动中视同中小企业。</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国务院批准的中小企业划分标准：具体见工信部联企业[2011]300号。</w:t>
      </w:r>
    </w:p>
    <w:p>
      <w:pPr>
        <w:spacing w:line="360" w:lineRule="auto"/>
        <w:ind w:firstLine="420" w:firstLineChars="200"/>
        <w:rPr>
          <w:rFonts w:hint="eastAsia" w:ascii="宋体" w:hAnsi="宋体" w:cs="宋体"/>
          <w:szCs w:val="21"/>
        </w:rPr>
      </w:pPr>
      <w:r>
        <w:rPr>
          <w:rFonts w:hint="eastAsia" w:ascii="宋体" w:hAnsi="宋体" w:cs="宋体"/>
          <w:szCs w:val="21"/>
        </w:rPr>
        <w:t>3.1支持中小企业发展</w:t>
      </w:r>
    </w:p>
    <w:p>
      <w:pPr>
        <w:spacing w:line="360" w:lineRule="auto"/>
        <w:ind w:firstLine="420" w:firstLineChars="200"/>
        <w:rPr>
          <w:rFonts w:hint="eastAsia" w:ascii="宋体" w:hAnsi="宋体" w:cs="宋体"/>
          <w:szCs w:val="21"/>
        </w:rPr>
      </w:pPr>
      <w:r>
        <w:rPr>
          <w:rFonts w:hint="eastAsia" w:ascii="宋体" w:hAnsi="宋体" w:cs="宋体"/>
          <w:szCs w:val="21"/>
        </w:rPr>
        <w:t>3.1.1中小企业，是指在中华人民共和国境内依法设立，依据国务院批准的中小企业划分标准确定的中型企业、小型企业和微型企业，但与大企业的负责人为同一人，或者与大企业存在直接控股、管理关系的除外。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auto"/>
        <w:ind w:firstLine="420" w:firstLineChars="200"/>
        <w:jc w:val="left"/>
        <w:rPr>
          <w:rFonts w:hint="eastAsia" w:ascii="宋体" w:hAnsi="宋体" w:cs="宋体"/>
          <w:kern w:val="0"/>
          <w:szCs w:val="21"/>
        </w:rPr>
      </w:pPr>
      <w:r>
        <w:rPr>
          <w:rFonts w:hint="eastAsia" w:ascii="宋体" w:hAnsi="宋体" w:cs="宋体"/>
          <w:bCs/>
          <w:szCs w:val="21"/>
        </w:rPr>
        <w:t>3.1.2</w:t>
      </w:r>
      <w:r>
        <w:rPr>
          <w:rFonts w:hint="eastAsia" w:ascii="宋体" w:hAnsi="宋体" w:cs="宋体"/>
          <w:kern w:val="0"/>
          <w:szCs w:val="21"/>
        </w:rPr>
        <w:t>在政府采购活动中，投标人提供的货物、工程或者服务符合下列情形的，享受中小企业扶持政策：在服务采购项目中，服务由中小企业承接，即提供服务的人员为中小企业依照《中华人民共和国民法典》订立劳动合同的从业人员。</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宋体" w:hAnsi="宋体" w:cs="宋体"/>
          <w:szCs w:val="21"/>
        </w:rPr>
      </w:pPr>
      <w:r>
        <w:rPr>
          <w:rFonts w:hint="eastAsia" w:ascii="宋体" w:hAnsi="宋体" w:cs="宋体"/>
          <w:szCs w:val="21"/>
        </w:rPr>
        <w:t>3.1.3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hint="eastAsia" w:ascii="宋体" w:hAnsi="宋体" w:cs="宋体"/>
          <w:szCs w:val="21"/>
        </w:rPr>
      </w:pPr>
      <w:r>
        <w:rPr>
          <w:rFonts w:hint="eastAsia" w:ascii="宋体" w:hAnsi="宋体" w:cs="宋体"/>
          <w:szCs w:val="21"/>
        </w:rPr>
        <w:t>3.1.4符合《关于促进残疾人就业政府采购政策的通知》（财库〔2017〕141号）规定的条件并提供《残疾人福利性单位声明函》（附件1）的残疾人福利性单位视同小型、微型企业；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hint="eastAsia" w:ascii="宋体" w:hAnsi="宋体" w:cs="宋体"/>
          <w:szCs w:val="21"/>
        </w:rPr>
      </w:pPr>
      <w:r>
        <w:rPr>
          <w:rFonts w:hint="eastAsia" w:ascii="宋体" w:hAnsi="宋体" w:cs="宋体"/>
          <w:szCs w:val="21"/>
        </w:rPr>
        <w:t>3.1.5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hint="eastAsia" w:ascii="宋体" w:hAnsi="宋体" w:cs="宋体"/>
          <w:szCs w:val="21"/>
        </w:rPr>
      </w:pPr>
      <w:r>
        <w:rPr>
          <w:rFonts w:hint="eastAsia" w:ascii="宋体" w:hAnsi="宋体" w:cs="宋体"/>
          <w:szCs w:val="21"/>
        </w:rPr>
        <w:t>3.1.6可享受中小企业扶持政策的投标人应按照采购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hint="eastAsia" w:ascii="宋体" w:hAnsi="宋体" w:cs="宋体"/>
          <w:szCs w:val="21"/>
        </w:rPr>
      </w:pPr>
      <w:r>
        <w:rPr>
          <w:rFonts w:hint="eastAsia" w:ascii="宋体" w:hAnsi="宋体" w:cs="宋体"/>
          <w:szCs w:val="21"/>
        </w:rPr>
        <w:t>3.1.7中小企业享受扶持政策获得政府采购合同的，小微企业不得将合同分包给大中型企业，中型企业不得将合同分包给大型企业。</w:t>
      </w:r>
    </w:p>
    <w:p>
      <w:pPr>
        <w:spacing w:line="360" w:lineRule="auto"/>
        <w:ind w:firstLine="420" w:firstLineChars="200"/>
        <w:rPr>
          <w:rFonts w:hint="eastAsia" w:ascii="宋体" w:hAnsi="宋体" w:cs="宋体"/>
          <w:szCs w:val="21"/>
        </w:rPr>
      </w:pPr>
      <w:r>
        <w:rPr>
          <w:rFonts w:hint="eastAsia" w:ascii="宋体" w:hAnsi="宋体" w:cs="宋体"/>
          <w:szCs w:val="21"/>
        </w:rPr>
        <w:t>3.2平等对待内外资企业和符合条件的破产重整企业</w:t>
      </w:r>
    </w:p>
    <w:p>
      <w:r>
        <w:rPr>
          <w:rFonts w:hint="eastAsia" w:ascii="宋体" w:hAnsi="宋体" w:cs="宋体"/>
          <w:szCs w:val="21"/>
        </w:rPr>
        <w:t>平等对待内外资企业和符合条件的破产重整企业，切实保障企业公平竞争，平等维护企业的合法利益。</w:t>
      </w:r>
      <w:bookmarkEnd w:id="74"/>
      <w:bookmarkEnd w:id="75"/>
      <w:bookmarkEnd w:id="76"/>
      <w:bookmarkEnd w:id="77"/>
      <w:bookmarkEnd w:id="78"/>
      <w:bookmarkEnd w:id="79"/>
      <w:bookmarkEnd w:id="80"/>
      <w:bookmarkEnd w:id="81"/>
      <w:bookmarkEnd w:id="82"/>
      <w:bookmarkEnd w:id="83"/>
      <w:bookmarkStart w:id="96" w:name="_Toc8376"/>
      <w:bookmarkStart w:id="97" w:name="_Toc14866"/>
      <w:bookmarkStart w:id="98" w:name="_Toc12061"/>
      <w:bookmarkStart w:id="99" w:name="_Toc3397"/>
      <w:bookmarkStart w:id="100" w:name="_Toc5254"/>
    </w:p>
    <w:p>
      <w:pPr>
        <w:pStyle w:val="2"/>
        <w:rPr>
          <w:rFonts w:hint="eastAsia"/>
        </w:rPr>
      </w:pPr>
      <w:r>
        <w:br w:type="page"/>
      </w:r>
    </w:p>
    <w:p>
      <w:pPr>
        <w:pStyle w:val="4"/>
        <w:spacing w:before="0" w:after="0" w:line="360" w:lineRule="auto"/>
        <w:rPr>
          <w:rFonts w:hint="eastAsia" w:ascii="宋体" w:hAnsi="宋体" w:cs="宋体"/>
          <w:sz w:val="32"/>
          <w:szCs w:val="32"/>
        </w:rPr>
      </w:pPr>
      <w:r>
        <w:rPr>
          <w:rFonts w:hint="eastAsia" w:ascii="宋体" w:hAnsi="宋体" w:cs="宋体"/>
          <w:sz w:val="32"/>
          <w:szCs w:val="32"/>
        </w:rPr>
        <w:t>第四章  评标办法及评分标准</w:t>
      </w:r>
      <w:bookmarkEnd w:id="96"/>
      <w:bookmarkEnd w:id="97"/>
      <w:bookmarkEnd w:id="98"/>
      <w:bookmarkEnd w:id="99"/>
      <w:bookmarkEnd w:id="100"/>
    </w:p>
    <w:p>
      <w:pPr>
        <w:pStyle w:val="29"/>
        <w:spacing w:line="360" w:lineRule="auto"/>
        <w:ind w:firstLine="420" w:firstLineChars="200"/>
        <w:rPr>
          <w:rFonts w:hint="eastAsia" w:ascii="宋体" w:cs="宋体"/>
          <w:b w:val="0"/>
          <w:bCs w:val="0"/>
          <w:color w:val="auto"/>
          <w:sz w:val="21"/>
          <w:szCs w:val="21"/>
        </w:rPr>
      </w:pPr>
      <w:r>
        <w:rPr>
          <w:rFonts w:hint="eastAsia" w:ascii="宋体" w:cs="宋体"/>
          <w:b w:val="0"/>
          <w:bCs w:val="0"/>
          <w:color w:val="auto"/>
          <w:sz w:val="21"/>
          <w:szCs w:val="21"/>
        </w:rPr>
        <w:t>本办法严格遵照《中华人民共和国政府采购法》、《中华人民共和国政府采购法实施条例》、《政府采购货物和服务招标投标管理办法》，结合项目所在地政府有关政府采购规定和项目的实际情况制定。</w:t>
      </w:r>
    </w:p>
    <w:p>
      <w:pPr>
        <w:pStyle w:val="5"/>
        <w:snapToGrid w:val="0"/>
        <w:spacing w:before="0" w:after="0" w:line="360" w:lineRule="auto"/>
        <w:ind w:firstLine="422" w:firstLineChars="200"/>
        <w:rPr>
          <w:rFonts w:hint="eastAsia" w:ascii="宋体" w:hAnsi="宋体" w:eastAsia="宋体" w:cs="宋体"/>
          <w:sz w:val="21"/>
          <w:szCs w:val="21"/>
        </w:rPr>
      </w:pPr>
      <w:bookmarkStart w:id="101" w:name="_Toc17676"/>
      <w:bookmarkStart w:id="102" w:name="_Toc433039343"/>
      <w:r>
        <w:rPr>
          <w:rFonts w:hint="eastAsia" w:ascii="宋体" w:hAnsi="宋体" w:eastAsia="宋体" w:cs="宋体"/>
          <w:sz w:val="21"/>
          <w:szCs w:val="21"/>
        </w:rPr>
        <w:t>一、总则</w:t>
      </w:r>
      <w:bookmarkEnd w:id="101"/>
      <w:bookmarkEnd w:id="102"/>
    </w:p>
    <w:p>
      <w:pPr>
        <w:snapToGrid w:val="0"/>
        <w:spacing w:line="360" w:lineRule="auto"/>
        <w:ind w:firstLine="420" w:firstLineChars="200"/>
        <w:rPr>
          <w:rFonts w:hint="eastAsia" w:ascii="宋体" w:hAnsi="宋体" w:cs="宋体"/>
          <w:szCs w:val="21"/>
        </w:rPr>
      </w:pPr>
      <w:r>
        <w:rPr>
          <w:rFonts w:hint="eastAsia" w:ascii="宋体" w:hAnsi="宋体" w:cs="宋体"/>
          <w:szCs w:val="21"/>
        </w:rPr>
        <w:t>招标活动遵循公平、公正、科学、择优的原则依法进行，招标活动及当事人接受依法实施的监督。本次采购为专门面向中小企业。本次招标采用综合评分法。</w:t>
      </w:r>
    </w:p>
    <w:p>
      <w:pPr>
        <w:pStyle w:val="5"/>
        <w:snapToGrid w:val="0"/>
        <w:spacing w:before="0" w:after="0" w:line="360" w:lineRule="auto"/>
        <w:ind w:firstLine="422" w:firstLineChars="200"/>
        <w:rPr>
          <w:rFonts w:hint="eastAsia" w:ascii="宋体" w:hAnsi="宋体" w:eastAsia="宋体" w:cs="宋体"/>
          <w:sz w:val="21"/>
          <w:szCs w:val="21"/>
        </w:rPr>
      </w:pPr>
      <w:bookmarkStart w:id="103" w:name="_Toc433039344"/>
      <w:bookmarkStart w:id="104" w:name="_Toc12663"/>
      <w:r>
        <w:rPr>
          <w:rFonts w:hint="eastAsia" w:ascii="宋体" w:hAnsi="宋体" w:eastAsia="宋体" w:cs="宋体"/>
          <w:sz w:val="21"/>
          <w:szCs w:val="21"/>
        </w:rPr>
        <w:t>二、评标组织</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1.评标委员会组成：采购人和采购代理机构根据采购项目的内容特点按照规定组建评标委员会。评标委员会由采购人代表和评审专家共5人及以上单数组成。</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3.主持人宣布评标期间的有关事项，告知应当回避的情形，提请有关人员回避。</w:t>
      </w:r>
    </w:p>
    <w:p>
      <w:pPr>
        <w:pStyle w:val="5"/>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三、评标程序</w:t>
      </w:r>
    </w:p>
    <w:p>
      <w:pPr>
        <w:spacing w:line="360" w:lineRule="auto"/>
        <w:ind w:firstLine="420" w:firstLineChars="200"/>
        <w:rPr>
          <w:rFonts w:hint="eastAsia" w:ascii="宋体" w:hAnsi="宋体" w:cs="宋体"/>
          <w:szCs w:val="21"/>
        </w:rPr>
      </w:pPr>
      <w:r>
        <w:rPr>
          <w:rFonts w:hint="eastAsia" w:ascii="宋体" w:hAnsi="宋体" w:cs="宋体"/>
          <w:szCs w:val="21"/>
        </w:rPr>
        <w:t>1.采购代理机构按采购文件规定的时间、地点组织公开开标。开标会议由采购代理机构组织，按采购文件的规定对投标人的资格情况进行审核。</w:t>
      </w:r>
    </w:p>
    <w:p>
      <w:pPr>
        <w:spacing w:line="360" w:lineRule="auto"/>
        <w:ind w:firstLine="420" w:firstLineChars="200"/>
        <w:rPr>
          <w:rFonts w:hint="eastAsia" w:ascii="宋体" w:hAnsi="宋体" w:cs="宋体"/>
          <w:szCs w:val="21"/>
        </w:rPr>
      </w:pPr>
      <w:r>
        <w:rPr>
          <w:rFonts w:hint="eastAsia" w:ascii="宋体" w:hAnsi="宋体" w:cs="宋体"/>
          <w:szCs w:val="21"/>
        </w:rPr>
        <w:t>2.评标委员会根据采购文件规定对投标人的投标文件进行初步评审。对投标文件中含义不明确、同类问题表述不一致或者有明显文字和计算错误的内容，评标委员会可要求投标人作出必要的澄清、说明或者纠正。最终评标委员会将对各投标人进行详细评审和打分、并进行汇总。</w:t>
      </w:r>
    </w:p>
    <w:p>
      <w:pPr>
        <w:spacing w:line="360" w:lineRule="auto"/>
        <w:ind w:firstLine="420" w:firstLineChars="200"/>
        <w:rPr>
          <w:rFonts w:hint="eastAsia" w:ascii="宋体" w:hAnsi="宋体" w:cs="宋体"/>
          <w:szCs w:val="21"/>
        </w:rPr>
      </w:pPr>
      <w:r>
        <w:rPr>
          <w:rFonts w:hint="eastAsia" w:ascii="宋体" w:hAnsi="宋体" w:cs="宋体"/>
          <w:szCs w:val="21"/>
        </w:rPr>
        <w:t>3.按照投标人的综合得分（商务资信技术得分和报价得分之和）排名，评标委员会推荐中标候选人，并在招标公告发布的网站上公布评标结果。</w:t>
      </w:r>
    </w:p>
    <w:p>
      <w:pPr>
        <w:spacing w:line="360" w:lineRule="auto"/>
        <w:ind w:firstLine="422" w:firstLineChars="200"/>
        <w:rPr>
          <w:rFonts w:hint="eastAsia" w:ascii="宋体" w:hAnsi="宋体" w:cs="宋体"/>
          <w:b/>
          <w:bCs/>
          <w:szCs w:val="21"/>
        </w:rPr>
      </w:pPr>
      <w:r>
        <w:rPr>
          <w:rFonts w:hint="eastAsia" w:ascii="宋体" w:hAnsi="宋体" w:cs="宋体"/>
          <w:b/>
          <w:bCs/>
          <w:szCs w:val="21"/>
        </w:rPr>
        <w:t>四、评标过程</w:t>
      </w:r>
    </w:p>
    <w:p>
      <w:pPr>
        <w:spacing w:line="360" w:lineRule="auto"/>
        <w:ind w:firstLine="422" w:firstLineChars="200"/>
        <w:rPr>
          <w:rFonts w:hint="eastAsia" w:ascii="宋体" w:hAnsi="宋体" w:cs="宋体"/>
          <w:b/>
          <w:bCs/>
          <w:szCs w:val="21"/>
        </w:rPr>
      </w:pPr>
      <w:r>
        <w:rPr>
          <w:rFonts w:hint="eastAsia" w:ascii="宋体" w:hAnsi="宋体" w:cs="宋体"/>
          <w:b/>
          <w:bCs/>
          <w:szCs w:val="21"/>
        </w:rPr>
        <w:t>1.初步审查</w:t>
      </w:r>
    </w:p>
    <w:p>
      <w:pPr>
        <w:spacing w:line="360" w:lineRule="auto"/>
        <w:ind w:firstLine="420" w:firstLineChars="200"/>
        <w:rPr>
          <w:rFonts w:hint="eastAsia" w:ascii="宋体" w:hAnsi="宋体" w:cs="宋体"/>
          <w:szCs w:val="21"/>
        </w:rPr>
      </w:pPr>
      <w:r>
        <w:rPr>
          <w:rFonts w:hint="eastAsia" w:ascii="宋体" w:hAnsi="宋体" w:cs="宋体"/>
          <w:szCs w:val="21"/>
        </w:rPr>
        <w:t>初步审查分为资格检查和符合性检查。</w:t>
      </w:r>
    </w:p>
    <w:p>
      <w:pPr>
        <w:spacing w:line="360" w:lineRule="auto"/>
        <w:ind w:firstLine="420" w:firstLineChars="200"/>
        <w:rPr>
          <w:rFonts w:hint="eastAsia" w:ascii="宋体" w:hAnsi="宋体" w:cs="宋体"/>
          <w:szCs w:val="21"/>
        </w:rPr>
      </w:pPr>
      <w:r>
        <w:rPr>
          <w:rFonts w:hint="eastAsia" w:ascii="宋体" w:hAnsi="宋体" w:cs="宋体"/>
          <w:szCs w:val="21"/>
        </w:rPr>
        <w:t>（1）资格审查</w:t>
      </w:r>
    </w:p>
    <w:p>
      <w:pPr>
        <w:spacing w:line="360" w:lineRule="auto"/>
        <w:ind w:firstLine="420" w:firstLineChars="200"/>
        <w:rPr>
          <w:rFonts w:hint="eastAsia" w:ascii="宋体" w:hAnsi="宋体" w:cs="宋体"/>
          <w:szCs w:val="21"/>
        </w:rPr>
      </w:pPr>
      <w:r>
        <w:rPr>
          <w:rFonts w:hint="eastAsia" w:ascii="宋体" w:hAnsi="宋体" w:cs="宋体"/>
          <w:szCs w:val="21"/>
        </w:rPr>
        <w:t>采购人或者采购代理机构对投标人的资格进行审查。依据法律法规和采购文件的规定，对投标文件中的资格文件进行审查，以确定供应商是否具备投标资格。</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36" w:lineRule="auto"/>
              <w:jc w:val="center"/>
              <w:rPr>
                <w:rFonts w:hint="eastAsia" w:ascii="宋体" w:hAnsi="宋体" w:cs="宋体"/>
                <w:b/>
                <w:szCs w:val="21"/>
              </w:rPr>
            </w:pPr>
            <w:r>
              <w:rPr>
                <w:rFonts w:hint="eastAsia" w:ascii="宋体" w:hAnsi="宋体" w:cs="宋体"/>
                <w:b/>
                <w:szCs w:val="21"/>
              </w:rPr>
              <w:t>审查类别</w:t>
            </w:r>
          </w:p>
        </w:tc>
        <w:tc>
          <w:tcPr>
            <w:tcW w:w="6794" w:type="dxa"/>
            <w:noWrap w:val="0"/>
            <w:vAlign w:val="top"/>
          </w:tcPr>
          <w:p>
            <w:pPr>
              <w:spacing w:line="336" w:lineRule="auto"/>
              <w:jc w:val="center"/>
              <w:rPr>
                <w:rFonts w:hint="eastAsia"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spacing w:line="336" w:lineRule="auto"/>
              <w:jc w:val="center"/>
              <w:rPr>
                <w:rFonts w:hint="eastAsia" w:ascii="宋体" w:hAnsi="宋体" w:cs="宋体"/>
                <w:szCs w:val="21"/>
              </w:rPr>
            </w:pPr>
            <w:r>
              <w:rPr>
                <w:rFonts w:hint="eastAsia" w:ascii="宋体" w:hAnsi="宋体" w:cs="宋体"/>
                <w:szCs w:val="21"/>
              </w:rPr>
              <w:t>资格条件审查</w:t>
            </w:r>
          </w:p>
        </w:tc>
        <w:tc>
          <w:tcPr>
            <w:tcW w:w="6794" w:type="dxa"/>
            <w:noWrap w:val="0"/>
            <w:vAlign w:val="top"/>
          </w:tcPr>
          <w:p>
            <w:pPr>
              <w:numPr>
                <w:ilvl w:val="0"/>
                <w:numId w:val="3"/>
              </w:numPr>
              <w:spacing w:line="336" w:lineRule="auto"/>
              <w:rPr>
                <w:rFonts w:hint="eastAsia" w:ascii="宋体" w:hAnsi="宋体" w:cs="宋体"/>
              </w:rPr>
            </w:pPr>
            <w:r>
              <w:rPr>
                <w:rFonts w:hint="eastAsia" w:ascii="宋体" w:hAnsi="宋体" w:cs="宋体"/>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spacing w:line="336" w:lineRule="auto"/>
              <w:jc w:val="center"/>
              <w:rPr>
                <w:rFonts w:hint="eastAsia" w:ascii="宋体" w:hAnsi="宋体" w:cs="宋体"/>
                <w:szCs w:val="21"/>
              </w:rPr>
            </w:pPr>
          </w:p>
        </w:tc>
        <w:tc>
          <w:tcPr>
            <w:tcW w:w="6794" w:type="dxa"/>
            <w:noWrap w:val="0"/>
            <w:vAlign w:val="top"/>
          </w:tcPr>
          <w:p>
            <w:pPr>
              <w:numPr>
                <w:ilvl w:val="0"/>
                <w:numId w:val="3"/>
              </w:numPr>
              <w:spacing w:line="336" w:lineRule="auto"/>
              <w:rPr>
                <w:rFonts w:hint="eastAsia" w:ascii="宋体" w:hAnsi="宋体" w:cs="宋体"/>
                <w:szCs w:val="21"/>
              </w:rPr>
            </w:pPr>
            <w:r>
              <w:rPr>
                <w:rFonts w:hint="eastAsia" w:ascii="宋体" w:hAnsi="宋体" w:cs="宋体"/>
                <w:szCs w:val="21"/>
              </w:rPr>
              <w:t>落实政府采购政策需满足的资格要求：本项目专门面向中小企业。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szCs w:val="21"/>
              </w:rPr>
            </w:pPr>
          </w:p>
        </w:tc>
        <w:tc>
          <w:tcPr>
            <w:tcW w:w="6794" w:type="dxa"/>
            <w:noWrap w:val="0"/>
            <w:vAlign w:val="top"/>
          </w:tcPr>
          <w:p>
            <w:pPr>
              <w:spacing w:line="336" w:lineRule="auto"/>
              <w:rPr>
                <w:rFonts w:hint="eastAsia" w:ascii="宋体" w:hAnsi="宋体" w:cs="宋体"/>
              </w:rPr>
            </w:pPr>
            <w:r>
              <w:rPr>
                <w:rFonts w:hint="eastAsia" w:ascii="宋体" w:hAnsi="宋体" w:cs="宋体"/>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szCs w:val="21"/>
              </w:rPr>
            </w:pPr>
          </w:p>
        </w:tc>
        <w:tc>
          <w:tcPr>
            <w:tcW w:w="6794" w:type="dxa"/>
            <w:noWrap w:val="0"/>
            <w:vAlign w:val="top"/>
          </w:tcPr>
          <w:p>
            <w:pPr>
              <w:spacing w:line="336" w:lineRule="auto"/>
              <w:rPr>
                <w:rFonts w:hint="eastAsia" w:ascii="宋体" w:hAnsi="宋体" w:cs="宋体"/>
              </w:rPr>
            </w:pPr>
            <w:r>
              <w:rPr>
                <w:rFonts w:hint="eastAsia" w:ascii="宋体" w:hAnsi="宋体" w:cs="宋体"/>
                <w:szCs w:val="21"/>
              </w:rPr>
              <w:t>（四）</w:t>
            </w:r>
            <w:r>
              <w:rPr>
                <w:rFonts w:hint="eastAsia" w:ascii="宋体" w:hAnsi="宋体" w:cs="宋体"/>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szCs w:val="21"/>
              </w:rPr>
            </w:pPr>
          </w:p>
        </w:tc>
        <w:tc>
          <w:tcPr>
            <w:tcW w:w="6794" w:type="dxa"/>
            <w:noWrap w:val="0"/>
            <w:vAlign w:val="top"/>
          </w:tcPr>
          <w:p>
            <w:pPr>
              <w:spacing w:line="336" w:lineRule="auto"/>
              <w:rPr>
                <w:rFonts w:hint="eastAsia" w:ascii="宋体" w:hAnsi="宋体" w:cs="宋体"/>
              </w:rPr>
            </w:pPr>
            <w:r>
              <w:rPr>
                <w:rFonts w:hint="eastAsia" w:ascii="宋体" w:hAnsi="宋体" w:cs="宋体"/>
                <w:szCs w:val="21"/>
              </w:rPr>
              <w:t>（五）采购文件要求的其他资格条件（如有）。</w:t>
            </w:r>
          </w:p>
        </w:tc>
      </w:tr>
    </w:tbl>
    <w:p>
      <w:pPr>
        <w:spacing w:line="360" w:lineRule="auto"/>
        <w:ind w:firstLine="420" w:firstLineChars="200"/>
        <w:rPr>
          <w:rFonts w:hint="eastAsia" w:ascii="宋体" w:hAnsi="宋体" w:cs="宋体"/>
          <w:szCs w:val="21"/>
        </w:rPr>
      </w:pPr>
      <w:r>
        <w:rPr>
          <w:rFonts w:hint="eastAsia" w:ascii="宋体" w:hAnsi="宋体" w:cs="宋体"/>
          <w:szCs w:val="21"/>
        </w:rPr>
        <w:t>（2）符合性审查</w:t>
      </w:r>
    </w:p>
    <w:p>
      <w:pPr>
        <w:spacing w:line="360" w:lineRule="auto"/>
        <w:ind w:firstLine="420" w:firstLineChars="200"/>
        <w:rPr>
          <w:rFonts w:hint="eastAsia" w:ascii="宋体" w:hAnsi="宋体" w:cs="宋体"/>
          <w:szCs w:val="21"/>
        </w:rPr>
      </w:pPr>
      <w:r>
        <w:rPr>
          <w:rFonts w:hint="eastAsia" w:ascii="宋体" w:hAnsi="宋体" w:cs="宋体"/>
          <w:szCs w:val="21"/>
        </w:rPr>
        <w:t>依据采购文件的规定，从供应商投标文件的有效性、完整性和对采购文件的响应程度进行审查，以确定是否对采购文件的实质性要求作出响应。</w:t>
      </w:r>
    </w:p>
    <w:tbl>
      <w:tblPr>
        <w:tblStyle w:val="48"/>
        <w:tblW w:w="8928"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31"/>
        <w:gridCol w:w="4722"/>
        <w:gridCol w:w="1417"/>
        <w:gridCol w:w="1958"/>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tcBorders>
              <w:top w:val="single" w:color="auto" w:sz="12" w:space="0"/>
              <w:left w:val="single" w:color="auto" w:sz="12" w:space="0"/>
              <w:bottom w:val="inset" w:color="111111" w:sz="6" w:space="0"/>
              <w:right w:val="inset" w:color="111111" w:sz="6" w:space="0"/>
            </w:tcBorders>
            <w:noWrap w:val="0"/>
            <w:vAlign w:val="center"/>
          </w:tcPr>
          <w:p>
            <w:pPr>
              <w:pStyle w:val="45"/>
              <w:jc w:val="center"/>
              <w:rPr>
                <w:rFonts w:ascii="宋体" w:hAnsi="宋体" w:cs="宋体"/>
                <w:sz w:val="21"/>
                <w:szCs w:val="21"/>
              </w:rPr>
            </w:pPr>
            <w:r>
              <w:rPr>
                <w:rFonts w:hint="eastAsia" w:ascii="宋体" w:hAnsi="宋体" w:cs="宋体"/>
                <w:sz w:val="21"/>
                <w:szCs w:val="21"/>
              </w:rPr>
              <w:t>评审内容</w:t>
            </w:r>
          </w:p>
        </w:tc>
        <w:tc>
          <w:tcPr>
            <w:tcW w:w="4725" w:type="dxa"/>
            <w:tcBorders>
              <w:top w:val="single" w:color="auto" w:sz="12" w:space="0"/>
              <w:left w:val="inset" w:color="111111" w:sz="6" w:space="0"/>
              <w:bottom w:val="inset" w:color="111111" w:sz="6" w:space="0"/>
              <w:right w:val="inset" w:color="111111" w:sz="6" w:space="0"/>
            </w:tcBorders>
            <w:noWrap w:val="0"/>
            <w:vAlign w:val="center"/>
          </w:tcPr>
          <w:p>
            <w:pPr>
              <w:pStyle w:val="45"/>
              <w:jc w:val="center"/>
              <w:rPr>
                <w:rFonts w:ascii="宋体" w:hAnsi="宋体" w:cs="宋体"/>
                <w:sz w:val="21"/>
                <w:szCs w:val="21"/>
              </w:rPr>
            </w:pPr>
            <w:r>
              <w:rPr>
                <w:rFonts w:hint="eastAsia" w:ascii="宋体" w:hAnsi="宋体" w:cs="宋体"/>
                <w:sz w:val="21"/>
                <w:szCs w:val="21"/>
              </w:rPr>
              <w:t>采购文件要求</w:t>
            </w:r>
          </w:p>
        </w:tc>
        <w:tc>
          <w:tcPr>
            <w:tcW w:w="1418" w:type="dxa"/>
            <w:tcBorders>
              <w:top w:val="single" w:color="auto" w:sz="12" w:space="0"/>
              <w:left w:val="inset" w:color="111111" w:sz="6" w:space="0"/>
              <w:bottom w:val="inset" w:color="111111" w:sz="6" w:space="0"/>
              <w:right w:val="inset" w:color="111111" w:sz="6" w:space="0"/>
            </w:tcBorders>
            <w:noWrap w:val="0"/>
            <w:vAlign w:val="center"/>
          </w:tcPr>
          <w:p>
            <w:pPr>
              <w:pStyle w:val="45"/>
              <w:jc w:val="center"/>
              <w:rPr>
                <w:rFonts w:ascii="宋体" w:hAnsi="宋体" w:cs="宋体"/>
                <w:sz w:val="21"/>
                <w:szCs w:val="21"/>
              </w:rPr>
            </w:pPr>
            <w:r>
              <w:rPr>
                <w:rFonts w:hint="eastAsia" w:ascii="宋体" w:hAnsi="宋体" w:cs="宋体"/>
                <w:sz w:val="21"/>
                <w:szCs w:val="21"/>
              </w:rPr>
              <w:t>自查结论</w:t>
            </w:r>
          </w:p>
        </w:tc>
        <w:tc>
          <w:tcPr>
            <w:tcW w:w="1959" w:type="dxa"/>
            <w:tcBorders>
              <w:top w:val="single" w:color="auto" w:sz="12"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restart"/>
            <w:tcBorders>
              <w:top w:val="inset" w:color="111111" w:sz="6" w:space="0"/>
              <w:left w:val="single" w:color="auto" w:sz="12" w:space="0"/>
              <w:bottom w:val="single" w:color="auto" w:sz="12" w:space="0"/>
              <w:right w:val="inset" w:color="111111" w:sz="6" w:space="0"/>
            </w:tcBorders>
            <w:noWrap w:val="0"/>
            <w:vAlign w:val="center"/>
          </w:tcPr>
          <w:p>
            <w:pPr>
              <w:rPr>
                <w:rFonts w:hAnsi="宋体" w:cs="宋体"/>
                <w:szCs w:val="21"/>
              </w:rPr>
            </w:pPr>
          </w:p>
        </w:tc>
        <w:tc>
          <w:tcPr>
            <w:tcW w:w="4725" w:type="dxa"/>
            <w:tcBorders>
              <w:top w:val="inset" w:color="111111" w:sz="6" w:space="0"/>
              <w:left w:val="inset" w:color="111111" w:sz="6" w:space="0"/>
              <w:bottom w:val="single" w:color="auto" w:sz="2"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1、供应商按招标文件要求签署、签章</w:t>
            </w:r>
          </w:p>
        </w:tc>
        <w:tc>
          <w:tcPr>
            <w:tcW w:w="1418" w:type="dxa"/>
            <w:tcBorders>
              <w:top w:val="inset" w:color="111111" w:sz="6" w:space="0"/>
              <w:left w:val="inset" w:color="111111" w:sz="6" w:space="0"/>
              <w:bottom w:val="single" w:color="auto" w:sz="2"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single" w:color="auto" w:sz="2"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inset" w:color="111111" w:sz="6"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2、投标有效期满足招标文件要求；</w:t>
            </w:r>
          </w:p>
        </w:tc>
        <w:tc>
          <w:tcPr>
            <w:tcW w:w="1418" w:type="dxa"/>
            <w:tcBorders>
              <w:top w:val="inset" w:color="111111" w:sz="6" w:space="0"/>
              <w:left w:val="inset" w:color="111111" w:sz="6" w:space="0"/>
              <w:bottom w:val="inset" w:color="111111" w:sz="6"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inset" w:color="111111" w:sz="6"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3、投标文件完全满足招标文件的实质性条款（即标注</w:t>
            </w:r>
            <w:r>
              <w:rPr>
                <w:rFonts w:hint="eastAsia" w:ascii="宋体" w:hAnsi="宋体" w:cs="宋体"/>
                <w:b/>
                <w:szCs w:val="21"/>
              </w:rPr>
              <w:t>*</w:t>
            </w:r>
            <w:r>
              <w:rPr>
                <w:rFonts w:hint="eastAsia" w:ascii="宋体" w:hAnsi="宋体" w:cs="宋体"/>
                <w:sz w:val="21"/>
                <w:szCs w:val="21"/>
              </w:rPr>
              <w:t>号条款）无负偏离的。</w:t>
            </w:r>
          </w:p>
        </w:tc>
        <w:tc>
          <w:tcPr>
            <w:tcW w:w="1418" w:type="dxa"/>
            <w:tcBorders>
              <w:top w:val="inset" w:color="111111" w:sz="6" w:space="0"/>
              <w:left w:val="inset" w:color="111111" w:sz="6" w:space="0"/>
              <w:bottom w:val="inset" w:color="111111" w:sz="6"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inset" w:color="111111" w:sz="6"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4、投标文件没有采购人不能接受的附加的条件；</w:t>
            </w:r>
          </w:p>
        </w:tc>
        <w:tc>
          <w:tcPr>
            <w:tcW w:w="1418" w:type="dxa"/>
            <w:tcBorders>
              <w:top w:val="inset" w:color="111111" w:sz="6" w:space="0"/>
              <w:left w:val="inset" w:color="111111" w:sz="6" w:space="0"/>
              <w:bottom w:val="inset" w:color="111111" w:sz="6"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inset" w:color="111111" w:sz="6"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5、提供资料齐全并且不存在内容虚假；</w:t>
            </w:r>
          </w:p>
        </w:tc>
        <w:tc>
          <w:tcPr>
            <w:tcW w:w="1418" w:type="dxa"/>
            <w:tcBorders>
              <w:top w:val="inset" w:color="111111" w:sz="6" w:space="0"/>
              <w:left w:val="inset" w:color="111111" w:sz="6" w:space="0"/>
              <w:bottom w:val="inset" w:color="111111" w:sz="6"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inset" w:color="111111" w:sz="6"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6、投标文件的实质性内容使用中文表述、表述明确、前后不存在矛盾且使用计量单位均符合招标文件要求；</w:t>
            </w:r>
          </w:p>
        </w:tc>
        <w:tc>
          <w:tcPr>
            <w:tcW w:w="1418" w:type="dxa"/>
            <w:tcBorders>
              <w:top w:val="inset" w:color="111111" w:sz="6" w:space="0"/>
              <w:left w:val="inset" w:color="111111" w:sz="6" w:space="0"/>
              <w:bottom w:val="inset" w:color="111111" w:sz="6"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inset" w:color="111111" w:sz="6"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7、投标文件的关键内容字迹清晰、能够辨认，且投标文件中经修正的内容（如有）字迹清晰可以辩认并且修改处均按规定签署、盖章；</w:t>
            </w:r>
          </w:p>
        </w:tc>
        <w:tc>
          <w:tcPr>
            <w:tcW w:w="1418" w:type="dxa"/>
            <w:tcBorders>
              <w:top w:val="inset" w:color="111111" w:sz="6" w:space="0"/>
              <w:left w:val="inset" w:color="111111" w:sz="6" w:space="0"/>
              <w:bottom w:val="inset" w:color="111111" w:sz="6"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inset" w:color="111111" w:sz="6"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40" w:hRule="atLeast"/>
          <w:jc w:val="center"/>
        </w:trPr>
        <w:tc>
          <w:tcPr>
            <w:tcW w:w="831" w:type="dxa"/>
            <w:vMerge w:val="continue"/>
            <w:tcBorders>
              <w:top w:val="inset" w:color="111111" w:sz="6" w:space="0"/>
              <w:left w:val="single" w:color="auto" w:sz="12" w:space="0"/>
              <w:bottom w:val="single" w:color="auto" w:sz="12" w:space="0"/>
              <w:right w:val="inset" w:color="111111" w:sz="6" w:space="0"/>
            </w:tcBorders>
            <w:noWrap w:val="0"/>
            <w:vAlign w:val="center"/>
          </w:tcPr>
          <w:p>
            <w:pPr>
              <w:widowControl/>
              <w:jc w:val="left"/>
              <w:rPr>
                <w:rFonts w:hAnsi="宋体" w:cs="宋体"/>
                <w:szCs w:val="21"/>
              </w:rPr>
            </w:pPr>
          </w:p>
        </w:tc>
        <w:tc>
          <w:tcPr>
            <w:tcW w:w="4725" w:type="dxa"/>
            <w:tcBorders>
              <w:top w:val="inset" w:color="111111" w:sz="6" w:space="0"/>
              <w:left w:val="inset" w:color="111111" w:sz="6" w:space="0"/>
              <w:bottom w:val="single" w:color="auto" w:sz="12" w:space="0"/>
              <w:right w:val="inset" w:color="111111" w:sz="6" w:space="0"/>
            </w:tcBorders>
            <w:noWrap w:val="0"/>
            <w:vAlign w:val="center"/>
          </w:tcPr>
          <w:p>
            <w:pPr>
              <w:pStyle w:val="45"/>
              <w:rPr>
                <w:rFonts w:ascii="宋体" w:hAnsi="宋体" w:cs="宋体"/>
                <w:sz w:val="21"/>
                <w:szCs w:val="21"/>
              </w:rPr>
            </w:pPr>
            <w:r>
              <w:rPr>
                <w:rFonts w:hint="eastAsia" w:ascii="宋体" w:hAnsi="宋体" w:cs="宋体"/>
                <w:sz w:val="21"/>
                <w:szCs w:val="21"/>
              </w:rPr>
              <w:t>8、不含法律、法规和招标文件规定的其他无效情形。</w:t>
            </w:r>
          </w:p>
        </w:tc>
        <w:tc>
          <w:tcPr>
            <w:tcW w:w="1418" w:type="dxa"/>
            <w:tcBorders>
              <w:top w:val="inset" w:color="111111" w:sz="6" w:space="0"/>
              <w:left w:val="inset" w:color="111111" w:sz="6" w:space="0"/>
              <w:bottom w:val="single" w:color="auto" w:sz="12" w:space="0"/>
              <w:right w:val="inset" w:color="111111" w:sz="6" w:space="0"/>
            </w:tcBorders>
            <w:noWrap w:val="0"/>
            <w:vAlign w:val="center"/>
          </w:tcPr>
          <w:p>
            <w:pPr>
              <w:pStyle w:val="45"/>
              <w:spacing w:before="0" w:beforeAutospacing="0" w:after="0" w:afterAutospacing="0"/>
              <w:rPr>
                <w:rFonts w:ascii="宋体" w:hAnsi="宋体" w:cs="宋体"/>
                <w:sz w:val="21"/>
                <w:szCs w:val="21"/>
              </w:rPr>
            </w:pPr>
            <w:r>
              <w:rPr>
                <w:rFonts w:hint="eastAsia" w:ascii="宋体" w:hAnsi="宋体" w:cs="宋体"/>
                <w:sz w:val="21"/>
                <w:szCs w:val="21"/>
              </w:rPr>
              <w:t>□通过</w:t>
            </w:r>
          </w:p>
          <w:p>
            <w:pPr>
              <w:pStyle w:val="45"/>
              <w:spacing w:before="0" w:beforeAutospacing="0" w:after="0" w:afterAutospacing="0"/>
              <w:rPr>
                <w:rFonts w:ascii="宋体" w:hAnsi="宋体" w:cs="宋体"/>
                <w:sz w:val="21"/>
                <w:szCs w:val="21"/>
              </w:rPr>
            </w:pPr>
            <w:r>
              <w:rPr>
                <w:rFonts w:hint="eastAsia" w:ascii="宋体" w:hAnsi="宋体" w:cs="宋体"/>
                <w:sz w:val="21"/>
                <w:szCs w:val="21"/>
              </w:rPr>
              <w:t>□不通过</w:t>
            </w:r>
          </w:p>
        </w:tc>
        <w:tc>
          <w:tcPr>
            <w:tcW w:w="1959" w:type="dxa"/>
            <w:tcBorders>
              <w:top w:val="inset" w:color="111111" w:sz="6" w:space="0"/>
              <w:left w:val="inset" w:color="111111" w:sz="6" w:space="0"/>
              <w:bottom w:val="single" w:color="auto" w:sz="12" w:space="0"/>
              <w:right w:val="single" w:color="auto" w:sz="12" w:space="0"/>
            </w:tcBorders>
            <w:noWrap w:val="0"/>
            <w:vAlign w:val="center"/>
          </w:tcPr>
          <w:p>
            <w:pPr>
              <w:pStyle w:val="45"/>
              <w:jc w:val="center"/>
              <w:rPr>
                <w:rFonts w:ascii="宋体" w:hAnsi="宋体" w:cs="宋体"/>
                <w:sz w:val="21"/>
                <w:szCs w:val="21"/>
              </w:rPr>
            </w:pPr>
            <w:r>
              <w:rPr>
                <w:rFonts w:hint="eastAsia" w:ascii="宋体" w:hAnsi="宋体" w:cs="宋体"/>
                <w:sz w:val="21"/>
                <w:szCs w:val="21"/>
              </w:rPr>
              <w:t>第（）页</w:t>
            </w:r>
          </w:p>
        </w:tc>
      </w:tr>
    </w:tbl>
    <w:p>
      <w:pPr>
        <w:spacing w:line="360" w:lineRule="auto"/>
        <w:ind w:firstLine="420" w:firstLineChars="200"/>
        <w:rPr>
          <w:rFonts w:hint="eastAsia" w:ascii="宋体" w:hAnsi="宋体" w:cs="宋体"/>
          <w:szCs w:val="21"/>
        </w:rPr>
      </w:pPr>
    </w:p>
    <w:p>
      <w:pPr>
        <w:spacing w:line="360" w:lineRule="auto"/>
        <w:ind w:firstLine="422" w:firstLineChars="200"/>
        <w:rPr>
          <w:rFonts w:hint="eastAsia" w:ascii="宋体" w:hAnsi="宋体" w:cs="宋体"/>
          <w:b/>
          <w:bCs/>
          <w:szCs w:val="21"/>
        </w:rPr>
      </w:pPr>
      <w:r>
        <w:rPr>
          <w:rFonts w:hint="eastAsia" w:ascii="宋体" w:hAnsi="宋体" w:cs="宋体"/>
          <w:b/>
          <w:bCs/>
          <w:szCs w:val="21"/>
        </w:rPr>
        <w:t>2.澄清问题</w:t>
      </w:r>
    </w:p>
    <w:p>
      <w:pPr>
        <w:spacing w:line="360" w:lineRule="auto"/>
        <w:ind w:firstLine="420" w:firstLineChars="200"/>
        <w:rPr>
          <w:rFonts w:hint="eastAsia" w:ascii="宋体" w:hAnsi="宋体" w:cs="宋体"/>
          <w:szCs w:val="21"/>
        </w:rPr>
      </w:pPr>
      <w:r>
        <w:rPr>
          <w:rFonts w:hint="eastAsia" w:ascii="宋体" w:hAnsi="宋体" w:cs="宋体"/>
          <w:szCs w:val="21"/>
        </w:rPr>
        <w:t>对于投标文件中含义不明确、同类问题表述不一致或者有明显文字和计算错误的内容，评标委员会可要求投标人以书面形式作出必要的澄清、说明或者补正。</w:t>
      </w:r>
    </w:p>
    <w:p>
      <w:pPr>
        <w:spacing w:line="360" w:lineRule="auto"/>
        <w:ind w:firstLine="420" w:firstLineChars="200"/>
        <w:rPr>
          <w:rFonts w:hint="eastAsia" w:ascii="宋体" w:hAnsi="宋体" w:cs="宋体"/>
          <w:b/>
          <w:bCs/>
          <w:szCs w:val="21"/>
        </w:rPr>
      </w:pPr>
      <w:r>
        <w:rPr>
          <w:rFonts w:hint="eastAsia" w:ascii="宋体" w:hAnsi="宋体" w:cs="宋体"/>
          <w:szCs w:val="21"/>
        </w:rPr>
        <w:t>投标人的澄清、说明或者补正应当采用书面形式，并加盖公章，或者由法定代表人或其授权代表签字确认，投标人的澄清、说明或者补正不得超出投标文件的范围或者改变投标文件的实质性内容。</w:t>
      </w:r>
      <w:r>
        <w:rPr>
          <w:rFonts w:hint="eastAsia" w:ascii="宋体" w:hAnsi="宋体" w:cs="宋体"/>
          <w:b/>
          <w:bCs/>
          <w:szCs w:val="21"/>
        </w:rPr>
        <w:t>投标人提交澄清说明或补正的时间为30分钟。</w:t>
      </w:r>
    </w:p>
    <w:p>
      <w:pPr>
        <w:spacing w:line="360" w:lineRule="auto"/>
        <w:ind w:firstLine="422" w:firstLineChars="200"/>
        <w:rPr>
          <w:rFonts w:hint="eastAsia" w:ascii="宋体" w:hAnsi="宋体" w:cs="宋体"/>
          <w:b/>
          <w:bCs/>
          <w:szCs w:val="21"/>
        </w:rPr>
      </w:pPr>
      <w:r>
        <w:rPr>
          <w:rFonts w:hint="eastAsia" w:ascii="宋体" w:hAnsi="宋体" w:cs="宋体"/>
          <w:b/>
          <w:bCs/>
          <w:szCs w:val="21"/>
        </w:rPr>
        <w:t>3.详细评审</w:t>
      </w:r>
    </w:p>
    <w:p>
      <w:pPr>
        <w:spacing w:line="360" w:lineRule="auto"/>
        <w:ind w:firstLine="420" w:firstLineChars="200"/>
        <w:rPr>
          <w:rFonts w:hint="eastAsia" w:ascii="宋体" w:hAnsi="宋体" w:cs="宋体"/>
          <w:szCs w:val="21"/>
        </w:rPr>
      </w:pPr>
      <w:r>
        <w:rPr>
          <w:rFonts w:hint="eastAsia" w:ascii="宋体" w:hAnsi="宋体" w:cs="宋体"/>
          <w:szCs w:val="21"/>
        </w:rPr>
        <w:t>评标委员会对初步评审合格的投标文件，依照本办法对投标文件作进一步评审、比较。评标委员会成员经过阅标、审标和询标，对各投标人进行打分。</w:t>
      </w:r>
    </w:p>
    <w:p>
      <w:pPr>
        <w:spacing w:line="360" w:lineRule="auto"/>
        <w:ind w:firstLine="420" w:firstLineChars="200"/>
        <w:rPr>
          <w:rFonts w:hint="eastAsia" w:ascii="宋体" w:hAnsi="宋体" w:cs="宋体"/>
          <w:szCs w:val="21"/>
        </w:rPr>
      </w:pPr>
      <w:r>
        <w:rPr>
          <w:rFonts w:hint="eastAsia" w:ascii="宋体" w:hAnsi="宋体" w:cs="宋体"/>
          <w:szCs w:val="21"/>
        </w:rPr>
        <w:t>评委打分参照本章“五、评分标准”。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spacing w:line="360" w:lineRule="auto"/>
        <w:ind w:firstLine="422" w:firstLineChars="200"/>
        <w:rPr>
          <w:rFonts w:hint="eastAsia" w:ascii="宋体" w:hAnsi="宋体" w:cs="宋体"/>
          <w:b/>
          <w:bCs/>
          <w:szCs w:val="21"/>
        </w:rPr>
      </w:pPr>
      <w:r>
        <w:rPr>
          <w:rFonts w:hint="eastAsia" w:ascii="宋体" w:hAnsi="宋体" w:cs="宋体"/>
          <w:b/>
          <w:bCs/>
          <w:szCs w:val="21"/>
        </w:rPr>
        <w:t>注：评标委员会成员独立评审。评标委员会对拟认定为投标文件无效的，应组织相关供应商代表进行陈述、澄清或申辩；采购代理机构可协助评标委员会主任评委对打分结果进行校对、核对并汇总统计；对明显畸高、畸低的评分（其总评分偏离平均分30%以上的），评标委员会组长应提醒相关评标委员会成员进行复核或书面说明理由，评标委员会成员拒绝说明的，由现场监督员据实记录；评标委员会成员的评审、修改记录应保留原件，随项目其他资料一并存档。</w:t>
      </w:r>
    </w:p>
    <w:p>
      <w:pPr>
        <w:spacing w:line="360" w:lineRule="auto"/>
        <w:ind w:firstLine="420" w:firstLineChars="200"/>
        <w:rPr>
          <w:rFonts w:hint="eastAsia" w:ascii="宋体" w:hAnsi="宋体" w:cs="宋体"/>
          <w:szCs w:val="21"/>
        </w:rPr>
      </w:pPr>
      <w:r>
        <w:rPr>
          <w:rFonts w:hint="eastAsia" w:ascii="宋体" w:hAnsi="宋体" w:cs="宋体"/>
          <w:szCs w:val="21"/>
        </w:rPr>
        <w:t>4.报价合理性</w:t>
      </w:r>
    </w:p>
    <w:p>
      <w:pPr>
        <w:spacing w:line="360" w:lineRule="auto"/>
        <w:ind w:firstLine="420" w:firstLineChars="200"/>
        <w:rPr>
          <w:rFonts w:hint="eastAsia" w:ascii="宋体" w:hAnsi="宋体" w:cs="宋体"/>
          <w:szCs w:val="21"/>
        </w:rPr>
      </w:pPr>
      <w:r>
        <w:rPr>
          <w:rFonts w:hint="eastAsia" w:ascii="宋体" w:hAnsi="宋体" w:cs="宋体"/>
          <w:szCs w:val="21"/>
        </w:rPr>
        <w:t>评标委员会认为投标人的报价明显低于其他通过符合性审查投标人的报价，有可能影响产品质量或者不能诚信履约的，且不能在评标现场合理的时间内提供相关证明材料说明其报价合理性的，则投标文件将被视为无效。</w:t>
      </w:r>
    </w:p>
    <w:p>
      <w:pPr>
        <w:spacing w:line="360" w:lineRule="auto"/>
        <w:ind w:firstLine="420" w:firstLineChars="200"/>
        <w:rPr>
          <w:rFonts w:hint="eastAsia" w:ascii="宋体" w:hAnsi="宋体" w:cs="宋体"/>
          <w:szCs w:val="21"/>
        </w:rPr>
      </w:pPr>
      <w:r>
        <w:rPr>
          <w:rFonts w:hint="eastAsia" w:ascii="宋体" w:hAnsi="宋体" w:cs="宋体"/>
          <w:szCs w:val="21"/>
        </w:rPr>
        <w:t>5.中标原则</w:t>
      </w:r>
    </w:p>
    <w:p>
      <w:pPr>
        <w:spacing w:line="360" w:lineRule="auto"/>
        <w:ind w:firstLine="420" w:firstLineChars="200"/>
        <w:rPr>
          <w:rFonts w:hint="eastAsia" w:ascii="宋体" w:hAnsi="宋体" w:cs="宋体"/>
          <w:szCs w:val="21"/>
        </w:rPr>
      </w:pPr>
      <w:r>
        <w:rPr>
          <w:rFonts w:hint="eastAsia" w:ascii="宋体" w:hAnsi="宋体" w:cs="宋体"/>
          <w:szCs w:val="21"/>
        </w:rPr>
        <w:t>评标委员会根据供应商的综合得分（商务技术得分和报价得分之和）由高到低排定顺序，并推荐综合得分排名第一的供应商为本项目的第一中标候选人。如供应商综合得分相同的，则投标报价低者优先；若投标报价也相同，则由采购人抽签决定，先抽中者排名靠前。</w:t>
      </w:r>
    </w:p>
    <w:p>
      <w:pPr>
        <w:spacing w:line="360" w:lineRule="auto"/>
        <w:ind w:firstLine="422" w:firstLineChars="200"/>
        <w:rPr>
          <w:rFonts w:hint="eastAsia" w:ascii="宋体" w:hAnsi="宋体" w:cs="宋体"/>
          <w:b/>
          <w:bCs/>
          <w:szCs w:val="21"/>
        </w:rPr>
      </w:pPr>
      <w:r>
        <w:rPr>
          <w:rFonts w:hint="eastAsia" w:ascii="宋体" w:hAnsi="宋体" w:cs="宋体"/>
          <w:b/>
          <w:bCs/>
          <w:szCs w:val="21"/>
        </w:rPr>
        <w:t>如评标过程中出现本采购文件未尽事宜，则由评标委员会讨论决定。</w:t>
      </w:r>
    </w:p>
    <w:p>
      <w:pPr>
        <w:spacing w:line="360" w:lineRule="auto"/>
        <w:ind w:firstLine="420" w:firstLineChars="200"/>
        <w:rPr>
          <w:rFonts w:hint="eastAsia" w:ascii="宋体" w:hAnsi="宋体" w:cs="宋体"/>
          <w:szCs w:val="21"/>
        </w:rPr>
      </w:pPr>
      <w:r>
        <w:rPr>
          <w:rFonts w:hint="eastAsia" w:ascii="宋体" w:hAnsi="宋体" w:cs="宋体"/>
          <w:szCs w:val="21"/>
        </w:rPr>
        <w:t>6.中标结果</w:t>
      </w:r>
    </w:p>
    <w:p>
      <w:pPr>
        <w:spacing w:line="360" w:lineRule="auto"/>
        <w:ind w:firstLine="420" w:firstLineChars="200"/>
        <w:rPr>
          <w:rFonts w:hint="eastAsia" w:ascii="宋体" w:hAnsi="宋体" w:cs="宋体"/>
          <w:b/>
          <w:bCs/>
          <w:szCs w:val="21"/>
        </w:rPr>
      </w:pPr>
      <w:r>
        <w:rPr>
          <w:rFonts w:hint="eastAsia" w:ascii="宋体" w:hAnsi="宋体" w:cs="宋体"/>
          <w:szCs w:val="21"/>
        </w:rPr>
        <w:t>采购机构将中标结果在政府采购指定媒体上公示，并根据中标结果和公告，同时向中标发出中标通知书。</w:t>
      </w:r>
      <w:bookmarkEnd w:id="103"/>
      <w:bookmarkEnd w:id="104"/>
    </w:p>
    <w:p>
      <w:pPr>
        <w:spacing w:line="360" w:lineRule="auto"/>
        <w:ind w:firstLine="422" w:firstLineChars="200"/>
        <w:rPr>
          <w:rFonts w:hint="eastAsia" w:ascii="宋体" w:hAnsi="宋体" w:cs="宋体"/>
          <w:b/>
          <w:bCs/>
          <w:szCs w:val="21"/>
        </w:rPr>
      </w:pPr>
      <w:r>
        <w:rPr>
          <w:rFonts w:hint="eastAsia" w:ascii="宋体" w:hAnsi="宋体" w:cs="宋体"/>
          <w:b/>
          <w:bCs/>
          <w:szCs w:val="21"/>
        </w:rPr>
        <w:t>五、评分标准</w:t>
      </w:r>
    </w:p>
    <w:tbl>
      <w:tblPr>
        <w:tblStyle w:val="48"/>
        <w:tblW w:w="99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9"/>
        <w:gridCol w:w="709"/>
        <w:gridCol w:w="6185"/>
        <w:gridCol w:w="709"/>
        <w:gridCol w:w="709"/>
        <w:gridCol w:w="9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noWrap w:val="0"/>
            <w:vAlign w:val="center"/>
          </w:tcPr>
          <w:p>
            <w:pPr>
              <w:autoSpaceDE w:val="0"/>
              <w:autoSpaceDN w:val="0"/>
              <w:adjustRightInd w:val="0"/>
              <w:spacing w:line="360" w:lineRule="auto"/>
              <w:jc w:val="center"/>
              <w:rPr>
                <w:rFonts w:ascii="宋体" w:hAnsi="宋体"/>
                <w:b/>
                <w:kern w:val="0"/>
                <w:szCs w:val="21"/>
              </w:rPr>
            </w:pPr>
            <w:r>
              <w:rPr>
                <w:rFonts w:ascii="宋体" w:hAnsi="宋体"/>
                <w:b/>
                <w:kern w:val="0"/>
                <w:szCs w:val="21"/>
              </w:rPr>
              <w:t>序号</w:t>
            </w:r>
          </w:p>
        </w:tc>
        <w:tc>
          <w:tcPr>
            <w:tcW w:w="6894" w:type="dxa"/>
            <w:gridSpan w:val="2"/>
            <w:noWrap w:val="0"/>
            <w:vAlign w:val="center"/>
          </w:tcPr>
          <w:p>
            <w:pPr>
              <w:autoSpaceDE w:val="0"/>
              <w:autoSpaceDN w:val="0"/>
              <w:adjustRightInd w:val="0"/>
              <w:spacing w:line="360" w:lineRule="auto"/>
              <w:ind w:firstLine="422" w:firstLineChars="200"/>
              <w:jc w:val="center"/>
              <w:rPr>
                <w:rFonts w:ascii="宋体" w:hAnsi="宋体"/>
                <w:b/>
                <w:kern w:val="0"/>
                <w:szCs w:val="21"/>
              </w:rPr>
            </w:pPr>
            <w:r>
              <w:rPr>
                <w:rFonts w:hint="eastAsia" w:ascii="宋体" w:hAnsi="宋体"/>
                <w:b/>
                <w:kern w:val="0"/>
                <w:szCs w:val="21"/>
              </w:rPr>
              <w:t>评分标准</w:t>
            </w:r>
          </w:p>
        </w:tc>
        <w:tc>
          <w:tcPr>
            <w:tcW w:w="709"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权重</w:t>
            </w:r>
          </w:p>
        </w:tc>
        <w:tc>
          <w:tcPr>
            <w:tcW w:w="709"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分值属性</w:t>
            </w:r>
          </w:p>
        </w:tc>
        <w:tc>
          <w:tcPr>
            <w:tcW w:w="902"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729" w:type="dxa"/>
            <w:noWrap w:val="0"/>
            <w:vAlign w:val="center"/>
          </w:tcPr>
          <w:p>
            <w:pPr>
              <w:jc w:val="center"/>
              <w:rPr>
                <w:rFonts w:ascii="宋体" w:hAnsi="宋体"/>
                <w:szCs w:val="21"/>
              </w:rPr>
            </w:pPr>
            <w:r>
              <w:rPr>
                <w:rFonts w:hint="eastAsia" w:ascii="宋体" w:hAnsi="宋体"/>
                <w:szCs w:val="21"/>
              </w:rPr>
              <w:t>1</w:t>
            </w:r>
          </w:p>
        </w:tc>
        <w:tc>
          <w:tcPr>
            <w:tcW w:w="6894" w:type="dxa"/>
            <w:gridSpan w:val="2"/>
            <w:noWrap w:val="0"/>
            <w:vAlign w:val="center"/>
          </w:tcPr>
          <w:p>
            <w:pPr>
              <w:snapToGrid w:val="0"/>
              <w:jc w:val="left"/>
              <w:rPr>
                <w:rFonts w:ascii="宋体" w:hAnsi="宋体" w:cs="FangSong_GB2312,Bold"/>
                <w:bCs/>
                <w:kern w:val="0"/>
                <w:szCs w:val="21"/>
              </w:rPr>
            </w:pPr>
            <w:r>
              <w:rPr>
                <w:rFonts w:hint="eastAsia" w:ascii="宋体" w:hAnsi="宋体" w:cs="FangSong_GB2312,Bold"/>
                <w:bCs/>
                <w:kern w:val="0"/>
                <w:szCs w:val="21"/>
              </w:rPr>
              <w:t>项目业绩（1.2分）：2021年1月1日以来（以合同签订时间为准），投标人独立承担过绿化养护项目且单个合同年养护经费≥500万元的，每提供1个合同得0.4分。</w:t>
            </w:r>
          </w:p>
          <w:p>
            <w:pPr>
              <w:snapToGrid w:val="0"/>
              <w:jc w:val="left"/>
              <w:rPr>
                <w:rFonts w:ascii="宋体" w:hAnsi="宋体" w:cs="FangSong_GB2312,Bold"/>
                <w:bCs/>
                <w:kern w:val="0"/>
                <w:szCs w:val="21"/>
              </w:rPr>
            </w:pPr>
            <w:r>
              <w:rPr>
                <w:rFonts w:hint="eastAsia" w:ascii="宋体" w:hAnsi="宋体" w:cs="FangSong_GB2312,Bold"/>
                <w:bCs/>
                <w:kern w:val="0"/>
                <w:szCs w:val="21"/>
              </w:rPr>
              <w:t>（说明：同一个项目不同合同时期段的只作为一个业绩计算，补充合同不与原合同合并计算。投标文件中附合同扫描件、中标通知书扫描件、网站中标公示截图和业主出具的业绩优良评价证明并加盖投标人公章）</w:t>
            </w:r>
          </w:p>
        </w:tc>
        <w:tc>
          <w:tcPr>
            <w:tcW w:w="709"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1.2</w:t>
            </w:r>
          </w:p>
        </w:tc>
        <w:tc>
          <w:tcPr>
            <w:tcW w:w="709"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客观分</w:t>
            </w:r>
          </w:p>
        </w:tc>
        <w:tc>
          <w:tcPr>
            <w:tcW w:w="902" w:type="dxa"/>
            <w:noWrap w:val="0"/>
            <w:vAlign w:val="center"/>
          </w:tcPr>
          <w:p>
            <w:pPr>
              <w:snapToGrid w:val="0"/>
              <w:jc w:val="center"/>
              <w:rPr>
                <w:rFonts w:ascii="宋体" w:hAnsi="宋体" w:cs="FangSong_GB2312,Bold"/>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29" w:type="dxa"/>
            <w:noWrap w:val="0"/>
            <w:vAlign w:val="center"/>
          </w:tcPr>
          <w:p>
            <w:pPr>
              <w:jc w:val="center"/>
              <w:rPr>
                <w:rFonts w:ascii="宋体" w:hAnsi="宋体"/>
                <w:szCs w:val="21"/>
              </w:rPr>
            </w:pPr>
            <w:r>
              <w:rPr>
                <w:rFonts w:hint="eastAsia" w:ascii="宋体" w:hAnsi="宋体"/>
                <w:szCs w:val="21"/>
              </w:rPr>
              <w:t>2</w:t>
            </w:r>
          </w:p>
        </w:tc>
        <w:tc>
          <w:tcPr>
            <w:tcW w:w="6894" w:type="dxa"/>
            <w:gridSpan w:val="2"/>
            <w:noWrap w:val="0"/>
            <w:vAlign w:val="center"/>
          </w:tcPr>
          <w:p>
            <w:pPr>
              <w:snapToGrid w:val="0"/>
              <w:jc w:val="left"/>
              <w:rPr>
                <w:rFonts w:ascii="宋体" w:hAnsi="宋体" w:cs="FangSong_GB2312,Bold"/>
                <w:bCs/>
                <w:kern w:val="0"/>
                <w:szCs w:val="21"/>
              </w:rPr>
            </w:pPr>
            <w:r>
              <w:rPr>
                <w:rFonts w:hint="eastAsia" w:ascii="宋体" w:hAnsi="宋体"/>
                <w:szCs w:val="21"/>
              </w:rPr>
              <w:t>专业评价</w:t>
            </w:r>
            <w:r>
              <w:rPr>
                <w:rFonts w:hint="eastAsia" w:ascii="宋体" w:hAnsi="宋体" w:cs="FangSong_GB2312,Bold"/>
                <w:bCs/>
                <w:kern w:val="0"/>
                <w:szCs w:val="21"/>
              </w:rPr>
              <w:t>（3分）</w:t>
            </w:r>
            <w:r>
              <w:rPr>
                <w:rFonts w:hint="eastAsia" w:ascii="宋体" w:hAnsi="宋体"/>
                <w:szCs w:val="21"/>
              </w:rPr>
              <w:t>：</w:t>
            </w:r>
            <w:r>
              <w:rPr>
                <w:rFonts w:hint="eastAsia" w:ascii="宋体" w:hAnsi="宋体" w:cs="FangSong_GB2312,Bold"/>
                <w:bCs/>
                <w:kern w:val="0"/>
                <w:szCs w:val="21"/>
              </w:rPr>
              <w:t>投标人独立承担的绿化养护项目，在近三年度获得过行业学会或协会荣誉：获得过省级及以上优秀园林工程奖（养护类）或省级及以上园林绿化养护称号的，每具有1个得1.5分</w:t>
            </w:r>
            <w:r>
              <w:rPr>
                <w:rFonts w:hint="eastAsia" w:ascii="宋体" w:hAnsi="宋体" w:cs="FangSong_GB2312,Bold"/>
                <w:bCs/>
                <w:kern w:val="0"/>
              </w:rPr>
              <w:t>，最高得3分；</w:t>
            </w:r>
            <w:r>
              <w:rPr>
                <w:rFonts w:hint="eastAsia" w:ascii="宋体" w:hAnsi="宋体" w:cs="FangSong_GB2312,Bold"/>
                <w:bCs/>
                <w:kern w:val="0"/>
                <w:szCs w:val="21"/>
              </w:rPr>
              <w:t>获得过地市级优秀园林工程奖（养护类）或地市级园林绿化养护称号的，每具有1个得0.5分</w:t>
            </w:r>
            <w:r>
              <w:rPr>
                <w:rFonts w:hint="eastAsia" w:ascii="宋体" w:hAnsi="宋体" w:cs="FangSong_GB2312,Bold"/>
                <w:bCs/>
                <w:kern w:val="0"/>
              </w:rPr>
              <w:t>，最高得3分；</w:t>
            </w:r>
          </w:p>
          <w:p>
            <w:pPr>
              <w:snapToGrid w:val="0"/>
              <w:jc w:val="left"/>
              <w:rPr>
                <w:rFonts w:ascii="宋体" w:hAnsi="宋体" w:cs="FangSong_GB2312,Bold"/>
                <w:bCs/>
                <w:kern w:val="0"/>
                <w:szCs w:val="21"/>
              </w:rPr>
            </w:pPr>
            <w:r>
              <w:rPr>
                <w:rFonts w:hint="eastAsia" w:ascii="宋体" w:hAnsi="宋体" w:cs="FangSong_GB2312,Bold"/>
                <w:bCs/>
                <w:kern w:val="0"/>
                <w:szCs w:val="21"/>
              </w:rPr>
              <w:t>同一个项目就高计分，同一项目不同年度多次获得养护称号的只计一次。（近三年度指2020年度、2021年度、2022年度，非证书发证时间。投标文件中附相关证书或通报文件扫描件加盖投标人公章。）</w:t>
            </w:r>
          </w:p>
        </w:tc>
        <w:tc>
          <w:tcPr>
            <w:tcW w:w="709"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3</w:t>
            </w:r>
          </w:p>
        </w:tc>
        <w:tc>
          <w:tcPr>
            <w:tcW w:w="709" w:type="dxa"/>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客观分</w:t>
            </w:r>
          </w:p>
        </w:tc>
        <w:tc>
          <w:tcPr>
            <w:tcW w:w="902" w:type="dxa"/>
            <w:noWrap w:val="0"/>
            <w:vAlign w:val="center"/>
          </w:tcPr>
          <w:p>
            <w:pPr>
              <w:snapToGrid w:val="0"/>
              <w:jc w:val="center"/>
              <w:rPr>
                <w:rFonts w:ascii="宋体" w:hAnsi="宋体" w:cs="FangSong_GB2312,Bold"/>
                <w:bCs/>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729" w:type="dxa"/>
            <w:noWrap w:val="0"/>
            <w:vAlign w:val="center"/>
          </w:tcPr>
          <w:p>
            <w:pPr>
              <w:jc w:val="center"/>
              <w:rPr>
                <w:rFonts w:ascii="宋体" w:hAnsi="宋体"/>
                <w:szCs w:val="21"/>
              </w:rPr>
            </w:pPr>
            <w:r>
              <w:rPr>
                <w:rFonts w:hint="eastAsia" w:ascii="宋体" w:hAnsi="宋体"/>
                <w:szCs w:val="21"/>
              </w:rPr>
              <w:t>3</w:t>
            </w:r>
          </w:p>
        </w:tc>
        <w:tc>
          <w:tcPr>
            <w:tcW w:w="6894" w:type="dxa"/>
            <w:gridSpan w:val="2"/>
            <w:noWrap w:val="0"/>
            <w:vAlign w:val="center"/>
          </w:tcPr>
          <w:p>
            <w:pPr>
              <w:jc w:val="left"/>
              <w:rPr>
                <w:rFonts w:ascii="宋体" w:hAnsi="宋体"/>
                <w:szCs w:val="21"/>
              </w:rPr>
            </w:pPr>
            <w:r>
              <w:rPr>
                <w:rFonts w:hint="eastAsia" w:ascii="宋体" w:hAnsi="宋体" w:cs="FangSong_GB2312,Bold"/>
                <w:bCs/>
                <w:kern w:val="0"/>
                <w:szCs w:val="21"/>
              </w:rPr>
              <w:t>投标人</w:t>
            </w:r>
            <w:r>
              <w:rPr>
                <w:rFonts w:hint="eastAsia" w:ascii="宋体" w:hAnsi="宋体"/>
                <w:szCs w:val="21"/>
              </w:rPr>
              <w:t>体系认证</w:t>
            </w:r>
            <w:r>
              <w:rPr>
                <w:rFonts w:hint="eastAsia" w:ascii="宋体" w:hAnsi="宋体" w:cs="FangSong_GB2312,Bold"/>
                <w:bCs/>
                <w:kern w:val="0"/>
                <w:szCs w:val="21"/>
              </w:rPr>
              <w:t>（1.5分）</w:t>
            </w:r>
            <w:r>
              <w:rPr>
                <w:rFonts w:hint="eastAsia" w:ascii="宋体" w:hAnsi="宋体"/>
                <w:szCs w:val="21"/>
              </w:rPr>
              <w:t>：</w:t>
            </w:r>
            <w:r>
              <w:rPr>
                <w:rFonts w:hint="eastAsia" w:ascii="宋体" w:hAnsi="宋体" w:cs="仿宋_GB2312"/>
                <w:szCs w:val="21"/>
              </w:rPr>
              <w:t>投标人具有有效的质量管理体系认证的得0.5分，具有有效的环境管理体系认证的得0.5分，具有有效的职业健康安全体系认证的得0.5分，本项满分1.5分。注：投标文件中提供认证证书扫描件加盖公章。</w:t>
            </w:r>
          </w:p>
        </w:tc>
        <w:tc>
          <w:tcPr>
            <w:tcW w:w="709" w:type="dxa"/>
            <w:tcBorders>
              <w:bottom w:val="single" w:color="auto" w:sz="4" w:space="0"/>
            </w:tcBorders>
            <w:noWrap w:val="0"/>
            <w:vAlign w:val="center"/>
          </w:tcPr>
          <w:p>
            <w:pPr>
              <w:jc w:val="center"/>
              <w:rPr>
                <w:rFonts w:ascii="宋体" w:hAnsi="宋体"/>
                <w:szCs w:val="21"/>
              </w:rPr>
            </w:pPr>
            <w:r>
              <w:rPr>
                <w:rFonts w:hint="eastAsia" w:ascii="宋体" w:hAnsi="宋体"/>
                <w:szCs w:val="21"/>
              </w:rPr>
              <w:t>1.5</w:t>
            </w:r>
          </w:p>
        </w:tc>
        <w:tc>
          <w:tcPr>
            <w:tcW w:w="709" w:type="dxa"/>
            <w:tcBorders>
              <w:bottom w:val="single" w:color="auto" w:sz="4" w:space="0"/>
            </w:tcBorders>
            <w:noWrap w:val="0"/>
            <w:vAlign w:val="center"/>
          </w:tcPr>
          <w:p>
            <w:pPr>
              <w:snapToGrid w:val="0"/>
              <w:jc w:val="center"/>
              <w:rPr>
                <w:rFonts w:ascii="宋体" w:hAnsi="宋体" w:cs="FangSong_GB2312,Bold"/>
                <w:bCs/>
                <w:kern w:val="0"/>
                <w:szCs w:val="21"/>
              </w:rPr>
            </w:pPr>
            <w:r>
              <w:rPr>
                <w:rFonts w:hint="eastAsia" w:ascii="宋体" w:hAnsi="宋体" w:cs="FangSong_GB2312,Bold"/>
                <w:bCs/>
                <w:kern w:val="0"/>
                <w:szCs w:val="21"/>
              </w:rPr>
              <w:t>客观分</w:t>
            </w:r>
          </w:p>
        </w:tc>
        <w:tc>
          <w:tcPr>
            <w:tcW w:w="902" w:type="dxa"/>
            <w:tcBorders>
              <w:bottom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restart"/>
            <w:noWrap w:val="0"/>
            <w:vAlign w:val="center"/>
          </w:tcPr>
          <w:p>
            <w:pPr>
              <w:jc w:val="center"/>
              <w:rPr>
                <w:rFonts w:ascii="宋体" w:hAnsi="宋体"/>
                <w:szCs w:val="21"/>
              </w:rPr>
            </w:pPr>
            <w:r>
              <w:rPr>
                <w:rFonts w:hint="eastAsia" w:ascii="宋体" w:hAnsi="宋体"/>
                <w:szCs w:val="21"/>
              </w:rPr>
              <w:t>4</w:t>
            </w:r>
          </w:p>
        </w:tc>
        <w:tc>
          <w:tcPr>
            <w:tcW w:w="709" w:type="dxa"/>
            <w:vMerge w:val="restart"/>
            <w:noWrap w:val="0"/>
            <w:vAlign w:val="center"/>
          </w:tcPr>
          <w:p>
            <w:pPr>
              <w:ind w:right="-55" w:rightChars="-26"/>
              <w:jc w:val="left"/>
              <w:rPr>
                <w:rFonts w:ascii="宋体" w:hAnsi="宋体" w:cs="仿宋_GB2312"/>
                <w:szCs w:val="21"/>
              </w:rPr>
            </w:pPr>
            <w:r>
              <w:rPr>
                <w:rFonts w:hint="eastAsia" w:ascii="宋体" w:hAnsi="宋体" w:cs="仿宋_GB2312"/>
                <w:szCs w:val="21"/>
              </w:rPr>
              <w:t>绿化养护管理方案（51.3分）</w:t>
            </w:r>
          </w:p>
        </w:tc>
        <w:tc>
          <w:tcPr>
            <w:tcW w:w="6185" w:type="dxa"/>
            <w:noWrap w:val="0"/>
            <w:vAlign w:val="center"/>
          </w:tcPr>
          <w:p>
            <w:pPr>
              <w:jc w:val="left"/>
              <w:rPr>
                <w:rFonts w:ascii="宋体" w:hAnsi="宋体" w:cs="仿宋_GB2312"/>
                <w:szCs w:val="21"/>
              </w:rPr>
            </w:pPr>
            <w:r>
              <w:rPr>
                <w:rFonts w:hint="eastAsia" w:ascii="宋体" w:hAnsi="宋体" w:cs="仿宋_GB2312"/>
                <w:szCs w:val="21"/>
              </w:rPr>
              <w:t>（1）针对本项目养护区域熟悉程度、现状考察、调研后提出的养护作业的重点、难点，从符合实际的情况、内容全面情况进行综合评议（6分）：</w:t>
            </w:r>
          </w:p>
          <w:p>
            <w:pPr>
              <w:jc w:val="left"/>
              <w:rPr>
                <w:rFonts w:ascii="宋体" w:hAnsi="宋体" w:cs="仿宋_GB2312"/>
                <w:szCs w:val="21"/>
              </w:rPr>
            </w:pPr>
            <w:r>
              <w:rPr>
                <w:rFonts w:hint="eastAsia" w:ascii="宋体" w:hAnsi="宋体" w:cs="仿宋_GB2312"/>
                <w:szCs w:val="21"/>
              </w:rPr>
              <w:t>重难点分析符合实际的情况、内容全面，得6分；</w:t>
            </w:r>
          </w:p>
          <w:p>
            <w:pPr>
              <w:jc w:val="left"/>
              <w:rPr>
                <w:rFonts w:ascii="宋体" w:hAnsi="宋体" w:cs="仿宋_GB2312"/>
                <w:szCs w:val="21"/>
              </w:rPr>
            </w:pPr>
            <w:r>
              <w:rPr>
                <w:rFonts w:hint="eastAsia" w:ascii="宋体" w:hAnsi="宋体" w:cs="仿宋_GB2312"/>
                <w:szCs w:val="21"/>
              </w:rPr>
              <w:t>重难点分析较符合实际的情况、内容较全面，得5.5分；</w:t>
            </w:r>
          </w:p>
          <w:p>
            <w:pPr>
              <w:jc w:val="left"/>
              <w:rPr>
                <w:rFonts w:ascii="宋体" w:hAnsi="宋体" w:cs="仿宋_GB2312"/>
                <w:szCs w:val="21"/>
              </w:rPr>
            </w:pPr>
            <w:r>
              <w:rPr>
                <w:rFonts w:hint="eastAsia" w:ascii="宋体" w:hAnsi="宋体" w:cs="仿宋_GB2312"/>
                <w:szCs w:val="21"/>
              </w:rPr>
              <w:t>重难点分析与实际的情况切合度尚可、内容尚可，得5分；</w:t>
            </w:r>
          </w:p>
          <w:p>
            <w:pPr>
              <w:jc w:val="left"/>
              <w:rPr>
                <w:rFonts w:ascii="宋体" w:hAnsi="宋体" w:cs="仿宋_GB2312"/>
                <w:szCs w:val="21"/>
              </w:rPr>
            </w:pPr>
            <w:r>
              <w:rPr>
                <w:rFonts w:hint="eastAsia" w:ascii="宋体" w:hAnsi="宋体" w:cs="仿宋_GB2312"/>
                <w:szCs w:val="21"/>
              </w:rPr>
              <w:t>重难点分析与实际的情况切合度一般、内容一般，得4.5分；</w:t>
            </w:r>
          </w:p>
          <w:p>
            <w:pPr>
              <w:jc w:val="left"/>
              <w:rPr>
                <w:rFonts w:ascii="宋体" w:hAnsi="宋体" w:cs="仿宋_GB2312"/>
                <w:szCs w:val="21"/>
              </w:rPr>
            </w:pPr>
            <w:r>
              <w:rPr>
                <w:rFonts w:hint="eastAsia" w:ascii="宋体" w:hAnsi="宋体" w:cs="仿宋_GB2312"/>
                <w:szCs w:val="21"/>
              </w:rPr>
              <w:t>重难点分析与实际的情况欠切合、内容欠全面，得4分；</w:t>
            </w:r>
          </w:p>
          <w:p>
            <w:pPr>
              <w:jc w:val="left"/>
              <w:rPr>
                <w:rFonts w:ascii="宋体" w:hAnsi="宋体" w:cs="仿宋_GB2312"/>
                <w:szCs w:val="21"/>
              </w:rPr>
            </w:pPr>
            <w:r>
              <w:rPr>
                <w:rFonts w:hint="eastAsia" w:ascii="宋体" w:hAnsi="宋体" w:cs="仿宋_GB2312"/>
                <w:szCs w:val="21"/>
              </w:rPr>
              <w:t>重难点分析不够切合实际的情况、内容不够全面，得3分；</w:t>
            </w:r>
          </w:p>
          <w:p>
            <w:pPr>
              <w:pStyle w:val="2"/>
              <w:ind w:left="0" w:leftChars="0" w:firstLine="0"/>
              <w:jc w:val="left"/>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szCs w:val="21"/>
              </w:rPr>
              <w:t>6</w:t>
            </w:r>
          </w:p>
        </w:tc>
        <w:tc>
          <w:tcPr>
            <w:tcW w:w="709" w:type="dxa"/>
            <w:vMerge w:val="restart"/>
            <w:noWrap w:val="0"/>
            <w:vAlign w:val="center"/>
          </w:tcPr>
          <w:p>
            <w:pPr>
              <w:jc w:val="center"/>
              <w:rPr>
                <w:rFonts w:ascii="宋体" w:hAnsi="宋体"/>
                <w:szCs w:val="21"/>
              </w:rPr>
            </w:pPr>
            <w:r>
              <w:rPr>
                <w:rFonts w:hint="eastAsia" w:ascii="宋体" w:hAnsi="宋体"/>
                <w:szCs w:val="21"/>
              </w:rPr>
              <w:t>主观分</w:t>
            </w: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（2）针对本项目养护作业重点、难点的解决措施，从对项目现场情况的掌握程度、措施的针对方法等进行综合评议（6分）：</w:t>
            </w:r>
          </w:p>
          <w:p>
            <w:pPr>
              <w:jc w:val="left"/>
              <w:rPr>
                <w:rFonts w:ascii="宋体" w:hAnsi="宋体" w:cs="仿宋_GB2312"/>
                <w:szCs w:val="21"/>
              </w:rPr>
            </w:pPr>
            <w:r>
              <w:rPr>
                <w:rFonts w:hint="eastAsia" w:ascii="宋体" w:hAnsi="宋体" w:cs="仿宋_GB2312"/>
                <w:szCs w:val="21"/>
              </w:rPr>
              <w:t>重难点掌握程度详尽、解决方法及措施可行，得6分；</w:t>
            </w:r>
          </w:p>
          <w:p>
            <w:pPr>
              <w:jc w:val="left"/>
              <w:rPr>
                <w:rFonts w:ascii="宋体" w:hAnsi="宋体" w:cs="仿宋_GB2312"/>
                <w:szCs w:val="21"/>
              </w:rPr>
            </w:pPr>
            <w:r>
              <w:rPr>
                <w:rFonts w:hint="eastAsia" w:ascii="宋体" w:hAnsi="宋体" w:cs="仿宋_GB2312"/>
                <w:szCs w:val="21"/>
              </w:rPr>
              <w:t>重难点掌握程度较详尽、解决方法及措施较可行，得5.5分；</w:t>
            </w:r>
          </w:p>
          <w:p>
            <w:pPr>
              <w:jc w:val="left"/>
              <w:rPr>
                <w:rFonts w:ascii="宋体" w:hAnsi="宋体" w:cs="仿宋_GB2312"/>
                <w:szCs w:val="21"/>
              </w:rPr>
            </w:pPr>
            <w:r>
              <w:rPr>
                <w:rFonts w:hint="eastAsia" w:ascii="宋体" w:hAnsi="宋体" w:cs="仿宋_GB2312"/>
                <w:szCs w:val="21"/>
              </w:rPr>
              <w:t>重难点掌握程度尚可、解决方法及措施可行性尚可，得5分；</w:t>
            </w:r>
          </w:p>
          <w:p>
            <w:pPr>
              <w:jc w:val="left"/>
              <w:rPr>
                <w:rFonts w:ascii="宋体" w:hAnsi="宋体" w:cs="仿宋_GB2312"/>
                <w:szCs w:val="21"/>
              </w:rPr>
            </w:pPr>
            <w:r>
              <w:rPr>
                <w:rFonts w:hint="eastAsia" w:ascii="宋体" w:hAnsi="宋体" w:cs="仿宋_GB2312"/>
                <w:szCs w:val="21"/>
              </w:rPr>
              <w:t>重难点掌握程度一般、解决方法及措施可行性一般，得4.5分；</w:t>
            </w:r>
          </w:p>
          <w:p>
            <w:pPr>
              <w:jc w:val="left"/>
              <w:rPr>
                <w:rFonts w:ascii="宋体" w:hAnsi="宋体" w:cs="仿宋_GB2312"/>
                <w:szCs w:val="21"/>
              </w:rPr>
            </w:pPr>
            <w:r>
              <w:rPr>
                <w:rFonts w:hint="eastAsia" w:ascii="宋体" w:hAnsi="宋体" w:cs="仿宋_GB2312"/>
                <w:szCs w:val="21"/>
              </w:rPr>
              <w:t>重难点掌握程度欠详尽、解决方法及措施欠可行，得4分；</w:t>
            </w:r>
          </w:p>
          <w:p>
            <w:pPr>
              <w:jc w:val="left"/>
              <w:rPr>
                <w:rFonts w:ascii="宋体" w:hAnsi="宋体" w:cs="仿宋_GB2312"/>
                <w:szCs w:val="21"/>
              </w:rPr>
            </w:pPr>
            <w:r>
              <w:rPr>
                <w:rFonts w:hint="eastAsia" w:ascii="宋体" w:hAnsi="宋体" w:cs="仿宋_GB2312"/>
                <w:szCs w:val="21"/>
              </w:rPr>
              <w:t>重难点掌握程度不够详尽、解决方法及措施不够可行，得3分；</w:t>
            </w:r>
          </w:p>
          <w:p>
            <w:pPr>
              <w:pStyle w:val="2"/>
              <w:ind w:left="404" w:leftChars="0" w:hanging="404" w:hangingChars="20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szCs w:val="21"/>
              </w:rPr>
              <w:t>6</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（3）针对本项目养护管理措施的管理体系、管理规程进行评议（6分）：</w:t>
            </w:r>
          </w:p>
          <w:p>
            <w:pPr>
              <w:jc w:val="left"/>
              <w:rPr>
                <w:rFonts w:ascii="宋体" w:hAnsi="宋体" w:cs="仿宋_GB2312"/>
                <w:szCs w:val="21"/>
              </w:rPr>
            </w:pPr>
            <w:r>
              <w:rPr>
                <w:rFonts w:hint="eastAsia" w:ascii="宋体" w:hAnsi="宋体" w:cs="仿宋_GB2312"/>
                <w:szCs w:val="21"/>
              </w:rPr>
              <w:t>管理体系合理、管理规程可行，得6分；</w:t>
            </w:r>
          </w:p>
          <w:p>
            <w:pPr>
              <w:jc w:val="left"/>
              <w:rPr>
                <w:rFonts w:ascii="宋体" w:hAnsi="宋体" w:cs="仿宋_GB2312"/>
                <w:szCs w:val="21"/>
              </w:rPr>
            </w:pPr>
            <w:r>
              <w:rPr>
                <w:rFonts w:hint="eastAsia" w:ascii="宋体" w:hAnsi="宋体" w:cs="仿宋_GB2312"/>
                <w:szCs w:val="21"/>
              </w:rPr>
              <w:t>管理体系较合理、管理规程较可行，得5.5分；</w:t>
            </w:r>
          </w:p>
          <w:p>
            <w:pPr>
              <w:jc w:val="left"/>
              <w:rPr>
                <w:rFonts w:ascii="宋体" w:hAnsi="宋体" w:cs="仿宋_GB2312"/>
                <w:szCs w:val="21"/>
              </w:rPr>
            </w:pPr>
            <w:r>
              <w:rPr>
                <w:rFonts w:hint="eastAsia" w:ascii="宋体" w:hAnsi="宋体" w:cs="仿宋_GB2312"/>
                <w:szCs w:val="21"/>
              </w:rPr>
              <w:t>管理体系合理性尚可、管理规程可行性尚可，得5分；</w:t>
            </w:r>
          </w:p>
          <w:p>
            <w:pPr>
              <w:jc w:val="left"/>
              <w:rPr>
                <w:rFonts w:ascii="宋体" w:hAnsi="宋体" w:cs="仿宋_GB2312"/>
                <w:szCs w:val="21"/>
              </w:rPr>
            </w:pPr>
            <w:r>
              <w:rPr>
                <w:rFonts w:hint="eastAsia" w:ascii="宋体" w:hAnsi="宋体" w:cs="仿宋_GB2312"/>
                <w:szCs w:val="21"/>
              </w:rPr>
              <w:t>管理体系合理性一般、管理规程可行性一般，得4.5分；</w:t>
            </w:r>
          </w:p>
          <w:p>
            <w:pPr>
              <w:jc w:val="left"/>
              <w:rPr>
                <w:rFonts w:ascii="宋体" w:hAnsi="宋体" w:cs="仿宋_GB2312"/>
                <w:szCs w:val="21"/>
              </w:rPr>
            </w:pPr>
            <w:r>
              <w:rPr>
                <w:rFonts w:hint="eastAsia" w:ascii="宋体" w:hAnsi="宋体" w:cs="仿宋_GB2312"/>
                <w:szCs w:val="21"/>
              </w:rPr>
              <w:t>管理体系欠合理、管理规程欠可行，得4分；</w:t>
            </w:r>
          </w:p>
          <w:p>
            <w:pPr>
              <w:jc w:val="left"/>
              <w:rPr>
                <w:rFonts w:ascii="宋体" w:hAnsi="宋体" w:cs="仿宋_GB2312"/>
                <w:szCs w:val="21"/>
              </w:rPr>
            </w:pPr>
            <w:r>
              <w:rPr>
                <w:rFonts w:hint="eastAsia" w:ascii="宋体" w:hAnsi="宋体" w:cs="仿宋_GB2312"/>
                <w:szCs w:val="21"/>
              </w:rPr>
              <w:t>管理体系不够合理、管理规程不够可行，得3分；</w:t>
            </w:r>
          </w:p>
          <w:p>
            <w:pPr>
              <w:jc w:val="left"/>
              <w:rPr>
                <w:rFonts w:ascii="宋体" w:hAnsi="宋体" w:cs="仿宋_GB2312"/>
                <w:szCs w:val="21"/>
              </w:rPr>
            </w:pPr>
            <w:r>
              <w:rPr>
                <w:rFonts w:hint="eastAsia" w:ascii="宋体" w:hAnsi="宋体" w:cs="仿宋_GB2312"/>
                <w:szCs w:val="21"/>
              </w:rPr>
              <w:t>未提供的不得分。</w:t>
            </w:r>
          </w:p>
        </w:tc>
        <w:tc>
          <w:tcPr>
            <w:tcW w:w="709" w:type="dxa"/>
            <w:noWrap w:val="0"/>
            <w:vAlign w:val="center"/>
          </w:tcPr>
          <w:p>
            <w:pPr>
              <w:jc w:val="center"/>
              <w:rPr>
                <w:rFonts w:ascii="宋体" w:hAnsi="宋体"/>
                <w:szCs w:val="21"/>
              </w:rPr>
            </w:pPr>
            <w:r>
              <w:rPr>
                <w:rFonts w:hint="eastAsia" w:ascii="宋体" w:hAnsi="宋体"/>
                <w:szCs w:val="21"/>
              </w:rPr>
              <w:t>6</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9"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（4）针对本项目养护1-12个月养护管理计划、病虫害</w:t>
            </w:r>
            <w:r>
              <w:rPr>
                <w:rFonts w:hint="eastAsia" w:ascii="宋体" w:hAnsi="宋体"/>
                <w:szCs w:val="21"/>
              </w:rPr>
              <w:t>防治方案、</w:t>
            </w:r>
            <w:r>
              <w:rPr>
                <w:rFonts w:hint="eastAsia" w:ascii="宋体" w:hAnsi="宋体" w:cs="仿宋_GB2312"/>
                <w:szCs w:val="21"/>
              </w:rPr>
              <w:t>质量控制方案进行评议（5分）：</w:t>
            </w:r>
          </w:p>
          <w:p>
            <w:pPr>
              <w:jc w:val="left"/>
              <w:rPr>
                <w:rFonts w:ascii="宋体" w:hAnsi="宋体" w:cs="仿宋_GB2312"/>
                <w:szCs w:val="21"/>
              </w:rPr>
            </w:pPr>
            <w:r>
              <w:rPr>
                <w:rFonts w:hint="eastAsia" w:ascii="宋体" w:hAnsi="宋体"/>
                <w:szCs w:val="21"/>
              </w:rPr>
              <w:t>管理计划明确、</w:t>
            </w:r>
            <w:r>
              <w:rPr>
                <w:rFonts w:hint="eastAsia" w:ascii="宋体" w:hAnsi="宋体" w:cs="仿宋_GB2312"/>
                <w:szCs w:val="21"/>
              </w:rPr>
              <w:t>病虫害</w:t>
            </w:r>
            <w:r>
              <w:rPr>
                <w:rFonts w:hint="eastAsia" w:ascii="宋体" w:hAnsi="宋体"/>
                <w:szCs w:val="21"/>
              </w:rPr>
              <w:t>防治方案、</w:t>
            </w:r>
            <w:r>
              <w:rPr>
                <w:rFonts w:hint="eastAsia" w:ascii="宋体" w:hAnsi="宋体" w:cs="仿宋_GB2312"/>
                <w:szCs w:val="21"/>
              </w:rPr>
              <w:t>质量控制方案可行，得5分；</w:t>
            </w:r>
          </w:p>
          <w:p>
            <w:pPr>
              <w:jc w:val="left"/>
              <w:rPr>
                <w:rFonts w:ascii="宋体" w:hAnsi="宋体" w:cs="仿宋_GB2312"/>
                <w:szCs w:val="21"/>
              </w:rPr>
            </w:pPr>
            <w:r>
              <w:rPr>
                <w:rFonts w:hint="eastAsia" w:ascii="宋体" w:hAnsi="宋体"/>
                <w:szCs w:val="21"/>
              </w:rPr>
              <w:t>管理计划</w:t>
            </w:r>
            <w:r>
              <w:rPr>
                <w:rFonts w:hint="eastAsia" w:ascii="宋体" w:hAnsi="宋体" w:cs="仿宋_GB2312"/>
                <w:szCs w:val="21"/>
              </w:rPr>
              <w:t>较明确、病虫害</w:t>
            </w:r>
            <w:r>
              <w:rPr>
                <w:rFonts w:hint="eastAsia" w:ascii="宋体" w:hAnsi="宋体"/>
                <w:szCs w:val="21"/>
              </w:rPr>
              <w:t>防治方案、</w:t>
            </w:r>
            <w:r>
              <w:rPr>
                <w:rFonts w:hint="eastAsia" w:ascii="宋体" w:hAnsi="宋体" w:cs="仿宋_GB2312"/>
                <w:szCs w:val="21"/>
              </w:rPr>
              <w:t>质量控制方案较可行，得4.5分；</w:t>
            </w:r>
          </w:p>
          <w:p>
            <w:pPr>
              <w:jc w:val="left"/>
              <w:rPr>
                <w:rFonts w:ascii="宋体" w:hAnsi="宋体" w:cs="仿宋_GB2312"/>
                <w:szCs w:val="21"/>
              </w:rPr>
            </w:pPr>
            <w:r>
              <w:rPr>
                <w:rFonts w:hint="eastAsia" w:ascii="宋体" w:hAnsi="宋体"/>
                <w:szCs w:val="21"/>
              </w:rPr>
              <w:t>管理计划</w:t>
            </w:r>
            <w:r>
              <w:rPr>
                <w:rFonts w:hint="eastAsia" w:ascii="宋体" w:hAnsi="宋体" w:cs="仿宋_GB2312"/>
                <w:szCs w:val="21"/>
              </w:rPr>
              <w:t>明确性尚可、病虫害</w:t>
            </w:r>
            <w:r>
              <w:rPr>
                <w:rFonts w:hint="eastAsia" w:ascii="宋体" w:hAnsi="宋体"/>
                <w:szCs w:val="21"/>
              </w:rPr>
              <w:t>防治方案、</w:t>
            </w:r>
            <w:r>
              <w:rPr>
                <w:rFonts w:hint="eastAsia" w:ascii="宋体" w:hAnsi="宋体" w:cs="仿宋_GB2312"/>
                <w:szCs w:val="21"/>
              </w:rPr>
              <w:t>质量控制方案可行性尚可，得4分；</w:t>
            </w:r>
          </w:p>
          <w:p>
            <w:pPr>
              <w:jc w:val="left"/>
              <w:rPr>
                <w:rFonts w:ascii="宋体" w:hAnsi="宋体" w:cs="仿宋_GB2312"/>
                <w:szCs w:val="21"/>
              </w:rPr>
            </w:pPr>
            <w:r>
              <w:rPr>
                <w:rFonts w:hint="eastAsia" w:ascii="宋体" w:hAnsi="宋体"/>
                <w:szCs w:val="21"/>
              </w:rPr>
              <w:t>管理计划</w:t>
            </w:r>
            <w:r>
              <w:rPr>
                <w:rFonts w:hint="eastAsia" w:ascii="宋体" w:hAnsi="宋体" w:cs="仿宋_GB2312"/>
                <w:szCs w:val="21"/>
              </w:rPr>
              <w:t>明确性一般、病虫害</w:t>
            </w:r>
            <w:r>
              <w:rPr>
                <w:rFonts w:hint="eastAsia" w:ascii="宋体" w:hAnsi="宋体"/>
                <w:szCs w:val="21"/>
              </w:rPr>
              <w:t>防治方案、</w:t>
            </w:r>
            <w:r>
              <w:rPr>
                <w:rFonts w:hint="eastAsia" w:ascii="宋体" w:hAnsi="宋体" w:cs="仿宋_GB2312"/>
                <w:szCs w:val="21"/>
              </w:rPr>
              <w:t>质量控制方案可行性一般，得3.5分；</w:t>
            </w:r>
          </w:p>
          <w:p>
            <w:pPr>
              <w:jc w:val="left"/>
              <w:rPr>
                <w:rFonts w:ascii="宋体" w:hAnsi="宋体" w:cs="仿宋_GB2312"/>
                <w:szCs w:val="21"/>
              </w:rPr>
            </w:pPr>
            <w:r>
              <w:rPr>
                <w:rFonts w:hint="eastAsia" w:ascii="宋体" w:hAnsi="宋体"/>
                <w:szCs w:val="21"/>
              </w:rPr>
              <w:t>管理计划</w:t>
            </w:r>
            <w:r>
              <w:rPr>
                <w:rFonts w:hint="eastAsia" w:ascii="宋体" w:hAnsi="宋体" w:cs="仿宋_GB2312"/>
                <w:szCs w:val="21"/>
              </w:rPr>
              <w:t>欠明确、病虫害</w:t>
            </w:r>
            <w:r>
              <w:rPr>
                <w:rFonts w:hint="eastAsia" w:ascii="宋体" w:hAnsi="宋体"/>
                <w:szCs w:val="21"/>
              </w:rPr>
              <w:t>防治方案、</w:t>
            </w:r>
            <w:r>
              <w:rPr>
                <w:rFonts w:hint="eastAsia" w:ascii="宋体" w:hAnsi="宋体" w:cs="仿宋_GB2312"/>
                <w:szCs w:val="21"/>
              </w:rPr>
              <w:t>质量控制方案欠可行，得3分；</w:t>
            </w:r>
          </w:p>
          <w:p>
            <w:pPr>
              <w:jc w:val="left"/>
              <w:rPr>
                <w:rFonts w:ascii="宋体" w:hAnsi="宋体" w:cs="仿宋_GB2312"/>
                <w:szCs w:val="21"/>
              </w:rPr>
            </w:pPr>
            <w:r>
              <w:rPr>
                <w:rFonts w:hint="eastAsia" w:ascii="宋体" w:hAnsi="宋体"/>
                <w:szCs w:val="21"/>
              </w:rPr>
              <w:t>管理计划</w:t>
            </w:r>
            <w:r>
              <w:rPr>
                <w:rFonts w:hint="eastAsia" w:ascii="宋体" w:hAnsi="宋体" w:cs="仿宋_GB2312"/>
                <w:szCs w:val="21"/>
              </w:rPr>
              <w:t>不够明确、病虫害</w:t>
            </w:r>
            <w:r>
              <w:rPr>
                <w:rFonts w:hint="eastAsia" w:ascii="宋体" w:hAnsi="宋体"/>
                <w:szCs w:val="21"/>
              </w:rPr>
              <w:t>防治方案、</w:t>
            </w:r>
            <w:r>
              <w:rPr>
                <w:rFonts w:hint="eastAsia" w:ascii="宋体" w:hAnsi="宋体" w:cs="仿宋_GB2312"/>
                <w:szCs w:val="21"/>
              </w:rPr>
              <w:t>质量控制方案不够可行，得2分；</w:t>
            </w:r>
          </w:p>
          <w:p>
            <w:pPr>
              <w:pStyle w:val="2"/>
              <w:ind w:left="0" w:leftChars="0" w:firstLine="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szCs w:val="21"/>
              </w:rPr>
              <w:t>5</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0"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（5）针对本项目的安全文明作业的保障方案、目标要求进行评议（5分）：</w:t>
            </w:r>
          </w:p>
          <w:p>
            <w:pPr>
              <w:jc w:val="left"/>
              <w:rPr>
                <w:rFonts w:ascii="宋体" w:hAnsi="宋体" w:cs="仿宋_GB2312"/>
                <w:szCs w:val="21"/>
              </w:rPr>
            </w:pPr>
            <w:r>
              <w:rPr>
                <w:rFonts w:hint="eastAsia" w:ascii="宋体" w:hAnsi="宋体" w:cs="仿宋_GB2312"/>
                <w:szCs w:val="21"/>
              </w:rPr>
              <w:t>保障方案内容详尽、目标要求明确，得5分；</w:t>
            </w:r>
          </w:p>
          <w:p>
            <w:pPr>
              <w:jc w:val="left"/>
              <w:rPr>
                <w:rFonts w:ascii="宋体" w:hAnsi="宋体" w:cs="仿宋_GB2312"/>
                <w:szCs w:val="21"/>
              </w:rPr>
            </w:pPr>
            <w:r>
              <w:rPr>
                <w:rFonts w:hint="eastAsia" w:ascii="宋体" w:hAnsi="宋体" w:cs="仿宋_GB2312"/>
                <w:szCs w:val="21"/>
              </w:rPr>
              <w:t>保障方案内容较详尽、目标要求较明确，得4.5分；</w:t>
            </w:r>
          </w:p>
          <w:p>
            <w:pPr>
              <w:jc w:val="left"/>
              <w:rPr>
                <w:rFonts w:ascii="宋体" w:hAnsi="宋体" w:cs="仿宋_GB2312"/>
                <w:szCs w:val="21"/>
              </w:rPr>
            </w:pPr>
            <w:r>
              <w:rPr>
                <w:rFonts w:hint="eastAsia" w:ascii="宋体" w:hAnsi="宋体" w:cs="仿宋_GB2312"/>
                <w:szCs w:val="21"/>
              </w:rPr>
              <w:t>保障方案内容详尽程度尚可、目标要求明确性尚可，得4分；</w:t>
            </w:r>
          </w:p>
          <w:p>
            <w:pPr>
              <w:jc w:val="left"/>
              <w:rPr>
                <w:rFonts w:ascii="宋体" w:hAnsi="宋体" w:cs="仿宋_GB2312"/>
                <w:szCs w:val="21"/>
              </w:rPr>
            </w:pPr>
            <w:r>
              <w:rPr>
                <w:rFonts w:hint="eastAsia" w:ascii="宋体" w:hAnsi="宋体" w:cs="仿宋_GB2312"/>
                <w:szCs w:val="21"/>
              </w:rPr>
              <w:t>保障方案内容详尽程度一般、目标要求明确性一般，得3.5分；</w:t>
            </w:r>
          </w:p>
          <w:p>
            <w:pPr>
              <w:jc w:val="left"/>
              <w:rPr>
                <w:rFonts w:ascii="宋体" w:hAnsi="宋体" w:cs="仿宋_GB2312"/>
                <w:szCs w:val="21"/>
              </w:rPr>
            </w:pPr>
            <w:r>
              <w:rPr>
                <w:rFonts w:hint="eastAsia" w:ascii="宋体" w:hAnsi="宋体" w:cs="仿宋_GB2312"/>
                <w:szCs w:val="21"/>
              </w:rPr>
              <w:t>保障方案内容欠详尽、目标要求欠明确，得3分；</w:t>
            </w:r>
          </w:p>
          <w:p>
            <w:pPr>
              <w:jc w:val="left"/>
              <w:rPr>
                <w:rFonts w:ascii="宋体" w:hAnsi="宋体" w:cs="仿宋_GB2312"/>
                <w:szCs w:val="21"/>
              </w:rPr>
            </w:pPr>
            <w:r>
              <w:rPr>
                <w:rFonts w:hint="eastAsia" w:ascii="宋体" w:hAnsi="宋体" w:cs="仿宋_GB2312"/>
                <w:szCs w:val="21"/>
              </w:rPr>
              <w:t>保障方案内容不够详尽、目标要求不够明确，得2分；</w:t>
            </w:r>
          </w:p>
          <w:p>
            <w:pPr>
              <w:pStyle w:val="2"/>
              <w:ind w:left="404" w:leftChars="0" w:hanging="404" w:hangingChars="20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cs="仿宋_GB2312"/>
                <w:szCs w:val="21"/>
              </w:rPr>
              <w:t>5</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（6）公园的公厕保洁（5分）：针对本项目公园的公厕保洁的方案内容、计划安排进行评议：</w:t>
            </w:r>
          </w:p>
          <w:p>
            <w:pPr>
              <w:jc w:val="left"/>
              <w:rPr>
                <w:rFonts w:ascii="宋体" w:hAnsi="宋体" w:cs="仿宋_GB2312"/>
                <w:szCs w:val="21"/>
              </w:rPr>
            </w:pPr>
            <w:r>
              <w:rPr>
                <w:rFonts w:hint="eastAsia" w:ascii="宋体" w:hAnsi="宋体" w:cs="仿宋_GB2312"/>
                <w:szCs w:val="21"/>
              </w:rPr>
              <w:t>方案内容合理，计划安排可行，得5分；</w:t>
            </w:r>
          </w:p>
          <w:p>
            <w:pPr>
              <w:jc w:val="left"/>
              <w:rPr>
                <w:rFonts w:ascii="宋体" w:hAnsi="宋体" w:cs="仿宋_GB2312"/>
                <w:szCs w:val="21"/>
              </w:rPr>
            </w:pPr>
            <w:r>
              <w:rPr>
                <w:rFonts w:hint="eastAsia" w:ascii="宋体" w:hAnsi="宋体" w:cs="仿宋_GB2312"/>
                <w:szCs w:val="21"/>
              </w:rPr>
              <w:t>方案内容较合理，计划安排较可行，得4.5分；</w:t>
            </w:r>
          </w:p>
          <w:p>
            <w:pPr>
              <w:jc w:val="left"/>
              <w:rPr>
                <w:rFonts w:ascii="宋体" w:hAnsi="宋体" w:cs="仿宋_GB2312"/>
                <w:szCs w:val="21"/>
              </w:rPr>
            </w:pPr>
            <w:r>
              <w:rPr>
                <w:rFonts w:hint="eastAsia" w:ascii="宋体" w:hAnsi="宋体" w:cs="仿宋_GB2312"/>
                <w:szCs w:val="21"/>
              </w:rPr>
              <w:t>方案内容合理性尚可，计划安排可行性尚可，得4分；</w:t>
            </w:r>
          </w:p>
          <w:p>
            <w:pPr>
              <w:jc w:val="left"/>
              <w:rPr>
                <w:rFonts w:ascii="宋体" w:hAnsi="宋体" w:cs="仿宋_GB2312"/>
                <w:szCs w:val="21"/>
              </w:rPr>
            </w:pPr>
            <w:r>
              <w:rPr>
                <w:rFonts w:hint="eastAsia" w:ascii="宋体" w:hAnsi="宋体" w:cs="仿宋_GB2312"/>
                <w:szCs w:val="21"/>
              </w:rPr>
              <w:t>方案内容合理性一般，计划安排可行性一般，得3.5分；</w:t>
            </w:r>
          </w:p>
          <w:p>
            <w:pPr>
              <w:jc w:val="left"/>
              <w:rPr>
                <w:rFonts w:ascii="宋体" w:hAnsi="宋体" w:cs="仿宋_GB2312"/>
                <w:szCs w:val="21"/>
              </w:rPr>
            </w:pPr>
            <w:r>
              <w:rPr>
                <w:rFonts w:hint="eastAsia" w:ascii="宋体" w:hAnsi="宋体" w:cs="仿宋_GB2312"/>
                <w:szCs w:val="21"/>
              </w:rPr>
              <w:t>方案内容欠合理，计划安排欠可行，得3分；</w:t>
            </w:r>
          </w:p>
          <w:p>
            <w:pPr>
              <w:jc w:val="left"/>
              <w:rPr>
                <w:rFonts w:ascii="宋体" w:hAnsi="宋体" w:cs="仿宋_GB2312"/>
                <w:szCs w:val="21"/>
              </w:rPr>
            </w:pPr>
            <w:r>
              <w:rPr>
                <w:rFonts w:hint="eastAsia" w:ascii="宋体" w:hAnsi="宋体" w:cs="仿宋_GB2312"/>
                <w:szCs w:val="21"/>
              </w:rPr>
              <w:t>方案内容不够合理，计划安排不够可行，得2分；</w:t>
            </w:r>
          </w:p>
          <w:p>
            <w:pPr>
              <w:pStyle w:val="2"/>
              <w:ind w:left="404" w:leftChars="0" w:hanging="404" w:hangingChars="20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szCs w:val="21"/>
              </w:rPr>
              <w:t>5</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（7）绿化垃圾处理（3.3分）：针对本项目绿化垃圾处理方案的方案内容、计划安排进行评议：</w:t>
            </w:r>
          </w:p>
          <w:p>
            <w:pPr>
              <w:jc w:val="left"/>
              <w:rPr>
                <w:rFonts w:ascii="宋体" w:hAnsi="宋体" w:cs="仿宋_GB2312"/>
                <w:szCs w:val="21"/>
              </w:rPr>
            </w:pPr>
            <w:r>
              <w:rPr>
                <w:rFonts w:hint="eastAsia" w:ascii="宋体" w:hAnsi="宋体" w:cs="仿宋_GB2312"/>
                <w:szCs w:val="21"/>
              </w:rPr>
              <w:t>方案内容合理，计划安排可行，得3.3分；</w:t>
            </w:r>
          </w:p>
          <w:p>
            <w:pPr>
              <w:jc w:val="left"/>
              <w:rPr>
                <w:rFonts w:ascii="宋体" w:hAnsi="宋体" w:cs="仿宋_GB2312"/>
                <w:szCs w:val="21"/>
              </w:rPr>
            </w:pPr>
            <w:r>
              <w:rPr>
                <w:rFonts w:hint="eastAsia" w:ascii="宋体" w:hAnsi="宋体" w:cs="仿宋_GB2312"/>
                <w:szCs w:val="21"/>
              </w:rPr>
              <w:t>方案内容较合理，计划安排较可行，得3分；</w:t>
            </w:r>
          </w:p>
          <w:p>
            <w:pPr>
              <w:jc w:val="left"/>
              <w:rPr>
                <w:rFonts w:ascii="宋体" w:hAnsi="宋体" w:cs="仿宋_GB2312"/>
                <w:szCs w:val="21"/>
              </w:rPr>
            </w:pPr>
            <w:r>
              <w:rPr>
                <w:rFonts w:hint="eastAsia" w:ascii="宋体" w:hAnsi="宋体" w:cs="仿宋_GB2312"/>
                <w:szCs w:val="21"/>
              </w:rPr>
              <w:t>方案内容合理性尚可，计划安排可行性尚可，得2.7分；</w:t>
            </w:r>
          </w:p>
          <w:p>
            <w:pPr>
              <w:jc w:val="left"/>
              <w:rPr>
                <w:rFonts w:ascii="宋体" w:hAnsi="宋体" w:cs="仿宋_GB2312"/>
                <w:szCs w:val="21"/>
              </w:rPr>
            </w:pPr>
            <w:r>
              <w:rPr>
                <w:rFonts w:hint="eastAsia" w:ascii="宋体" w:hAnsi="宋体" w:cs="仿宋_GB2312"/>
                <w:szCs w:val="21"/>
              </w:rPr>
              <w:t>方案内容合理性一般，计划安排可行性一般，得2.4分；</w:t>
            </w:r>
          </w:p>
          <w:p>
            <w:pPr>
              <w:jc w:val="left"/>
              <w:rPr>
                <w:rFonts w:ascii="宋体" w:hAnsi="宋体" w:cs="仿宋_GB2312"/>
                <w:szCs w:val="21"/>
              </w:rPr>
            </w:pPr>
            <w:r>
              <w:rPr>
                <w:rFonts w:hint="eastAsia" w:ascii="宋体" w:hAnsi="宋体" w:cs="仿宋_GB2312"/>
                <w:szCs w:val="21"/>
              </w:rPr>
              <w:t>方案内容欠合理，计划安排欠可行，得2.1分；</w:t>
            </w:r>
          </w:p>
          <w:p>
            <w:pPr>
              <w:jc w:val="left"/>
              <w:rPr>
                <w:rFonts w:ascii="宋体" w:hAnsi="宋体" w:cs="仿宋_GB2312"/>
                <w:szCs w:val="21"/>
              </w:rPr>
            </w:pPr>
            <w:r>
              <w:rPr>
                <w:rFonts w:hint="eastAsia" w:ascii="宋体" w:hAnsi="宋体" w:cs="仿宋_GB2312"/>
                <w:szCs w:val="21"/>
              </w:rPr>
              <w:t>方案内容不够合理，计划安排不够可行，得1.8分；</w:t>
            </w:r>
          </w:p>
          <w:p>
            <w:pPr>
              <w:pStyle w:val="2"/>
              <w:ind w:left="404" w:leftChars="0" w:hanging="404" w:hangingChars="20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szCs w:val="21"/>
              </w:rPr>
              <w:t>3.3</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（8）针对本项目的服务响应、服务承诺进行评议（5分）：</w:t>
            </w:r>
          </w:p>
          <w:p>
            <w:pPr>
              <w:jc w:val="left"/>
              <w:rPr>
                <w:rFonts w:ascii="宋体" w:hAnsi="宋体" w:cs="仿宋_GB2312"/>
                <w:szCs w:val="21"/>
              </w:rPr>
            </w:pPr>
            <w:r>
              <w:rPr>
                <w:rFonts w:hint="eastAsia" w:ascii="宋体" w:hAnsi="宋体" w:cs="仿宋_GB2312"/>
                <w:szCs w:val="21"/>
              </w:rPr>
              <w:t>服务响应内容全面、服务承诺内容可行，得5分；</w:t>
            </w:r>
          </w:p>
          <w:p>
            <w:pPr>
              <w:jc w:val="left"/>
              <w:rPr>
                <w:rFonts w:ascii="宋体" w:hAnsi="宋体" w:cs="仿宋_GB2312"/>
                <w:szCs w:val="21"/>
              </w:rPr>
            </w:pPr>
            <w:r>
              <w:rPr>
                <w:rFonts w:hint="eastAsia" w:ascii="宋体" w:hAnsi="宋体" w:cs="仿宋_GB2312"/>
                <w:szCs w:val="21"/>
              </w:rPr>
              <w:t>服务响应内容较全面、服务承诺内容较可行，得4.5分；</w:t>
            </w:r>
          </w:p>
          <w:p>
            <w:pPr>
              <w:jc w:val="left"/>
              <w:rPr>
                <w:rFonts w:ascii="宋体" w:hAnsi="宋体" w:cs="仿宋_GB2312"/>
                <w:szCs w:val="21"/>
              </w:rPr>
            </w:pPr>
            <w:r>
              <w:rPr>
                <w:rFonts w:hint="eastAsia" w:ascii="宋体" w:hAnsi="宋体" w:cs="仿宋_GB2312"/>
                <w:szCs w:val="21"/>
              </w:rPr>
              <w:t>服务响应内容全面性尚可、服务承诺内容可行性尚可，得4分；</w:t>
            </w:r>
          </w:p>
          <w:p>
            <w:pPr>
              <w:jc w:val="left"/>
              <w:rPr>
                <w:rFonts w:ascii="宋体" w:hAnsi="宋体" w:cs="仿宋_GB2312"/>
                <w:szCs w:val="21"/>
              </w:rPr>
            </w:pPr>
            <w:r>
              <w:rPr>
                <w:rFonts w:hint="eastAsia" w:ascii="宋体" w:hAnsi="宋体" w:cs="仿宋_GB2312"/>
                <w:szCs w:val="21"/>
              </w:rPr>
              <w:t>服务响应内容全面性一般、服务承诺内容可行性一般，得3.5分；</w:t>
            </w:r>
          </w:p>
          <w:p>
            <w:pPr>
              <w:jc w:val="left"/>
              <w:rPr>
                <w:rFonts w:ascii="宋体" w:hAnsi="宋体" w:cs="仿宋_GB2312"/>
                <w:szCs w:val="21"/>
              </w:rPr>
            </w:pPr>
            <w:r>
              <w:rPr>
                <w:rFonts w:hint="eastAsia" w:ascii="宋体" w:hAnsi="宋体" w:cs="仿宋_GB2312"/>
                <w:szCs w:val="21"/>
              </w:rPr>
              <w:t>服务响应内容欠全面、服务承诺内容欠可行，得3分；</w:t>
            </w:r>
          </w:p>
          <w:p>
            <w:pPr>
              <w:jc w:val="left"/>
              <w:rPr>
                <w:rFonts w:ascii="宋体" w:hAnsi="宋体" w:cs="仿宋_GB2312"/>
                <w:szCs w:val="21"/>
              </w:rPr>
            </w:pPr>
            <w:r>
              <w:rPr>
                <w:rFonts w:hint="eastAsia" w:ascii="宋体" w:hAnsi="宋体" w:cs="仿宋_GB2312"/>
                <w:szCs w:val="21"/>
              </w:rPr>
              <w:t>服务响应内容不够全面、服务承诺内容不够可行，得2分；</w:t>
            </w:r>
          </w:p>
          <w:p>
            <w:pPr>
              <w:jc w:val="left"/>
              <w:rPr>
                <w:rFonts w:ascii="宋体" w:hAnsi="宋体" w:cs="仿宋_GB2312"/>
                <w:szCs w:val="21"/>
              </w:rPr>
            </w:pPr>
            <w:r>
              <w:rPr>
                <w:rFonts w:hint="eastAsia" w:ascii="宋体" w:hAnsi="宋体" w:cs="仿宋_GB2312"/>
                <w:szCs w:val="21"/>
              </w:rPr>
              <w:t>未提供的不得分。</w:t>
            </w:r>
          </w:p>
        </w:tc>
        <w:tc>
          <w:tcPr>
            <w:tcW w:w="709" w:type="dxa"/>
            <w:noWrap w:val="0"/>
            <w:vAlign w:val="center"/>
          </w:tcPr>
          <w:p>
            <w:pPr>
              <w:jc w:val="center"/>
              <w:rPr>
                <w:rFonts w:ascii="宋体" w:hAnsi="宋体"/>
                <w:szCs w:val="21"/>
              </w:rPr>
            </w:pPr>
            <w:r>
              <w:rPr>
                <w:rFonts w:hint="eastAsia" w:ascii="宋体" w:hAnsi="宋体"/>
                <w:szCs w:val="21"/>
              </w:rPr>
              <w:t>5</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（9）切合本项目的养护区域生产配置新型合理的机械设备</w:t>
            </w:r>
            <w:r>
              <w:rPr>
                <w:rFonts w:ascii="宋体" w:hAnsi="宋体" w:cs="仿宋_GB2312"/>
                <w:szCs w:val="21"/>
              </w:rPr>
              <w:t>：</w:t>
            </w:r>
            <w:r>
              <w:rPr>
                <w:rFonts w:hint="eastAsia" w:ascii="宋体" w:hAnsi="宋体" w:cs="仿宋_GB2312"/>
                <w:szCs w:val="21"/>
              </w:rPr>
              <w:t xml:space="preserve">树枝粉碎机、高压清洗机、微耕机、高枝绿篱机等新型园林绿化养护作业机械设备进行综合评议（5分）： </w:t>
            </w:r>
          </w:p>
          <w:p>
            <w:pPr>
              <w:jc w:val="left"/>
              <w:rPr>
                <w:rFonts w:ascii="宋体" w:hAnsi="宋体" w:cs="仿宋_GB2312"/>
                <w:szCs w:val="21"/>
              </w:rPr>
            </w:pPr>
            <w:r>
              <w:rPr>
                <w:rFonts w:hint="eastAsia" w:ascii="宋体" w:hAnsi="宋体" w:cs="仿宋_GB2312"/>
                <w:szCs w:val="21"/>
              </w:rPr>
              <w:t>切合本项目，已购置齐全合理新型园林养护机械设备得5分；</w:t>
            </w:r>
          </w:p>
          <w:p>
            <w:pPr>
              <w:jc w:val="left"/>
              <w:rPr>
                <w:rFonts w:ascii="宋体" w:hAnsi="宋体" w:cs="仿宋_GB2312"/>
                <w:szCs w:val="21"/>
              </w:rPr>
            </w:pPr>
            <w:r>
              <w:rPr>
                <w:rFonts w:hint="eastAsia" w:ascii="宋体" w:hAnsi="宋体" w:cs="仿宋_GB2312"/>
                <w:szCs w:val="21"/>
              </w:rPr>
              <w:t>切合本项目，已购置较齐全合理新型园林养护机械设备得4分；</w:t>
            </w:r>
          </w:p>
          <w:p>
            <w:pPr>
              <w:jc w:val="left"/>
              <w:rPr>
                <w:rFonts w:ascii="宋体" w:hAnsi="宋体" w:cs="仿宋_GB2312"/>
                <w:szCs w:val="21"/>
              </w:rPr>
            </w:pPr>
            <w:r>
              <w:rPr>
                <w:rFonts w:hint="eastAsia" w:ascii="宋体" w:hAnsi="宋体" w:cs="仿宋_GB2312"/>
                <w:szCs w:val="21"/>
              </w:rPr>
              <w:t>切合本项目，已购置的新型园林养护机械设备购置品种一般，得3分；</w:t>
            </w:r>
          </w:p>
          <w:p>
            <w:pPr>
              <w:jc w:val="left"/>
              <w:rPr>
                <w:rFonts w:ascii="宋体" w:hAnsi="宋体" w:cs="仿宋_GB2312"/>
                <w:szCs w:val="21"/>
              </w:rPr>
            </w:pPr>
            <w:r>
              <w:rPr>
                <w:rFonts w:hint="eastAsia" w:ascii="宋体" w:hAnsi="宋体" w:cs="仿宋_GB2312"/>
                <w:szCs w:val="21"/>
              </w:rPr>
              <w:t>未购置新型园林养护机械设备但有租赁协议的得2.5分；</w:t>
            </w:r>
          </w:p>
          <w:p>
            <w:pPr>
              <w:jc w:val="left"/>
              <w:rPr>
                <w:rFonts w:ascii="宋体" w:hAnsi="宋体" w:cs="仿宋_GB2312"/>
                <w:szCs w:val="21"/>
              </w:rPr>
            </w:pPr>
            <w:r>
              <w:rPr>
                <w:rFonts w:hint="eastAsia" w:ascii="宋体" w:hAnsi="宋体" w:cs="仿宋_GB2312"/>
                <w:szCs w:val="21"/>
              </w:rPr>
              <w:t>未提供的得2分。</w:t>
            </w:r>
          </w:p>
          <w:p>
            <w:pPr>
              <w:jc w:val="left"/>
              <w:rPr>
                <w:rFonts w:ascii="宋体" w:hAnsi="宋体" w:cs="仿宋_GB2312"/>
                <w:szCs w:val="21"/>
              </w:rPr>
            </w:pPr>
            <w:r>
              <w:rPr>
                <w:rFonts w:hint="eastAsia" w:ascii="宋体" w:hAnsi="宋体" w:cs="仿宋_GB2312"/>
                <w:szCs w:val="21"/>
              </w:rPr>
              <w:t>投标人已购置的提供与投标人名称一致的发票、付款凭证以及机械设备图片；投标人租赁的提供租赁合同、发票、付款凭证以及机械设备图片，发票、付款凭证要求与出租人名称一致。</w:t>
            </w:r>
          </w:p>
        </w:tc>
        <w:tc>
          <w:tcPr>
            <w:tcW w:w="709" w:type="dxa"/>
            <w:noWrap w:val="0"/>
            <w:vAlign w:val="center"/>
          </w:tcPr>
          <w:p>
            <w:pPr>
              <w:jc w:val="center"/>
              <w:rPr>
                <w:rFonts w:ascii="宋体" w:hAnsi="宋体"/>
                <w:szCs w:val="21"/>
              </w:rPr>
            </w:pPr>
            <w:r>
              <w:rPr>
                <w:rFonts w:hint="eastAsia" w:ascii="宋体" w:hAnsi="宋体"/>
                <w:szCs w:val="21"/>
              </w:rPr>
              <w:t>5</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ind w:right="-55" w:rightChars="-26"/>
              <w:jc w:val="left"/>
              <w:rPr>
                <w:rFonts w:ascii="宋体" w:hAnsi="宋体" w:cs="仿宋_GB2312"/>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（10）针对本项目养护管理体系是否完善、有保障，养护管理制度是否齐全，内部考核制度是否制定了切实可行的考核办法，针对考核结果的补救措施和奖罚办法是否科学合理等进行综合评议（5分）：</w:t>
            </w:r>
          </w:p>
          <w:p>
            <w:pPr>
              <w:jc w:val="left"/>
              <w:rPr>
                <w:rFonts w:ascii="宋体" w:hAnsi="宋体" w:cs="仿宋_GB2312"/>
                <w:szCs w:val="21"/>
              </w:rPr>
            </w:pPr>
            <w:r>
              <w:rPr>
                <w:rFonts w:hint="eastAsia" w:ascii="宋体" w:hAnsi="宋体" w:cs="仿宋_GB2312"/>
                <w:szCs w:val="21"/>
              </w:rPr>
              <w:t>考核办法合理、考核结果的补救措施和奖罚办法可行，得5分；</w:t>
            </w:r>
          </w:p>
          <w:p>
            <w:pPr>
              <w:jc w:val="left"/>
              <w:rPr>
                <w:rFonts w:ascii="宋体" w:hAnsi="宋体" w:cs="仿宋_GB2312"/>
                <w:szCs w:val="21"/>
              </w:rPr>
            </w:pPr>
            <w:r>
              <w:rPr>
                <w:rFonts w:hint="eastAsia" w:ascii="宋体" w:hAnsi="宋体" w:cs="仿宋_GB2312"/>
                <w:szCs w:val="21"/>
              </w:rPr>
              <w:t>考核办法较合理、考核结果的补救措施和奖罚办法较可行，得4.5分；</w:t>
            </w:r>
          </w:p>
          <w:p>
            <w:pPr>
              <w:jc w:val="left"/>
              <w:rPr>
                <w:rFonts w:ascii="宋体" w:hAnsi="宋体" w:cs="仿宋_GB2312"/>
                <w:szCs w:val="21"/>
              </w:rPr>
            </w:pPr>
            <w:r>
              <w:rPr>
                <w:rFonts w:hint="eastAsia" w:ascii="宋体" w:hAnsi="宋体" w:cs="仿宋_GB2312"/>
                <w:szCs w:val="21"/>
              </w:rPr>
              <w:t>考核办法合理性尚可、考核结果的补救措施和奖罚办法可行性尚可，得4分；</w:t>
            </w:r>
          </w:p>
          <w:p>
            <w:pPr>
              <w:jc w:val="left"/>
              <w:rPr>
                <w:rFonts w:ascii="宋体" w:hAnsi="宋体" w:cs="仿宋_GB2312"/>
                <w:szCs w:val="21"/>
              </w:rPr>
            </w:pPr>
            <w:r>
              <w:rPr>
                <w:rFonts w:hint="eastAsia" w:ascii="宋体" w:hAnsi="宋体" w:cs="仿宋_GB2312"/>
                <w:szCs w:val="21"/>
              </w:rPr>
              <w:t>考核办法合理性一般、考核结果的补救措施和奖罚办法可行性一般，得3.5分；</w:t>
            </w:r>
          </w:p>
          <w:p>
            <w:pPr>
              <w:jc w:val="left"/>
              <w:rPr>
                <w:rFonts w:ascii="宋体" w:hAnsi="宋体" w:cs="仿宋_GB2312"/>
                <w:szCs w:val="21"/>
              </w:rPr>
            </w:pPr>
            <w:r>
              <w:rPr>
                <w:rFonts w:hint="eastAsia" w:ascii="宋体" w:hAnsi="宋体" w:cs="仿宋_GB2312"/>
                <w:szCs w:val="21"/>
              </w:rPr>
              <w:t>考核办法欠合理、考核结果的补救措施和奖罚办法欠可行，得3分；</w:t>
            </w:r>
          </w:p>
          <w:p>
            <w:pPr>
              <w:jc w:val="left"/>
              <w:rPr>
                <w:rFonts w:ascii="宋体" w:hAnsi="宋体" w:cs="仿宋_GB2312"/>
                <w:szCs w:val="21"/>
              </w:rPr>
            </w:pPr>
            <w:r>
              <w:rPr>
                <w:rFonts w:hint="eastAsia" w:ascii="宋体" w:hAnsi="宋体" w:cs="仿宋_GB2312"/>
                <w:szCs w:val="21"/>
              </w:rPr>
              <w:t>考核办法不够合理、考核结果的补救措施和奖罚办法不够可行，得2分；</w:t>
            </w:r>
          </w:p>
          <w:p>
            <w:pPr>
              <w:pStyle w:val="2"/>
              <w:ind w:left="404" w:leftChars="0" w:hanging="404" w:hangingChars="20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szCs w:val="21"/>
              </w:rPr>
            </w:pPr>
            <w:r>
              <w:rPr>
                <w:rFonts w:hint="eastAsia" w:ascii="宋体" w:hAnsi="宋体"/>
                <w:szCs w:val="21"/>
              </w:rPr>
              <w:t>5</w:t>
            </w:r>
          </w:p>
        </w:tc>
        <w:tc>
          <w:tcPr>
            <w:tcW w:w="709" w:type="dxa"/>
            <w:vMerge w:val="continue"/>
            <w:noWrap w:val="0"/>
            <w:vAlign w:val="center"/>
          </w:tcPr>
          <w:p>
            <w:pPr>
              <w:jc w:val="center"/>
              <w:rPr>
                <w:rFonts w:ascii="宋体" w:hAnsi="宋体"/>
                <w:szCs w:val="21"/>
              </w:rPr>
            </w:pP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restart"/>
            <w:noWrap w:val="0"/>
            <w:vAlign w:val="center"/>
          </w:tcPr>
          <w:p>
            <w:pPr>
              <w:jc w:val="center"/>
              <w:rPr>
                <w:rFonts w:ascii="宋体" w:hAnsi="宋体"/>
                <w:szCs w:val="21"/>
              </w:rPr>
            </w:pPr>
            <w:r>
              <w:rPr>
                <w:rFonts w:hint="eastAsia" w:ascii="宋体" w:hAnsi="宋体"/>
                <w:szCs w:val="21"/>
              </w:rPr>
              <w:t>5</w:t>
            </w:r>
          </w:p>
        </w:tc>
        <w:tc>
          <w:tcPr>
            <w:tcW w:w="709" w:type="dxa"/>
            <w:vMerge w:val="restart"/>
            <w:noWrap w:val="0"/>
            <w:vAlign w:val="center"/>
          </w:tcPr>
          <w:p>
            <w:pPr>
              <w:ind w:right="-55" w:rightChars="-26"/>
              <w:jc w:val="left"/>
              <w:rPr>
                <w:rFonts w:ascii="宋体" w:hAnsi="宋体" w:cs="仿宋_GB2312"/>
                <w:szCs w:val="21"/>
              </w:rPr>
            </w:pPr>
            <w:r>
              <w:rPr>
                <w:rFonts w:hint="eastAsia" w:ascii="宋体" w:hAnsi="宋体" w:cs="仿宋_GB2312"/>
                <w:szCs w:val="21"/>
              </w:rPr>
              <w:t>拟派项目人员配置情况（12分）</w:t>
            </w:r>
          </w:p>
        </w:tc>
        <w:tc>
          <w:tcPr>
            <w:tcW w:w="6185" w:type="dxa"/>
            <w:noWrap w:val="0"/>
            <w:vAlign w:val="center"/>
          </w:tcPr>
          <w:p>
            <w:pPr>
              <w:jc w:val="left"/>
              <w:rPr>
                <w:rFonts w:ascii="宋体" w:hAnsi="宋体" w:cs="仿宋_GB2312"/>
                <w:szCs w:val="21"/>
              </w:rPr>
            </w:pPr>
            <w:r>
              <w:rPr>
                <w:rFonts w:hint="eastAsia" w:ascii="宋体" w:hAnsi="宋体" w:cs="仿宋_GB2312"/>
                <w:szCs w:val="21"/>
              </w:rPr>
              <w:t>（1）针对本项目拟派的项目负责人专业能力、项目经验、资历、学历等评价（3分）：具有本科及以上学历的，持有人力资源和社会保障部门颁发的园林绿化（或花卉园艺）技师及以上职业资格证书的，具有施工或养护专业的园林绿化或风景园林高级及以上工程师的，以上三个条件都具备的得3分，具备其中二个条件的得2分，只具备一个条件的得1分，其他不得分。</w:t>
            </w:r>
          </w:p>
          <w:p>
            <w:pPr>
              <w:jc w:val="left"/>
              <w:rPr>
                <w:rFonts w:ascii="宋体" w:hAnsi="宋体" w:cs="仿宋_GB2312"/>
                <w:szCs w:val="21"/>
              </w:rPr>
            </w:pPr>
            <w:r>
              <w:rPr>
                <w:rFonts w:hint="eastAsia" w:ascii="宋体" w:hAnsi="宋体" w:cs="仿宋_GB2312"/>
                <w:szCs w:val="21"/>
              </w:rPr>
              <w:t>投标文件中提供投标人为人员缴纳的开标日前连续3个月有效社保证明、证书扫描件加盖投标人公章；技师及以上的职业资格证书需为国家政府部门颁发证书，还需提供“国家职业资格证书全国联网查询”中截图证明；园林高级工程师及以上职称的为施工或养护专业。本科及以上学历证书需提供学信网查询证明。</w:t>
            </w:r>
          </w:p>
        </w:tc>
        <w:tc>
          <w:tcPr>
            <w:tcW w:w="709" w:type="dxa"/>
            <w:noWrap w:val="0"/>
            <w:vAlign w:val="center"/>
          </w:tcPr>
          <w:p>
            <w:pPr>
              <w:jc w:val="center"/>
              <w:rPr>
                <w:rFonts w:ascii="宋体" w:hAnsi="宋体"/>
                <w:szCs w:val="21"/>
              </w:rPr>
            </w:pPr>
            <w:r>
              <w:rPr>
                <w:rFonts w:hint="eastAsia" w:ascii="宋体" w:hAnsi="宋体"/>
                <w:szCs w:val="21"/>
              </w:rPr>
              <w:t>3</w:t>
            </w:r>
          </w:p>
        </w:tc>
        <w:tc>
          <w:tcPr>
            <w:tcW w:w="709" w:type="dxa"/>
            <w:noWrap w:val="0"/>
            <w:vAlign w:val="center"/>
          </w:tcPr>
          <w:p>
            <w:pPr>
              <w:jc w:val="center"/>
              <w:rPr>
                <w:rFonts w:ascii="宋体" w:hAnsi="宋体"/>
                <w:szCs w:val="21"/>
              </w:rPr>
            </w:pPr>
            <w:r>
              <w:rPr>
                <w:rFonts w:hint="eastAsia" w:ascii="宋体" w:hAnsi="宋体"/>
                <w:szCs w:val="21"/>
              </w:rPr>
              <w:t>客观分</w:t>
            </w: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8"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spacing w:line="360" w:lineRule="auto"/>
              <w:jc w:val="center"/>
              <w:rPr>
                <w:rFonts w:ascii="宋体" w:hAnsi="宋体"/>
                <w:bCs/>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（2）拟派的项目人员（除项目负责人以外）（2分）:持有人力资源和社会保障部门颁发的园林绿化（或花卉园艺）技师及以上职业资格证书的每具有1个得 0.5分，该项满分2分。</w:t>
            </w:r>
          </w:p>
          <w:p>
            <w:pPr>
              <w:jc w:val="left"/>
              <w:rPr>
                <w:rFonts w:ascii="宋体" w:hAnsi="宋体" w:cs="仿宋_GB2312"/>
                <w:szCs w:val="21"/>
              </w:rPr>
            </w:pPr>
            <w:r>
              <w:rPr>
                <w:rFonts w:hint="eastAsia" w:ascii="宋体" w:hAnsi="宋体" w:cs="仿宋_GB2312"/>
                <w:szCs w:val="21"/>
              </w:rPr>
              <w:t>（3）拟派安全人员具有安全生产考核合格证书（C类）（2分）：每具有一个得 1分，该项满分2分。</w:t>
            </w:r>
          </w:p>
          <w:p>
            <w:pPr>
              <w:jc w:val="left"/>
              <w:rPr>
                <w:rFonts w:ascii="宋体" w:hAnsi="宋体" w:cs="仿宋_GB2312"/>
                <w:szCs w:val="21"/>
              </w:rPr>
            </w:pPr>
            <w:r>
              <w:rPr>
                <w:rFonts w:hint="eastAsia" w:ascii="宋体" w:hAnsi="宋体" w:cs="仿宋_GB2312"/>
                <w:szCs w:val="21"/>
              </w:rPr>
              <w:t>说明：同一人只认定1本证书；持有证书为国家政府部门所颁发；投标文件中提供投标人为人员缴纳的开标日前连续3个月有效社保证明、证书扫描件加盖投标人公章。</w:t>
            </w:r>
          </w:p>
        </w:tc>
        <w:tc>
          <w:tcPr>
            <w:tcW w:w="709" w:type="dxa"/>
            <w:noWrap w:val="0"/>
            <w:vAlign w:val="center"/>
          </w:tcPr>
          <w:p>
            <w:pPr>
              <w:jc w:val="center"/>
              <w:rPr>
                <w:rFonts w:ascii="宋体" w:hAnsi="宋体"/>
                <w:szCs w:val="21"/>
              </w:rPr>
            </w:pPr>
            <w:r>
              <w:rPr>
                <w:rFonts w:hint="eastAsia" w:ascii="宋体" w:hAnsi="宋体"/>
                <w:szCs w:val="21"/>
              </w:rPr>
              <w:t>4</w:t>
            </w:r>
          </w:p>
        </w:tc>
        <w:tc>
          <w:tcPr>
            <w:tcW w:w="709" w:type="dxa"/>
            <w:noWrap w:val="0"/>
            <w:vAlign w:val="center"/>
          </w:tcPr>
          <w:p>
            <w:pPr>
              <w:jc w:val="center"/>
              <w:rPr>
                <w:rFonts w:ascii="宋体" w:hAnsi="宋体"/>
                <w:szCs w:val="21"/>
              </w:rPr>
            </w:pPr>
            <w:r>
              <w:rPr>
                <w:rFonts w:hint="eastAsia" w:ascii="宋体" w:hAnsi="宋体"/>
                <w:szCs w:val="21"/>
              </w:rPr>
              <w:t>客观分</w:t>
            </w: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spacing w:line="360" w:lineRule="auto"/>
              <w:jc w:val="center"/>
              <w:rPr>
                <w:rFonts w:ascii="宋体" w:hAnsi="宋体"/>
                <w:bCs/>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（4）针对本项目人员管理方案的人员考核方案、人员培训方案、合同执行期间的人员数量保障方案、人员安全保障措施、人员管理规范等进行评议（5分）：</w:t>
            </w:r>
          </w:p>
          <w:p>
            <w:pPr>
              <w:jc w:val="left"/>
              <w:rPr>
                <w:rFonts w:ascii="宋体" w:hAnsi="宋体" w:cs="仿宋_GB2312"/>
                <w:szCs w:val="21"/>
              </w:rPr>
            </w:pPr>
            <w:r>
              <w:rPr>
                <w:rFonts w:hint="eastAsia" w:ascii="宋体" w:hAnsi="宋体" w:cs="仿宋_GB2312"/>
                <w:szCs w:val="21"/>
              </w:rPr>
              <w:t>考核、培训、保障方案全面，安全保障措施、管理规范可行，得5分；</w:t>
            </w:r>
          </w:p>
          <w:p>
            <w:pPr>
              <w:jc w:val="left"/>
              <w:rPr>
                <w:rFonts w:ascii="宋体" w:hAnsi="宋体" w:cs="仿宋_GB2312"/>
                <w:szCs w:val="21"/>
              </w:rPr>
            </w:pPr>
            <w:r>
              <w:rPr>
                <w:rFonts w:hint="eastAsia" w:ascii="宋体" w:hAnsi="宋体" w:cs="仿宋_GB2312"/>
                <w:szCs w:val="21"/>
              </w:rPr>
              <w:t>考核、培训、保障方案较全面、安全保障措施、管理规范较可行，得4.5分；</w:t>
            </w:r>
          </w:p>
          <w:p>
            <w:pPr>
              <w:jc w:val="left"/>
              <w:rPr>
                <w:rFonts w:ascii="宋体" w:hAnsi="宋体" w:cs="仿宋_GB2312"/>
                <w:szCs w:val="21"/>
              </w:rPr>
            </w:pPr>
            <w:r>
              <w:rPr>
                <w:rFonts w:hint="eastAsia" w:ascii="宋体" w:hAnsi="宋体" w:cs="仿宋_GB2312"/>
                <w:szCs w:val="21"/>
              </w:rPr>
              <w:t>考核、培训、保障方案全面性尚可、安全保障措施、管理规范可行性尚可，得4分；</w:t>
            </w:r>
          </w:p>
          <w:p>
            <w:pPr>
              <w:jc w:val="left"/>
              <w:rPr>
                <w:rFonts w:ascii="宋体" w:hAnsi="宋体" w:cs="仿宋_GB2312"/>
                <w:szCs w:val="21"/>
              </w:rPr>
            </w:pPr>
            <w:r>
              <w:rPr>
                <w:rFonts w:hint="eastAsia" w:ascii="宋体" w:hAnsi="宋体" w:cs="仿宋_GB2312"/>
                <w:szCs w:val="21"/>
              </w:rPr>
              <w:t>考核、培训、保障方案全面性一般、安全保障措施、管理规范可行性一般，得3.5分；</w:t>
            </w:r>
          </w:p>
          <w:p>
            <w:pPr>
              <w:jc w:val="left"/>
              <w:rPr>
                <w:rFonts w:ascii="宋体" w:hAnsi="宋体" w:cs="仿宋_GB2312"/>
                <w:szCs w:val="21"/>
              </w:rPr>
            </w:pPr>
            <w:r>
              <w:rPr>
                <w:rFonts w:hint="eastAsia" w:ascii="宋体" w:hAnsi="宋体" w:cs="仿宋_GB2312"/>
                <w:szCs w:val="21"/>
              </w:rPr>
              <w:t>考核、培训、保障方案欠全面、安全保障措施、管理规范欠可行，得3分；</w:t>
            </w:r>
          </w:p>
          <w:p>
            <w:pPr>
              <w:jc w:val="left"/>
              <w:rPr>
                <w:rFonts w:ascii="宋体" w:hAnsi="宋体" w:cs="仿宋_GB2312"/>
                <w:szCs w:val="21"/>
              </w:rPr>
            </w:pPr>
            <w:r>
              <w:rPr>
                <w:rFonts w:hint="eastAsia" w:ascii="宋体" w:hAnsi="宋体" w:cs="仿宋_GB2312"/>
                <w:szCs w:val="21"/>
              </w:rPr>
              <w:t>考核、培训、保障方案不够全面、安全保障措施、管理规范不够可行，得2分；</w:t>
            </w:r>
          </w:p>
          <w:p>
            <w:pPr>
              <w:pStyle w:val="2"/>
              <w:ind w:left="404" w:leftChars="0" w:hanging="404" w:hangingChars="20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cs="仿宋_GB2312"/>
                <w:szCs w:val="21"/>
              </w:rPr>
            </w:pPr>
            <w:r>
              <w:rPr>
                <w:rFonts w:hint="eastAsia" w:ascii="宋体" w:hAnsi="宋体" w:cs="仿宋_GB2312"/>
                <w:szCs w:val="21"/>
              </w:rPr>
              <w:t>5</w:t>
            </w:r>
          </w:p>
        </w:tc>
        <w:tc>
          <w:tcPr>
            <w:tcW w:w="709" w:type="dxa"/>
            <w:noWrap w:val="0"/>
            <w:vAlign w:val="center"/>
          </w:tcPr>
          <w:p>
            <w:pPr>
              <w:jc w:val="center"/>
              <w:rPr>
                <w:rFonts w:ascii="宋体" w:hAnsi="宋体"/>
                <w:szCs w:val="21"/>
              </w:rPr>
            </w:pPr>
            <w:r>
              <w:rPr>
                <w:rFonts w:hint="eastAsia" w:ascii="宋体" w:hAnsi="宋体"/>
                <w:szCs w:val="21"/>
              </w:rPr>
              <w:t>主观分</w:t>
            </w:r>
          </w:p>
        </w:tc>
        <w:tc>
          <w:tcPr>
            <w:tcW w:w="902" w:type="dxa"/>
            <w:noWrap w:val="0"/>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54" w:hRule="atLeast"/>
          <w:jc w:val="center"/>
        </w:trPr>
        <w:tc>
          <w:tcPr>
            <w:tcW w:w="729" w:type="dxa"/>
            <w:vMerge w:val="restart"/>
            <w:noWrap w:val="0"/>
            <w:vAlign w:val="center"/>
          </w:tcPr>
          <w:p>
            <w:pPr>
              <w:jc w:val="center"/>
              <w:rPr>
                <w:rFonts w:ascii="宋体" w:hAnsi="宋体" w:cs="仿宋_GB2312"/>
                <w:szCs w:val="21"/>
              </w:rPr>
            </w:pPr>
            <w:r>
              <w:rPr>
                <w:rFonts w:hint="eastAsia" w:ascii="宋体" w:hAnsi="宋体" w:cs="仿宋_GB2312"/>
                <w:szCs w:val="21"/>
              </w:rPr>
              <w:t>6</w:t>
            </w:r>
          </w:p>
        </w:tc>
        <w:tc>
          <w:tcPr>
            <w:tcW w:w="709" w:type="dxa"/>
            <w:vMerge w:val="restart"/>
            <w:noWrap w:val="0"/>
            <w:vAlign w:val="center"/>
          </w:tcPr>
          <w:p>
            <w:pPr>
              <w:ind w:right="-55" w:rightChars="-26"/>
              <w:jc w:val="left"/>
              <w:rPr>
                <w:rFonts w:ascii="宋体" w:hAnsi="宋体" w:cs="仿宋_GB2312"/>
                <w:szCs w:val="21"/>
              </w:rPr>
            </w:pPr>
            <w:r>
              <w:rPr>
                <w:rFonts w:hint="eastAsia" w:ascii="宋体" w:hAnsi="宋体" w:cs="仿宋_GB2312"/>
                <w:szCs w:val="21"/>
              </w:rPr>
              <w:t>机械设备、车辆的配备和运行管理（9分）</w:t>
            </w:r>
          </w:p>
        </w:tc>
        <w:tc>
          <w:tcPr>
            <w:tcW w:w="6185" w:type="dxa"/>
            <w:noWrap w:val="0"/>
            <w:vAlign w:val="center"/>
          </w:tcPr>
          <w:p>
            <w:pPr>
              <w:jc w:val="left"/>
              <w:rPr>
                <w:rFonts w:ascii="宋体" w:hAnsi="宋体" w:cs="仿宋_GB2312"/>
                <w:szCs w:val="21"/>
              </w:rPr>
            </w:pPr>
            <w:r>
              <w:rPr>
                <w:rFonts w:hint="eastAsia" w:ascii="宋体" w:hAnsi="宋体" w:cs="仿宋_GB2312"/>
                <w:szCs w:val="21"/>
              </w:rPr>
              <w:t>（1）针对本项目拟投入的车辆配备情况打分（4分）：</w:t>
            </w:r>
          </w:p>
          <w:p>
            <w:pPr>
              <w:jc w:val="left"/>
              <w:rPr>
                <w:rFonts w:ascii="宋体" w:hAnsi="宋体" w:cs="仿宋_GB2312"/>
                <w:szCs w:val="21"/>
              </w:rPr>
            </w:pPr>
            <w:r>
              <w:rPr>
                <w:rFonts w:hint="eastAsia" w:ascii="宋体" w:hAnsi="宋体" w:cs="仿宋_GB2312"/>
                <w:szCs w:val="21"/>
              </w:rPr>
              <w:t>具有登高车、吊机（含有起吊功能的重型普通货车）、洒水车、新能源（电动）货车，每自有1种得1分，租赁得0.5分；最高得4分。如为租赁的，租赁最高得2分。</w:t>
            </w:r>
          </w:p>
          <w:p>
            <w:pPr>
              <w:jc w:val="left"/>
              <w:rPr>
                <w:rFonts w:ascii="宋体" w:hAnsi="宋体" w:cs="仿宋_GB2312"/>
                <w:szCs w:val="21"/>
              </w:rPr>
            </w:pPr>
            <w:r>
              <w:rPr>
                <w:rFonts w:hint="eastAsia" w:ascii="宋体" w:hAnsi="宋体" w:cs="仿宋_GB2312"/>
                <w:szCs w:val="21"/>
              </w:rPr>
              <w:t>投标文件中附购置发票、行驶证扫描件、车辆（含车牌照）实景照片（非行驶证上照片）加盖投标人公章，要求发票抬头、行驶证所有人与投标人名称保持一致，年检过期的车辆不计分；如租赁的还需提供有效的租赁合同、购置发票、行驶证加盖投标人公章，要求发票抬头、行驶证所有人与出租人名称保持一致，年检过期的车辆不计分。</w:t>
            </w:r>
          </w:p>
        </w:tc>
        <w:tc>
          <w:tcPr>
            <w:tcW w:w="709" w:type="dxa"/>
            <w:noWrap w:val="0"/>
            <w:vAlign w:val="center"/>
          </w:tcPr>
          <w:p>
            <w:pPr>
              <w:jc w:val="center"/>
              <w:rPr>
                <w:rFonts w:ascii="宋体" w:hAnsi="宋体" w:cs="仿宋_GB2312"/>
                <w:szCs w:val="21"/>
              </w:rPr>
            </w:pPr>
            <w:r>
              <w:rPr>
                <w:rFonts w:hint="eastAsia" w:ascii="宋体" w:hAnsi="宋体" w:cs="仿宋_GB2312"/>
                <w:szCs w:val="21"/>
              </w:rPr>
              <w:t>4</w:t>
            </w:r>
          </w:p>
        </w:tc>
        <w:tc>
          <w:tcPr>
            <w:tcW w:w="709" w:type="dxa"/>
            <w:noWrap w:val="0"/>
            <w:vAlign w:val="center"/>
          </w:tcPr>
          <w:p>
            <w:pPr>
              <w:jc w:val="center"/>
              <w:rPr>
                <w:rFonts w:ascii="宋体" w:hAnsi="宋体"/>
                <w:szCs w:val="21"/>
              </w:rPr>
            </w:pPr>
            <w:r>
              <w:rPr>
                <w:rFonts w:hint="eastAsia" w:ascii="宋体" w:hAnsi="宋体"/>
                <w:szCs w:val="21"/>
              </w:rPr>
              <w:t>客观分</w:t>
            </w:r>
          </w:p>
        </w:tc>
        <w:tc>
          <w:tcPr>
            <w:tcW w:w="902" w:type="dxa"/>
            <w:noWrap w:val="0"/>
            <w:vAlign w:val="center"/>
          </w:tcPr>
          <w:p>
            <w:pPr>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vMerge w:val="continue"/>
            <w:noWrap w:val="0"/>
            <w:vAlign w:val="center"/>
          </w:tcPr>
          <w:p>
            <w:pPr>
              <w:jc w:val="center"/>
              <w:rPr>
                <w:rFonts w:ascii="宋体" w:hAnsi="宋体"/>
                <w:szCs w:val="21"/>
              </w:rPr>
            </w:pPr>
          </w:p>
        </w:tc>
        <w:tc>
          <w:tcPr>
            <w:tcW w:w="709" w:type="dxa"/>
            <w:vMerge w:val="continue"/>
            <w:noWrap w:val="0"/>
            <w:vAlign w:val="center"/>
          </w:tcPr>
          <w:p>
            <w:pPr>
              <w:spacing w:line="360" w:lineRule="auto"/>
              <w:jc w:val="center"/>
              <w:rPr>
                <w:rFonts w:ascii="宋体" w:hAnsi="宋体"/>
                <w:szCs w:val="21"/>
              </w:rPr>
            </w:pPr>
          </w:p>
        </w:tc>
        <w:tc>
          <w:tcPr>
            <w:tcW w:w="6185" w:type="dxa"/>
            <w:noWrap w:val="0"/>
            <w:vAlign w:val="center"/>
          </w:tcPr>
          <w:p>
            <w:pPr>
              <w:jc w:val="left"/>
              <w:rPr>
                <w:rFonts w:ascii="宋体" w:hAnsi="宋体" w:cs="仿宋_GB2312"/>
                <w:szCs w:val="21"/>
              </w:rPr>
            </w:pPr>
            <w:r>
              <w:rPr>
                <w:rFonts w:hint="eastAsia" w:ascii="宋体" w:hAnsi="宋体" w:cs="仿宋_GB2312"/>
                <w:szCs w:val="21"/>
              </w:rPr>
              <w:t>（2）评委根据投标人拟投入的车辆、设备运行方案及专人定期维护管理进行评议（5分）：</w:t>
            </w:r>
          </w:p>
          <w:p>
            <w:pPr>
              <w:jc w:val="left"/>
              <w:rPr>
                <w:rFonts w:ascii="宋体" w:hAnsi="宋体" w:cs="仿宋_GB2312"/>
                <w:szCs w:val="21"/>
              </w:rPr>
            </w:pPr>
            <w:r>
              <w:rPr>
                <w:rFonts w:hint="eastAsia" w:ascii="宋体" w:hAnsi="宋体" w:cs="仿宋_GB2312"/>
                <w:szCs w:val="21"/>
              </w:rPr>
              <w:t>方案内容清晰、管理计划可行，得5分；</w:t>
            </w:r>
          </w:p>
          <w:p>
            <w:pPr>
              <w:jc w:val="left"/>
              <w:rPr>
                <w:rFonts w:ascii="宋体" w:hAnsi="宋体" w:cs="仿宋_GB2312"/>
                <w:szCs w:val="21"/>
              </w:rPr>
            </w:pPr>
            <w:r>
              <w:rPr>
                <w:rFonts w:hint="eastAsia" w:ascii="宋体" w:hAnsi="宋体" w:cs="仿宋_GB2312"/>
                <w:szCs w:val="21"/>
              </w:rPr>
              <w:t>方案内容较清晰、管理计划较可行，得4.5分；</w:t>
            </w:r>
          </w:p>
          <w:p>
            <w:pPr>
              <w:jc w:val="left"/>
              <w:rPr>
                <w:rFonts w:ascii="宋体" w:hAnsi="宋体" w:cs="仿宋_GB2312"/>
                <w:szCs w:val="21"/>
              </w:rPr>
            </w:pPr>
            <w:r>
              <w:rPr>
                <w:rFonts w:hint="eastAsia" w:ascii="宋体" w:hAnsi="宋体" w:cs="仿宋_GB2312"/>
                <w:szCs w:val="21"/>
              </w:rPr>
              <w:t>方案内容清晰度尚可、管理计划可行性尚可，得4分；</w:t>
            </w:r>
          </w:p>
          <w:p>
            <w:pPr>
              <w:jc w:val="left"/>
              <w:rPr>
                <w:rFonts w:ascii="宋体" w:hAnsi="宋体" w:cs="仿宋_GB2312"/>
                <w:szCs w:val="21"/>
              </w:rPr>
            </w:pPr>
            <w:r>
              <w:rPr>
                <w:rFonts w:hint="eastAsia" w:ascii="宋体" w:hAnsi="宋体" w:cs="仿宋_GB2312"/>
                <w:szCs w:val="21"/>
              </w:rPr>
              <w:t>方案内容清晰度一般、管理计划可行性一般，得3.5分；</w:t>
            </w:r>
          </w:p>
          <w:p>
            <w:pPr>
              <w:jc w:val="left"/>
              <w:rPr>
                <w:rFonts w:ascii="宋体" w:hAnsi="宋体" w:cs="仿宋_GB2312"/>
                <w:szCs w:val="21"/>
              </w:rPr>
            </w:pPr>
            <w:r>
              <w:rPr>
                <w:rFonts w:hint="eastAsia" w:ascii="宋体" w:hAnsi="宋体" w:cs="仿宋_GB2312"/>
                <w:szCs w:val="21"/>
              </w:rPr>
              <w:t>方案内容欠清晰、管理计划欠可行，得3分；</w:t>
            </w:r>
          </w:p>
          <w:p>
            <w:pPr>
              <w:jc w:val="left"/>
              <w:rPr>
                <w:rFonts w:ascii="宋体" w:hAnsi="宋体" w:cs="仿宋_GB2312"/>
                <w:szCs w:val="21"/>
              </w:rPr>
            </w:pPr>
            <w:r>
              <w:rPr>
                <w:rFonts w:hint="eastAsia" w:ascii="宋体" w:hAnsi="宋体" w:cs="仿宋_GB2312"/>
                <w:szCs w:val="21"/>
              </w:rPr>
              <w:t>方案内容不够清晰、管理计划不够可行，得2分；</w:t>
            </w:r>
          </w:p>
          <w:p>
            <w:pPr>
              <w:pStyle w:val="2"/>
              <w:ind w:left="0" w:leftChars="0" w:firstLine="0"/>
              <w:rPr>
                <w:rFonts w:hAnsi="宋体" w:cs="仿宋_GB2312"/>
              </w:rPr>
            </w:pPr>
            <w:r>
              <w:rPr>
                <w:rFonts w:hint="eastAsia" w:hAnsi="宋体" w:cs="仿宋_GB2312"/>
              </w:rPr>
              <w:t>未提供的不得分。</w:t>
            </w:r>
          </w:p>
        </w:tc>
        <w:tc>
          <w:tcPr>
            <w:tcW w:w="709" w:type="dxa"/>
            <w:noWrap w:val="0"/>
            <w:vAlign w:val="center"/>
          </w:tcPr>
          <w:p>
            <w:pPr>
              <w:jc w:val="center"/>
              <w:rPr>
                <w:rFonts w:ascii="宋体" w:hAnsi="宋体" w:cs="仿宋_GB2312"/>
                <w:szCs w:val="21"/>
              </w:rPr>
            </w:pPr>
            <w:r>
              <w:rPr>
                <w:rFonts w:hint="eastAsia" w:ascii="宋体" w:hAnsi="宋体" w:cs="仿宋_GB2312"/>
                <w:szCs w:val="21"/>
              </w:rPr>
              <w:t>5</w:t>
            </w:r>
          </w:p>
        </w:tc>
        <w:tc>
          <w:tcPr>
            <w:tcW w:w="709" w:type="dxa"/>
            <w:noWrap w:val="0"/>
            <w:vAlign w:val="center"/>
          </w:tcPr>
          <w:p>
            <w:pPr>
              <w:jc w:val="center"/>
              <w:rPr>
                <w:rFonts w:ascii="宋体" w:hAnsi="宋体"/>
                <w:szCs w:val="21"/>
              </w:rPr>
            </w:pPr>
            <w:r>
              <w:rPr>
                <w:rFonts w:hint="eastAsia" w:ascii="宋体" w:hAnsi="宋体"/>
                <w:szCs w:val="21"/>
              </w:rPr>
              <w:t>主观分</w:t>
            </w: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9" w:type="dxa"/>
            <w:noWrap w:val="0"/>
            <w:vAlign w:val="center"/>
          </w:tcPr>
          <w:p>
            <w:pPr>
              <w:jc w:val="center"/>
              <w:rPr>
                <w:rFonts w:ascii="宋体" w:hAnsi="宋体"/>
                <w:szCs w:val="21"/>
              </w:rPr>
            </w:pPr>
            <w:r>
              <w:rPr>
                <w:rFonts w:hint="eastAsia" w:ascii="宋体" w:hAnsi="宋体"/>
                <w:szCs w:val="21"/>
              </w:rPr>
              <w:t>7</w:t>
            </w:r>
          </w:p>
        </w:tc>
        <w:tc>
          <w:tcPr>
            <w:tcW w:w="6894" w:type="dxa"/>
            <w:gridSpan w:val="2"/>
            <w:noWrap w:val="0"/>
            <w:vAlign w:val="center"/>
          </w:tcPr>
          <w:p>
            <w:pPr>
              <w:jc w:val="left"/>
              <w:rPr>
                <w:rFonts w:ascii="宋体" w:hAnsi="宋体" w:cs="仿宋_GB2312"/>
                <w:szCs w:val="21"/>
              </w:rPr>
            </w:pPr>
            <w:r>
              <w:rPr>
                <w:rFonts w:hint="eastAsia" w:ascii="宋体" w:hAnsi="宋体" w:cs="仿宋_GB2312"/>
                <w:szCs w:val="21"/>
              </w:rPr>
              <w:t>针对本项目的特殊情况（如应节庆假日、创优评优、防台防汛期间、冰冻雪灾等）处理方案及突发状况应急预案进行评议（5分）：</w:t>
            </w:r>
          </w:p>
          <w:p>
            <w:pPr>
              <w:jc w:val="left"/>
              <w:rPr>
                <w:rFonts w:ascii="宋体" w:hAnsi="宋体" w:cs="仿宋_GB2312"/>
                <w:szCs w:val="21"/>
              </w:rPr>
            </w:pPr>
            <w:r>
              <w:rPr>
                <w:rFonts w:hint="eastAsia" w:ascii="宋体" w:hAnsi="宋体" w:cs="仿宋_GB2312"/>
                <w:szCs w:val="21"/>
              </w:rPr>
              <w:t>处理方案详实、突发状况应急预案可行，得5分；</w:t>
            </w:r>
          </w:p>
          <w:p>
            <w:pPr>
              <w:jc w:val="left"/>
              <w:rPr>
                <w:rFonts w:ascii="宋体" w:hAnsi="宋体" w:cs="仿宋_GB2312"/>
                <w:szCs w:val="21"/>
              </w:rPr>
            </w:pPr>
            <w:r>
              <w:rPr>
                <w:rFonts w:hint="eastAsia" w:ascii="宋体" w:hAnsi="宋体" w:cs="仿宋_GB2312"/>
                <w:szCs w:val="21"/>
              </w:rPr>
              <w:t>处理方案较详实、突发状况应急预案较可行，得4.5分；</w:t>
            </w:r>
          </w:p>
          <w:p>
            <w:pPr>
              <w:jc w:val="left"/>
              <w:rPr>
                <w:rFonts w:ascii="宋体" w:hAnsi="宋体" w:cs="仿宋_GB2312"/>
                <w:szCs w:val="21"/>
              </w:rPr>
            </w:pPr>
            <w:r>
              <w:rPr>
                <w:rFonts w:hint="eastAsia" w:ascii="宋体" w:hAnsi="宋体" w:cs="仿宋_GB2312"/>
                <w:szCs w:val="21"/>
              </w:rPr>
              <w:t>处理方案详实程度尚可、突发状况应急预案可行性尚可，得4分；</w:t>
            </w:r>
          </w:p>
          <w:p>
            <w:pPr>
              <w:jc w:val="left"/>
              <w:rPr>
                <w:rFonts w:ascii="宋体" w:hAnsi="宋体" w:cs="仿宋_GB2312"/>
                <w:szCs w:val="21"/>
              </w:rPr>
            </w:pPr>
            <w:r>
              <w:rPr>
                <w:rFonts w:hint="eastAsia" w:ascii="宋体" w:hAnsi="宋体" w:cs="仿宋_GB2312"/>
                <w:szCs w:val="21"/>
              </w:rPr>
              <w:t>处理方案详实程度一般、突发状况应急预案可行性一般，得3.5分；</w:t>
            </w:r>
          </w:p>
          <w:p>
            <w:pPr>
              <w:jc w:val="left"/>
              <w:rPr>
                <w:rFonts w:ascii="宋体" w:hAnsi="宋体" w:cs="仿宋_GB2312"/>
                <w:szCs w:val="21"/>
              </w:rPr>
            </w:pPr>
            <w:r>
              <w:rPr>
                <w:rFonts w:hint="eastAsia" w:ascii="宋体" w:hAnsi="宋体" w:cs="仿宋_GB2312"/>
                <w:szCs w:val="21"/>
              </w:rPr>
              <w:t>处理方案欠详实、突发状况应急预案欠可行，得3分；</w:t>
            </w:r>
          </w:p>
          <w:p>
            <w:pPr>
              <w:jc w:val="left"/>
              <w:rPr>
                <w:rFonts w:ascii="宋体" w:hAnsi="宋体" w:cs="仿宋_GB2312"/>
                <w:szCs w:val="21"/>
              </w:rPr>
            </w:pPr>
            <w:r>
              <w:rPr>
                <w:rFonts w:hint="eastAsia" w:ascii="宋体" w:hAnsi="宋体" w:cs="仿宋_GB2312"/>
                <w:szCs w:val="21"/>
              </w:rPr>
              <w:t>处理方案不够详实、突发状况应急预案不够可行，得2分；</w:t>
            </w:r>
          </w:p>
          <w:p>
            <w:pPr>
              <w:jc w:val="left"/>
              <w:rPr>
                <w:rFonts w:ascii="宋体" w:hAnsi="宋体"/>
                <w:szCs w:val="21"/>
              </w:rPr>
            </w:pPr>
            <w:r>
              <w:rPr>
                <w:rFonts w:hint="eastAsia" w:ascii="宋体" w:hAnsi="宋体" w:cs="仿宋_GB2312"/>
                <w:szCs w:val="21"/>
              </w:rPr>
              <w:t>未提供本项不得分。</w:t>
            </w:r>
          </w:p>
        </w:tc>
        <w:tc>
          <w:tcPr>
            <w:tcW w:w="709" w:type="dxa"/>
            <w:noWrap w:val="0"/>
            <w:vAlign w:val="center"/>
          </w:tcPr>
          <w:p>
            <w:pPr>
              <w:jc w:val="center"/>
              <w:rPr>
                <w:rFonts w:ascii="宋体" w:hAnsi="宋体" w:cs="仿宋_GB2312"/>
                <w:szCs w:val="21"/>
              </w:rPr>
            </w:pPr>
            <w:r>
              <w:rPr>
                <w:rFonts w:hint="eastAsia" w:ascii="宋体" w:hAnsi="宋体" w:cs="仿宋_GB2312"/>
                <w:szCs w:val="21"/>
              </w:rPr>
              <w:t>5</w:t>
            </w:r>
          </w:p>
        </w:tc>
        <w:tc>
          <w:tcPr>
            <w:tcW w:w="709" w:type="dxa"/>
            <w:noWrap w:val="0"/>
            <w:vAlign w:val="center"/>
          </w:tcPr>
          <w:p>
            <w:pPr>
              <w:jc w:val="center"/>
              <w:rPr>
                <w:rFonts w:ascii="宋体" w:hAnsi="宋体"/>
                <w:szCs w:val="21"/>
              </w:rPr>
            </w:pPr>
            <w:r>
              <w:rPr>
                <w:rFonts w:hint="eastAsia" w:ascii="宋体" w:hAnsi="宋体"/>
                <w:szCs w:val="21"/>
              </w:rPr>
              <w:t>主观分</w:t>
            </w: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729" w:type="dxa"/>
            <w:noWrap w:val="0"/>
            <w:vAlign w:val="center"/>
          </w:tcPr>
          <w:p>
            <w:pPr>
              <w:jc w:val="center"/>
              <w:rPr>
                <w:rFonts w:ascii="宋体" w:hAnsi="宋体"/>
                <w:szCs w:val="21"/>
              </w:rPr>
            </w:pPr>
            <w:r>
              <w:rPr>
                <w:rFonts w:hint="eastAsia" w:ascii="宋体" w:hAnsi="宋体"/>
                <w:szCs w:val="21"/>
              </w:rPr>
              <w:t>8</w:t>
            </w:r>
          </w:p>
        </w:tc>
        <w:tc>
          <w:tcPr>
            <w:tcW w:w="6894" w:type="dxa"/>
            <w:gridSpan w:val="2"/>
            <w:noWrap w:val="0"/>
            <w:vAlign w:val="center"/>
          </w:tcPr>
          <w:p>
            <w:pPr>
              <w:jc w:val="left"/>
              <w:rPr>
                <w:rFonts w:ascii="宋体" w:hAnsi="宋体" w:cs="宋体"/>
                <w:szCs w:val="21"/>
              </w:rPr>
            </w:pPr>
            <w:r>
              <w:rPr>
                <w:rFonts w:hint="eastAsia" w:ascii="宋体" w:hAnsi="宋体" w:cs="仿宋_GB2312"/>
                <w:szCs w:val="21"/>
              </w:rPr>
              <w:t>针对投标人各类耗材、药品使用的保障措施、目标要求</w:t>
            </w:r>
            <w:r>
              <w:rPr>
                <w:rFonts w:hint="eastAsia" w:ascii="宋体" w:hAnsi="宋体" w:cs="宋体"/>
                <w:szCs w:val="21"/>
              </w:rPr>
              <w:t>进行评议（5分）：</w:t>
            </w:r>
          </w:p>
          <w:p>
            <w:pPr>
              <w:jc w:val="left"/>
              <w:rPr>
                <w:rFonts w:ascii="宋体" w:hAnsi="宋体" w:cs="仿宋_GB2312"/>
                <w:szCs w:val="21"/>
              </w:rPr>
            </w:pPr>
            <w:r>
              <w:rPr>
                <w:rFonts w:hint="eastAsia" w:ascii="宋体" w:hAnsi="宋体" w:cs="仿宋_GB2312"/>
                <w:szCs w:val="21"/>
              </w:rPr>
              <w:t>方案保障措施详尽、目标要求明确，得5分；</w:t>
            </w:r>
          </w:p>
          <w:p>
            <w:pPr>
              <w:jc w:val="left"/>
              <w:rPr>
                <w:rFonts w:ascii="宋体" w:hAnsi="宋体" w:cs="仿宋_GB2312"/>
                <w:szCs w:val="21"/>
              </w:rPr>
            </w:pPr>
            <w:r>
              <w:rPr>
                <w:rFonts w:hint="eastAsia" w:ascii="宋体" w:hAnsi="宋体" w:cs="仿宋_GB2312"/>
                <w:szCs w:val="21"/>
              </w:rPr>
              <w:t>方案保障措施较详尽、目标要求较明确，得4.5分；</w:t>
            </w:r>
          </w:p>
          <w:p>
            <w:pPr>
              <w:jc w:val="left"/>
              <w:rPr>
                <w:rFonts w:ascii="宋体" w:hAnsi="宋体" w:cs="仿宋_GB2312"/>
                <w:szCs w:val="21"/>
              </w:rPr>
            </w:pPr>
            <w:r>
              <w:rPr>
                <w:rFonts w:hint="eastAsia" w:ascii="宋体" w:hAnsi="宋体" w:cs="仿宋_GB2312"/>
                <w:szCs w:val="21"/>
              </w:rPr>
              <w:t>方案保障措施详尽程度尚可、目标要求明确性尚可，得4分；</w:t>
            </w:r>
          </w:p>
          <w:p>
            <w:pPr>
              <w:jc w:val="left"/>
              <w:rPr>
                <w:rFonts w:ascii="宋体" w:hAnsi="宋体" w:cs="仿宋_GB2312"/>
                <w:szCs w:val="21"/>
              </w:rPr>
            </w:pPr>
            <w:r>
              <w:rPr>
                <w:rFonts w:hint="eastAsia" w:ascii="宋体" w:hAnsi="宋体" w:cs="仿宋_GB2312"/>
                <w:szCs w:val="21"/>
              </w:rPr>
              <w:t>方案保障措施详尽程度一般、目标要求明确性一般，得3.5分；</w:t>
            </w:r>
          </w:p>
          <w:p>
            <w:pPr>
              <w:jc w:val="left"/>
              <w:rPr>
                <w:rFonts w:ascii="宋体" w:hAnsi="宋体" w:cs="仿宋_GB2312"/>
                <w:szCs w:val="21"/>
              </w:rPr>
            </w:pPr>
            <w:r>
              <w:rPr>
                <w:rFonts w:hint="eastAsia" w:ascii="宋体" w:hAnsi="宋体" w:cs="仿宋_GB2312"/>
                <w:szCs w:val="21"/>
              </w:rPr>
              <w:t>方案保障措施欠详尽、目标要求欠明确，得3分；</w:t>
            </w:r>
          </w:p>
          <w:p>
            <w:pPr>
              <w:jc w:val="left"/>
              <w:rPr>
                <w:rFonts w:ascii="宋体" w:hAnsi="宋体" w:cs="仿宋_GB2312"/>
                <w:szCs w:val="21"/>
              </w:rPr>
            </w:pPr>
            <w:r>
              <w:rPr>
                <w:rFonts w:hint="eastAsia" w:ascii="宋体" w:hAnsi="宋体" w:cs="仿宋_GB2312"/>
                <w:szCs w:val="21"/>
              </w:rPr>
              <w:t>方案保障措施不够详尽、目标要求不够明确，得2分；</w:t>
            </w:r>
          </w:p>
          <w:p>
            <w:pPr>
              <w:jc w:val="left"/>
              <w:rPr>
                <w:rFonts w:ascii="宋体" w:hAnsi="宋体"/>
                <w:szCs w:val="21"/>
              </w:rPr>
            </w:pPr>
            <w:r>
              <w:rPr>
                <w:rFonts w:hint="eastAsia" w:ascii="宋体" w:hAnsi="宋体" w:cs="仿宋_GB2312"/>
                <w:szCs w:val="21"/>
              </w:rPr>
              <w:t>未提供的不得分。</w:t>
            </w:r>
          </w:p>
        </w:tc>
        <w:tc>
          <w:tcPr>
            <w:tcW w:w="709" w:type="dxa"/>
            <w:noWrap w:val="0"/>
            <w:vAlign w:val="center"/>
          </w:tcPr>
          <w:p>
            <w:pPr>
              <w:jc w:val="center"/>
              <w:rPr>
                <w:rFonts w:ascii="宋体" w:hAnsi="宋体" w:cs="仿宋_GB2312"/>
                <w:szCs w:val="21"/>
              </w:rPr>
            </w:pPr>
            <w:r>
              <w:rPr>
                <w:rFonts w:hint="eastAsia" w:ascii="宋体" w:hAnsi="宋体" w:cs="仿宋_GB2312"/>
                <w:szCs w:val="21"/>
              </w:rPr>
              <w:t>5</w:t>
            </w:r>
          </w:p>
        </w:tc>
        <w:tc>
          <w:tcPr>
            <w:tcW w:w="709" w:type="dxa"/>
            <w:noWrap w:val="0"/>
            <w:vAlign w:val="center"/>
          </w:tcPr>
          <w:p>
            <w:pPr>
              <w:jc w:val="center"/>
              <w:rPr>
                <w:rFonts w:ascii="宋体" w:hAnsi="宋体"/>
                <w:szCs w:val="21"/>
              </w:rPr>
            </w:pPr>
            <w:r>
              <w:rPr>
                <w:rFonts w:hint="eastAsia" w:ascii="宋体" w:hAnsi="宋体"/>
                <w:szCs w:val="21"/>
              </w:rPr>
              <w:t>主观分</w:t>
            </w:r>
          </w:p>
        </w:tc>
        <w:tc>
          <w:tcPr>
            <w:tcW w:w="902"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729" w:type="dxa"/>
            <w:noWrap w:val="0"/>
            <w:vAlign w:val="center"/>
          </w:tcPr>
          <w:p>
            <w:pPr>
              <w:jc w:val="center"/>
              <w:rPr>
                <w:rFonts w:ascii="宋体" w:hAnsi="宋体" w:cs="仿宋_GB2312"/>
                <w:szCs w:val="21"/>
              </w:rPr>
            </w:pPr>
            <w:r>
              <w:rPr>
                <w:rFonts w:hint="eastAsia" w:ascii="宋体" w:hAnsi="宋体" w:cs="仿宋_GB2312"/>
                <w:szCs w:val="21"/>
              </w:rPr>
              <w:t>9</w:t>
            </w:r>
          </w:p>
        </w:tc>
        <w:tc>
          <w:tcPr>
            <w:tcW w:w="6894" w:type="dxa"/>
            <w:gridSpan w:val="2"/>
            <w:noWrap w:val="0"/>
            <w:vAlign w:val="center"/>
          </w:tcPr>
          <w:p>
            <w:pPr>
              <w:jc w:val="left"/>
              <w:rPr>
                <w:rFonts w:ascii="宋体" w:hAnsi="宋体" w:cs="仿宋_GB2312"/>
                <w:szCs w:val="21"/>
              </w:rPr>
            </w:pPr>
            <w:r>
              <w:rPr>
                <w:rFonts w:hint="eastAsia" w:ascii="宋体" w:hAnsi="宋体" w:cs="仿宋_GB2312"/>
                <w:szCs w:val="21"/>
              </w:rPr>
              <w:t>价格分（12分）：</w:t>
            </w:r>
          </w:p>
          <w:p>
            <w:pPr>
              <w:jc w:val="left"/>
              <w:rPr>
                <w:rFonts w:ascii="宋体" w:hAnsi="宋体" w:cs="仿宋_GB2312"/>
                <w:szCs w:val="21"/>
              </w:rPr>
            </w:pPr>
            <w:r>
              <w:rPr>
                <w:rFonts w:hint="eastAsia" w:ascii="宋体" w:hAnsi="宋体" w:cs="仿宋_GB2312"/>
                <w:szCs w:val="21"/>
              </w:rPr>
              <w:t>（1）评标基准价指的是满足采购文件要求且最低的参与评审的价格。</w:t>
            </w:r>
          </w:p>
          <w:p>
            <w:pPr>
              <w:jc w:val="left"/>
              <w:rPr>
                <w:rFonts w:ascii="宋体" w:hAnsi="宋体" w:cs="仿宋_GB2312"/>
                <w:szCs w:val="21"/>
              </w:rPr>
            </w:pPr>
            <w:r>
              <w:rPr>
                <w:rFonts w:hint="eastAsia" w:ascii="宋体" w:hAnsi="宋体" w:cs="仿宋_GB2312"/>
                <w:szCs w:val="21"/>
              </w:rPr>
              <w:t>（2）参与评审的价格=投标报价。</w:t>
            </w:r>
          </w:p>
          <w:p>
            <w:pPr>
              <w:jc w:val="left"/>
              <w:rPr>
                <w:rFonts w:ascii="宋体" w:hAnsi="宋体" w:cs="仿宋_GB2312"/>
                <w:szCs w:val="21"/>
              </w:rPr>
            </w:pPr>
            <w:r>
              <w:rPr>
                <w:rFonts w:hint="eastAsia" w:ascii="宋体" w:hAnsi="宋体" w:cs="仿宋_GB2312"/>
                <w:szCs w:val="21"/>
              </w:rPr>
              <w:t>（3）参与评审的价格为评标基准价的其价格得分得满分12分。</w:t>
            </w:r>
          </w:p>
          <w:p>
            <w:pPr>
              <w:jc w:val="left"/>
              <w:rPr>
                <w:rFonts w:ascii="宋体" w:hAnsi="宋体"/>
                <w:szCs w:val="21"/>
              </w:rPr>
            </w:pPr>
            <w:r>
              <w:rPr>
                <w:rFonts w:hint="eastAsia" w:ascii="宋体" w:hAnsi="宋体" w:cs="仿宋_GB2312"/>
                <w:szCs w:val="21"/>
              </w:rPr>
              <w:t>（4）其他投标人价格得分按照下列公式计算：价格得分=（评标基准价/各投标人参与评审的价格）×12％×100。</w:t>
            </w:r>
          </w:p>
        </w:tc>
        <w:tc>
          <w:tcPr>
            <w:tcW w:w="709" w:type="dxa"/>
            <w:noWrap w:val="0"/>
            <w:vAlign w:val="center"/>
          </w:tcPr>
          <w:p>
            <w:pPr>
              <w:jc w:val="center"/>
              <w:rPr>
                <w:rFonts w:ascii="宋体" w:hAnsi="宋体" w:cs="仿宋_GB2312"/>
                <w:szCs w:val="21"/>
              </w:rPr>
            </w:pPr>
            <w:r>
              <w:rPr>
                <w:rFonts w:hint="eastAsia" w:ascii="宋体" w:hAnsi="宋体" w:cs="仿宋_GB2312"/>
                <w:szCs w:val="21"/>
              </w:rPr>
              <w:t>12</w:t>
            </w:r>
          </w:p>
        </w:tc>
        <w:tc>
          <w:tcPr>
            <w:tcW w:w="709" w:type="dxa"/>
            <w:noWrap w:val="0"/>
            <w:vAlign w:val="center"/>
          </w:tcPr>
          <w:p>
            <w:pPr>
              <w:jc w:val="center"/>
              <w:rPr>
                <w:rFonts w:ascii="宋体" w:hAnsi="宋体"/>
                <w:szCs w:val="21"/>
              </w:rPr>
            </w:pPr>
            <w:r>
              <w:rPr>
                <w:rFonts w:hint="eastAsia" w:ascii="宋体" w:hAnsi="宋体"/>
                <w:szCs w:val="21"/>
              </w:rPr>
              <w:t>客观分</w:t>
            </w:r>
          </w:p>
        </w:tc>
        <w:tc>
          <w:tcPr>
            <w:tcW w:w="902" w:type="dxa"/>
            <w:noWrap w:val="0"/>
            <w:vAlign w:val="center"/>
          </w:tcPr>
          <w:p>
            <w:pPr>
              <w:jc w:val="center"/>
              <w:rPr>
                <w:rFonts w:ascii="宋体" w:hAnsi="宋体"/>
                <w:szCs w:val="21"/>
              </w:rPr>
            </w:pPr>
            <w:r>
              <w:rPr>
                <w:rFonts w:hint="eastAsia" w:ascii="宋体" w:hAnsi="宋体"/>
                <w:szCs w:val="21"/>
              </w:rPr>
              <w:t>/</w:t>
            </w:r>
          </w:p>
        </w:tc>
      </w:tr>
    </w:tbl>
    <w:p>
      <w:pPr>
        <w:pStyle w:val="4"/>
        <w:snapToGrid w:val="0"/>
        <w:spacing w:before="0" w:after="0" w:line="360" w:lineRule="auto"/>
        <w:rPr>
          <w:rFonts w:hint="eastAsia" w:ascii="宋体" w:hAnsi="宋体" w:cs="宋体"/>
          <w:sz w:val="24"/>
          <w:szCs w:val="24"/>
        </w:rPr>
      </w:pPr>
      <w:bookmarkStart w:id="105" w:name="_Toc3774"/>
      <w:r>
        <w:rPr>
          <w:rFonts w:hint="eastAsia" w:ascii="宋体" w:hAnsi="宋体" w:cs="宋体"/>
          <w:sz w:val="21"/>
          <w:szCs w:val="21"/>
        </w:rPr>
        <w:br w:type="page"/>
      </w:r>
      <w:bookmarkEnd w:id="105"/>
      <w:bookmarkStart w:id="106" w:name="_Toc13606"/>
      <w:bookmarkStart w:id="107" w:name="_Toc8884"/>
      <w:bookmarkStart w:id="108" w:name="_Toc15374"/>
      <w:bookmarkStart w:id="109" w:name="_Toc9443"/>
      <w:bookmarkStart w:id="110" w:name="_Toc90802064"/>
      <w:bookmarkStart w:id="111" w:name="_Toc91335908"/>
      <w:bookmarkStart w:id="112" w:name="_Toc92626317"/>
      <w:bookmarkStart w:id="113" w:name="_Toc90634929"/>
      <w:bookmarkStart w:id="114" w:name="_Toc31921"/>
      <w:bookmarkStart w:id="115" w:name="_Toc29670"/>
      <w:bookmarkStart w:id="116" w:name="_Toc4991"/>
      <w:bookmarkStart w:id="117" w:name="_Toc30671"/>
      <w:bookmarkStart w:id="118" w:name="_Toc14452"/>
      <w:r>
        <w:rPr>
          <w:rFonts w:hint="eastAsia" w:ascii="宋体" w:hAnsi="宋体" w:cs="宋体"/>
          <w:sz w:val="32"/>
          <w:szCs w:val="32"/>
        </w:rPr>
        <w:t>第五章  政府采购合同文本</w:t>
      </w:r>
      <w:bookmarkEnd w:id="106"/>
      <w:bookmarkEnd w:id="107"/>
      <w:bookmarkEnd w:id="108"/>
      <w:bookmarkEnd w:id="109"/>
    </w:p>
    <w:p>
      <w:pPr>
        <w:ind w:firstLine="1"/>
        <w:jc w:val="center"/>
        <w:rPr>
          <w:rFonts w:hint="eastAsia" w:ascii="黑体" w:hAnsi="黑体" w:eastAsia="黑体" w:cs="黑体"/>
          <w:b/>
          <w:w w:val="90"/>
          <w:sz w:val="32"/>
          <w:szCs w:val="32"/>
        </w:rPr>
      </w:pPr>
      <w:r>
        <w:rPr>
          <w:rFonts w:hint="eastAsia" w:ascii="宋体" w:hAnsi="宋体" w:cs="宋体"/>
          <w:b/>
          <w:sz w:val="28"/>
          <w:szCs w:val="28"/>
        </w:rPr>
        <w:t>采购合同书（仅供参考）</w:t>
      </w:r>
    </w:p>
    <w:p>
      <w:pPr>
        <w:pStyle w:val="169"/>
        <w:widowControl/>
        <w:spacing w:before="0" w:beforeLines="0" w:after="0" w:afterLines="0" w:line="360" w:lineRule="auto"/>
        <w:contextualSpacing/>
        <w:jc w:val="left"/>
        <w:rPr>
          <w:rFonts w:hint="eastAsia" w:hAnsi="宋体" w:cs="宋体"/>
          <w:b/>
          <w:sz w:val="21"/>
          <w:szCs w:val="21"/>
        </w:rPr>
      </w:pPr>
      <w:r>
        <w:rPr>
          <w:rFonts w:hint="eastAsia" w:hAnsi="宋体" w:cs="宋体"/>
          <w:b/>
          <w:sz w:val="21"/>
          <w:szCs w:val="21"/>
        </w:rPr>
        <w:t>（本合同条款为参考格式，具体由甲乙双方协商签订，与前款冲突之处以前款约定为准）</w:t>
      </w:r>
    </w:p>
    <w:p>
      <w:pPr>
        <w:pStyle w:val="169"/>
        <w:widowControl/>
        <w:spacing w:before="0" w:beforeLines="0" w:after="0" w:afterLines="0" w:line="360" w:lineRule="auto"/>
        <w:contextualSpacing/>
        <w:jc w:val="left"/>
        <w:rPr>
          <w:rFonts w:hint="eastAsia" w:hAnsi="宋体" w:cs="宋体"/>
          <w:sz w:val="21"/>
          <w:szCs w:val="21"/>
        </w:rPr>
      </w:pPr>
    </w:p>
    <w:p>
      <w:pPr>
        <w:spacing w:line="360" w:lineRule="atLeast"/>
        <w:rPr>
          <w:rFonts w:hint="eastAsia" w:ascii="宋体" w:hAnsi="宋体" w:cs="宋体"/>
          <w:szCs w:val="21"/>
        </w:rPr>
      </w:pPr>
      <w:r>
        <w:rPr>
          <w:rFonts w:hint="eastAsia" w:ascii="宋体" w:hAnsi="宋体" w:cs="宋体"/>
          <w:szCs w:val="21"/>
        </w:rPr>
        <w:t>甲方：</w:t>
      </w:r>
      <w:r>
        <w:rPr>
          <w:rFonts w:hint="eastAsia" w:ascii="宋体" w:hAnsi="宋体" w:cs="宋体"/>
          <w:szCs w:val="21"/>
          <w:u w:val="single"/>
        </w:rPr>
        <w:t xml:space="preserve">                          </w:t>
      </w:r>
      <w:r>
        <w:rPr>
          <w:rFonts w:hint="eastAsia" w:ascii="宋体" w:hAnsi="宋体" w:cs="宋体"/>
          <w:szCs w:val="21"/>
        </w:rPr>
        <w:t>（以下简称甲方）</w:t>
      </w:r>
    </w:p>
    <w:p>
      <w:pPr>
        <w:spacing w:line="360" w:lineRule="atLeast"/>
        <w:rPr>
          <w:rFonts w:hint="eastAsia" w:ascii="宋体" w:hAnsi="宋体" w:cs="宋体"/>
          <w:szCs w:val="21"/>
        </w:rPr>
      </w:pPr>
      <w:r>
        <w:rPr>
          <w:rFonts w:hint="eastAsia" w:ascii="宋体" w:hAnsi="宋体" w:cs="宋体"/>
          <w:szCs w:val="21"/>
        </w:rPr>
        <w:t>乙方：</w:t>
      </w:r>
      <w:r>
        <w:rPr>
          <w:rFonts w:hint="eastAsia" w:ascii="宋体" w:hAnsi="宋体" w:cs="宋体"/>
          <w:szCs w:val="21"/>
          <w:u w:val="single"/>
        </w:rPr>
        <w:t xml:space="preserve">                          </w:t>
      </w:r>
      <w:r>
        <w:rPr>
          <w:rFonts w:hint="eastAsia" w:ascii="宋体" w:hAnsi="宋体" w:cs="宋体"/>
          <w:szCs w:val="21"/>
        </w:rPr>
        <w:t>（以下简称乙方）</w:t>
      </w:r>
    </w:p>
    <w:p>
      <w:pPr>
        <w:spacing w:line="360" w:lineRule="atLeast"/>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根据《中华人民共和国政府采购法》、《中华人民共和国政府采购法实施条例》、《政府采购货物和服务招标投标管理办法》等法律法规，</w:t>
      </w:r>
      <w:r>
        <w:rPr>
          <w:rFonts w:hint="eastAsia" w:ascii="宋体" w:hAnsi="宋体" w:cs="宋体"/>
          <w:szCs w:val="21"/>
          <w:u w:val="single"/>
        </w:rPr>
        <w:t>项目名称（项目编号：）</w:t>
      </w:r>
      <w:r>
        <w:rPr>
          <w:rFonts w:hint="eastAsia" w:ascii="宋体" w:hAnsi="宋体" w:cs="宋体"/>
          <w:szCs w:val="21"/>
        </w:rPr>
        <w:t xml:space="preserve">于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日，在宁波市鄞州区公共资源交易中心进行公开招标，确定由乙方中标。按照《中华人民共和国民法典》的有关规定，在自愿、平等、公平、诚信的基础上，经双方协商一致，签订本合同。</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下述文件作为附件，是合同的一部分，并与本合同一起阅读和解释：</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a.采购文件；</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b.投标文件及澄清文件；</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c.中标通知书；</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上述文件与合同若有不一致之处，优先次序第一应为合同、第二应为附件(附件的优先次序为 c,b,a)。</w:t>
      </w:r>
    </w:p>
    <w:p>
      <w:pPr>
        <w:pStyle w:val="26"/>
        <w:spacing w:before="0" w:beforeLines="0" w:after="0" w:afterLines="0" w:line="360" w:lineRule="auto"/>
        <w:rPr>
          <w:rFonts w:hint="eastAsia" w:hAnsi="宋体" w:cs="宋体"/>
          <w:b/>
          <w:sz w:val="21"/>
          <w:szCs w:val="21"/>
        </w:rPr>
      </w:pPr>
      <w:r>
        <w:rPr>
          <w:rFonts w:hint="eastAsia" w:hAnsi="宋体" w:cs="宋体"/>
          <w:b/>
          <w:sz w:val="21"/>
          <w:szCs w:val="21"/>
        </w:rPr>
        <w:t>一、项目名称、服务期限、服务内容</w:t>
      </w:r>
    </w:p>
    <w:p>
      <w:pPr>
        <w:pStyle w:val="26"/>
        <w:spacing w:before="0" w:beforeLines="0" w:after="0" w:afterLines="0" w:line="360" w:lineRule="auto"/>
        <w:rPr>
          <w:rFonts w:hint="eastAsia" w:hAnsi="宋体" w:cs="宋体"/>
          <w:bCs/>
          <w:sz w:val="21"/>
          <w:szCs w:val="21"/>
        </w:rPr>
      </w:pPr>
      <w:r>
        <w:rPr>
          <w:rFonts w:hint="eastAsia" w:hAnsi="宋体" w:cs="宋体"/>
          <w:bCs/>
          <w:sz w:val="21"/>
          <w:szCs w:val="21"/>
        </w:rPr>
        <w:t>1.1项目名称：潘火街道2024-2026年度绿化养护服务及零星整改提升项目</w:t>
      </w:r>
    </w:p>
    <w:p>
      <w:pPr>
        <w:pStyle w:val="26"/>
        <w:spacing w:before="0" w:beforeLines="0" w:after="0" w:afterLines="0" w:line="360" w:lineRule="auto"/>
        <w:rPr>
          <w:rFonts w:hint="eastAsia" w:hAnsi="宋体" w:cs="宋体"/>
          <w:bCs/>
          <w:sz w:val="21"/>
          <w:szCs w:val="21"/>
        </w:rPr>
      </w:pPr>
      <w:r>
        <w:rPr>
          <w:rFonts w:hint="eastAsia" w:hAnsi="宋体" w:cs="宋体"/>
          <w:bCs/>
          <w:sz w:val="21"/>
          <w:szCs w:val="21"/>
        </w:rPr>
        <w:t>1.2养护范围：</w:t>
      </w:r>
    </w:p>
    <w:p>
      <w:pPr>
        <w:pStyle w:val="26"/>
        <w:spacing w:before="0" w:beforeLines="0" w:after="0" w:afterLines="0" w:line="360" w:lineRule="auto"/>
        <w:rPr>
          <w:rFonts w:hAnsi="宋体" w:cs="宋体"/>
          <w:bCs/>
          <w:sz w:val="21"/>
          <w:szCs w:val="21"/>
        </w:rPr>
      </w:pPr>
      <w:r>
        <w:rPr>
          <w:rFonts w:hint="eastAsia" w:hAnsi="宋体" w:cs="宋体"/>
          <w:bCs/>
          <w:sz w:val="21"/>
          <w:szCs w:val="21"/>
        </w:rPr>
        <w:t>1.3养护管理内容：</w:t>
      </w:r>
    </w:p>
    <w:p>
      <w:pPr>
        <w:pStyle w:val="26"/>
        <w:spacing w:before="0" w:beforeLines="0" w:after="0" w:afterLines="0" w:line="360" w:lineRule="auto"/>
        <w:rPr>
          <w:rFonts w:hint="eastAsia" w:hAnsi="宋体" w:cs="宋体"/>
          <w:bCs/>
          <w:sz w:val="21"/>
          <w:szCs w:val="21"/>
        </w:rPr>
      </w:pPr>
      <w:r>
        <w:rPr>
          <w:rFonts w:hint="eastAsia" w:hAnsi="宋体" w:cs="宋体"/>
          <w:bCs/>
          <w:sz w:val="21"/>
          <w:szCs w:val="21"/>
        </w:rPr>
        <w:t>日常巡查管理、绿化养护[乔木、灌木、草坪、地被、水生植物、立体绿化、草本花卉、行道树、黑麦草、花境等植物的日常养护（包括水肥管理、中耕除草、培土、修剪整形、补植涂白、病虫害防治等）]、苗木补植、部分绿地保洁（园路、铺装、广场等）、绿化垃圾处置、配套设施维护、应急或突发事件处理、抗台防汛、冰冻雪灾、重大活动保障等涉及绿化养护、绿地管理等一系列工作。</w:t>
      </w:r>
    </w:p>
    <w:p>
      <w:pPr>
        <w:spacing w:line="360" w:lineRule="auto"/>
        <w:contextualSpacing/>
        <w:rPr>
          <w:rFonts w:ascii="宋体" w:hAnsi="宋体" w:cs="宋体"/>
          <w:b/>
          <w:snapToGrid w:val="0"/>
          <w:szCs w:val="21"/>
        </w:rPr>
      </w:pPr>
      <w:r>
        <w:rPr>
          <w:rFonts w:hint="eastAsia" w:ascii="宋体" w:hAnsi="宋体" w:cs="宋体"/>
          <w:b/>
          <w:snapToGrid w:val="0"/>
          <w:szCs w:val="21"/>
        </w:rPr>
        <w:t>二、服务期限</w:t>
      </w:r>
    </w:p>
    <w:p>
      <w:pPr>
        <w:spacing w:line="360" w:lineRule="auto"/>
        <w:ind w:firstLine="420" w:firstLineChars="200"/>
        <w:contextualSpacing/>
        <w:rPr>
          <w:rFonts w:ascii="宋体" w:hAnsi="宋体" w:cs="宋体"/>
          <w:szCs w:val="21"/>
        </w:rPr>
      </w:pPr>
      <w:r>
        <w:rPr>
          <w:rFonts w:hint="eastAsia" w:ascii="宋体" w:hAnsi="宋体" w:cs="宋体"/>
          <w:szCs w:val="21"/>
        </w:rPr>
        <w:t>三年，合同一年一签。采购人根据中标单位在上一年合同履行期间考核情况及资金审批情况决定是否续签。</w:t>
      </w:r>
    </w:p>
    <w:p>
      <w:pPr>
        <w:spacing w:line="360" w:lineRule="auto"/>
        <w:ind w:firstLine="420" w:firstLineChars="200"/>
        <w:contextualSpacing/>
        <w:rPr>
          <w:rFonts w:ascii="宋体" w:hAnsi="宋体" w:cs="宋体"/>
          <w:szCs w:val="21"/>
        </w:rPr>
      </w:pPr>
      <w:r>
        <w:rPr>
          <w:rFonts w:hint="eastAsia" w:ascii="宋体" w:hAnsi="宋体" w:cs="宋体"/>
          <w:szCs w:val="21"/>
        </w:rPr>
        <w:t>服务期限从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日止。</w:t>
      </w:r>
    </w:p>
    <w:p>
      <w:pPr>
        <w:spacing w:line="360" w:lineRule="auto"/>
        <w:contextualSpacing/>
        <w:rPr>
          <w:rFonts w:ascii="宋体" w:hAnsi="宋体" w:cs="宋体"/>
          <w:b/>
          <w:snapToGrid w:val="0"/>
          <w:szCs w:val="21"/>
        </w:rPr>
      </w:pPr>
      <w:r>
        <w:rPr>
          <w:rFonts w:hint="eastAsia" w:ascii="宋体" w:hAnsi="宋体" w:cs="宋体"/>
          <w:b/>
          <w:snapToGrid w:val="0"/>
          <w:szCs w:val="21"/>
        </w:rPr>
        <w:t>三、合同总价</w:t>
      </w:r>
    </w:p>
    <w:p>
      <w:pPr>
        <w:pStyle w:val="26"/>
        <w:spacing w:before="0" w:beforeLines="0" w:after="0" w:afterLines="0" w:line="360" w:lineRule="auto"/>
        <w:rPr>
          <w:rFonts w:hint="eastAsia" w:hAnsi="宋体" w:cs="宋体"/>
          <w:b/>
          <w:bCs/>
          <w:sz w:val="21"/>
          <w:szCs w:val="21"/>
        </w:rPr>
      </w:pPr>
      <w:r>
        <w:rPr>
          <w:rFonts w:hint="eastAsia" w:hAnsi="宋体" w:cs="宋体"/>
          <w:b/>
          <w:bCs/>
          <w:sz w:val="21"/>
          <w:szCs w:val="21"/>
        </w:rPr>
        <w:t>1、本合同总价为</w:t>
      </w:r>
      <w:r>
        <w:rPr>
          <w:rFonts w:hint="eastAsia" w:hAnsi="宋体" w:cs="宋体"/>
          <w:b/>
          <w:bCs/>
          <w:sz w:val="21"/>
          <w:szCs w:val="21"/>
          <w:u w:val="single"/>
        </w:rPr>
        <w:t xml:space="preserve">       </w:t>
      </w:r>
      <w:r>
        <w:rPr>
          <w:rFonts w:hint="eastAsia" w:hAnsi="宋体" w:cs="宋体"/>
          <w:b/>
          <w:bCs/>
          <w:sz w:val="21"/>
          <w:szCs w:val="21"/>
        </w:rPr>
        <w:t>元/年。</w:t>
      </w:r>
    </w:p>
    <w:p>
      <w:pPr>
        <w:pStyle w:val="26"/>
        <w:spacing w:before="0" w:beforeLines="0" w:after="0" w:afterLines="0" w:line="360" w:lineRule="auto"/>
        <w:rPr>
          <w:rFonts w:hint="eastAsia" w:hAnsi="宋体" w:cs="宋体"/>
          <w:bCs/>
          <w:sz w:val="21"/>
          <w:szCs w:val="21"/>
        </w:rPr>
      </w:pPr>
      <w:r>
        <w:rPr>
          <w:rFonts w:hint="eastAsia" w:hAnsi="宋体" w:cs="宋体"/>
          <w:bCs/>
          <w:sz w:val="21"/>
          <w:szCs w:val="21"/>
        </w:rPr>
        <w:t>2、合同总价须含：所有工作人员工资｛包括人员基本工资、各类福利和补贴（如高温补贴、加班补贴等）、社保、人身意外保险等｝，人员工作服，所有作业机械、工具维护费用，各类绿化播种、养护、待移交绿地（行道树）养护、暂列金，年度水费金额，防汛防台等应急费用，管理费、人员培训费、绿化垃圾处置费，税金，利润等其他一切完成本项目绿化养护服务所需的费用。</w:t>
      </w:r>
    </w:p>
    <w:p>
      <w:pPr>
        <w:spacing w:line="360" w:lineRule="auto"/>
        <w:rPr>
          <w:rFonts w:hint="eastAsia" w:ascii="Tahoma" w:hAnsi="Tahoma"/>
          <w:b/>
          <w:szCs w:val="21"/>
        </w:rPr>
      </w:pPr>
      <w:r>
        <w:rPr>
          <w:rFonts w:hint="eastAsia" w:ascii="Tahoma" w:hAnsi="Tahoma"/>
          <w:b/>
          <w:szCs w:val="21"/>
        </w:rPr>
        <w:t>四、付款方式</w:t>
      </w:r>
    </w:p>
    <w:p>
      <w:pPr>
        <w:spacing w:line="360" w:lineRule="auto"/>
        <w:rPr>
          <w:rFonts w:hint="eastAsia" w:ascii="宋体" w:hAnsi="宋体" w:cs="宋体"/>
          <w:bCs/>
          <w:szCs w:val="21"/>
        </w:rPr>
      </w:pPr>
      <w:r>
        <w:rPr>
          <w:rFonts w:hint="eastAsia" w:ascii="宋体" w:hAnsi="宋体" w:cs="宋体"/>
          <w:bCs/>
          <w:szCs w:val="21"/>
        </w:rPr>
        <w:t>1、每两个月拨付一次，每月的服务经费金额与当月的考核结果相挂钩。每月核拨基准额度=合同总价/12，甲方每月按考核评分表进行评分，考核结果直接与月度养护经费挂钩。每两个月考核后，由甲方核拨给乙方。</w:t>
      </w:r>
    </w:p>
    <w:p>
      <w:pPr>
        <w:spacing w:line="360" w:lineRule="auto"/>
        <w:rPr>
          <w:rFonts w:hint="eastAsia" w:ascii="宋体" w:hAnsi="宋体" w:cs="宋体"/>
          <w:bCs/>
          <w:szCs w:val="21"/>
        </w:rPr>
      </w:pPr>
      <w:r>
        <w:rPr>
          <w:rFonts w:hint="eastAsia" w:ascii="宋体" w:hAnsi="宋体" w:cs="宋体"/>
          <w:bCs/>
          <w:szCs w:val="21"/>
        </w:rPr>
        <w:t>具体按下列标准根据考核得分核拨经费：</w:t>
      </w:r>
    </w:p>
    <w:p>
      <w:pPr>
        <w:spacing w:line="360" w:lineRule="auto"/>
        <w:rPr>
          <w:rFonts w:hint="eastAsia" w:ascii="宋体" w:hAnsi="宋体" w:cs="宋体"/>
          <w:bCs/>
          <w:szCs w:val="21"/>
        </w:rPr>
      </w:pPr>
      <w:r>
        <w:rPr>
          <w:rFonts w:hint="eastAsia" w:ascii="宋体" w:hAnsi="宋体" w:cs="宋体"/>
          <w:bCs/>
          <w:szCs w:val="21"/>
        </w:rPr>
        <w:t>（1）考核分在91（含）分及以上为优秀，全额核拨月度养护经费。</w:t>
      </w:r>
    </w:p>
    <w:p>
      <w:pPr>
        <w:spacing w:line="360" w:lineRule="auto"/>
        <w:rPr>
          <w:rFonts w:hint="eastAsia" w:ascii="宋体" w:hAnsi="宋体" w:cs="宋体"/>
          <w:bCs/>
          <w:szCs w:val="21"/>
        </w:rPr>
      </w:pPr>
      <w:r>
        <w:rPr>
          <w:rFonts w:hint="eastAsia" w:ascii="宋体" w:hAnsi="宋体" w:cs="宋体"/>
          <w:bCs/>
          <w:szCs w:val="21"/>
        </w:rPr>
        <w:t>（2）考核分在90（含）- 86分（含）之间为良好，以91分为基准，每下降1分，扣月度养护经费的1%。</w:t>
      </w:r>
    </w:p>
    <w:p>
      <w:pPr>
        <w:spacing w:line="360" w:lineRule="auto"/>
        <w:rPr>
          <w:rFonts w:hint="eastAsia" w:ascii="宋体" w:hAnsi="宋体" w:cs="宋体"/>
          <w:bCs/>
          <w:szCs w:val="21"/>
        </w:rPr>
      </w:pPr>
      <w:r>
        <w:rPr>
          <w:rFonts w:hint="eastAsia" w:ascii="宋体" w:hAnsi="宋体" w:cs="宋体"/>
          <w:bCs/>
          <w:szCs w:val="21"/>
        </w:rPr>
        <w:t>（3）考核分在85（含）- -81分（含）为合格，以86分为基准，每下降1分，扣月度养护经费的2%。</w:t>
      </w:r>
    </w:p>
    <w:p>
      <w:pPr>
        <w:spacing w:line="360" w:lineRule="auto"/>
        <w:rPr>
          <w:rFonts w:hint="eastAsia" w:ascii="宋体" w:hAnsi="宋体" w:cs="宋体"/>
          <w:bCs/>
          <w:szCs w:val="21"/>
        </w:rPr>
      </w:pPr>
      <w:r>
        <w:rPr>
          <w:rFonts w:hint="eastAsia" w:ascii="宋体" w:hAnsi="宋体" w:cs="宋体"/>
          <w:bCs/>
          <w:szCs w:val="21"/>
        </w:rPr>
        <w:t>（4）考核分在80分及以下为不合格</w:t>
      </w:r>
      <w:r>
        <w:rPr>
          <w:rFonts w:hint="eastAsia" w:ascii="宋体" w:hAnsi="宋体" w:cs="宋体"/>
          <w:bCs/>
          <w:color w:val="000000"/>
          <w:szCs w:val="21"/>
        </w:rPr>
        <w:t>，</w:t>
      </w:r>
      <w:r>
        <w:rPr>
          <w:rFonts w:hint="eastAsia" w:ascii="宋体" w:hAnsi="宋体" w:cs="宋体"/>
          <w:color w:val="000000"/>
          <w:szCs w:val="21"/>
        </w:rPr>
        <w:t>核拨月度养护经费的70%，扣除的金额不再拨付</w:t>
      </w:r>
      <w:r>
        <w:rPr>
          <w:rFonts w:hint="eastAsia" w:ascii="宋体" w:hAnsi="宋体" w:cs="宋体"/>
          <w:bCs/>
          <w:color w:val="000000"/>
          <w:szCs w:val="21"/>
        </w:rPr>
        <w:t>。</w:t>
      </w:r>
    </w:p>
    <w:p>
      <w:pPr>
        <w:spacing w:line="360" w:lineRule="auto"/>
        <w:rPr>
          <w:rFonts w:hint="eastAsia" w:ascii="宋体" w:hAnsi="宋体" w:cs="宋体"/>
          <w:bCs/>
          <w:szCs w:val="21"/>
        </w:rPr>
      </w:pPr>
      <w:r>
        <w:rPr>
          <w:rFonts w:hint="eastAsia" w:ascii="宋体" w:hAnsi="宋体" w:cs="宋体"/>
          <w:bCs/>
          <w:szCs w:val="21"/>
        </w:rPr>
        <w:t>（5）甲方每月按考核评分表内的各分类分项进行评分，每月考核总得分=所有类别得分×各类别占比。</w:t>
      </w:r>
    </w:p>
    <w:p>
      <w:pPr>
        <w:spacing w:line="360" w:lineRule="auto"/>
        <w:rPr>
          <w:rFonts w:hint="eastAsia" w:ascii="宋体" w:hAnsi="宋体" w:cs="宋体"/>
          <w:bCs/>
          <w:szCs w:val="21"/>
        </w:rPr>
      </w:pPr>
      <w:r>
        <w:rPr>
          <w:rFonts w:hint="eastAsia" w:ascii="宋体" w:hAnsi="宋体" w:cs="宋体"/>
          <w:bCs/>
          <w:szCs w:val="21"/>
        </w:rPr>
        <w:t>2、根据平常检查情况和每月考核得分结果，将综合情况与评优评先及下一年度养护合同续签挂钩。</w:t>
      </w:r>
    </w:p>
    <w:p>
      <w:pPr>
        <w:spacing w:line="360" w:lineRule="auto"/>
        <w:rPr>
          <w:rFonts w:hint="eastAsia" w:ascii="宋体" w:hAnsi="宋体" w:cs="宋体"/>
          <w:bCs/>
          <w:szCs w:val="21"/>
        </w:rPr>
      </w:pPr>
      <w:r>
        <w:rPr>
          <w:rFonts w:hint="eastAsia" w:ascii="宋体" w:hAnsi="宋体" w:cs="宋体"/>
          <w:bCs/>
          <w:szCs w:val="21"/>
        </w:rPr>
        <w:t>3、年度养护结束发现因乙方养护不力而导致乔木死亡的，乙方必须及时适时按同品种同规格进行补种。确因实际情况，经甲方同意确认需更换品种或规格的，按宁波市当月苗木市场信息价的补差进行扣款。</w:t>
      </w:r>
    </w:p>
    <w:p>
      <w:pPr>
        <w:spacing w:line="360" w:lineRule="auto"/>
        <w:rPr>
          <w:rFonts w:hint="eastAsia" w:ascii="宋体" w:hAnsi="宋体" w:cs="宋体"/>
          <w:bCs/>
          <w:szCs w:val="21"/>
        </w:rPr>
      </w:pPr>
      <w:r>
        <w:rPr>
          <w:rFonts w:hint="eastAsia" w:ascii="宋体" w:hAnsi="宋体" w:cs="宋体"/>
          <w:bCs/>
          <w:szCs w:val="21"/>
        </w:rPr>
        <w:t>4、施肥视植物生长状况合理作业。一般绿地内乔、灌、草、地被植物等保证每年施有机肥或者复合肥2-3次，个别品种如黑麦草、时令草花及一些开花乔、灌木做好适时追肥工作。肥料年用量不得少于计划量。乙方需及时上报施肥计划并提早一天通知甲方具体的施肥作业安排，甲方考核人员在施肥期间根据乙方的计划安排现场核实确认，以签证联系单的形式检查施肥作业工作，包括施肥范围、面积、用量等内容。如不达标，则根据考核办法、采购文件要求及中标响应中明确的肥料经费中扣除。</w:t>
      </w:r>
    </w:p>
    <w:p>
      <w:pPr>
        <w:spacing w:line="360" w:lineRule="auto"/>
        <w:rPr>
          <w:rFonts w:hint="eastAsia" w:ascii="宋体" w:hAnsi="宋体" w:cs="宋体"/>
          <w:bCs/>
          <w:szCs w:val="21"/>
        </w:rPr>
      </w:pPr>
      <w:r>
        <w:rPr>
          <w:rFonts w:hint="eastAsia" w:ascii="宋体" w:hAnsi="宋体" w:cs="宋体"/>
          <w:bCs/>
          <w:szCs w:val="21"/>
        </w:rPr>
        <w:t>5、中标人应根据树种特性、季节特点，及时做好相关的病虫害防治工作，规范操作。如不达标，则根据考核办法扣罚。</w:t>
      </w:r>
    </w:p>
    <w:p>
      <w:pPr>
        <w:spacing w:line="360" w:lineRule="auto"/>
        <w:rPr>
          <w:rFonts w:hint="eastAsia" w:ascii="宋体" w:hAnsi="宋体" w:cs="宋体"/>
          <w:bCs/>
          <w:szCs w:val="21"/>
        </w:rPr>
      </w:pPr>
      <w:r>
        <w:rPr>
          <w:rFonts w:hint="eastAsia" w:ascii="宋体" w:hAnsi="宋体" w:cs="宋体"/>
          <w:bCs/>
          <w:szCs w:val="21"/>
        </w:rPr>
        <w:t>6、企业退出机制</w:t>
      </w:r>
    </w:p>
    <w:p>
      <w:pPr>
        <w:spacing w:line="360" w:lineRule="auto"/>
        <w:rPr>
          <w:rFonts w:hint="eastAsia" w:ascii="宋体" w:hAnsi="宋体" w:cs="宋体"/>
          <w:bCs/>
          <w:szCs w:val="21"/>
        </w:rPr>
      </w:pPr>
      <w:r>
        <w:rPr>
          <w:rFonts w:hint="eastAsia" w:ascii="宋体" w:hAnsi="宋体" w:cs="宋体"/>
          <w:bCs/>
          <w:szCs w:val="21"/>
        </w:rPr>
        <w:t>（1）年度考核累计两次不合格。</w:t>
      </w:r>
    </w:p>
    <w:p>
      <w:pPr>
        <w:spacing w:line="360" w:lineRule="auto"/>
        <w:rPr>
          <w:rFonts w:hint="eastAsia" w:ascii="宋体" w:hAnsi="宋体" w:cs="宋体"/>
          <w:bCs/>
          <w:szCs w:val="21"/>
        </w:rPr>
      </w:pPr>
      <w:r>
        <w:rPr>
          <w:rFonts w:hint="eastAsia" w:ascii="宋体" w:hAnsi="宋体" w:cs="宋体"/>
          <w:bCs/>
          <w:szCs w:val="21"/>
        </w:rPr>
        <w:t>（2）非自然原因造成绿地设施重大损失（具体根据养护合同内规定）。</w:t>
      </w:r>
    </w:p>
    <w:p>
      <w:pPr>
        <w:pStyle w:val="7"/>
        <w:spacing w:line="360" w:lineRule="auto"/>
        <w:ind w:firstLine="0"/>
        <w:rPr>
          <w:rFonts w:hint="eastAsia" w:ascii="宋体" w:hAnsi="宋体" w:cs="宋体"/>
          <w:bCs/>
          <w:szCs w:val="21"/>
        </w:rPr>
      </w:pPr>
      <w:r>
        <w:rPr>
          <w:rFonts w:hint="eastAsia" w:ascii="宋体" w:hAnsi="宋体" w:cs="宋体"/>
          <w:bCs/>
          <w:szCs w:val="21"/>
        </w:rPr>
        <w:t>7、未按招标要求进行养护服务且情节严重的，第一次警告，第二次约谈，第三次仍未达标的，采购人有权解除合同。</w:t>
      </w:r>
    </w:p>
    <w:p>
      <w:pPr>
        <w:pStyle w:val="7"/>
        <w:spacing w:line="360" w:lineRule="auto"/>
        <w:ind w:firstLine="0"/>
        <w:rPr>
          <w:rFonts w:hint="eastAsia" w:ascii="宋体" w:hAnsi="宋体" w:cs="宋体"/>
          <w:bCs/>
        </w:rPr>
      </w:pPr>
      <w:r>
        <w:rPr>
          <w:rFonts w:hint="eastAsia" w:ascii="宋体" w:hAnsi="宋体" w:cs="宋体"/>
          <w:bCs/>
        </w:rPr>
        <w:t>8、退红区域清理杂草、修剪的养护费用在投标报价中考虑，不再另行计取；补种费用另行计取。</w:t>
      </w:r>
    </w:p>
    <w:p>
      <w:pPr>
        <w:pStyle w:val="26"/>
        <w:spacing w:before="0" w:beforeLines="0" w:after="0" w:afterLines="0" w:line="360" w:lineRule="auto"/>
        <w:ind w:left="358" w:hanging="358" w:hangingChars="170"/>
        <w:rPr>
          <w:rFonts w:hint="eastAsia" w:hAnsi="宋体" w:cs="宋体"/>
          <w:b/>
          <w:sz w:val="21"/>
          <w:szCs w:val="21"/>
        </w:rPr>
      </w:pPr>
      <w:r>
        <w:rPr>
          <w:rFonts w:hint="eastAsia" w:hAnsi="宋体" w:cs="宋体"/>
          <w:b/>
          <w:sz w:val="21"/>
          <w:szCs w:val="21"/>
        </w:rPr>
        <w:t>五、零星整改提升项目</w:t>
      </w:r>
    </w:p>
    <w:p>
      <w:pPr>
        <w:pStyle w:val="7"/>
        <w:spacing w:line="360" w:lineRule="auto"/>
        <w:ind w:firstLine="0"/>
        <w:rPr>
          <w:rFonts w:ascii="宋体" w:hAnsi="宋体" w:cs="宋体"/>
          <w:bCs/>
        </w:rPr>
      </w:pPr>
      <w:r>
        <w:rPr>
          <w:rFonts w:hint="eastAsia" w:ascii="宋体" w:hAnsi="宋体" w:cs="宋体"/>
          <w:bCs/>
        </w:rPr>
        <w:t>1、实施范围：潘火街道辖区内零星绿化、绿地整改提升、栽植花木、大树迁移及景观小品整治等工程施工且单个合同10万以内（本项目养护区域以外的零星整改提升项目，具体实施的项目以发包人的书面通知为准）。</w:t>
      </w:r>
    </w:p>
    <w:p>
      <w:pPr>
        <w:pStyle w:val="7"/>
        <w:spacing w:line="360" w:lineRule="auto"/>
        <w:ind w:firstLine="0"/>
        <w:rPr>
          <w:rFonts w:ascii="宋体" w:hAnsi="宋体" w:cs="宋体"/>
          <w:bCs/>
        </w:rPr>
      </w:pPr>
      <w:r>
        <w:rPr>
          <w:rFonts w:hint="eastAsia" w:ascii="宋体" w:hAnsi="宋体" w:cs="宋体"/>
          <w:bCs/>
        </w:rPr>
        <w:t>2、暂估金额：年度费用限价100万元，本暂估金额在投标报价时不得更改。</w:t>
      </w:r>
    </w:p>
    <w:p>
      <w:pPr>
        <w:pStyle w:val="7"/>
        <w:spacing w:line="360" w:lineRule="auto"/>
        <w:ind w:firstLine="0"/>
        <w:rPr>
          <w:rFonts w:ascii="宋体" w:hAnsi="宋体" w:cs="宋体"/>
          <w:bCs/>
        </w:rPr>
      </w:pPr>
      <w:r>
        <w:rPr>
          <w:rFonts w:hint="eastAsia" w:ascii="宋体" w:hAnsi="宋体" w:cs="宋体"/>
          <w:bCs/>
        </w:rPr>
        <w:t>3、结算依据：</w:t>
      </w:r>
    </w:p>
    <w:p>
      <w:pPr>
        <w:pStyle w:val="7"/>
        <w:spacing w:line="360" w:lineRule="auto"/>
        <w:ind w:firstLine="0"/>
        <w:rPr>
          <w:rFonts w:ascii="宋体" w:hAnsi="宋体" w:cs="宋体"/>
          <w:bCs/>
        </w:rPr>
      </w:pPr>
      <w:r>
        <w:rPr>
          <w:rFonts w:hint="eastAsia" w:ascii="宋体" w:hAnsi="宋体" w:cs="宋体"/>
          <w:bCs/>
        </w:rPr>
        <w:t>3.1计价规范：《浙江省园林绿化及仿古建筑工程预算定额》（2018版）、《浙江省市政工程预算定额（2018版）》、《浙江省安装工程预算定额（2018版）》、《浙江省房屋建筑与装饰工程预算定额（2018版）》、《浙江省建设工程计价规则（2018版）、《浙江省施工机械台班费用参考单价（2018版）》、《建设工程工程量清单计价规范》（GB50500-2013）、《浙江省建设工程工程量清单计价指引（2013版）》、《宁波市建设工程造价信息》综合版、《浙江造价信息》及省、市造价文件{含浙建建发（2019）92号文件，采用一般计税法。}，如有新文件颁发，则根据新文件执行。</w:t>
      </w:r>
    </w:p>
    <w:p>
      <w:pPr>
        <w:pStyle w:val="7"/>
        <w:spacing w:line="360" w:lineRule="auto"/>
        <w:ind w:firstLine="0"/>
        <w:rPr>
          <w:rFonts w:ascii="宋体" w:hAnsi="宋体" w:cs="宋体"/>
          <w:bCs/>
        </w:rPr>
      </w:pPr>
      <w:r>
        <w:rPr>
          <w:rFonts w:hint="eastAsia" w:ascii="宋体" w:hAnsi="宋体" w:cs="宋体"/>
          <w:bCs/>
        </w:rPr>
        <w:t>3.2材料价格：</w:t>
      </w:r>
      <w:r>
        <w:rPr>
          <w:rFonts w:hint="eastAsia" w:ascii="宋体" w:hAnsi="宋体" w:cs="宋体"/>
          <w:bCs/>
        </w:rPr>
        <w:fldChar w:fldCharType="begin"/>
      </w:r>
      <w:r>
        <w:rPr>
          <w:rFonts w:hint="eastAsia" w:ascii="宋体" w:hAnsi="宋体" w:cs="宋体"/>
          <w:bCs/>
        </w:rPr>
        <w:instrText xml:space="preserve"> = 1 \* GB3 </w:instrText>
      </w:r>
      <w:r>
        <w:rPr>
          <w:rFonts w:hint="eastAsia" w:ascii="宋体" w:hAnsi="宋体" w:cs="宋体"/>
          <w:bCs/>
        </w:rPr>
        <w:fldChar w:fldCharType="separate"/>
      </w:r>
      <w:r>
        <w:rPr>
          <w:rFonts w:hint="eastAsia" w:ascii="宋体" w:hAnsi="宋体" w:cs="宋体"/>
          <w:bCs/>
        </w:rPr>
        <w:t>①</w:t>
      </w:r>
      <w:r>
        <w:rPr>
          <w:rFonts w:hint="eastAsia" w:ascii="宋体" w:hAnsi="宋体" w:cs="宋体"/>
          <w:bCs/>
        </w:rPr>
        <w:fldChar w:fldCharType="end"/>
      </w:r>
      <w:r>
        <w:rPr>
          <w:rFonts w:hint="eastAsia" w:ascii="宋体" w:hAnsi="宋体" w:cs="宋体"/>
          <w:bCs/>
        </w:rPr>
        <w:t>材料价格期刊：按发包人（或监理人）发出开工令（开工报告）上的开工时间的材料期刊价格为准；</w:t>
      </w:r>
      <w:r>
        <w:rPr>
          <w:rFonts w:hint="eastAsia" w:ascii="宋体" w:hAnsi="宋体" w:cs="宋体"/>
          <w:bCs/>
        </w:rPr>
        <w:fldChar w:fldCharType="begin"/>
      </w:r>
      <w:r>
        <w:rPr>
          <w:rFonts w:hint="eastAsia" w:ascii="宋体" w:hAnsi="宋体" w:cs="宋体"/>
          <w:bCs/>
        </w:rPr>
        <w:instrText xml:space="preserve"> = 2 \* GB3 </w:instrText>
      </w:r>
      <w:r>
        <w:rPr>
          <w:rFonts w:hint="eastAsia" w:ascii="宋体" w:hAnsi="宋体" w:cs="宋体"/>
          <w:bCs/>
        </w:rPr>
        <w:fldChar w:fldCharType="separate"/>
      </w:r>
      <w:r>
        <w:rPr>
          <w:rFonts w:hint="eastAsia" w:ascii="宋体" w:hAnsi="宋体" w:cs="宋体"/>
          <w:bCs/>
        </w:rPr>
        <w:t>②</w:t>
      </w:r>
      <w:r>
        <w:rPr>
          <w:rFonts w:hint="eastAsia" w:ascii="宋体" w:hAnsi="宋体" w:cs="宋体"/>
          <w:bCs/>
        </w:rPr>
        <w:fldChar w:fldCharType="end"/>
      </w:r>
      <w:r>
        <w:rPr>
          <w:rFonts w:hint="eastAsia" w:ascii="宋体" w:hAnsi="宋体" w:cs="宋体"/>
          <w:bCs/>
        </w:rPr>
        <w:t>材料计价顺序：《宁波市建设工程造价信息》(综合版)、《浙江造价信息》、市场询价。注：材料价格均为除税价。</w:t>
      </w:r>
    </w:p>
    <w:p>
      <w:pPr>
        <w:pStyle w:val="7"/>
        <w:spacing w:line="360" w:lineRule="auto"/>
        <w:ind w:firstLine="0"/>
        <w:rPr>
          <w:rFonts w:ascii="宋体" w:hAnsi="宋体" w:cs="宋体"/>
          <w:bCs/>
        </w:rPr>
      </w:pPr>
      <w:r>
        <w:rPr>
          <w:rFonts w:hint="eastAsia" w:ascii="宋体" w:hAnsi="宋体" w:cs="宋体"/>
          <w:bCs/>
        </w:rPr>
        <w:t>3.3人工市场信息价：按发包人（或监理人）发出开工令（开工报告）上的开工时间的《宁波建设工程造价信息》（综合版）当月信息价计取。</w:t>
      </w:r>
    </w:p>
    <w:p>
      <w:pPr>
        <w:pStyle w:val="7"/>
        <w:spacing w:line="360" w:lineRule="auto"/>
        <w:ind w:firstLine="0"/>
        <w:rPr>
          <w:rFonts w:ascii="宋体" w:hAnsi="宋体" w:cs="宋体"/>
          <w:bCs/>
        </w:rPr>
      </w:pPr>
      <w:r>
        <w:rPr>
          <w:rFonts w:hint="eastAsia" w:ascii="宋体" w:hAnsi="宋体" w:cs="宋体"/>
          <w:bCs/>
        </w:rPr>
        <w:t>3.4无信息价材料由承包人根据发包人对该材料的品牌、规格及技术参数要求及时提出适当的材料价格，经发包人、监理在市场询价(除税价格)的基础上协商确定，最终以审核确定为准。</w:t>
      </w:r>
    </w:p>
    <w:p>
      <w:pPr>
        <w:pStyle w:val="7"/>
        <w:spacing w:line="360" w:lineRule="auto"/>
        <w:ind w:firstLine="0"/>
        <w:rPr>
          <w:rFonts w:ascii="宋体" w:hAnsi="宋体" w:cs="宋体"/>
          <w:bCs/>
        </w:rPr>
      </w:pPr>
      <w:r>
        <w:rPr>
          <w:rFonts w:hint="eastAsia" w:ascii="宋体" w:hAnsi="宋体" w:cs="宋体"/>
          <w:bCs/>
        </w:rPr>
        <w:t>3.5有关事项说明：1）、零星整改提升项目的养护期按 1 年计，反季节种植费不考虑；2）、在施工期间绿化保活费用不另外考虑；3）本工程临时用电、用水接口，由承包人自行解决，费用已包含在投标报价中。</w:t>
      </w:r>
    </w:p>
    <w:p>
      <w:pPr>
        <w:pStyle w:val="7"/>
        <w:spacing w:line="360" w:lineRule="auto"/>
        <w:ind w:firstLine="0"/>
        <w:rPr>
          <w:rFonts w:ascii="宋体" w:hAnsi="宋体" w:cs="宋体"/>
          <w:bCs/>
        </w:rPr>
      </w:pPr>
      <w:r>
        <w:rPr>
          <w:rFonts w:hint="eastAsia" w:ascii="宋体" w:hAnsi="宋体" w:cs="宋体"/>
          <w:bCs/>
        </w:rPr>
        <w:t>3.6上述结算以每个项目为单位分别计算,最终结算价按零星整改提升项目统一浮动率进行浮动，零星整改提升项目统一浮动率=（养护费用年度报价/最高限价-1）×100%-10%。</w:t>
      </w:r>
    </w:p>
    <w:p>
      <w:pPr>
        <w:pStyle w:val="7"/>
        <w:spacing w:line="360" w:lineRule="auto"/>
        <w:ind w:firstLine="0"/>
        <w:rPr>
          <w:rFonts w:hint="eastAsia" w:ascii="宋体" w:hAnsi="宋体" w:cs="宋体"/>
          <w:bCs/>
        </w:rPr>
      </w:pPr>
      <w:r>
        <w:rPr>
          <w:rFonts w:hint="eastAsia" w:ascii="宋体" w:hAnsi="宋体" w:cs="宋体"/>
          <w:bCs/>
        </w:rPr>
        <w:t>3.7付款：</w:t>
      </w:r>
      <w:r>
        <w:rPr>
          <w:rFonts w:ascii="宋体" w:hAnsi="宋体" w:cs="宋体"/>
          <w:bCs/>
        </w:rPr>
        <w:t>承包人每季度上报已完成项目的结算资料（须提供具体项目的影像资料），</w:t>
      </w:r>
      <w:r>
        <w:rPr>
          <w:rFonts w:hint="eastAsia" w:ascii="宋体" w:hAnsi="宋体" w:cs="宋体"/>
          <w:bCs/>
        </w:rPr>
        <w:t>根据审计报告支付至结算价的98.5%，结算价的1.5%为质保金；待工程最后一次竣工验收合格后，退回履约担保；</w:t>
      </w:r>
      <w:r>
        <w:rPr>
          <w:rFonts w:ascii="宋体" w:hAnsi="宋体" w:cs="宋体"/>
          <w:bCs/>
        </w:rPr>
        <w:t>质量保修金待保修期（以最后一次验收合格之日算起）满 1年后结清。</w:t>
      </w:r>
    </w:p>
    <w:p>
      <w:pPr>
        <w:pStyle w:val="26"/>
        <w:spacing w:before="0" w:beforeLines="0" w:after="0" w:afterLines="0" w:line="360" w:lineRule="auto"/>
        <w:ind w:left="358" w:hanging="358" w:hangingChars="170"/>
        <w:rPr>
          <w:rFonts w:hint="eastAsia" w:hAnsi="宋体" w:cs="宋体"/>
          <w:b/>
          <w:sz w:val="21"/>
          <w:szCs w:val="21"/>
        </w:rPr>
      </w:pPr>
      <w:r>
        <w:rPr>
          <w:rFonts w:hint="eastAsia" w:hAnsi="宋体" w:cs="宋体"/>
          <w:b/>
          <w:sz w:val="21"/>
          <w:szCs w:val="21"/>
        </w:rPr>
        <w:t>六、履约保证金</w:t>
      </w:r>
    </w:p>
    <w:p>
      <w:pPr>
        <w:pStyle w:val="26"/>
        <w:spacing w:before="0" w:beforeLines="0" w:after="0" w:afterLines="0" w:line="360" w:lineRule="auto"/>
        <w:ind w:left="357" w:hanging="357" w:hangingChars="170"/>
        <w:rPr>
          <w:rFonts w:hint="eastAsia" w:hAnsi="宋体" w:cs="宋体"/>
          <w:sz w:val="21"/>
          <w:szCs w:val="21"/>
        </w:rPr>
      </w:pPr>
      <w:r>
        <w:rPr>
          <w:rFonts w:hint="eastAsia" w:hAnsi="宋体" w:cs="宋体"/>
          <w:sz w:val="21"/>
          <w:szCs w:val="21"/>
        </w:rPr>
        <w:t>3.1乙方交纳合同履约保证金：</w:t>
      </w:r>
      <w:r>
        <w:rPr>
          <w:rFonts w:hint="eastAsia" w:hAnsi="宋体" w:cs="宋体"/>
          <w:sz w:val="21"/>
          <w:szCs w:val="21"/>
          <w:u w:val="single"/>
        </w:rPr>
        <w:t xml:space="preserve">    </w:t>
      </w:r>
      <w:r>
        <w:rPr>
          <w:rFonts w:hint="eastAsia" w:hAnsi="宋体" w:cs="宋体"/>
          <w:sz w:val="21"/>
          <w:szCs w:val="21"/>
        </w:rPr>
        <w:t>元；</w:t>
      </w:r>
    </w:p>
    <w:p>
      <w:pPr>
        <w:spacing w:line="360" w:lineRule="auto"/>
        <w:rPr>
          <w:rFonts w:hint="eastAsia" w:ascii="宋体" w:hAnsi="宋体" w:cs="宋体"/>
          <w:szCs w:val="21"/>
        </w:rPr>
      </w:pPr>
      <w:r>
        <w:rPr>
          <w:rFonts w:hint="eastAsia" w:ascii="宋体" w:hAnsi="宋体" w:cs="宋体"/>
          <w:szCs w:val="21"/>
        </w:rPr>
        <w:t>3.2在乙方完成所有合同履约后退还（但如乙方未能履行合同规定的任何义务，甲方有权从履约保证金中得到补偿）。</w:t>
      </w:r>
    </w:p>
    <w:p>
      <w:pPr>
        <w:spacing w:line="360" w:lineRule="auto"/>
        <w:contextualSpacing/>
        <w:rPr>
          <w:rFonts w:ascii="宋体" w:hAnsi="宋体" w:cs="宋体"/>
          <w:b/>
          <w:snapToGrid w:val="0"/>
          <w:szCs w:val="21"/>
        </w:rPr>
      </w:pPr>
      <w:r>
        <w:rPr>
          <w:rFonts w:hint="eastAsia" w:ascii="宋体" w:hAnsi="宋体" w:cs="宋体"/>
          <w:b/>
          <w:snapToGrid w:val="0"/>
          <w:szCs w:val="21"/>
        </w:rPr>
        <w:t>七、组成合同的文件</w:t>
      </w:r>
    </w:p>
    <w:p>
      <w:pPr>
        <w:spacing w:line="360" w:lineRule="auto"/>
        <w:ind w:firstLine="420" w:firstLineChars="200"/>
        <w:contextualSpacing/>
        <w:rPr>
          <w:rFonts w:ascii="宋体" w:hAnsi="宋体" w:cs="宋体"/>
          <w:kern w:val="16"/>
          <w:szCs w:val="21"/>
        </w:rPr>
      </w:pPr>
      <w:r>
        <w:rPr>
          <w:rFonts w:hint="eastAsia" w:ascii="宋体" w:hAnsi="宋体" w:cs="宋体"/>
          <w:kern w:val="16"/>
          <w:szCs w:val="21"/>
        </w:rPr>
        <w:t>（1）本合同协议书；</w:t>
      </w:r>
    </w:p>
    <w:p>
      <w:pPr>
        <w:spacing w:line="360" w:lineRule="auto"/>
        <w:ind w:firstLine="420" w:firstLineChars="200"/>
        <w:contextualSpacing/>
        <w:rPr>
          <w:rFonts w:ascii="宋体" w:hAnsi="宋体" w:cs="宋体"/>
          <w:kern w:val="16"/>
          <w:szCs w:val="21"/>
        </w:rPr>
      </w:pPr>
      <w:r>
        <w:rPr>
          <w:rFonts w:hint="eastAsia" w:ascii="宋体" w:hAnsi="宋体" w:cs="宋体"/>
          <w:kern w:val="16"/>
          <w:szCs w:val="21"/>
        </w:rPr>
        <w:t>（2）中标通知书；</w:t>
      </w:r>
    </w:p>
    <w:p>
      <w:pPr>
        <w:spacing w:line="360" w:lineRule="auto"/>
        <w:ind w:firstLine="420" w:firstLineChars="200"/>
        <w:contextualSpacing/>
        <w:rPr>
          <w:rFonts w:ascii="宋体" w:hAnsi="宋体" w:cs="宋体"/>
          <w:kern w:val="16"/>
          <w:szCs w:val="21"/>
        </w:rPr>
      </w:pPr>
      <w:r>
        <w:rPr>
          <w:rFonts w:hint="eastAsia" w:ascii="宋体" w:hAnsi="宋体" w:cs="宋体"/>
          <w:kern w:val="16"/>
          <w:szCs w:val="21"/>
        </w:rPr>
        <w:t>（3）投标书及其附件；</w:t>
      </w:r>
    </w:p>
    <w:p>
      <w:pPr>
        <w:spacing w:line="360" w:lineRule="auto"/>
        <w:ind w:firstLine="420" w:firstLineChars="200"/>
        <w:contextualSpacing/>
        <w:rPr>
          <w:rFonts w:ascii="宋体" w:hAnsi="宋体" w:cs="宋体"/>
          <w:kern w:val="16"/>
          <w:szCs w:val="21"/>
        </w:rPr>
      </w:pPr>
      <w:r>
        <w:rPr>
          <w:rFonts w:hint="eastAsia" w:ascii="宋体" w:hAnsi="宋体" w:cs="宋体"/>
          <w:kern w:val="16"/>
          <w:szCs w:val="21"/>
        </w:rPr>
        <w:t>（4）采购文件；</w:t>
      </w:r>
    </w:p>
    <w:p>
      <w:pPr>
        <w:spacing w:line="360" w:lineRule="auto"/>
        <w:ind w:firstLine="420" w:firstLineChars="200"/>
        <w:contextualSpacing/>
        <w:rPr>
          <w:rFonts w:ascii="宋体" w:hAnsi="宋体" w:cs="宋体"/>
          <w:kern w:val="16"/>
          <w:szCs w:val="21"/>
        </w:rPr>
      </w:pPr>
      <w:r>
        <w:rPr>
          <w:rFonts w:hint="eastAsia" w:ascii="宋体" w:hAnsi="宋体" w:cs="宋体"/>
          <w:kern w:val="16"/>
          <w:szCs w:val="21"/>
        </w:rPr>
        <w:t>（5）标准、规范及有关技术文件；</w:t>
      </w:r>
    </w:p>
    <w:p>
      <w:pPr>
        <w:spacing w:line="360" w:lineRule="auto"/>
        <w:ind w:firstLine="420" w:firstLineChars="200"/>
        <w:contextualSpacing/>
        <w:rPr>
          <w:rFonts w:ascii="宋体" w:hAnsi="宋体" w:cs="宋体"/>
          <w:b/>
          <w:snapToGrid w:val="0"/>
          <w:szCs w:val="21"/>
        </w:rPr>
      </w:pPr>
      <w:r>
        <w:rPr>
          <w:rFonts w:hint="eastAsia" w:ascii="宋体" w:hAnsi="宋体" w:cs="宋体"/>
          <w:snapToGrid w:val="0"/>
          <w:szCs w:val="21"/>
        </w:rPr>
        <w:t>有关甲乙双方洽商、变更等书面协议或文件均视为本合同组成部分。</w:t>
      </w:r>
    </w:p>
    <w:p>
      <w:pPr>
        <w:spacing w:line="360" w:lineRule="auto"/>
        <w:contextualSpacing/>
        <w:rPr>
          <w:rFonts w:ascii="宋体" w:hAnsi="宋体" w:cs="宋体"/>
          <w:b/>
          <w:snapToGrid w:val="0"/>
          <w:szCs w:val="21"/>
        </w:rPr>
      </w:pPr>
      <w:r>
        <w:rPr>
          <w:rFonts w:hint="eastAsia" w:ascii="宋体" w:hAnsi="宋体" w:cs="宋体"/>
          <w:b/>
          <w:snapToGrid w:val="0"/>
          <w:szCs w:val="21"/>
        </w:rPr>
        <w:t>八、双方职责</w:t>
      </w:r>
    </w:p>
    <w:p>
      <w:pPr>
        <w:spacing w:line="360" w:lineRule="auto"/>
        <w:ind w:firstLine="422" w:firstLineChars="200"/>
        <w:contextualSpacing/>
        <w:rPr>
          <w:rFonts w:ascii="宋体" w:hAnsi="宋体" w:cs="宋体"/>
          <w:b/>
          <w:szCs w:val="21"/>
        </w:rPr>
      </w:pPr>
      <w:r>
        <w:rPr>
          <w:rFonts w:hint="eastAsia" w:ascii="宋体" w:hAnsi="宋体" w:cs="宋体"/>
          <w:b/>
          <w:szCs w:val="21"/>
        </w:rPr>
        <w:t>（一）甲方职责</w:t>
      </w:r>
    </w:p>
    <w:p>
      <w:pPr>
        <w:spacing w:line="360" w:lineRule="auto"/>
        <w:ind w:firstLine="420" w:firstLineChars="200"/>
        <w:contextualSpacing/>
        <w:rPr>
          <w:rFonts w:ascii="宋体" w:hAnsi="宋体" w:cs="宋体"/>
          <w:szCs w:val="21"/>
        </w:rPr>
      </w:pPr>
      <w:r>
        <w:rPr>
          <w:rFonts w:hint="eastAsia" w:ascii="宋体" w:hAnsi="宋体" w:cs="宋体"/>
          <w:szCs w:val="21"/>
        </w:rPr>
        <w:t>1、提供给乙方本合同所述养护项目有关养护设施量及图纸资料；</w:t>
      </w:r>
    </w:p>
    <w:p>
      <w:pPr>
        <w:spacing w:line="360" w:lineRule="auto"/>
        <w:ind w:firstLine="420" w:firstLineChars="200"/>
        <w:contextualSpacing/>
        <w:rPr>
          <w:rFonts w:ascii="宋体" w:hAnsi="宋体" w:cs="宋体"/>
          <w:szCs w:val="21"/>
        </w:rPr>
      </w:pPr>
      <w:r>
        <w:rPr>
          <w:rFonts w:hint="eastAsia" w:ascii="宋体" w:hAnsi="宋体" w:cs="宋体"/>
          <w:szCs w:val="21"/>
        </w:rPr>
        <w:t>2、对乙方养护管理项目进行监督和考核检查；</w:t>
      </w:r>
    </w:p>
    <w:p>
      <w:pPr>
        <w:spacing w:line="360" w:lineRule="auto"/>
        <w:ind w:firstLine="420" w:firstLineChars="200"/>
        <w:contextualSpacing/>
        <w:rPr>
          <w:rFonts w:ascii="宋体" w:hAnsi="宋体" w:cs="宋体"/>
          <w:szCs w:val="21"/>
        </w:rPr>
      </w:pPr>
      <w:r>
        <w:rPr>
          <w:rFonts w:hint="eastAsia" w:ascii="宋体" w:hAnsi="宋体" w:cs="宋体"/>
          <w:szCs w:val="21"/>
        </w:rPr>
        <w:t>3、按规定核拨给乙方养护经费；</w:t>
      </w:r>
    </w:p>
    <w:p>
      <w:pPr>
        <w:spacing w:line="360" w:lineRule="auto"/>
        <w:ind w:firstLine="420" w:firstLineChars="200"/>
        <w:contextualSpacing/>
        <w:rPr>
          <w:rFonts w:ascii="宋体" w:hAnsi="宋体" w:cs="宋体"/>
          <w:szCs w:val="21"/>
        </w:rPr>
      </w:pPr>
      <w:r>
        <w:rPr>
          <w:rFonts w:hint="eastAsia" w:ascii="宋体" w:hAnsi="宋体" w:cs="宋体"/>
          <w:szCs w:val="21"/>
        </w:rPr>
        <w:t>4、合同期限届满，对本合同养护项目设施量保存率及设施完好率进行清点；</w:t>
      </w:r>
    </w:p>
    <w:p>
      <w:pPr>
        <w:spacing w:line="360" w:lineRule="auto"/>
        <w:ind w:firstLine="420" w:firstLineChars="200"/>
        <w:contextualSpacing/>
        <w:rPr>
          <w:rFonts w:ascii="宋体" w:hAnsi="宋体" w:cs="宋体"/>
          <w:szCs w:val="21"/>
        </w:rPr>
      </w:pPr>
      <w:r>
        <w:rPr>
          <w:rFonts w:hint="eastAsia" w:ascii="宋体" w:hAnsi="宋体" w:cs="宋体"/>
          <w:szCs w:val="21"/>
        </w:rPr>
        <w:t>5、其它有关组织协调工作。</w:t>
      </w:r>
    </w:p>
    <w:p>
      <w:pPr>
        <w:spacing w:line="360" w:lineRule="auto"/>
        <w:ind w:firstLine="422" w:firstLineChars="200"/>
        <w:contextualSpacing/>
        <w:rPr>
          <w:rFonts w:ascii="宋体" w:hAnsi="宋体" w:cs="宋体"/>
          <w:b/>
          <w:szCs w:val="21"/>
        </w:rPr>
      </w:pPr>
      <w:r>
        <w:rPr>
          <w:rFonts w:hint="eastAsia" w:ascii="宋体" w:hAnsi="宋体" w:cs="宋体"/>
          <w:b/>
          <w:szCs w:val="21"/>
        </w:rPr>
        <w:t>（二）乙方职责</w:t>
      </w:r>
    </w:p>
    <w:p>
      <w:pPr>
        <w:spacing w:line="360" w:lineRule="auto"/>
        <w:ind w:firstLine="420" w:firstLineChars="200"/>
        <w:contextualSpacing/>
        <w:rPr>
          <w:rFonts w:hint="eastAsia" w:ascii="宋体" w:hAnsi="宋体" w:cs="宋体"/>
          <w:szCs w:val="21"/>
        </w:rPr>
      </w:pPr>
      <w:r>
        <w:rPr>
          <w:rFonts w:hint="eastAsia" w:ascii="宋体" w:hAnsi="宋体" w:cs="宋体"/>
          <w:szCs w:val="21"/>
        </w:rPr>
        <w:t>一、服务标准</w:t>
      </w:r>
    </w:p>
    <w:p>
      <w:pPr>
        <w:pStyle w:val="7"/>
        <w:spacing w:line="360" w:lineRule="auto"/>
        <w:ind w:firstLineChars="200"/>
        <w:rPr>
          <w:rFonts w:ascii="宋体" w:hAnsi="宋体" w:cs="宋体"/>
          <w:bCs/>
        </w:rPr>
      </w:pPr>
      <w:r>
        <w:rPr>
          <w:rFonts w:hint="eastAsia" w:ascii="宋体" w:hAnsi="宋体" w:cs="宋体"/>
          <w:bCs/>
        </w:rPr>
        <w:t>1、养护技术规程参照现行的《宁波市城市绿地养护技术规范》DB3302/T 1117-2020，中标人遵照</w:t>
      </w:r>
      <w:r>
        <w:rPr>
          <w:rFonts w:hint="eastAsia" w:ascii="宋体" w:hAnsi="宋体" w:cs="宋体"/>
          <w:szCs w:val="21"/>
        </w:rPr>
        <w:t>《宁波市城市绿地养护质量等级标准》</w:t>
      </w:r>
      <w:r>
        <w:rPr>
          <w:rFonts w:hint="eastAsia" w:ascii="宋体" w:hAnsi="宋体" w:cs="宋体"/>
          <w:bCs/>
        </w:rPr>
        <w:t>DB3302/T 1016-2010中相应绿地养护质量等级标准执行，公厕保洁要求详见《附件2：厕所保洁质量及保洁作业要求》。</w:t>
      </w:r>
    </w:p>
    <w:p>
      <w:pPr>
        <w:pStyle w:val="7"/>
        <w:spacing w:line="360" w:lineRule="auto"/>
        <w:ind w:firstLineChars="200"/>
        <w:rPr>
          <w:rFonts w:ascii="宋体" w:hAnsi="宋体" w:cs="宋体"/>
          <w:bCs/>
        </w:rPr>
      </w:pPr>
      <w:r>
        <w:rPr>
          <w:rFonts w:hint="eastAsia" w:ascii="宋体" w:hAnsi="宋体" w:cs="宋体"/>
          <w:bCs/>
        </w:rPr>
        <w:t>2、承包方式：包工包料，合同价（合同价在总承包期内）不因市场因素和政策因素的调整（包含最低工资、社保的调整）而调整。</w:t>
      </w:r>
    </w:p>
    <w:p>
      <w:pPr>
        <w:pStyle w:val="7"/>
        <w:spacing w:line="360" w:lineRule="auto"/>
        <w:ind w:firstLineChars="200"/>
        <w:rPr>
          <w:rFonts w:ascii="宋体" w:hAnsi="宋体" w:cs="宋体"/>
          <w:bCs/>
        </w:rPr>
      </w:pPr>
      <w:r>
        <w:rPr>
          <w:rFonts w:hint="eastAsia" w:ascii="宋体" w:hAnsi="宋体" w:cs="宋体"/>
          <w:bCs/>
        </w:rPr>
        <w:t>3、本项目绿化养护服务所需的一切劳动力、材料、设备、水费、事项（包括绿化人为损坏造成的补种）均由中标人负责，由此产生的一切费用均由中标人自行承担。</w:t>
      </w:r>
    </w:p>
    <w:p>
      <w:pPr>
        <w:pStyle w:val="7"/>
        <w:spacing w:line="360" w:lineRule="auto"/>
        <w:ind w:firstLineChars="200"/>
        <w:rPr>
          <w:rFonts w:ascii="宋体" w:hAnsi="宋体" w:cs="宋体"/>
          <w:bCs/>
        </w:rPr>
      </w:pPr>
      <w:r>
        <w:rPr>
          <w:rFonts w:hint="eastAsia" w:ascii="宋体" w:hAnsi="宋体" w:cs="宋体"/>
          <w:bCs/>
        </w:rPr>
        <w:t>4、本项目服务范围包含公园内的所有配套设施维护（包含公园内健身器材、标示牌、果壳箱、亭、休息长廊、休息凳、休息桌子等所有设施），其中单项设施维护金额在1000元以下的由中标人自行承担，单项设施维护金额在1000元及以上的费用单列。</w:t>
      </w:r>
    </w:p>
    <w:p>
      <w:pPr>
        <w:pStyle w:val="7"/>
        <w:spacing w:line="360" w:lineRule="auto"/>
        <w:ind w:firstLineChars="200"/>
        <w:rPr>
          <w:rFonts w:ascii="宋体" w:hAnsi="宋体" w:cs="宋体"/>
          <w:bCs/>
        </w:rPr>
      </w:pPr>
      <w:r>
        <w:rPr>
          <w:rFonts w:hint="eastAsia" w:ascii="宋体" w:hAnsi="宋体" w:cs="宋体"/>
          <w:bCs/>
        </w:rPr>
        <w:t>5、绿地养护管理所需的养护管理房，由中标人自行解决。</w:t>
      </w:r>
    </w:p>
    <w:p>
      <w:pPr>
        <w:pStyle w:val="7"/>
        <w:spacing w:line="360" w:lineRule="auto"/>
        <w:ind w:firstLineChars="200"/>
        <w:rPr>
          <w:rFonts w:ascii="宋体" w:hAnsi="宋体" w:cs="宋体"/>
          <w:bCs/>
        </w:rPr>
      </w:pPr>
      <w:r>
        <w:rPr>
          <w:rFonts w:hint="eastAsia" w:ascii="宋体" w:hAnsi="宋体" w:cs="宋体"/>
          <w:bCs/>
        </w:rPr>
        <w:t>6、中标人需按鄞州区绿地养护管理作业规范开展工作，合理组织，精心养护，保质、保量完成本项目绿地养护管理任务。</w:t>
      </w:r>
    </w:p>
    <w:p>
      <w:pPr>
        <w:pStyle w:val="7"/>
        <w:spacing w:line="360" w:lineRule="auto"/>
        <w:ind w:firstLineChars="200"/>
        <w:rPr>
          <w:rFonts w:ascii="宋体" w:hAnsi="宋体" w:cs="宋体"/>
          <w:bCs/>
        </w:rPr>
      </w:pPr>
      <w:r>
        <w:rPr>
          <w:rFonts w:hint="eastAsia" w:ascii="宋体" w:hAnsi="宋体" w:cs="宋体"/>
          <w:bCs/>
        </w:rPr>
        <w:t>7、中标人应保证养护绿地数量无减少、无毁损，达到本项目绿地养护标准要求且植株无缺株、死树，乔灌木保存率达到本项目绿地养护质量标准要求及以上，所养护的树木，在养护期间发生减少或毁损，中标人应予及时补齐，并自行承担所需费用，单株树木单价在5000元以上的如发生减少或损毁，按同品种、相当规格进行补种，未及时补种的，从养护经费中扣除与树木款相等的金额。每年度合同期满时，采购人将对养护对象进行清点，如有缺失、损坏按实赔偿或由采购人自行委托第三方进行补齐或修复，费用由中标人承担。本绿地养护项目包含行道树秋冬季节的防冻、树木的大修剪（采购人通知的临时修剪）等内容。供应商在投标报价中需考虑以上内容，采购人在合同执行期间就以上内容不再另行支付费用。养护垃圾（除树枝及建筑垃圾外）需自行处理，树枝及建筑垃圾由中标人自行负责倾倒至各主管部门同意倾倒的地点，由此产生的费用由中标人自行负责。</w:t>
      </w:r>
    </w:p>
    <w:p>
      <w:pPr>
        <w:pStyle w:val="7"/>
        <w:spacing w:line="360" w:lineRule="auto"/>
        <w:ind w:firstLineChars="200"/>
        <w:rPr>
          <w:rFonts w:ascii="宋体" w:hAnsi="宋体" w:cs="宋体"/>
          <w:bCs/>
        </w:rPr>
      </w:pPr>
      <w:r>
        <w:rPr>
          <w:rFonts w:hint="eastAsia" w:ascii="宋体" w:hAnsi="宋体" w:cs="宋体"/>
          <w:bCs/>
        </w:rPr>
        <w:t>8、中标人应认真实施绿地养护的护管工作，确保所养护绿地内的绿植生长良好、绿化带内整洁，自觉配合区、街道重大活动、道路巡查、区绿化养护监管单位等上级部门的考核，且必须参加区绿化养护监管单位组织的绿地养护培训。要求员工进行上岗前培训，做到规范作业、规范养护、统一着装上岗。</w:t>
      </w:r>
    </w:p>
    <w:p>
      <w:pPr>
        <w:pStyle w:val="7"/>
        <w:spacing w:line="360" w:lineRule="auto"/>
        <w:ind w:firstLineChars="200"/>
        <w:rPr>
          <w:rFonts w:ascii="宋体" w:hAnsi="宋体" w:cs="宋体"/>
          <w:bCs/>
        </w:rPr>
      </w:pPr>
      <w:r>
        <w:rPr>
          <w:rFonts w:hint="eastAsia" w:ascii="宋体" w:hAnsi="宋体" w:cs="宋体"/>
          <w:bCs/>
        </w:rPr>
        <w:t>9、本项目绿地养护区域，如有因工程施工等造成的毁绿损绿现象的中标人应及时监督，并及时督促其办理有关手续。因施工原因造成绿化缺失、损坏，由中标人与施工方协商，双方自行达成一致意见，按要求进行绿地植被的补种，如工程为政府投资项目的具体绿地恢复方案由采购人确定。</w:t>
      </w:r>
    </w:p>
    <w:p>
      <w:pPr>
        <w:pStyle w:val="7"/>
        <w:spacing w:line="360" w:lineRule="auto"/>
        <w:ind w:firstLineChars="200"/>
        <w:rPr>
          <w:rFonts w:ascii="宋体" w:hAnsi="宋体" w:cs="宋体"/>
          <w:bCs/>
        </w:rPr>
      </w:pPr>
      <w:r>
        <w:rPr>
          <w:rFonts w:hint="eastAsia" w:ascii="宋体" w:hAnsi="宋体" w:cs="宋体"/>
          <w:bCs/>
        </w:rPr>
        <w:t xml:space="preserve">10、承包的绿地区域内的环境要求：为搞好环境卫生，对修剪下来的枝条等须在第一时间进行清理。 </w:t>
      </w:r>
    </w:p>
    <w:p>
      <w:pPr>
        <w:pStyle w:val="7"/>
        <w:spacing w:line="360" w:lineRule="auto"/>
        <w:ind w:firstLineChars="200"/>
        <w:rPr>
          <w:rFonts w:ascii="宋体" w:hAnsi="宋体" w:cs="宋体"/>
          <w:bCs/>
        </w:rPr>
      </w:pPr>
      <w:r>
        <w:rPr>
          <w:rFonts w:hint="eastAsia" w:ascii="宋体" w:hAnsi="宋体" w:cs="宋体"/>
          <w:bCs/>
        </w:rPr>
        <w:t>11、中标人必须重视安全工作，确保合同履行期间不出安全、交通事故。如发生安全、交通事故，由中标人承担一切责任及损失。</w:t>
      </w:r>
    </w:p>
    <w:p>
      <w:pPr>
        <w:pStyle w:val="7"/>
        <w:spacing w:line="360" w:lineRule="auto"/>
        <w:ind w:firstLineChars="200"/>
        <w:rPr>
          <w:rFonts w:ascii="宋体" w:hAnsi="宋体" w:cs="宋体"/>
          <w:bCs/>
        </w:rPr>
      </w:pPr>
      <w:r>
        <w:rPr>
          <w:rFonts w:hint="eastAsia" w:ascii="宋体" w:hAnsi="宋体" w:cs="宋体"/>
          <w:bCs/>
        </w:rPr>
        <w:t>12、突发事件处理</w:t>
      </w:r>
    </w:p>
    <w:p>
      <w:pPr>
        <w:pStyle w:val="7"/>
        <w:spacing w:line="360" w:lineRule="auto"/>
        <w:ind w:firstLineChars="200"/>
        <w:rPr>
          <w:rFonts w:ascii="宋体" w:hAnsi="宋体" w:cs="宋体"/>
          <w:bCs/>
        </w:rPr>
      </w:pPr>
      <w:r>
        <w:rPr>
          <w:rFonts w:hint="eastAsia" w:ascii="宋体" w:hAnsi="宋体" w:cs="宋体"/>
          <w:bCs/>
        </w:rPr>
        <w:t>（1）在遇到各类重大活动、检查时中标人应做好采购人临时安排的突击性养护任务。</w:t>
      </w:r>
    </w:p>
    <w:p>
      <w:pPr>
        <w:pStyle w:val="7"/>
        <w:spacing w:line="360" w:lineRule="auto"/>
        <w:ind w:firstLineChars="200"/>
        <w:rPr>
          <w:rFonts w:ascii="宋体" w:hAnsi="宋体" w:cs="宋体"/>
          <w:bCs/>
        </w:rPr>
      </w:pPr>
      <w:r>
        <w:rPr>
          <w:rFonts w:hint="eastAsia" w:ascii="宋体" w:hAnsi="宋体" w:cs="宋体"/>
          <w:bCs/>
        </w:rPr>
        <w:t>（2）如发生台风、暴雨、火灾、暴雪等灾害性事件，应按预案正确处理，在事件发生后24小时内配置充足的养护及保洁人员到位。</w:t>
      </w:r>
    </w:p>
    <w:p>
      <w:pPr>
        <w:pStyle w:val="7"/>
        <w:spacing w:line="360" w:lineRule="auto"/>
        <w:ind w:firstLineChars="200"/>
        <w:rPr>
          <w:rFonts w:ascii="宋体" w:hAnsi="宋体" w:cs="宋体"/>
          <w:bCs/>
        </w:rPr>
      </w:pPr>
      <w:r>
        <w:rPr>
          <w:rFonts w:hint="eastAsia" w:ascii="宋体" w:hAnsi="宋体" w:cs="宋体"/>
          <w:bCs/>
        </w:rPr>
        <w:t>13、中标人应在每月25日之前向采购人提供下月绿地养护管理等服务计划和本月绿化养护等服务工作总结，以便采购人进行监督考核。</w:t>
      </w:r>
    </w:p>
    <w:p>
      <w:pPr>
        <w:pStyle w:val="7"/>
        <w:spacing w:line="360" w:lineRule="auto"/>
        <w:ind w:firstLineChars="200"/>
        <w:rPr>
          <w:rFonts w:ascii="宋体" w:hAnsi="宋体" w:cs="宋体"/>
          <w:bCs/>
        </w:rPr>
      </w:pPr>
      <w:r>
        <w:rPr>
          <w:rFonts w:hint="eastAsia" w:ascii="宋体" w:hAnsi="宋体" w:cs="宋体"/>
          <w:bCs/>
        </w:rPr>
        <w:t>14、退红区域清理杂草、修剪的养护费用在投标报价中考虑，不再另行计取；如需补种需报采购人确认后实施，费用另行计取。</w:t>
      </w:r>
    </w:p>
    <w:p>
      <w:pPr>
        <w:pStyle w:val="7"/>
        <w:spacing w:line="360" w:lineRule="auto"/>
        <w:ind w:firstLineChars="200"/>
        <w:rPr>
          <w:rFonts w:ascii="宋体" w:hAnsi="宋体" w:cs="宋体"/>
          <w:bCs/>
        </w:rPr>
      </w:pPr>
      <w:r>
        <w:rPr>
          <w:rFonts w:hint="eastAsia" w:ascii="宋体" w:hAnsi="宋体" w:cs="宋体"/>
          <w:bCs/>
        </w:rPr>
        <w:t>15、养护范围内因自然灾害等不可抗力因素造成的第三方人身或财产损害损失的，费用由中标人承担。</w:t>
      </w:r>
    </w:p>
    <w:p>
      <w:pPr>
        <w:spacing w:line="360" w:lineRule="auto"/>
        <w:ind w:firstLine="420" w:firstLineChars="200"/>
        <w:contextualSpacing/>
        <w:rPr>
          <w:rFonts w:hint="eastAsia" w:ascii="宋体" w:hAnsi="宋体" w:cs="宋体"/>
          <w:bCs/>
        </w:rPr>
      </w:pPr>
      <w:r>
        <w:rPr>
          <w:rFonts w:hint="eastAsia" w:ascii="宋体" w:hAnsi="宋体" w:cs="宋体"/>
          <w:bCs/>
        </w:rPr>
        <w:t>16、公园内果壳箱的养护保洁包含在本次养护范围内，中标人负责清洁、保养、维护，如有损坏需合理赔偿。</w:t>
      </w:r>
    </w:p>
    <w:p>
      <w:pPr>
        <w:spacing w:line="360" w:lineRule="auto"/>
        <w:ind w:firstLine="420" w:firstLineChars="200"/>
        <w:contextualSpacing/>
        <w:rPr>
          <w:rFonts w:hint="eastAsia" w:ascii="宋体" w:hAnsi="宋体" w:cs="宋体"/>
          <w:szCs w:val="21"/>
        </w:rPr>
      </w:pPr>
      <w:r>
        <w:rPr>
          <w:rFonts w:hint="eastAsia" w:ascii="宋体" w:hAnsi="宋体" w:cs="宋体"/>
          <w:szCs w:val="21"/>
        </w:rPr>
        <w:t>二、人员配备要求：</w:t>
      </w:r>
    </w:p>
    <w:p>
      <w:pPr>
        <w:spacing w:line="360" w:lineRule="auto"/>
        <w:ind w:firstLine="420" w:firstLineChars="200"/>
        <w:contextualSpacing/>
        <w:rPr>
          <w:rFonts w:hint="eastAsia" w:ascii="宋体" w:hAnsi="宋体" w:cs="宋体"/>
          <w:szCs w:val="21"/>
        </w:rPr>
      </w:pPr>
      <w:r>
        <w:rPr>
          <w:rFonts w:hint="eastAsia" w:ascii="宋体" w:hAnsi="宋体" w:cs="宋体"/>
          <w:szCs w:val="21"/>
        </w:rPr>
        <w:t>1.本项目道路绿地养护人员配备不得少于12000m2/人；公园绿地养护人员配备不得少于8500m2/人，保洁人员配备不得少于60000m2/人；苗圃养护人员配备不得少于1人；公厕管理人员不得少于3人；绿地养护、保洁人员总人数不得少于70人。绿地养护需配备专门的项目负责人1名，设施维修人员不少于1名，巡查监管人员不少于1名。供应商须按上述人员配置要求进行配置。合同期间设施量如有增减的，中标人应根据实际增减情况根据配备要求自行调配人员，保证服务质量。</w:t>
      </w:r>
    </w:p>
    <w:p>
      <w:pPr>
        <w:spacing w:line="360" w:lineRule="auto"/>
        <w:ind w:firstLine="420" w:firstLineChars="200"/>
        <w:contextualSpacing/>
        <w:rPr>
          <w:rFonts w:hint="eastAsia" w:ascii="宋体" w:hAnsi="宋体" w:cs="宋体"/>
          <w:szCs w:val="21"/>
        </w:rPr>
      </w:pPr>
      <w:r>
        <w:rPr>
          <w:rFonts w:hint="eastAsia" w:ascii="宋体" w:hAnsi="宋体" w:cs="宋体"/>
          <w:szCs w:val="21"/>
        </w:rPr>
        <w:t>本项目公园内的公厕保洁由中标人负责，公厕保洁所需的作业人员及设施、设备由中标人负责配置、提供，产生的费用由中标人承担，该部分费用包含在投标总价中。</w:t>
      </w:r>
    </w:p>
    <w:p>
      <w:pPr>
        <w:spacing w:line="360" w:lineRule="auto"/>
        <w:ind w:firstLine="420" w:firstLineChars="200"/>
        <w:contextualSpacing/>
        <w:rPr>
          <w:rFonts w:hint="eastAsia" w:ascii="宋体" w:hAnsi="宋体" w:cs="宋体"/>
          <w:szCs w:val="21"/>
        </w:rPr>
      </w:pPr>
      <w:r>
        <w:rPr>
          <w:rFonts w:hint="eastAsia" w:ascii="宋体" w:hAnsi="宋体" w:cs="宋体"/>
          <w:szCs w:val="21"/>
        </w:rPr>
        <w:t>2.若供应商已在本次投标时已全部或部分配备的养护作业人员，在投标文件中提供人员配置清单；若供应商在本次投标时还未配备的养护作业人员，则可不提供这部分作业人员清单，但投标人须承诺：一旦中标，作业人员应在合同签订后30日内全部配备完毕，并报采购人审核确认，否则中标无效。</w:t>
      </w:r>
    </w:p>
    <w:p>
      <w:pPr>
        <w:spacing w:line="360" w:lineRule="auto"/>
        <w:ind w:firstLine="420" w:firstLineChars="200"/>
        <w:contextualSpacing/>
        <w:rPr>
          <w:rFonts w:hint="eastAsia" w:ascii="宋体" w:hAnsi="宋体" w:cs="宋体"/>
          <w:szCs w:val="21"/>
        </w:rPr>
      </w:pPr>
      <w:r>
        <w:rPr>
          <w:rFonts w:hint="eastAsia" w:ascii="宋体" w:hAnsi="宋体" w:cs="宋体"/>
          <w:szCs w:val="21"/>
        </w:rPr>
        <w:t>3.供应商须为全体作业员工购买社保（五金等）、人身意外等保险。一线作业人员和巡查人员需穿着辨识度较高的作业服装。</w:t>
      </w:r>
    </w:p>
    <w:p>
      <w:pPr>
        <w:spacing w:line="360" w:lineRule="auto"/>
        <w:ind w:firstLine="420" w:firstLineChars="200"/>
        <w:contextualSpacing/>
        <w:rPr>
          <w:rFonts w:hint="eastAsia" w:ascii="宋体" w:hAnsi="宋体" w:cs="宋体"/>
          <w:szCs w:val="21"/>
        </w:rPr>
      </w:pPr>
      <w:r>
        <w:rPr>
          <w:rFonts w:hint="eastAsia" w:ascii="宋体" w:hAnsi="宋体" w:cs="宋体"/>
          <w:szCs w:val="21"/>
        </w:rPr>
        <w:t>4.中标人在搞好日常绿地养护、保洁等工作的同时，必须配合采购人为参加市、区布置的各项节目或重大活动而临时布置任务以及各类应急任务。</w:t>
      </w:r>
    </w:p>
    <w:p>
      <w:pPr>
        <w:spacing w:line="360" w:lineRule="auto"/>
        <w:ind w:firstLine="420" w:firstLineChars="200"/>
        <w:contextualSpacing/>
        <w:rPr>
          <w:rFonts w:hint="eastAsia" w:ascii="宋体" w:hAnsi="宋体" w:cs="宋体"/>
          <w:szCs w:val="21"/>
        </w:rPr>
      </w:pPr>
      <w:r>
        <w:rPr>
          <w:rFonts w:hint="eastAsia" w:ascii="宋体" w:hAnsi="宋体" w:cs="宋体"/>
          <w:szCs w:val="21"/>
        </w:rPr>
        <w:t>5.中标人不得无故拖欠本项目配置员工的工资，如出现以上情况的采购人有权终止拨付服务经费。</w:t>
      </w:r>
    </w:p>
    <w:p>
      <w:pPr>
        <w:spacing w:line="360" w:lineRule="auto"/>
        <w:ind w:firstLine="420" w:firstLineChars="200"/>
        <w:contextualSpacing/>
        <w:rPr>
          <w:rFonts w:hint="eastAsia" w:ascii="宋体" w:hAnsi="宋体" w:cs="宋体"/>
          <w:szCs w:val="21"/>
        </w:rPr>
      </w:pPr>
      <w:r>
        <w:rPr>
          <w:rFonts w:hint="eastAsia" w:ascii="宋体" w:hAnsi="宋体" w:cs="宋体"/>
          <w:szCs w:val="21"/>
        </w:rPr>
        <w:t>6.养护设备配备要求：</w:t>
      </w:r>
    </w:p>
    <w:p>
      <w:pPr>
        <w:spacing w:line="360" w:lineRule="auto"/>
        <w:ind w:firstLine="420" w:firstLineChars="200"/>
        <w:contextualSpacing/>
        <w:rPr>
          <w:rFonts w:hint="eastAsia" w:ascii="宋体" w:hAnsi="宋体" w:cs="宋体"/>
          <w:szCs w:val="21"/>
        </w:rPr>
      </w:pPr>
      <w:r>
        <w:rPr>
          <w:rFonts w:hint="eastAsia" w:ascii="宋体" w:hAnsi="宋体" w:cs="宋体"/>
          <w:szCs w:val="21"/>
        </w:rPr>
        <w:t>（1）根据设施量、养护质量标准及考核标准等，由供应商按要求自行配置巡查、作业所需的车辆、机械和设备。</w:t>
      </w:r>
    </w:p>
    <w:p>
      <w:pPr>
        <w:spacing w:line="360" w:lineRule="auto"/>
        <w:ind w:firstLine="420" w:firstLineChars="200"/>
        <w:contextualSpacing/>
        <w:rPr>
          <w:rFonts w:hint="eastAsia" w:ascii="宋体" w:hAnsi="宋体" w:cs="宋体"/>
          <w:szCs w:val="21"/>
        </w:rPr>
      </w:pPr>
      <w:r>
        <w:rPr>
          <w:rFonts w:hint="eastAsia" w:ascii="宋体" w:hAnsi="宋体" w:cs="宋体"/>
          <w:szCs w:val="21"/>
        </w:rPr>
        <w:t>（2）供应商须配备以下种类的养护作业车辆和设备：吊机、运输车、登高车、洒水车、割草机、割灌机、绿篱机、喷雾机、打药机、打药泵、水泵、油锯及其他投标人完成本项目需要提供的机具。</w:t>
      </w:r>
    </w:p>
    <w:p>
      <w:pPr>
        <w:spacing w:line="360" w:lineRule="auto"/>
        <w:ind w:firstLine="420" w:firstLineChars="200"/>
        <w:contextualSpacing/>
        <w:rPr>
          <w:rFonts w:ascii="宋体" w:hAnsi="宋体" w:cs="宋体"/>
          <w:szCs w:val="21"/>
        </w:rPr>
      </w:pPr>
      <w:r>
        <w:rPr>
          <w:rFonts w:hint="eastAsia" w:ascii="宋体" w:hAnsi="宋体" w:cs="宋体"/>
          <w:szCs w:val="21"/>
        </w:rPr>
        <w:t>（3）上述车辆要求中标人在签订合同后30日内按照采购文件的要求及投标承诺配备完毕。</w:t>
      </w:r>
    </w:p>
    <w:p>
      <w:pPr>
        <w:spacing w:line="360" w:lineRule="auto"/>
        <w:ind w:firstLine="422" w:firstLineChars="200"/>
        <w:contextualSpacing/>
        <w:rPr>
          <w:rFonts w:ascii="宋体" w:hAnsi="宋体" w:cs="宋体"/>
          <w:b/>
          <w:snapToGrid w:val="0"/>
          <w:szCs w:val="21"/>
        </w:rPr>
      </w:pPr>
      <w:r>
        <w:rPr>
          <w:rFonts w:hint="eastAsia" w:ascii="宋体" w:hAnsi="宋体" w:cs="宋体"/>
          <w:b/>
          <w:snapToGrid w:val="0"/>
          <w:szCs w:val="21"/>
        </w:rPr>
        <w:t>九、违约责任</w:t>
      </w:r>
    </w:p>
    <w:p>
      <w:pPr>
        <w:spacing w:line="360" w:lineRule="auto"/>
        <w:ind w:firstLine="420" w:firstLineChars="200"/>
        <w:contextualSpacing/>
        <w:rPr>
          <w:rFonts w:ascii="宋体" w:hAnsi="宋体" w:cs="宋体"/>
          <w:szCs w:val="21"/>
        </w:rPr>
      </w:pPr>
      <w:r>
        <w:rPr>
          <w:rFonts w:hint="eastAsia" w:ascii="宋体" w:hAnsi="宋体" w:cs="宋体"/>
          <w:szCs w:val="21"/>
        </w:rPr>
        <w:t>1、乙方必须重视安全生产工作，确保全年不出安全生产责任事故。如发生安全生产责任事故或交通事故，由乙方承担一切责任及损失。</w:t>
      </w:r>
    </w:p>
    <w:p>
      <w:pPr>
        <w:spacing w:line="360" w:lineRule="auto"/>
        <w:ind w:firstLine="420" w:firstLineChars="200"/>
        <w:contextualSpacing/>
        <w:rPr>
          <w:rFonts w:ascii="宋体" w:hAnsi="宋体" w:cs="宋体"/>
          <w:szCs w:val="21"/>
        </w:rPr>
      </w:pPr>
      <w:r>
        <w:rPr>
          <w:rFonts w:hint="eastAsia" w:ascii="宋体" w:hAnsi="宋体" w:cs="宋体"/>
          <w:szCs w:val="21"/>
        </w:rPr>
        <w:t>2、本项目不接受联合体投标，乙方不得合包、转包，未经采购单位允许，不得分包；乙方不得借用他人资质或名义参与投标。一经发现且查实有上述行为的取消其投标资格并按照法律法规相关规定处理。乙方需在投标文件中对此项内容做出明确承诺。</w:t>
      </w:r>
    </w:p>
    <w:p>
      <w:pPr>
        <w:spacing w:line="360" w:lineRule="auto"/>
        <w:ind w:firstLine="420" w:firstLineChars="200"/>
        <w:contextualSpacing/>
        <w:rPr>
          <w:rFonts w:ascii="宋体" w:hAnsi="宋体" w:cs="宋体"/>
          <w:szCs w:val="21"/>
        </w:rPr>
      </w:pPr>
      <w:r>
        <w:rPr>
          <w:rFonts w:hint="eastAsia" w:ascii="宋体" w:hAnsi="宋体" w:cs="宋体"/>
          <w:szCs w:val="21"/>
        </w:rPr>
        <w:t>3、要求乙方在签订合同后30日内按照采购文件的要求及投标承诺，完成养护队伍的组建并落实到位所有与本项目相关的机械设备及机具。如乙方未按采购文件上述要求及投标承诺履行合同的，一经发现采购单位有权单方面解除合同，由此产生的一切责任与损失均由乙方自行承担。</w:t>
      </w:r>
    </w:p>
    <w:p>
      <w:pPr>
        <w:spacing w:line="360" w:lineRule="auto"/>
        <w:ind w:firstLine="420" w:firstLineChars="200"/>
        <w:contextualSpacing/>
        <w:rPr>
          <w:rFonts w:ascii="宋体" w:hAnsi="宋体" w:cs="宋体"/>
          <w:szCs w:val="21"/>
        </w:rPr>
      </w:pPr>
      <w:r>
        <w:rPr>
          <w:rFonts w:hint="eastAsia" w:ascii="宋体" w:hAnsi="宋体" w:cs="宋体"/>
          <w:szCs w:val="21"/>
        </w:rPr>
        <w:t>4、合同期限内，甲、乙双方任何一方不得单方解除合同，不得擅自将合同全部或部分转让给第三方，若乙方违反，甲方有权提前解除合同，并没收履约保证金。若甲方违反，甲方应双倍返还履约保证金。</w:t>
      </w:r>
    </w:p>
    <w:p>
      <w:pPr>
        <w:spacing w:line="360" w:lineRule="auto"/>
        <w:ind w:firstLine="420" w:firstLineChars="200"/>
        <w:contextualSpacing/>
        <w:rPr>
          <w:rFonts w:ascii="宋体" w:hAnsi="宋体" w:cs="宋体"/>
          <w:szCs w:val="21"/>
        </w:rPr>
      </w:pPr>
      <w:r>
        <w:rPr>
          <w:rFonts w:hint="eastAsia" w:ascii="宋体" w:hAnsi="宋体" w:cs="宋体"/>
          <w:szCs w:val="21"/>
        </w:rPr>
        <w:t>5、合同期限内发生下列情况之一的，甲方有权提前解除合同，罚没全额履约保证金，造成损失大于履约保证金的，甲方有权要求乙方赔偿，损失特别重大的，还应当追究有关责任人的经济和法律责任。因提前解除合同所造成的一切损失，由乙方自行承担。且乙方不得参与该标项下阶段和该项目下一轮的招投标活动：</w:t>
      </w:r>
    </w:p>
    <w:p>
      <w:pPr>
        <w:widowControl/>
        <w:spacing w:line="360" w:lineRule="auto"/>
        <w:ind w:firstLine="420" w:firstLineChars="200"/>
        <w:contextualSpacing/>
        <w:rPr>
          <w:rFonts w:ascii="宋体" w:hAnsi="宋体" w:cs="宋体"/>
          <w:szCs w:val="21"/>
        </w:rPr>
      </w:pPr>
      <w:r>
        <w:rPr>
          <w:rFonts w:hint="eastAsia" w:ascii="宋体" w:hAnsi="宋体" w:cs="宋体"/>
          <w:szCs w:val="21"/>
        </w:rPr>
        <w:t>1）年度考核累计两次不合格。</w:t>
      </w:r>
    </w:p>
    <w:p>
      <w:pPr>
        <w:widowControl/>
        <w:spacing w:line="360" w:lineRule="auto"/>
        <w:ind w:firstLine="420" w:firstLineChars="200"/>
        <w:contextualSpacing/>
        <w:rPr>
          <w:rFonts w:ascii="宋体" w:hAnsi="宋体" w:cs="宋体"/>
          <w:szCs w:val="21"/>
        </w:rPr>
      </w:pPr>
      <w:r>
        <w:rPr>
          <w:rFonts w:hint="eastAsia" w:ascii="宋体" w:hAnsi="宋体" w:cs="宋体"/>
          <w:szCs w:val="21"/>
        </w:rPr>
        <w:t>2）因乙方管理不善被群众举报或媒体曝光且在社会上造成恶劣影响和严重后果。</w:t>
      </w:r>
    </w:p>
    <w:p>
      <w:pPr>
        <w:widowControl/>
        <w:spacing w:line="360" w:lineRule="auto"/>
        <w:ind w:firstLine="420" w:firstLineChars="200"/>
        <w:contextualSpacing/>
        <w:rPr>
          <w:rFonts w:ascii="宋体" w:hAnsi="宋体" w:cs="宋体"/>
          <w:szCs w:val="21"/>
        </w:rPr>
      </w:pPr>
      <w:r>
        <w:rPr>
          <w:rFonts w:hint="eastAsia" w:ascii="宋体" w:hAnsi="宋体" w:cs="宋体"/>
          <w:szCs w:val="21"/>
        </w:rPr>
        <w:t>3）公司法定代表人构成严重违法行为的，根据相关规定将该公司列入养护行业黑名单。</w:t>
      </w:r>
    </w:p>
    <w:p>
      <w:pPr>
        <w:widowControl/>
        <w:spacing w:line="360" w:lineRule="auto"/>
        <w:ind w:firstLine="420" w:firstLineChars="200"/>
        <w:contextualSpacing/>
        <w:rPr>
          <w:rFonts w:ascii="宋体" w:hAnsi="宋体" w:cs="宋体"/>
          <w:szCs w:val="21"/>
        </w:rPr>
      </w:pPr>
      <w:r>
        <w:rPr>
          <w:rFonts w:hint="eastAsia" w:ascii="宋体" w:hAnsi="宋体" w:cs="宋体"/>
          <w:szCs w:val="21"/>
        </w:rPr>
        <w:t>4）经相关部门鉴定，乙方存在严重的安全生产责任事故。</w:t>
      </w:r>
    </w:p>
    <w:p>
      <w:pPr>
        <w:widowControl/>
        <w:spacing w:line="360" w:lineRule="auto"/>
        <w:ind w:firstLine="420" w:firstLineChars="200"/>
        <w:contextualSpacing/>
        <w:rPr>
          <w:rFonts w:ascii="宋体" w:hAnsi="宋体" w:cs="宋体"/>
          <w:szCs w:val="21"/>
        </w:rPr>
      </w:pPr>
      <w:r>
        <w:rPr>
          <w:rFonts w:hint="eastAsia" w:ascii="宋体" w:hAnsi="宋体" w:cs="宋体"/>
          <w:szCs w:val="21"/>
        </w:rPr>
        <w:t>6、合同履行期间，未按招标要求进行养护服务且情节严重的，第一次警告，第二次约谈，第三次仍未达标的，甲方有权解除合同。</w:t>
      </w:r>
    </w:p>
    <w:p>
      <w:pPr>
        <w:spacing w:line="360" w:lineRule="auto"/>
        <w:ind w:firstLine="422" w:firstLineChars="200"/>
        <w:contextualSpacing/>
        <w:rPr>
          <w:rFonts w:ascii="宋体" w:hAnsi="宋体" w:cs="宋体"/>
          <w:snapToGrid w:val="0"/>
          <w:szCs w:val="21"/>
        </w:rPr>
      </w:pPr>
      <w:r>
        <w:rPr>
          <w:rFonts w:hint="eastAsia" w:ascii="宋体" w:hAnsi="宋体" w:cs="宋体"/>
          <w:b/>
          <w:snapToGrid w:val="0"/>
          <w:szCs w:val="21"/>
        </w:rPr>
        <w:t>十、附则</w:t>
      </w:r>
    </w:p>
    <w:p>
      <w:pPr>
        <w:spacing w:line="360" w:lineRule="auto"/>
        <w:ind w:firstLine="420" w:firstLineChars="200"/>
        <w:contextualSpacing/>
        <w:rPr>
          <w:rFonts w:ascii="宋体" w:hAnsi="宋体" w:cs="宋体"/>
          <w:szCs w:val="21"/>
        </w:rPr>
      </w:pPr>
      <w:r>
        <w:rPr>
          <w:rFonts w:hint="eastAsia" w:ascii="宋体" w:hAnsi="宋体" w:cs="宋体"/>
          <w:szCs w:val="21"/>
        </w:rPr>
        <w:t>1、因自然灾害等不可抗力因素造成本合同养护项目经济损失的，甲、乙双方共同协商妥善解决。</w:t>
      </w:r>
    </w:p>
    <w:p>
      <w:pPr>
        <w:spacing w:line="360" w:lineRule="auto"/>
        <w:ind w:firstLine="420" w:firstLineChars="200"/>
        <w:contextualSpacing/>
        <w:rPr>
          <w:rFonts w:ascii="宋体" w:hAnsi="宋体" w:cs="宋体"/>
          <w:szCs w:val="21"/>
        </w:rPr>
      </w:pPr>
      <w:r>
        <w:rPr>
          <w:rFonts w:hint="eastAsia" w:ascii="宋体" w:hAnsi="宋体" w:cs="宋体"/>
          <w:szCs w:val="21"/>
        </w:rPr>
        <w:t>2、本项目承包方式为全额经济责任承包，如因乙方管理不力导致意外事故发生，所有责任由乙方承担。</w:t>
      </w:r>
    </w:p>
    <w:p>
      <w:pPr>
        <w:spacing w:line="360" w:lineRule="auto"/>
        <w:ind w:firstLine="420" w:firstLineChars="200"/>
        <w:contextualSpacing/>
        <w:rPr>
          <w:rFonts w:ascii="宋体" w:hAnsi="宋体" w:cs="宋体"/>
          <w:szCs w:val="21"/>
        </w:rPr>
      </w:pPr>
      <w:r>
        <w:rPr>
          <w:rFonts w:hint="eastAsia" w:ascii="宋体" w:hAnsi="宋体" w:cs="宋体"/>
          <w:szCs w:val="21"/>
        </w:rPr>
        <w:t>3、因行政区划等政府政策因素而导致的工程数量及养护区域变更或合同无法继续履行等情况时，由乙方自行承担因此造成的一切损失和责任，并服从政策和甲方针对本项目标项内容的调整方式及管理规定，且不得向甲方提出任何索赔。</w:t>
      </w:r>
    </w:p>
    <w:p>
      <w:pPr>
        <w:spacing w:line="360" w:lineRule="auto"/>
        <w:ind w:firstLine="420" w:firstLineChars="200"/>
        <w:contextualSpacing/>
        <w:rPr>
          <w:rFonts w:ascii="宋体" w:hAnsi="宋体" w:cs="宋体"/>
          <w:szCs w:val="21"/>
        </w:rPr>
      </w:pPr>
      <w:r>
        <w:rPr>
          <w:rFonts w:hint="eastAsia" w:ascii="宋体" w:hAnsi="宋体" w:cs="宋体"/>
          <w:szCs w:val="21"/>
        </w:rPr>
        <w:t>4、本合同绿化养护标准、考核办法作为合同附件，对合同条款具有补充作用。</w:t>
      </w:r>
    </w:p>
    <w:p>
      <w:pPr>
        <w:spacing w:line="360" w:lineRule="auto"/>
        <w:ind w:firstLine="420" w:firstLineChars="200"/>
        <w:contextualSpacing/>
        <w:rPr>
          <w:rFonts w:ascii="宋体" w:hAnsi="宋体" w:cs="宋体"/>
          <w:szCs w:val="21"/>
        </w:rPr>
      </w:pPr>
      <w:r>
        <w:rPr>
          <w:rFonts w:hint="eastAsia" w:ascii="宋体" w:hAnsi="宋体" w:cs="宋体"/>
          <w:szCs w:val="21"/>
        </w:rPr>
        <w:t>5、本合同未尽事宜，以采购文件、乙方的投标文件及投标澄清和承诺或以双方签订的补充协议为准，均与本合同具有同等效力。</w:t>
      </w:r>
    </w:p>
    <w:p>
      <w:pPr>
        <w:pStyle w:val="26"/>
        <w:spacing w:before="0" w:beforeLines="0" w:after="0" w:afterLines="0" w:line="360" w:lineRule="auto"/>
        <w:ind w:firstLine="422" w:firstLineChars="200"/>
        <w:rPr>
          <w:rFonts w:hint="eastAsia" w:hAnsi="宋体" w:cs="宋体"/>
          <w:b/>
          <w:sz w:val="21"/>
          <w:szCs w:val="21"/>
        </w:rPr>
      </w:pPr>
      <w:r>
        <w:rPr>
          <w:rFonts w:hint="eastAsia" w:hAnsi="宋体" w:cs="宋体"/>
          <w:b/>
          <w:sz w:val="21"/>
          <w:szCs w:val="21"/>
        </w:rPr>
        <w:t>十一、诉讼</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10.1 双方在执行合同中所发生的一切争议，应通过协商解决。如协商不成，可向合同签订地法院起诉。</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10.2合同签订地：宁波市鄞州区</w:t>
      </w:r>
    </w:p>
    <w:p>
      <w:pPr>
        <w:pStyle w:val="26"/>
        <w:spacing w:before="0" w:beforeLines="0" w:after="0" w:afterLines="0" w:line="360" w:lineRule="auto"/>
        <w:ind w:firstLine="422" w:firstLineChars="200"/>
        <w:rPr>
          <w:rFonts w:hint="eastAsia" w:hAnsi="宋体" w:cs="宋体"/>
          <w:b/>
          <w:sz w:val="21"/>
          <w:szCs w:val="21"/>
        </w:rPr>
      </w:pPr>
      <w:r>
        <w:rPr>
          <w:rFonts w:hint="eastAsia" w:hAnsi="宋体" w:cs="宋体"/>
          <w:b/>
          <w:sz w:val="21"/>
          <w:szCs w:val="21"/>
        </w:rPr>
        <w:t>十二、合同生效及其它</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11.1 合同经双方法定代表人或授权委托代理人签字并加盖单位公章并缴纳履约保证金后生效。</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11.2合同执行中涉及采购资金和采购内容修改或补充的，须经鄞州区财政部门审批，并签书面补充协议报政府采购监督管理部门备案，方可作为主合同不可分割的一部分。</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11.3本合同未尽事宜，遵照《民法典》有关条文、补充协议、投标承诺、投标文件、采购文件及补充执行。</w:t>
      </w:r>
    </w:p>
    <w:p>
      <w:pPr>
        <w:pStyle w:val="26"/>
        <w:spacing w:before="0" w:beforeLines="0" w:after="0" w:afterLines="0" w:line="360" w:lineRule="auto"/>
        <w:ind w:firstLine="420" w:firstLineChars="200"/>
        <w:rPr>
          <w:rFonts w:hint="eastAsia" w:hAnsi="宋体" w:cs="宋体"/>
          <w:sz w:val="21"/>
          <w:szCs w:val="21"/>
        </w:rPr>
      </w:pPr>
      <w:r>
        <w:rPr>
          <w:rFonts w:hint="eastAsia" w:hAnsi="宋体" w:cs="宋体"/>
          <w:sz w:val="21"/>
          <w:szCs w:val="21"/>
        </w:rPr>
        <w:t>11.4本合同正本一式   份，甲乙双方各执  份；副本  份，甲乙双方各执  份，合同正副本具有同等法律效力。</w:t>
      </w:r>
    </w:p>
    <w:p>
      <w:pPr>
        <w:pStyle w:val="26"/>
        <w:spacing w:before="0" w:beforeLines="0" w:after="0" w:afterLines="0" w:line="360" w:lineRule="auto"/>
        <w:rPr>
          <w:rFonts w:hint="eastAsia" w:hAnsi="宋体" w:cs="宋体"/>
          <w:b/>
          <w:snapToGrid w:val="0"/>
          <w:sz w:val="21"/>
          <w:szCs w:val="21"/>
        </w:rPr>
      </w:pPr>
      <w:r>
        <w:rPr>
          <w:rFonts w:hint="eastAsia" w:hAnsi="宋体" w:cs="宋体"/>
          <w:b/>
          <w:snapToGrid w:val="0"/>
          <w:sz w:val="21"/>
          <w:szCs w:val="21"/>
        </w:rPr>
        <w:t>十三、合同附件：</w:t>
      </w:r>
    </w:p>
    <w:p>
      <w:pPr>
        <w:pStyle w:val="26"/>
        <w:spacing w:before="0" w:beforeLines="0" w:after="0" w:afterLines="0" w:line="360" w:lineRule="auto"/>
        <w:ind w:left="420" w:hanging="420" w:hangingChars="200"/>
        <w:rPr>
          <w:rFonts w:hint="eastAsia"/>
          <w:bCs/>
          <w:sz w:val="21"/>
          <w:szCs w:val="21"/>
        </w:rPr>
      </w:pPr>
      <w:r>
        <w:rPr>
          <w:rFonts w:hint="eastAsia"/>
          <w:bCs/>
          <w:sz w:val="21"/>
          <w:szCs w:val="21"/>
        </w:rPr>
        <w:t>附件1：鄞州区城市绿地养护质量等级标准</w:t>
      </w:r>
    </w:p>
    <w:p>
      <w:pPr>
        <w:pStyle w:val="26"/>
        <w:spacing w:before="0" w:beforeLines="0" w:after="0" w:afterLines="0" w:line="360" w:lineRule="auto"/>
        <w:ind w:left="420" w:hanging="420" w:hangingChars="200"/>
        <w:rPr>
          <w:rFonts w:hint="eastAsia"/>
          <w:bCs/>
          <w:sz w:val="21"/>
          <w:szCs w:val="21"/>
        </w:rPr>
      </w:pPr>
      <w:r>
        <w:rPr>
          <w:rFonts w:hint="eastAsia"/>
          <w:bCs/>
          <w:sz w:val="21"/>
          <w:szCs w:val="21"/>
        </w:rPr>
        <w:t>附件2：厕所保洁质量及保洁作业要求</w:t>
      </w:r>
    </w:p>
    <w:p>
      <w:pPr>
        <w:pStyle w:val="26"/>
        <w:spacing w:before="0" w:beforeLines="0" w:after="0" w:afterLines="0" w:line="360" w:lineRule="auto"/>
        <w:ind w:left="420" w:hanging="420" w:hangingChars="200"/>
        <w:rPr>
          <w:rFonts w:hint="eastAsia"/>
          <w:bCs/>
          <w:sz w:val="21"/>
          <w:szCs w:val="21"/>
        </w:rPr>
      </w:pPr>
      <w:r>
        <w:rPr>
          <w:rFonts w:hint="eastAsia"/>
          <w:bCs/>
          <w:sz w:val="21"/>
          <w:szCs w:val="21"/>
        </w:rPr>
        <w:t>附件3：潘火街道</w:t>
      </w:r>
      <w:r>
        <w:rPr>
          <w:bCs/>
          <w:sz w:val="21"/>
          <w:szCs w:val="21"/>
        </w:rPr>
        <w:t>绿地养护考核管理办法</w:t>
      </w:r>
    </w:p>
    <w:p>
      <w:pPr>
        <w:pStyle w:val="26"/>
        <w:spacing w:before="0" w:beforeLines="0" w:after="0" w:afterLines="0" w:line="360" w:lineRule="auto"/>
        <w:ind w:left="420" w:hanging="420" w:hangingChars="200"/>
        <w:rPr>
          <w:rFonts w:hint="eastAsia"/>
          <w:bCs/>
          <w:sz w:val="21"/>
          <w:szCs w:val="21"/>
        </w:rPr>
      </w:pPr>
      <w:r>
        <w:rPr>
          <w:bCs/>
          <w:sz w:val="21"/>
          <w:szCs w:val="21"/>
        </w:rPr>
        <w:t>附件</w:t>
      </w:r>
      <w:r>
        <w:rPr>
          <w:rFonts w:hint="eastAsia"/>
          <w:bCs/>
          <w:sz w:val="21"/>
          <w:szCs w:val="21"/>
        </w:rPr>
        <w:t>4</w:t>
      </w:r>
      <w:r>
        <w:rPr>
          <w:bCs/>
          <w:sz w:val="21"/>
          <w:szCs w:val="21"/>
        </w:rPr>
        <w:t>：绿地养护质量考核扣分细则</w:t>
      </w:r>
      <w:r>
        <w:rPr>
          <w:rFonts w:hint="eastAsia"/>
          <w:bCs/>
          <w:sz w:val="21"/>
          <w:szCs w:val="21"/>
        </w:rPr>
        <w:t>（占比：45%）</w:t>
      </w:r>
    </w:p>
    <w:p>
      <w:pPr>
        <w:pStyle w:val="26"/>
        <w:spacing w:before="0" w:beforeLines="0" w:after="0" w:afterLines="0" w:line="360" w:lineRule="auto"/>
        <w:ind w:left="420" w:hanging="420" w:hangingChars="200"/>
        <w:rPr>
          <w:bCs/>
          <w:sz w:val="21"/>
          <w:szCs w:val="21"/>
        </w:rPr>
      </w:pPr>
      <w:r>
        <w:rPr>
          <w:bCs/>
          <w:sz w:val="21"/>
          <w:szCs w:val="21"/>
        </w:rPr>
        <w:t>附件</w:t>
      </w:r>
      <w:r>
        <w:rPr>
          <w:rFonts w:hint="eastAsia"/>
          <w:bCs/>
          <w:sz w:val="21"/>
          <w:szCs w:val="21"/>
        </w:rPr>
        <w:t>5</w:t>
      </w:r>
      <w:r>
        <w:rPr>
          <w:bCs/>
          <w:sz w:val="21"/>
          <w:szCs w:val="21"/>
        </w:rPr>
        <w:t>：鄞州区行道树养护质量考核扣分细则</w:t>
      </w:r>
      <w:r>
        <w:rPr>
          <w:rFonts w:hint="eastAsia"/>
          <w:bCs/>
          <w:sz w:val="21"/>
          <w:szCs w:val="21"/>
        </w:rPr>
        <w:t>（占比：20%）</w:t>
      </w:r>
    </w:p>
    <w:p>
      <w:pPr>
        <w:pStyle w:val="26"/>
        <w:spacing w:before="0" w:beforeLines="0" w:after="0" w:afterLines="0" w:line="360" w:lineRule="auto"/>
        <w:ind w:left="420" w:hanging="420" w:hangingChars="200"/>
        <w:rPr>
          <w:rFonts w:hint="eastAsia"/>
          <w:bCs/>
          <w:sz w:val="21"/>
          <w:szCs w:val="21"/>
        </w:rPr>
      </w:pPr>
      <w:r>
        <w:rPr>
          <w:bCs/>
          <w:sz w:val="21"/>
          <w:szCs w:val="21"/>
        </w:rPr>
        <w:t>附件</w:t>
      </w:r>
      <w:r>
        <w:rPr>
          <w:rFonts w:hint="eastAsia"/>
          <w:bCs/>
          <w:sz w:val="21"/>
          <w:szCs w:val="21"/>
        </w:rPr>
        <w:t>6</w:t>
      </w:r>
      <w:r>
        <w:rPr>
          <w:bCs/>
          <w:sz w:val="21"/>
          <w:szCs w:val="21"/>
        </w:rPr>
        <w:t>：鄞州区花坛花境养护质量考核扣分细则</w:t>
      </w:r>
      <w:r>
        <w:rPr>
          <w:rFonts w:hint="eastAsia"/>
          <w:bCs/>
          <w:sz w:val="21"/>
          <w:szCs w:val="21"/>
        </w:rPr>
        <w:t>（占比：20%）</w:t>
      </w:r>
    </w:p>
    <w:p>
      <w:pPr>
        <w:pStyle w:val="26"/>
        <w:spacing w:before="0" w:beforeLines="0" w:after="0" w:afterLines="0" w:line="360" w:lineRule="auto"/>
        <w:ind w:left="420" w:hanging="420" w:hangingChars="200"/>
        <w:rPr>
          <w:rFonts w:hint="eastAsia"/>
          <w:bCs/>
          <w:sz w:val="21"/>
          <w:szCs w:val="21"/>
        </w:rPr>
      </w:pPr>
      <w:r>
        <w:rPr>
          <w:bCs/>
          <w:sz w:val="21"/>
          <w:szCs w:val="21"/>
        </w:rPr>
        <w:t>附件</w:t>
      </w:r>
      <w:r>
        <w:rPr>
          <w:rFonts w:hint="eastAsia"/>
          <w:bCs/>
          <w:sz w:val="21"/>
          <w:szCs w:val="21"/>
        </w:rPr>
        <w:t>7</w:t>
      </w:r>
      <w:r>
        <w:rPr>
          <w:bCs/>
          <w:sz w:val="21"/>
          <w:szCs w:val="21"/>
        </w:rPr>
        <w:t>：</w:t>
      </w:r>
      <w:r>
        <w:rPr>
          <w:rFonts w:hint="eastAsia"/>
          <w:bCs/>
          <w:sz w:val="21"/>
          <w:szCs w:val="21"/>
        </w:rPr>
        <w:t>苗圃月度养护考核细则（占比：15%）</w:t>
      </w:r>
    </w:p>
    <w:p>
      <w:pPr>
        <w:pStyle w:val="26"/>
        <w:spacing w:before="0" w:beforeLines="0" w:after="0" w:afterLines="0" w:line="360" w:lineRule="auto"/>
        <w:ind w:left="420" w:hanging="420" w:hangingChars="200"/>
        <w:rPr>
          <w:rFonts w:hint="eastAsia"/>
          <w:bCs/>
          <w:sz w:val="21"/>
          <w:szCs w:val="21"/>
        </w:rPr>
      </w:pPr>
      <w:r>
        <w:rPr>
          <w:bCs/>
          <w:sz w:val="21"/>
          <w:szCs w:val="21"/>
        </w:rPr>
        <w:t>附件</w:t>
      </w:r>
      <w:r>
        <w:rPr>
          <w:rFonts w:hint="eastAsia"/>
          <w:bCs/>
          <w:sz w:val="21"/>
          <w:szCs w:val="21"/>
        </w:rPr>
        <w:t>8</w:t>
      </w:r>
      <w:r>
        <w:rPr>
          <w:bCs/>
          <w:sz w:val="21"/>
          <w:szCs w:val="21"/>
        </w:rPr>
        <w:t>：直接扣款项</w:t>
      </w:r>
    </w:p>
    <w:p>
      <w:pPr>
        <w:pStyle w:val="26"/>
        <w:spacing w:before="0" w:beforeLines="0" w:after="0" w:afterLines="0" w:line="360" w:lineRule="auto"/>
        <w:ind w:left="420" w:hanging="420" w:hangingChars="200"/>
        <w:rPr>
          <w:bCs/>
          <w:sz w:val="21"/>
          <w:szCs w:val="21"/>
        </w:rPr>
      </w:pPr>
      <w:r>
        <w:rPr>
          <w:rFonts w:hint="eastAsia"/>
          <w:bCs/>
          <w:sz w:val="21"/>
          <w:szCs w:val="21"/>
        </w:rPr>
        <w:t>附件9：鄞州区潘火街道绿化面积</w:t>
      </w:r>
    </w:p>
    <w:p>
      <w:pPr>
        <w:pStyle w:val="2"/>
        <w:spacing w:line="400" w:lineRule="exact"/>
        <w:ind w:left="0" w:leftChars="0" w:firstLine="0"/>
        <w:jc w:val="left"/>
        <w:rPr>
          <w:rFonts w:hAnsi="宋体"/>
          <w:b/>
          <w:bCs/>
          <w:spacing w:val="0"/>
          <w:szCs w:val="24"/>
        </w:rPr>
      </w:pPr>
    </w:p>
    <w:p>
      <w:pPr>
        <w:tabs>
          <w:tab w:val="left" w:pos="5103"/>
        </w:tabs>
        <w:spacing w:line="360" w:lineRule="auto"/>
        <w:rPr>
          <w:rFonts w:hint="eastAsia" w:ascii="宋体" w:hAnsi="宋体" w:cs="宋体"/>
          <w:szCs w:val="21"/>
        </w:rPr>
      </w:pPr>
    </w:p>
    <w:p>
      <w:pPr>
        <w:tabs>
          <w:tab w:val="left" w:pos="5103"/>
        </w:tabs>
        <w:spacing w:line="360" w:lineRule="auto"/>
        <w:rPr>
          <w:rFonts w:hint="eastAsia" w:ascii="宋体" w:hAnsi="宋体" w:cs="宋体"/>
          <w:szCs w:val="21"/>
        </w:rPr>
      </w:pPr>
      <w:r>
        <w:rPr>
          <w:rFonts w:hint="eastAsia" w:ascii="宋体" w:hAnsi="宋体" w:cs="宋体"/>
          <w:szCs w:val="21"/>
        </w:rPr>
        <w:t>甲方（盖章）：</w:t>
      </w:r>
      <w:r>
        <w:rPr>
          <w:rFonts w:hint="eastAsia" w:ascii="宋体" w:hAnsi="宋体" w:cs="宋体"/>
          <w:szCs w:val="21"/>
        </w:rPr>
        <w:tab/>
      </w:r>
      <w:r>
        <w:rPr>
          <w:rFonts w:hint="eastAsia" w:ascii="宋体" w:hAnsi="宋体" w:cs="宋体"/>
          <w:szCs w:val="21"/>
        </w:rPr>
        <w:t>乙方（盖章）：</w:t>
      </w:r>
    </w:p>
    <w:p>
      <w:pPr>
        <w:tabs>
          <w:tab w:val="left" w:pos="5103"/>
        </w:tabs>
        <w:spacing w:line="360" w:lineRule="auto"/>
        <w:rPr>
          <w:rFonts w:hint="eastAsia" w:ascii="宋体" w:hAnsi="宋体" w:cs="宋体"/>
          <w:szCs w:val="21"/>
        </w:rPr>
      </w:pPr>
      <w:r>
        <w:rPr>
          <w:rFonts w:hint="eastAsia" w:ascii="宋体" w:hAnsi="宋体" w:cs="宋体"/>
          <w:szCs w:val="21"/>
        </w:rPr>
        <w:t>地址：</w:t>
      </w:r>
      <w:r>
        <w:rPr>
          <w:rFonts w:hint="eastAsia" w:ascii="宋体" w:hAnsi="宋体" w:cs="宋体"/>
          <w:szCs w:val="21"/>
        </w:rPr>
        <w:tab/>
      </w:r>
      <w:r>
        <w:rPr>
          <w:rFonts w:hint="eastAsia" w:ascii="宋体" w:hAnsi="宋体" w:cs="宋体"/>
          <w:szCs w:val="21"/>
        </w:rPr>
        <w:t>地址：</w:t>
      </w:r>
    </w:p>
    <w:p>
      <w:pPr>
        <w:tabs>
          <w:tab w:val="left" w:pos="5103"/>
        </w:tabs>
        <w:spacing w:line="360" w:lineRule="auto"/>
        <w:rPr>
          <w:rFonts w:hint="eastAsia" w:ascii="宋体" w:hAnsi="宋体" w:cs="宋体"/>
          <w:szCs w:val="21"/>
        </w:rPr>
      </w:pPr>
      <w:r>
        <w:rPr>
          <w:rFonts w:hint="eastAsia" w:ascii="宋体" w:hAnsi="宋体" w:cs="宋体"/>
          <w:szCs w:val="21"/>
        </w:rPr>
        <w:t>代表人：</w:t>
      </w:r>
      <w:r>
        <w:rPr>
          <w:rFonts w:hint="eastAsia" w:ascii="宋体" w:hAnsi="宋体" w:cs="宋体"/>
          <w:szCs w:val="21"/>
        </w:rPr>
        <w:tab/>
      </w:r>
      <w:r>
        <w:rPr>
          <w:rFonts w:hint="eastAsia" w:ascii="宋体" w:hAnsi="宋体" w:cs="宋体"/>
          <w:szCs w:val="21"/>
        </w:rPr>
        <w:t>代表人：</w:t>
      </w:r>
    </w:p>
    <w:p>
      <w:pPr>
        <w:tabs>
          <w:tab w:val="left" w:pos="5103"/>
        </w:tabs>
        <w:spacing w:line="360" w:lineRule="auto"/>
        <w:rPr>
          <w:rFonts w:hint="eastAsia" w:ascii="宋体" w:hAnsi="宋体" w:cs="宋体"/>
          <w:szCs w:val="21"/>
        </w:rPr>
      </w:pPr>
      <w:r>
        <w:rPr>
          <w:rFonts w:hint="eastAsia" w:ascii="宋体" w:hAnsi="宋体" w:cs="宋体"/>
          <w:szCs w:val="21"/>
        </w:rPr>
        <w:t>电话：</w:t>
      </w:r>
      <w:r>
        <w:rPr>
          <w:rFonts w:hint="eastAsia" w:ascii="宋体" w:hAnsi="宋体" w:cs="宋体"/>
          <w:szCs w:val="21"/>
        </w:rPr>
        <w:tab/>
      </w:r>
      <w:r>
        <w:rPr>
          <w:rFonts w:hint="eastAsia" w:ascii="宋体" w:hAnsi="宋体" w:cs="宋体"/>
          <w:szCs w:val="21"/>
        </w:rPr>
        <w:t>电话：</w:t>
      </w:r>
    </w:p>
    <w:p>
      <w:pPr>
        <w:adjustRightInd w:val="0"/>
        <w:snapToGrid w:val="0"/>
        <w:spacing w:line="480" w:lineRule="auto"/>
        <w:rPr>
          <w:rFonts w:hint="eastAsia" w:ascii="黑体" w:hAnsi="黑体" w:eastAsia="黑体" w:cs="黑体"/>
          <w:b/>
          <w:w w:val="90"/>
          <w:szCs w:val="21"/>
        </w:rPr>
      </w:pPr>
      <w:r>
        <w:rPr>
          <w:rFonts w:hint="eastAsia" w:ascii="宋体" w:hAnsi="宋体" w:cs="宋体"/>
          <w:szCs w:val="21"/>
        </w:rPr>
        <w:t xml:space="preserve">时间：              </w:t>
      </w:r>
      <w:r>
        <w:rPr>
          <w:rFonts w:hint="eastAsia" w:ascii="宋体" w:hAnsi="宋体" w:cs="宋体"/>
          <w:szCs w:val="21"/>
        </w:rPr>
        <w:tab/>
      </w:r>
      <w:r>
        <w:rPr>
          <w:rFonts w:hint="eastAsia" w:ascii="宋体" w:hAnsi="宋体" w:cs="宋体"/>
          <w:szCs w:val="21"/>
        </w:rPr>
        <w:t xml:space="preserve">                         时间：</w:t>
      </w:r>
    </w:p>
    <w:bookmarkEnd w:id="110"/>
    <w:bookmarkEnd w:id="111"/>
    <w:bookmarkEnd w:id="112"/>
    <w:bookmarkEnd w:id="113"/>
    <w:p>
      <w:pPr>
        <w:pStyle w:val="26"/>
        <w:adjustRightInd w:val="0"/>
        <w:snapToGrid w:val="0"/>
        <w:spacing w:before="0" w:beforeLines="0" w:after="0" w:afterLines="0" w:line="360" w:lineRule="auto"/>
        <w:jc w:val="left"/>
        <w:rPr>
          <w:rFonts w:hint="eastAsia" w:hAnsi="宋体" w:cs="宋体"/>
          <w:bCs/>
          <w:sz w:val="21"/>
          <w:szCs w:val="21"/>
        </w:rPr>
      </w:pPr>
    </w:p>
    <w:p>
      <w:pPr>
        <w:spacing w:line="360" w:lineRule="auto"/>
        <w:rPr>
          <w:rFonts w:hint="eastAsia" w:ascii="宋体" w:hAnsi="宋体" w:cs="宋体"/>
          <w:sz w:val="24"/>
        </w:rPr>
      </w:pPr>
    </w:p>
    <w:p>
      <w:pPr>
        <w:pStyle w:val="4"/>
        <w:snapToGrid w:val="0"/>
        <w:spacing w:before="0" w:after="0" w:line="440" w:lineRule="exact"/>
        <w:rPr>
          <w:rFonts w:hint="eastAsia" w:ascii="宋体" w:hAnsi="宋体" w:cs="宋体"/>
          <w:sz w:val="32"/>
          <w:szCs w:val="32"/>
        </w:rPr>
      </w:pPr>
      <w:r>
        <w:rPr>
          <w:rFonts w:hAnsi="宋体"/>
        </w:rPr>
        <w:br w:type="page"/>
      </w:r>
      <w:r>
        <w:rPr>
          <w:rFonts w:hint="eastAsia" w:ascii="宋体" w:hAnsi="宋体" w:cs="宋体"/>
          <w:sz w:val="32"/>
          <w:szCs w:val="32"/>
        </w:rPr>
        <w:t>第六章  投标文件格式</w:t>
      </w:r>
      <w:bookmarkEnd w:id="114"/>
      <w:bookmarkEnd w:id="115"/>
      <w:bookmarkEnd w:id="116"/>
      <w:bookmarkEnd w:id="117"/>
      <w:bookmarkEnd w:id="118"/>
    </w:p>
    <w:p>
      <w:pPr>
        <w:snapToGrid w:val="0"/>
        <w:spacing w:line="440" w:lineRule="exact"/>
        <w:rPr>
          <w:rFonts w:hint="eastAsia" w:ascii="宋体" w:hAnsi="宋体" w:cs="宋体"/>
          <w:sz w:val="24"/>
        </w:rPr>
      </w:pPr>
    </w:p>
    <w:p>
      <w:pPr>
        <w:pStyle w:val="5"/>
        <w:snapToGrid w:val="0"/>
        <w:spacing w:before="0" w:after="0" w:line="360" w:lineRule="auto"/>
        <w:rPr>
          <w:rFonts w:hint="eastAsia" w:ascii="宋体" w:hAnsi="宋体" w:eastAsia="宋体" w:cs="宋体"/>
          <w:sz w:val="24"/>
          <w:szCs w:val="24"/>
        </w:rPr>
      </w:pPr>
      <w:bookmarkStart w:id="119" w:name="_Toc31633"/>
      <w:bookmarkStart w:id="120" w:name="_Toc25473"/>
      <w:r>
        <w:rPr>
          <w:rFonts w:hint="eastAsia" w:ascii="宋体" w:hAnsi="宋体" w:eastAsia="宋体" w:cs="宋体"/>
          <w:sz w:val="24"/>
          <w:szCs w:val="24"/>
        </w:rPr>
        <w:t>1、投标文件的外包装封面</w:t>
      </w:r>
      <w:bookmarkEnd w:id="119"/>
      <w:bookmarkEnd w:id="120"/>
    </w:p>
    <w:p>
      <w:pPr>
        <w:snapToGrid w:val="0"/>
        <w:spacing w:line="440" w:lineRule="exact"/>
        <w:jc w:val="center"/>
        <w:rPr>
          <w:rFonts w:hint="eastAsia" w:ascii="宋体" w:hAnsi="宋体" w:cs="宋体"/>
          <w:b/>
          <w:bCs/>
          <w:sz w:val="24"/>
        </w:rPr>
      </w:pPr>
    </w:p>
    <w:p>
      <w:pPr>
        <w:snapToGrid w:val="0"/>
        <w:spacing w:line="360" w:lineRule="auto"/>
        <w:jc w:val="center"/>
        <w:rPr>
          <w:rFonts w:hint="eastAsia" w:ascii="宋体" w:hAnsi="宋体" w:cs="宋体"/>
          <w:bCs/>
          <w:sz w:val="24"/>
        </w:rPr>
      </w:pPr>
      <w:r>
        <w:rPr>
          <w:rFonts w:hint="eastAsia" w:ascii="宋体" w:hAnsi="宋体" w:cs="宋体"/>
          <w:b/>
          <w:bCs/>
          <w:sz w:val="24"/>
        </w:rPr>
        <w:t>电子备份投标文件</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项目编号：</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项目名称：</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供应商名称（加盖公章）：</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供应商地址：</w:t>
      </w:r>
    </w:p>
    <w:p>
      <w:pPr>
        <w:snapToGrid w:val="0"/>
        <w:spacing w:line="360" w:lineRule="auto"/>
        <w:ind w:firstLine="482" w:firstLineChars="200"/>
        <w:rPr>
          <w:rFonts w:hint="eastAsia" w:ascii="宋体" w:hAnsi="宋体" w:cs="宋体"/>
          <w:b/>
          <w:bCs/>
          <w:sz w:val="24"/>
        </w:rPr>
      </w:pPr>
    </w:p>
    <w:p>
      <w:pPr>
        <w:snapToGrid w:val="0"/>
        <w:spacing w:line="360" w:lineRule="auto"/>
        <w:jc w:val="center"/>
        <w:rPr>
          <w:rFonts w:hint="eastAsia" w:ascii="宋体" w:hAnsi="宋体" w:cs="宋体"/>
          <w:bCs/>
          <w:sz w:val="24"/>
        </w:rPr>
      </w:pPr>
      <w:r>
        <w:rPr>
          <w:rFonts w:hint="eastAsia" w:ascii="宋体" w:hAnsi="宋体" w:cs="宋体"/>
          <w:b/>
          <w:bCs/>
          <w:sz w:val="24"/>
        </w:rPr>
        <w:t>开标时启封</w:t>
      </w:r>
    </w:p>
    <w:p>
      <w:pPr>
        <w:snapToGrid w:val="0"/>
        <w:spacing w:line="440" w:lineRule="exact"/>
        <w:jc w:val="right"/>
        <w:rPr>
          <w:rFonts w:hint="eastAsia" w:ascii="宋体" w:hAnsi="宋体" w:cs="宋体"/>
          <w:bCs/>
          <w:sz w:val="24"/>
        </w:rPr>
      </w:pPr>
      <w:r>
        <w:rPr>
          <w:rFonts w:hint="eastAsia" w:ascii="宋体" w:hAnsi="宋体" w:cs="宋体"/>
          <w:bCs/>
          <w:sz w:val="24"/>
        </w:rPr>
        <w:t>年  月  日</w:t>
      </w:r>
    </w:p>
    <w:p>
      <w:pPr>
        <w:snapToGrid w:val="0"/>
        <w:spacing w:line="440" w:lineRule="exact"/>
        <w:jc w:val="center"/>
        <w:rPr>
          <w:rFonts w:hint="eastAsia" w:ascii="宋体" w:hAnsi="宋体" w:cs="宋体"/>
          <w:bCs/>
          <w:sz w:val="24"/>
        </w:rPr>
      </w:pPr>
    </w:p>
    <w:p>
      <w:pPr>
        <w:snapToGrid w:val="0"/>
        <w:spacing w:line="440" w:lineRule="exact"/>
        <w:jc w:val="center"/>
        <w:rPr>
          <w:rFonts w:hint="eastAsia" w:ascii="宋体" w:hAnsi="宋体" w:cs="宋体"/>
          <w:bCs/>
          <w:sz w:val="24"/>
        </w:rPr>
      </w:pPr>
    </w:p>
    <w:p>
      <w:pPr>
        <w:snapToGrid w:val="0"/>
        <w:spacing w:line="440" w:lineRule="exact"/>
        <w:jc w:val="center"/>
        <w:rPr>
          <w:rFonts w:hint="eastAsia" w:ascii="宋体" w:hAnsi="宋体" w:cs="宋体"/>
          <w:bCs/>
          <w:sz w:val="24"/>
        </w:rPr>
      </w:pPr>
    </w:p>
    <w:p>
      <w:pPr>
        <w:pStyle w:val="5"/>
        <w:snapToGrid w:val="0"/>
        <w:spacing w:before="0" w:after="0" w:line="360" w:lineRule="auto"/>
        <w:rPr>
          <w:rFonts w:hint="eastAsia" w:ascii="宋体" w:hAnsi="宋体" w:eastAsia="宋体" w:cs="宋体"/>
          <w:sz w:val="24"/>
          <w:szCs w:val="24"/>
        </w:rPr>
      </w:pPr>
      <w:bookmarkStart w:id="121" w:name="_Toc8173"/>
      <w:bookmarkStart w:id="122" w:name="_Toc23571"/>
      <w:r>
        <w:rPr>
          <w:rFonts w:hint="eastAsia" w:ascii="宋体" w:hAnsi="宋体" w:eastAsia="宋体" w:cs="宋体"/>
          <w:sz w:val="24"/>
          <w:szCs w:val="24"/>
        </w:rPr>
        <w:t>2、投标文件封面格式</w:t>
      </w:r>
      <w:bookmarkEnd w:id="121"/>
      <w:bookmarkEnd w:id="122"/>
    </w:p>
    <w:p>
      <w:pPr>
        <w:snapToGrid w:val="0"/>
        <w:spacing w:line="440" w:lineRule="exact"/>
        <w:jc w:val="center"/>
        <w:rPr>
          <w:rFonts w:hint="eastAsia" w:ascii="宋体" w:hAnsi="宋体" w:cs="宋体"/>
          <w:sz w:val="24"/>
          <w:szCs w:val="32"/>
        </w:rPr>
      </w:pPr>
      <w:r>
        <w:rPr>
          <w:rFonts w:hint="eastAsia" w:ascii="宋体" w:hAnsi="宋体" w:cs="宋体"/>
          <w:b/>
          <w:bCs/>
          <w:sz w:val="24"/>
        </w:rPr>
        <w:t xml:space="preserve">                                           </w:t>
      </w:r>
    </w:p>
    <w:p>
      <w:pPr>
        <w:snapToGrid w:val="0"/>
        <w:spacing w:line="360" w:lineRule="auto"/>
        <w:jc w:val="center"/>
        <w:rPr>
          <w:rFonts w:hint="eastAsia" w:ascii="宋体" w:hAnsi="宋体" w:cs="宋体"/>
          <w:bCs/>
          <w:sz w:val="24"/>
        </w:rPr>
      </w:pPr>
      <w:r>
        <w:rPr>
          <w:rFonts w:hint="eastAsia" w:ascii="宋体" w:hAnsi="宋体" w:cs="宋体"/>
          <w:b/>
          <w:bCs/>
          <w:sz w:val="24"/>
        </w:rPr>
        <w:t>资格文件/商务技术文件/报价文件</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项目编号：</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项目名称：</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供应商名称（加盖公章）：</w:t>
      </w:r>
    </w:p>
    <w:p>
      <w:pPr>
        <w:snapToGrid w:val="0"/>
        <w:spacing w:line="360" w:lineRule="auto"/>
        <w:ind w:firstLine="480" w:firstLineChars="200"/>
        <w:rPr>
          <w:rFonts w:hint="eastAsia" w:ascii="宋体" w:hAnsi="宋体" w:cs="宋体"/>
          <w:bCs/>
          <w:sz w:val="24"/>
        </w:rPr>
      </w:pPr>
      <w:r>
        <w:rPr>
          <w:rFonts w:hint="eastAsia" w:ascii="宋体" w:hAnsi="宋体" w:cs="宋体"/>
          <w:bCs/>
          <w:sz w:val="24"/>
        </w:rPr>
        <w:t>供应商地址：</w:t>
      </w:r>
    </w:p>
    <w:p>
      <w:pPr>
        <w:snapToGrid w:val="0"/>
        <w:spacing w:line="360" w:lineRule="auto"/>
        <w:ind w:firstLine="480" w:firstLineChars="200"/>
        <w:rPr>
          <w:rFonts w:hint="eastAsia" w:ascii="宋体" w:hAnsi="宋体" w:cs="宋体"/>
          <w:bCs/>
          <w:sz w:val="24"/>
        </w:rPr>
      </w:pPr>
    </w:p>
    <w:p>
      <w:pPr>
        <w:snapToGrid w:val="0"/>
        <w:spacing w:line="360" w:lineRule="auto"/>
        <w:jc w:val="center"/>
        <w:rPr>
          <w:rFonts w:hint="eastAsia" w:ascii="宋体" w:hAnsi="宋体" w:cs="宋体"/>
          <w:bCs/>
          <w:sz w:val="24"/>
        </w:rPr>
      </w:pPr>
      <w:r>
        <w:rPr>
          <w:rFonts w:hint="eastAsia" w:ascii="宋体" w:hAnsi="宋体" w:cs="宋体"/>
          <w:bCs/>
          <w:sz w:val="24"/>
        </w:rPr>
        <w:t xml:space="preserve">                        年  月  日</w:t>
      </w:r>
    </w:p>
    <w:p>
      <w:pPr>
        <w:pStyle w:val="5"/>
        <w:snapToGrid w:val="0"/>
        <w:spacing w:before="0" w:after="0" w:line="240" w:lineRule="auto"/>
        <w:rPr>
          <w:rFonts w:hint="eastAsia" w:ascii="宋体" w:hAnsi="宋体" w:eastAsia="宋体" w:cs="宋体"/>
          <w:sz w:val="24"/>
          <w:szCs w:val="24"/>
        </w:rPr>
      </w:pPr>
      <w:r>
        <w:rPr>
          <w:rFonts w:hint="eastAsia" w:ascii="宋体" w:hAnsi="宋体" w:eastAsia="宋体" w:cs="宋体"/>
          <w:sz w:val="24"/>
          <w:szCs w:val="24"/>
        </w:rPr>
        <w:br w:type="page"/>
      </w:r>
      <w:bookmarkStart w:id="123" w:name="_Toc6368"/>
      <w:bookmarkStart w:id="124" w:name="_Toc249"/>
      <w:bookmarkStart w:id="125" w:name="_Toc13174"/>
      <w:r>
        <w:rPr>
          <w:rFonts w:hint="eastAsia" w:ascii="宋体" w:hAnsi="宋体" w:eastAsia="宋体" w:cs="宋体"/>
          <w:sz w:val="24"/>
          <w:szCs w:val="24"/>
        </w:rPr>
        <w:t>3、评分标准对应页码</w:t>
      </w:r>
    </w:p>
    <w:p>
      <w:pPr>
        <w:snapToGrid w:val="0"/>
        <w:spacing w:line="360" w:lineRule="auto"/>
        <w:jc w:val="center"/>
        <w:rPr>
          <w:rFonts w:hint="eastAsia" w:ascii="宋体" w:hAnsi="宋体" w:cs="宋体"/>
          <w:b/>
          <w:sz w:val="24"/>
        </w:rPr>
      </w:pPr>
      <w:r>
        <w:rPr>
          <w:rFonts w:hint="eastAsia" w:ascii="宋体" w:hAnsi="宋体" w:cs="宋体"/>
          <w:b/>
          <w:sz w:val="24"/>
        </w:rPr>
        <w:t>评分标准对应页码</w:t>
      </w:r>
    </w:p>
    <w:tbl>
      <w:tblPr>
        <w:tblStyle w:val="48"/>
        <w:tblW w:w="8256"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76"/>
        <w:gridCol w:w="2156"/>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采购文件对应评分项</w:t>
            </w:r>
          </w:p>
        </w:tc>
        <w:tc>
          <w:tcPr>
            <w:tcW w:w="2156"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投标文件对应页码</w:t>
            </w:r>
          </w:p>
        </w:tc>
        <w:tc>
          <w:tcPr>
            <w:tcW w:w="1624"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bCs/>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129"/>
              </w:tabs>
              <w:adjustRightInd w:val="0"/>
              <w:snapToGrid w:val="0"/>
              <w:jc w:val="left"/>
              <w:rPr>
                <w:rFonts w:hint="eastAsia" w:ascii="宋体" w:hAnsi="宋体" w:cs="宋体"/>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662"/>
              </w:tabs>
              <w:adjustRightInd w:val="0"/>
              <w:snapToGrid w:val="0"/>
              <w:rPr>
                <w:rFonts w:hint="eastAsia" w:ascii="宋体" w:hAnsi="宋体" w:cs="宋体"/>
                <w:b/>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662"/>
              </w:tabs>
              <w:adjustRightInd w:val="0"/>
              <w:snapToGrid w:val="0"/>
              <w:rPr>
                <w:rFonts w:hint="eastAsia" w:ascii="宋体" w:hAnsi="宋体" w:cs="宋体"/>
                <w:b/>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adjustRightInd w:val="0"/>
              <w:snapToGrid w:val="0"/>
              <w:jc w:val="left"/>
              <w:rPr>
                <w:rFonts w:hint="eastAsia" w:ascii="宋体" w:hAnsi="宋体" w:cs="宋体"/>
                <w:szCs w:val="21"/>
              </w:rPr>
            </w:pPr>
          </w:p>
        </w:tc>
        <w:tc>
          <w:tcPr>
            <w:tcW w:w="2156" w:type="dxa"/>
            <w:noWrap w:val="0"/>
            <w:vAlign w:val="center"/>
          </w:tcPr>
          <w:p>
            <w:pPr>
              <w:tabs>
                <w:tab w:val="left" w:pos="5662"/>
              </w:tabs>
              <w:adjustRightInd w:val="0"/>
              <w:snapToGrid w:val="0"/>
              <w:rPr>
                <w:rFonts w:hint="eastAsia" w:ascii="宋体" w:hAnsi="宋体" w:cs="宋体"/>
                <w:b/>
                <w:szCs w:val="21"/>
              </w:rPr>
            </w:pPr>
          </w:p>
        </w:tc>
        <w:tc>
          <w:tcPr>
            <w:tcW w:w="1624" w:type="dxa"/>
            <w:noWrap w:val="0"/>
            <w:vAlign w:val="center"/>
          </w:tcPr>
          <w:p>
            <w:pPr>
              <w:adjustRightInd w:val="0"/>
              <w:snapToGrid w:val="0"/>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476" w:type="dxa"/>
            <w:noWrap w:val="0"/>
            <w:vAlign w:val="center"/>
          </w:tcPr>
          <w:p>
            <w:pPr>
              <w:pStyle w:val="2"/>
              <w:spacing w:after="0"/>
              <w:ind w:left="0" w:leftChars="0" w:firstLine="0"/>
              <w:jc w:val="left"/>
              <w:rPr>
                <w:rFonts w:hint="eastAsia" w:hAnsi="宋体"/>
              </w:rPr>
            </w:pPr>
          </w:p>
        </w:tc>
        <w:tc>
          <w:tcPr>
            <w:tcW w:w="2156" w:type="dxa"/>
            <w:noWrap w:val="0"/>
            <w:vAlign w:val="top"/>
          </w:tcPr>
          <w:p>
            <w:pPr>
              <w:tabs>
                <w:tab w:val="left" w:pos="5662"/>
              </w:tabs>
              <w:adjustRightInd w:val="0"/>
              <w:snapToGrid w:val="0"/>
              <w:rPr>
                <w:rFonts w:hint="eastAsia" w:ascii="宋体" w:hAnsi="宋体" w:cs="宋体"/>
                <w:b/>
                <w:szCs w:val="21"/>
              </w:rPr>
            </w:pPr>
          </w:p>
        </w:tc>
        <w:tc>
          <w:tcPr>
            <w:tcW w:w="1624" w:type="dxa"/>
            <w:noWrap w:val="0"/>
            <w:vAlign w:val="top"/>
          </w:tcPr>
          <w:p>
            <w:pPr>
              <w:adjustRightInd w:val="0"/>
              <w:snapToGrid w:val="0"/>
              <w:jc w:val="left"/>
              <w:rPr>
                <w:rFonts w:hint="eastAsia" w:ascii="宋体" w:hAnsi="宋体" w:cs="宋体"/>
                <w:b/>
                <w:szCs w:val="21"/>
              </w:rPr>
            </w:pPr>
          </w:p>
        </w:tc>
      </w:tr>
    </w:tbl>
    <w:p>
      <w:pPr>
        <w:pStyle w:val="5"/>
        <w:snapToGrid w:val="0"/>
        <w:spacing w:before="0" w:after="0" w:line="240" w:lineRule="auto"/>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4、供应商资格声明函</w:t>
      </w:r>
      <w:bookmarkEnd w:id="123"/>
      <w:bookmarkEnd w:id="124"/>
      <w:bookmarkEnd w:id="125"/>
    </w:p>
    <w:p>
      <w:pPr>
        <w:snapToGrid w:val="0"/>
        <w:spacing w:line="360" w:lineRule="auto"/>
        <w:jc w:val="center"/>
        <w:rPr>
          <w:rFonts w:hint="eastAsia" w:ascii="宋体" w:hAnsi="宋体" w:cs="宋体"/>
          <w:b/>
          <w:sz w:val="24"/>
        </w:rPr>
      </w:pPr>
      <w:r>
        <w:rPr>
          <w:rFonts w:hint="eastAsia" w:ascii="宋体" w:hAnsi="宋体" w:cs="宋体"/>
          <w:b/>
          <w:sz w:val="24"/>
        </w:rPr>
        <w:t>供应商资格声明函</w:t>
      </w:r>
    </w:p>
    <w:p>
      <w:pPr>
        <w:snapToGrid w:val="0"/>
        <w:spacing w:line="360" w:lineRule="auto"/>
        <w:rPr>
          <w:rFonts w:hint="eastAsia" w:ascii="宋体" w:hAnsi="宋体" w:cs="宋体"/>
          <w:szCs w:val="21"/>
          <w:u w:val="single"/>
        </w:rPr>
      </w:pPr>
      <w:r>
        <w:rPr>
          <w:rFonts w:hint="eastAsia" w:ascii="宋体" w:hAnsi="宋体" w:cs="宋体"/>
          <w:b/>
          <w:bCs/>
          <w:szCs w:val="21"/>
        </w:rPr>
        <w:t>致宁波市鄞州区人民政府潘火街道办事处：</w:t>
      </w:r>
    </w:p>
    <w:p>
      <w:pPr>
        <w:snapToGrid w:val="0"/>
        <w:spacing w:line="360" w:lineRule="auto"/>
        <w:ind w:firstLine="420" w:firstLineChars="2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（供应商名称）系中华人民共和国合法企业，经营地址</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我 </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（供应商名称）的法定代表人，我方愿意参加贵方组织的</w:t>
      </w:r>
      <w:r>
        <w:rPr>
          <w:rFonts w:hint="eastAsia" w:ascii="宋体" w:hAnsi="宋体" w:cs="宋体"/>
          <w:szCs w:val="21"/>
          <w:u w:val="single"/>
        </w:rPr>
        <w:t>潘火街道2024-2026年度绿化养护服务及零星整改提升项目</w:t>
      </w:r>
      <w:r>
        <w:rPr>
          <w:rFonts w:hint="eastAsia" w:ascii="宋体" w:hAnsi="宋体" w:cs="宋体"/>
          <w:szCs w:val="21"/>
        </w:rPr>
        <w:t>的投标，为便于贵方公正、择优地确定中标人及其投标产品和服务，我方就本次投标有关事项郑重声明如下：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1、我方向贵方提交的所有投标文件、资料都是准确的和真实的。</w:t>
      </w:r>
    </w:p>
    <w:p>
      <w:pPr>
        <w:snapToGrid w:val="0"/>
        <w:spacing w:line="360" w:lineRule="auto"/>
        <w:ind w:firstLine="420" w:firstLineChars="200"/>
        <w:rPr>
          <w:rFonts w:hint="eastAsia" w:ascii="宋体" w:hAnsi="宋体" w:cs="宋体"/>
          <w:szCs w:val="21"/>
        </w:rPr>
      </w:pPr>
      <w:r>
        <w:rPr>
          <w:rFonts w:hint="eastAsia" w:ascii="宋体" w:hAnsi="宋体" w:cs="宋体"/>
          <w:szCs w:val="21"/>
        </w:rPr>
        <w:t>2、本公司（企业）具备《中华人民共和国政府采购法》第二十二条资格条件，并已清楚采购文件的要求及有关文件规定。</w:t>
      </w:r>
    </w:p>
    <w:p>
      <w:pPr>
        <w:snapToGrid w:val="0"/>
        <w:spacing w:line="360" w:lineRule="auto"/>
        <w:ind w:firstLine="420" w:firstLineChars="200"/>
        <w:rPr>
          <w:rFonts w:hint="eastAsia" w:ascii="宋体" w:hAnsi="宋体" w:cs="宋体"/>
          <w:szCs w:val="21"/>
        </w:rPr>
      </w:pPr>
      <w:r>
        <w:rPr>
          <w:rFonts w:hint="eastAsia" w:ascii="宋体" w:hAnsi="宋体" w:cs="宋体"/>
          <w:szCs w:val="21"/>
        </w:rPr>
        <w:t>3、本公司（企业）的法定代表人或单位负责人与所参投的本采购项目的其他投标人的法定代表人或单位负责人不为同一人且与其他投标人之间不存在直接控股、管理关系。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0" w:firstLineChars="200"/>
        <w:rPr>
          <w:rFonts w:hint="eastAsia" w:ascii="宋体" w:hAnsi="宋体" w:cs="宋体"/>
          <w:szCs w:val="21"/>
        </w:rPr>
      </w:pPr>
      <w:r>
        <w:rPr>
          <w:rFonts w:hint="eastAsia" w:ascii="宋体" w:hAnsi="宋体" w:cs="宋体"/>
          <w:szCs w:val="21"/>
        </w:rPr>
        <w:t>4、根据《中华人民共和国政府采购法实施条例》的规定，本公司（企业）如为本采购项目提供整体设计、规范编制或者项目管理、监理、检测等服务的投标人，不得再参加本项目的采购活动。否则，由此所造成的损失、不良后果及法律责任，一律由我公司（企业）承担。</w:t>
      </w:r>
    </w:p>
    <w:p>
      <w:pPr>
        <w:snapToGrid w:val="0"/>
        <w:spacing w:line="360" w:lineRule="auto"/>
        <w:ind w:firstLine="420" w:firstLineChars="200"/>
        <w:rPr>
          <w:rFonts w:hint="eastAsia" w:ascii="宋体" w:hAnsi="宋体" w:cs="宋体"/>
          <w:szCs w:val="21"/>
        </w:rPr>
      </w:pPr>
      <w:r>
        <w:rPr>
          <w:rFonts w:hint="eastAsia" w:ascii="宋体" w:hAnsi="宋体" w:cs="宋体"/>
          <w:szCs w:val="21"/>
        </w:rPr>
        <w:t>5、本公司（企业）具有履行合同所必需的设备和专业技术能力，且本公司（企业）参加政府采购活动前3年内在经营活动中</w:t>
      </w:r>
      <w:r>
        <w:rPr>
          <w:rFonts w:hint="eastAsia" w:ascii="宋体" w:hAnsi="宋体" w:cs="宋体"/>
          <w:szCs w:val="21"/>
          <w:u w:val="single"/>
        </w:rPr>
        <w:t xml:space="preserve">          </w:t>
      </w:r>
      <w:r>
        <w:rPr>
          <w:rFonts w:hint="eastAsia" w:ascii="宋体" w:hAnsi="宋体" w:cs="宋体"/>
          <w:szCs w:val="21"/>
        </w:rPr>
        <w:t>（有或没有）重大违法记录。否则，由此所造成的损失、不良后果及法律责任，一律由我公司（企业）承担。</w:t>
      </w:r>
    </w:p>
    <w:p>
      <w:pPr>
        <w:snapToGrid w:val="0"/>
        <w:spacing w:line="360" w:lineRule="auto"/>
        <w:ind w:firstLine="420" w:firstLineChars="200"/>
        <w:rPr>
          <w:rFonts w:hint="eastAsia" w:ascii="宋体" w:hAnsi="宋体" w:cs="宋体"/>
          <w:szCs w:val="21"/>
        </w:rPr>
      </w:pPr>
      <w:r>
        <w:rPr>
          <w:rFonts w:hint="eastAsia" w:ascii="宋体" w:hAnsi="宋体" w:cs="宋体"/>
          <w:szCs w:val="21"/>
        </w:rPr>
        <w:t>6、本公司（企业）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snapToGrid w:val="0"/>
        <w:spacing w:line="360" w:lineRule="auto"/>
        <w:ind w:firstLine="420" w:firstLineChars="200"/>
        <w:rPr>
          <w:rFonts w:hint="eastAsia" w:ascii="宋体" w:hAnsi="宋体" w:cs="宋体"/>
          <w:szCs w:val="21"/>
        </w:rPr>
      </w:pPr>
      <w:r>
        <w:rPr>
          <w:rFonts w:hint="eastAsia" w:ascii="宋体" w:hAnsi="宋体" w:cs="宋体"/>
          <w:szCs w:val="21"/>
        </w:rPr>
        <w:t>7、本次招标采购活动中，如有违法、违规、弄虚作假行为，所造成的损失、不良后果及法律责任，一律由我公司（企业）承担。</w:t>
      </w:r>
    </w:p>
    <w:p>
      <w:pPr>
        <w:pStyle w:val="2"/>
        <w:rPr>
          <w:rFonts w:hint="eastAsia" w:hAnsi="宋体"/>
        </w:rPr>
      </w:pPr>
    </w:p>
    <w:p>
      <w:pPr>
        <w:pStyle w:val="2"/>
        <w:rPr>
          <w:rFonts w:hint="eastAsia" w:hAnsi="宋体"/>
        </w:rPr>
      </w:pPr>
    </w:p>
    <w:p>
      <w:pPr>
        <w:snapToGrid w:val="0"/>
        <w:spacing w:line="440" w:lineRule="exact"/>
        <w:ind w:firstLine="210" w:firstLineChars="100"/>
        <w:rPr>
          <w:rFonts w:hint="eastAsia" w:ascii="宋体" w:hAnsi="宋体" w:cs="宋体"/>
          <w:szCs w:val="21"/>
          <w:u w:val="single"/>
        </w:rPr>
      </w:pPr>
      <w:r>
        <w:rPr>
          <w:rFonts w:hint="eastAsia" w:ascii="宋体" w:hAnsi="宋体" w:cs="宋体"/>
          <w:szCs w:val="21"/>
        </w:rPr>
        <w:t xml:space="preserve">                                    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szCs w:val="21"/>
          <w:u w:val="single"/>
        </w:rPr>
      </w:pPr>
      <w:r>
        <w:rPr>
          <w:rFonts w:hint="eastAsia" w:ascii="宋体" w:hAnsi="宋体" w:cs="宋体"/>
          <w:szCs w:val="21"/>
        </w:rPr>
        <w:t xml:space="preserve">                                    </w:t>
      </w:r>
    </w:p>
    <w:p>
      <w:pPr>
        <w:snapToGrid w:val="0"/>
        <w:spacing w:line="440" w:lineRule="exact"/>
        <w:ind w:firstLine="210" w:firstLineChars="100"/>
        <w:rPr>
          <w:rFonts w:hint="eastAsia" w:ascii="宋体" w:hAnsi="宋体" w:cs="宋体"/>
          <w:szCs w:val="21"/>
        </w:rPr>
      </w:pPr>
      <w:r>
        <w:rPr>
          <w:rFonts w:hint="eastAsia" w:ascii="宋体" w:hAnsi="宋体" w:cs="宋体"/>
          <w:szCs w:val="21"/>
        </w:rPr>
        <w:t xml:space="preserve">                                              年    月    日</w:t>
      </w:r>
    </w:p>
    <w:p>
      <w:pPr>
        <w:pStyle w:val="5"/>
        <w:snapToGrid w:val="0"/>
        <w:spacing w:before="0" w:after="0" w:line="360" w:lineRule="auto"/>
        <w:rPr>
          <w:rFonts w:hint="eastAsia" w:ascii="宋体" w:hAnsi="宋体" w:eastAsia="宋体" w:cs="宋体"/>
          <w:sz w:val="24"/>
          <w:szCs w:val="24"/>
        </w:rPr>
      </w:pPr>
      <w:bookmarkStart w:id="126" w:name="_Toc26543"/>
      <w:bookmarkStart w:id="127" w:name="_Toc21452"/>
      <w:bookmarkStart w:id="128" w:name="_Toc9887"/>
      <w:r>
        <w:rPr>
          <w:rFonts w:hint="eastAsia" w:ascii="宋体" w:hAnsi="宋体" w:eastAsia="宋体" w:cs="宋体"/>
          <w:sz w:val="24"/>
          <w:szCs w:val="24"/>
        </w:rPr>
        <w:br w:type="page"/>
      </w:r>
      <w:r>
        <w:rPr>
          <w:rFonts w:hint="eastAsia" w:ascii="宋体" w:hAnsi="宋体" w:eastAsia="宋体" w:cs="宋体"/>
          <w:sz w:val="24"/>
          <w:szCs w:val="24"/>
        </w:rPr>
        <w:t>5、供应商自觉抵制政府采购领域商业贿赂行为承诺书</w:t>
      </w:r>
    </w:p>
    <w:p>
      <w:pPr>
        <w:keepNext/>
        <w:keepLines/>
        <w:snapToGrid w:val="0"/>
        <w:spacing w:line="360" w:lineRule="auto"/>
        <w:jc w:val="center"/>
        <w:rPr>
          <w:rFonts w:hint="eastAsia" w:ascii="宋体" w:hAnsi="宋体" w:cs="宋体"/>
          <w:b/>
          <w:bCs/>
          <w:sz w:val="24"/>
        </w:rPr>
      </w:pPr>
      <w:r>
        <w:rPr>
          <w:rFonts w:hint="eastAsia" w:ascii="宋体" w:hAnsi="宋体" w:cs="宋体"/>
          <w:b/>
          <w:bCs/>
          <w:sz w:val="24"/>
        </w:rPr>
        <w:t>供应商自觉抵制政府采购领域商业贿赂行为承诺书</w:t>
      </w:r>
    </w:p>
    <w:p>
      <w:pPr>
        <w:pStyle w:val="5"/>
        <w:snapToGrid w:val="0"/>
        <w:spacing w:before="0" w:after="0"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致：宁波市鄞州区人民政府潘火街道办事处</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市、区政府的有关部署及要求，进一步规范政府采购行为，营造公平竞争的政府采购市场环境，维护政府采购制度良好声誉，在参与采购代理机构组织的政府采购活动中，我方庄重承诺：</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一、依法参与政府采购活动，遵纪守法，诚信经营，公平竞争。</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二、不向采购单位、采购代理机构和政府采购评审专家提供任何形式的商业贿赂；对索取或接受商业贿赂的单位和个人，及时向财政部门和纪检监察机关举报。</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三、不以提供虚假资质文件等形式参与政府采购活动，不以虚假材料谋取中标。</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四、不采取不正当手段诋毁、排挤其他供应商，与其他参与政府采购活动供应商保持良性的竞争关系。</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五、不与采购单位、采购代理机构和政府采购评审专家恶意串通，自觉维护政府采购公平竞争的市场秩序。</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六、不与其他供应商串通采取围标、陪标等商业欺诈手段谋取中标，积极维护国家利益、社会公共利益和采购单位的合法权益。</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七、严格履行政府采购合同约定义务，不在政府采购合同执行过程中采取降低质量或标准、减少数量、拖延交付时间等方式损害采购单位的利益，并自觉承担违约责任。</w:t>
      </w:r>
    </w:p>
    <w:p>
      <w:pPr>
        <w:pStyle w:val="5"/>
        <w:snapToGrid w:val="0"/>
        <w:spacing w:before="0"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八、自觉接受并积极配合财政部门和纪检监察机关依法实施的监督检查，如实反映情况，及时提供有关证明材料。</w:t>
      </w:r>
    </w:p>
    <w:p>
      <w:pPr>
        <w:pStyle w:val="5"/>
        <w:snapToGrid w:val="0"/>
        <w:spacing w:before="0" w:after="0" w:line="360" w:lineRule="auto"/>
        <w:rPr>
          <w:rFonts w:hint="eastAsia" w:ascii="宋体" w:hAnsi="宋体" w:eastAsia="宋体" w:cs="宋体"/>
          <w:b w:val="0"/>
          <w:bCs w:val="0"/>
          <w:sz w:val="21"/>
          <w:szCs w:val="21"/>
        </w:rPr>
      </w:pPr>
    </w:p>
    <w:p>
      <w:pPr>
        <w:rPr>
          <w:rFonts w:hint="eastAsia" w:ascii="宋体" w:hAnsi="宋体" w:cs="宋体"/>
          <w:szCs w:val="21"/>
        </w:rPr>
      </w:pPr>
    </w:p>
    <w:p>
      <w:pPr>
        <w:pStyle w:val="6"/>
        <w:rPr>
          <w:rFonts w:hint="eastAsia" w:ascii="宋体" w:hAnsi="宋体" w:cs="宋体"/>
          <w:b w:val="0"/>
          <w:bCs w:val="0"/>
          <w:sz w:val="21"/>
          <w:szCs w:val="21"/>
        </w:rPr>
      </w:pPr>
    </w:p>
    <w:p>
      <w:pPr>
        <w:rPr>
          <w:rFonts w:hint="eastAsia"/>
        </w:rPr>
      </w:pPr>
    </w:p>
    <w:p>
      <w:pPr>
        <w:pStyle w:val="5"/>
        <w:snapToGrid w:val="0"/>
        <w:spacing w:before="0" w:after="0"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供应商名称（并加盖公章）：                             </w:t>
      </w:r>
    </w:p>
    <w:p>
      <w:pPr>
        <w:pStyle w:val="5"/>
        <w:snapToGrid w:val="0"/>
        <w:spacing w:before="0" w:after="0"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签署日期：          年        月        日</w:t>
      </w:r>
    </w:p>
    <w:p>
      <w:pPr>
        <w:rPr>
          <w:rFonts w:hint="eastAsia" w:ascii="宋体" w:hAnsi="宋体" w:cs="宋体"/>
          <w:szCs w:val="21"/>
        </w:rPr>
      </w:pPr>
    </w:p>
    <w:p>
      <w:pPr>
        <w:pStyle w:val="6"/>
        <w:rPr>
          <w:rFonts w:hint="eastAsia"/>
        </w:rPr>
      </w:pPr>
    </w:p>
    <w:p>
      <w:pPr>
        <w:rPr>
          <w:rFonts w:hint="eastAsia" w:ascii="宋体" w:hAnsi="宋体" w:cs="宋体"/>
          <w:szCs w:val="21"/>
        </w:rPr>
      </w:pPr>
      <w:r>
        <w:rPr>
          <w:rFonts w:ascii="宋体" w:hAnsi="宋体" w:cs="宋体"/>
          <w:szCs w:val="21"/>
        </w:rPr>
        <w:br w:type="page"/>
      </w:r>
    </w:p>
    <w:p>
      <w:pPr>
        <w:pStyle w:val="5"/>
        <w:snapToGrid w:val="0"/>
        <w:spacing w:before="0" w:after="0" w:line="240" w:lineRule="auto"/>
        <w:rPr>
          <w:rFonts w:hint="eastAsia" w:ascii="宋体" w:hAnsi="宋体" w:eastAsia="宋体" w:cs="宋体"/>
          <w:sz w:val="24"/>
          <w:szCs w:val="24"/>
        </w:rPr>
      </w:pPr>
      <w:r>
        <w:rPr>
          <w:rFonts w:hint="eastAsia" w:ascii="宋体" w:hAnsi="宋体" w:eastAsia="宋体" w:cs="宋体"/>
          <w:sz w:val="24"/>
          <w:szCs w:val="24"/>
        </w:rPr>
        <w:t>6、投标函</w:t>
      </w:r>
      <w:bookmarkEnd w:id="126"/>
      <w:bookmarkEnd w:id="127"/>
      <w:bookmarkEnd w:id="128"/>
    </w:p>
    <w:p>
      <w:pPr>
        <w:snapToGrid w:val="0"/>
        <w:spacing w:line="360" w:lineRule="auto"/>
        <w:jc w:val="center"/>
        <w:rPr>
          <w:rFonts w:hint="eastAsia" w:ascii="宋体" w:hAnsi="宋体" w:cs="宋体"/>
          <w:b/>
          <w:bCs/>
          <w:sz w:val="24"/>
        </w:rPr>
      </w:pPr>
      <w:r>
        <w:rPr>
          <w:rFonts w:hint="eastAsia" w:ascii="宋体" w:hAnsi="宋体" w:cs="宋体"/>
          <w:b/>
          <w:sz w:val="24"/>
        </w:rPr>
        <w:t>投标函</w:t>
      </w:r>
    </w:p>
    <w:p>
      <w:pPr>
        <w:snapToGrid w:val="0"/>
        <w:spacing w:line="360" w:lineRule="auto"/>
        <w:rPr>
          <w:rFonts w:hint="eastAsia" w:ascii="宋体" w:hAnsi="宋体" w:cs="宋体"/>
          <w:szCs w:val="21"/>
        </w:rPr>
      </w:pPr>
      <w:r>
        <w:rPr>
          <w:rFonts w:hint="eastAsia" w:ascii="宋体" w:hAnsi="宋体" w:cs="宋体"/>
          <w:b/>
          <w:bCs/>
          <w:szCs w:val="21"/>
        </w:rPr>
        <w:t>致宁波市鄞州区人民政府潘火街道办事处：</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根据贵方</w:t>
      </w:r>
      <w:r>
        <w:rPr>
          <w:rFonts w:hint="eastAsia" w:ascii="宋体" w:hAnsi="宋体" w:cs="宋体"/>
          <w:szCs w:val="21"/>
          <w:u w:val="single"/>
        </w:rPr>
        <w:t>潘火街道2024-2026年度绿化养护服务及零星整改提升项目</w:t>
      </w:r>
      <w:r>
        <w:rPr>
          <w:rFonts w:hint="eastAsia" w:ascii="宋体" w:hAnsi="宋体" w:cs="宋体"/>
          <w:szCs w:val="21"/>
        </w:rPr>
        <w:t>的公开招标采购公告（采购编号：</w:t>
      </w:r>
      <w:r>
        <w:rPr>
          <w:rFonts w:hint="eastAsia" w:ascii="宋体" w:hAnsi="宋体" w:cs="宋体"/>
          <w:szCs w:val="21"/>
          <w:u w:val="single"/>
        </w:rPr>
        <w:t xml:space="preserve">          </w:t>
      </w:r>
      <w:r>
        <w:rPr>
          <w:rFonts w:hint="eastAsia" w:ascii="宋体" w:hAnsi="宋体" w:cs="宋体"/>
          <w:szCs w:val="21"/>
        </w:rPr>
        <w:t>），并对此项目进行投标。</w:t>
      </w:r>
    </w:p>
    <w:p>
      <w:pPr>
        <w:snapToGrid w:val="0"/>
        <w:spacing w:line="360" w:lineRule="auto"/>
        <w:ind w:firstLine="420" w:firstLineChars="200"/>
        <w:rPr>
          <w:rFonts w:hint="eastAsia" w:ascii="宋体" w:hAnsi="宋体" w:cs="宋体"/>
          <w:szCs w:val="21"/>
        </w:rPr>
      </w:pPr>
      <w:r>
        <w:rPr>
          <w:rFonts w:hint="eastAsia" w:ascii="宋体" w:hAnsi="宋体" w:cs="宋体"/>
          <w:szCs w:val="21"/>
        </w:rPr>
        <w:t>1.据此函，签字代表宣布并承诺：</w:t>
      </w:r>
    </w:p>
    <w:p>
      <w:pPr>
        <w:pStyle w:val="3"/>
        <w:tabs>
          <w:tab w:val="left" w:pos="993"/>
        </w:tabs>
        <w:snapToGrid w:val="0"/>
        <w:spacing w:line="360" w:lineRule="auto"/>
        <w:ind w:firstLine="420" w:firstLineChars="200"/>
        <w:rPr>
          <w:rFonts w:hint="eastAsia" w:hAnsi="宋体" w:cs="宋体"/>
          <w:spacing w:val="0"/>
          <w:sz w:val="21"/>
          <w:szCs w:val="21"/>
        </w:rPr>
      </w:pPr>
      <w:r>
        <w:rPr>
          <w:rFonts w:hint="eastAsia" w:hAnsi="宋体" w:cs="宋体"/>
          <w:spacing w:val="0"/>
          <w:sz w:val="21"/>
          <w:szCs w:val="21"/>
        </w:rPr>
        <w:t>（1）我方对招标项目愿以承诺的投标总价承担采购文件规定内容的服务。</w:t>
      </w:r>
    </w:p>
    <w:p>
      <w:pPr>
        <w:pStyle w:val="3"/>
        <w:tabs>
          <w:tab w:val="left" w:pos="993"/>
        </w:tabs>
        <w:snapToGrid w:val="0"/>
        <w:spacing w:line="360" w:lineRule="auto"/>
        <w:ind w:firstLine="420" w:firstLineChars="200"/>
        <w:rPr>
          <w:rFonts w:hint="eastAsia" w:hAnsi="宋体" w:cs="宋体"/>
          <w:spacing w:val="0"/>
          <w:sz w:val="21"/>
          <w:szCs w:val="21"/>
        </w:rPr>
      </w:pPr>
      <w:r>
        <w:rPr>
          <w:rFonts w:hint="eastAsia" w:hAnsi="宋体" w:cs="宋体"/>
          <w:spacing w:val="0"/>
          <w:sz w:val="21"/>
          <w:szCs w:val="21"/>
        </w:rPr>
        <w:t>（2）本报价已经包含了所提供服务应纳的税金及采购文件规定的报价方式应包含的其它费用。本报价在投标有效期内固定不变，并在合同有效期内不受市场价变化的影响。</w:t>
      </w:r>
    </w:p>
    <w:p>
      <w:pPr>
        <w:pStyle w:val="3"/>
        <w:tabs>
          <w:tab w:val="left" w:pos="993"/>
        </w:tabs>
        <w:snapToGrid w:val="0"/>
        <w:spacing w:line="360" w:lineRule="auto"/>
        <w:ind w:firstLine="420" w:firstLineChars="200"/>
        <w:rPr>
          <w:rFonts w:hint="eastAsia" w:hAnsi="宋体" w:cs="宋体"/>
          <w:spacing w:val="0"/>
          <w:sz w:val="21"/>
          <w:szCs w:val="21"/>
        </w:rPr>
      </w:pPr>
      <w:r>
        <w:rPr>
          <w:rFonts w:hint="eastAsia" w:hAnsi="宋体" w:cs="宋体"/>
          <w:spacing w:val="0"/>
          <w:sz w:val="21"/>
          <w:szCs w:val="21"/>
        </w:rPr>
        <w:t>（3）本投标自开标之日起</w:t>
      </w:r>
      <w:r>
        <w:rPr>
          <w:rFonts w:hint="eastAsia" w:hAnsi="宋体" w:cs="宋体"/>
          <w:spacing w:val="0"/>
          <w:sz w:val="21"/>
          <w:szCs w:val="21"/>
          <w:u w:val="single"/>
        </w:rPr>
        <w:t xml:space="preserve">     </w:t>
      </w:r>
      <w:r>
        <w:rPr>
          <w:rFonts w:hint="eastAsia" w:hAnsi="宋体" w:cs="宋体"/>
          <w:spacing w:val="0"/>
          <w:sz w:val="21"/>
          <w:szCs w:val="21"/>
        </w:rPr>
        <w:t>天内有效。</w:t>
      </w:r>
    </w:p>
    <w:p>
      <w:pPr>
        <w:pStyle w:val="3"/>
        <w:tabs>
          <w:tab w:val="left" w:pos="993"/>
        </w:tabs>
        <w:snapToGrid w:val="0"/>
        <w:spacing w:line="360" w:lineRule="auto"/>
        <w:ind w:firstLine="420" w:firstLineChars="200"/>
        <w:rPr>
          <w:rFonts w:hint="eastAsia" w:hAnsi="宋体" w:cs="宋体"/>
          <w:spacing w:val="0"/>
          <w:sz w:val="21"/>
          <w:szCs w:val="21"/>
        </w:rPr>
      </w:pPr>
      <w:r>
        <w:rPr>
          <w:rFonts w:hint="eastAsia" w:hAnsi="宋体" w:cs="宋体"/>
          <w:spacing w:val="0"/>
          <w:sz w:val="21"/>
          <w:szCs w:val="21"/>
        </w:rPr>
        <w:t>（4）我们已详细审查全部采购文件及有关的澄清/修改文件(如有)，我们完全理解并同意放弃对这方面提出任何异议的权利。保证遵守采购文件有关条款规定。</w:t>
      </w:r>
    </w:p>
    <w:p>
      <w:pPr>
        <w:pStyle w:val="3"/>
        <w:tabs>
          <w:tab w:val="left" w:pos="993"/>
        </w:tabs>
        <w:snapToGrid w:val="0"/>
        <w:spacing w:line="360" w:lineRule="auto"/>
        <w:ind w:firstLine="420" w:firstLineChars="200"/>
        <w:rPr>
          <w:rFonts w:hint="eastAsia" w:hAnsi="宋体" w:cs="宋体"/>
          <w:spacing w:val="0"/>
          <w:sz w:val="21"/>
          <w:szCs w:val="21"/>
        </w:rPr>
      </w:pPr>
      <w:r>
        <w:rPr>
          <w:rFonts w:hint="eastAsia" w:hAnsi="宋体" w:cs="宋体"/>
          <w:spacing w:val="0"/>
          <w:sz w:val="21"/>
          <w:szCs w:val="21"/>
        </w:rPr>
        <w:t>（5）保证在中标后忠实地执行与采购人所签署的合同，并承担合同规定的责任义务。保证在中标后按照采购文件的规定支付采购代理服务费。</w:t>
      </w:r>
    </w:p>
    <w:p>
      <w:pPr>
        <w:spacing w:line="360" w:lineRule="auto"/>
        <w:ind w:firstLine="420" w:firstLineChars="200"/>
        <w:rPr>
          <w:rFonts w:hint="eastAsia" w:ascii="宋体" w:hAnsi="宋体" w:cs="宋体"/>
        </w:rPr>
      </w:pPr>
      <w:r>
        <w:rPr>
          <w:rFonts w:hint="eastAsia" w:ascii="宋体" w:hAnsi="宋体" w:cs="宋体"/>
        </w:rPr>
        <w:t>2.供应商同意按照贵方要求提供与投标有关的一切数据或资料。</w:t>
      </w:r>
    </w:p>
    <w:p>
      <w:pPr>
        <w:spacing w:line="360" w:lineRule="auto"/>
        <w:ind w:firstLine="420" w:firstLineChars="200"/>
        <w:rPr>
          <w:rFonts w:hint="eastAsia" w:ascii="宋体" w:hAnsi="宋体" w:cs="宋体"/>
        </w:rPr>
      </w:pPr>
      <w:r>
        <w:rPr>
          <w:rFonts w:hint="eastAsia" w:ascii="宋体" w:hAnsi="宋体" w:cs="宋体"/>
        </w:rPr>
        <w:t>3.我们郑重声明：本投标文件提供的情况和文件完全是真实的。</w:t>
      </w:r>
    </w:p>
    <w:p>
      <w:pPr>
        <w:snapToGrid w:val="0"/>
        <w:spacing w:line="360" w:lineRule="auto"/>
        <w:ind w:firstLine="420" w:firstLineChars="200"/>
        <w:rPr>
          <w:rFonts w:hint="eastAsia" w:ascii="宋体" w:hAnsi="宋体" w:cs="宋体"/>
          <w:szCs w:val="21"/>
        </w:rPr>
      </w:pPr>
      <w:r>
        <w:rPr>
          <w:rFonts w:hint="eastAsia" w:ascii="宋体" w:hAnsi="宋体" w:cs="宋体"/>
          <w:szCs w:val="21"/>
        </w:rPr>
        <w:t>4.与本投标有关的一切正式往来信函请寄：</w:t>
      </w: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供应商名称（加盖公章）： </w:t>
      </w:r>
      <w:r>
        <w:rPr>
          <w:rFonts w:hint="eastAsia" w:ascii="宋体" w:hAnsi="宋体" w:cs="宋体"/>
          <w:szCs w:val="21"/>
          <w:u w:val="single"/>
        </w:rPr>
        <w:t xml:space="preserve">                                        </w:t>
      </w:r>
    </w:p>
    <w:p>
      <w:pPr>
        <w:snapToGrid w:val="0"/>
        <w:spacing w:line="360" w:lineRule="auto"/>
        <w:ind w:firstLine="420" w:firstLineChars="20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邮编：__________   </w:t>
      </w:r>
    </w:p>
    <w:p>
      <w:pPr>
        <w:snapToGrid w:val="0"/>
        <w:spacing w:line="360" w:lineRule="auto"/>
        <w:ind w:firstLine="420" w:firstLineChars="200"/>
        <w:rPr>
          <w:rFonts w:hint="eastAsia"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传真：__________</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rPr>
        <w:t>电子邮箱：</w:t>
      </w:r>
      <w:r>
        <w:rPr>
          <w:rFonts w:hint="eastAsia" w:ascii="宋体" w:hAnsi="宋体" w:cs="宋体"/>
          <w:szCs w:val="21"/>
          <w:u w:val="single"/>
        </w:rPr>
        <w:t xml:space="preserve">                         </w:t>
      </w:r>
    </w:p>
    <w:p>
      <w:pPr>
        <w:snapToGrid w:val="0"/>
        <w:spacing w:line="360" w:lineRule="auto"/>
        <w:ind w:firstLine="420" w:firstLineChars="200"/>
        <w:rPr>
          <w:rFonts w:hint="eastAsia" w:ascii="宋体" w:hAnsi="宋体" w:cs="宋体"/>
          <w:szCs w:val="21"/>
        </w:rPr>
      </w:pPr>
    </w:p>
    <w:p>
      <w:pPr>
        <w:snapToGrid w:val="0"/>
        <w:spacing w:line="360" w:lineRule="auto"/>
        <w:ind w:firstLine="420" w:firstLineChars="200"/>
        <w:rPr>
          <w:rFonts w:hint="eastAsia" w:ascii="宋体" w:hAnsi="宋体" w:cs="宋体"/>
          <w:szCs w:val="21"/>
        </w:rPr>
      </w:pPr>
    </w:p>
    <w:p>
      <w:pPr>
        <w:snapToGrid w:val="0"/>
        <w:spacing w:line="360" w:lineRule="auto"/>
        <w:ind w:firstLine="420" w:firstLineChars="200"/>
        <w:rPr>
          <w:rFonts w:hint="eastAsia" w:ascii="宋体" w:hAnsi="宋体" w:cs="宋体"/>
          <w:szCs w:val="21"/>
        </w:rPr>
      </w:pPr>
      <w:r>
        <w:rPr>
          <w:rFonts w:hint="eastAsia" w:ascii="宋体" w:hAnsi="宋体" w:cs="宋体"/>
          <w:szCs w:val="21"/>
        </w:rPr>
        <w:t xml:space="preserve">                                               日期：_____年___月___日</w:t>
      </w:r>
    </w:p>
    <w:p>
      <w:pPr>
        <w:snapToGrid w:val="0"/>
        <w:spacing w:line="440" w:lineRule="exact"/>
        <w:rPr>
          <w:rFonts w:hint="eastAsia" w:ascii="宋体" w:hAnsi="宋体" w:cs="宋体"/>
          <w:sz w:val="24"/>
        </w:rPr>
      </w:pP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br w:type="page"/>
      </w:r>
      <w:bookmarkStart w:id="129" w:name="_Toc5981"/>
      <w:bookmarkStart w:id="130" w:name="_Toc6495"/>
      <w:bookmarkStart w:id="131" w:name="_Toc11347"/>
      <w:r>
        <w:rPr>
          <w:rFonts w:hint="eastAsia" w:ascii="宋体" w:hAnsi="宋体" w:eastAsia="宋体" w:cs="宋体"/>
          <w:sz w:val="24"/>
          <w:szCs w:val="24"/>
        </w:rPr>
        <w:t>7、法定代表人身份证明及法定代表人授权委托书</w:t>
      </w:r>
      <w:bookmarkEnd w:id="129"/>
      <w:bookmarkEnd w:id="130"/>
      <w:bookmarkEnd w:id="131"/>
    </w:p>
    <w:p>
      <w:pPr>
        <w:snapToGrid w:val="0"/>
        <w:spacing w:line="440" w:lineRule="exact"/>
        <w:jc w:val="center"/>
        <w:rPr>
          <w:rFonts w:hint="eastAsia" w:ascii="宋体" w:hAnsi="宋体" w:cs="宋体"/>
          <w:b/>
          <w:sz w:val="24"/>
        </w:rPr>
      </w:pPr>
      <w:r>
        <w:rPr>
          <w:rFonts w:hint="eastAsia" w:ascii="宋体" w:hAnsi="宋体" w:cs="宋体"/>
          <w:b/>
          <w:sz w:val="24"/>
        </w:rPr>
        <w:t>法定代表人身份证明</w:t>
      </w:r>
    </w:p>
    <w:p>
      <w:pPr>
        <w:snapToGrid w:val="0"/>
        <w:spacing w:line="440" w:lineRule="exact"/>
        <w:jc w:val="center"/>
        <w:rPr>
          <w:rFonts w:hint="eastAsia" w:ascii="宋体" w:hAnsi="宋体" w:cs="宋体"/>
          <w:b/>
          <w:szCs w:val="21"/>
        </w:rPr>
      </w:pPr>
      <w:r>
        <w:rPr>
          <w:rFonts w:hint="eastAsia" w:ascii="宋体" w:hAnsi="宋体" w:cs="宋体"/>
          <w:b/>
          <w:szCs w:val="21"/>
        </w:rPr>
        <w:t>（适用于法定代表人来投标）</w:t>
      </w:r>
    </w:p>
    <w:p>
      <w:pPr>
        <w:snapToGrid w:val="0"/>
        <w:spacing w:line="440" w:lineRule="exact"/>
        <w:jc w:val="center"/>
        <w:rPr>
          <w:rFonts w:hint="eastAsia" w:ascii="宋体" w:hAnsi="宋体" w:cs="宋体"/>
          <w:b/>
          <w:szCs w:val="21"/>
        </w:rPr>
      </w:pP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单位性质：</w:t>
      </w:r>
      <w:r>
        <w:rPr>
          <w:rFonts w:hint="eastAsia" w:ascii="宋体" w:hAnsi="宋体" w:cs="宋体"/>
          <w:sz w:val="24"/>
          <w:u w:val="single"/>
        </w:rPr>
        <w:t xml:space="preserve">                                         </w:t>
      </w:r>
      <w:r>
        <w:rPr>
          <w:rFonts w:hint="eastAsia" w:ascii="宋体" w:hAnsi="宋体" w:cs="宋体"/>
          <w:sz w:val="24"/>
        </w:rPr>
        <w:t xml:space="preserve"> </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 xml:space="preserve"> </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周岁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_</w:t>
      </w:r>
    </w:p>
    <w:p>
      <w:pPr>
        <w:wordWrap w:val="0"/>
        <w:topLinePunct/>
        <w:snapToGrid w:val="0"/>
        <w:spacing w:line="360" w:lineRule="auto"/>
        <w:ind w:firstLine="480" w:firstLineChars="200"/>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（供应商名称）的法定代表人。</w:t>
      </w:r>
    </w:p>
    <w:p>
      <w:pPr>
        <w:wordWrap w:val="0"/>
        <w:topLinePunct/>
        <w:snapToGrid w:val="0"/>
        <w:spacing w:line="360" w:lineRule="auto"/>
        <w:ind w:firstLine="480" w:firstLineChars="200"/>
        <w:rPr>
          <w:rFonts w:hint="eastAsia" w:ascii="宋体" w:hAnsi="宋体" w:cs="宋体"/>
          <w:sz w:val="24"/>
        </w:rPr>
      </w:pPr>
      <w:r>
        <w:rPr>
          <w:rFonts w:hint="eastAsia" w:ascii="宋体" w:hAnsi="宋体" w:cs="宋体"/>
          <w:sz w:val="24"/>
        </w:rPr>
        <w:t>特此证明。</w:t>
      </w:r>
    </w:p>
    <w:p>
      <w:pPr>
        <w:wordWrap w:val="0"/>
        <w:topLinePunct/>
        <w:snapToGrid w:val="0"/>
        <w:spacing w:line="440" w:lineRule="exact"/>
        <w:ind w:firstLine="420" w:firstLineChars="200"/>
        <w:rPr>
          <w:rFonts w:hint="eastAsia" w:ascii="宋体" w:hAnsi="宋体" w:cs="宋体"/>
          <w:szCs w:val="21"/>
        </w:rPr>
      </w:pPr>
    </w:p>
    <w:p>
      <w:pPr>
        <w:wordWrap w:val="0"/>
        <w:topLinePunct/>
        <w:snapToGrid w:val="0"/>
        <w:spacing w:line="440" w:lineRule="exact"/>
        <w:ind w:firstLine="420" w:firstLineChars="200"/>
        <w:rPr>
          <w:rFonts w:hint="eastAsia" w:ascii="宋体" w:hAnsi="宋体" w:cs="宋体"/>
          <w:szCs w:val="21"/>
        </w:rPr>
      </w:pPr>
    </w:p>
    <w:p>
      <w:pPr>
        <w:wordWrap w:val="0"/>
        <w:topLinePunct/>
        <w:snapToGrid w:val="0"/>
        <w:spacing w:line="440" w:lineRule="exact"/>
        <w:jc w:val="right"/>
        <w:rPr>
          <w:rFonts w:hint="eastAsia" w:ascii="宋体" w:hAnsi="宋体" w:cs="宋体"/>
          <w:sz w:val="24"/>
        </w:rPr>
      </w:pPr>
      <w:r>
        <w:rPr>
          <w:rFonts w:hint="eastAsia" w:ascii="宋体" w:hAnsi="宋体" w:cs="宋体"/>
          <w:sz w:val="24"/>
        </w:rPr>
        <w:t>供应商名称（加盖公章）：</w:t>
      </w:r>
      <w:r>
        <w:rPr>
          <w:rFonts w:hint="eastAsia" w:ascii="宋体" w:hAnsi="宋体" w:cs="宋体"/>
          <w:sz w:val="24"/>
          <w:u w:val="single"/>
        </w:rPr>
        <w:t xml:space="preserve">                                </w:t>
      </w:r>
    </w:p>
    <w:p>
      <w:pPr>
        <w:wordWrap w:val="0"/>
        <w:topLinePunct/>
        <w:snapToGrid w:val="0"/>
        <w:spacing w:line="440" w:lineRule="exact"/>
        <w:ind w:firstLine="5160" w:firstLineChars="2150"/>
        <w:rPr>
          <w:rFonts w:hint="eastAsia" w:ascii="宋体" w:hAnsi="宋体" w:cs="宋体"/>
          <w:sz w:val="24"/>
          <w:u w:val="single"/>
        </w:rPr>
      </w:pPr>
    </w:p>
    <w:p>
      <w:pPr>
        <w:wordWrap w:val="0"/>
        <w:topLinePunct/>
        <w:snapToGrid w:val="0"/>
        <w:spacing w:line="440" w:lineRule="exact"/>
        <w:ind w:firstLine="4200" w:firstLineChars="175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440" w:lineRule="exact"/>
        <w:rPr>
          <w:rFonts w:hint="eastAsia" w:ascii="宋体" w:hAnsi="宋体" w:cs="宋体"/>
          <w:szCs w:val="21"/>
        </w:rPr>
      </w:pPr>
    </w:p>
    <w:p>
      <w:pPr>
        <w:snapToGrid w:val="0"/>
        <w:spacing w:line="440" w:lineRule="exact"/>
        <w:rPr>
          <w:rFonts w:hint="eastAsia" w:ascii="宋体" w:hAnsi="宋体" w:cs="宋体"/>
          <w:b/>
          <w:szCs w:val="21"/>
        </w:rPr>
      </w:pPr>
    </w:p>
    <w:p>
      <w:pPr>
        <w:snapToGrid w:val="0"/>
        <w:spacing w:line="440" w:lineRule="exact"/>
        <w:rPr>
          <w:rFonts w:hint="eastAsia" w:ascii="宋体" w:hAnsi="宋体" w:cs="宋体"/>
          <w:b/>
          <w:szCs w:val="21"/>
        </w:rPr>
      </w:pPr>
    </w:p>
    <w:p>
      <w:pPr>
        <w:snapToGrid w:val="0"/>
        <w:spacing w:line="360" w:lineRule="auto"/>
        <w:ind w:firstLine="422" w:firstLineChars="200"/>
        <w:rPr>
          <w:rFonts w:hint="eastAsia" w:ascii="宋体" w:hAnsi="宋体" w:cs="宋体"/>
          <w:b/>
          <w:szCs w:val="21"/>
        </w:rPr>
      </w:pPr>
      <w:r>
        <w:rPr>
          <w:rFonts w:hint="eastAsia" w:ascii="宋体" w:hAnsi="宋体" w:cs="宋体"/>
          <w:b/>
          <w:szCs w:val="21"/>
        </w:rPr>
        <w:t>注：后附法定代表人的身份证扫描件（正反两面）。</w:t>
      </w:r>
    </w:p>
    <w:p>
      <w:pPr>
        <w:snapToGrid w:val="0"/>
        <w:spacing w:line="360" w:lineRule="auto"/>
        <w:ind w:firstLine="420" w:firstLineChars="200"/>
        <w:rPr>
          <w:rFonts w:hint="eastAsia" w:ascii="宋体" w:hAnsi="宋体" w:cs="宋体"/>
          <w:szCs w:val="21"/>
        </w:rPr>
      </w:pPr>
    </w:p>
    <w:p>
      <w:pPr>
        <w:snapToGrid w:val="0"/>
        <w:spacing w:line="440" w:lineRule="exact"/>
        <w:jc w:val="left"/>
        <w:rPr>
          <w:rFonts w:hint="eastAsia" w:ascii="宋体" w:hAnsi="宋体" w:cs="宋体"/>
          <w:b/>
          <w:sz w:val="24"/>
        </w:rPr>
      </w:pPr>
    </w:p>
    <w:p>
      <w:pPr>
        <w:snapToGrid w:val="0"/>
        <w:spacing w:line="360" w:lineRule="auto"/>
        <w:jc w:val="center"/>
        <w:rPr>
          <w:rFonts w:hint="eastAsia" w:ascii="宋体" w:hAnsi="宋体" w:cs="宋体"/>
          <w:b/>
          <w:sz w:val="24"/>
        </w:rPr>
      </w:pPr>
      <w:r>
        <w:rPr>
          <w:rFonts w:hint="eastAsia" w:ascii="宋体" w:hAnsi="宋体" w:cs="宋体"/>
          <w:sz w:val="24"/>
        </w:rPr>
        <w:br w:type="page"/>
      </w:r>
      <w:r>
        <w:rPr>
          <w:rFonts w:hint="eastAsia" w:ascii="宋体" w:hAnsi="宋体" w:cs="宋体"/>
          <w:b/>
          <w:sz w:val="24"/>
        </w:rPr>
        <w:t>法定代表人授权委托书</w:t>
      </w:r>
    </w:p>
    <w:p>
      <w:pPr>
        <w:snapToGrid w:val="0"/>
        <w:spacing w:line="360" w:lineRule="auto"/>
        <w:jc w:val="center"/>
        <w:rPr>
          <w:rFonts w:hint="eastAsia" w:ascii="宋体" w:hAnsi="宋体" w:cs="宋体"/>
          <w:b/>
          <w:szCs w:val="21"/>
        </w:rPr>
      </w:pPr>
      <w:r>
        <w:rPr>
          <w:rFonts w:hint="eastAsia" w:ascii="宋体" w:hAnsi="宋体" w:cs="宋体"/>
          <w:b/>
          <w:szCs w:val="21"/>
        </w:rPr>
        <w:t>（适用于授权委托代表来投标）</w:t>
      </w:r>
    </w:p>
    <w:p>
      <w:pPr>
        <w:snapToGrid w:val="0"/>
        <w:spacing w:line="360" w:lineRule="auto"/>
        <w:rPr>
          <w:rFonts w:hint="eastAsia" w:ascii="宋体" w:hAnsi="宋体" w:cs="宋体"/>
          <w:b/>
          <w:bCs/>
          <w:sz w:val="24"/>
        </w:rPr>
      </w:pPr>
      <w:r>
        <w:rPr>
          <w:rFonts w:hint="eastAsia" w:ascii="宋体" w:hAnsi="宋体" w:cs="宋体"/>
          <w:b/>
          <w:sz w:val="24"/>
        </w:rPr>
        <w:t>致宁波市鄞州区人民政府潘火街道办事处：</w:t>
      </w:r>
    </w:p>
    <w:p>
      <w:pPr>
        <w:snapToGrid w:val="0"/>
        <w:spacing w:line="360" w:lineRule="auto"/>
        <w:ind w:firstLine="480" w:firstLineChars="200"/>
        <w:rPr>
          <w:rFonts w:hint="eastAsia" w:ascii="宋体" w:hAnsi="宋体" w:cs="宋体"/>
          <w:sz w:val="24"/>
        </w:rPr>
      </w:pPr>
      <w:r>
        <w:rPr>
          <w:rFonts w:hint="eastAsia" w:ascii="宋体" w:hAnsi="宋体" w:cs="宋体"/>
          <w:sz w:val="24"/>
        </w:rPr>
        <w:t xml:space="preserve">我 </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（供应商名称）的法定代表人，现授权委托本单位在职职工</w:t>
      </w:r>
      <w:r>
        <w:rPr>
          <w:rFonts w:hint="eastAsia" w:ascii="宋体" w:hAnsi="宋体" w:cs="宋体"/>
          <w:sz w:val="24"/>
          <w:u w:val="single"/>
        </w:rPr>
        <w:t xml:space="preserve">     </w:t>
      </w:r>
      <w:r>
        <w:rPr>
          <w:rFonts w:hint="eastAsia" w:ascii="宋体" w:hAnsi="宋体" w:cs="宋体"/>
          <w:sz w:val="24"/>
        </w:rPr>
        <w:t>（姓名）以我方的名义参加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项目的投标活动，并代表我方全权办理针对上述项目的投标、开标、评标、签约等具体事务和签署相关文件。</w:t>
      </w:r>
    </w:p>
    <w:p>
      <w:pPr>
        <w:snapToGrid w:val="0"/>
        <w:spacing w:line="360" w:lineRule="auto"/>
        <w:ind w:firstLine="480" w:firstLineChars="200"/>
        <w:rPr>
          <w:rFonts w:hint="eastAsia" w:ascii="宋体" w:hAnsi="宋体" w:cs="宋体"/>
          <w:sz w:val="24"/>
        </w:rPr>
      </w:pPr>
      <w:r>
        <w:rPr>
          <w:rFonts w:hint="eastAsia" w:ascii="宋体" w:hAnsi="宋体" w:cs="宋体"/>
          <w:sz w:val="24"/>
        </w:rPr>
        <w:t>我方对被授权人的签名事项负全部责任。</w:t>
      </w:r>
    </w:p>
    <w:p>
      <w:pPr>
        <w:snapToGrid w:val="0"/>
        <w:spacing w:line="360" w:lineRule="auto"/>
        <w:ind w:firstLine="480" w:firstLineChars="200"/>
        <w:rPr>
          <w:rFonts w:hint="eastAsia" w:ascii="宋体" w:hAnsi="宋体" w:cs="宋体"/>
          <w:sz w:val="24"/>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line="360" w:lineRule="auto"/>
        <w:ind w:firstLine="480" w:firstLineChars="200"/>
        <w:rPr>
          <w:rFonts w:hint="eastAsia" w:ascii="宋体" w:hAnsi="宋体" w:cs="宋体"/>
          <w:sz w:val="24"/>
        </w:rPr>
      </w:pPr>
      <w:r>
        <w:rPr>
          <w:rFonts w:hint="eastAsia" w:ascii="宋体" w:hAnsi="宋体" w:cs="宋体"/>
          <w:sz w:val="24"/>
        </w:rPr>
        <w:t>被授权人无转委托权，特此委托。</w:t>
      </w:r>
    </w:p>
    <w:p>
      <w:pPr>
        <w:pStyle w:val="6"/>
        <w:rPr>
          <w:rFonts w:hint="eastAsia"/>
        </w:rPr>
      </w:pPr>
    </w:p>
    <w:p>
      <w:pPr>
        <w:wordWrap w:val="0"/>
        <w:topLinePunct/>
        <w:snapToGrid w:val="0"/>
        <w:spacing w:line="360" w:lineRule="auto"/>
        <w:ind w:firstLine="480" w:firstLineChars="200"/>
        <w:jc w:val="center"/>
        <w:rPr>
          <w:rFonts w:hint="eastAsia" w:ascii="宋体" w:hAnsi="宋体" w:cs="宋体"/>
          <w:sz w:val="24"/>
        </w:rPr>
      </w:pPr>
      <w:r>
        <w:rPr>
          <w:rFonts w:hint="eastAsia" w:ascii="宋体" w:hAnsi="宋体" w:cs="宋体"/>
          <w:sz w:val="24"/>
        </w:rPr>
        <w:t>供应商名称（加盖公章）：</w:t>
      </w:r>
    </w:p>
    <w:p>
      <w:pPr>
        <w:wordWrap w:val="0"/>
        <w:topLinePunct/>
        <w:snapToGrid w:val="0"/>
        <w:spacing w:line="360" w:lineRule="auto"/>
        <w:ind w:firstLine="6240" w:firstLineChars="2600"/>
        <w:rPr>
          <w:rFonts w:hint="eastAsia" w:ascii="宋体" w:hAnsi="宋体" w:cs="宋体"/>
          <w:sz w:val="24"/>
        </w:rPr>
      </w:pPr>
      <w:r>
        <w:rPr>
          <w:rFonts w:hint="eastAsia" w:ascii="宋体" w:hAnsi="宋体" w:cs="宋体"/>
          <w:sz w:val="24"/>
        </w:rPr>
        <w:t>年    月    日</w:t>
      </w:r>
    </w:p>
    <w:p>
      <w:pPr>
        <w:snapToGrid w:val="0"/>
        <w:spacing w:line="440" w:lineRule="exact"/>
        <w:ind w:firstLine="3150" w:firstLineChars="1500"/>
        <w:rPr>
          <w:rFonts w:hint="eastAsia" w:ascii="宋体" w:hAnsi="宋体" w:cs="宋体"/>
          <w:szCs w:val="21"/>
        </w:rPr>
      </w:pPr>
    </w:p>
    <w:p>
      <w:pPr>
        <w:snapToGrid w:val="0"/>
        <w:spacing w:line="440" w:lineRule="exact"/>
        <w:rPr>
          <w:rFonts w:hint="eastAsia" w:ascii="宋体" w:hAnsi="宋体" w:cs="宋体"/>
          <w:sz w:val="24"/>
        </w:rPr>
      </w:pPr>
    </w:p>
    <w:p>
      <w:pPr>
        <w:snapToGrid w:val="0"/>
        <w:spacing w:line="440" w:lineRule="exact"/>
        <w:rPr>
          <w:rFonts w:hint="eastAsia" w:ascii="宋体" w:hAnsi="宋体" w:cs="宋体"/>
          <w:sz w:val="24"/>
        </w:rPr>
      </w:pPr>
    </w:p>
    <w:p>
      <w:pPr>
        <w:snapToGrid w:val="0"/>
        <w:spacing w:line="440" w:lineRule="exact"/>
        <w:rPr>
          <w:rFonts w:hint="eastAsia" w:ascii="宋体" w:hAnsi="宋体" w:cs="宋体"/>
          <w:sz w:val="24"/>
        </w:rPr>
      </w:pPr>
    </w:p>
    <w:p>
      <w:pPr>
        <w:snapToGrid w:val="0"/>
        <w:spacing w:line="440" w:lineRule="exact"/>
        <w:rPr>
          <w:rFonts w:hint="eastAsia" w:ascii="宋体" w:hAnsi="宋体" w:cs="宋体"/>
          <w:b/>
          <w:szCs w:val="21"/>
        </w:rPr>
      </w:pPr>
      <w:r>
        <w:rPr>
          <w:rFonts w:hint="eastAsia" w:ascii="宋体" w:hAnsi="宋体" w:cs="宋体"/>
          <w:b/>
          <w:szCs w:val="21"/>
        </w:rPr>
        <w:t>注：后附法定代表人和被授权人的身份证扫描件（正反两面）。</w:t>
      </w: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br w:type="page"/>
      </w:r>
      <w:bookmarkStart w:id="132" w:name="_Toc20666"/>
      <w:bookmarkStart w:id="133" w:name="_Toc23443"/>
      <w:bookmarkStart w:id="134" w:name="_Toc10075"/>
      <w:r>
        <w:rPr>
          <w:rFonts w:hint="eastAsia" w:ascii="宋体" w:hAnsi="宋体" w:eastAsia="宋体" w:cs="宋体"/>
          <w:sz w:val="24"/>
          <w:szCs w:val="24"/>
        </w:rPr>
        <w:t>8、供应商基本情况表</w:t>
      </w:r>
      <w:bookmarkEnd w:id="132"/>
      <w:bookmarkEnd w:id="133"/>
      <w:bookmarkEnd w:id="134"/>
    </w:p>
    <w:p>
      <w:pPr>
        <w:snapToGrid w:val="0"/>
        <w:spacing w:line="360" w:lineRule="auto"/>
        <w:jc w:val="center"/>
        <w:rPr>
          <w:rFonts w:hint="eastAsia" w:ascii="宋体" w:hAnsi="宋体" w:cs="宋体"/>
          <w:b/>
          <w:sz w:val="24"/>
        </w:rPr>
      </w:pPr>
      <w:r>
        <w:rPr>
          <w:rFonts w:hint="eastAsia" w:ascii="宋体" w:hAnsi="宋体" w:cs="宋体"/>
          <w:b/>
          <w:sz w:val="24"/>
        </w:rPr>
        <w:t>供应商基本情况表</w:t>
      </w:r>
    </w:p>
    <w:tbl>
      <w:tblPr>
        <w:tblStyle w:val="48"/>
        <w:tblW w:w="8244"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908"/>
        <w:gridCol w:w="8"/>
        <w:gridCol w:w="1561"/>
        <w:gridCol w:w="952"/>
        <w:gridCol w:w="307"/>
        <w:gridCol w:w="20"/>
        <w:gridCol w:w="1001"/>
        <w:gridCol w:w="9"/>
        <w:gridCol w:w="500"/>
        <w:gridCol w:w="26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单位名称</w:t>
            </w:r>
          </w:p>
        </w:tc>
        <w:tc>
          <w:tcPr>
            <w:tcW w:w="6603" w:type="dxa"/>
            <w:gridSpan w:val="11"/>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注册地址</w:t>
            </w:r>
          </w:p>
        </w:tc>
        <w:tc>
          <w:tcPr>
            <w:tcW w:w="3736" w:type="dxa"/>
            <w:gridSpan w:val="5"/>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21"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邮政编码</w:t>
            </w:r>
          </w:p>
        </w:tc>
        <w:tc>
          <w:tcPr>
            <w:tcW w:w="1846" w:type="dxa"/>
            <w:gridSpan w:val="4"/>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vMerge w:val="restart"/>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联系方式</w:t>
            </w:r>
          </w:p>
        </w:tc>
        <w:tc>
          <w:tcPr>
            <w:tcW w:w="908"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联系人</w:t>
            </w:r>
          </w:p>
        </w:tc>
        <w:tc>
          <w:tcPr>
            <w:tcW w:w="2828" w:type="dxa"/>
            <w:gridSpan w:val="4"/>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21"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电话</w:t>
            </w:r>
          </w:p>
        </w:tc>
        <w:tc>
          <w:tcPr>
            <w:tcW w:w="1846" w:type="dxa"/>
            <w:gridSpan w:val="4"/>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vMerge w:val="continue"/>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08"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传真</w:t>
            </w:r>
          </w:p>
        </w:tc>
        <w:tc>
          <w:tcPr>
            <w:tcW w:w="2828" w:type="dxa"/>
            <w:gridSpan w:val="4"/>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21"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网址</w:t>
            </w:r>
          </w:p>
        </w:tc>
        <w:tc>
          <w:tcPr>
            <w:tcW w:w="1846" w:type="dxa"/>
            <w:gridSpan w:val="4"/>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组织结构</w:t>
            </w:r>
          </w:p>
        </w:tc>
        <w:tc>
          <w:tcPr>
            <w:tcW w:w="6603" w:type="dxa"/>
            <w:gridSpan w:val="11"/>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法定代表人</w:t>
            </w:r>
          </w:p>
        </w:tc>
        <w:tc>
          <w:tcPr>
            <w:tcW w:w="916"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姓名</w:t>
            </w:r>
          </w:p>
        </w:tc>
        <w:tc>
          <w:tcPr>
            <w:tcW w:w="1561"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279"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技术职称</w:t>
            </w:r>
          </w:p>
        </w:tc>
        <w:tc>
          <w:tcPr>
            <w:tcW w:w="1010"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c>
          <w:tcPr>
            <w:tcW w:w="768"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电话</w:t>
            </w:r>
          </w:p>
        </w:tc>
        <w:tc>
          <w:tcPr>
            <w:tcW w:w="1069"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技术负责人</w:t>
            </w:r>
          </w:p>
        </w:tc>
        <w:tc>
          <w:tcPr>
            <w:tcW w:w="916"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姓名</w:t>
            </w:r>
          </w:p>
        </w:tc>
        <w:tc>
          <w:tcPr>
            <w:tcW w:w="1561"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279"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技术职称</w:t>
            </w:r>
          </w:p>
        </w:tc>
        <w:tc>
          <w:tcPr>
            <w:tcW w:w="1010"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c>
          <w:tcPr>
            <w:tcW w:w="768"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电话</w:t>
            </w:r>
          </w:p>
        </w:tc>
        <w:tc>
          <w:tcPr>
            <w:tcW w:w="1069"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成立时间</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p>
        </w:tc>
        <w:tc>
          <w:tcPr>
            <w:tcW w:w="4126" w:type="dxa"/>
            <w:gridSpan w:val="8"/>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企业资质等级</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52" w:type="dxa"/>
            <w:vMerge w:val="restart"/>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其中</w:t>
            </w: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高级职称人员</w:t>
            </w:r>
          </w:p>
        </w:tc>
        <w:tc>
          <w:tcPr>
            <w:tcW w:w="1337"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营业执照号</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中级职称人员</w:t>
            </w:r>
          </w:p>
        </w:tc>
        <w:tc>
          <w:tcPr>
            <w:tcW w:w="1337"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注册资金</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初级职称人员</w:t>
            </w:r>
          </w:p>
        </w:tc>
        <w:tc>
          <w:tcPr>
            <w:tcW w:w="1337"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开户银行</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337"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账号</w:t>
            </w:r>
          </w:p>
        </w:tc>
        <w:tc>
          <w:tcPr>
            <w:tcW w:w="2477" w:type="dxa"/>
            <w:gridSpan w:val="3"/>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52" w:type="dxa"/>
            <w:vMerge w:val="continue"/>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837" w:type="dxa"/>
            <w:gridSpan w:val="5"/>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337" w:type="dxa"/>
            <w:gridSpan w:val="2"/>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17"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经营范围</w:t>
            </w:r>
          </w:p>
        </w:tc>
        <w:tc>
          <w:tcPr>
            <w:tcW w:w="6603" w:type="dxa"/>
            <w:gridSpan w:val="11"/>
            <w:noWrap w:val="0"/>
            <w:tcMar>
              <w:left w:w="28" w:type="dxa"/>
              <w:right w:w="28" w:type="dxa"/>
            </w:tcMar>
            <w:vAlign w:val="center"/>
          </w:tcPr>
          <w:p>
            <w:pPr>
              <w:snapToGrid w:val="0"/>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18" w:hRule="atLeast"/>
        </w:trPr>
        <w:tc>
          <w:tcPr>
            <w:tcW w:w="1641"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备注</w:t>
            </w:r>
          </w:p>
        </w:tc>
        <w:tc>
          <w:tcPr>
            <w:tcW w:w="6603" w:type="dxa"/>
            <w:gridSpan w:val="11"/>
            <w:noWrap w:val="0"/>
            <w:tcMar>
              <w:left w:w="28" w:type="dxa"/>
              <w:right w:w="28" w:type="dxa"/>
            </w:tcMar>
            <w:vAlign w:val="center"/>
          </w:tcPr>
          <w:p>
            <w:pPr>
              <w:snapToGrid w:val="0"/>
              <w:spacing w:line="440" w:lineRule="exact"/>
              <w:jc w:val="center"/>
              <w:rPr>
                <w:rFonts w:hint="eastAsia" w:ascii="宋体" w:hAnsi="宋体" w:cs="宋体"/>
                <w:szCs w:val="21"/>
              </w:rPr>
            </w:pPr>
          </w:p>
        </w:tc>
      </w:tr>
    </w:tbl>
    <w:p>
      <w:pPr>
        <w:snapToGrid w:val="0"/>
        <w:spacing w:line="440" w:lineRule="exact"/>
        <w:jc w:val="left"/>
        <w:rPr>
          <w:rFonts w:hint="eastAsia" w:ascii="宋体" w:hAnsi="宋体" w:cs="宋体"/>
          <w:sz w:val="24"/>
        </w:rPr>
      </w:pP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br w:type="page"/>
      </w:r>
      <w:bookmarkStart w:id="135" w:name="_Toc433039358"/>
      <w:bookmarkStart w:id="136" w:name="_Toc22221"/>
      <w:bookmarkStart w:id="137" w:name="_Toc18454"/>
      <w:bookmarkStart w:id="138" w:name="_Toc20894"/>
      <w:r>
        <w:rPr>
          <w:rFonts w:hint="eastAsia" w:ascii="宋体" w:hAnsi="宋体" w:eastAsia="宋体" w:cs="宋体"/>
          <w:sz w:val="24"/>
          <w:szCs w:val="24"/>
        </w:rPr>
        <w:t>9、政府采购统计基础信息表</w:t>
      </w:r>
      <w:bookmarkEnd w:id="135"/>
      <w:bookmarkEnd w:id="136"/>
      <w:bookmarkEnd w:id="137"/>
      <w:bookmarkEnd w:id="138"/>
    </w:p>
    <w:p>
      <w:pPr>
        <w:snapToGrid w:val="0"/>
        <w:spacing w:line="360" w:lineRule="auto"/>
        <w:jc w:val="center"/>
        <w:rPr>
          <w:rFonts w:hint="eastAsia" w:ascii="宋体" w:hAnsi="宋体" w:cs="宋体"/>
          <w:b/>
          <w:sz w:val="24"/>
        </w:rPr>
      </w:pPr>
      <w:r>
        <w:rPr>
          <w:rFonts w:hint="eastAsia" w:ascii="宋体" w:hAnsi="宋体" w:cs="宋体"/>
          <w:b/>
          <w:sz w:val="24"/>
        </w:rPr>
        <w:t>政府采购统计基础信息表</w:t>
      </w:r>
    </w:p>
    <w:tbl>
      <w:tblPr>
        <w:tblStyle w:val="48"/>
        <w:tblW w:w="8239" w:type="dxa"/>
        <w:tblInd w:w="108" w:type="dxa"/>
        <w:tblLayout w:type="fixed"/>
        <w:tblCellMar>
          <w:top w:w="0" w:type="dxa"/>
          <w:left w:w="108" w:type="dxa"/>
          <w:bottom w:w="0" w:type="dxa"/>
          <w:right w:w="108" w:type="dxa"/>
        </w:tblCellMar>
      </w:tblPr>
      <w:tblGrid>
        <w:gridCol w:w="4947"/>
        <w:gridCol w:w="3292"/>
      </w:tblGrid>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采购人及采购项目名称</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4" w:firstLineChars="200"/>
              <w:jc w:val="center"/>
              <w:rPr>
                <w:rFonts w:hint="eastAsia" w:ascii="宋体" w:hAnsi="宋体" w:cs="宋体"/>
                <w:spacing w:val="6"/>
                <w:szCs w:val="21"/>
              </w:rPr>
            </w:pP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投（中）标单位名称</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4" w:firstLineChars="200"/>
              <w:jc w:val="center"/>
              <w:rPr>
                <w:rFonts w:hint="eastAsia" w:ascii="宋体" w:hAnsi="宋体" w:cs="宋体"/>
                <w:spacing w:val="6"/>
                <w:szCs w:val="21"/>
              </w:rPr>
            </w:pP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是否国内企业</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4" w:firstLineChars="200"/>
              <w:jc w:val="center"/>
              <w:rPr>
                <w:rFonts w:hint="eastAsia" w:ascii="宋体" w:hAnsi="宋体" w:cs="宋体"/>
                <w:spacing w:val="6"/>
                <w:szCs w:val="21"/>
              </w:rPr>
            </w:pP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是否宁波企业</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4" w:firstLineChars="200"/>
              <w:jc w:val="center"/>
              <w:rPr>
                <w:rFonts w:hint="eastAsia" w:ascii="宋体" w:hAnsi="宋体" w:cs="宋体"/>
                <w:spacing w:val="6"/>
                <w:szCs w:val="21"/>
              </w:rPr>
            </w:pP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企业划分标准类型（大型、中型、小型、微型）</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4" w:firstLineChars="200"/>
              <w:jc w:val="center"/>
              <w:rPr>
                <w:rFonts w:hint="eastAsia" w:ascii="宋体" w:hAnsi="宋体" w:cs="宋体"/>
                <w:spacing w:val="6"/>
                <w:szCs w:val="21"/>
              </w:rPr>
            </w:pP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提供的货物是否本企业制造</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spacing w:val="6"/>
                <w:szCs w:val="21"/>
              </w:rPr>
            </w:pPr>
            <w:r>
              <w:rPr>
                <w:rFonts w:hint="eastAsia" w:ascii="宋体" w:hAnsi="宋体" w:cs="宋体"/>
                <w:b/>
                <w:bCs/>
                <w:spacing w:val="6"/>
                <w:szCs w:val="21"/>
              </w:rPr>
              <w:t>/</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货物原产地是否是中国境内</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spacing w:val="6"/>
                <w:szCs w:val="21"/>
              </w:rPr>
            </w:pPr>
            <w:r>
              <w:rPr>
                <w:rFonts w:hint="eastAsia" w:ascii="宋体" w:hAnsi="宋体" w:cs="宋体"/>
                <w:b/>
                <w:bCs/>
                <w:spacing w:val="6"/>
                <w:szCs w:val="21"/>
              </w:rPr>
              <w:t>/</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货物原产地是否是宁波</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spacing w:val="6"/>
                <w:szCs w:val="21"/>
              </w:rPr>
            </w:pPr>
            <w:r>
              <w:rPr>
                <w:rFonts w:hint="eastAsia" w:ascii="宋体" w:hAnsi="宋体" w:cs="宋体"/>
                <w:b/>
                <w:bCs/>
                <w:spacing w:val="6"/>
                <w:szCs w:val="21"/>
              </w:rPr>
              <w:t>/</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是节能清单产品</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spacing w:val="6"/>
                <w:szCs w:val="21"/>
              </w:rPr>
            </w:pPr>
            <w:r>
              <w:rPr>
                <w:rFonts w:hint="eastAsia" w:ascii="宋体" w:hAnsi="宋体" w:cs="宋体"/>
                <w:b/>
                <w:bCs/>
                <w:spacing w:val="6"/>
                <w:szCs w:val="21"/>
              </w:rPr>
              <w:t>/</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提供的货物是否是环境标志清单产品</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spacing w:val="6"/>
                <w:szCs w:val="21"/>
              </w:rPr>
            </w:pPr>
            <w:r>
              <w:rPr>
                <w:rFonts w:hint="eastAsia" w:ascii="宋体" w:hAnsi="宋体" w:cs="宋体"/>
                <w:b/>
                <w:bCs/>
                <w:spacing w:val="6"/>
                <w:szCs w:val="21"/>
              </w:rPr>
              <w:t>/</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承担的工程或服务是否本企业提供</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4" w:firstLineChars="200"/>
              <w:jc w:val="center"/>
              <w:rPr>
                <w:rFonts w:hint="eastAsia" w:ascii="宋体" w:hAnsi="宋体" w:cs="宋体"/>
                <w:spacing w:val="6"/>
                <w:szCs w:val="21"/>
              </w:rPr>
            </w:pP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本项目预算</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b/>
                <w:bCs/>
                <w:spacing w:val="6"/>
                <w:szCs w:val="21"/>
              </w:rPr>
            </w:pPr>
            <w:r>
              <w:rPr>
                <w:rFonts w:hint="eastAsia" w:ascii="宋体" w:hAnsi="宋体" w:cs="宋体"/>
                <w:b/>
                <w:bCs/>
                <w:spacing w:val="6"/>
                <w:szCs w:val="21"/>
              </w:rPr>
              <w:t>/（无须填写）</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本项目是否专门面向中小企业/小微企业采购</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b/>
                <w:bCs/>
                <w:spacing w:val="6"/>
                <w:szCs w:val="21"/>
              </w:rPr>
            </w:pPr>
            <w:r>
              <w:rPr>
                <w:rFonts w:hint="eastAsia" w:ascii="宋体" w:hAnsi="宋体" w:cs="宋体"/>
                <w:b/>
                <w:bCs/>
                <w:spacing w:val="6"/>
                <w:szCs w:val="21"/>
              </w:rPr>
              <w:t>是</w:t>
            </w:r>
          </w:p>
        </w:tc>
      </w:tr>
      <w:tr>
        <w:tblPrEx>
          <w:tblCellMar>
            <w:top w:w="0" w:type="dxa"/>
            <w:left w:w="108" w:type="dxa"/>
            <w:bottom w:w="0" w:type="dxa"/>
            <w:right w:w="108" w:type="dxa"/>
          </w:tblCellMar>
        </w:tblPrEx>
        <w:trPr>
          <w:wBefore w:w="0" w:type="auto"/>
          <w:wAfter w:w="0" w:type="auto"/>
          <w:trHeight w:val="680" w:hRule="atLeast"/>
        </w:trPr>
        <w:tc>
          <w:tcPr>
            <w:tcW w:w="494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宋体" w:hAnsi="宋体" w:cs="宋体"/>
                <w:spacing w:val="6"/>
                <w:szCs w:val="21"/>
              </w:rPr>
            </w:pPr>
            <w:r>
              <w:rPr>
                <w:rFonts w:hint="eastAsia" w:ascii="宋体" w:hAnsi="宋体" w:cs="宋体"/>
                <w:spacing w:val="6"/>
                <w:szCs w:val="21"/>
              </w:rPr>
              <w:t>投（中）标金额（万元）</w:t>
            </w:r>
          </w:p>
        </w:tc>
        <w:tc>
          <w:tcPr>
            <w:tcW w:w="3292" w:type="dxa"/>
            <w:tcBorders>
              <w:top w:val="single" w:color="000000" w:sz="4" w:space="0"/>
              <w:left w:val="nil"/>
              <w:bottom w:val="single" w:color="000000" w:sz="4" w:space="0"/>
              <w:right w:val="single" w:color="000000" w:sz="4" w:space="0"/>
            </w:tcBorders>
            <w:noWrap w:val="0"/>
            <w:vAlign w:val="center"/>
          </w:tcPr>
          <w:p>
            <w:pPr>
              <w:snapToGrid w:val="0"/>
              <w:spacing w:line="440" w:lineRule="exact"/>
              <w:ind w:firstLine="446" w:firstLineChars="200"/>
              <w:jc w:val="center"/>
              <w:rPr>
                <w:rFonts w:hint="eastAsia" w:ascii="宋体" w:hAnsi="宋体" w:cs="宋体"/>
                <w:b/>
                <w:bCs/>
                <w:spacing w:val="6"/>
                <w:szCs w:val="21"/>
              </w:rPr>
            </w:pPr>
            <w:r>
              <w:rPr>
                <w:rFonts w:hint="eastAsia" w:ascii="宋体" w:hAnsi="宋体" w:cs="宋体"/>
                <w:b/>
                <w:bCs/>
                <w:spacing w:val="6"/>
                <w:szCs w:val="21"/>
              </w:rPr>
              <w:t>/（无须填写）</w:t>
            </w:r>
          </w:p>
        </w:tc>
      </w:tr>
    </w:tbl>
    <w:p>
      <w:pPr>
        <w:snapToGrid w:val="0"/>
        <w:spacing w:line="440" w:lineRule="exact"/>
        <w:rPr>
          <w:rFonts w:hint="eastAsia" w:ascii="宋体" w:hAnsi="宋体" w:cs="宋体"/>
          <w:b/>
          <w:bCs/>
          <w:szCs w:val="21"/>
        </w:rPr>
      </w:pPr>
      <w:r>
        <w:rPr>
          <w:rFonts w:hint="eastAsia" w:ascii="宋体" w:hAnsi="宋体" w:cs="宋体"/>
          <w:b/>
          <w:bCs/>
          <w:szCs w:val="21"/>
        </w:rPr>
        <w:t>备注：请各供应商务必填写此表作为投标文件的组成部分。</w:t>
      </w:r>
    </w:p>
    <w:p>
      <w:pPr>
        <w:snapToGrid w:val="0"/>
        <w:spacing w:line="440" w:lineRule="exact"/>
        <w:rPr>
          <w:rFonts w:hint="eastAsia" w:ascii="宋体" w:hAnsi="宋体" w:cs="宋体"/>
          <w:szCs w:val="21"/>
          <w:shd w:val="pct10" w:color="auto" w:fill="FFFFFF"/>
        </w:rPr>
      </w:pP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br w:type="page"/>
      </w:r>
      <w:bookmarkStart w:id="139" w:name="_Toc29762"/>
      <w:bookmarkStart w:id="140" w:name="_Toc9246"/>
      <w:bookmarkStart w:id="141" w:name="_Toc13935"/>
      <w:bookmarkStart w:id="142" w:name="_Toc10346"/>
      <w:bookmarkStart w:id="143" w:name="_Toc463726850"/>
      <w:bookmarkStart w:id="144" w:name="_Toc17862"/>
      <w:bookmarkStart w:id="145" w:name="_Toc11493"/>
      <w:bookmarkStart w:id="146" w:name="_Toc20749"/>
      <w:bookmarkStart w:id="147" w:name="_Toc9503"/>
      <w:r>
        <w:rPr>
          <w:rFonts w:hint="eastAsia" w:ascii="宋体" w:hAnsi="宋体" w:eastAsia="宋体" w:cs="宋体"/>
          <w:sz w:val="24"/>
          <w:szCs w:val="24"/>
        </w:rPr>
        <w:t>10、商务技术条款偏离表</w:t>
      </w:r>
      <w:bookmarkEnd w:id="139"/>
      <w:bookmarkEnd w:id="140"/>
      <w:bookmarkEnd w:id="141"/>
    </w:p>
    <w:p>
      <w:pPr>
        <w:snapToGrid w:val="0"/>
        <w:spacing w:line="360" w:lineRule="auto"/>
        <w:jc w:val="center"/>
        <w:rPr>
          <w:rFonts w:hint="eastAsia" w:ascii="宋体" w:hAnsi="宋体" w:cs="宋体"/>
          <w:b/>
          <w:sz w:val="24"/>
        </w:rPr>
      </w:pPr>
      <w:r>
        <w:rPr>
          <w:rFonts w:hint="eastAsia" w:ascii="宋体" w:hAnsi="宋体" w:cs="宋体"/>
          <w:b/>
          <w:sz w:val="24"/>
        </w:rPr>
        <w:t>商务技术条款响应（偏离）表</w:t>
      </w:r>
    </w:p>
    <w:p>
      <w:pPr>
        <w:snapToGrid w:val="0"/>
        <w:rPr>
          <w:rFonts w:hint="eastAsia" w:ascii="宋体" w:hAnsi="宋体" w:cs="宋体"/>
          <w:sz w:val="24"/>
        </w:rPr>
      </w:pPr>
      <w:r>
        <w:rPr>
          <w:rFonts w:hint="eastAsia" w:ascii="宋体" w:hAnsi="宋体" w:cs="宋体"/>
          <w:sz w:val="24"/>
        </w:rPr>
        <w:t>项目名称：</w:t>
      </w:r>
    </w:p>
    <w:tbl>
      <w:tblPr>
        <w:tblStyle w:val="48"/>
        <w:tblW w:w="82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823"/>
        <w:gridCol w:w="2908"/>
        <w:gridCol w:w="1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jc w:val="center"/>
              <w:rPr>
                <w:rFonts w:hint="eastAsia" w:ascii="宋体" w:hAnsi="宋体"/>
                <w:b/>
                <w:bCs/>
              </w:rPr>
            </w:pPr>
            <w:r>
              <w:rPr>
                <w:rFonts w:hint="eastAsia" w:ascii="宋体" w:hAnsi="宋体"/>
                <w:b/>
                <w:bCs/>
              </w:rPr>
              <w:t>序号</w:t>
            </w:r>
          </w:p>
        </w:tc>
        <w:tc>
          <w:tcPr>
            <w:tcW w:w="2823" w:type="dxa"/>
            <w:noWrap w:val="0"/>
            <w:vAlign w:val="center"/>
          </w:tcPr>
          <w:p>
            <w:pPr>
              <w:jc w:val="center"/>
              <w:rPr>
                <w:rFonts w:hint="eastAsia" w:ascii="宋体" w:hAnsi="宋体"/>
                <w:b/>
                <w:bCs/>
              </w:rPr>
            </w:pPr>
            <w:r>
              <w:rPr>
                <w:rFonts w:hint="eastAsia" w:ascii="宋体" w:hAnsi="宋体"/>
                <w:b/>
                <w:bCs/>
              </w:rPr>
              <w:t>采购文件要求</w:t>
            </w:r>
          </w:p>
        </w:tc>
        <w:tc>
          <w:tcPr>
            <w:tcW w:w="2908" w:type="dxa"/>
            <w:noWrap w:val="0"/>
            <w:vAlign w:val="center"/>
          </w:tcPr>
          <w:p>
            <w:pPr>
              <w:jc w:val="center"/>
              <w:rPr>
                <w:rFonts w:hint="eastAsia" w:ascii="宋体" w:hAnsi="宋体"/>
                <w:b/>
                <w:bCs/>
              </w:rPr>
            </w:pPr>
            <w:r>
              <w:rPr>
                <w:rFonts w:hint="eastAsia" w:ascii="宋体" w:hAnsi="宋体"/>
                <w:b/>
                <w:bCs/>
              </w:rPr>
              <w:t>投标文件响应</w:t>
            </w:r>
          </w:p>
        </w:tc>
        <w:tc>
          <w:tcPr>
            <w:tcW w:w="1524" w:type="dxa"/>
            <w:noWrap w:val="0"/>
            <w:vAlign w:val="center"/>
          </w:tcPr>
          <w:p>
            <w:pPr>
              <w:jc w:val="center"/>
              <w:rPr>
                <w:rFonts w:hint="eastAsia" w:ascii="宋体" w:hAnsi="宋体"/>
                <w:b/>
                <w:bCs/>
              </w:rPr>
            </w:pPr>
            <w:r>
              <w:rPr>
                <w:rFonts w:hint="eastAsia" w:ascii="宋体" w:hAnsi="宋体"/>
                <w:b/>
                <w:bCs/>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044" w:type="dxa"/>
            <w:noWrap w:val="0"/>
            <w:vAlign w:val="center"/>
          </w:tcPr>
          <w:p>
            <w:pPr>
              <w:spacing w:line="400" w:lineRule="exact"/>
              <w:jc w:val="center"/>
              <w:rPr>
                <w:rFonts w:hint="eastAsia" w:ascii="宋体" w:hAnsi="宋体"/>
              </w:rPr>
            </w:pPr>
          </w:p>
        </w:tc>
        <w:tc>
          <w:tcPr>
            <w:tcW w:w="2823" w:type="dxa"/>
            <w:noWrap w:val="0"/>
            <w:vAlign w:val="center"/>
          </w:tcPr>
          <w:p>
            <w:pPr>
              <w:spacing w:line="400" w:lineRule="exact"/>
              <w:jc w:val="center"/>
              <w:rPr>
                <w:rFonts w:hint="eastAsia" w:ascii="宋体" w:hAnsi="宋体"/>
              </w:rPr>
            </w:pPr>
          </w:p>
        </w:tc>
        <w:tc>
          <w:tcPr>
            <w:tcW w:w="2908" w:type="dxa"/>
            <w:noWrap w:val="0"/>
            <w:vAlign w:val="center"/>
          </w:tcPr>
          <w:p>
            <w:pPr>
              <w:spacing w:line="400" w:lineRule="exact"/>
              <w:jc w:val="center"/>
              <w:rPr>
                <w:rFonts w:hint="eastAsia" w:ascii="宋体" w:hAnsi="宋体"/>
              </w:rPr>
            </w:pPr>
          </w:p>
        </w:tc>
        <w:tc>
          <w:tcPr>
            <w:tcW w:w="1524" w:type="dxa"/>
            <w:noWrap w:val="0"/>
            <w:vAlign w:val="center"/>
          </w:tcPr>
          <w:p>
            <w:pPr>
              <w:spacing w:line="400" w:lineRule="exact"/>
              <w:jc w:val="center"/>
              <w:rPr>
                <w:rFonts w:hint="eastAsia" w:ascii="宋体" w:hAnsi="宋体"/>
              </w:rPr>
            </w:pPr>
          </w:p>
        </w:tc>
      </w:tr>
    </w:tbl>
    <w:p>
      <w:pPr>
        <w:snapToGrid w:val="0"/>
        <w:spacing w:line="440" w:lineRule="exact"/>
        <w:ind w:left="645" w:hanging="644" w:hangingChars="307"/>
        <w:rPr>
          <w:rFonts w:hint="eastAsia" w:ascii="宋体" w:hAnsi="宋体" w:cs="宋体"/>
          <w:szCs w:val="21"/>
        </w:rPr>
      </w:pPr>
      <w:r>
        <w:rPr>
          <w:rFonts w:hint="eastAsia" w:ascii="宋体" w:hAnsi="宋体" w:cs="宋体"/>
          <w:szCs w:val="21"/>
        </w:rPr>
        <w:t>注：根据采购文件要求实质性响应，如均未偏离可统一响应。</w:t>
      </w:r>
    </w:p>
    <w:p>
      <w:pPr>
        <w:snapToGrid w:val="0"/>
        <w:spacing w:line="440" w:lineRule="exact"/>
        <w:jc w:val="right"/>
        <w:rPr>
          <w:rFonts w:hint="eastAsia" w:ascii="宋体" w:hAnsi="宋体" w:cs="宋体"/>
          <w:szCs w:val="21"/>
        </w:rPr>
      </w:pPr>
    </w:p>
    <w:p>
      <w:pPr>
        <w:snapToGrid w:val="0"/>
        <w:spacing w:line="440" w:lineRule="exact"/>
        <w:jc w:val="right"/>
        <w:rPr>
          <w:rFonts w:hint="eastAsia" w:ascii="宋体" w:hAnsi="宋体" w:cs="宋体"/>
          <w:szCs w:val="21"/>
        </w:rPr>
      </w:pPr>
    </w:p>
    <w:p>
      <w:pPr>
        <w:snapToGrid w:val="0"/>
        <w:spacing w:line="440" w:lineRule="exact"/>
        <w:ind w:firstLine="210" w:firstLineChars="100"/>
        <w:rPr>
          <w:rFonts w:hint="eastAsia" w:ascii="宋体" w:hAnsi="宋体" w:cs="宋体"/>
          <w:szCs w:val="21"/>
          <w:u w:val="single"/>
        </w:rPr>
      </w:pPr>
      <w:r>
        <w:rPr>
          <w:rFonts w:hint="eastAsia" w:ascii="宋体" w:hAnsi="宋体" w:cs="宋体"/>
          <w:szCs w:val="21"/>
        </w:rPr>
        <w:t xml:space="preserve">                       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szCs w:val="21"/>
          <w:u w:val="single"/>
        </w:rPr>
      </w:pPr>
      <w:r>
        <w:rPr>
          <w:rFonts w:hint="eastAsia" w:ascii="宋体" w:hAnsi="宋体" w:cs="宋体"/>
          <w:szCs w:val="21"/>
        </w:rPr>
        <w:t xml:space="preserve">                   </w:t>
      </w:r>
    </w:p>
    <w:p>
      <w:pPr>
        <w:snapToGrid w:val="0"/>
        <w:spacing w:line="440" w:lineRule="exact"/>
        <w:ind w:firstLine="210" w:firstLineChars="100"/>
        <w:rPr>
          <w:rFonts w:hint="eastAsia" w:ascii="宋体" w:hAnsi="宋体" w:cs="宋体"/>
          <w:szCs w:val="21"/>
        </w:rPr>
      </w:pPr>
      <w:r>
        <w:rPr>
          <w:rFonts w:hint="eastAsia" w:ascii="宋体" w:hAnsi="宋体" w:cs="宋体"/>
          <w:szCs w:val="21"/>
        </w:rPr>
        <w:t xml:space="preserve">                                              年    月    日</w:t>
      </w: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br w:type="page"/>
      </w:r>
      <w:bookmarkStart w:id="148" w:name="_Toc11285"/>
      <w:bookmarkStart w:id="149" w:name="_Toc463726852"/>
      <w:bookmarkStart w:id="150" w:name="_Toc7941"/>
      <w:bookmarkStart w:id="151" w:name="_Toc31108"/>
      <w:bookmarkStart w:id="152" w:name="_Toc23997"/>
      <w:bookmarkStart w:id="153" w:name="_Toc23961"/>
      <w:bookmarkStart w:id="154" w:name="_Toc6256"/>
      <w:r>
        <w:rPr>
          <w:rFonts w:hint="eastAsia" w:ascii="宋体" w:hAnsi="宋体" w:eastAsia="宋体" w:cs="宋体"/>
          <w:sz w:val="24"/>
          <w:szCs w:val="24"/>
        </w:rPr>
        <w:t>11、拟派本项目人员配备汇总表</w:t>
      </w:r>
      <w:bookmarkEnd w:id="148"/>
      <w:bookmarkEnd w:id="149"/>
      <w:bookmarkEnd w:id="150"/>
      <w:bookmarkEnd w:id="151"/>
      <w:bookmarkEnd w:id="152"/>
      <w:bookmarkEnd w:id="153"/>
      <w:bookmarkEnd w:id="154"/>
    </w:p>
    <w:p>
      <w:pPr>
        <w:snapToGrid w:val="0"/>
        <w:spacing w:line="360" w:lineRule="auto"/>
        <w:jc w:val="center"/>
        <w:rPr>
          <w:rFonts w:hint="eastAsia" w:ascii="宋体" w:hAnsi="宋体" w:cs="宋体"/>
          <w:b/>
          <w:sz w:val="24"/>
        </w:rPr>
      </w:pPr>
      <w:r>
        <w:rPr>
          <w:rFonts w:hint="eastAsia" w:ascii="宋体" w:hAnsi="宋体" w:cs="宋体"/>
          <w:b/>
          <w:sz w:val="24"/>
        </w:rPr>
        <w:t>拟派本项目人员配备汇总表</w:t>
      </w:r>
    </w:p>
    <w:tbl>
      <w:tblPr>
        <w:tblStyle w:val="48"/>
        <w:tblW w:w="8256"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17"/>
        <w:gridCol w:w="996"/>
        <w:gridCol w:w="1584"/>
        <w:gridCol w:w="1056"/>
        <w:gridCol w:w="20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jc w:val="center"/>
              <w:rPr>
                <w:rFonts w:hint="eastAsia" w:ascii="宋体" w:hAnsi="宋体" w:cs="宋体"/>
                <w:b/>
                <w:bCs/>
                <w:szCs w:val="21"/>
              </w:rPr>
            </w:pPr>
            <w:r>
              <w:rPr>
                <w:rFonts w:hint="eastAsia" w:ascii="宋体" w:hAnsi="宋体" w:cs="宋体"/>
                <w:b/>
                <w:bCs/>
                <w:szCs w:val="21"/>
              </w:rPr>
              <w:t>序号</w:t>
            </w:r>
          </w:p>
        </w:tc>
        <w:tc>
          <w:tcPr>
            <w:tcW w:w="1117" w:type="dxa"/>
            <w:noWrap w:val="0"/>
            <w:tcMar>
              <w:left w:w="28" w:type="dxa"/>
              <w:right w:w="28" w:type="dxa"/>
            </w:tcMar>
            <w:vAlign w:val="center"/>
          </w:tcPr>
          <w:p>
            <w:pPr>
              <w:snapToGrid w:val="0"/>
              <w:jc w:val="center"/>
              <w:rPr>
                <w:rFonts w:hint="eastAsia" w:ascii="宋体" w:hAnsi="宋体" w:cs="宋体"/>
                <w:b/>
                <w:bCs/>
                <w:szCs w:val="21"/>
              </w:rPr>
            </w:pPr>
            <w:r>
              <w:rPr>
                <w:rFonts w:hint="eastAsia" w:ascii="宋体" w:hAnsi="宋体" w:cs="宋体"/>
                <w:b/>
                <w:bCs/>
                <w:szCs w:val="21"/>
              </w:rPr>
              <w:t>姓名</w:t>
            </w:r>
          </w:p>
        </w:tc>
        <w:tc>
          <w:tcPr>
            <w:tcW w:w="996" w:type="dxa"/>
            <w:noWrap w:val="0"/>
            <w:tcMar>
              <w:left w:w="28" w:type="dxa"/>
              <w:right w:w="28" w:type="dxa"/>
            </w:tcMar>
            <w:vAlign w:val="center"/>
          </w:tcPr>
          <w:p>
            <w:pPr>
              <w:snapToGrid w:val="0"/>
              <w:jc w:val="center"/>
              <w:rPr>
                <w:rFonts w:ascii="宋体" w:hAnsi="宋体" w:cs="宋体"/>
                <w:b/>
                <w:bCs/>
                <w:szCs w:val="21"/>
              </w:rPr>
            </w:pPr>
            <w:r>
              <w:rPr>
                <w:rFonts w:hint="eastAsia" w:ascii="宋体" w:hAnsi="宋体" w:cs="宋体"/>
                <w:b/>
                <w:bCs/>
                <w:szCs w:val="21"/>
              </w:rPr>
              <w:t>出生年月</w:t>
            </w:r>
          </w:p>
        </w:tc>
        <w:tc>
          <w:tcPr>
            <w:tcW w:w="1584" w:type="dxa"/>
            <w:noWrap w:val="0"/>
            <w:tcMar>
              <w:left w:w="28" w:type="dxa"/>
              <w:right w:w="28" w:type="dxa"/>
            </w:tcMar>
            <w:vAlign w:val="center"/>
          </w:tcPr>
          <w:p>
            <w:pPr>
              <w:snapToGrid w:val="0"/>
              <w:jc w:val="center"/>
              <w:rPr>
                <w:rFonts w:hint="eastAsia" w:ascii="宋体" w:hAnsi="宋体" w:cs="宋体"/>
                <w:b/>
                <w:bCs/>
                <w:szCs w:val="21"/>
              </w:rPr>
            </w:pPr>
            <w:r>
              <w:rPr>
                <w:rFonts w:hint="eastAsia" w:ascii="宋体" w:hAnsi="宋体" w:cs="宋体"/>
                <w:b/>
                <w:bCs/>
                <w:szCs w:val="21"/>
              </w:rPr>
              <w:t>身份证号码</w:t>
            </w:r>
          </w:p>
        </w:tc>
        <w:tc>
          <w:tcPr>
            <w:tcW w:w="1056" w:type="dxa"/>
            <w:noWrap w:val="0"/>
            <w:tcMar>
              <w:left w:w="28" w:type="dxa"/>
              <w:right w:w="28" w:type="dxa"/>
            </w:tcMar>
            <w:vAlign w:val="center"/>
          </w:tcPr>
          <w:p>
            <w:pPr>
              <w:snapToGrid w:val="0"/>
              <w:jc w:val="center"/>
              <w:rPr>
                <w:rFonts w:hint="eastAsia" w:ascii="宋体" w:hAnsi="宋体" w:cs="宋体"/>
                <w:b/>
                <w:bCs/>
                <w:szCs w:val="21"/>
              </w:rPr>
            </w:pPr>
            <w:r>
              <w:rPr>
                <w:rFonts w:hint="eastAsia" w:ascii="宋体" w:hAnsi="宋体" w:cs="宋体"/>
                <w:b/>
                <w:bCs/>
                <w:szCs w:val="21"/>
              </w:rPr>
              <w:t>职称</w:t>
            </w:r>
          </w:p>
        </w:tc>
        <w:tc>
          <w:tcPr>
            <w:tcW w:w="2028" w:type="dxa"/>
            <w:noWrap w:val="0"/>
            <w:tcMar>
              <w:left w:w="28" w:type="dxa"/>
              <w:right w:w="28" w:type="dxa"/>
            </w:tcMar>
            <w:vAlign w:val="center"/>
          </w:tcPr>
          <w:p>
            <w:pPr>
              <w:snapToGrid w:val="0"/>
              <w:jc w:val="center"/>
              <w:rPr>
                <w:rFonts w:hint="eastAsia" w:ascii="宋体" w:hAnsi="宋体" w:cs="宋体"/>
                <w:b/>
                <w:bCs/>
                <w:szCs w:val="21"/>
              </w:rPr>
            </w:pPr>
            <w:r>
              <w:rPr>
                <w:rFonts w:hint="eastAsia" w:ascii="宋体" w:hAnsi="宋体" w:cs="宋体"/>
                <w:b/>
                <w:bCs/>
                <w:szCs w:val="21"/>
              </w:rPr>
              <w:t>本项目拟担任职务</w:t>
            </w:r>
          </w:p>
        </w:tc>
        <w:tc>
          <w:tcPr>
            <w:tcW w:w="828" w:type="dxa"/>
            <w:noWrap w:val="0"/>
            <w:tcMar>
              <w:left w:w="28" w:type="dxa"/>
              <w:right w:w="28" w:type="dxa"/>
            </w:tcMar>
            <w:vAlign w:val="center"/>
          </w:tcPr>
          <w:p>
            <w:pPr>
              <w:snapToGrid w:val="0"/>
              <w:jc w:val="center"/>
              <w:rPr>
                <w:rFonts w:hint="eastAsia"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1</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2</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3</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4</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5</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6</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7</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8</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hint="eastAsia" w:ascii="宋体" w:hAnsi="宋体" w:cs="宋体"/>
                <w:szCs w:val="21"/>
              </w:rPr>
            </w:pPr>
            <w:r>
              <w:rPr>
                <w:rFonts w:hint="eastAsia" w:ascii="宋体" w:hAnsi="宋体" w:cs="宋体"/>
                <w:szCs w:val="21"/>
              </w:rPr>
              <w:t>9</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tcMar>
              <w:left w:w="28" w:type="dxa"/>
              <w:right w:w="28" w:type="dxa"/>
            </w:tcMar>
            <w:vAlign w:val="center"/>
          </w:tcPr>
          <w:p>
            <w:pPr>
              <w:snapToGrid w:val="0"/>
              <w:spacing w:line="440" w:lineRule="exact"/>
              <w:jc w:val="center"/>
              <w:rPr>
                <w:rFonts w:ascii="宋体" w:hAnsi="宋体" w:cs="宋体"/>
                <w:szCs w:val="21"/>
              </w:rPr>
            </w:pPr>
            <w:r>
              <w:rPr>
                <w:rFonts w:hint="eastAsia" w:ascii="宋体" w:hAnsi="宋体" w:cs="宋体"/>
                <w:szCs w:val="21"/>
              </w:rPr>
              <w:t>10</w:t>
            </w:r>
          </w:p>
        </w:tc>
        <w:tc>
          <w:tcPr>
            <w:tcW w:w="1117"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99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584"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1056"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2028" w:type="dxa"/>
            <w:noWrap w:val="0"/>
            <w:tcMar>
              <w:left w:w="28" w:type="dxa"/>
              <w:right w:w="28" w:type="dxa"/>
            </w:tcMar>
            <w:vAlign w:val="center"/>
          </w:tcPr>
          <w:p>
            <w:pPr>
              <w:snapToGrid w:val="0"/>
              <w:spacing w:line="440" w:lineRule="exact"/>
              <w:jc w:val="center"/>
              <w:rPr>
                <w:rFonts w:hint="eastAsia" w:ascii="宋体" w:hAnsi="宋体" w:cs="宋体"/>
                <w:szCs w:val="21"/>
              </w:rPr>
            </w:pPr>
          </w:p>
        </w:tc>
        <w:tc>
          <w:tcPr>
            <w:tcW w:w="828" w:type="dxa"/>
            <w:noWrap w:val="0"/>
            <w:tcMar>
              <w:left w:w="28" w:type="dxa"/>
              <w:right w:w="28" w:type="dxa"/>
            </w:tcMar>
            <w:vAlign w:val="center"/>
          </w:tcPr>
          <w:p>
            <w:pPr>
              <w:snapToGrid w:val="0"/>
              <w:spacing w:line="440" w:lineRule="exact"/>
              <w:jc w:val="center"/>
              <w:rPr>
                <w:rFonts w:hint="eastAsia" w:ascii="宋体" w:hAnsi="宋体" w:cs="宋体"/>
                <w:szCs w:val="21"/>
              </w:rPr>
            </w:pPr>
          </w:p>
        </w:tc>
      </w:tr>
    </w:tbl>
    <w:p>
      <w:pPr>
        <w:snapToGrid w:val="0"/>
        <w:spacing w:line="440" w:lineRule="exact"/>
        <w:ind w:left="339" w:hanging="339" w:hangingChars="161"/>
        <w:jc w:val="left"/>
        <w:rPr>
          <w:rFonts w:hint="eastAsia" w:ascii="宋体" w:hAnsi="宋体" w:cs="宋体"/>
          <w:b/>
          <w:bCs/>
          <w:szCs w:val="21"/>
        </w:rPr>
      </w:pPr>
      <w:r>
        <w:rPr>
          <w:rFonts w:hint="eastAsia" w:ascii="宋体" w:hAnsi="宋体" w:cs="宋体"/>
          <w:b/>
          <w:bCs/>
          <w:szCs w:val="21"/>
        </w:rPr>
        <w:t>注：根据采购需求及评分标准要求提供相关证明材料。</w:t>
      </w:r>
    </w:p>
    <w:p>
      <w:pPr>
        <w:snapToGrid w:val="0"/>
        <w:spacing w:line="440" w:lineRule="exact"/>
        <w:rPr>
          <w:rFonts w:hint="eastAsia" w:ascii="宋体" w:hAnsi="宋体" w:cs="宋体"/>
          <w:szCs w:val="21"/>
          <w:shd w:val="pct10" w:color="auto" w:fill="FFFFFF"/>
        </w:rPr>
      </w:pPr>
    </w:p>
    <w:p>
      <w:pPr>
        <w:snapToGrid w:val="0"/>
        <w:spacing w:line="440" w:lineRule="exact"/>
        <w:rPr>
          <w:rFonts w:hint="eastAsia" w:ascii="宋体" w:hAnsi="宋体" w:cs="宋体"/>
          <w:szCs w:val="21"/>
          <w:shd w:val="pct10" w:color="auto" w:fill="FFFFFF"/>
        </w:rPr>
      </w:pPr>
    </w:p>
    <w:p>
      <w:pPr>
        <w:snapToGrid w:val="0"/>
        <w:spacing w:line="440" w:lineRule="exact"/>
        <w:ind w:firstLine="210" w:firstLineChars="100"/>
        <w:rPr>
          <w:rFonts w:hint="eastAsia" w:ascii="宋体" w:hAnsi="宋体" w:cs="宋体"/>
          <w:szCs w:val="21"/>
          <w:u w:val="single"/>
        </w:rPr>
      </w:pPr>
      <w:r>
        <w:rPr>
          <w:rFonts w:hint="eastAsia" w:ascii="宋体" w:hAnsi="宋体" w:cs="宋体"/>
          <w:szCs w:val="21"/>
        </w:rPr>
        <w:t xml:space="preserve">                       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szCs w:val="21"/>
          <w:u w:val="single"/>
        </w:rPr>
      </w:pPr>
      <w:r>
        <w:rPr>
          <w:rFonts w:hint="eastAsia" w:ascii="宋体" w:hAnsi="宋体" w:cs="宋体"/>
          <w:szCs w:val="21"/>
        </w:rPr>
        <w:t xml:space="preserve">                     </w:t>
      </w:r>
    </w:p>
    <w:p>
      <w:pPr>
        <w:snapToGrid w:val="0"/>
        <w:spacing w:line="440" w:lineRule="exact"/>
        <w:ind w:firstLine="210" w:firstLineChars="100"/>
        <w:rPr>
          <w:rFonts w:hint="eastAsia" w:ascii="宋体" w:hAnsi="宋体" w:cs="宋体"/>
          <w:szCs w:val="21"/>
        </w:rPr>
      </w:pPr>
      <w:r>
        <w:rPr>
          <w:rFonts w:hint="eastAsia" w:ascii="宋体" w:hAnsi="宋体" w:cs="宋体"/>
          <w:szCs w:val="21"/>
        </w:rPr>
        <w:t xml:space="preserve">                                              年    月    日</w:t>
      </w:r>
    </w:p>
    <w:p>
      <w:pPr>
        <w:snapToGrid w:val="0"/>
        <w:spacing w:line="440" w:lineRule="exact"/>
        <w:jc w:val="left"/>
        <w:rPr>
          <w:rFonts w:hint="eastAsia" w:ascii="宋体" w:hAnsi="宋体" w:cs="宋体"/>
          <w:b/>
          <w:bCs/>
          <w:sz w:val="24"/>
        </w:rPr>
      </w:pPr>
    </w:p>
    <w:p>
      <w:pPr>
        <w:snapToGrid w:val="0"/>
        <w:spacing w:line="440" w:lineRule="exact"/>
        <w:ind w:left="386" w:hanging="386" w:hangingChars="161"/>
        <w:jc w:val="left"/>
        <w:rPr>
          <w:rFonts w:hint="eastAsia" w:ascii="宋体" w:hAnsi="宋体" w:cs="宋体"/>
          <w:sz w:val="24"/>
          <w:shd w:val="pct10" w:color="auto" w:fill="FFFFFF"/>
        </w:rPr>
      </w:pPr>
    </w:p>
    <w:p>
      <w:pPr>
        <w:adjustRightInd w:val="0"/>
        <w:snapToGrid w:val="0"/>
        <w:spacing w:line="460" w:lineRule="exact"/>
        <w:outlineLvl w:val="1"/>
        <w:rPr>
          <w:rFonts w:hint="eastAsia" w:ascii="宋体" w:hAnsi="宋体" w:cs="宋体"/>
          <w:kern w:val="0"/>
          <w:sz w:val="24"/>
          <w:shd w:val="pct10" w:color="auto" w:fill="FFFFFF"/>
        </w:rPr>
        <w:sectPr>
          <w:headerReference r:id="rId7" w:type="default"/>
          <w:footerReference r:id="rId8" w:type="default"/>
          <w:pgSz w:w="11905" w:h="16838"/>
          <w:pgMar w:top="1474" w:right="1797" w:bottom="1247" w:left="1797" w:header="720" w:footer="720" w:gutter="0"/>
          <w:cols w:space="720" w:num="1"/>
          <w:docGrid w:linePitch="286" w:charSpace="0"/>
        </w:sectPr>
      </w:pP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t>12、类似项目业绩一览表</w:t>
      </w:r>
      <w:bookmarkEnd w:id="142"/>
      <w:bookmarkEnd w:id="143"/>
      <w:bookmarkEnd w:id="144"/>
      <w:bookmarkEnd w:id="145"/>
      <w:bookmarkEnd w:id="146"/>
      <w:bookmarkEnd w:id="147"/>
    </w:p>
    <w:p>
      <w:pPr>
        <w:snapToGrid w:val="0"/>
        <w:spacing w:line="360" w:lineRule="auto"/>
        <w:jc w:val="center"/>
        <w:rPr>
          <w:rFonts w:hint="eastAsia" w:ascii="宋体" w:hAnsi="宋体" w:cs="宋体"/>
          <w:b/>
          <w:sz w:val="24"/>
        </w:rPr>
      </w:pPr>
      <w:r>
        <w:rPr>
          <w:rFonts w:hint="eastAsia" w:ascii="宋体" w:hAnsi="宋体" w:cs="宋体"/>
          <w:b/>
          <w:sz w:val="24"/>
        </w:rPr>
        <w:t>类似项目业绩一览表</w:t>
      </w:r>
    </w:p>
    <w:tbl>
      <w:tblPr>
        <w:tblStyle w:val="48"/>
        <w:tblW w:w="8267"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722"/>
        <w:gridCol w:w="2258"/>
        <w:gridCol w:w="1337"/>
        <w:gridCol w:w="1565"/>
        <w:gridCol w:w="74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41" w:type="dxa"/>
            <w:tcBorders>
              <w:top w:val="single" w:color="auto" w:sz="4" w:space="0"/>
              <w:bottom w:val="single" w:color="auto" w:sz="4" w:space="0"/>
            </w:tcBorders>
            <w:noWrap w:val="0"/>
            <w:tcMar>
              <w:left w:w="0" w:type="dxa"/>
              <w:right w:w="0" w:type="dxa"/>
            </w:tcMar>
            <w:vAlign w:val="center"/>
          </w:tcPr>
          <w:p>
            <w:pPr>
              <w:snapToGrid w:val="0"/>
              <w:jc w:val="center"/>
              <w:rPr>
                <w:rFonts w:hint="eastAsia" w:ascii="宋体" w:hAnsi="宋体" w:cs="宋体"/>
                <w:b/>
                <w:szCs w:val="21"/>
              </w:rPr>
            </w:pPr>
            <w:r>
              <w:rPr>
                <w:rFonts w:hint="eastAsia" w:ascii="宋体" w:hAnsi="宋体" w:cs="宋体"/>
                <w:b/>
                <w:szCs w:val="21"/>
              </w:rPr>
              <w:t>序号</w:t>
            </w:r>
          </w:p>
        </w:tc>
        <w:tc>
          <w:tcPr>
            <w:tcW w:w="1722" w:type="dxa"/>
            <w:tcBorders>
              <w:top w:val="single" w:color="auto" w:sz="4" w:space="0"/>
              <w:bottom w:val="single" w:color="auto" w:sz="4" w:space="0"/>
            </w:tcBorders>
            <w:noWrap w:val="0"/>
            <w:tcMar>
              <w:left w:w="0" w:type="dxa"/>
              <w:right w:w="0" w:type="dxa"/>
            </w:tcMar>
            <w:vAlign w:val="center"/>
          </w:tcPr>
          <w:p>
            <w:pPr>
              <w:snapToGrid w:val="0"/>
              <w:jc w:val="center"/>
              <w:rPr>
                <w:rFonts w:hint="eastAsia" w:ascii="宋体" w:hAnsi="宋体" w:cs="宋体"/>
                <w:b/>
                <w:szCs w:val="21"/>
              </w:rPr>
            </w:pPr>
            <w:r>
              <w:rPr>
                <w:rFonts w:hint="eastAsia" w:ascii="宋体" w:hAnsi="宋体" w:cs="宋体"/>
                <w:b/>
                <w:szCs w:val="21"/>
              </w:rPr>
              <w:t>项目名称</w:t>
            </w:r>
          </w:p>
        </w:tc>
        <w:tc>
          <w:tcPr>
            <w:tcW w:w="2258" w:type="dxa"/>
            <w:tcBorders>
              <w:top w:val="single" w:color="auto" w:sz="4" w:space="0"/>
              <w:bottom w:val="single" w:color="auto" w:sz="4" w:space="0"/>
            </w:tcBorders>
            <w:noWrap w:val="0"/>
            <w:tcMar>
              <w:left w:w="0" w:type="dxa"/>
              <w:right w:w="0" w:type="dxa"/>
            </w:tcMar>
            <w:vAlign w:val="center"/>
          </w:tcPr>
          <w:p>
            <w:pPr>
              <w:snapToGrid w:val="0"/>
              <w:jc w:val="center"/>
              <w:rPr>
                <w:rFonts w:hint="eastAsia" w:ascii="宋体" w:hAnsi="宋体" w:cs="宋体"/>
                <w:b/>
                <w:szCs w:val="21"/>
              </w:rPr>
            </w:pPr>
            <w:r>
              <w:rPr>
                <w:rFonts w:hint="eastAsia" w:ascii="宋体" w:hAnsi="宋体" w:cs="宋体"/>
                <w:b/>
                <w:szCs w:val="21"/>
              </w:rPr>
              <w:t>委托方名称</w:t>
            </w:r>
          </w:p>
        </w:tc>
        <w:tc>
          <w:tcPr>
            <w:tcW w:w="1337" w:type="dxa"/>
            <w:tcBorders>
              <w:top w:val="single" w:color="auto" w:sz="4" w:space="0"/>
              <w:bottom w:val="single" w:color="auto" w:sz="4" w:space="0"/>
            </w:tcBorders>
            <w:noWrap w:val="0"/>
            <w:tcMar>
              <w:left w:w="0" w:type="dxa"/>
              <w:right w:w="0" w:type="dxa"/>
            </w:tcMar>
            <w:vAlign w:val="center"/>
          </w:tcPr>
          <w:p>
            <w:pPr>
              <w:snapToGrid w:val="0"/>
              <w:jc w:val="center"/>
              <w:rPr>
                <w:rFonts w:hint="eastAsia" w:ascii="宋体" w:hAnsi="宋体" w:cs="宋体"/>
                <w:b/>
                <w:szCs w:val="21"/>
              </w:rPr>
            </w:pPr>
            <w:r>
              <w:rPr>
                <w:rFonts w:hint="eastAsia" w:ascii="宋体" w:hAnsi="宋体" w:cs="宋体"/>
                <w:b/>
                <w:szCs w:val="21"/>
              </w:rPr>
              <w:t>合同金额</w:t>
            </w:r>
          </w:p>
        </w:tc>
        <w:tc>
          <w:tcPr>
            <w:tcW w:w="1565" w:type="dxa"/>
            <w:tcBorders>
              <w:top w:val="single" w:color="auto" w:sz="4" w:space="0"/>
              <w:bottom w:val="single" w:color="auto" w:sz="4" w:space="0"/>
            </w:tcBorders>
            <w:noWrap w:val="0"/>
            <w:tcMar>
              <w:left w:w="0" w:type="dxa"/>
              <w:right w:w="0" w:type="dxa"/>
            </w:tcMar>
            <w:vAlign w:val="center"/>
          </w:tcPr>
          <w:p>
            <w:pPr>
              <w:snapToGrid w:val="0"/>
              <w:jc w:val="center"/>
              <w:rPr>
                <w:rFonts w:hint="eastAsia" w:ascii="宋体" w:hAnsi="宋体" w:cs="宋体"/>
                <w:b/>
                <w:szCs w:val="21"/>
              </w:rPr>
            </w:pPr>
            <w:r>
              <w:rPr>
                <w:rFonts w:hint="eastAsia" w:ascii="宋体" w:hAnsi="宋体" w:cs="宋体"/>
                <w:b/>
                <w:szCs w:val="21"/>
              </w:rPr>
              <w:t>合同签订时间</w:t>
            </w:r>
          </w:p>
        </w:tc>
        <w:tc>
          <w:tcPr>
            <w:tcW w:w="744" w:type="dxa"/>
            <w:tcBorders>
              <w:top w:val="single" w:color="auto" w:sz="4" w:space="0"/>
              <w:bottom w:val="single" w:color="auto" w:sz="4" w:space="0"/>
            </w:tcBorders>
            <w:noWrap w:val="0"/>
            <w:tcMar>
              <w:left w:w="0" w:type="dxa"/>
              <w:right w:w="0" w:type="dxa"/>
            </w:tcMar>
            <w:vAlign w:val="center"/>
          </w:tcPr>
          <w:p>
            <w:pPr>
              <w:snapToGrid w:val="0"/>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tcBorders>
              <w:top w:val="single" w:color="auto" w:sz="4" w:space="0"/>
            </w:tcBorders>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41"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722"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2258"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337"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1565" w:type="dxa"/>
            <w:noWrap w:val="0"/>
            <w:tcMar>
              <w:left w:w="0" w:type="dxa"/>
              <w:right w:w="0" w:type="dxa"/>
            </w:tcMar>
            <w:vAlign w:val="center"/>
          </w:tcPr>
          <w:p>
            <w:pPr>
              <w:snapToGrid w:val="0"/>
              <w:spacing w:line="440" w:lineRule="exact"/>
              <w:jc w:val="center"/>
              <w:rPr>
                <w:rFonts w:hint="eastAsia" w:ascii="宋体" w:hAnsi="宋体" w:cs="宋体"/>
                <w:szCs w:val="21"/>
              </w:rPr>
            </w:pPr>
          </w:p>
        </w:tc>
        <w:tc>
          <w:tcPr>
            <w:tcW w:w="744" w:type="dxa"/>
            <w:noWrap w:val="0"/>
            <w:tcMar>
              <w:left w:w="0" w:type="dxa"/>
              <w:right w:w="0" w:type="dxa"/>
            </w:tcMar>
            <w:vAlign w:val="center"/>
          </w:tcPr>
          <w:p>
            <w:pPr>
              <w:snapToGrid w:val="0"/>
              <w:spacing w:line="440" w:lineRule="exact"/>
              <w:jc w:val="center"/>
              <w:rPr>
                <w:rFonts w:hint="eastAsia" w:ascii="宋体" w:hAnsi="宋体" w:cs="宋体"/>
                <w:szCs w:val="21"/>
              </w:rPr>
            </w:pPr>
          </w:p>
        </w:tc>
      </w:tr>
    </w:tbl>
    <w:p>
      <w:pPr>
        <w:snapToGrid w:val="0"/>
        <w:spacing w:line="440" w:lineRule="exact"/>
        <w:ind w:left="339" w:hanging="339" w:hangingChars="161"/>
        <w:jc w:val="left"/>
        <w:rPr>
          <w:rFonts w:hint="eastAsia" w:ascii="宋体" w:hAnsi="宋体" w:cs="宋体"/>
          <w:b/>
          <w:bCs/>
          <w:szCs w:val="21"/>
        </w:rPr>
      </w:pPr>
      <w:r>
        <w:rPr>
          <w:rFonts w:hint="eastAsia" w:ascii="宋体" w:hAnsi="宋体" w:cs="宋体"/>
          <w:b/>
          <w:bCs/>
          <w:szCs w:val="21"/>
        </w:rPr>
        <w:t>注：根据评分标准要求提供相关证明材料。</w:t>
      </w:r>
    </w:p>
    <w:p>
      <w:pPr>
        <w:snapToGrid w:val="0"/>
        <w:spacing w:line="440" w:lineRule="exact"/>
        <w:ind w:firstLine="200"/>
        <w:rPr>
          <w:rFonts w:hint="eastAsia" w:ascii="宋体" w:hAnsi="宋体" w:cs="宋体"/>
          <w:szCs w:val="21"/>
        </w:rPr>
      </w:pPr>
    </w:p>
    <w:p>
      <w:pPr>
        <w:snapToGrid w:val="0"/>
        <w:spacing w:line="440" w:lineRule="exact"/>
        <w:jc w:val="right"/>
        <w:rPr>
          <w:rFonts w:hint="eastAsia" w:ascii="宋体" w:hAnsi="宋体" w:cs="宋体"/>
          <w:szCs w:val="21"/>
        </w:rPr>
      </w:pPr>
    </w:p>
    <w:p>
      <w:pPr>
        <w:snapToGrid w:val="0"/>
        <w:spacing w:line="440" w:lineRule="exact"/>
        <w:ind w:firstLine="210" w:firstLineChars="100"/>
        <w:rPr>
          <w:rFonts w:hint="eastAsia" w:ascii="宋体" w:hAnsi="宋体" w:cs="宋体"/>
          <w:szCs w:val="21"/>
          <w:u w:val="single"/>
        </w:rPr>
      </w:pPr>
      <w:r>
        <w:rPr>
          <w:rFonts w:hint="eastAsia" w:ascii="宋体" w:hAnsi="宋体" w:cs="宋体"/>
          <w:szCs w:val="21"/>
        </w:rPr>
        <w:t xml:space="preserve">                       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szCs w:val="21"/>
          <w:u w:val="single"/>
        </w:rPr>
      </w:pPr>
      <w:r>
        <w:rPr>
          <w:rFonts w:hint="eastAsia" w:ascii="宋体" w:hAnsi="宋体" w:cs="宋体"/>
          <w:szCs w:val="21"/>
        </w:rPr>
        <w:t xml:space="preserve">                     </w:t>
      </w:r>
    </w:p>
    <w:p>
      <w:pPr>
        <w:snapToGrid w:val="0"/>
        <w:spacing w:line="440" w:lineRule="exact"/>
        <w:ind w:firstLine="210" w:firstLineChars="100"/>
        <w:rPr>
          <w:rFonts w:hint="eastAsia" w:ascii="宋体" w:hAnsi="宋体" w:cs="宋体"/>
          <w:szCs w:val="21"/>
        </w:rPr>
      </w:pPr>
      <w:r>
        <w:rPr>
          <w:rFonts w:hint="eastAsia" w:ascii="宋体" w:hAnsi="宋体" w:cs="宋体"/>
          <w:szCs w:val="21"/>
        </w:rPr>
        <w:t xml:space="preserve">                                              年    月    日</w:t>
      </w:r>
    </w:p>
    <w:p>
      <w:pPr>
        <w:snapToGrid w:val="0"/>
        <w:spacing w:line="440" w:lineRule="exact"/>
        <w:rPr>
          <w:rFonts w:hint="eastAsia" w:ascii="宋体" w:hAnsi="宋体" w:cs="宋体"/>
          <w:sz w:val="24"/>
        </w:rPr>
      </w:pP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br w:type="page"/>
      </w:r>
      <w:bookmarkStart w:id="155" w:name="_Toc25555"/>
      <w:bookmarkStart w:id="156" w:name="_Toc1987"/>
      <w:bookmarkStart w:id="157" w:name="_Toc5498"/>
      <w:r>
        <w:rPr>
          <w:rFonts w:hint="eastAsia" w:ascii="宋体" w:hAnsi="宋体" w:eastAsia="宋体" w:cs="宋体"/>
          <w:sz w:val="24"/>
          <w:szCs w:val="24"/>
        </w:rPr>
        <w:t>13、开标一览表</w:t>
      </w:r>
      <w:bookmarkEnd w:id="155"/>
      <w:bookmarkEnd w:id="156"/>
      <w:bookmarkEnd w:id="157"/>
    </w:p>
    <w:p>
      <w:pPr>
        <w:snapToGrid w:val="0"/>
        <w:spacing w:line="360" w:lineRule="auto"/>
        <w:jc w:val="center"/>
        <w:rPr>
          <w:rFonts w:hint="eastAsia" w:ascii="宋体" w:hAnsi="宋体" w:cs="宋体"/>
          <w:b/>
          <w:sz w:val="24"/>
        </w:rPr>
      </w:pPr>
      <w:r>
        <w:rPr>
          <w:rFonts w:hint="eastAsia" w:ascii="宋体" w:hAnsi="宋体" w:cs="宋体"/>
          <w:b/>
          <w:sz w:val="24"/>
        </w:rPr>
        <w:t>开标一览表</w:t>
      </w:r>
    </w:p>
    <w:p>
      <w:pPr>
        <w:snapToGrid w:val="0"/>
        <w:spacing w:line="360" w:lineRule="auto"/>
        <w:rPr>
          <w:rFonts w:hint="eastAsia" w:ascii="宋体" w:hAnsi="宋体" w:cs="宋体"/>
          <w:bCs/>
          <w:szCs w:val="21"/>
        </w:rPr>
      </w:pPr>
      <w:r>
        <w:rPr>
          <w:rFonts w:hint="eastAsia" w:ascii="宋体" w:hAnsi="宋体" w:cs="宋体"/>
          <w:bCs/>
          <w:szCs w:val="21"/>
        </w:rPr>
        <w:t>项目编号：</w:t>
      </w:r>
    </w:p>
    <w:p>
      <w:pPr>
        <w:pStyle w:val="45"/>
        <w:widowControl w:val="0"/>
        <w:snapToGrid w:val="0"/>
        <w:spacing w:before="0" w:beforeAutospacing="0" w:after="0" w:afterAutospacing="0" w:line="360" w:lineRule="auto"/>
        <w:rPr>
          <w:rFonts w:hint="eastAsia" w:ascii="宋体" w:hAnsi="宋体" w:cs="宋体"/>
          <w:spacing w:val="-4"/>
          <w:kern w:val="2"/>
          <w:sz w:val="21"/>
          <w:szCs w:val="21"/>
          <w:lang w:bidi="ar"/>
        </w:rPr>
      </w:pPr>
      <w:r>
        <w:rPr>
          <w:rFonts w:hint="eastAsia" w:ascii="宋体" w:hAnsi="宋体" w:cs="宋体"/>
          <w:bCs/>
          <w:szCs w:val="21"/>
        </w:rPr>
        <w:t xml:space="preserve">项目名称：                                              </w:t>
      </w:r>
      <w:r>
        <w:rPr>
          <w:rFonts w:hint="eastAsia" w:ascii="宋体" w:hAnsi="宋体" w:cs="宋体"/>
          <w:spacing w:val="-4"/>
          <w:kern w:val="2"/>
          <w:sz w:val="21"/>
          <w:szCs w:val="21"/>
          <w:lang w:bidi="ar"/>
        </w:rPr>
        <w:t>单位：人民币元</w:t>
      </w:r>
    </w:p>
    <w:tbl>
      <w:tblPr>
        <w:tblStyle w:val="48"/>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68"/>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0"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pStyle w:val="45"/>
              <w:widowControl w:val="0"/>
              <w:snapToGrid w:val="0"/>
              <w:spacing w:before="0" w:beforeAutospacing="0" w:after="0" w:afterAutospacing="0" w:line="360" w:lineRule="auto"/>
              <w:jc w:val="center"/>
              <w:rPr>
                <w:rFonts w:ascii="宋体" w:hAnsi="宋体" w:cs="宋体"/>
                <w:b/>
                <w:bCs/>
                <w:sz w:val="21"/>
                <w:szCs w:val="21"/>
              </w:rPr>
            </w:pPr>
            <w:r>
              <w:rPr>
                <w:rFonts w:hint="eastAsia" w:ascii="宋体" w:hAnsi="宋体" w:cs="宋体"/>
                <w:b/>
                <w:bCs/>
                <w:spacing w:val="-4"/>
                <w:kern w:val="2"/>
                <w:sz w:val="21"/>
                <w:szCs w:val="21"/>
                <w:lang w:bidi="ar"/>
              </w:rPr>
              <w:t>标项号</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pStyle w:val="45"/>
              <w:widowControl w:val="0"/>
              <w:snapToGrid w:val="0"/>
              <w:spacing w:before="0" w:beforeAutospacing="0" w:after="0" w:afterAutospacing="0" w:line="360" w:lineRule="auto"/>
              <w:jc w:val="center"/>
              <w:rPr>
                <w:rFonts w:ascii="宋体" w:hAnsi="宋体" w:cs="宋体"/>
                <w:b/>
                <w:bCs/>
                <w:spacing w:val="-4"/>
                <w:kern w:val="2"/>
                <w:sz w:val="21"/>
                <w:szCs w:val="21"/>
                <w:lang w:bidi="ar"/>
              </w:rPr>
            </w:pPr>
            <w:r>
              <w:rPr>
                <w:rFonts w:hint="eastAsia" w:ascii="宋体" w:hAnsi="宋体" w:cs="宋体"/>
                <w:b/>
                <w:bCs/>
                <w:spacing w:val="-4"/>
                <w:kern w:val="2"/>
                <w:sz w:val="21"/>
                <w:szCs w:val="21"/>
                <w:lang w:bidi="ar"/>
              </w:rPr>
              <w:t>采购内容</w:t>
            </w:r>
          </w:p>
        </w:tc>
        <w:tc>
          <w:tcPr>
            <w:tcW w:w="58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s="宋体"/>
                <w:b/>
                <w:szCs w:val="21"/>
              </w:rPr>
            </w:pPr>
            <w:r>
              <w:rPr>
                <w:rFonts w:hint="eastAsia" w:ascii="宋体" w:hAnsi="宋体" w:cs="宋体"/>
                <w:b/>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9"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Cs w:val="21"/>
              </w:rPr>
            </w:pPr>
            <w:r>
              <w:rPr>
                <w:rFonts w:hint="eastAsia" w:ascii="宋体" w:hAnsi="宋体" w:cs="宋体"/>
                <w:szCs w:val="21"/>
              </w:rPr>
              <w:t>一</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pacing w:val="-4"/>
                <w:szCs w:val="21"/>
                <w:lang w:bidi="ar"/>
              </w:rPr>
            </w:pPr>
            <w:r>
              <w:rPr>
                <w:rFonts w:hint="eastAsia" w:ascii="宋体" w:hAnsi="宋体" w:cs="宋体"/>
                <w:spacing w:val="-4"/>
                <w:szCs w:val="21"/>
                <w:lang w:bidi="ar"/>
              </w:rPr>
              <w:t>潘火街道2024-2026年度绿化养护服务及零星整改提升项目</w:t>
            </w:r>
          </w:p>
        </w:tc>
        <w:tc>
          <w:tcPr>
            <w:tcW w:w="58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Cs w:val="21"/>
              </w:rPr>
            </w:pPr>
            <w:r>
              <w:rPr>
                <w:rFonts w:hint="eastAsia" w:ascii="宋体" w:hAnsi="宋体" w:cs="宋体"/>
                <w:szCs w:val="21"/>
              </w:rPr>
              <w:t>三年，合同一年一签。采购人根据中标单位在上一年合同履行期间考核情况及资金审批情况决定是否续签。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9" w:hRule="atLeast"/>
          <w:jc w:val="center"/>
        </w:trPr>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pacing w:val="-1"/>
                <w:szCs w:val="21"/>
              </w:rPr>
            </w:pPr>
            <w:r>
              <w:rPr>
                <w:rFonts w:hint="eastAsia" w:ascii="宋体" w:hAnsi="宋体" w:cs="宋体"/>
                <w:spacing w:val="-1"/>
                <w:szCs w:val="21"/>
              </w:rPr>
              <w:t>年度投标总价（元/年）</w:t>
            </w:r>
          </w:p>
        </w:tc>
        <w:tc>
          <w:tcPr>
            <w:tcW w:w="58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cs="宋体"/>
                <w:szCs w:val="21"/>
              </w:rPr>
            </w:pPr>
            <w:r>
              <w:rPr>
                <w:rFonts w:hint="eastAsia" w:ascii="宋体" w:hAnsi="宋体" w:cs="宋体"/>
                <w:szCs w:val="21"/>
              </w:rPr>
              <w:t>小写：</w:t>
            </w:r>
          </w:p>
          <w:p>
            <w:pPr>
              <w:snapToGrid w:val="0"/>
              <w:spacing w:before="50" w:after="50"/>
              <w:jc w:val="left"/>
              <w:rPr>
                <w:rFonts w:ascii="宋体" w:hAnsi="宋体" w:cs="宋体"/>
                <w:szCs w:val="21"/>
              </w:rPr>
            </w:pPr>
            <w:r>
              <w:rPr>
                <w:rFonts w:hint="eastAsia" w:ascii="宋体" w:hAnsi="宋体" w:cs="宋体"/>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1" w:hRule="atLeast"/>
          <w:jc w:val="center"/>
        </w:trPr>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pStyle w:val="45"/>
              <w:widowControl w:val="0"/>
              <w:snapToGrid w:val="0"/>
              <w:spacing w:before="0" w:beforeAutospacing="0" w:after="0" w:afterAutospacing="0" w:line="360" w:lineRule="auto"/>
              <w:ind w:firstLine="301"/>
              <w:jc w:val="center"/>
              <w:rPr>
                <w:rFonts w:ascii="宋体" w:hAnsi="宋体" w:cs="宋体"/>
                <w:spacing w:val="-4"/>
                <w:kern w:val="2"/>
                <w:sz w:val="21"/>
                <w:szCs w:val="21"/>
                <w:lang w:bidi="ar"/>
              </w:rPr>
            </w:pPr>
            <w:r>
              <w:rPr>
                <w:rFonts w:hint="eastAsia" w:ascii="宋体" w:hAnsi="宋体" w:cs="宋体"/>
                <w:spacing w:val="-4"/>
                <w:kern w:val="2"/>
                <w:sz w:val="21"/>
                <w:szCs w:val="21"/>
                <w:lang w:bidi="ar"/>
              </w:rPr>
              <w:t>投标声明</w:t>
            </w:r>
          </w:p>
        </w:tc>
        <w:tc>
          <w:tcPr>
            <w:tcW w:w="5805" w:type="dxa"/>
            <w:tcBorders>
              <w:top w:val="single" w:color="auto" w:sz="4" w:space="0"/>
              <w:left w:val="single" w:color="auto" w:sz="4" w:space="0"/>
              <w:bottom w:val="single" w:color="auto" w:sz="4" w:space="0"/>
              <w:right w:val="single" w:color="auto" w:sz="4" w:space="0"/>
            </w:tcBorders>
            <w:noWrap w:val="0"/>
            <w:vAlign w:val="top"/>
          </w:tcPr>
          <w:p>
            <w:pPr>
              <w:pStyle w:val="45"/>
              <w:widowControl w:val="0"/>
              <w:spacing w:before="0" w:beforeAutospacing="0" w:after="0" w:afterAutospacing="0" w:line="360" w:lineRule="auto"/>
              <w:ind w:firstLine="301"/>
              <w:rPr>
                <w:rFonts w:ascii="宋体" w:hAnsi="宋体" w:cs="宋体"/>
                <w:spacing w:val="-4"/>
                <w:kern w:val="2"/>
                <w:sz w:val="21"/>
                <w:szCs w:val="21"/>
                <w:lang w:bidi="ar"/>
              </w:rPr>
            </w:pPr>
          </w:p>
        </w:tc>
      </w:tr>
    </w:tbl>
    <w:p>
      <w:pPr>
        <w:adjustRightInd w:val="0"/>
        <w:snapToGrid w:val="0"/>
        <w:spacing w:line="360" w:lineRule="auto"/>
        <w:rPr>
          <w:rFonts w:hint="eastAsia" w:ascii="宋体" w:hAnsi="宋体" w:cs="宋体"/>
          <w:b/>
          <w:bCs/>
          <w:szCs w:val="21"/>
        </w:rPr>
      </w:pPr>
      <w:r>
        <w:rPr>
          <w:rFonts w:hint="eastAsia" w:ascii="宋体" w:hAnsi="宋体" w:cs="宋体"/>
          <w:b/>
          <w:bCs/>
          <w:szCs w:val="21"/>
        </w:rPr>
        <w:t>注：</w:t>
      </w:r>
    </w:p>
    <w:p>
      <w:pPr>
        <w:spacing w:line="360" w:lineRule="auto"/>
        <w:rPr>
          <w:rFonts w:ascii="宋体" w:hAnsi="宋体" w:cs="宋体"/>
          <w:kern w:val="0"/>
          <w:szCs w:val="21"/>
          <w:lang w:val="zh-CN"/>
        </w:rPr>
      </w:pPr>
      <w:r>
        <w:rPr>
          <w:rFonts w:hint="eastAsia" w:ascii="宋体" w:hAnsi="宋体" w:cs="宋体"/>
          <w:b/>
          <w:kern w:val="0"/>
          <w:szCs w:val="21"/>
          <w:lang w:val="zh-CN"/>
        </w:rPr>
        <w:t>注：</w:t>
      </w: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kern w:val="0"/>
          <w:szCs w:val="21"/>
          <w:lang w:val="zh-CN"/>
        </w:rPr>
        <w:t>。</w:t>
      </w:r>
    </w:p>
    <w:p>
      <w:pPr>
        <w:spacing w:line="360" w:lineRule="auto"/>
        <w:ind w:firstLine="420" w:firstLineChars="200"/>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采购人将以合同形式有偿取得货物或服务，不接受投标人给予的赠品、回扣或者与采购无关的其他商品、服务</w:t>
      </w:r>
      <w:r>
        <w:rPr>
          <w:rFonts w:hint="eastAsia" w:ascii="宋体" w:hAnsi="宋体" w:cs="宋体"/>
          <w:kern w:val="0"/>
          <w:szCs w:val="21"/>
          <w:lang w:val="zh-CN"/>
        </w:rPr>
        <w:t>，</w:t>
      </w:r>
      <w:r>
        <w:rPr>
          <w:rFonts w:hint="eastAsia" w:ascii="宋体" w:hAnsi="宋体" w:cs="宋体"/>
          <w:b/>
          <w:kern w:val="0"/>
          <w:szCs w:val="21"/>
          <w:lang w:val="zh-CN"/>
        </w:rPr>
        <w:t>不得出现“0元”“免费赠送”等形式的无偿报价，</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3、特别提示：采购代理机构将对项目名称和项目编号，中标供应商名称、地址和中标金额，主要中标标的名称、服务范围、服务要求、服务时间、服务标准等予以公示。</w:t>
      </w:r>
    </w:p>
    <w:p>
      <w:pPr>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4、符合采购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440" w:lineRule="exact"/>
        <w:ind w:firstLine="210" w:firstLineChars="100"/>
        <w:rPr>
          <w:rFonts w:hint="eastAsia" w:ascii="宋体" w:hAnsi="宋体" w:cs="宋体"/>
          <w:szCs w:val="21"/>
          <w:u w:val="single"/>
        </w:rPr>
      </w:pPr>
      <w:r>
        <w:rPr>
          <w:rFonts w:hint="eastAsia" w:ascii="宋体" w:hAnsi="宋体" w:cs="宋体"/>
          <w:szCs w:val="21"/>
        </w:rPr>
        <w:t xml:space="preserve">                       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b/>
          <w:sz w:val="24"/>
        </w:rPr>
      </w:pPr>
      <w:r>
        <w:rPr>
          <w:rFonts w:hint="eastAsia" w:ascii="宋体" w:hAnsi="宋体" w:cs="宋体"/>
          <w:szCs w:val="21"/>
        </w:rPr>
        <w:t xml:space="preserve">                                                               年    月    日</w:t>
      </w:r>
    </w:p>
    <w:p>
      <w:pPr>
        <w:adjustRightInd w:val="0"/>
        <w:snapToGrid w:val="0"/>
        <w:spacing w:line="460" w:lineRule="exact"/>
        <w:outlineLvl w:val="1"/>
        <w:rPr>
          <w:rFonts w:hint="eastAsia" w:ascii="宋体" w:hAnsi="宋体" w:cs="宋体"/>
          <w:b/>
          <w:sz w:val="24"/>
        </w:rPr>
        <w:sectPr>
          <w:headerReference r:id="rId9" w:type="default"/>
          <w:footerReference r:id="rId10" w:type="default"/>
          <w:pgSz w:w="11905" w:h="16838"/>
          <w:pgMar w:top="1474" w:right="1797" w:bottom="1247" w:left="1797" w:header="720" w:footer="720" w:gutter="0"/>
          <w:cols w:space="720" w:num="1"/>
          <w:docGrid w:linePitch="286" w:charSpace="0"/>
        </w:sectPr>
      </w:pPr>
    </w:p>
    <w:p>
      <w:pPr>
        <w:pStyle w:val="26"/>
        <w:snapToGrid w:val="0"/>
        <w:spacing w:before="0" w:beforeLines="0" w:after="0" w:afterLines="0" w:line="240" w:lineRule="auto"/>
        <w:rPr>
          <w:rFonts w:hint="eastAsia" w:hAnsi="宋体" w:cs="宋体"/>
          <w:b/>
          <w:bCs/>
        </w:rPr>
      </w:pPr>
      <w:r>
        <w:rPr>
          <w:rFonts w:hint="eastAsia" w:hAnsi="宋体" w:cs="宋体"/>
          <w:b/>
          <w:bCs/>
        </w:rPr>
        <w:t>14、投标报价明细表</w:t>
      </w:r>
    </w:p>
    <w:p>
      <w:pPr>
        <w:pStyle w:val="26"/>
        <w:snapToGrid w:val="0"/>
        <w:spacing w:before="295" w:beforeLines="0" w:after="295" w:afterLines="0" w:line="240" w:lineRule="auto"/>
        <w:jc w:val="center"/>
        <w:rPr>
          <w:rFonts w:hint="eastAsia" w:hAnsi="宋体" w:cs="宋体"/>
          <w:b/>
          <w:bCs/>
          <w:sz w:val="21"/>
        </w:rPr>
      </w:pPr>
      <w:r>
        <w:rPr>
          <w:rFonts w:hint="eastAsia" w:hAnsi="宋体" w:cs="宋体"/>
          <w:b/>
          <w:bCs/>
          <w:sz w:val="21"/>
        </w:rPr>
        <w:t>投标报价明细表-1</w:t>
      </w:r>
    </w:p>
    <w:p>
      <w:pPr>
        <w:pStyle w:val="26"/>
        <w:snapToGrid w:val="0"/>
        <w:spacing w:before="0" w:beforeLines="0" w:after="0" w:afterLines="0"/>
        <w:rPr>
          <w:rFonts w:hint="eastAsia" w:hAnsi="宋体" w:cs="宋体"/>
          <w:sz w:val="21"/>
          <w:u w:val="single"/>
        </w:rPr>
      </w:pPr>
      <w:r>
        <w:rPr>
          <w:rFonts w:hint="eastAsia" w:hAnsi="宋体" w:cs="宋体"/>
          <w:sz w:val="21"/>
        </w:rPr>
        <w:t>项目编号：</w:t>
      </w:r>
      <w:r>
        <w:rPr>
          <w:rFonts w:hint="eastAsia" w:hAnsi="宋体" w:cs="宋体"/>
          <w:sz w:val="21"/>
          <w:u w:val="single"/>
        </w:rPr>
        <w:t xml:space="preserve">              </w:t>
      </w:r>
      <w:r>
        <w:rPr>
          <w:rFonts w:hint="eastAsia" w:hAnsi="宋体" w:cs="宋体"/>
          <w:sz w:val="21"/>
        </w:rPr>
        <w:t xml:space="preserve">        项目名称：</w:t>
      </w:r>
      <w:r>
        <w:rPr>
          <w:rFonts w:hint="eastAsia" w:hAnsi="宋体" w:cs="宋体"/>
          <w:sz w:val="21"/>
          <w:u w:val="single"/>
        </w:rPr>
        <w:t xml:space="preserve">                                 </w:t>
      </w:r>
    </w:p>
    <w:tbl>
      <w:tblPr>
        <w:tblStyle w:val="48"/>
        <w:tblW w:w="9970" w:type="dxa"/>
        <w:tblInd w:w="-836" w:type="dxa"/>
        <w:tblLayout w:type="fixed"/>
        <w:tblCellMar>
          <w:top w:w="0" w:type="dxa"/>
          <w:left w:w="108" w:type="dxa"/>
          <w:bottom w:w="0" w:type="dxa"/>
          <w:right w:w="108" w:type="dxa"/>
        </w:tblCellMar>
      </w:tblPr>
      <w:tblGrid>
        <w:gridCol w:w="520"/>
        <w:gridCol w:w="1293"/>
        <w:gridCol w:w="1438"/>
        <w:gridCol w:w="879"/>
        <w:gridCol w:w="1541"/>
        <w:gridCol w:w="1434"/>
        <w:gridCol w:w="1645"/>
        <w:gridCol w:w="1220"/>
      </w:tblGrid>
      <w:tr>
        <w:tblPrEx>
          <w:tblCellMar>
            <w:top w:w="0" w:type="dxa"/>
            <w:left w:w="108" w:type="dxa"/>
            <w:bottom w:w="0" w:type="dxa"/>
            <w:right w:w="108" w:type="dxa"/>
          </w:tblCellMar>
        </w:tblPrEx>
        <w:trPr>
          <w:wBefore w:w="0" w:type="dxa"/>
          <w:wAfter w:w="0" w:type="dxa"/>
          <w:trHeight w:val="316" w:hRule="atLeast"/>
        </w:trPr>
        <w:tc>
          <w:tcPr>
            <w:tcW w:w="5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 xml:space="preserve">标项号 </w:t>
            </w:r>
          </w:p>
        </w:tc>
        <w:tc>
          <w:tcPr>
            <w:tcW w:w="3610"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设      施      量</w:t>
            </w:r>
          </w:p>
        </w:tc>
        <w:tc>
          <w:tcPr>
            <w:tcW w:w="1541" w:type="dxa"/>
            <w:vMerge w:val="restart"/>
            <w:tcBorders>
              <w:top w:val="single" w:color="000000" w:sz="4" w:space="0"/>
              <w:left w:val="single" w:color="000000" w:sz="4" w:space="0"/>
              <w:bottom w:val="nil"/>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综合单价最高限价</w:t>
            </w:r>
          </w:p>
        </w:tc>
        <w:tc>
          <w:tcPr>
            <w:tcW w:w="1434" w:type="dxa"/>
            <w:vMerge w:val="restart"/>
            <w:tcBorders>
              <w:top w:val="single" w:color="000000" w:sz="4" w:space="0"/>
              <w:left w:val="single" w:color="000000" w:sz="4" w:space="0"/>
              <w:right w:val="single" w:color="000000" w:sz="4" w:space="0"/>
            </w:tcBorders>
            <w:noWrap w:val="0"/>
            <w:vAlign w:val="center"/>
          </w:tcPr>
          <w:p>
            <w:pPr>
              <w:spacing w:line="260" w:lineRule="exact"/>
              <w:jc w:val="center"/>
              <w:rPr>
                <w:rFonts w:hint="eastAsia" w:ascii="宋体" w:hAnsi="宋体"/>
                <w:sz w:val="18"/>
                <w:szCs w:val="18"/>
              </w:rPr>
            </w:pPr>
            <w:r>
              <w:rPr>
                <w:rFonts w:hint="eastAsia" w:ascii="宋体" w:hAnsi="宋体"/>
                <w:sz w:val="18"/>
                <w:szCs w:val="18"/>
              </w:rPr>
              <w:t>投标综合单价</w:t>
            </w:r>
          </w:p>
        </w:tc>
        <w:tc>
          <w:tcPr>
            <w:tcW w:w="1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投标报价</w:t>
            </w:r>
          </w:p>
          <w:p>
            <w:pPr>
              <w:spacing w:line="260" w:lineRule="exact"/>
              <w:jc w:val="center"/>
              <w:rPr>
                <w:rFonts w:ascii="宋体" w:hAnsi="宋体"/>
                <w:sz w:val="18"/>
                <w:szCs w:val="18"/>
              </w:rPr>
            </w:pPr>
            <w:r>
              <w:rPr>
                <w:rFonts w:hint="eastAsia" w:ascii="宋体" w:hAnsi="宋体"/>
                <w:sz w:val="18"/>
                <w:szCs w:val="18"/>
              </w:rPr>
              <w:t>（元/年）</w:t>
            </w:r>
          </w:p>
        </w:tc>
        <w:tc>
          <w:tcPr>
            <w:tcW w:w="12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服务期限</w:t>
            </w:r>
          </w:p>
        </w:tc>
      </w:tr>
      <w:tr>
        <w:tblPrEx>
          <w:tblCellMar>
            <w:top w:w="0" w:type="dxa"/>
            <w:left w:w="108" w:type="dxa"/>
            <w:bottom w:w="0" w:type="dxa"/>
            <w:right w:w="108" w:type="dxa"/>
          </w:tblCellMar>
        </w:tblPrEx>
        <w:trPr>
          <w:wBefore w:w="0" w:type="dxa"/>
          <w:wAfter w:w="0" w:type="dxa"/>
          <w:trHeight w:val="581"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养护内容</w:t>
            </w:r>
          </w:p>
        </w:tc>
        <w:tc>
          <w:tcPr>
            <w:tcW w:w="1438" w:type="dxa"/>
            <w:tcBorders>
              <w:top w:val="single" w:color="000000" w:sz="4" w:space="0"/>
              <w:left w:val="single" w:color="000000" w:sz="4" w:space="0"/>
              <w:bottom w:val="nil"/>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数量</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60" w:lineRule="exact"/>
              <w:jc w:val="center"/>
              <w:rPr>
                <w:rFonts w:ascii="宋体" w:hAnsi="宋体"/>
                <w:sz w:val="18"/>
                <w:szCs w:val="18"/>
              </w:rPr>
            </w:pPr>
            <w:r>
              <w:rPr>
                <w:rFonts w:hint="eastAsia" w:ascii="宋体" w:hAnsi="宋体"/>
                <w:sz w:val="18"/>
                <w:szCs w:val="18"/>
              </w:rPr>
              <w:t>单位</w:t>
            </w:r>
          </w:p>
        </w:tc>
        <w:tc>
          <w:tcPr>
            <w:tcW w:w="1541"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sz w:val="18"/>
                <w:szCs w:val="18"/>
              </w:rPr>
            </w:pPr>
          </w:p>
        </w:tc>
        <w:tc>
          <w:tcPr>
            <w:tcW w:w="1434" w:type="dxa"/>
            <w:vMerge w:val="continue"/>
            <w:tcBorders>
              <w:left w:val="single" w:color="000000" w:sz="4" w:space="0"/>
              <w:bottom w:val="single" w:color="000000" w:sz="4" w:space="0"/>
              <w:right w:val="single" w:color="000000" w:sz="4" w:space="0"/>
            </w:tcBorders>
            <w:noWrap w:val="0"/>
            <w:vAlign w:val="top"/>
          </w:tcPr>
          <w:p>
            <w:pPr>
              <w:widowControl/>
              <w:jc w:val="left"/>
              <w:rPr>
                <w:rFonts w:ascii="宋体" w:hAnsi="宋体"/>
                <w:sz w:val="18"/>
                <w:szCs w:val="18"/>
              </w:rPr>
            </w:pPr>
          </w:p>
        </w:tc>
        <w:tc>
          <w:tcPr>
            <w:tcW w:w="1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18"/>
                <w:szCs w:val="18"/>
              </w:rPr>
            </w:pPr>
          </w:p>
        </w:tc>
        <w:tc>
          <w:tcPr>
            <w:tcW w:w="12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299" w:hRule="atLeast"/>
        </w:trPr>
        <w:tc>
          <w:tcPr>
            <w:tcW w:w="520" w:type="dxa"/>
            <w:vMerge w:val="restart"/>
            <w:tcBorders>
              <w:top w:val="single" w:color="000000" w:sz="4" w:space="0"/>
              <w:left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一</w:t>
            </w: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道路绿化</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ascii="宋体" w:hAnsi="宋体" w:cs="宋体"/>
                <w:sz w:val="18"/>
                <w:szCs w:val="18"/>
              </w:rPr>
              <w:t>416357</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bCs/>
              </w:rPr>
              <w:t>m</w:t>
            </w:r>
            <w:r>
              <w:rPr>
                <w:rFonts w:hint="eastAsia" w:ascii="宋体" w:hAnsi="宋体" w:cs="宋体"/>
                <w:bCs/>
                <w:vertAlign w:val="superscript"/>
              </w:rPr>
              <w:t>2</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ind w:firstLine="180" w:firstLineChars="100"/>
              <w:jc w:val="left"/>
              <w:rPr>
                <w:rFonts w:ascii="宋体" w:hAnsi="宋体"/>
                <w:sz w:val="18"/>
                <w:szCs w:val="18"/>
              </w:rPr>
            </w:pPr>
            <w:r>
              <w:rPr>
                <w:rFonts w:hint="eastAsia" w:ascii="宋体" w:hAnsi="宋体"/>
                <w:sz w:val="18"/>
                <w:szCs w:val="18"/>
              </w:rPr>
              <w:t>5.81元/㎡•年</w:t>
            </w:r>
          </w:p>
        </w:tc>
        <w:tc>
          <w:tcPr>
            <w:tcW w:w="143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18"/>
                <w:szCs w:val="18"/>
              </w:rPr>
            </w:pP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p>
        </w:tc>
        <w:tc>
          <w:tcPr>
            <w:tcW w:w="1220" w:type="dxa"/>
            <w:vMerge w:val="restart"/>
            <w:tcBorders>
              <w:top w:val="single" w:color="000000" w:sz="4" w:space="0"/>
              <w:left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三年，合同一年一签。采购人根据中标单位在上一年合同履行期间考核情况及资金审批情况决定是否续签。</w:t>
            </w:r>
          </w:p>
        </w:tc>
      </w:tr>
      <w:tr>
        <w:tblPrEx>
          <w:tblCellMar>
            <w:top w:w="0" w:type="dxa"/>
            <w:left w:w="108" w:type="dxa"/>
            <w:bottom w:w="0" w:type="dxa"/>
            <w:right w:w="108" w:type="dxa"/>
          </w:tblCellMar>
        </w:tblPrEx>
        <w:trPr>
          <w:wBefore w:w="0" w:type="dxa"/>
          <w:wAfter w:w="0" w:type="dxa"/>
          <w:trHeight w:val="433" w:hRule="atLeast"/>
        </w:trPr>
        <w:tc>
          <w:tcPr>
            <w:tcW w:w="5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公园绿化</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ascii="宋体" w:hAnsi="宋体" w:cs="宋体"/>
                <w:sz w:val="18"/>
                <w:szCs w:val="18"/>
              </w:rPr>
              <w:t>225180</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cs="宋体"/>
                <w:bCs/>
              </w:rPr>
              <w:t>m</w:t>
            </w:r>
            <w:r>
              <w:rPr>
                <w:rFonts w:hint="eastAsia" w:ascii="宋体" w:hAnsi="宋体" w:cs="宋体"/>
                <w:bCs/>
                <w:vertAlign w:val="superscript"/>
              </w:rPr>
              <w:t>2</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sz w:val="18"/>
                <w:szCs w:val="18"/>
              </w:rPr>
              <w:t>8.48元/㎡•年</w:t>
            </w:r>
          </w:p>
        </w:tc>
        <w:tc>
          <w:tcPr>
            <w:tcW w:w="143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18"/>
                <w:szCs w:val="18"/>
              </w:rPr>
            </w:pP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p>
        </w:tc>
        <w:tc>
          <w:tcPr>
            <w:tcW w:w="12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433" w:hRule="atLeast"/>
        </w:trPr>
        <w:tc>
          <w:tcPr>
            <w:tcW w:w="5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苗圃</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ascii="宋体" w:hAnsi="宋体" w:cs="宋体"/>
                <w:sz w:val="18"/>
                <w:szCs w:val="18"/>
              </w:rPr>
              <w:t>36003</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cs="宋体"/>
                <w:bCs/>
              </w:rPr>
              <w:t>m</w:t>
            </w:r>
            <w:r>
              <w:rPr>
                <w:rFonts w:hint="eastAsia" w:ascii="宋体" w:hAnsi="宋体" w:cs="宋体"/>
                <w:bCs/>
                <w:vertAlign w:val="superscript"/>
              </w:rPr>
              <w:t>2</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sz w:val="18"/>
                <w:szCs w:val="18"/>
              </w:rPr>
              <w:t xml:space="preserve"> 1.92元/㎡•年</w:t>
            </w:r>
          </w:p>
        </w:tc>
        <w:tc>
          <w:tcPr>
            <w:tcW w:w="143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18"/>
                <w:szCs w:val="18"/>
              </w:rPr>
            </w:pP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p>
        </w:tc>
        <w:tc>
          <w:tcPr>
            <w:tcW w:w="12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433" w:hRule="atLeast"/>
        </w:trPr>
        <w:tc>
          <w:tcPr>
            <w:tcW w:w="5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时令花草</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1882</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cs="宋体"/>
                <w:bCs/>
              </w:rPr>
              <w:t>m</w:t>
            </w:r>
            <w:r>
              <w:rPr>
                <w:rFonts w:hint="eastAsia" w:ascii="宋体" w:hAnsi="宋体" w:cs="宋体"/>
                <w:bCs/>
                <w:vertAlign w:val="superscript"/>
              </w:rPr>
              <w:t>2</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sz w:val="18"/>
                <w:szCs w:val="18"/>
              </w:rPr>
              <w:t>465.55 元/㎡•年</w:t>
            </w:r>
          </w:p>
        </w:tc>
        <w:tc>
          <w:tcPr>
            <w:tcW w:w="143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18"/>
                <w:szCs w:val="18"/>
              </w:rPr>
            </w:pP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p>
        </w:tc>
        <w:tc>
          <w:tcPr>
            <w:tcW w:w="12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299" w:hRule="atLeast"/>
        </w:trPr>
        <w:tc>
          <w:tcPr>
            <w:tcW w:w="5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行道树</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8349</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cs="宋体"/>
                <w:bCs/>
              </w:rPr>
              <w:t>棵</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pPr>
            <w:r>
              <w:rPr>
                <w:rFonts w:hint="eastAsia" w:ascii="宋体" w:hAnsi="宋体"/>
                <w:sz w:val="18"/>
                <w:szCs w:val="18"/>
              </w:rPr>
              <w:t>50.37 元/棵•年</w:t>
            </w:r>
          </w:p>
        </w:tc>
        <w:tc>
          <w:tcPr>
            <w:tcW w:w="143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18"/>
                <w:szCs w:val="18"/>
              </w:rPr>
            </w:pP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p>
        </w:tc>
        <w:tc>
          <w:tcPr>
            <w:tcW w:w="12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299" w:hRule="atLeast"/>
        </w:trPr>
        <w:tc>
          <w:tcPr>
            <w:tcW w:w="5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公厕</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3</w:t>
            </w: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r>
              <w:rPr>
                <w:rFonts w:hint="eastAsia" w:ascii="宋体" w:hAnsi="宋体" w:cs="宋体"/>
                <w:sz w:val="18"/>
                <w:szCs w:val="18"/>
              </w:rPr>
              <w:t>座</w:t>
            </w: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ind w:firstLine="90" w:firstLineChars="50"/>
              <w:rPr>
                <w:rFonts w:ascii="宋体" w:hAnsi="宋体"/>
                <w:sz w:val="18"/>
                <w:szCs w:val="18"/>
              </w:rPr>
            </w:pPr>
            <w:r>
              <w:rPr>
                <w:rFonts w:hint="eastAsia" w:ascii="宋体" w:hAnsi="宋体"/>
                <w:sz w:val="18"/>
                <w:szCs w:val="18"/>
              </w:rPr>
              <w:t>99252元/座•年</w:t>
            </w:r>
          </w:p>
        </w:tc>
        <w:tc>
          <w:tcPr>
            <w:tcW w:w="1434"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 w:val="18"/>
                <w:szCs w:val="18"/>
              </w:rPr>
            </w:pP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sz w:val="18"/>
                <w:szCs w:val="18"/>
              </w:rPr>
            </w:pPr>
          </w:p>
        </w:tc>
        <w:tc>
          <w:tcPr>
            <w:tcW w:w="1220" w:type="dxa"/>
            <w:vMerge w:val="continue"/>
            <w:tcBorders>
              <w:left w:val="single" w:color="000000" w:sz="4" w:space="0"/>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299" w:hRule="atLeast"/>
        </w:trPr>
        <w:tc>
          <w:tcPr>
            <w:tcW w:w="520" w:type="dxa"/>
            <w:vMerge w:val="continue"/>
            <w:tcBorders>
              <w:left w:val="single" w:color="000000" w:sz="4" w:space="0"/>
              <w:bottom w:val="nil"/>
              <w:right w:val="single" w:color="000000" w:sz="4" w:space="0"/>
            </w:tcBorders>
            <w:noWrap w:val="0"/>
            <w:vAlign w:val="center"/>
          </w:tcPr>
          <w:p>
            <w:pPr>
              <w:widowControl/>
              <w:jc w:val="left"/>
              <w:rPr>
                <w:rFonts w:ascii="宋体" w:hAnsi="宋体"/>
                <w:sz w:val="18"/>
                <w:szCs w:val="18"/>
              </w:rPr>
            </w:pPr>
          </w:p>
        </w:tc>
        <w:tc>
          <w:tcPr>
            <w:tcW w:w="129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hint="eastAsia" w:ascii="宋体" w:hAnsi="宋体" w:cs="宋体"/>
                <w:sz w:val="18"/>
                <w:szCs w:val="18"/>
              </w:rPr>
            </w:pPr>
            <w:r>
              <w:rPr>
                <w:rFonts w:hint="eastAsia" w:ascii="宋体" w:hAnsi="宋体" w:cs="宋体"/>
                <w:bCs/>
              </w:rPr>
              <w:t>零星整改提升项目（暂估金额）</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240" w:lineRule="exact"/>
              <w:jc w:val="center"/>
              <w:textAlignment w:val="center"/>
              <w:rPr>
                <w:rFonts w:ascii="宋体" w:hAnsi="宋体" w:cs="宋体"/>
                <w:sz w:val="18"/>
                <w:szCs w:val="18"/>
              </w:rPr>
            </w:pPr>
          </w:p>
        </w:tc>
        <w:tc>
          <w:tcPr>
            <w:tcW w:w="1541"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rPr>
                <w:rFonts w:ascii="宋体" w:hAnsi="宋体"/>
                <w:sz w:val="18"/>
                <w:szCs w:val="18"/>
              </w:rPr>
            </w:pPr>
            <w:r>
              <w:rPr>
                <w:rFonts w:hint="eastAsia" w:ascii="宋体" w:hAnsi="宋体"/>
                <w:sz w:val="18"/>
                <w:szCs w:val="18"/>
              </w:rPr>
              <w:t>1000000</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sz w:val="18"/>
                <w:szCs w:val="18"/>
              </w:rPr>
            </w:pPr>
            <w:r>
              <w:rPr>
                <w:rFonts w:hint="eastAsia" w:ascii="宋体" w:hAnsi="宋体"/>
                <w:sz w:val="18"/>
                <w:szCs w:val="18"/>
              </w:rPr>
              <w:t>1000000</w:t>
            </w:r>
          </w:p>
        </w:tc>
        <w:tc>
          <w:tcPr>
            <w:tcW w:w="16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rPr>
                <w:rFonts w:ascii="宋体" w:hAnsi="宋体"/>
                <w:sz w:val="18"/>
                <w:szCs w:val="18"/>
              </w:rPr>
            </w:pPr>
            <w:r>
              <w:rPr>
                <w:rFonts w:hint="eastAsia" w:ascii="宋体" w:hAnsi="宋体"/>
                <w:sz w:val="18"/>
                <w:szCs w:val="18"/>
              </w:rPr>
              <w:t>1000000</w:t>
            </w:r>
          </w:p>
        </w:tc>
        <w:tc>
          <w:tcPr>
            <w:tcW w:w="1220" w:type="dxa"/>
            <w:vMerge w:val="continue"/>
            <w:tcBorders>
              <w:left w:val="single" w:color="000000" w:sz="4" w:space="0"/>
              <w:bottom w:val="nil"/>
              <w:right w:val="single" w:color="000000" w:sz="4" w:space="0"/>
            </w:tcBorders>
            <w:noWrap w:val="0"/>
            <w:vAlign w:val="center"/>
          </w:tcPr>
          <w:p>
            <w:pPr>
              <w:widowControl/>
              <w:jc w:val="left"/>
              <w:rPr>
                <w:rFonts w:ascii="宋体" w:hAnsi="宋体"/>
                <w:sz w:val="18"/>
                <w:szCs w:val="18"/>
              </w:rPr>
            </w:pPr>
          </w:p>
        </w:tc>
      </w:tr>
      <w:tr>
        <w:tblPrEx>
          <w:tblCellMar>
            <w:top w:w="0" w:type="dxa"/>
            <w:left w:w="108" w:type="dxa"/>
            <w:bottom w:w="0" w:type="dxa"/>
            <w:right w:w="108" w:type="dxa"/>
          </w:tblCellMar>
        </w:tblPrEx>
        <w:trPr>
          <w:wBefore w:w="0" w:type="dxa"/>
          <w:wAfter w:w="0" w:type="dxa"/>
          <w:trHeight w:val="734" w:hRule="atLeast"/>
        </w:trPr>
        <w:tc>
          <w:tcPr>
            <w:tcW w:w="520" w:type="dxa"/>
            <w:tcBorders>
              <w:top w:val="single" w:color="auto" w:sz="4" w:space="0"/>
              <w:left w:val="single" w:color="auto" w:sz="4" w:space="0"/>
              <w:bottom w:val="nil"/>
              <w:right w:val="single" w:color="auto" w:sz="4" w:space="0"/>
            </w:tcBorders>
            <w:noWrap/>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投标报价</w:t>
            </w:r>
          </w:p>
        </w:tc>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sz w:val="18"/>
                <w:szCs w:val="18"/>
              </w:rPr>
            </w:pPr>
            <w:r>
              <w:rPr>
                <w:rFonts w:hint="eastAsia" w:ascii="宋体" w:hAnsi="宋体"/>
                <w:sz w:val="18"/>
                <w:szCs w:val="18"/>
              </w:rPr>
              <w:t>年度投标总价:</w:t>
            </w:r>
          </w:p>
          <w:p>
            <w:pPr>
              <w:tabs>
                <w:tab w:val="left" w:pos="6427"/>
              </w:tabs>
              <w:spacing w:line="276" w:lineRule="auto"/>
              <w:rPr>
                <w:rFonts w:ascii="宋体" w:hAnsi="宋体"/>
                <w:sz w:val="18"/>
                <w:szCs w:val="18"/>
              </w:rPr>
            </w:pPr>
            <w:r>
              <w:rPr>
                <w:rFonts w:hint="eastAsia" w:ascii="宋体" w:hAnsi="宋体"/>
                <w:sz w:val="18"/>
                <w:szCs w:val="18"/>
              </w:rPr>
              <w:t>大写：                      /年      小写：                /年</w:t>
            </w:r>
            <w:r>
              <w:rPr>
                <w:rFonts w:hint="eastAsia" w:ascii="宋体" w:hAnsi="宋体"/>
                <w:sz w:val="18"/>
                <w:szCs w:val="18"/>
              </w:rPr>
              <w:tab/>
            </w:r>
          </w:p>
        </w:tc>
      </w:tr>
      <w:tr>
        <w:tblPrEx>
          <w:tblCellMar>
            <w:top w:w="0" w:type="dxa"/>
            <w:left w:w="108" w:type="dxa"/>
            <w:bottom w:w="0" w:type="dxa"/>
            <w:right w:w="108" w:type="dxa"/>
          </w:tblCellMar>
        </w:tblPrEx>
        <w:trPr>
          <w:wBefore w:w="0" w:type="dxa"/>
          <w:wAfter w:w="0" w:type="dxa"/>
          <w:trHeight w:val="742" w:hRule="atLeast"/>
        </w:trPr>
        <w:tc>
          <w:tcPr>
            <w:tcW w:w="52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rFonts w:ascii="宋体" w:hAnsi="宋体"/>
                <w:sz w:val="18"/>
                <w:szCs w:val="18"/>
              </w:rPr>
            </w:pPr>
            <w:r>
              <w:rPr>
                <w:rFonts w:hint="eastAsia" w:ascii="宋体" w:hAnsi="宋体"/>
                <w:sz w:val="18"/>
                <w:szCs w:val="18"/>
              </w:rPr>
              <w:t>投标声明</w:t>
            </w:r>
          </w:p>
        </w:tc>
        <w:tc>
          <w:tcPr>
            <w:tcW w:w="945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18"/>
                <w:szCs w:val="18"/>
              </w:rPr>
            </w:pPr>
          </w:p>
        </w:tc>
      </w:tr>
    </w:tbl>
    <w:p>
      <w:pPr>
        <w:spacing w:line="360" w:lineRule="auto"/>
        <w:rPr>
          <w:rFonts w:hint="eastAsia" w:ascii="宋体" w:hAnsi="宋体" w:cs="宋体"/>
        </w:rPr>
      </w:pPr>
      <w:r>
        <w:rPr>
          <w:rFonts w:hint="eastAsia" w:ascii="宋体" w:hAnsi="宋体" w:cs="宋体"/>
        </w:rPr>
        <w:t>注：1、以上表格在保证原有内容的基础上可自行进行调整。</w:t>
      </w:r>
    </w:p>
    <w:p>
      <w:pPr>
        <w:spacing w:line="360" w:lineRule="auto"/>
        <w:rPr>
          <w:rFonts w:ascii="宋体" w:hAnsi="宋体" w:cs="宋体"/>
        </w:rPr>
      </w:pPr>
      <w:r>
        <w:rPr>
          <w:rFonts w:hint="eastAsia" w:ascii="宋体" w:hAnsi="宋体" w:cs="宋体"/>
        </w:rPr>
        <w:t>2、零星整改提升项目（</w:t>
      </w:r>
      <w:r>
        <w:rPr>
          <w:rFonts w:hint="eastAsia" w:ascii="宋体" w:hAnsi="宋体" w:cs="宋体"/>
          <w:bCs/>
        </w:rPr>
        <w:t>暂估金额）为固定金额填报，投标时不作下浮，不得更改，</w:t>
      </w:r>
      <w:r>
        <w:rPr>
          <w:rFonts w:hint="eastAsia" w:ascii="宋体" w:hAnsi="宋体" w:cs="宋体"/>
        </w:rPr>
        <w:t>否则其投标作无效标处理。</w:t>
      </w:r>
    </w:p>
    <w:p>
      <w:pPr>
        <w:spacing w:line="360" w:lineRule="auto"/>
        <w:rPr>
          <w:rFonts w:hint="eastAsia" w:ascii="宋体" w:hAnsi="宋体" w:cs="宋体"/>
        </w:rPr>
      </w:pPr>
      <w:r>
        <w:rPr>
          <w:rFonts w:hint="eastAsia" w:ascii="宋体" w:hAnsi="宋体" w:cs="宋体"/>
        </w:rPr>
        <w:t>3、报价一经涂改，应在涂改处加盖单位公章，否则其投标作无效标处理。</w:t>
      </w:r>
    </w:p>
    <w:p>
      <w:pPr>
        <w:rPr>
          <w:rFonts w:hint="eastAsia" w:ascii="宋体" w:hAnsi="宋体" w:cs="宋体"/>
        </w:rPr>
      </w:pPr>
    </w:p>
    <w:p>
      <w:pPr>
        <w:snapToGrid w:val="0"/>
        <w:spacing w:line="440" w:lineRule="exact"/>
        <w:ind w:firstLine="3045" w:firstLineChars="1450"/>
        <w:rPr>
          <w:rFonts w:hint="eastAsia" w:ascii="宋体" w:hAnsi="宋体" w:cs="宋体"/>
          <w:szCs w:val="21"/>
          <w:u w:val="single"/>
        </w:rPr>
      </w:pPr>
      <w:r>
        <w:rPr>
          <w:rFonts w:hint="eastAsia" w:ascii="宋体" w:hAnsi="宋体" w:cs="宋体"/>
          <w:szCs w:val="21"/>
        </w:rPr>
        <w:t>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szCs w:val="21"/>
          <w:u w:val="single"/>
        </w:rPr>
      </w:pPr>
      <w:r>
        <w:rPr>
          <w:rFonts w:hint="eastAsia" w:ascii="宋体" w:hAnsi="宋体" w:cs="宋体"/>
          <w:szCs w:val="21"/>
        </w:rPr>
        <w:t xml:space="preserve">                      </w:t>
      </w:r>
    </w:p>
    <w:p>
      <w:pPr>
        <w:snapToGrid w:val="0"/>
        <w:spacing w:before="50" w:after="50"/>
        <w:rPr>
          <w:rFonts w:hint="eastAsia" w:ascii="宋体" w:hAnsi="宋体" w:cs="宋体"/>
          <w:spacing w:val="20"/>
          <w:u w:val="single"/>
        </w:rPr>
      </w:pPr>
      <w:r>
        <w:rPr>
          <w:rFonts w:hint="eastAsia" w:ascii="宋体" w:hAnsi="宋体" w:cs="宋体"/>
        </w:rPr>
        <w:t xml:space="preserve">                                              日期：</w:t>
      </w:r>
    </w:p>
    <w:p>
      <w:pPr>
        <w:pStyle w:val="26"/>
        <w:snapToGrid w:val="0"/>
        <w:spacing w:before="295" w:beforeLines="0" w:after="295" w:afterLines="0" w:line="240" w:lineRule="auto"/>
        <w:rPr>
          <w:rFonts w:hint="eastAsia" w:hAnsi="宋体" w:cs="宋体"/>
          <w:sz w:val="21"/>
        </w:rPr>
      </w:pPr>
    </w:p>
    <w:p>
      <w:pPr>
        <w:pStyle w:val="2"/>
      </w:pPr>
    </w:p>
    <w:p>
      <w:pPr>
        <w:pStyle w:val="26"/>
        <w:snapToGrid w:val="0"/>
        <w:spacing w:before="295" w:beforeLines="0" w:after="295" w:afterLines="0" w:line="240" w:lineRule="auto"/>
        <w:jc w:val="center"/>
        <w:rPr>
          <w:rFonts w:hint="eastAsia" w:hAnsi="宋体" w:cs="宋体"/>
          <w:b/>
          <w:bCs/>
          <w:sz w:val="21"/>
        </w:rPr>
      </w:pPr>
      <w:r>
        <w:br w:type="page"/>
      </w:r>
      <w:r>
        <w:rPr>
          <w:rFonts w:hint="eastAsia" w:hAnsi="宋体" w:cs="宋体"/>
          <w:b/>
          <w:bCs/>
          <w:sz w:val="21"/>
        </w:rPr>
        <w:t>投标报价明细表-2</w:t>
      </w:r>
    </w:p>
    <w:p>
      <w:pPr>
        <w:pStyle w:val="26"/>
        <w:snapToGrid w:val="0"/>
        <w:spacing w:before="0" w:beforeLines="0" w:after="0" w:afterLines="0"/>
        <w:rPr>
          <w:rFonts w:hint="eastAsia" w:hAnsi="宋体" w:cs="宋体"/>
          <w:sz w:val="21"/>
          <w:u w:val="single"/>
        </w:rPr>
      </w:pPr>
      <w:r>
        <w:rPr>
          <w:rFonts w:hint="eastAsia" w:hAnsi="宋体" w:cs="宋体"/>
          <w:sz w:val="21"/>
        </w:rPr>
        <w:t>项目编号：</w:t>
      </w:r>
      <w:r>
        <w:rPr>
          <w:rFonts w:hint="eastAsia" w:hAnsi="宋体" w:cs="宋体"/>
          <w:sz w:val="21"/>
          <w:u w:val="single"/>
        </w:rPr>
        <w:t xml:space="preserve">              </w:t>
      </w:r>
      <w:r>
        <w:rPr>
          <w:rFonts w:hint="eastAsia" w:hAnsi="宋体" w:cs="宋体"/>
          <w:sz w:val="21"/>
        </w:rPr>
        <w:t xml:space="preserve">        项目名称：</w:t>
      </w:r>
      <w:r>
        <w:rPr>
          <w:rFonts w:hint="eastAsia" w:hAnsi="宋体" w:cs="宋体"/>
          <w:sz w:val="21"/>
          <w:u w:val="single"/>
        </w:rPr>
        <w:t xml:space="preserve">                                 </w:t>
      </w:r>
    </w:p>
    <w:tbl>
      <w:tblPr>
        <w:tblStyle w:val="48"/>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240"/>
        <w:gridCol w:w="1417"/>
        <w:gridCol w:w="1020"/>
        <w:gridCol w:w="130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一、作业人员费用</w:t>
            </w: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人员</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数量及单位</w:t>
            </w:r>
          </w:p>
        </w:tc>
        <w:tc>
          <w:tcPr>
            <w:tcW w:w="232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费用（元/年）</w:t>
            </w:r>
          </w:p>
        </w:tc>
        <w:tc>
          <w:tcPr>
            <w:tcW w:w="79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szCs w:val="21"/>
              </w:rPr>
            </w:pPr>
            <w:r>
              <w:rPr>
                <w:rFonts w:hint="eastAsia" w:ascii="宋体" w:hAnsi="宋体"/>
                <w:b/>
              </w:rPr>
              <w:t>项目负责人</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szCs w:val="21"/>
              </w:rPr>
            </w:pPr>
            <w:r>
              <w:rPr>
                <w:rFonts w:hint="eastAsia" w:ascii="宋体" w:hAnsi="宋体" w:cs="宋体"/>
                <w:b/>
              </w:rPr>
              <w:t>设施维修人员</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jc w:val="left"/>
              <w:rPr>
                <w:rStyle w:val="55"/>
                <w:rFonts w:ascii="宋体" w:hAnsi="宋体"/>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szCs w:val="21"/>
              </w:rPr>
            </w:pPr>
            <w:r>
              <w:rPr>
                <w:rFonts w:hint="eastAsia" w:ascii="宋体" w:hAnsi="宋体" w:cs="宋体"/>
                <w:b/>
              </w:rPr>
              <w:t>巡查监管人员</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jc w:val="left"/>
              <w:rPr>
                <w:rStyle w:val="55"/>
                <w:rFonts w:ascii="宋体" w:hAnsi="宋体"/>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szCs w:val="21"/>
              </w:rPr>
            </w:pPr>
            <w:r>
              <w:rPr>
                <w:rFonts w:hint="eastAsia" w:ascii="宋体" w:hAnsi="宋体" w:cs="宋体"/>
                <w:b/>
              </w:rPr>
              <w:t>绿地养护、保洁人员</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jc w:val="left"/>
              <w:rPr>
                <w:rStyle w:val="55"/>
                <w:rFonts w:ascii="宋体" w:hAnsi="宋体"/>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小计（元）</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二、养护作业车辆和设备的折旧费、运行维护费用</w:t>
            </w:r>
          </w:p>
          <w:p>
            <w:pPr>
              <w:pStyle w:val="2"/>
              <w:rPr>
                <w:rFonts w:hAnsi="宋体"/>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机械名称</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数量及单位</w:t>
            </w:r>
          </w:p>
        </w:tc>
        <w:tc>
          <w:tcPr>
            <w:tcW w:w="232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费用（元/年）</w:t>
            </w: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szCs w:val="21"/>
              </w:rPr>
              <w:t>登高车</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szCs w:val="21"/>
              </w:rPr>
              <w:t>吊机（含有起吊功能的重型普通货车）</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szCs w:val="21"/>
              </w:rPr>
              <w:t>洒水车</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w:t>
            </w:r>
          </w:p>
        </w:tc>
        <w:tc>
          <w:tcPr>
            <w:tcW w:w="1417"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2325" w:type="dxa"/>
            <w:gridSpan w:val="2"/>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3657"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小计（元）</w:t>
            </w:r>
          </w:p>
        </w:tc>
        <w:tc>
          <w:tcPr>
            <w:tcW w:w="232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三、各类耗材、药品费用</w:t>
            </w: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材料名称</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单位量</w:t>
            </w:r>
          </w:p>
          <w:p>
            <w:pPr>
              <w:widowControl/>
              <w:jc w:val="left"/>
              <w:rPr>
                <w:rFonts w:ascii="宋体" w:hAnsi="宋体" w:cs="宋体"/>
                <w:b/>
                <w:bCs/>
                <w:szCs w:val="21"/>
              </w:rPr>
            </w:pPr>
            <w:r>
              <w:rPr>
                <w:rFonts w:hint="eastAsia" w:ascii="宋体" w:hAnsi="宋体" w:cs="宋体"/>
                <w:b/>
                <w:bCs/>
                <w:szCs w:val="21"/>
              </w:rPr>
              <w:t>(kg/万平米)</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单价</w:t>
            </w:r>
          </w:p>
          <w:p>
            <w:pPr>
              <w:widowControl/>
              <w:jc w:val="left"/>
              <w:rPr>
                <w:rFonts w:ascii="宋体" w:hAnsi="宋体" w:cs="宋体"/>
                <w:b/>
                <w:bCs/>
                <w:szCs w:val="21"/>
              </w:rPr>
            </w:pPr>
            <w:r>
              <w:rPr>
                <w:rFonts w:hint="eastAsia" w:ascii="宋体" w:hAnsi="宋体" w:cs="宋体"/>
                <w:b/>
                <w:bCs/>
                <w:szCs w:val="21"/>
              </w:rPr>
              <w:t>(元/kg)</w:t>
            </w: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费用（元/年）</w:t>
            </w: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杀虫剂</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 xml:space="preserve">不少于：   </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05"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b/>
                <w:bCs/>
                <w:szCs w:val="21"/>
              </w:rPr>
            </w:pPr>
            <w:r>
              <w:rPr>
                <w:rFonts w:hint="eastAsia" w:ascii="宋体" w:hAnsi="宋体" w:cs="宋体"/>
                <w:b/>
                <w:bCs/>
                <w:szCs w:val="21"/>
              </w:rPr>
              <w:t>非有机肥</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不少于：</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05"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b/>
                <w:bCs/>
                <w:szCs w:val="21"/>
              </w:rPr>
            </w:pPr>
            <w:r>
              <w:rPr>
                <w:rFonts w:hint="eastAsia" w:ascii="宋体" w:hAnsi="宋体" w:cs="宋体"/>
                <w:b/>
                <w:bCs/>
                <w:szCs w:val="21"/>
              </w:rPr>
              <w:t>有机肥</w:t>
            </w:r>
          </w:p>
        </w:tc>
        <w:tc>
          <w:tcPr>
            <w:tcW w:w="1417"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b/>
                <w:bCs/>
                <w:szCs w:val="21"/>
              </w:rPr>
            </w:pPr>
            <w:r>
              <w:rPr>
                <w:rFonts w:hint="eastAsia" w:ascii="宋体" w:hAnsi="宋体" w:cs="宋体"/>
                <w:b/>
                <w:bCs/>
                <w:szCs w:val="21"/>
              </w:rPr>
              <w:t>不少于：</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tc>
        <w:tc>
          <w:tcPr>
            <w:tcW w:w="1305"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22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其他材料费用（如扫帚、垃圾袋等与本项目相关的所有材料费用）</w:t>
            </w:r>
          </w:p>
        </w:tc>
        <w:tc>
          <w:tcPr>
            <w:tcW w:w="2437"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w:t>
            </w:r>
          </w:p>
        </w:tc>
        <w:tc>
          <w:tcPr>
            <w:tcW w:w="1305"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szCs w:val="21"/>
              </w:rPr>
            </w:pPr>
          </w:p>
        </w:tc>
        <w:tc>
          <w:tcPr>
            <w:tcW w:w="4677"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小计（元）</w:t>
            </w:r>
          </w:p>
        </w:tc>
        <w:tc>
          <w:tcPr>
            <w:tcW w:w="1305"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四、管理费用</w:t>
            </w:r>
          </w:p>
        </w:tc>
        <w:tc>
          <w:tcPr>
            <w:tcW w:w="5982"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p>
            <w:pPr>
              <w:widowControl/>
              <w:jc w:val="left"/>
              <w:rPr>
                <w:rFonts w:ascii="宋体" w:hAnsi="宋体" w:cs="宋体"/>
                <w:b/>
                <w:bCs/>
                <w:szCs w:val="21"/>
              </w:rPr>
            </w:pPr>
            <w:r>
              <w:rPr>
                <w:rFonts w:hint="eastAsia" w:ascii="宋体" w:hAnsi="宋体" w:cs="宋体"/>
                <w:b/>
                <w:bCs/>
                <w:szCs w:val="21"/>
              </w:rPr>
              <w:t xml:space="preserve">                                       （元/年）</w:t>
            </w: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五、其他费用</w:t>
            </w:r>
          </w:p>
        </w:tc>
        <w:tc>
          <w:tcPr>
            <w:tcW w:w="5982"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p>
            <w:pPr>
              <w:widowControl/>
              <w:jc w:val="left"/>
              <w:rPr>
                <w:rFonts w:ascii="宋体" w:hAnsi="宋体" w:cs="宋体"/>
                <w:b/>
                <w:bCs/>
                <w:szCs w:val="21"/>
              </w:rPr>
            </w:pPr>
            <w:r>
              <w:rPr>
                <w:rFonts w:hint="eastAsia" w:ascii="宋体" w:hAnsi="宋体" w:cs="宋体"/>
                <w:b/>
                <w:bCs/>
                <w:szCs w:val="21"/>
              </w:rPr>
              <w:t xml:space="preserve">                                       （元/年）</w:t>
            </w: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六、税金</w:t>
            </w:r>
          </w:p>
        </w:tc>
        <w:tc>
          <w:tcPr>
            <w:tcW w:w="5982"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p>
            <w:pPr>
              <w:widowControl/>
              <w:jc w:val="left"/>
              <w:rPr>
                <w:rFonts w:ascii="宋体" w:hAnsi="宋体" w:cs="宋体"/>
                <w:b/>
                <w:bCs/>
                <w:szCs w:val="21"/>
              </w:rPr>
            </w:pPr>
            <w:r>
              <w:rPr>
                <w:rFonts w:hint="eastAsia" w:ascii="宋体" w:hAnsi="宋体" w:cs="宋体"/>
                <w:b/>
                <w:bCs/>
                <w:szCs w:val="21"/>
              </w:rPr>
              <w:t xml:space="preserve">                                       （元/年）</w:t>
            </w: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r>
              <w:rPr>
                <w:rFonts w:hint="eastAsia" w:ascii="宋体" w:hAnsi="宋体" w:cs="宋体"/>
                <w:b/>
                <w:bCs/>
                <w:szCs w:val="21"/>
              </w:rPr>
              <w:t>七、投标总价</w:t>
            </w:r>
          </w:p>
        </w:tc>
        <w:tc>
          <w:tcPr>
            <w:tcW w:w="5982"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szCs w:val="21"/>
              </w:rPr>
            </w:pPr>
          </w:p>
          <w:p>
            <w:pPr>
              <w:widowControl/>
              <w:jc w:val="left"/>
              <w:rPr>
                <w:rFonts w:ascii="宋体" w:hAnsi="宋体" w:cs="宋体"/>
                <w:b/>
                <w:bCs/>
                <w:szCs w:val="21"/>
              </w:rPr>
            </w:pPr>
            <w:r>
              <w:rPr>
                <w:rFonts w:hint="eastAsia" w:ascii="宋体" w:hAnsi="宋体" w:cs="宋体"/>
                <w:b/>
                <w:bCs/>
                <w:szCs w:val="21"/>
              </w:rPr>
              <w:t xml:space="preserve">                                       （元/年）</w:t>
            </w:r>
          </w:p>
        </w:tc>
        <w:tc>
          <w:tcPr>
            <w:tcW w:w="794" w:type="dxa"/>
            <w:tcBorders>
              <w:top w:val="single" w:color="auto" w:sz="4" w:space="0"/>
              <w:left w:val="single" w:color="auto" w:sz="4" w:space="0"/>
              <w:bottom w:val="single" w:color="auto" w:sz="4" w:space="0"/>
              <w:right w:val="single" w:color="auto" w:sz="4" w:space="0"/>
            </w:tcBorders>
            <w:noWrap/>
            <w:vAlign w:val="top"/>
          </w:tcPr>
          <w:p>
            <w:pPr>
              <w:widowControl/>
              <w:jc w:val="left"/>
              <w:rPr>
                <w:rFonts w:ascii="宋体" w:hAnsi="宋体" w:cs="宋体"/>
                <w:b/>
                <w:bCs/>
                <w:szCs w:val="21"/>
              </w:rPr>
            </w:pPr>
          </w:p>
        </w:tc>
      </w:tr>
    </w:tbl>
    <w:p>
      <w:pPr>
        <w:pStyle w:val="2"/>
        <w:rPr>
          <w:rFonts w:hint="eastAsia"/>
        </w:rPr>
      </w:pPr>
    </w:p>
    <w:p>
      <w:pPr>
        <w:snapToGrid w:val="0"/>
        <w:spacing w:line="440" w:lineRule="exact"/>
        <w:ind w:firstLine="3045" w:firstLineChars="1450"/>
        <w:rPr>
          <w:rFonts w:hint="eastAsia" w:ascii="宋体" w:hAnsi="宋体" w:cs="宋体"/>
          <w:szCs w:val="21"/>
          <w:u w:val="single"/>
        </w:rPr>
      </w:pPr>
      <w:r>
        <w:rPr>
          <w:rFonts w:hint="eastAsia" w:ascii="宋体" w:hAnsi="宋体" w:cs="宋体"/>
          <w:szCs w:val="21"/>
        </w:rPr>
        <w:t>供应商名称（加盖公章）：</w:t>
      </w:r>
      <w:r>
        <w:rPr>
          <w:rFonts w:hint="eastAsia" w:ascii="宋体" w:hAnsi="宋体" w:cs="宋体"/>
          <w:szCs w:val="21"/>
          <w:u w:val="single"/>
        </w:rPr>
        <w:t xml:space="preserve">                        </w:t>
      </w:r>
    </w:p>
    <w:p>
      <w:pPr>
        <w:snapToGrid w:val="0"/>
        <w:spacing w:line="440" w:lineRule="exact"/>
        <w:ind w:firstLine="200"/>
        <w:rPr>
          <w:rFonts w:hint="eastAsia" w:ascii="宋体" w:hAnsi="宋体" w:cs="宋体"/>
          <w:szCs w:val="21"/>
          <w:u w:val="single"/>
        </w:rPr>
      </w:pPr>
      <w:r>
        <w:rPr>
          <w:rFonts w:hint="eastAsia" w:ascii="宋体" w:hAnsi="宋体" w:cs="宋体"/>
          <w:szCs w:val="21"/>
        </w:rPr>
        <w:t xml:space="preserve">                       </w:t>
      </w:r>
    </w:p>
    <w:p>
      <w:pPr>
        <w:snapToGrid w:val="0"/>
        <w:spacing w:before="50" w:after="50"/>
        <w:rPr>
          <w:rFonts w:hint="eastAsia" w:ascii="宋体" w:hAnsi="宋体" w:cs="宋体"/>
          <w:spacing w:val="20"/>
          <w:u w:val="single"/>
        </w:rPr>
      </w:pPr>
      <w:r>
        <w:rPr>
          <w:rFonts w:hint="eastAsia" w:ascii="宋体" w:hAnsi="宋体" w:cs="宋体"/>
        </w:rPr>
        <w:t xml:space="preserve">                                              日期：</w:t>
      </w:r>
    </w:p>
    <w:p>
      <w:pPr>
        <w:pStyle w:val="5"/>
        <w:snapToGrid w:val="0"/>
        <w:spacing w:before="0" w:after="0" w:line="440" w:lineRule="exact"/>
        <w:rPr>
          <w:rFonts w:hint="eastAsia" w:ascii="宋体" w:hAnsi="宋体" w:eastAsia="宋体"/>
          <w:sz w:val="18"/>
          <w:szCs w:val="20"/>
        </w:rPr>
      </w:pPr>
      <w:r>
        <w:rPr>
          <w:rFonts w:hAnsi="宋体"/>
          <w:b w:val="0"/>
        </w:rPr>
        <w:br w:type="page"/>
      </w:r>
      <w:r>
        <w:rPr>
          <w:rFonts w:hint="eastAsia" w:ascii="宋体" w:hAnsi="宋体" w:eastAsia="宋体" w:cs="宋体"/>
          <w:sz w:val="24"/>
          <w:szCs w:val="24"/>
        </w:rPr>
        <w:t>15、中小企业声明函</w:t>
      </w:r>
    </w:p>
    <w:p>
      <w:pPr>
        <w:snapToGrid w:val="0"/>
        <w:spacing w:line="360" w:lineRule="auto"/>
        <w:jc w:val="center"/>
        <w:rPr>
          <w:rFonts w:hint="eastAsia" w:ascii="宋体" w:hAnsi="宋体" w:cs="宋体"/>
          <w:b/>
          <w:sz w:val="24"/>
        </w:rPr>
      </w:pPr>
      <w:bookmarkStart w:id="158" w:name="_Toc15449"/>
      <w:bookmarkStart w:id="159" w:name="_Toc25816"/>
      <w:bookmarkStart w:id="160" w:name="OLE_LINK13"/>
      <w:bookmarkStart w:id="161" w:name="OLE_LINK14"/>
      <w:bookmarkStart w:id="162" w:name="_Toc21363"/>
      <w:r>
        <w:rPr>
          <w:rFonts w:hint="eastAsia" w:ascii="宋体" w:hAnsi="宋体" w:cs="宋体"/>
          <w:b/>
          <w:sz w:val="24"/>
        </w:rPr>
        <w:t>中小企业声明函</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采购活动，服务全部由符合政策要求的中小企业承接。相关企业（含联合体中的中小企业、签订分包意向协议的中小企业）的具体情况如下：</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行业；承接企业为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行业；承接企业为</w:t>
      </w:r>
      <w:r>
        <w:rPr>
          <w:rFonts w:hint="eastAsia" w:ascii="宋体" w:hAnsi="宋体" w:cs="宋体"/>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autoSpaceDE w:val="0"/>
        <w:autoSpaceDN w:val="0"/>
        <w:spacing w:line="360" w:lineRule="auto"/>
        <w:ind w:firstLine="420" w:firstLineChars="200"/>
        <w:rPr>
          <w:rFonts w:hint="eastAsia" w:ascii="宋体" w:hAnsi="宋体" w:cs="宋体"/>
          <w:szCs w:val="21"/>
        </w:rPr>
      </w:pPr>
      <w:r>
        <w:rPr>
          <w:rFonts w:hint="eastAsia" w:ascii="宋体" w:hAnsi="宋体" w:cs="宋体"/>
          <w:szCs w:val="21"/>
        </w:rPr>
        <w:t>本企业对上述声明内容的真实性负责。如有虚假，将依法承担相应责任。</w:t>
      </w:r>
    </w:p>
    <w:p>
      <w:pPr>
        <w:autoSpaceDE w:val="0"/>
        <w:autoSpaceDN w:val="0"/>
        <w:spacing w:line="360" w:lineRule="auto"/>
        <w:ind w:firstLine="5250" w:firstLineChars="2500"/>
        <w:rPr>
          <w:rFonts w:hint="eastAsia" w:ascii="宋体" w:hAnsi="宋体" w:cs="宋体"/>
          <w:szCs w:val="21"/>
        </w:rPr>
      </w:pPr>
    </w:p>
    <w:p>
      <w:pPr>
        <w:autoSpaceDE w:val="0"/>
        <w:autoSpaceDN w:val="0"/>
        <w:spacing w:line="360" w:lineRule="auto"/>
        <w:ind w:firstLine="3990" w:firstLineChars="1900"/>
        <w:rPr>
          <w:rFonts w:hint="eastAsia" w:ascii="宋体" w:hAnsi="宋体" w:cs="宋体"/>
          <w:szCs w:val="21"/>
        </w:rPr>
      </w:pPr>
      <w:r>
        <w:rPr>
          <w:rFonts w:hint="eastAsia" w:ascii="宋体" w:hAnsi="宋体" w:cs="宋体"/>
          <w:snapToGrid w:val="0"/>
          <w:kern w:val="0"/>
          <w:szCs w:val="21"/>
        </w:rPr>
        <w:t>供应商名称</w:t>
      </w:r>
      <w:r>
        <w:rPr>
          <w:rFonts w:hint="eastAsia" w:ascii="宋体" w:hAnsi="宋体" w:cs="宋体"/>
          <w:szCs w:val="21"/>
        </w:rPr>
        <w:t>（盖章）：</w:t>
      </w:r>
    </w:p>
    <w:p>
      <w:pPr>
        <w:autoSpaceDE w:val="0"/>
        <w:autoSpaceDN w:val="0"/>
        <w:spacing w:line="360" w:lineRule="auto"/>
        <w:ind w:firstLine="3990" w:firstLineChars="1900"/>
        <w:rPr>
          <w:rFonts w:hint="eastAsia" w:ascii="宋体" w:hAnsi="宋体" w:cs="宋体"/>
          <w:szCs w:val="21"/>
        </w:rPr>
      </w:pPr>
      <w:r>
        <w:rPr>
          <w:rFonts w:hint="eastAsia" w:ascii="宋体" w:hAnsi="宋体" w:cs="宋体"/>
          <w:szCs w:val="21"/>
        </w:rPr>
        <w:t>日 期：</w:t>
      </w:r>
    </w:p>
    <w:p>
      <w:pPr>
        <w:autoSpaceDE w:val="0"/>
        <w:autoSpaceDN w:val="0"/>
        <w:spacing w:line="360" w:lineRule="auto"/>
        <w:rPr>
          <w:rFonts w:hint="eastAsia" w:ascii="宋体" w:hAnsi="宋体" w:cs="宋体"/>
          <w:szCs w:val="21"/>
        </w:rPr>
      </w:pPr>
    </w:p>
    <w:p>
      <w:pPr>
        <w:autoSpaceDE w:val="0"/>
        <w:autoSpaceDN w:val="0"/>
        <w:spacing w:line="360" w:lineRule="auto"/>
        <w:rPr>
          <w:rFonts w:hint="eastAsia" w:ascii="宋体" w:hAnsi="宋体" w:cs="宋体"/>
          <w:szCs w:val="21"/>
          <w:lang w:val="zh-CN"/>
        </w:rPr>
      </w:pP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说明：</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1、从业人员、营业收入、资产总额填报上一年度数据，无上一年度数据的新成立企业可不填报。</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10"/>
        <w:spacing w:after="0" w:line="360" w:lineRule="auto"/>
        <w:ind w:firstLine="422" w:firstLineChars="200"/>
        <w:rPr>
          <w:rFonts w:hint="eastAsia" w:ascii="宋体" w:hAnsi="宋体" w:cs="宋体"/>
          <w:b/>
          <w:bCs/>
          <w:sz w:val="21"/>
          <w:szCs w:val="21"/>
        </w:rPr>
      </w:pPr>
    </w:p>
    <w:p>
      <w:pPr>
        <w:pStyle w:val="10"/>
        <w:jc w:val="left"/>
        <w:rPr>
          <w:rFonts w:hint="eastAsia" w:ascii="宋体" w:hAnsi="宋体" w:cs="宋体"/>
          <w:b/>
          <w:bCs/>
          <w:sz w:val="24"/>
        </w:rPr>
      </w:pPr>
    </w:p>
    <w:p>
      <w:pPr>
        <w:pStyle w:val="10"/>
        <w:jc w:val="left"/>
        <w:rPr>
          <w:rFonts w:hint="eastAsia" w:ascii="宋体" w:hAnsi="宋体" w:cs="宋体"/>
          <w:b/>
          <w:bCs/>
          <w:sz w:val="24"/>
        </w:rPr>
      </w:pPr>
    </w:p>
    <w:p>
      <w:pPr>
        <w:pStyle w:val="10"/>
        <w:jc w:val="left"/>
        <w:rPr>
          <w:rFonts w:hint="eastAsia" w:ascii="宋体" w:hAnsi="宋体" w:cs="宋体"/>
          <w:b/>
          <w:bCs/>
          <w:sz w:val="24"/>
        </w:rPr>
      </w:pPr>
    </w:p>
    <w:p>
      <w:pPr>
        <w:pStyle w:val="10"/>
        <w:spacing w:after="0" w:line="360" w:lineRule="auto"/>
        <w:ind w:firstLine="422" w:firstLineChars="200"/>
        <w:rPr>
          <w:rFonts w:hint="eastAsia" w:ascii="宋体" w:hAnsi="宋体" w:cs="宋体"/>
          <w:b/>
          <w:bCs/>
          <w:sz w:val="21"/>
          <w:szCs w:val="21"/>
        </w:rPr>
        <w:sectPr>
          <w:pgSz w:w="11905" w:h="16838"/>
          <w:pgMar w:top="1474" w:right="1797" w:bottom="1247" w:left="1797" w:header="850" w:footer="850" w:gutter="0"/>
          <w:cols w:space="720" w:num="1"/>
          <w:titlePg/>
          <w:docGrid w:linePitch="312" w:charSpace="0"/>
        </w:sectPr>
      </w:pPr>
      <w:r>
        <w:rPr>
          <w:rFonts w:hint="eastAsia" w:ascii="宋体" w:hAnsi="宋体" w:cs="宋体"/>
          <w:b/>
          <w:bCs/>
          <w:sz w:val="21"/>
          <w:szCs w:val="21"/>
        </w:rPr>
        <w:t>注：适用小微企业政策的请提供，未提供的不享受小微企业政策。</w:t>
      </w: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t>16、残疾人福利性单位声明函</w:t>
      </w:r>
      <w:bookmarkEnd w:id="158"/>
      <w:bookmarkEnd w:id="159"/>
      <w:bookmarkEnd w:id="160"/>
      <w:bookmarkEnd w:id="161"/>
      <w:bookmarkEnd w:id="162"/>
    </w:p>
    <w:p>
      <w:pPr>
        <w:snapToGrid w:val="0"/>
        <w:spacing w:line="360" w:lineRule="auto"/>
        <w:jc w:val="center"/>
        <w:rPr>
          <w:rFonts w:hint="eastAsia" w:ascii="宋体" w:hAnsi="宋体" w:cs="宋体"/>
          <w:b/>
          <w:sz w:val="24"/>
        </w:rPr>
      </w:pPr>
      <w:r>
        <w:rPr>
          <w:rFonts w:hint="eastAsia" w:ascii="宋体" w:hAnsi="宋体" w:cs="宋体"/>
          <w:b/>
          <w:sz w:val="24"/>
        </w:rPr>
        <w:t>残疾人福利性单位声明函</w:t>
      </w:r>
    </w:p>
    <w:p>
      <w:pPr>
        <w:snapToGrid w:val="0"/>
        <w:spacing w:line="360" w:lineRule="auto"/>
        <w:jc w:val="center"/>
        <w:rPr>
          <w:rFonts w:hint="eastAsia" w:ascii="宋体" w:hAnsi="宋体" w:cs="宋体"/>
          <w:b/>
          <w:spacing w:val="6"/>
          <w:szCs w:val="21"/>
        </w:rPr>
      </w:pPr>
      <w:r>
        <w:rPr>
          <w:rFonts w:hint="eastAsia" w:ascii="宋体" w:hAnsi="宋体" w:cs="宋体"/>
          <w:b/>
          <w:spacing w:val="6"/>
          <w:szCs w:val="21"/>
        </w:rPr>
        <w:t>（供应商如不是残疾人福利性单位可以不用提供此表格）</w:t>
      </w:r>
    </w:p>
    <w:p>
      <w:pPr>
        <w:snapToGrid w:val="0"/>
        <w:spacing w:line="360" w:lineRule="auto"/>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〔2017〕141</w:t>
      </w:r>
      <w:r>
        <w:rPr>
          <w:rFonts w:hint="eastAsia" w:ascii="宋体" w:hAnsi="宋体" w:cs="宋体"/>
          <w:spacing w:val="6"/>
          <w:szCs w:val="21"/>
        </w:rPr>
        <w:t>号）的规定，本单位为符合条件的残疾人福利性单位，且本单位参加</w:t>
      </w:r>
      <w:r>
        <w:rPr>
          <w:rFonts w:hint="eastAsia" w:ascii="宋体" w:hAnsi="宋体" w:cs="宋体"/>
          <w:spacing w:val="6"/>
          <w:szCs w:val="21"/>
          <w:u w:val="single"/>
        </w:rPr>
        <w:t xml:space="preserve">     </w:t>
      </w:r>
      <w:r>
        <w:rPr>
          <w:rFonts w:hint="eastAsia" w:ascii="宋体" w:hAnsi="宋体" w:cs="宋体"/>
          <w:spacing w:val="6"/>
          <w:szCs w:val="21"/>
        </w:rPr>
        <w:t>单位（采购人）的</w:t>
      </w:r>
      <w:r>
        <w:rPr>
          <w:rFonts w:hint="eastAsia" w:ascii="宋体" w:hAnsi="宋体" w:cs="宋体"/>
          <w:spacing w:val="6"/>
          <w:szCs w:val="21"/>
          <w:u w:val="single"/>
        </w:rPr>
        <w:t xml:space="preserve">             </w:t>
      </w:r>
      <w:r>
        <w:rPr>
          <w:rFonts w:hint="eastAsia" w:ascii="宋体" w:hAnsi="宋体" w:cs="宋体"/>
          <w:spacing w:val="6"/>
          <w:szCs w:val="21"/>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napToGrid w:val="0"/>
        <w:spacing w:line="360" w:lineRule="auto"/>
        <w:ind w:firstLine="444" w:firstLineChars="200"/>
        <w:rPr>
          <w:rFonts w:hint="eastAsia" w:ascii="宋体" w:hAnsi="宋体" w:cs="宋体"/>
          <w:spacing w:val="6"/>
          <w:szCs w:val="21"/>
        </w:rPr>
      </w:pPr>
    </w:p>
    <w:p>
      <w:pPr>
        <w:pStyle w:val="6"/>
        <w:spacing w:before="0" w:after="0" w:line="360" w:lineRule="auto"/>
        <w:ind w:firstLine="446" w:firstLineChars="200"/>
        <w:jc w:val="both"/>
        <w:rPr>
          <w:rFonts w:hint="eastAsia" w:ascii="宋体" w:hAnsi="宋体" w:cs="宋体"/>
          <w:spacing w:val="6"/>
          <w:sz w:val="21"/>
          <w:szCs w:val="21"/>
        </w:rPr>
      </w:pPr>
    </w:p>
    <w:p>
      <w:pPr>
        <w:spacing w:line="360" w:lineRule="auto"/>
        <w:ind w:firstLine="420" w:firstLineChars="200"/>
        <w:rPr>
          <w:rFonts w:hint="eastAsia"/>
          <w:szCs w:val="21"/>
        </w:rPr>
      </w:pPr>
    </w:p>
    <w:p>
      <w:pPr>
        <w:pStyle w:val="6"/>
        <w:rPr>
          <w:rFonts w:hint="eastAsia"/>
          <w:sz w:val="21"/>
          <w:szCs w:val="21"/>
        </w:rPr>
      </w:pPr>
    </w:p>
    <w:p>
      <w:pPr>
        <w:rPr>
          <w:rFonts w:hint="eastAsia"/>
          <w:szCs w:val="21"/>
        </w:rPr>
      </w:pPr>
    </w:p>
    <w:p>
      <w:pPr>
        <w:pStyle w:val="6"/>
        <w:rPr>
          <w:rFonts w:hint="eastAsia"/>
          <w:sz w:val="21"/>
          <w:szCs w:val="21"/>
        </w:rPr>
      </w:pPr>
    </w:p>
    <w:p>
      <w:pPr>
        <w:rPr>
          <w:rFonts w:hint="eastAsia"/>
        </w:rPr>
      </w:pPr>
    </w:p>
    <w:p>
      <w:pPr>
        <w:wordWrap w:val="0"/>
        <w:snapToGrid w:val="0"/>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 xml:space="preserve">供应商名称（盖章）：                                   </w:t>
      </w:r>
    </w:p>
    <w:p>
      <w:pPr>
        <w:wordWrap w:val="0"/>
        <w:snapToGrid w:val="0"/>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日期：</w:t>
      </w:r>
    </w:p>
    <w:p>
      <w:pPr>
        <w:spacing w:line="360" w:lineRule="auto"/>
        <w:ind w:firstLine="480" w:firstLineChars="200"/>
        <w:rPr>
          <w:rFonts w:hint="eastAsia" w:ascii="宋体" w:hAnsi="宋体" w:cs="宋体"/>
          <w:sz w:val="24"/>
        </w:rPr>
      </w:pPr>
    </w:p>
    <w:p>
      <w:pPr>
        <w:snapToGrid w:val="0"/>
        <w:spacing w:line="440" w:lineRule="exact"/>
        <w:jc w:val="right"/>
        <w:rPr>
          <w:rFonts w:hint="eastAsia" w:ascii="宋体" w:hAnsi="宋体" w:cs="宋体"/>
          <w:sz w:val="24"/>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r>
        <w:rPr>
          <w:rFonts w:hAnsi="宋体" w:cs="宋体"/>
          <w:sz w:val="32"/>
        </w:rPr>
        <w:br w:type="page"/>
      </w:r>
    </w:p>
    <w:p>
      <w:pPr>
        <w:pStyle w:val="5"/>
        <w:snapToGrid w:val="0"/>
        <w:spacing w:before="0" w:after="0" w:line="440" w:lineRule="exact"/>
        <w:rPr>
          <w:rFonts w:hint="eastAsia" w:ascii="宋体" w:hAnsi="宋体" w:eastAsia="宋体" w:cs="宋体"/>
          <w:sz w:val="24"/>
          <w:szCs w:val="24"/>
        </w:rPr>
      </w:pPr>
      <w:r>
        <w:rPr>
          <w:rFonts w:hint="eastAsia" w:ascii="宋体" w:hAnsi="宋体" w:eastAsia="宋体" w:cs="宋体"/>
          <w:sz w:val="24"/>
          <w:szCs w:val="24"/>
        </w:rPr>
        <w:t>17、采购代理服务费支付承诺函</w:t>
      </w:r>
    </w:p>
    <w:p>
      <w:pPr>
        <w:pStyle w:val="26"/>
        <w:spacing w:before="0" w:beforeLines="0" w:after="0" w:afterLines="0" w:line="360" w:lineRule="auto"/>
        <w:jc w:val="center"/>
        <w:rPr>
          <w:rFonts w:hint="eastAsia" w:hAnsi="宋体" w:cs="宋体"/>
          <w:b/>
          <w:bCs/>
        </w:rPr>
      </w:pPr>
      <w:r>
        <w:rPr>
          <w:rFonts w:hint="eastAsia" w:hAnsi="宋体" w:cs="宋体"/>
          <w:b/>
          <w:bCs/>
        </w:rPr>
        <w:t>采购代理服务费支付承诺函</w:t>
      </w:r>
    </w:p>
    <w:p>
      <w:pPr>
        <w:pStyle w:val="26"/>
        <w:spacing w:before="0" w:beforeLines="0" w:after="0" w:afterLines="0" w:line="360" w:lineRule="auto"/>
        <w:rPr>
          <w:rFonts w:hint="eastAsia" w:hAnsi="宋体" w:cs="宋体"/>
        </w:rPr>
      </w:pPr>
      <w:r>
        <w:rPr>
          <w:rFonts w:hint="eastAsia" w:hAnsi="宋体" w:cs="宋体"/>
        </w:rPr>
        <w:t>致：宁波和丰建设项目管理有限公司</w:t>
      </w:r>
    </w:p>
    <w:p>
      <w:pPr>
        <w:pStyle w:val="26"/>
        <w:spacing w:before="0" w:beforeLines="0" w:after="0" w:afterLines="0" w:line="360" w:lineRule="auto"/>
        <w:rPr>
          <w:rFonts w:hint="eastAsia" w:hAnsi="宋体" w:cs="宋体"/>
        </w:rPr>
      </w:pPr>
      <w:r>
        <w:rPr>
          <w:rFonts w:hint="eastAsia" w:hAnsi="宋体" w:cs="宋体"/>
          <w:u w:val="single"/>
        </w:rPr>
        <w:t>（投标人单位名称）</w:t>
      </w:r>
      <w:r>
        <w:rPr>
          <w:rFonts w:hint="eastAsia" w:hAnsi="宋体" w:cs="宋体"/>
        </w:rPr>
        <w:t>郑重承诺：</w:t>
      </w:r>
    </w:p>
    <w:p>
      <w:pPr>
        <w:pStyle w:val="26"/>
        <w:spacing w:before="0" w:beforeLines="0" w:after="0" w:afterLines="0" w:line="360" w:lineRule="auto"/>
        <w:ind w:firstLine="480" w:firstLineChars="200"/>
        <w:rPr>
          <w:rFonts w:hint="eastAsia" w:hAnsi="宋体" w:cs="宋体"/>
        </w:rPr>
      </w:pPr>
      <w:r>
        <w:rPr>
          <w:rFonts w:hint="eastAsia" w:hAnsi="宋体" w:cs="宋体"/>
        </w:rPr>
        <w:t>若我单位在</w:t>
      </w:r>
      <w:r>
        <w:rPr>
          <w:rFonts w:hint="eastAsia" w:hAnsi="宋体" w:cs="宋体"/>
          <w:u w:val="single"/>
        </w:rPr>
        <w:t xml:space="preserve">                     </w:t>
      </w:r>
      <w:r>
        <w:rPr>
          <w:rFonts w:hint="eastAsia" w:hAnsi="宋体" w:cs="宋体"/>
        </w:rPr>
        <w:t>项目（以下简称“本项目”）中有幸中标，我单位将严格按照本项目采购文件中的规定，在收取中标通知书时一次性向贵公司支付采购代理服务费。</w:t>
      </w:r>
    </w:p>
    <w:p>
      <w:pPr>
        <w:pStyle w:val="26"/>
        <w:spacing w:before="0" w:beforeLines="0" w:after="0" w:afterLines="0" w:line="360" w:lineRule="auto"/>
        <w:ind w:firstLine="480" w:firstLineChars="200"/>
        <w:rPr>
          <w:rFonts w:hint="eastAsia" w:hAnsi="宋体" w:cs="宋体"/>
        </w:rPr>
      </w:pPr>
      <w:r>
        <w:rPr>
          <w:rFonts w:hint="eastAsia" w:hAnsi="宋体" w:cs="宋体"/>
        </w:rPr>
        <w:t>若我单位未按上述承诺内容执行，我单位自愿承担本项目采购代理服务费200%的违约金，且在合同签订前支付上述违约金，否则由此引起的一切法律责任和经济责任由我司承担。</w:t>
      </w:r>
    </w:p>
    <w:p>
      <w:pPr>
        <w:pStyle w:val="26"/>
        <w:spacing w:before="0" w:beforeLines="0" w:after="0" w:afterLines="0" w:line="360" w:lineRule="auto"/>
        <w:ind w:firstLine="480" w:firstLineChars="200"/>
        <w:rPr>
          <w:rFonts w:hint="eastAsia" w:hAnsi="宋体" w:cs="宋体"/>
        </w:rPr>
      </w:pPr>
      <w:r>
        <w:rPr>
          <w:rFonts w:hint="eastAsia" w:hAnsi="宋体" w:cs="宋体"/>
        </w:rPr>
        <w:t>特此承诺！</w:t>
      </w:r>
    </w:p>
    <w:p>
      <w:pPr>
        <w:pStyle w:val="26"/>
        <w:spacing w:before="0" w:beforeLines="0" w:after="0" w:afterLines="0" w:line="360" w:lineRule="auto"/>
        <w:rPr>
          <w:rFonts w:hint="eastAsia" w:hAnsi="宋体" w:cs="宋体"/>
        </w:rPr>
      </w:pPr>
    </w:p>
    <w:p>
      <w:pPr>
        <w:pStyle w:val="26"/>
        <w:spacing w:before="0" w:beforeLines="0" w:after="0" w:afterLines="0" w:line="360" w:lineRule="auto"/>
        <w:rPr>
          <w:rFonts w:hint="eastAsia" w:hAnsi="宋体" w:cs="宋体"/>
        </w:rPr>
      </w:pPr>
    </w:p>
    <w:p>
      <w:pPr>
        <w:pStyle w:val="26"/>
        <w:spacing w:before="0" w:beforeLines="0" w:after="0" w:afterLines="0" w:line="360" w:lineRule="auto"/>
        <w:rPr>
          <w:rFonts w:hint="eastAsia" w:hAnsi="宋体" w:cs="宋体"/>
        </w:rPr>
      </w:pPr>
    </w:p>
    <w:p>
      <w:pPr>
        <w:pStyle w:val="26"/>
        <w:spacing w:before="0" w:beforeLines="0" w:after="0" w:afterLines="0" w:line="360" w:lineRule="auto"/>
        <w:ind w:firstLine="480" w:firstLineChars="200"/>
        <w:rPr>
          <w:rFonts w:hint="eastAsia" w:hAnsi="宋体" w:cs="宋体"/>
        </w:rPr>
      </w:pPr>
      <w:r>
        <w:rPr>
          <w:rFonts w:hint="eastAsia" w:hAnsi="宋体" w:cs="宋体"/>
        </w:rPr>
        <w:t>投标人（盖公章）：</w:t>
      </w:r>
    </w:p>
    <w:p>
      <w:pPr>
        <w:pStyle w:val="26"/>
        <w:spacing w:before="0" w:beforeLines="0" w:after="0" w:afterLines="0" w:line="360" w:lineRule="auto"/>
        <w:ind w:firstLine="480" w:firstLineChars="200"/>
        <w:rPr>
          <w:rFonts w:hint="eastAsia" w:hAnsi="宋体" w:cs="宋体"/>
        </w:rPr>
      </w:pPr>
      <w:r>
        <w:rPr>
          <w:rFonts w:hint="eastAsia" w:hAnsi="宋体" w:cs="宋体"/>
        </w:rPr>
        <w:t>日期：</w:t>
      </w: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rPr>
          <w:rFonts w:hint="eastAsia" w:hAnsi="宋体" w:cs="宋体"/>
          <w:sz w:val="32"/>
        </w:rPr>
      </w:pPr>
    </w:p>
    <w:p>
      <w:pPr>
        <w:pStyle w:val="26"/>
        <w:spacing w:before="0" w:beforeLines="0" w:after="0" w:afterLines="0" w:line="360" w:lineRule="auto"/>
        <w:rPr>
          <w:rFonts w:hint="eastAsia" w:hAnsi="宋体" w:cs="宋体"/>
          <w:b/>
        </w:rPr>
      </w:pPr>
      <w:r>
        <w:rPr>
          <w:rFonts w:hint="eastAsia" w:hAnsi="宋体" w:cs="宋体"/>
          <w:sz w:val="32"/>
        </w:rPr>
        <w:br w:type="page"/>
      </w:r>
      <w:r>
        <w:rPr>
          <w:rFonts w:hint="eastAsia" w:hAnsi="宋体" w:cs="宋体"/>
          <w:b/>
          <w:lang w:bidi="ar"/>
        </w:rPr>
        <w:t>附件一</w:t>
      </w:r>
    </w:p>
    <w:p>
      <w:pPr>
        <w:pStyle w:val="45"/>
        <w:widowControl w:val="0"/>
        <w:spacing w:before="0" w:beforeAutospacing="0" w:after="0" w:afterAutospacing="0" w:line="360" w:lineRule="auto"/>
        <w:jc w:val="center"/>
        <w:rPr>
          <w:rFonts w:hint="eastAsia" w:ascii="宋体" w:hAnsi="宋体" w:cs="宋体"/>
        </w:rPr>
      </w:pPr>
      <w:r>
        <w:rPr>
          <w:rFonts w:hint="eastAsia" w:ascii="宋体" w:hAnsi="宋体" w:cs="宋体"/>
          <w:b/>
          <w:kern w:val="2"/>
          <w:lang w:bidi="ar"/>
        </w:rPr>
        <w:t>加强政府采购售后服务、质量管理须知</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本采购文件就有关政府采购合同履行、质量及服务事项告知如下：</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一、 政府采购售后服务联系须知</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鄞州区政府采购售后服务联系单》由鄞州区财政局采购办按统一格式制作，中标或成交投标人向招标机构领取、填写并粘贴在设备醒目位置（不适合粘贴的除外），和服务项目由采购单位和投标人协商解决，保证采购单位在遇到售后服务问题时能及时便利与投标人联系。</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二、政府采购质量跟踪和检查须知</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采购文件的要求和配置，有否存在以次充好、弄虚作假、售后服务工作不到位、不负责任或故意推诿、拖延等情节。投标人应自觉接受并积极配合政府采购产品质量监督检查，如实反映情况。</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三、投标人监督管理须知</w:t>
      </w:r>
    </w:p>
    <w:p>
      <w:pPr>
        <w:pStyle w:val="45"/>
        <w:adjustRightInd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1. 对不按规定在政府采购货物上粘贴售后服务联系单（不适合粘贴的除外）的投标人，第一次发现的由监管部门予以书面警告并责令改正；第二次发现的作为该投标人下次参加投标时的评分依据之一；</w:t>
      </w:r>
    </w:p>
    <w:p>
      <w:pPr>
        <w:pStyle w:val="45"/>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2. 对不按采购文件、投标承诺及政府采购合同要求供货，偷工减料或降低供货质量的投标人，一经查实，即列入不良行为记录名单，第一次发现且合同额在人民币50万元以下的在一年内禁止参加鄞州区政府采购活动；第一次发现且合同额在人民币50万元（含）以上的在两年内禁止参加鄞州区政府采购活动；第二次发现且合同额在人民币50万元以下的在两年内禁止参加鄞州区政府采购活动；第二次发现且合同额在人民币50万元（含）以上的在三年内禁止参加鄞州区政府采购活动。拒不改正的除由采购单位按有关法规要求投标人按采购文件、投标承诺及政府采购合同要求供货外，将无限期禁止参加鄞州区政府采购活动。</w:t>
      </w:r>
    </w:p>
    <w:p>
      <w:pPr>
        <w:pStyle w:val="45"/>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3. 对不按采购文件、投标承诺及政府采购合同要求向采购单位提供完整的售后服务，对采购单位的工作造成影响的投标人，经查实，第一次发现的由监管部门予以书面警告并责令改正，并作为该投标人下次参加投标时的评分依据之一；第二次发现的即由监管部门列入不良行为记录名单，两年内禁止参加鄞州区政府采购活动。拒不改正的除由采购单位按有关法规要求投标人按采购文件、投标承诺及政府采购合同要求提供完整的售后服务外，将无限期禁止参加鄞州区政府采购活动。</w:t>
      </w:r>
    </w:p>
    <w:p>
      <w:pPr>
        <w:pStyle w:val="45"/>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4. 对不按采购文件、投标承诺及政府采购合同要求供货造成人身、财产损害的，应当承担民事赔偿责任；构成犯罪的，移送司法部门依法追究其刑事责任。</w:t>
      </w:r>
    </w:p>
    <w:p>
      <w:pPr>
        <w:pStyle w:val="45"/>
        <w:spacing w:before="0" w:beforeAutospacing="0" w:after="0" w:afterAutospacing="0" w:line="360" w:lineRule="auto"/>
        <w:ind w:firstLine="420" w:firstLineChars="200"/>
        <w:jc w:val="both"/>
        <w:rPr>
          <w:rFonts w:hint="eastAsia" w:ascii="宋体" w:hAnsi="宋体" w:cs="宋体"/>
          <w:sz w:val="21"/>
          <w:szCs w:val="21"/>
        </w:rPr>
      </w:pPr>
    </w:p>
    <w:p>
      <w:pPr>
        <w:pStyle w:val="45"/>
        <w:spacing w:before="0" w:beforeAutospacing="0" w:after="0" w:afterAutospacing="0" w:line="360" w:lineRule="auto"/>
        <w:jc w:val="both"/>
        <w:rPr>
          <w:rFonts w:hint="eastAsia" w:ascii="宋体" w:hAnsi="宋体" w:cs="宋体"/>
          <w:b/>
          <w:kern w:val="2"/>
          <w:lang w:bidi="ar"/>
        </w:rPr>
      </w:pPr>
      <w:r>
        <w:rPr>
          <w:rFonts w:hint="eastAsia" w:ascii="宋体" w:hAnsi="宋体" w:cs="宋体"/>
          <w:b/>
          <w:kern w:val="2"/>
          <w:lang w:bidi="ar"/>
        </w:rPr>
        <w:t>附件二</w:t>
      </w:r>
      <w:bookmarkStart w:id="163" w:name="_Toc13624"/>
      <w:bookmarkStart w:id="164" w:name="_Toc29485"/>
      <w:bookmarkStart w:id="165" w:name="_Toc317685608"/>
      <w:bookmarkStart w:id="166" w:name="_Toc26375"/>
      <w:bookmarkStart w:id="167" w:name="_Toc304292205"/>
      <w:bookmarkStart w:id="168" w:name="_Toc268425847"/>
      <w:bookmarkStart w:id="169" w:name="_Toc275783429"/>
    </w:p>
    <w:p>
      <w:pPr>
        <w:pStyle w:val="45"/>
        <w:spacing w:before="0" w:beforeAutospacing="0" w:after="0" w:afterAutospacing="0" w:line="360" w:lineRule="auto"/>
        <w:jc w:val="center"/>
        <w:rPr>
          <w:rFonts w:hint="eastAsia" w:ascii="宋体" w:hAnsi="宋体" w:cs="宋体"/>
          <w:b/>
          <w:kern w:val="2"/>
          <w:lang w:bidi="ar"/>
        </w:rPr>
      </w:pPr>
      <w:r>
        <w:rPr>
          <w:rFonts w:hint="eastAsia" w:ascii="宋体" w:hAnsi="宋体" w:cs="宋体"/>
          <w:b/>
          <w:kern w:val="2"/>
          <w:lang w:bidi="ar"/>
        </w:rPr>
        <w:t>特别告知函</w:t>
      </w:r>
      <w:bookmarkEnd w:id="163"/>
      <w:bookmarkEnd w:id="164"/>
      <w:bookmarkEnd w:id="165"/>
      <w:bookmarkEnd w:id="166"/>
      <w:bookmarkEnd w:id="167"/>
      <w:bookmarkEnd w:id="168"/>
      <w:bookmarkEnd w:id="169"/>
    </w:p>
    <w:p>
      <w:pPr>
        <w:pStyle w:val="45"/>
        <w:spacing w:before="0" w:beforeAutospacing="0" w:after="0" w:afterAutospacing="0" w:line="360" w:lineRule="auto"/>
        <w:jc w:val="both"/>
        <w:rPr>
          <w:rFonts w:hint="eastAsia" w:ascii="宋体" w:hAnsi="宋体" w:cs="宋体"/>
          <w:sz w:val="21"/>
          <w:szCs w:val="21"/>
        </w:rPr>
      </w:pPr>
      <w:r>
        <w:rPr>
          <w:rFonts w:hint="eastAsia" w:ascii="宋体" w:hAnsi="宋体" w:cs="宋体"/>
          <w:sz w:val="21"/>
          <w:szCs w:val="21"/>
        </w:rPr>
        <w:t>各投标人：</w:t>
      </w:r>
    </w:p>
    <w:p>
      <w:pPr>
        <w:pStyle w:val="45"/>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根据《关于进一步加强政府采购检测验收工作的意见》（鄞州财采〔2009〕1号）文件精神和国家、省有关部门等相关规定，我区自2009年11月开始对单项预算30万元以上货物类采购项目统一由区质量技术监督检测中心进行验收（标准额以下的货物类采购个别项目也视情况实行），来进一步规范加强政府采购的供货验收工作。</w:t>
      </w:r>
    </w:p>
    <w:p>
      <w:pPr>
        <w:pStyle w:val="45"/>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对验收中发现不按采购文件、投标承诺及政府采购合同要求验货的投标人，将给予</w:t>
      </w:r>
      <w:r>
        <w:rPr>
          <w:rFonts w:hint="eastAsia" w:ascii="宋体" w:hAnsi="宋体" w:cs="宋体"/>
          <w:b/>
          <w:sz w:val="21"/>
          <w:szCs w:val="21"/>
        </w:rPr>
        <w:t>列入不良行为记录名单和1至3年内禁止参加鄞州区政府采购活动</w:t>
      </w:r>
      <w:r>
        <w:rPr>
          <w:rFonts w:hint="eastAsia" w:ascii="宋体" w:hAnsi="宋体" w:cs="宋体"/>
          <w:sz w:val="21"/>
          <w:szCs w:val="21"/>
        </w:rPr>
        <w:t>的处罚，拒不改正的除按有关法规处理外，将无限期禁止其参加鄞州区政府采购活动，同时将处罚结果将处罚结果上网进行公示。</w:t>
      </w:r>
    </w:p>
    <w:p>
      <w:pPr>
        <w:pStyle w:val="45"/>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sz w:val="21"/>
          <w:szCs w:val="21"/>
        </w:rPr>
        <w:t>因此希望各投标商务必</w:t>
      </w:r>
      <w:r>
        <w:rPr>
          <w:rFonts w:hint="eastAsia" w:ascii="宋体" w:hAnsi="宋体" w:cs="宋体"/>
          <w:b/>
          <w:sz w:val="21"/>
          <w:szCs w:val="21"/>
        </w:rPr>
        <w:t>严格按采购文件要求计算投标报价并保证供货质量</w:t>
      </w:r>
      <w:r>
        <w:rPr>
          <w:rFonts w:hint="eastAsia" w:ascii="宋体" w:hAnsi="宋体" w:cs="宋体"/>
          <w:sz w:val="21"/>
          <w:szCs w:val="21"/>
        </w:rPr>
        <w:t>，否则将被严肃处理，得不偿失。特此告知。</w:t>
      </w:r>
    </w:p>
    <w:p>
      <w:pPr>
        <w:widowControl/>
        <w:adjustRightInd w:val="0"/>
        <w:snapToGrid w:val="0"/>
        <w:spacing w:line="440" w:lineRule="exact"/>
        <w:jc w:val="left"/>
        <w:rPr>
          <w:rFonts w:hint="eastAsia" w:ascii="宋体" w:hAnsi="宋体" w:cs="宋体"/>
          <w:snapToGrid w:val="0"/>
          <w:kern w:val="0"/>
          <w:sz w:val="24"/>
        </w:rPr>
      </w:pPr>
    </w:p>
    <w:p>
      <w:pPr>
        <w:rPr>
          <w:rFonts w:hint="eastAsia" w:ascii="宋体" w:hAnsi="宋体" w:cs="宋体"/>
          <w:sz w:val="24"/>
        </w:rPr>
      </w:pPr>
    </w:p>
    <w:p>
      <w:pPr>
        <w:pStyle w:val="134"/>
        <w:widowControl w:val="0"/>
        <w:snapToGrid w:val="0"/>
        <w:spacing w:line="500" w:lineRule="exact"/>
        <w:jc w:val="both"/>
        <w:rPr>
          <w:rFonts w:hint="eastAsia"/>
        </w:rPr>
      </w:pPr>
    </w:p>
    <w:p>
      <w:pPr>
        <w:pStyle w:val="134"/>
        <w:widowControl w:val="0"/>
        <w:snapToGrid w:val="0"/>
        <w:spacing w:line="500" w:lineRule="exact"/>
        <w:jc w:val="both"/>
        <w:rPr>
          <w:rFonts w:hint="eastAsia"/>
        </w:rPr>
      </w:pPr>
    </w:p>
    <w:sectPr>
      <w:pgSz w:w="11905" w:h="16838"/>
      <w:pgMar w:top="1474" w:right="1797" w:bottom="1247" w:left="1797" w:header="850"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MT">
    <w:altName w:val="微软雅黑"/>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E0002AFF" w:usb1="C0007843"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汉鼎简细圆">
    <w:altName w:val="宋体"/>
    <w:panose1 w:val="00000000000000000000"/>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37</w:t>
                          </w:r>
                          <w:r>
                            <w:rPr>
                              <w:rFonts w:hint="eastAsia"/>
                            </w:rPr>
                            <w:fldChar w:fldCharType="end"/>
                          </w:r>
                        </w:p>
                      </w:txbxContent>
                    </wps:txbx>
                    <wps:bodyPr wrap="none" lIns="0" tIns="0" rIns="0" bIns="0" upright="0">
                      <a:spAutoFit/>
                    </wps:bodyPr>
                  </wps:wsp>
                </a:graphicData>
              </a:graphic>
            </wp:anchor>
          </w:drawing>
        </mc:Choice>
        <mc:Fallback>
          <w:pict>
            <v:shape id="文本框 206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bL4WssBAACcAwAADgAAAGRycy9lMm9Eb2MueG1srVNLbtswEN0X6B0I 7mMqAhIYguUghZGiQNEWSHsAmqIsAvyBQ1vyBdobdNVN9z2Xz9EhJTm/TRbZUMOZ4Zt5b0arm8Fo cpABlLM1vVwUlEgrXKPsrqY/vt9dLCmByG3DtbOypkcJ9Gb9/t2q95UsXed0IwNBEAtV72vaxegr xkB00nBYOC8tBlsXDI94DTvWBN4jutGsLIpr1rvQ+OCEBEDvZgzSCTG8BtC1rRJy48TeSBtH1CA1 j0gJOuWBrnO3bStF/Nq2ICPRNUWmMZ9YBO1tOtl6xatd4L5TYmqBv6aFZ5wMVxaLnqE2PHKyD+oF lFEiOHBtXAhn2EgkK4IsLotn2tx33MvMBaUGfxYd3g5WfDl8C0Q1NS0psdzgwE+/f53+/Dv9/UnK 4voqKdR7qDDx3mNqHD64Afdm9gM6E/GhDSZ9kRLBOOp7POsrh0hEerQsl8sCQwJj8wXx2cNzHyB+ lM6QZNQ04ACzrvzwGeKYOqekatbdKa3zELV94kDM5GGp97HHZMVhO0yEtq45Ip8eZ19Ti6tOif5k Udq0JrMRZmM7G3sf1K7Le5Tqgb/dR2wi95YqjLBTYRxaZjctWNqKx/ec9fBTrf8D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D2y+FrLAQAAnAMAAA4AAAAAAAAAAQAgAAAAHgEAAGRycy9lMm9E b2MueG1sUEsFBgAAAAAGAAYAWQEAAFsFAAAAAA== ">
              <v:fill on="f" focussize="0,0"/>
              <v:stroke on="f"/>
              <v:imagedata o:title=""/>
              <o:lock v:ext="edit" aspectratio="f"/>
              <v:textbox inset="0mm,0mm,0mm,0mm" style="mso-fit-shape-to-text:t;">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24</w:t>
                          </w:r>
                          <w:r>
                            <w:rPr>
                              <w:rFonts w:hint="eastAsia"/>
                            </w:rPr>
                            <w:fldChar w:fldCharType="end"/>
                          </w:r>
                        </w:p>
                      </w:txbxContent>
                    </wps:txbx>
                    <wps:bodyPr wrap="none" lIns="0" tIns="0" rIns="0" bIns="0" upright="0">
                      <a:spAutoFit/>
                    </wps:bodyPr>
                  </wps:wsp>
                </a:graphicData>
              </a:graphic>
            </wp:anchor>
          </w:drawing>
        </mc:Choice>
        <mc:Fallback>
          <w:pict>
            <v:shape id="文本框 206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094Zm8sBAACcAwAADgAAAGRycy9lMm9Eb2MueG1srVPNjtMwEL4j8Q6W 79TZClVV1HQFqhYhIUBaeADXsRtL/pPHbdIXgDfgxIU7z9XnYOwk3WW57IGLM54ZfzPfN5PN7WAN OckI2ruG3iwqSqQTvtXu0NCvX+5erSmBxF3LjXeyoWcJ9Hb78sWmD7Vc+s6bVkaCIA7qPjS0SynU jIHopOWw8EE6DCofLU94jQfWRt4jujVsWVUr1vvYhuiFBEDvbgzSCTE+B9ArpYXceXG00qURNUrD E1KCTgeg29KtUlKkT0qBTMQ0FJmmcmIRtPf5ZNsNrw+Rh06LqQX+nBaecLJcOyx6hdrxxMkx6n+g rBbRg1dpIbxlI5GiCLK4qZ5oc9/xIAsXlBrCVXT4f7Di4+lzJLpt6IoSxy0O/PLj++Xn78uvb2RZ rV5nhfoANSbeB0xNw1s/4N7MfkBnJj6oaPMXKRGMo77nq75ySETkR+vl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NPeGZvLAQAAnAMAAA4AAAAAAAAAAQAgAAAAHgEAAGRycy9lMm9E b2MueG1sUEsFBgAAAAAGAAYAWQEAAFsFAAAAAA== ">
              <v:fill on="f" focussize="0,0"/>
              <v:stroke on="f"/>
              <v:imagedata o:title=""/>
              <o:lock v:ext="edit" aspectratio="f"/>
              <v:textbox inset="0mm,0mm,0mm,0mm" style="mso-fit-shape-to-text:t;">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24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36</w:t>
                          </w:r>
                          <w:r>
                            <w:rPr>
                              <w:rFonts w:hint="eastAsia"/>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COqqHTAQAApAMAAA4AAABkcnMvZTJvRG9jLnhtbK1TzY7TMBC+ I/EOlu80aVcLUdR0BaoWISFA2uUBXMduLPlPHrdJXwDegBMX7jxXn4Oxk3TR7mUPe3FmPONv5vtm sr4ZjCZHEUA529DloqREWO5aZfcN/X5/+6aiBCKzLdPOioaeBNCbzetX697XYuU6p1sRCIJYqHvf 0C5GXxcF8E4YBgvnhcWgdMGwiG7YF21gPaIbXazK8m3Ru9D64LgAwNvtGKQTYngOoJNScbF1/GCE jSNqEJpFpASd8kA3uVspBY9fpQQRiW4oMo35xCJo79JZbNas3gfmO8WnFthzWnjEyTBlsegFassi I4egnkAZxYMDJ+OCO1OMRLIiyGJZPtLmrmNeZC4oNfiL6PBysPzL8Vsgqm3oFSWWGRz4+dfP8++/ 5z8/yPIq6dN7qDHtzmNiHD64Abdmvge8TLQHGUz6IiGCcVT3dFFXDJHw9KhaVVWJIY6x2UH84uG5 DxA/CmdIMhoacHxZVXb8DHFMnVNSNetuldZ5hNqSHlGvq3fX+cUlhOjaYpHEYuw2WXHYDRO1nWtP yKzHHWioxZWnRH+yKHFal9kIs7GbjYMPat/lfUqtgH9/iNhO7jJVGGGnwji8zHNatLQd//s56+Hn 2vwD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COqqHTAQAApAMAAA4AAAAAAAAAAQAgAAAA IgEAAGRycy9lMm9Eb2MueG1sUEsFBgAAAAAGAAYAWQEAAGcFAAAAAA== ">
              <v:fill on="f" focussize="0,0"/>
              <v:stroke on="f" weight="1.25pt"/>
              <v:imagedata o:title=""/>
              <o:lock v:ext="edit" aspectratio="f"/>
              <v:textbox inset="0mm,0mm,0mm,0mm" style="mso-fit-shape-to-text:t;">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37</w:t>
                          </w:r>
                          <w:r>
                            <w:rPr>
                              <w:rFonts w:hint="eastAsia"/>
                            </w:rPr>
                            <w:fldChar w:fldCharType="end"/>
                          </w:r>
                        </w:p>
                      </w:txbxContent>
                    </wps:txbx>
                    <wps:bodyPr wrap="none" lIns="0" tIns="0" rIns="0" bIns="0" upright="0">
                      <a:spAutoFit/>
                    </wps:bodyPr>
                  </wps:wsp>
                </a:graphicData>
              </a:graphic>
            </wp:anchor>
          </w:drawing>
        </mc:Choice>
        <mc:Fallback>
          <w:pict>
            <v:shape id="文本框 206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TB8t8sBAACcAwAADgAAAGRycy9lMm9Eb2MueG1srVPNjtMwEL4j8Q6W 79TZCq1K1HS1qFqEhABp4QFcx24s+U8et0lfAN6AExfuPFefg7GTdGG57GEvznhm/M1830zWN4M1 5CgjaO8aerWoKJFO+Fa7fUO/frl7taIEEnctN97Jhp4k0JvNyxfrPtRy6TtvWhkJgjio+9DQLqVQ Mwaik5bDwgfpMKh8tDzhNe5ZG3mP6NawZVVds97HNkQvJAB6t2OQTojxKYBeKS3k1ouDlS6NqFEa npASdDoA3ZRulZIifVIKZCKmocg0lROLoL3LJ9useb2PPHRaTC3wp7TwiJPl2mHRC9SWJ04OUf8H ZbWIHrxKC+EtG4kURZDFVfVIm/uOB1m4oNQQLqLD88GKj8fPkei2oa8pcdziwM8/vp9//j7/+kaW 1fWbrFAfoMbE+4CpaXjrB9yb2Q/ozMQHFW3+IiWCcdT3dNFXDomI/Gi1XK0qDAmMzRfEZw/PQ4T0 TnpLstHQiAMsuvLjB0hj6pySqzl/p40pQzTuHwdiZg/LvY89ZisNu2EitPPtCfn0OPuGOlx1Ssx7 h9LmNZmNOBu72TiEqPdd2aNcD8LtIWETpbdcYYSdCuPQCrtpwfJW/H0vWQ8/1eY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AkwfLfLAQAAnAMAAA4AAAAAAAAAAQAgAAAAHgEAAGRycy9lMm9E b2MueG1sUEsFBgAAAAAGAAYAWQEAAFsFAAAAAA== ">
              <v:fill on="f" focussize="0,0"/>
              <v:stroke on="f"/>
              <v:imagedata o:title=""/>
              <o:lock v:ext="edit" aspectratio="f"/>
              <v:textbox inset="0mm,0mm,0mm,0mm" style="mso-fit-shape-to-text:t;">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84</w:t>
                          </w:r>
                          <w:r>
                            <w:rPr>
                              <w:rFonts w:hint="eastAsia"/>
                            </w:rPr>
                            <w:fldChar w:fldCharType="end"/>
                          </w:r>
                        </w:p>
                      </w:txbxContent>
                    </wps:txbx>
                    <wps:bodyPr wrap="none" lIns="0" tIns="0" rIns="0" bIns="0" upright="0">
                      <a:spAutoFit/>
                    </wps:bodyPr>
                  </wps:wsp>
                </a:graphicData>
              </a:graphic>
            </wp:anchor>
          </w:drawing>
        </mc:Choice>
        <mc:Fallback>
          <w:pict>
            <v:shape id="文本框 206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wni0GssBAACcAwAADgAAAGRycy9lMm9Eb2MueG1srVPNjtMwEL4j8Q6W 79TZSqxK1HS1qFqEhABp4QFcx24s+U8et0lfAN6AExfuPFefg7GTdGG57GEvznhm/M1830zWN4M1 5CgjaO8aerWoKJFO+Fa7fUO/frl7taIEEnctN97Jhp4k0JvNyxfrPtRy6TtvWhkJgjio+9DQLqVQ Mwaik5bDwgfpMKh8tDzhNe5ZG3mP6NawZVVds97HNkQvJAB6t2OQTojxKYBeKS3k1ouDlS6NqFEa npASdDoA3ZRulZIifVIKZCKmocg0lROLoL3LJ9useb2PPHRaTC3wp7TwiJPl2mHRC9SWJ04OUf8H ZbWIHrxKC+EtG4kURZDFVfVIm/uOB1m4oNQQLqLD88GKj8fPkei2oa8pcdziwM8/vp9//j7/+kaW 1fWbrFAfoMbE+4CpaXjrB9yb2Q/ozMQHFW3+IiWCcdT3dNFXDomI/Gi1XK0qDAmMzRfEZw/PQ4T0 TnpLstHQiAMsuvLjB0hj6pySqzl/p40pQzTuHwdiZg/LvY89ZisNu2EitPPtCfn0OPuGOlx1Ssx7 h9LmNZmNOBu72TiEqPdd2aNcD8LtIWETpbdcYYSdCuPQCrtpwfJW/H0vWQ8/1eYP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MJ4tBrLAQAAnAMAAA4AAAAAAAAAAQAgAAAAHgEAAGRycy9lMm9E b2MueG1sUEsFBgAAAAAGAAYAWQEAAFsFAAAAAA== ">
              <v:fill on="f" focussize="0,0"/>
              <v:stroke on="f"/>
              <v:imagedata o:title=""/>
              <o:lock v:ext="edit" aspectratio="f"/>
              <v:textbox inset="0mm,0mm,0mm,0mm" style="mso-fit-shape-to-text:t;">
                <w:txbxContent>
                  <w:p>
                    <w:pPr>
                      <w:pStyle w:val="3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84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D9599"/>
    <w:multiLevelType w:val="singleLevel"/>
    <w:tmpl w:val="9D4D9599"/>
    <w:lvl w:ilvl="0" w:tentative="0">
      <w:start w:val="2"/>
      <w:numFmt w:val="chineseCounting"/>
      <w:suff w:val="nothing"/>
      <w:lvlText w:val="%1、"/>
      <w:lvlJc w:val="left"/>
      <w:rPr>
        <w:rFonts w:hint="eastAsia"/>
      </w:rPr>
    </w:lvl>
  </w:abstractNum>
  <w:abstractNum w:abstractNumId="1">
    <w:nsid w:val="00000008"/>
    <w:multiLevelType w:val="singleLevel"/>
    <w:tmpl w:val="00000008"/>
    <w:lvl w:ilvl="0" w:tentative="0">
      <w:start w:val="1"/>
      <w:numFmt w:val="decimal"/>
      <w:pStyle w:val="22"/>
      <w:lvlText w:val="%1."/>
      <w:lvlJc w:val="left"/>
      <w:pPr>
        <w:tabs>
          <w:tab w:val="left" w:pos="1200"/>
        </w:tabs>
        <w:ind w:left="1200" w:hanging="360"/>
      </w:pPr>
    </w:lvl>
  </w:abstractNum>
  <w:abstractNum w:abstractNumId="2">
    <w:nsid w:val="00000020"/>
    <w:multiLevelType w:val="singleLevel"/>
    <w:tmpl w:val="00000020"/>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YjJiOTg0NDA2YzNlMGE2NDY0ZGFmYzI1NmE1ZDljY2U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0B4"/>
    <w:rsid w:val="00001F18"/>
    <w:rsid w:val="0001089F"/>
    <w:rsid w:val="0001230D"/>
    <w:rsid w:val="000132E4"/>
    <w:rsid w:val="00014068"/>
    <w:rsid w:val="00014382"/>
    <w:rsid w:val="00020229"/>
    <w:rsid w:val="0002072C"/>
    <w:rsid w:val="00021343"/>
    <w:rsid w:val="00021537"/>
    <w:rsid w:val="0002175E"/>
    <w:rsid w:val="00021BB0"/>
    <w:rsid w:val="00022782"/>
    <w:rsid w:val="00022883"/>
    <w:rsid w:val="000236B9"/>
    <w:rsid w:val="00023B75"/>
    <w:rsid w:val="000243F5"/>
    <w:rsid w:val="000245A2"/>
    <w:rsid w:val="000253A8"/>
    <w:rsid w:val="00026226"/>
    <w:rsid w:val="0002655E"/>
    <w:rsid w:val="00027789"/>
    <w:rsid w:val="00027D43"/>
    <w:rsid w:val="00031762"/>
    <w:rsid w:val="00031FE2"/>
    <w:rsid w:val="00032ED7"/>
    <w:rsid w:val="00032F4D"/>
    <w:rsid w:val="00033023"/>
    <w:rsid w:val="0003392E"/>
    <w:rsid w:val="00034735"/>
    <w:rsid w:val="000350D3"/>
    <w:rsid w:val="000357B0"/>
    <w:rsid w:val="000401AC"/>
    <w:rsid w:val="000402EF"/>
    <w:rsid w:val="00042425"/>
    <w:rsid w:val="00042F0D"/>
    <w:rsid w:val="000432D0"/>
    <w:rsid w:val="00044209"/>
    <w:rsid w:val="00045715"/>
    <w:rsid w:val="00045F2C"/>
    <w:rsid w:val="00050829"/>
    <w:rsid w:val="00051434"/>
    <w:rsid w:val="0005254C"/>
    <w:rsid w:val="00053FB8"/>
    <w:rsid w:val="00056CDA"/>
    <w:rsid w:val="00056E1F"/>
    <w:rsid w:val="000601B1"/>
    <w:rsid w:val="00064DA8"/>
    <w:rsid w:val="0006513B"/>
    <w:rsid w:val="000661FA"/>
    <w:rsid w:val="000718A1"/>
    <w:rsid w:val="0007460A"/>
    <w:rsid w:val="00074FB5"/>
    <w:rsid w:val="000765EB"/>
    <w:rsid w:val="00077534"/>
    <w:rsid w:val="00080F2D"/>
    <w:rsid w:val="00081077"/>
    <w:rsid w:val="0008173E"/>
    <w:rsid w:val="000825B8"/>
    <w:rsid w:val="00082DB0"/>
    <w:rsid w:val="00082E67"/>
    <w:rsid w:val="00083656"/>
    <w:rsid w:val="000852CC"/>
    <w:rsid w:val="000924E3"/>
    <w:rsid w:val="00094532"/>
    <w:rsid w:val="000955A9"/>
    <w:rsid w:val="00096FFD"/>
    <w:rsid w:val="000A08A7"/>
    <w:rsid w:val="000A2A71"/>
    <w:rsid w:val="000A454E"/>
    <w:rsid w:val="000A713E"/>
    <w:rsid w:val="000A7C9B"/>
    <w:rsid w:val="000B0342"/>
    <w:rsid w:val="000B0A24"/>
    <w:rsid w:val="000B478C"/>
    <w:rsid w:val="000B479A"/>
    <w:rsid w:val="000B5731"/>
    <w:rsid w:val="000C0F2A"/>
    <w:rsid w:val="000C3BF3"/>
    <w:rsid w:val="000C3F6C"/>
    <w:rsid w:val="000C4408"/>
    <w:rsid w:val="000C592B"/>
    <w:rsid w:val="000D1931"/>
    <w:rsid w:val="000D3A72"/>
    <w:rsid w:val="000D5375"/>
    <w:rsid w:val="000D65FB"/>
    <w:rsid w:val="000E00C1"/>
    <w:rsid w:val="000E01F6"/>
    <w:rsid w:val="000E1C75"/>
    <w:rsid w:val="000E1EF8"/>
    <w:rsid w:val="000E2975"/>
    <w:rsid w:val="000E32E6"/>
    <w:rsid w:val="000E3789"/>
    <w:rsid w:val="000E3C77"/>
    <w:rsid w:val="000E3D2B"/>
    <w:rsid w:val="000E509C"/>
    <w:rsid w:val="000E7584"/>
    <w:rsid w:val="000E7849"/>
    <w:rsid w:val="000E7A4C"/>
    <w:rsid w:val="000F1165"/>
    <w:rsid w:val="000F276C"/>
    <w:rsid w:val="000F2931"/>
    <w:rsid w:val="000F2B3C"/>
    <w:rsid w:val="000F3389"/>
    <w:rsid w:val="000F3F54"/>
    <w:rsid w:val="000F4D17"/>
    <w:rsid w:val="000F62A6"/>
    <w:rsid w:val="000F695B"/>
    <w:rsid w:val="00101D0B"/>
    <w:rsid w:val="00101DD6"/>
    <w:rsid w:val="00102F7F"/>
    <w:rsid w:val="0010760C"/>
    <w:rsid w:val="00110444"/>
    <w:rsid w:val="001121AD"/>
    <w:rsid w:val="00112E7D"/>
    <w:rsid w:val="0012054A"/>
    <w:rsid w:val="0012237B"/>
    <w:rsid w:val="0012309A"/>
    <w:rsid w:val="00123DC3"/>
    <w:rsid w:val="001243CE"/>
    <w:rsid w:val="00126205"/>
    <w:rsid w:val="001305AF"/>
    <w:rsid w:val="001306E9"/>
    <w:rsid w:val="0013082D"/>
    <w:rsid w:val="00130C83"/>
    <w:rsid w:val="00132C3E"/>
    <w:rsid w:val="001409B4"/>
    <w:rsid w:val="0014211C"/>
    <w:rsid w:val="00142A2B"/>
    <w:rsid w:val="001453F1"/>
    <w:rsid w:val="001454A0"/>
    <w:rsid w:val="00145560"/>
    <w:rsid w:val="001508AA"/>
    <w:rsid w:val="001527A9"/>
    <w:rsid w:val="001577E7"/>
    <w:rsid w:val="00157BBC"/>
    <w:rsid w:val="00157DD7"/>
    <w:rsid w:val="00160B5A"/>
    <w:rsid w:val="00161CF1"/>
    <w:rsid w:val="0016282E"/>
    <w:rsid w:val="00162FC4"/>
    <w:rsid w:val="0016326A"/>
    <w:rsid w:val="001636CC"/>
    <w:rsid w:val="00165E7F"/>
    <w:rsid w:val="00166D48"/>
    <w:rsid w:val="00167356"/>
    <w:rsid w:val="001707C9"/>
    <w:rsid w:val="00171E5C"/>
    <w:rsid w:val="001725D0"/>
    <w:rsid w:val="00174A76"/>
    <w:rsid w:val="0017704A"/>
    <w:rsid w:val="00177373"/>
    <w:rsid w:val="00181DD5"/>
    <w:rsid w:val="00182262"/>
    <w:rsid w:val="0018289E"/>
    <w:rsid w:val="00182BBA"/>
    <w:rsid w:val="001852C1"/>
    <w:rsid w:val="001855F7"/>
    <w:rsid w:val="00185826"/>
    <w:rsid w:val="00185C07"/>
    <w:rsid w:val="00186E69"/>
    <w:rsid w:val="00191411"/>
    <w:rsid w:val="00194DFE"/>
    <w:rsid w:val="00194E4D"/>
    <w:rsid w:val="00196F9C"/>
    <w:rsid w:val="001A1F92"/>
    <w:rsid w:val="001A237B"/>
    <w:rsid w:val="001A433F"/>
    <w:rsid w:val="001A51BD"/>
    <w:rsid w:val="001A52C0"/>
    <w:rsid w:val="001B005F"/>
    <w:rsid w:val="001B024E"/>
    <w:rsid w:val="001B03B2"/>
    <w:rsid w:val="001B0D9C"/>
    <w:rsid w:val="001B216A"/>
    <w:rsid w:val="001B6945"/>
    <w:rsid w:val="001C093F"/>
    <w:rsid w:val="001C0B62"/>
    <w:rsid w:val="001C1ACD"/>
    <w:rsid w:val="001C4018"/>
    <w:rsid w:val="001C4B22"/>
    <w:rsid w:val="001C521C"/>
    <w:rsid w:val="001D0FD3"/>
    <w:rsid w:val="001D1BA5"/>
    <w:rsid w:val="001D2D0F"/>
    <w:rsid w:val="001D3F9A"/>
    <w:rsid w:val="001D4830"/>
    <w:rsid w:val="001D5922"/>
    <w:rsid w:val="001E0F95"/>
    <w:rsid w:val="001E11E6"/>
    <w:rsid w:val="001E38BB"/>
    <w:rsid w:val="001E3F02"/>
    <w:rsid w:val="001E7585"/>
    <w:rsid w:val="001E7AEE"/>
    <w:rsid w:val="001F006E"/>
    <w:rsid w:val="001F132C"/>
    <w:rsid w:val="001F1D8E"/>
    <w:rsid w:val="001F2D9A"/>
    <w:rsid w:val="001F32ED"/>
    <w:rsid w:val="001F505E"/>
    <w:rsid w:val="00200091"/>
    <w:rsid w:val="002011EF"/>
    <w:rsid w:val="00201B4C"/>
    <w:rsid w:val="0020286C"/>
    <w:rsid w:val="00204600"/>
    <w:rsid w:val="0020684B"/>
    <w:rsid w:val="00211C19"/>
    <w:rsid w:val="00211FB1"/>
    <w:rsid w:val="002121B7"/>
    <w:rsid w:val="002136FE"/>
    <w:rsid w:val="00214839"/>
    <w:rsid w:val="00214B87"/>
    <w:rsid w:val="00214BEC"/>
    <w:rsid w:val="00214DF0"/>
    <w:rsid w:val="00216435"/>
    <w:rsid w:val="0021668C"/>
    <w:rsid w:val="00216F8F"/>
    <w:rsid w:val="00217CA2"/>
    <w:rsid w:val="0022067A"/>
    <w:rsid w:val="002211FF"/>
    <w:rsid w:val="00222E60"/>
    <w:rsid w:val="00224545"/>
    <w:rsid w:val="00227D9F"/>
    <w:rsid w:val="00230411"/>
    <w:rsid w:val="00230F54"/>
    <w:rsid w:val="00231949"/>
    <w:rsid w:val="002320C9"/>
    <w:rsid w:val="00233A72"/>
    <w:rsid w:val="00233B57"/>
    <w:rsid w:val="00236309"/>
    <w:rsid w:val="00242431"/>
    <w:rsid w:val="0024262B"/>
    <w:rsid w:val="00243142"/>
    <w:rsid w:val="00250480"/>
    <w:rsid w:val="00256AC1"/>
    <w:rsid w:val="00257C37"/>
    <w:rsid w:val="00260530"/>
    <w:rsid w:val="0026167F"/>
    <w:rsid w:val="00261825"/>
    <w:rsid w:val="00262AE2"/>
    <w:rsid w:val="0026385F"/>
    <w:rsid w:val="00264692"/>
    <w:rsid w:val="00270937"/>
    <w:rsid w:val="00272039"/>
    <w:rsid w:val="00272404"/>
    <w:rsid w:val="002726DB"/>
    <w:rsid w:val="00272CBB"/>
    <w:rsid w:val="002736DE"/>
    <w:rsid w:val="002737B3"/>
    <w:rsid w:val="00274878"/>
    <w:rsid w:val="00275045"/>
    <w:rsid w:val="00275493"/>
    <w:rsid w:val="00276052"/>
    <w:rsid w:val="00276C3F"/>
    <w:rsid w:val="0027724B"/>
    <w:rsid w:val="002773C2"/>
    <w:rsid w:val="00277F52"/>
    <w:rsid w:val="00280BEC"/>
    <w:rsid w:val="00281D86"/>
    <w:rsid w:val="002859AA"/>
    <w:rsid w:val="00290E26"/>
    <w:rsid w:val="00291003"/>
    <w:rsid w:val="002927E6"/>
    <w:rsid w:val="0029296D"/>
    <w:rsid w:val="00293577"/>
    <w:rsid w:val="00293FE3"/>
    <w:rsid w:val="00294C6C"/>
    <w:rsid w:val="002974BB"/>
    <w:rsid w:val="00297689"/>
    <w:rsid w:val="002A0F2A"/>
    <w:rsid w:val="002A28D1"/>
    <w:rsid w:val="002A6D35"/>
    <w:rsid w:val="002B0375"/>
    <w:rsid w:val="002B0C62"/>
    <w:rsid w:val="002B3BA4"/>
    <w:rsid w:val="002C0754"/>
    <w:rsid w:val="002C15C6"/>
    <w:rsid w:val="002C2796"/>
    <w:rsid w:val="002C282F"/>
    <w:rsid w:val="002C4552"/>
    <w:rsid w:val="002C5A7F"/>
    <w:rsid w:val="002C7D03"/>
    <w:rsid w:val="002D2CEE"/>
    <w:rsid w:val="002D2FBE"/>
    <w:rsid w:val="002D4EA7"/>
    <w:rsid w:val="002D7186"/>
    <w:rsid w:val="002D771A"/>
    <w:rsid w:val="002D7F81"/>
    <w:rsid w:val="002E2FA9"/>
    <w:rsid w:val="002E39CF"/>
    <w:rsid w:val="002E3F73"/>
    <w:rsid w:val="002E5CD3"/>
    <w:rsid w:val="002E63EE"/>
    <w:rsid w:val="002E7750"/>
    <w:rsid w:val="002F0122"/>
    <w:rsid w:val="002F1499"/>
    <w:rsid w:val="002F2F3E"/>
    <w:rsid w:val="002F3104"/>
    <w:rsid w:val="002F32F6"/>
    <w:rsid w:val="002F39EB"/>
    <w:rsid w:val="002F482F"/>
    <w:rsid w:val="002F590B"/>
    <w:rsid w:val="002F5CFB"/>
    <w:rsid w:val="002F5E07"/>
    <w:rsid w:val="002F67A8"/>
    <w:rsid w:val="002F6DD1"/>
    <w:rsid w:val="00301E13"/>
    <w:rsid w:val="00303724"/>
    <w:rsid w:val="0030634F"/>
    <w:rsid w:val="003073CE"/>
    <w:rsid w:val="0031000B"/>
    <w:rsid w:val="00310288"/>
    <w:rsid w:val="003106AF"/>
    <w:rsid w:val="003117A2"/>
    <w:rsid w:val="00312865"/>
    <w:rsid w:val="00312981"/>
    <w:rsid w:val="003137F4"/>
    <w:rsid w:val="0031664B"/>
    <w:rsid w:val="003167F5"/>
    <w:rsid w:val="003201A5"/>
    <w:rsid w:val="0032048B"/>
    <w:rsid w:val="003215A9"/>
    <w:rsid w:val="00321ADF"/>
    <w:rsid w:val="0032247D"/>
    <w:rsid w:val="00322FF4"/>
    <w:rsid w:val="0032321D"/>
    <w:rsid w:val="00326DDD"/>
    <w:rsid w:val="00327800"/>
    <w:rsid w:val="0033012B"/>
    <w:rsid w:val="00331472"/>
    <w:rsid w:val="003315AE"/>
    <w:rsid w:val="003330BC"/>
    <w:rsid w:val="00334646"/>
    <w:rsid w:val="00340C3A"/>
    <w:rsid w:val="00342DA9"/>
    <w:rsid w:val="00343189"/>
    <w:rsid w:val="003441A8"/>
    <w:rsid w:val="00344774"/>
    <w:rsid w:val="00351DE8"/>
    <w:rsid w:val="003538F7"/>
    <w:rsid w:val="00354EC1"/>
    <w:rsid w:val="003550A6"/>
    <w:rsid w:val="00355F27"/>
    <w:rsid w:val="003566A6"/>
    <w:rsid w:val="00360320"/>
    <w:rsid w:val="00364DF5"/>
    <w:rsid w:val="00365E23"/>
    <w:rsid w:val="003677D6"/>
    <w:rsid w:val="00372714"/>
    <w:rsid w:val="00374DA5"/>
    <w:rsid w:val="00376E20"/>
    <w:rsid w:val="00376F53"/>
    <w:rsid w:val="003775A8"/>
    <w:rsid w:val="0038106D"/>
    <w:rsid w:val="00382460"/>
    <w:rsid w:val="0038402D"/>
    <w:rsid w:val="0038437B"/>
    <w:rsid w:val="00385337"/>
    <w:rsid w:val="00385652"/>
    <w:rsid w:val="00385C75"/>
    <w:rsid w:val="00387D5F"/>
    <w:rsid w:val="00390750"/>
    <w:rsid w:val="00396980"/>
    <w:rsid w:val="003A07CC"/>
    <w:rsid w:val="003A3A5C"/>
    <w:rsid w:val="003A3F19"/>
    <w:rsid w:val="003A56BC"/>
    <w:rsid w:val="003B07DF"/>
    <w:rsid w:val="003B0887"/>
    <w:rsid w:val="003B15F9"/>
    <w:rsid w:val="003B1FBD"/>
    <w:rsid w:val="003B208D"/>
    <w:rsid w:val="003B320F"/>
    <w:rsid w:val="003B5613"/>
    <w:rsid w:val="003B5CD4"/>
    <w:rsid w:val="003B6B9E"/>
    <w:rsid w:val="003C2505"/>
    <w:rsid w:val="003C2D1D"/>
    <w:rsid w:val="003C497D"/>
    <w:rsid w:val="003C4EDB"/>
    <w:rsid w:val="003C5AB6"/>
    <w:rsid w:val="003C72F0"/>
    <w:rsid w:val="003C7652"/>
    <w:rsid w:val="003D230A"/>
    <w:rsid w:val="003D3EA2"/>
    <w:rsid w:val="003D41B7"/>
    <w:rsid w:val="003D425C"/>
    <w:rsid w:val="003D5A7F"/>
    <w:rsid w:val="003D5CCF"/>
    <w:rsid w:val="003D5D46"/>
    <w:rsid w:val="003D6135"/>
    <w:rsid w:val="003D76D4"/>
    <w:rsid w:val="003E246B"/>
    <w:rsid w:val="003E2BDC"/>
    <w:rsid w:val="003E2CCC"/>
    <w:rsid w:val="003F10E6"/>
    <w:rsid w:val="003F4A5F"/>
    <w:rsid w:val="003F65A3"/>
    <w:rsid w:val="00402362"/>
    <w:rsid w:val="0040261F"/>
    <w:rsid w:val="004039C4"/>
    <w:rsid w:val="0040618C"/>
    <w:rsid w:val="00406647"/>
    <w:rsid w:val="00407805"/>
    <w:rsid w:val="0041006B"/>
    <w:rsid w:val="00410AC1"/>
    <w:rsid w:val="00412A5C"/>
    <w:rsid w:val="004135F0"/>
    <w:rsid w:val="00413B17"/>
    <w:rsid w:val="0041425C"/>
    <w:rsid w:val="004142FC"/>
    <w:rsid w:val="0042036F"/>
    <w:rsid w:val="00420867"/>
    <w:rsid w:val="00421C3C"/>
    <w:rsid w:val="00422688"/>
    <w:rsid w:val="004228A5"/>
    <w:rsid w:val="00422FCB"/>
    <w:rsid w:val="00427C55"/>
    <w:rsid w:val="0043086C"/>
    <w:rsid w:val="00430ACA"/>
    <w:rsid w:val="00435858"/>
    <w:rsid w:val="00435EC7"/>
    <w:rsid w:val="004360AF"/>
    <w:rsid w:val="00437E89"/>
    <w:rsid w:val="00440903"/>
    <w:rsid w:val="004411DE"/>
    <w:rsid w:val="004414CA"/>
    <w:rsid w:val="00443696"/>
    <w:rsid w:val="00446714"/>
    <w:rsid w:val="00446D51"/>
    <w:rsid w:val="00450F0F"/>
    <w:rsid w:val="00451411"/>
    <w:rsid w:val="00452E9B"/>
    <w:rsid w:val="00453A80"/>
    <w:rsid w:val="0045423B"/>
    <w:rsid w:val="00454D35"/>
    <w:rsid w:val="00455760"/>
    <w:rsid w:val="004566E9"/>
    <w:rsid w:val="004575D4"/>
    <w:rsid w:val="00460E83"/>
    <w:rsid w:val="00460F57"/>
    <w:rsid w:val="00461306"/>
    <w:rsid w:val="00461358"/>
    <w:rsid w:val="004623B7"/>
    <w:rsid w:val="00463027"/>
    <w:rsid w:val="00463CDB"/>
    <w:rsid w:val="00464900"/>
    <w:rsid w:val="004739C3"/>
    <w:rsid w:val="004741B6"/>
    <w:rsid w:val="00474B12"/>
    <w:rsid w:val="0047747F"/>
    <w:rsid w:val="00477570"/>
    <w:rsid w:val="00477CA4"/>
    <w:rsid w:val="0048042D"/>
    <w:rsid w:val="0048133D"/>
    <w:rsid w:val="00482462"/>
    <w:rsid w:val="004846A7"/>
    <w:rsid w:val="004851CA"/>
    <w:rsid w:val="0048768C"/>
    <w:rsid w:val="00487FF6"/>
    <w:rsid w:val="004941F1"/>
    <w:rsid w:val="00494D9B"/>
    <w:rsid w:val="00496FB8"/>
    <w:rsid w:val="004A16E6"/>
    <w:rsid w:val="004A1743"/>
    <w:rsid w:val="004A1B10"/>
    <w:rsid w:val="004A2E80"/>
    <w:rsid w:val="004A48C2"/>
    <w:rsid w:val="004B3DBB"/>
    <w:rsid w:val="004B3F8F"/>
    <w:rsid w:val="004B7044"/>
    <w:rsid w:val="004C06C9"/>
    <w:rsid w:val="004C26F5"/>
    <w:rsid w:val="004C28D2"/>
    <w:rsid w:val="004C3C14"/>
    <w:rsid w:val="004C5140"/>
    <w:rsid w:val="004C6CA3"/>
    <w:rsid w:val="004D0619"/>
    <w:rsid w:val="004D0CBF"/>
    <w:rsid w:val="004D0DC6"/>
    <w:rsid w:val="004D1169"/>
    <w:rsid w:val="004D19D1"/>
    <w:rsid w:val="004D1C28"/>
    <w:rsid w:val="004D1DF8"/>
    <w:rsid w:val="004D1FF2"/>
    <w:rsid w:val="004D2581"/>
    <w:rsid w:val="004D72B0"/>
    <w:rsid w:val="004D7596"/>
    <w:rsid w:val="004D76A1"/>
    <w:rsid w:val="004E404B"/>
    <w:rsid w:val="004E6D8C"/>
    <w:rsid w:val="004E7175"/>
    <w:rsid w:val="004E7760"/>
    <w:rsid w:val="004F1332"/>
    <w:rsid w:val="004F175E"/>
    <w:rsid w:val="004F308B"/>
    <w:rsid w:val="004F33C6"/>
    <w:rsid w:val="004F3574"/>
    <w:rsid w:val="004F3894"/>
    <w:rsid w:val="004F494B"/>
    <w:rsid w:val="0050021D"/>
    <w:rsid w:val="0050370D"/>
    <w:rsid w:val="00504383"/>
    <w:rsid w:val="00504652"/>
    <w:rsid w:val="00505704"/>
    <w:rsid w:val="00510110"/>
    <w:rsid w:val="005121EA"/>
    <w:rsid w:val="0051263F"/>
    <w:rsid w:val="00512F97"/>
    <w:rsid w:val="00513CC6"/>
    <w:rsid w:val="005152FB"/>
    <w:rsid w:val="00515C18"/>
    <w:rsid w:val="0051696E"/>
    <w:rsid w:val="0052341B"/>
    <w:rsid w:val="005241C6"/>
    <w:rsid w:val="00524FCF"/>
    <w:rsid w:val="00526CD0"/>
    <w:rsid w:val="00526D8D"/>
    <w:rsid w:val="005271C0"/>
    <w:rsid w:val="005302AD"/>
    <w:rsid w:val="00533A15"/>
    <w:rsid w:val="00535941"/>
    <w:rsid w:val="005364D7"/>
    <w:rsid w:val="0053671A"/>
    <w:rsid w:val="00536827"/>
    <w:rsid w:val="005371CF"/>
    <w:rsid w:val="00537A4D"/>
    <w:rsid w:val="00537F93"/>
    <w:rsid w:val="00540102"/>
    <w:rsid w:val="00540C43"/>
    <w:rsid w:val="0054185D"/>
    <w:rsid w:val="00541DC3"/>
    <w:rsid w:val="00545CD2"/>
    <w:rsid w:val="00547F6B"/>
    <w:rsid w:val="00550473"/>
    <w:rsid w:val="005508D0"/>
    <w:rsid w:val="00552BBD"/>
    <w:rsid w:val="00552D89"/>
    <w:rsid w:val="00554898"/>
    <w:rsid w:val="005559DC"/>
    <w:rsid w:val="00556371"/>
    <w:rsid w:val="00556D85"/>
    <w:rsid w:val="00556E54"/>
    <w:rsid w:val="00557AA6"/>
    <w:rsid w:val="00557AE1"/>
    <w:rsid w:val="00557EFD"/>
    <w:rsid w:val="00561269"/>
    <w:rsid w:val="005651E6"/>
    <w:rsid w:val="00567BA2"/>
    <w:rsid w:val="005717B0"/>
    <w:rsid w:val="00573880"/>
    <w:rsid w:val="00574E2F"/>
    <w:rsid w:val="00575714"/>
    <w:rsid w:val="00575C94"/>
    <w:rsid w:val="00575CAC"/>
    <w:rsid w:val="00577751"/>
    <w:rsid w:val="0057785F"/>
    <w:rsid w:val="00582C20"/>
    <w:rsid w:val="00584934"/>
    <w:rsid w:val="00585E74"/>
    <w:rsid w:val="00587903"/>
    <w:rsid w:val="0058792E"/>
    <w:rsid w:val="00587D0E"/>
    <w:rsid w:val="005902A7"/>
    <w:rsid w:val="00590F7E"/>
    <w:rsid w:val="00591A2B"/>
    <w:rsid w:val="00593B50"/>
    <w:rsid w:val="005A193A"/>
    <w:rsid w:val="005A5052"/>
    <w:rsid w:val="005A62E2"/>
    <w:rsid w:val="005B12D9"/>
    <w:rsid w:val="005B6597"/>
    <w:rsid w:val="005B6AA1"/>
    <w:rsid w:val="005B7517"/>
    <w:rsid w:val="005C129A"/>
    <w:rsid w:val="005C1598"/>
    <w:rsid w:val="005C2901"/>
    <w:rsid w:val="005C35A4"/>
    <w:rsid w:val="005D0D9F"/>
    <w:rsid w:val="005D5288"/>
    <w:rsid w:val="005D7ECE"/>
    <w:rsid w:val="005E68B8"/>
    <w:rsid w:val="005E6A89"/>
    <w:rsid w:val="005E727C"/>
    <w:rsid w:val="005E7410"/>
    <w:rsid w:val="005E764C"/>
    <w:rsid w:val="005F0866"/>
    <w:rsid w:val="005F1596"/>
    <w:rsid w:val="005F3D2A"/>
    <w:rsid w:val="005F649D"/>
    <w:rsid w:val="005F7235"/>
    <w:rsid w:val="005F7422"/>
    <w:rsid w:val="005F7BD3"/>
    <w:rsid w:val="00600FEC"/>
    <w:rsid w:val="006016B0"/>
    <w:rsid w:val="00601C63"/>
    <w:rsid w:val="00601EAB"/>
    <w:rsid w:val="00603BC3"/>
    <w:rsid w:val="00604E4A"/>
    <w:rsid w:val="0060603A"/>
    <w:rsid w:val="00606EFF"/>
    <w:rsid w:val="0061352A"/>
    <w:rsid w:val="00616025"/>
    <w:rsid w:val="00616135"/>
    <w:rsid w:val="00616D97"/>
    <w:rsid w:val="00620077"/>
    <w:rsid w:val="00622AA6"/>
    <w:rsid w:val="006240C1"/>
    <w:rsid w:val="006259B0"/>
    <w:rsid w:val="006310E1"/>
    <w:rsid w:val="00631A35"/>
    <w:rsid w:val="0064008D"/>
    <w:rsid w:val="00640EBC"/>
    <w:rsid w:val="00641516"/>
    <w:rsid w:val="00641E23"/>
    <w:rsid w:val="0064303D"/>
    <w:rsid w:val="0064755D"/>
    <w:rsid w:val="00650E08"/>
    <w:rsid w:val="00651BED"/>
    <w:rsid w:val="00653BFD"/>
    <w:rsid w:val="00656327"/>
    <w:rsid w:val="006618F4"/>
    <w:rsid w:val="00661D5E"/>
    <w:rsid w:val="0066277F"/>
    <w:rsid w:val="00662C4F"/>
    <w:rsid w:val="00663B7B"/>
    <w:rsid w:val="00664D86"/>
    <w:rsid w:val="0066558B"/>
    <w:rsid w:val="00665D8F"/>
    <w:rsid w:val="00666E26"/>
    <w:rsid w:val="00666F0A"/>
    <w:rsid w:val="00667056"/>
    <w:rsid w:val="00667594"/>
    <w:rsid w:val="00670289"/>
    <w:rsid w:val="00670899"/>
    <w:rsid w:val="00670BE2"/>
    <w:rsid w:val="006723BE"/>
    <w:rsid w:val="00672C46"/>
    <w:rsid w:val="00674FE3"/>
    <w:rsid w:val="0067502E"/>
    <w:rsid w:val="00675B27"/>
    <w:rsid w:val="00676328"/>
    <w:rsid w:val="00677091"/>
    <w:rsid w:val="00677C29"/>
    <w:rsid w:val="00680F9C"/>
    <w:rsid w:val="00681AAA"/>
    <w:rsid w:val="00681FD6"/>
    <w:rsid w:val="00690571"/>
    <w:rsid w:val="00691580"/>
    <w:rsid w:val="00692B14"/>
    <w:rsid w:val="00692C71"/>
    <w:rsid w:val="00693340"/>
    <w:rsid w:val="0069358D"/>
    <w:rsid w:val="006936A5"/>
    <w:rsid w:val="00696894"/>
    <w:rsid w:val="00696F22"/>
    <w:rsid w:val="006971D1"/>
    <w:rsid w:val="00697A84"/>
    <w:rsid w:val="006A671D"/>
    <w:rsid w:val="006A703A"/>
    <w:rsid w:val="006B2B0C"/>
    <w:rsid w:val="006B31D8"/>
    <w:rsid w:val="006B33D3"/>
    <w:rsid w:val="006B386B"/>
    <w:rsid w:val="006B39B9"/>
    <w:rsid w:val="006B5845"/>
    <w:rsid w:val="006B646F"/>
    <w:rsid w:val="006C1579"/>
    <w:rsid w:val="006C219D"/>
    <w:rsid w:val="006C3AEC"/>
    <w:rsid w:val="006C3B0E"/>
    <w:rsid w:val="006C471C"/>
    <w:rsid w:val="006C5D4D"/>
    <w:rsid w:val="006C78EF"/>
    <w:rsid w:val="006D2980"/>
    <w:rsid w:val="006D4463"/>
    <w:rsid w:val="006D487A"/>
    <w:rsid w:val="006D663D"/>
    <w:rsid w:val="006D68B0"/>
    <w:rsid w:val="006E00DC"/>
    <w:rsid w:val="006E20D5"/>
    <w:rsid w:val="006E2449"/>
    <w:rsid w:val="006E248B"/>
    <w:rsid w:val="006E28D5"/>
    <w:rsid w:val="006F03B0"/>
    <w:rsid w:val="006F2234"/>
    <w:rsid w:val="006F41B6"/>
    <w:rsid w:val="006F4512"/>
    <w:rsid w:val="006F479D"/>
    <w:rsid w:val="006F5405"/>
    <w:rsid w:val="006F5AE4"/>
    <w:rsid w:val="006F6CDD"/>
    <w:rsid w:val="007003E2"/>
    <w:rsid w:val="00700969"/>
    <w:rsid w:val="00700A79"/>
    <w:rsid w:val="0070167C"/>
    <w:rsid w:val="00701DA4"/>
    <w:rsid w:val="00702C2C"/>
    <w:rsid w:val="00702E56"/>
    <w:rsid w:val="0070309C"/>
    <w:rsid w:val="007045F3"/>
    <w:rsid w:val="00704DC3"/>
    <w:rsid w:val="0070598E"/>
    <w:rsid w:val="00707D7B"/>
    <w:rsid w:val="007105A9"/>
    <w:rsid w:val="007106DC"/>
    <w:rsid w:val="00711914"/>
    <w:rsid w:val="00713038"/>
    <w:rsid w:val="007158A6"/>
    <w:rsid w:val="007175F4"/>
    <w:rsid w:val="007215D9"/>
    <w:rsid w:val="00724A04"/>
    <w:rsid w:val="00725128"/>
    <w:rsid w:val="0072629A"/>
    <w:rsid w:val="007273E1"/>
    <w:rsid w:val="00727423"/>
    <w:rsid w:val="0073066C"/>
    <w:rsid w:val="007319E1"/>
    <w:rsid w:val="00732F02"/>
    <w:rsid w:val="007365AC"/>
    <w:rsid w:val="00742078"/>
    <w:rsid w:val="007426F9"/>
    <w:rsid w:val="007430FD"/>
    <w:rsid w:val="00743935"/>
    <w:rsid w:val="00745CE8"/>
    <w:rsid w:val="00747DED"/>
    <w:rsid w:val="00747E47"/>
    <w:rsid w:val="0075112C"/>
    <w:rsid w:val="00753980"/>
    <w:rsid w:val="0075570C"/>
    <w:rsid w:val="00756CC2"/>
    <w:rsid w:val="007618FF"/>
    <w:rsid w:val="00761B79"/>
    <w:rsid w:val="0076575D"/>
    <w:rsid w:val="00767FE9"/>
    <w:rsid w:val="007722D5"/>
    <w:rsid w:val="00773891"/>
    <w:rsid w:val="007749ED"/>
    <w:rsid w:val="00774AB3"/>
    <w:rsid w:val="00776015"/>
    <w:rsid w:val="0078031F"/>
    <w:rsid w:val="0078061A"/>
    <w:rsid w:val="00780A78"/>
    <w:rsid w:val="0078574B"/>
    <w:rsid w:val="007865EA"/>
    <w:rsid w:val="00786995"/>
    <w:rsid w:val="00786A2B"/>
    <w:rsid w:val="007873AE"/>
    <w:rsid w:val="0079313C"/>
    <w:rsid w:val="00796D09"/>
    <w:rsid w:val="007977C6"/>
    <w:rsid w:val="007A393C"/>
    <w:rsid w:val="007A5FE1"/>
    <w:rsid w:val="007A687C"/>
    <w:rsid w:val="007B135E"/>
    <w:rsid w:val="007B5BCA"/>
    <w:rsid w:val="007B5FEB"/>
    <w:rsid w:val="007B63B3"/>
    <w:rsid w:val="007C097C"/>
    <w:rsid w:val="007C0DFB"/>
    <w:rsid w:val="007C3C8A"/>
    <w:rsid w:val="007C5477"/>
    <w:rsid w:val="007E16FE"/>
    <w:rsid w:val="007E22A2"/>
    <w:rsid w:val="007E2FB9"/>
    <w:rsid w:val="007E3FEC"/>
    <w:rsid w:val="007E44E2"/>
    <w:rsid w:val="007E556C"/>
    <w:rsid w:val="007E6216"/>
    <w:rsid w:val="007E6E18"/>
    <w:rsid w:val="007E774F"/>
    <w:rsid w:val="007F08D8"/>
    <w:rsid w:val="007F6767"/>
    <w:rsid w:val="007F7B1A"/>
    <w:rsid w:val="00800E99"/>
    <w:rsid w:val="00801258"/>
    <w:rsid w:val="00802902"/>
    <w:rsid w:val="0080347F"/>
    <w:rsid w:val="008102E6"/>
    <w:rsid w:val="00810336"/>
    <w:rsid w:val="00811D8E"/>
    <w:rsid w:val="0081255C"/>
    <w:rsid w:val="00812772"/>
    <w:rsid w:val="00812C8F"/>
    <w:rsid w:val="008134FA"/>
    <w:rsid w:val="00814598"/>
    <w:rsid w:val="00815E5D"/>
    <w:rsid w:val="00822E71"/>
    <w:rsid w:val="008235FB"/>
    <w:rsid w:val="00823A0B"/>
    <w:rsid w:val="00823E46"/>
    <w:rsid w:val="00824BB7"/>
    <w:rsid w:val="00826CD3"/>
    <w:rsid w:val="00826E6F"/>
    <w:rsid w:val="00827FB7"/>
    <w:rsid w:val="0083095E"/>
    <w:rsid w:val="00830A4E"/>
    <w:rsid w:val="00832E2A"/>
    <w:rsid w:val="00833CD3"/>
    <w:rsid w:val="008348EE"/>
    <w:rsid w:val="0083548B"/>
    <w:rsid w:val="00835FDA"/>
    <w:rsid w:val="00836732"/>
    <w:rsid w:val="00836C23"/>
    <w:rsid w:val="0083707C"/>
    <w:rsid w:val="00837412"/>
    <w:rsid w:val="0084095C"/>
    <w:rsid w:val="00841509"/>
    <w:rsid w:val="00842E1C"/>
    <w:rsid w:val="0084422B"/>
    <w:rsid w:val="00846377"/>
    <w:rsid w:val="008474D9"/>
    <w:rsid w:val="00850E5E"/>
    <w:rsid w:val="00850F17"/>
    <w:rsid w:val="00854647"/>
    <w:rsid w:val="00857011"/>
    <w:rsid w:val="00857326"/>
    <w:rsid w:val="00857F14"/>
    <w:rsid w:val="00862035"/>
    <w:rsid w:val="008632D3"/>
    <w:rsid w:val="00865387"/>
    <w:rsid w:val="008657FA"/>
    <w:rsid w:val="00865C58"/>
    <w:rsid w:val="00865E8B"/>
    <w:rsid w:val="00870E48"/>
    <w:rsid w:val="00871AE2"/>
    <w:rsid w:val="00872E1B"/>
    <w:rsid w:val="00873E11"/>
    <w:rsid w:val="00884482"/>
    <w:rsid w:val="00885433"/>
    <w:rsid w:val="00891AEF"/>
    <w:rsid w:val="00892D55"/>
    <w:rsid w:val="00892E56"/>
    <w:rsid w:val="00896DEB"/>
    <w:rsid w:val="008A49F3"/>
    <w:rsid w:val="008A7A60"/>
    <w:rsid w:val="008A7CDC"/>
    <w:rsid w:val="008B14FC"/>
    <w:rsid w:val="008C006C"/>
    <w:rsid w:val="008C1FA8"/>
    <w:rsid w:val="008C5272"/>
    <w:rsid w:val="008C70A1"/>
    <w:rsid w:val="008C7DBA"/>
    <w:rsid w:val="008D1331"/>
    <w:rsid w:val="008D138C"/>
    <w:rsid w:val="008D2A73"/>
    <w:rsid w:val="008D581B"/>
    <w:rsid w:val="008D59A1"/>
    <w:rsid w:val="008D5F41"/>
    <w:rsid w:val="008E2FE5"/>
    <w:rsid w:val="008E5129"/>
    <w:rsid w:val="008E6F7D"/>
    <w:rsid w:val="008F0ADB"/>
    <w:rsid w:val="008F0EC0"/>
    <w:rsid w:val="008F21CF"/>
    <w:rsid w:val="008F6F24"/>
    <w:rsid w:val="00904577"/>
    <w:rsid w:val="00904EBC"/>
    <w:rsid w:val="009059B1"/>
    <w:rsid w:val="0090798B"/>
    <w:rsid w:val="00911332"/>
    <w:rsid w:val="00912C16"/>
    <w:rsid w:val="00916E54"/>
    <w:rsid w:val="00917C0C"/>
    <w:rsid w:val="00920C4D"/>
    <w:rsid w:val="009221C3"/>
    <w:rsid w:val="00923A38"/>
    <w:rsid w:val="00924D04"/>
    <w:rsid w:val="00925047"/>
    <w:rsid w:val="009251C5"/>
    <w:rsid w:val="0092573C"/>
    <w:rsid w:val="00925930"/>
    <w:rsid w:val="009272BE"/>
    <w:rsid w:val="00931CF7"/>
    <w:rsid w:val="009326CA"/>
    <w:rsid w:val="00933404"/>
    <w:rsid w:val="00934701"/>
    <w:rsid w:val="009351DE"/>
    <w:rsid w:val="0093575A"/>
    <w:rsid w:val="00936261"/>
    <w:rsid w:val="0093710A"/>
    <w:rsid w:val="0093748E"/>
    <w:rsid w:val="00937C59"/>
    <w:rsid w:val="00940882"/>
    <w:rsid w:val="00940FB0"/>
    <w:rsid w:val="00941643"/>
    <w:rsid w:val="009436E4"/>
    <w:rsid w:val="0094602A"/>
    <w:rsid w:val="00946C55"/>
    <w:rsid w:val="00950188"/>
    <w:rsid w:val="009510E6"/>
    <w:rsid w:val="00955129"/>
    <w:rsid w:val="00956465"/>
    <w:rsid w:val="009623F6"/>
    <w:rsid w:val="00963CF9"/>
    <w:rsid w:val="0096710A"/>
    <w:rsid w:val="0097229D"/>
    <w:rsid w:val="009730A7"/>
    <w:rsid w:val="00973B30"/>
    <w:rsid w:val="00974B82"/>
    <w:rsid w:val="00974FDB"/>
    <w:rsid w:val="00976BFE"/>
    <w:rsid w:val="00981300"/>
    <w:rsid w:val="00984E39"/>
    <w:rsid w:val="00990A52"/>
    <w:rsid w:val="00992ED7"/>
    <w:rsid w:val="009937ED"/>
    <w:rsid w:val="00993E85"/>
    <w:rsid w:val="0099400D"/>
    <w:rsid w:val="00994D9F"/>
    <w:rsid w:val="00995B8A"/>
    <w:rsid w:val="00995EFD"/>
    <w:rsid w:val="009970E8"/>
    <w:rsid w:val="009A0D0B"/>
    <w:rsid w:val="009A189C"/>
    <w:rsid w:val="009A5D04"/>
    <w:rsid w:val="009B2F5D"/>
    <w:rsid w:val="009B42BE"/>
    <w:rsid w:val="009B4B36"/>
    <w:rsid w:val="009B4B51"/>
    <w:rsid w:val="009B522E"/>
    <w:rsid w:val="009B654F"/>
    <w:rsid w:val="009B7794"/>
    <w:rsid w:val="009B7F45"/>
    <w:rsid w:val="009C0796"/>
    <w:rsid w:val="009C3AA2"/>
    <w:rsid w:val="009C464F"/>
    <w:rsid w:val="009C4BB9"/>
    <w:rsid w:val="009C6DF2"/>
    <w:rsid w:val="009C7219"/>
    <w:rsid w:val="009D05B8"/>
    <w:rsid w:val="009D0F37"/>
    <w:rsid w:val="009D7526"/>
    <w:rsid w:val="009D7763"/>
    <w:rsid w:val="009D7EEC"/>
    <w:rsid w:val="009E0688"/>
    <w:rsid w:val="009E2B94"/>
    <w:rsid w:val="009E36B1"/>
    <w:rsid w:val="009E6471"/>
    <w:rsid w:val="009F1456"/>
    <w:rsid w:val="009F2B6D"/>
    <w:rsid w:val="009F7220"/>
    <w:rsid w:val="00A0310F"/>
    <w:rsid w:val="00A042A6"/>
    <w:rsid w:val="00A045E9"/>
    <w:rsid w:val="00A047C4"/>
    <w:rsid w:val="00A04BFF"/>
    <w:rsid w:val="00A0688C"/>
    <w:rsid w:val="00A06EFD"/>
    <w:rsid w:val="00A07281"/>
    <w:rsid w:val="00A074F9"/>
    <w:rsid w:val="00A1007E"/>
    <w:rsid w:val="00A102E4"/>
    <w:rsid w:val="00A10B1E"/>
    <w:rsid w:val="00A10F2F"/>
    <w:rsid w:val="00A13A42"/>
    <w:rsid w:val="00A148E8"/>
    <w:rsid w:val="00A176F3"/>
    <w:rsid w:val="00A178B1"/>
    <w:rsid w:val="00A20B06"/>
    <w:rsid w:val="00A20B08"/>
    <w:rsid w:val="00A21D41"/>
    <w:rsid w:val="00A23630"/>
    <w:rsid w:val="00A243DB"/>
    <w:rsid w:val="00A24B01"/>
    <w:rsid w:val="00A24E49"/>
    <w:rsid w:val="00A253B0"/>
    <w:rsid w:val="00A2592A"/>
    <w:rsid w:val="00A26449"/>
    <w:rsid w:val="00A26891"/>
    <w:rsid w:val="00A302F6"/>
    <w:rsid w:val="00A30796"/>
    <w:rsid w:val="00A317D9"/>
    <w:rsid w:val="00A329CF"/>
    <w:rsid w:val="00A370F1"/>
    <w:rsid w:val="00A37913"/>
    <w:rsid w:val="00A37A6B"/>
    <w:rsid w:val="00A37D72"/>
    <w:rsid w:val="00A43302"/>
    <w:rsid w:val="00A50D57"/>
    <w:rsid w:val="00A50DCB"/>
    <w:rsid w:val="00A516BA"/>
    <w:rsid w:val="00A53B6C"/>
    <w:rsid w:val="00A53F3A"/>
    <w:rsid w:val="00A54885"/>
    <w:rsid w:val="00A5505C"/>
    <w:rsid w:val="00A568A4"/>
    <w:rsid w:val="00A5694B"/>
    <w:rsid w:val="00A57271"/>
    <w:rsid w:val="00A6024F"/>
    <w:rsid w:val="00A6172E"/>
    <w:rsid w:val="00A62057"/>
    <w:rsid w:val="00A62207"/>
    <w:rsid w:val="00A626B7"/>
    <w:rsid w:val="00A62A24"/>
    <w:rsid w:val="00A63639"/>
    <w:rsid w:val="00A63EB4"/>
    <w:rsid w:val="00A645F9"/>
    <w:rsid w:val="00A64F1D"/>
    <w:rsid w:val="00A65036"/>
    <w:rsid w:val="00A6532F"/>
    <w:rsid w:val="00A653E0"/>
    <w:rsid w:val="00A65B2F"/>
    <w:rsid w:val="00A665B9"/>
    <w:rsid w:val="00A670F6"/>
    <w:rsid w:val="00A675C7"/>
    <w:rsid w:val="00A67C71"/>
    <w:rsid w:val="00A700BA"/>
    <w:rsid w:val="00A709A6"/>
    <w:rsid w:val="00A734A4"/>
    <w:rsid w:val="00A745DA"/>
    <w:rsid w:val="00A74855"/>
    <w:rsid w:val="00A77C0E"/>
    <w:rsid w:val="00A77D52"/>
    <w:rsid w:val="00A80EEA"/>
    <w:rsid w:val="00A80FF4"/>
    <w:rsid w:val="00A810E5"/>
    <w:rsid w:val="00A85478"/>
    <w:rsid w:val="00A861CE"/>
    <w:rsid w:val="00A87F18"/>
    <w:rsid w:val="00A9099A"/>
    <w:rsid w:val="00A919C4"/>
    <w:rsid w:val="00A92C7F"/>
    <w:rsid w:val="00A93598"/>
    <w:rsid w:val="00A9390A"/>
    <w:rsid w:val="00A954B3"/>
    <w:rsid w:val="00A96031"/>
    <w:rsid w:val="00A978B0"/>
    <w:rsid w:val="00AA1CC6"/>
    <w:rsid w:val="00AA2EDB"/>
    <w:rsid w:val="00AA40C0"/>
    <w:rsid w:val="00AA5B7E"/>
    <w:rsid w:val="00AA5BA6"/>
    <w:rsid w:val="00AA5E55"/>
    <w:rsid w:val="00AA6105"/>
    <w:rsid w:val="00AB03F2"/>
    <w:rsid w:val="00AB1FD1"/>
    <w:rsid w:val="00AB3B50"/>
    <w:rsid w:val="00AB3D3D"/>
    <w:rsid w:val="00AB7BD4"/>
    <w:rsid w:val="00AC0210"/>
    <w:rsid w:val="00AC1246"/>
    <w:rsid w:val="00AC233E"/>
    <w:rsid w:val="00AD0199"/>
    <w:rsid w:val="00AD03BF"/>
    <w:rsid w:val="00AD0549"/>
    <w:rsid w:val="00AD0677"/>
    <w:rsid w:val="00AD0860"/>
    <w:rsid w:val="00AD0F04"/>
    <w:rsid w:val="00AD1A69"/>
    <w:rsid w:val="00AD2684"/>
    <w:rsid w:val="00AD3D6F"/>
    <w:rsid w:val="00AD68C2"/>
    <w:rsid w:val="00AD74DC"/>
    <w:rsid w:val="00AE3378"/>
    <w:rsid w:val="00AE79A8"/>
    <w:rsid w:val="00AE7B50"/>
    <w:rsid w:val="00AF56EA"/>
    <w:rsid w:val="00AF5F68"/>
    <w:rsid w:val="00B01D76"/>
    <w:rsid w:val="00B02AB5"/>
    <w:rsid w:val="00B0322C"/>
    <w:rsid w:val="00B07ABB"/>
    <w:rsid w:val="00B07FF4"/>
    <w:rsid w:val="00B1020D"/>
    <w:rsid w:val="00B137D0"/>
    <w:rsid w:val="00B14311"/>
    <w:rsid w:val="00B17AC5"/>
    <w:rsid w:val="00B2040D"/>
    <w:rsid w:val="00B20668"/>
    <w:rsid w:val="00B20B50"/>
    <w:rsid w:val="00B217B3"/>
    <w:rsid w:val="00B2627A"/>
    <w:rsid w:val="00B26830"/>
    <w:rsid w:val="00B27D9B"/>
    <w:rsid w:val="00B3119A"/>
    <w:rsid w:val="00B314C5"/>
    <w:rsid w:val="00B32892"/>
    <w:rsid w:val="00B344C7"/>
    <w:rsid w:val="00B34927"/>
    <w:rsid w:val="00B35167"/>
    <w:rsid w:val="00B36F5F"/>
    <w:rsid w:val="00B36F65"/>
    <w:rsid w:val="00B37AAD"/>
    <w:rsid w:val="00B44CCE"/>
    <w:rsid w:val="00B455D7"/>
    <w:rsid w:val="00B46F03"/>
    <w:rsid w:val="00B47EFC"/>
    <w:rsid w:val="00B514A9"/>
    <w:rsid w:val="00B52DC5"/>
    <w:rsid w:val="00B53D7A"/>
    <w:rsid w:val="00B55C6A"/>
    <w:rsid w:val="00B56687"/>
    <w:rsid w:val="00B56BF1"/>
    <w:rsid w:val="00B57560"/>
    <w:rsid w:val="00B608A6"/>
    <w:rsid w:val="00B62BBE"/>
    <w:rsid w:val="00B63C63"/>
    <w:rsid w:val="00B63FA9"/>
    <w:rsid w:val="00B6431E"/>
    <w:rsid w:val="00B64E0E"/>
    <w:rsid w:val="00B669DA"/>
    <w:rsid w:val="00B67B95"/>
    <w:rsid w:val="00B71BCB"/>
    <w:rsid w:val="00B72D6B"/>
    <w:rsid w:val="00B73A94"/>
    <w:rsid w:val="00B73E1F"/>
    <w:rsid w:val="00B74E87"/>
    <w:rsid w:val="00B74F58"/>
    <w:rsid w:val="00B752F5"/>
    <w:rsid w:val="00B753CD"/>
    <w:rsid w:val="00B7591F"/>
    <w:rsid w:val="00B76CDE"/>
    <w:rsid w:val="00B76DB0"/>
    <w:rsid w:val="00B772CB"/>
    <w:rsid w:val="00B81DAA"/>
    <w:rsid w:val="00B878CC"/>
    <w:rsid w:val="00B916F2"/>
    <w:rsid w:val="00B92947"/>
    <w:rsid w:val="00B94506"/>
    <w:rsid w:val="00B9669F"/>
    <w:rsid w:val="00B96FD0"/>
    <w:rsid w:val="00B97536"/>
    <w:rsid w:val="00BA40CB"/>
    <w:rsid w:val="00BA5EFE"/>
    <w:rsid w:val="00BA77F8"/>
    <w:rsid w:val="00BB33C5"/>
    <w:rsid w:val="00BB34C7"/>
    <w:rsid w:val="00BB42C1"/>
    <w:rsid w:val="00BB5C02"/>
    <w:rsid w:val="00BB6143"/>
    <w:rsid w:val="00BB646C"/>
    <w:rsid w:val="00BC3722"/>
    <w:rsid w:val="00BC3DF7"/>
    <w:rsid w:val="00BC44F0"/>
    <w:rsid w:val="00BC568F"/>
    <w:rsid w:val="00BC6901"/>
    <w:rsid w:val="00BC6F66"/>
    <w:rsid w:val="00BC7B0B"/>
    <w:rsid w:val="00BD0FC4"/>
    <w:rsid w:val="00BD431B"/>
    <w:rsid w:val="00BD4C23"/>
    <w:rsid w:val="00BD61A4"/>
    <w:rsid w:val="00BE057E"/>
    <w:rsid w:val="00BE099F"/>
    <w:rsid w:val="00BE0D66"/>
    <w:rsid w:val="00BE227F"/>
    <w:rsid w:val="00BE5C8D"/>
    <w:rsid w:val="00BE6E68"/>
    <w:rsid w:val="00BE74B9"/>
    <w:rsid w:val="00BE7711"/>
    <w:rsid w:val="00BF0605"/>
    <w:rsid w:val="00BF6FC4"/>
    <w:rsid w:val="00BF752C"/>
    <w:rsid w:val="00C01691"/>
    <w:rsid w:val="00C02C91"/>
    <w:rsid w:val="00C06B72"/>
    <w:rsid w:val="00C06B84"/>
    <w:rsid w:val="00C072CE"/>
    <w:rsid w:val="00C07AE1"/>
    <w:rsid w:val="00C12119"/>
    <w:rsid w:val="00C12999"/>
    <w:rsid w:val="00C15F5F"/>
    <w:rsid w:val="00C17A29"/>
    <w:rsid w:val="00C20DF5"/>
    <w:rsid w:val="00C2215F"/>
    <w:rsid w:val="00C224E4"/>
    <w:rsid w:val="00C23662"/>
    <w:rsid w:val="00C24B85"/>
    <w:rsid w:val="00C25A1E"/>
    <w:rsid w:val="00C25A7F"/>
    <w:rsid w:val="00C25DFE"/>
    <w:rsid w:val="00C268D7"/>
    <w:rsid w:val="00C3123E"/>
    <w:rsid w:val="00C31F0E"/>
    <w:rsid w:val="00C33ED6"/>
    <w:rsid w:val="00C370A4"/>
    <w:rsid w:val="00C37844"/>
    <w:rsid w:val="00C40AD7"/>
    <w:rsid w:val="00C40DD9"/>
    <w:rsid w:val="00C43D7C"/>
    <w:rsid w:val="00C45817"/>
    <w:rsid w:val="00C47584"/>
    <w:rsid w:val="00C50D12"/>
    <w:rsid w:val="00C51439"/>
    <w:rsid w:val="00C522BA"/>
    <w:rsid w:val="00C545A0"/>
    <w:rsid w:val="00C55B44"/>
    <w:rsid w:val="00C57157"/>
    <w:rsid w:val="00C6071C"/>
    <w:rsid w:val="00C60F0C"/>
    <w:rsid w:val="00C610E9"/>
    <w:rsid w:val="00C61B18"/>
    <w:rsid w:val="00C6292B"/>
    <w:rsid w:val="00C6440A"/>
    <w:rsid w:val="00C65950"/>
    <w:rsid w:val="00C66E27"/>
    <w:rsid w:val="00C70E4F"/>
    <w:rsid w:val="00C74D2F"/>
    <w:rsid w:val="00C76628"/>
    <w:rsid w:val="00C774AD"/>
    <w:rsid w:val="00C77AD5"/>
    <w:rsid w:val="00C77E1E"/>
    <w:rsid w:val="00C8096A"/>
    <w:rsid w:val="00C81D09"/>
    <w:rsid w:val="00C82A52"/>
    <w:rsid w:val="00C851D7"/>
    <w:rsid w:val="00C85B31"/>
    <w:rsid w:val="00C86303"/>
    <w:rsid w:val="00C87C4E"/>
    <w:rsid w:val="00C90662"/>
    <w:rsid w:val="00C90D5C"/>
    <w:rsid w:val="00C9157D"/>
    <w:rsid w:val="00C929DA"/>
    <w:rsid w:val="00C95B57"/>
    <w:rsid w:val="00CA0075"/>
    <w:rsid w:val="00CA00B0"/>
    <w:rsid w:val="00CA220D"/>
    <w:rsid w:val="00CA26E2"/>
    <w:rsid w:val="00CA3BFA"/>
    <w:rsid w:val="00CA5B8E"/>
    <w:rsid w:val="00CA613C"/>
    <w:rsid w:val="00CA6D29"/>
    <w:rsid w:val="00CA766C"/>
    <w:rsid w:val="00CA7BF7"/>
    <w:rsid w:val="00CA7E00"/>
    <w:rsid w:val="00CB3BEE"/>
    <w:rsid w:val="00CB3FF9"/>
    <w:rsid w:val="00CB4144"/>
    <w:rsid w:val="00CB4E83"/>
    <w:rsid w:val="00CB5376"/>
    <w:rsid w:val="00CB7952"/>
    <w:rsid w:val="00CC0FEC"/>
    <w:rsid w:val="00CC32AD"/>
    <w:rsid w:val="00CC4C64"/>
    <w:rsid w:val="00CC79F2"/>
    <w:rsid w:val="00CD05ED"/>
    <w:rsid w:val="00CD0637"/>
    <w:rsid w:val="00CD1640"/>
    <w:rsid w:val="00CD3865"/>
    <w:rsid w:val="00CD4224"/>
    <w:rsid w:val="00CD5216"/>
    <w:rsid w:val="00CD5EC9"/>
    <w:rsid w:val="00CD67CB"/>
    <w:rsid w:val="00CD6F82"/>
    <w:rsid w:val="00CE0381"/>
    <w:rsid w:val="00CE0F40"/>
    <w:rsid w:val="00CE2CB7"/>
    <w:rsid w:val="00CE40DC"/>
    <w:rsid w:val="00CE4384"/>
    <w:rsid w:val="00CE493B"/>
    <w:rsid w:val="00CE6778"/>
    <w:rsid w:val="00CF12B0"/>
    <w:rsid w:val="00CF56F1"/>
    <w:rsid w:val="00CF7790"/>
    <w:rsid w:val="00D018E2"/>
    <w:rsid w:val="00D02E0E"/>
    <w:rsid w:val="00D06C8D"/>
    <w:rsid w:val="00D07C70"/>
    <w:rsid w:val="00D1013E"/>
    <w:rsid w:val="00D12D11"/>
    <w:rsid w:val="00D13B22"/>
    <w:rsid w:val="00D144A9"/>
    <w:rsid w:val="00D14593"/>
    <w:rsid w:val="00D14A72"/>
    <w:rsid w:val="00D16F53"/>
    <w:rsid w:val="00D21D12"/>
    <w:rsid w:val="00D27D92"/>
    <w:rsid w:val="00D319FA"/>
    <w:rsid w:val="00D33057"/>
    <w:rsid w:val="00D348C9"/>
    <w:rsid w:val="00D35528"/>
    <w:rsid w:val="00D363EC"/>
    <w:rsid w:val="00D36E21"/>
    <w:rsid w:val="00D40F38"/>
    <w:rsid w:val="00D4188D"/>
    <w:rsid w:val="00D41CBF"/>
    <w:rsid w:val="00D41F19"/>
    <w:rsid w:val="00D45EA8"/>
    <w:rsid w:val="00D460A4"/>
    <w:rsid w:val="00D46107"/>
    <w:rsid w:val="00D47190"/>
    <w:rsid w:val="00D5235A"/>
    <w:rsid w:val="00D54ADC"/>
    <w:rsid w:val="00D55ADF"/>
    <w:rsid w:val="00D618A4"/>
    <w:rsid w:val="00D640FA"/>
    <w:rsid w:val="00D64EE6"/>
    <w:rsid w:val="00D66324"/>
    <w:rsid w:val="00D67292"/>
    <w:rsid w:val="00D67DBD"/>
    <w:rsid w:val="00D67FA1"/>
    <w:rsid w:val="00D714C1"/>
    <w:rsid w:val="00D76A78"/>
    <w:rsid w:val="00D81503"/>
    <w:rsid w:val="00D84A13"/>
    <w:rsid w:val="00D8629E"/>
    <w:rsid w:val="00D90429"/>
    <w:rsid w:val="00D915A3"/>
    <w:rsid w:val="00D92C24"/>
    <w:rsid w:val="00D935EF"/>
    <w:rsid w:val="00D94210"/>
    <w:rsid w:val="00D94967"/>
    <w:rsid w:val="00D9637F"/>
    <w:rsid w:val="00D97511"/>
    <w:rsid w:val="00D97848"/>
    <w:rsid w:val="00D97CFE"/>
    <w:rsid w:val="00DA1466"/>
    <w:rsid w:val="00DA542B"/>
    <w:rsid w:val="00DA78E2"/>
    <w:rsid w:val="00DA793F"/>
    <w:rsid w:val="00DB0A81"/>
    <w:rsid w:val="00DB296E"/>
    <w:rsid w:val="00DB2AB2"/>
    <w:rsid w:val="00DB2BF1"/>
    <w:rsid w:val="00DC0FA3"/>
    <w:rsid w:val="00DC15BC"/>
    <w:rsid w:val="00DC2EBD"/>
    <w:rsid w:val="00DC3144"/>
    <w:rsid w:val="00DC3FF2"/>
    <w:rsid w:val="00DC6102"/>
    <w:rsid w:val="00DC6C7A"/>
    <w:rsid w:val="00DC7C22"/>
    <w:rsid w:val="00DD07BB"/>
    <w:rsid w:val="00DD5A4F"/>
    <w:rsid w:val="00DD692B"/>
    <w:rsid w:val="00DE074E"/>
    <w:rsid w:val="00DE143F"/>
    <w:rsid w:val="00DE2061"/>
    <w:rsid w:val="00DE2385"/>
    <w:rsid w:val="00DE2430"/>
    <w:rsid w:val="00DE2AE4"/>
    <w:rsid w:val="00DE4AB4"/>
    <w:rsid w:val="00DE4E44"/>
    <w:rsid w:val="00DE57CE"/>
    <w:rsid w:val="00DE7B53"/>
    <w:rsid w:val="00DF0B02"/>
    <w:rsid w:val="00DF1276"/>
    <w:rsid w:val="00DF1333"/>
    <w:rsid w:val="00DF2399"/>
    <w:rsid w:val="00DF3825"/>
    <w:rsid w:val="00DF3BAC"/>
    <w:rsid w:val="00DF4F6C"/>
    <w:rsid w:val="00DF62AA"/>
    <w:rsid w:val="00DF7837"/>
    <w:rsid w:val="00DF7B26"/>
    <w:rsid w:val="00DF7C60"/>
    <w:rsid w:val="00E004D1"/>
    <w:rsid w:val="00E00B13"/>
    <w:rsid w:val="00E0173B"/>
    <w:rsid w:val="00E01A18"/>
    <w:rsid w:val="00E03981"/>
    <w:rsid w:val="00E039EE"/>
    <w:rsid w:val="00E04C6C"/>
    <w:rsid w:val="00E04E9E"/>
    <w:rsid w:val="00E05B17"/>
    <w:rsid w:val="00E05EBD"/>
    <w:rsid w:val="00E10623"/>
    <w:rsid w:val="00E1069F"/>
    <w:rsid w:val="00E107F5"/>
    <w:rsid w:val="00E117AF"/>
    <w:rsid w:val="00E12997"/>
    <w:rsid w:val="00E173BF"/>
    <w:rsid w:val="00E20539"/>
    <w:rsid w:val="00E2166A"/>
    <w:rsid w:val="00E2288C"/>
    <w:rsid w:val="00E243BB"/>
    <w:rsid w:val="00E25AB7"/>
    <w:rsid w:val="00E26BBD"/>
    <w:rsid w:val="00E34191"/>
    <w:rsid w:val="00E359CC"/>
    <w:rsid w:val="00E44659"/>
    <w:rsid w:val="00E44DEE"/>
    <w:rsid w:val="00E45E58"/>
    <w:rsid w:val="00E46E86"/>
    <w:rsid w:val="00E500A9"/>
    <w:rsid w:val="00E504E5"/>
    <w:rsid w:val="00E54561"/>
    <w:rsid w:val="00E54A20"/>
    <w:rsid w:val="00E55630"/>
    <w:rsid w:val="00E559D2"/>
    <w:rsid w:val="00E56CE6"/>
    <w:rsid w:val="00E57608"/>
    <w:rsid w:val="00E577E5"/>
    <w:rsid w:val="00E579FF"/>
    <w:rsid w:val="00E6098C"/>
    <w:rsid w:val="00E65A35"/>
    <w:rsid w:val="00E65E2B"/>
    <w:rsid w:val="00E70A47"/>
    <w:rsid w:val="00E71FBE"/>
    <w:rsid w:val="00E7260C"/>
    <w:rsid w:val="00E7287C"/>
    <w:rsid w:val="00E746B6"/>
    <w:rsid w:val="00E75854"/>
    <w:rsid w:val="00E76227"/>
    <w:rsid w:val="00E77237"/>
    <w:rsid w:val="00E77742"/>
    <w:rsid w:val="00E812AD"/>
    <w:rsid w:val="00E81B56"/>
    <w:rsid w:val="00E8401B"/>
    <w:rsid w:val="00E86DD2"/>
    <w:rsid w:val="00E875A8"/>
    <w:rsid w:val="00E91335"/>
    <w:rsid w:val="00E92D0C"/>
    <w:rsid w:val="00E93BC0"/>
    <w:rsid w:val="00E93FAA"/>
    <w:rsid w:val="00E94323"/>
    <w:rsid w:val="00E94A66"/>
    <w:rsid w:val="00E9527C"/>
    <w:rsid w:val="00E962D0"/>
    <w:rsid w:val="00E97B10"/>
    <w:rsid w:val="00EA0359"/>
    <w:rsid w:val="00EA08DC"/>
    <w:rsid w:val="00EA1D7A"/>
    <w:rsid w:val="00EA2B68"/>
    <w:rsid w:val="00EA4EBA"/>
    <w:rsid w:val="00EA5464"/>
    <w:rsid w:val="00EA6195"/>
    <w:rsid w:val="00EB0C1F"/>
    <w:rsid w:val="00EB21F9"/>
    <w:rsid w:val="00EB2A59"/>
    <w:rsid w:val="00EB498E"/>
    <w:rsid w:val="00EB565A"/>
    <w:rsid w:val="00EB71C2"/>
    <w:rsid w:val="00EB7988"/>
    <w:rsid w:val="00EC0462"/>
    <w:rsid w:val="00EC0CBB"/>
    <w:rsid w:val="00EC3A11"/>
    <w:rsid w:val="00EC5056"/>
    <w:rsid w:val="00EC5510"/>
    <w:rsid w:val="00EC79BA"/>
    <w:rsid w:val="00ED1881"/>
    <w:rsid w:val="00ED2320"/>
    <w:rsid w:val="00ED370C"/>
    <w:rsid w:val="00ED63DD"/>
    <w:rsid w:val="00EE05BA"/>
    <w:rsid w:val="00EE0CC4"/>
    <w:rsid w:val="00EE1456"/>
    <w:rsid w:val="00EE2EB5"/>
    <w:rsid w:val="00EE2F01"/>
    <w:rsid w:val="00EE32F3"/>
    <w:rsid w:val="00EE3D9F"/>
    <w:rsid w:val="00EE7EDD"/>
    <w:rsid w:val="00EF1459"/>
    <w:rsid w:val="00EF509D"/>
    <w:rsid w:val="00EF514A"/>
    <w:rsid w:val="00EF5C2D"/>
    <w:rsid w:val="00EF5FD1"/>
    <w:rsid w:val="00EF7475"/>
    <w:rsid w:val="00EF79DB"/>
    <w:rsid w:val="00EF7BCC"/>
    <w:rsid w:val="00F00A8B"/>
    <w:rsid w:val="00F03282"/>
    <w:rsid w:val="00F038F2"/>
    <w:rsid w:val="00F05831"/>
    <w:rsid w:val="00F05C2F"/>
    <w:rsid w:val="00F12AF3"/>
    <w:rsid w:val="00F1369F"/>
    <w:rsid w:val="00F146C2"/>
    <w:rsid w:val="00F14E52"/>
    <w:rsid w:val="00F15D0A"/>
    <w:rsid w:val="00F1617A"/>
    <w:rsid w:val="00F202C8"/>
    <w:rsid w:val="00F21FC0"/>
    <w:rsid w:val="00F22A91"/>
    <w:rsid w:val="00F2319E"/>
    <w:rsid w:val="00F250E0"/>
    <w:rsid w:val="00F27336"/>
    <w:rsid w:val="00F304B1"/>
    <w:rsid w:val="00F30DBA"/>
    <w:rsid w:val="00F30E3C"/>
    <w:rsid w:val="00F32B8F"/>
    <w:rsid w:val="00F32C44"/>
    <w:rsid w:val="00F37927"/>
    <w:rsid w:val="00F4005F"/>
    <w:rsid w:val="00F40122"/>
    <w:rsid w:val="00F40550"/>
    <w:rsid w:val="00F407A9"/>
    <w:rsid w:val="00F41CDF"/>
    <w:rsid w:val="00F41DA4"/>
    <w:rsid w:val="00F42597"/>
    <w:rsid w:val="00F444A9"/>
    <w:rsid w:val="00F4644A"/>
    <w:rsid w:val="00F466DB"/>
    <w:rsid w:val="00F4713B"/>
    <w:rsid w:val="00F47C2D"/>
    <w:rsid w:val="00F52234"/>
    <w:rsid w:val="00F526BF"/>
    <w:rsid w:val="00F55A24"/>
    <w:rsid w:val="00F55C12"/>
    <w:rsid w:val="00F57606"/>
    <w:rsid w:val="00F611C5"/>
    <w:rsid w:val="00F6185C"/>
    <w:rsid w:val="00F62401"/>
    <w:rsid w:val="00F62841"/>
    <w:rsid w:val="00F628BE"/>
    <w:rsid w:val="00F6347B"/>
    <w:rsid w:val="00F64EBB"/>
    <w:rsid w:val="00F654AF"/>
    <w:rsid w:val="00F66943"/>
    <w:rsid w:val="00F702D3"/>
    <w:rsid w:val="00F70CC5"/>
    <w:rsid w:val="00F71DDD"/>
    <w:rsid w:val="00F725AC"/>
    <w:rsid w:val="00F73559"/>
    <w:rsid w:val="00F74638"/>
    <w:rsid w:val="00F75627"/>
    <w:rsid w:val="00F763AF"/>
    <w:rsid w:val="00F8044E"/>
    <w:rsid w:val="00F81013"/>
    <w:rsid w:val="00F841B9"/>
    <w:rsid w:val="00F84F4C"/>
    <w:rsid w:val="00F877BA"/>
    <w:rsid w:val="00F9046D"/>
    <w:rsid w:val="00F91FAD"/>
    <w:rsid w:val="00F91FDD"/>
    <w:rsid w:val="00F935AF"/>
    <w:rsid w:val="00F956D9"/>
    <w:rsid w:val="00F95789"/>
    <w:rsid w:val="00F9735F"/>
    <w:rsid w:val="00FA245A"/>
    <w:rsid w:val="00FA4B5F"/>
    <w:rsid w:val="00FA5FE1"/>
    <w:rsid w:val="00FA659C"/>
    <w:rsid w:val="00FA6771"/>
    <w:rsid w:val="00FA7EF9"/>
    <w:rsid w:val="00FB014D"/>
    <w:rsid w:val="00FB1BDF"/>
    <w:rsid w:val="00FB32A9"/>
    <w:rsid w:val="00FB48E0"/>
    <w:rsid w:val="00FB5158"/>
    <w:rsid w:val="00FB5EA6"/>
    <w:rsid w:val="00FC074E"/>
    <w:rsid w:val="00FC1A79"/>
    <w:rsid w:val="00FC206D"/>
    <w:rsid w:val="00FC269E"/>
    <w:rsid w:val="00FC326F"/>
    <w:rsid w:val="00FC6204"/>
    <w:rsid w:val="00FC6F20"/>
    <w:rsid w:val="00FC78BB"/>
    <w:rsid w:val="00FD1AE9"/>
    <w:rsid w:val="00FD1E4C"/>
    <w:rsid w:val="00FD30A6"/>
    <w:rsid w:val="00FD3B22"/>
    <w:rsid w:val="00FD4B94"/>
    <w:rsid w:val="00FD55FF"/>
    <w:rsid w:val="00FD5B5C"/>
    <w:rsid w:val="00FD6170"/>
    <w:rsid w:val="00FD72A1"/>
    <w:rsid w:val="00FD7350"/>
    <w:rsid w:val="00FD74D6"/>
    <w:rsid w:val="00FD7A71"/>
    <w:rsid w:val="00FE325F"/>
    <w:rsid w:val="00FE3D2A"/>
    <w:rsid w:val="00FE5D06"/>
    <w:rsid w:val="00FF06A4"/>
    <w:rsid w:val="00FF19E8"/>
    <w:rsid w:val="00FF2F16"/>
    <w:rsid w:val="00FF39B8"/>
    <w:rsid w:val="00FF5E72"/>
    <w:rsid w:val="00FF66F9"/>
    <w:rsid w:val="00FF6BFD"/>
    <w:rsid w:val="00FF6C61"/>
    <w:rsid w:val="00FF7A46"/>
    <w:rsid w:val="010A0521"/>
    <w:rsid w:val="010E1D64"/>
    <w:rsid w:val="01126A09"/>
    <w:rsid w:val="011D66FE"/>
    <w:rsid w:val="01227D26"/>
    <w:rsid w:val="01252E9A"/>
    <w:rsid w:val="012740E8"/>
    <w:rsid w:val="012E6980"/>
    <w:rsid w:val="01320680"/>
    <w:rsid w:val="01496D8B"/>
    <w:rsid w:val="0154432E"/>
    <w:rsid w:val="01767801"/>
    <w:rsid w:val="018067FB"/>
    <w:rsid w:val="01877B89"/>
    <w:rsid w:val="018C519F"/>
    <w:rsid w:val="018D00CE"/>
    <w:rsid w:val="018E491C"/>
    <w:rsid w:val="01A325EE"/>
    <w:rsid w:val="01A755CD"/>
    <w:rsid w:val="01A9226E"/>
    <w:rsid w:val="01E22B26"/>
    <w:rsid w:val="01ED1709"/>
    <w:rsid w:val="01FA1632"/>
    <w:rsid w:val="01FD42EF"/>
    <w:rsid w:val="020743E5"/>
    <w:rsid w:val="02384186"/>
    <w:rsid w:val="0246410C"/>
    <w:rsid w:val="02481118"/>
    <w:rsid w:val="024E72F1"/>
    <w:rsid w:val="025263E9"/>
    <w:rsid w:val="02683137"/>
    <w:rsid w:val="026929FF"/>
    <w:rsid w:val="027E07F6"/>
    <w:rsid w:val="02820B6E"/>
    <w:rsid w:val="028B4698"/>
    <w:rsid w:val="028F08C5"/>
    <w:rsid w:val="028F09EA"/>
    <w:rsid w:val="0295071D"/>
    <w:rsid w:val="02A84CBA"/>
    <w:rsid w:val="02AD1871"/>
    <w:rsid w:val="02BA73F2"/>
    <w:rsid w:val="02BD670D"/>
    <w:rsid w:val="02D00847"/>
    <w:rsid w:val="02DC58C0"/>
    <w:rsid w:val="0303322F"/>
    <w:rsid w:val="031C3432"/>
    <w:rsid w:val="031E62CB"/>
    <w:rsid w:val="03261624"/>
    <w:rsid w:val="032B09E8"/>
    <w:rsid w:val="032D29B2"/>
    <w:rsid w:val="03420CE4"/>
    <w:rsid w:val="03423340"/>
    <w:rsid w:val="034442F8"/>
    <w:rsid w:val="03451E98"/>
    <w:rsid w:val="034A5312"/>
    <w:rsid w:val="034F2928"/>
    <w:rsid w:val="035F5516"/>
    <w:rsid w:val="03632DDF"/>
    <w:rsid w:val="0364196C"/>
    <w:rsid w:val="03642B10"/>
    <w:rsid w:val="03743E04"/>
    <w:rsid w:val="037A3A1C"/>
    <w:rsid w:val="03800D34"/>
    <w:rsid w:val="03816471"/>
    <w:rsid w:val="038702CD"/>
    <w:rsid w:val="038720C2"/>
    <w:rsid w:val="038B1487"/>
    <w:rsid w:val="03917B7E"/>
    <w:rsid w:val="03981F66"/>
    <w:rsid w:val="03AE2BA4"/>
    <w:rsid w:val="03B56F40"/>
    <w:rsid w:val="03CD67C2"/>
    <w:rsid w:val="03D33559"/>
    <w:rsid w:val="03F40DCB"/>
    <w:rsid w:val="03F57FE7"/>
    <w:rsid w:val="03F82211"/>
    <w:rsid w:val="04025BED"/>
    <w:rsid w:val="041C4282"/>
    <w:rsid w:val="04205D41"/>
    <w:rsid w:val="04245490"/>
    <w:rsid w:val="04246957"/>
    <w:rsid w:val="042D10CF"/>
    <w:rsid w:val="0448388D"/>
    <w:rsid w:val="045D1AA1"/>
    <w:rsid w:val="045F303F"/>
    <w:rsid w:val="04625AF6"/>
    <w:rsid w:val="046C750A"/>
    <w:rsid w:val="04904D36"/>
    <w:rsid w:val="0491498E"/>
    <w:rsid w:val="04990606"/>
    <w:rsid w:val="049D5915"/>
    <w:rsid w:val="049F720D"/>
    <w:rsid w:val="04A96068"/>
    <w:rsid w:val="04B50D00"/>
    <w:rsid w:val="04B867A0"/>
    <w:rsid w:val="04CB69C2"/>
    <w:rsid w:val="04D05484"/>
    <w:rsid w:val="04E40F7E"/>
    <w:rsid w:val="04E67462"/>
    <w:rsid w:val="04E86B91"/>
    <w:rsid w:val="04FF74FC"/>
    <w:rsid w:val="05120B19"/>
    <w:rsid w:val="05177476"/>
    <w:rsid w:val="051849A5"/>
    <w:rsid w:val="053979AC"/>
    <w:rsid w:val="05570BF8"/>
    <w:rsid w:val="055D7A33"/>
    <w:rsid w:val="05647FA6"/>
    <w:rsid w:val="057523EE"/>
    <w:rsid w:val="05900FD6"/>
    <w:rsid w:val="059A19DB"/>
    <w:rsid w:val="05A50F26"/>
    <w:rsid w:val="05A653EA"/>
    <w:rsid w:val="05AB72B1"/>
    <w:rsid w:val="05AC5C98"/>
    <w:rsid w:val="05AD664F"/>
    <w:rsid w:val="05DF05BF"/>
    <w:rsid w:val="05E83D4E"/>
    <w:rsid w:val="0612699F"/>
    <w:rsid w:val="06175254"/>
    <w:rsid w:val="0622402F"/>
    <w:rsid w:val="064222D0"/>
    <w:rsid w:val="06596530"/>
    <w:rsid w:val="065B15E4"/>
    <w:rsid w:val="066E65CE"/>
    <w:rsid w:val="06826B71"/>
    <w:rsid w:val="068715E8"/>
    <w:rsid w:val="068723D9"/>
    <w:rsid w:val="068C3E93"/>
    <w:rsid w:val="068E2642"/>
    <w:rsid w:val="069A65B0"/>
    <w:rsid w:val="069C389F"/>
    <w:rsid w:val="06A10EA1"/>
    <w:rsid w:val="06AC22D9"/>
    <w:rsid w:val="06AE3E0A"/>
    <w:rsid w:val="06C27235"/>
    <w:rsid w:val="06D95A30"/>
    <w:rsid w:val="070326EC"/>
    <w:rsid w:val="07194E1E"/>
    <w:rsid w:val="07375B52"/>
    <w:rsid w:val="07386B02"/>
    <w:rsid w:val="073A7F8A"/>
    <w:rsid w:val="073D633C"/>
    <w:rsid w:val="074E358D"/>
    <w:rsid w:val="07694B0A"/>
    <w:rsid w:val="0777642C"/>
    <w:rsid w:val="07830DF3"/>
    <w:rsid w:val="07971EAD"/>
    <w:rsid w:val="079A5428"/>
    <w:rsid w:val="07B26B71"/>
    <w:rsid w:val="07C42FF4"/>
    <w:rsid w:val="07FD14D3"/>
    <w:rsid w:val="080B5905"/>
    <w:rsid w:val="080D11E0"/>
    <w:rsid w:val="08145F07"/>
    <w:rsid w:val="083271DB"/>
    <w:rsid w:val="083B3DBC"/>
    <w:rsid w:val="083E690C"/>
    <w:rsid w:val="084072BF"/>
    <w:rsid w:val="08444A26"/>
    <w:rsid w:val="08585DDB"/>
    <w:rsid w:val="085D5AE7"/>
    <w:rsid w:val="086F2416"/>
    <w:rsid w:val="086F5E7C"/>
    <w:rsid w:val="08777BCA"/>
    <w:rsid w:val="088C017B"/>
    <w:rsid w:val="08981B54"/>
    <w:rsid w:val="089B6A9B"/>
    <w:rsid w:val="089D5EE4"/>
    <w:rsid w:val="08A00A2D"/>
    <w:rsid w:val="08C47661"/>
    <w:rsid w:val="08C6283B"/>
    <w:rsid w:val="08D12045"/>
    <w:rsid w:val="08DA7CE2"/>
    <w:rsid w:val="08E004A3"/>
    <w:rsid w:val="08E4124A"/>
    <w:rsid w:val="08EB0DEC"/>
    <w:rsid w:val="08F67D80"/>
    <w:rsid w:val="09026C51"/>
    <w:rsid w:val="09060E4B"/>
    <w:rsid w:val="09203B00"/>
    <w:rsid w:val="092A04DD"/>
    <w:rsid w:val="09385C0D"/>
    <w:rsid w:val="09410F2D"/>
    <w:rsid w:val="09644C54"/>
    <w:rsid w:val="098B2E89"/>
    <w:rsid w:val="098B70A4"/>
    <w:rsid w:val="09A6701A"/>
    <w:rsid w:val="09AD0C13"/>
    <w:rsid w:val="09C25968"/>
    <w:rsid w:val="09C70ED3"/>
    <w:rsid w:val="09EB1313"/>
    <w:rsid w:val="09F93BDF"/>
    <w:rsid w:val="0A026946"/>
    <w:rsid w:val="0A261F09"/>
    <w:rsid w:val="0A297E31"/>
    <w:rsid w:val="0A3A1A92"/>
    <w:rsid w:val="0A49484B"/>
    <w:rsid w:val="0A4D12EA"/>
    <w:rsid w:val="0A4F1F43"/>
    <w:rsid w:val="0A514815"/>
    <w:rsid w:val="0A5254C4"/>
    <w:rsid w:val="0A5416DA"/>
    <w:rsid w:val="0A652532"/>
    <w:rsid w:val="0A720AB9"/>
    <w:rsid w:val="0A854E82"/>
    <w:rsid w:val="0A8E5874"/>
    <w:rsid w:val="0AA026E7"/>
    <w:rsid w:val="0AA12680"/>
    <w:rsid w:val="0AAE114A"/>
    <w:rsid w:val="0AB851C3"/>
    <w:rsid w:val="0ABD0ABF"/>
    <w:rsid w:val="0AC443A5"/>
    <w:rsid w:val="0AEC4F01"/>
    <w:rsid w:val="0AF02C43"/>
    <w:rsid w:val="0B077AD9"/>
    <w:rsid w:val="0B26497D"/>
    <w:rsid w:val="0B297402"/>
    <w:rsid w:val="0B2B10F8"/>
    <w:rsid w:val="0B2F51A2"/>
    <w:rsid w:val="0B3B7E5A"/>
    <w:rsid w:val="0B41524D"/>
    <w:rsid w:val="0B5A00BC"/>
    <w:rsid w:val="0B6B6997"/>
    <w:rsid w:val="0B6D5DF9"/>
    <w:rsid w:val="0B7078E0"/>
    <w:rsid w:val="0B7762E3"/>
    <w:rsid w:val="0B836030"/>
    <w:rsid w:val="0B863651"/>
    <w:rsid w:val="0B9970DB"/>
    <w:rsid w:val="0B9B11F3"/>
    <w:rsid w:val="0B9F1C6E"/>
    <w:rsid w:val="0BC02676"/>
    <w:rsid w:val="0BD073BF"/>
    <w:rsid w:val="0BD240F7"/>
    <w:rsid w:val="0BEF774B"/>
    <w:rsid w:val="0BF159C1"/>
    <w:rsid w:val="0BF64289"/>
    <w:rsid w:val="0BFB1443"/>
    <w:rsid w:val="0BFF0FD7"/>
    <w:rsid w:val="0C0149DC"/>
    <w:rsid w:val="0C0D512F"/>
    <w:rsid w:val="0C154870"/>
    <w:rsid w:val="0C2F1AB7"/>
    <w:rsid w:val="0C390587"/>
    <w:rsid w:val="0C464F2F"/>
    <w:rsid w:val="0C526FE5"/>
    <w:rsid w:val="0C5276BD"/>
    <w:rsid w:val="0C7E427E"/>
    <w:rsid w:val="0C8773CF"/>
    <w:rsid w:val="0C952C12"/>
    <w:rsid w:val="0C993258"/>
    <w:rsid w:val="0C9C29A0"/>
    <w:rsid w:val="0C9C44AE"/>
    <w:rsid w:val="0C9E2F01"/>
    <w:rsid w:val="0CA77331"/>
    <w:rsid w:val="0CBF451F"/>
    <w:rsid w:val="0CD45A1D"/>
    <w:rsid w:val="0CE271A4"/>
    <w:rsid w:val="0CE51A76"/>
    <w:rsid w:val="0CFC6E0E"/>
    <w:rsid w:val="0D044784"/>
    <w:rsid w:val="0D0D7861"/>
    <w:rsid w:val="0D1A118E"/>
    <w:rsid w:val="0D22141A"/>
    <w:rsid w:val="0D232A61"/>
    <w:rsid w:val="0D2A1D10"/>
    <w:rsid w:val="0D322864"/>
    <w:rsid w:val="0D3B4DB1"/>
    <w:rsid w:val="0D3D1A44"/>
    <w:rsid w:val="0D540B8E"/>
    <w:rsid w:val="0D5F7C0C"/>
    <w:rsid w:val="0D6020BB"/>
    <w:rsid w:val="0D6923EB"/>
    <w:rsid w:val="0D696CDD"/>
    <w:rsid w:val="0D6B6A58"/>
    <w:rsid w:val="0D8A6B28"/>
    <w:rsid w:val="0D927FE1"/>
    <w:rsid w:val="0DA83984"/>
    <w:rsid w:val="0DB14C7A"/>
    <w:rsid w:val="0DDD6922"/>
    <w:rsid w:val="0DF447F8"/>
    <w:rsid w:val="0E035D31"/>
    <w:rsid w:val="0E176739"/>
    <w:rsid w:val="0E1A11B2"/>
    <w:rsid w:val="0E1B1632"/>
    <w:rsid w:val="0E214EC1"/>
    <w:rsid w:val="0E462B7A"/>
    <w:rsid w:val="0E4C7694"/>
    <w:rsid w:val="0E5344E4"/>
    <w:rsid w:val="0E7D2A40"/>
    <w:rsid w:val="0E8B04F4"/>
    <w:rsid w:val="0E93727A"/>
    <w:rsid w:val="0EA5123D"/>
    <w:rsid w:val="0EC1654B"/>
    <w:rsid w:val="0EC52235"/>
    <w:rsid w:val="0ED71A24"/>
    <w:rsid w:val="0EE04D7C"/>
    <w:rsid w:val="0EE07E79"/>
    <w:rsid w:val="0EFD117C"/>
    <w:rsid w:val="0F044DDC"/>
    <w:rsid w:val="0F0A005D"/>
    <w:rsid w:val="0F10423B"/>
    <w:rsid w:val="0F3C0EA4"/>
    <w:rsid w:val="0F483596"/>
    <w:rsid w:val="0F773803"/>
    <w:rsid w:val="0F9A34C4"/>
    <w:rsid w:val="0F9A55A3"/>
    <w:rsid w:val="0F9A6950"/>
    <w:rsid w:val="0FAE2E4D"/>
    <w:rsid w:val="0FB62AB6"/>
    <w:rsid w:val="0FB911DA"/>
    <w:rsid w:val="0FCB77DB"/>
    <w:rsid w:val="0FDC7357"/>
    <w:rsid w:val="0FF02D9D"/>
    <w:rsid w:val="1003503E"/>
    <w:rsid w:val="10180F34"/>
    <w:rsid w:val="10250D12"/>
    <w:rsid w:val="102D0151"/>
    <w:rsid w:val="1038490F"/>
    <w:rsid w:val="10417A9D"/>
    <w:rsid w:val="104355C3"/>
    <w:rsid w:val="104541BD"/>
    <w:rsid w:val="106D2640"/>
    <w:rsid w:val="108856CC"/>
    <w:rsid w:val="10953B7F"/>
    <w:rsid w:val="10A32505"/>
    <w:rsid w:val="10C02049"/>
    <w:rsid w:val="10D17073"/>
    <w:rsid w:val="10D34D42"/>
    <w:rsid w:val="10D93289"/>
    <w:rsid w:val="10D93DD7"/>
    <w:rsid w:val="10DE0434"/>
    <w:rsid w:val="10E431EE"/>
    <w:rsid w:val="10F46BA2"/>
    <w:rsid w:val="10F92125"/>
    <w:rsid w:val="10FB0F2E"/>
    <w:rsid w:val="11023A9D"/>
    <w:rsid w:val="110C1E59"/>
    <w:rsid w:val="110E5A42"/>
    <w:rsid w:val="11146D91"/>
    <w:rsid w:val="112A6087"/>
    <w:rsid w:val="11355F72"/>
    <w:rsid w:val="113D550E"/>
    <w:rsid w:val="114268BF"/>
    <w:rsid w:val="114967B6"/>
    <w:rsid w:val="114B271D"/>
    <w:rsid w:val="114E1DCD"/>
    <w:rsid w:val="115A0E16"/>
    <w:rsid w:val="116E2831"/>
    <w:rsid w:val="118309E2"/>
    <w:rsid w:val="11895257"/>
    <w:rsid w:val="119038D4"/>
    <w:rsid w:val="11AB3E0C"/>
    <w:rsid w:val="11BD017E"/>
    <w:rsid w:val="11DF4D6D"/>
    <w:rsid w:val="11E44B84"/>
    <w:rsid w:val="12065EBB"/>
    <w:rsid w:val="120C5DA0"/>
    <w:rsid w:val="123478B9"/>
    <w:rsid w:val="12354769"/>
    <w:rsid w:val="123E75E7"/>
    <w:rsid w:val="12843C71"/>
    <w:rsid w:val="128D0D77"/>
    <w:rsid w:val="12956C7F"/>
    <w:rsid w:val="12AE35D0"/>
    <w:rsid w:val="12B2566E"/>
    <w:rsid w:val="12CA7F84"/>
    <w:rsid w:val="12DD6110"/>
    <w:rsid w:val="12E464D6"/>
    <w:rsid w:val="12F17558"/>
    <w:rsid w:val="12F9640D"/>
    <w:rsid w:val="130605F1"/>
    <w:rsid w:val="13077923"/>
    <w:rsid w:val="13220876"/>
    <w:rsid w:val="13255454"/>
    <w:rsid w:val="13257021"/>
    <w:rsid w:val="13405DEA"/>
    <w:rsid w:val="134126C9"/>
    <w:rsid w:val="13523891"/>
    <w:rsid w:val="13586526"/>
    <w:rsid w:val="1363441C"/>
    <w:rsid w:val="13671708"/>
    <w:rsid w:val="13765CAF"/>
    <w:rsid w:val="1393060F"/>
    <w:rsid w:val="13977B4B"/>
    <w:rsid w:val="13A30FFA"/>
    <w:rsid w:val="13A670CA"/>
    <w:rsid w:val="13C90AEC"/>
    <w:rsid w:val="13CF2011"/>
    <w:rsid w:val="13D1738A"/>
    <w:rsid w:val="13EB6324"/>
    <w:rsid w:val="13FA4C73"/>
    <w:rsid w:val="14074B59"/>
    <w:rsid w:val="140F27BD"/>
    <w:rsid w:val="14151E51"/>
    <w:rsid w:val="1425177F"/>
    <w:rsid w:val="142676D5"/>
    <w:rsid w:val="143516C6"/>
    <w:rsid w:val="143542CC"/>
    <w:rsid w:val="143C6223"/>
    <w:rsid w:val="144D6A3D"/>
    <w:rsid w:val="14702D18"/>
    <w:rsid w:val="1475505D"/>
    <w:rsid w:val="147C10A3"/>
    <w:rsid w:val="14873D29"/>
    <w:rsid w:val="149A2FB0"/>
    <w:rsid w:val="14A04422"/>
    <w:rsid w:val="14AB76E6"/>
    <w:rsid w:val="14BD7016"/>
    <w:rsid w:val="14C85AB2"/>
    <w:rsid w:val="14CA0061"/>
    <w:rsid w:val="14CA70C7"/>
    <w:rsid w:val="14CC2B09"/>
    <w:rsid w:val="14E62E49"/>
    <w:rsid w:val="15207913"/>
    <w:rsid w:val="1535104C"/>
    <w:rsid w:val="153A143E"/>
    <w:rsid w:val="15410D9F"/>
    <w:rsid w:val="154C316C"/>
    <w:rsid w:val="15512491"/>
    <w:rsid w:val="155838BF"/>
    <w:rsid w:val="156C73EB"/>
    <w:rsid w:val="1573694A"/>
    <w:rsid w:val="1574406E"/>
    <w:rsid w:val="157D28CE"/>
    <w:rsid w:val="15A00CD2"/>
    <w:rsid w:val="15A06FBE"/>
    <w:rsid w:val="15A1385E"/>
    <w:rsid w:val="15B8435D"/>
    <w:rsid w:val="15CD71B1"/>
    <w:rsid w:val="15E73170"/>
    <w:rsid w:val="15EF09D0"/>
    <w:rsid w:val="160E2CEE"/>
    <w:rsid w:val="16184DFC"/>
    <w:rsid w:val="162257BF"/>
    <w:rsid w:val="16482628"/>
    <w:rsid w:val="164F5307"/>
    <w:rsid w:val="165B54A3"/>
    <w:rsid w:val="165B5653"/>
    <w:rsid w:val="16645810"/>
    <w:rsid w:val="166962CA"/>
    <w:rsid w:val="167A5AB7"/>
    <w:rsid w:val="169028A6"/>
    <w:rsid w:val="169218CB"/>
    <w:rsid w:val="16922F95"/>
    <w:rsid w:val="169D646A"/>
    <w:rsid w:val="16A8689C"/>
    <w:rsid w:val="16BB283C"/>
    <w:rsid w:val="16BC60CF"/>
    <w:rsid w:val="16C17241"/>
    <w:rsid w:val="16C86E43"/>
    <w:rsid w:val="16CA38DF"/>
    <w:rsid w:val="16CF5B0D"/>
    <w:rsid w:val="16D74CB7"/>
    <w:rsid w:val="16D87A0B"/>
    <w:rsid w:val="16F21119"/>
    <w:rsid w:val="170C2C84"/>
    <w:rsid w:val="17173305"/>
    <w:rsid w:val="171766F3"/>
    <w:rsid w:val="17240096"/>
    <w:rsid w:val="17332EE7"/>
    <w:rsid w:val="17356217"/>
    <w:rsid w:val="17497CDE"/>
    <w:rsid w:val="17503015"/>
    <w:rsid w:val="175355A8"/>
    <w:rsid w:val="17572FBC"/>
    <w:rsid w:val="175D340E"/>
    <w:rsid w:val="176A1687"/>
    <w:rsid w:val="17837512"/>
    <w:rsid w:val="17940C6A"/>
    <w:rsid w:val="17982698"/>
    <w:rsid w:val="17A450A3"/>
    <w:rsid w:val="17A52D08"/>
    <w:rsid w:val="17BB0135"/>
    <w:rsid w:val="17BD6BA6"/>
    <w:rsid w:val="17D411F6"/>
    <w:rsid w:val="17D9680D"/>
    <w:rsid w:val="17DB4333"/>
    <w:rsid w:val="17E15659"/>
    <w:rsid w:val="17ED03BA"/>
    <w:rsid w:val="17F11DA8"/>
    <w:rsid w:val="17F378CF"/>
    <w:rsid w:val="17FD074D"/>
    <w:rsid w:val="182B52BA"/>
    <w:rsid w:val="183E33C8"/>
    <w:rsid w:val="184B3F83"/>
    <w:rsid w:val="184C6FDF"/>
    <w:rsid w:val="18673E19"/>
    <w:rsid w:val="18695DE3"/>
    <w:rsid w:val="18793FA4"/>
    <w:rsid w:val="18821BF5"/>
    <w:rsid w:val="18860743"/>
    <w:rsid w:val="18936BB0"/>
    <w:rsid w:val="189E7DD6"/>
    <w:rsid w:val="189F35B2"/>
    <w:rsid w:val="18A94431"/>
    <w:rsid w:val="18AE1A47"/>
    <w:rsid w:val="18BA4890"/>
    <w:rsid w:val="18BD7EDC"/>
    <w:rsid w:val="18C0446B"/>
    <w:rsid w:val="18C461BF"/>
    <w:rsid w:val="18D57CCC"/>
    <w:rsid w:val="18E80215"/>
    <w:rsid w:val="18ED44F8"/>
    <w:rsid w:val="18F67DB7"/>
    <w:rsid w:val="19001363"/>
    <w:rsid w:val="19143FA0"/>
    <w:rsid w:val="191A70DD"/>
    <w:rsid w:val="191E4E1F"/>
    <w:rsid w:val="19201EF1"/>
    <w:rsid w:val="19362B7B"/>
    <w:rsid w:val="19440E77"/>
    <w:rsid w:val="194E7DB6"/>
    <w:rsid w:val="19640AE1"/>
    <w:rsid w:val="19695232"/>
    <w:rsid w:val="1977008B"/>
    <w:rsid w:val="19822B0F"/>
    <w:rsid w:val="19842560"/>
    <w:rsid w:val="199442B0"/>
    <w:rsid w:val="19A91868"/>
    <w:rsid w:val="19A96CD2"/>
    <w:rsid w:val="19AE379C"/>
    <w:rsid w:val="19C13BEA"/>
    <w:rsid w:val="19CB1FB2"/>
    <w:rsid w:val="19E576EB"/>
    <w:rsid w:val="19F31E08"/>
    <w:rsid w:val="19FF2DD8"/>
    <w:rsid w:val="1A052A0E"/>
    <w:rsid w:val="1A066EE2"/>
    <w:rsid w:val="1A072D67"/>
    <w:rsid w:val="1A075E1D"/>
    <w:rsid w:val="1A0C4C78"/>
    <w:rsid w:val="1A11029A"/>
    <w:rsid w:val="1A225FA9"/>
    <w:rsid w:val="1A2A15A2"/>
    <w:rsid w:val="1A375A36"/>
    <w:rsid w:val="1A414065"/>
    <w:rsid w:val="1A575283"/>
    <w:rsid w:val="1A58180E"/>
    <w:rsid w:val="1A6E6F47"/>
    <w:rsid w:val="1A76412A"/>
    <w:rsid w:val="1A7A6085"/>
    <w:rsid w:val="1A811D29"/>
    <w:rsid w:val="1A837C18"/>
    <w:rsid w:val="1A966B40"/>
    <w:rsid w:val="1A9A5D1C"/>
    <w:rsid w:val="1ABC07FF"/>
    <w:rsid w:val="1AC2573E"/>
    <w:rsid w:val="1ACB1AFF"/>
    <w:rsid w:val="1AD45443"/>
    <w:rsid w:val="1AD559B1"/>
    <w:rsid w:val="1AD96558"/>
    <w:rsid w:val="1ADA3C33"/>
    <w:rsid w:val="1ADF2705"/>
    <w:rsid w:val="1AFA0F74"/>
    <w:rsid w:val="1B0B4F2F"/>
    <w:rsid w:val="1B0E5472"/>
    <w:rsid w:val="1B162997"/>
    <w:rsid w:val="1B3C6F77"/>
    <w:rsid w:val="1B460715"/>
    <w:rsid w:val="1B5409F9"/>
    <w:rsid w:val="1B6513D7"/>
    <w:rsid w:val="1B6C4670"/>
    <w:rsid w:val="1B770817"/>
    <w:rsid w:val="1B771A44"/>
    <w:rsid w:val="1B8D3B96"/>
    <w:rsid w:val="1B8F3DB2"/>
    <w:rsid w:val="1BA97EC5"/>
    <w:rsid w:val="1BAA704C"/>
    <w:rsid w:val="1BB67591"/>
    <w:rsid w:val="1BBD141E"/>
    <w:rsid w:val="1BBD3740"/>
    <w:rsid w:val="1BC560AD"/>
    <w:rsid w:val="1BC6357D"/>
    <w:rsid w:val="1BE7774A"/>
    <w:rsid w:val="1BED502E"/>
    <w:rsid w:val="1C3446CB"/>
    <w:rsid w:val="1C3F5D37"/>
    <w:rsid w:val="1C605BA0"/>
    <w:rsid w:val="1C614ED5"/>
    <w:rsid w:val="1C6B6C0E"/>
    <w:rsid w:val="1C816603"/>
    <w:rsid w:val="1C835903"/>
    <w:rsid w:val="1C864BDA"/>
    <w:rsid w:val="1C9244BA"/>
    <w:rsid w:val="1C9553F8"/>
    <w:rsid w:val="1CA11E31"/>
    <w:rsid w:val="1CB45E82"/>
    <w:rsid w:val="1CC7118F"/>
    <w:rsid w:val="1CD332E3"/>
    <w:rsid w:val="1CE13779"/>
    <w:rsid w:val="1CE43F6D"/>
    <w:rsid w:val="1CE617B0"/>
    <w:rsid w:val="1CFB41EE"/>
    <w:rsid w:val="1CFC66A5"/>
    <w:rsid w:val="1D0468BA"/>
    <w:rsid w:val="1D1B47FF"/>
    <w:rsid w:val="1D1E03D5"/>
    <w:rsid w:val="1D266050"/>
    <w:rsid w:val="1D41732E"/>
    <w:rsid w:val="1D525097"/>
    <w:rsid w:val="1D554B87"/>
    <w:rsid w:val="1D5A6F27"/>
    <w:rsid w:val="1D6E2D4B"/>
    <w:rsid w:val="1D70376F"/>
    <w:rsid w:val="1D70551D"/>
    <w:rsid w:val="1D7962F1"/>
    <w:rsid w:val="1D994A74"/>
    <w:rsid w:val="1DA11B7B"/>
    <w:rsid w:val="1DB43CE0"/>
    <w:rsid w:val="1DB72163"/>
    <w:rsid w:val="1DB72E7F"/>
    <w:rsid w:val="1DBC03EC"/>
    <w:rsid w:val="1DC31AF1"/>
    <w:rsid w:val="1DC46B12"/>
    <w:rsid w:val="1DC55869"/>
    <w:rsid w:val="1DDE37F9"/>
    <w:rsid w:val="1DDE7E4C"/>
    <w:rsid w:val="1DE0470B"/>
    <w:rsid w:val="1DF416FE"/>
    <w:rsid w:val="1DF61EC7"/>
    <w:rsid w:val="1E391DB3"/>
    <w:rsid w:val="1E3A6788"/>
    <w:rsid w:val="1E48649A"/>
    <w:rsid w:val="1E4B75AE"/>
    <w:rsid w:val="1E4D329F"/>
    <w:rsid w:val="1E4E5202"/>
    <w:rsid w:val="1E5904FA"/>
    <w:rsid w:val="1E5C0B9E"/>
    <w:rsid w:val="1E696B3C"/>
    <w:rsid w:val="1E775DA4"/>
    <w:rsid w:val="1E781B77"/>
    <w:rsid w:val="1E7B1CA7"/>
    <w:rsid w:val="1E827BC5"/>
    <w:rsid w:val="1E827F32"/>
    <w:rsid w:val="1E870D71"/>
    <w:rsid w:val="1E881222"/>
    <w:rsid w:val="1E8A0861"/>
    <w:rsid w:val="1E8A0B27"/>
    <w:rsid w:val="1E8C3361"/>
    <w:rsid w:val="1EA41923"/>
    <w:rsid w:val="1EAD1B1C"/>
    <w:rsid w:val="1EAF32E5"/>
    <w:rsid w:val="1EB63404"/>
    <w:rsid w:val="1EC2624D"/>
    <w:rsid w:val="1ED45FF6"/>
    <w:rsid w:val="1ED50531"/>
    <w:rsid w:val="1F026B23"/>
    <w:rsid w:val="1F1D3483"/>
    <w:rsid w:val="1F22518A"/>
    <w:rsid w:val="1F332CA6"/>
    <w:rsid w:val="1F464788"/>
    <w:rsid w:val="1F4F015A"/>
    <w:rsid w:val="1F775289"/>
    <w:rsid w:val="1F7F5EEC"/>
    <w:rsid w:val="1F914E0B"/>
    <w:rsid w:val="1FB738D7"/>
    <w:rsid w:val="1FC2403D"/>
    <w:rsid w:val="1FD004F5"/>
    <w:rsid w:val="1FE81CE3"/>
    <w:rsid w:val="1FEB3581"/>
    <w:rsid w:val="1FED1C87"/>
    <w:rsid w:val="200A398F"/>
    <w:rsid w:val="200A6ECB"/>
    <w:rsid w:val="201442C5"/>
    <w:rsid w:val="201B6441"/>
    <w:rsid w:val="202B731D"/>
    <w:rsid w:val="202C7E22"/>
    <w:rsid w:val="203063AC"/>
    <w:rsid w:val="20370574"/>
    <w:rsid w:val="205A3756"/>
    <w:rsid w:val="207215AC"/>
    <w:rsid w:val="207B4BFE"/>
    <w:rsid w:val="207E7A85"/>
    <w:rsid w:val="208318B0"/>
    <w:rsid w:val="209059F9"/>
    <w:rsid w:val="20A13AD8"/>
    <w:rsid w:val="20C7506D"/>
    <w:rsid w:val="20CC5161"/>
    <w:rsid w:val="20CC6826"/>
    <w:rsid w:val="20D12CA7"/>
    <w:rsid w:val="20EE1616"/>
    <w:rsid w:val="20F00708"/>
    <w:rsid w:val="21000C16"/>
    <w:rsid w:val="21040C2B"/>
    <w:rsid w:val="210531F8"/>
    <w:rsid w:val="21134668"/>
    <w:rsid w:val="21251FFC"/>
    <w:rsid w:val="212A3E25"/>
    <w:rsid w:val="21343793"/>
    <w:rsid w:val="213B1486"/>
    <w:rsid w:val="213B5C8C"/>
    <w:rsid w:val="21546C1E"/>
    <w:rsid w:val="21703D3E"/>
    <w:rsid w:val="21B32160"/>
    <w:rsid w:val="21B63672"/>
    <w:rsid w:val="21D34005"/>
    <w:rsid w:val="21D81213"/>
    <w:rsid w:val="21ED0F3C"/>
    <w:rsid w:val="21EF55AB"/>
    <w:rsid w:val="22431FCC"/>
    <w:rsid w:val="2253486A"/>
    <w:rsid w:val="225C42C2"/>
    <w:rsid w:val="22600D78"/>
    <w:rsid w:val="226969F5"/>
    <w:rsid w:val="22715FC0"/>
    <w:rsid w:val="22742716"/>
    <w:rsid w:val="227C48CD"/>
    <w:rsid w:val="228C2A4A"/>
    <w:rsid w:val="2297354C"/>
    <w:rsid w:val="22977C45"/>
    <w:rsid w:val="22A16179"/>
    <w:rsid w:val="22AA14D2"/>
    <w:rsid w:val="22B46B84"/>
    <w:rsid w:val="22BD4AAE"/>
    <w:rsid w:val="22C41106"/>
    <w:rsid w:val="22C45220"/>
    <w:rsid w:val="22C73D1D"/>
    <w:rsid w:val="22CF718A"/>
    <w:rsid w:val="22D14D5F"/>
    <w:rsid w:val="22E152C9"/>
    <w:rsid w:val="22F664C5"/>
    <w:rsid w:val="23050403"/>
    <w:rsid w:val="231C18F5"/>
    <w:rsid w:val="23206DE1"/>
    <w:rsid w:val="23231D7A"/>
    <w:rsid w:val="23566F63"/>
    <w:rsid w:val="23604F8C"/>
    <w:rsid w:val="236F7B73"/>
    <w:rsid w:val="23810878"/>
    <w:rsid w:val="23854152"/>
    <w:rsid w:val="23955CDE"/>
    <w:rsid w:val="23985DF6"/>
    <w:rsid w:val="23B73EA6"/>
    <w:rsid w:val="23B94103"/>
    <w:rsid w:val="23BA4FAC"/>
    <w:rsid w:val="23D305B4"/>
    <w:rsid w:val="23ED6161"/>
    <w:rsid w:val="23F619D7"/>
    <w:rsid w:val="23F702A0"/>
    <w:rsid w:val="2401536A"/>
    <w:rsid w:val="240771F4"/>
    <w:rsid w:val="240B5D51"/>
    <w:rsid w:val="240F1AAC"/>
    <w:rsid w:val="241016A5"/>
    <w:rsid w:val="24194B61"/>
    <w:rsid w:val="24413EED"/>
    <w:rsid w:val="244E1BDB"/>
    <w:rsid w:val="24507E57"/>
    <w:rsid w:val="24596D0B"/>
    <w:rsid w:val="24683E4B"/>
    <w:rsid w:val="24712BC6"/>
    <w:rsid w:val="248021E9"/>
    <w:rsid w:val="248024EA"/>
    <w:rsid w:val="248A15BB"/>
    <w:rsid w:val="248A5117"/>
    <w:rsid w:val="24A2102A"/>
    <w:rsid w:val="24A87C93"/>
    <w:rsid w:val="24AB2C6C"/>
    <w:rsid w:val="24AC327B"/>
    <w:rsid w:val="24D055DB"/>
    <w:rsid w:val="24DB3BC4"/>
    <w:rsid w:val="24FD1D8D"/>
    <w:rsid w:val="2500362B"/>
    <w:rsid w:val="250749B9"/>
    <w:rsid w:val="25113AA8"/>
    <w:rsid w:val="251F5587"/>
    <w:rsid w:val="25384F9C"/>
    <w:rsid w:val="253B07C9"/>
    <w:rsid w:val="25800A60"/>
    <w:rsid w:val="25827A98"/>
    <w:rsid w:val="258D7FF8"/>
    <w:rsid w:val="259217C9"/>
    <w:rsid w:val="25B03D89"/>
    <w:rsid w:val="25B45F74"/>
    <w:rsid w:val="25C1100C"/>
    <w:rsid w:val="25CC4482"/>
    <w:rsid w:val="25D23219"/>
    <w:rsid w:val="25D2752E"/>
    <w:rsid w:val="25D971A5"/>
    <w:rsid w:val="25DE23FA"/>
    <w:rsid w:val="25E1791D"/>
    <w:rsid w:val="25E425EA"/>
    <w:rsid w:val="2609454D"/>
    <w:rsid w:val="261750D0"/>
    <w:rsid w:val="26222585"/>
    <w:rsid w:val="262245DE"/>
    <w:rsid w:val="263B69FA"/>
    <w:rsid w:val="26426CDF"/>
    <w:rsid w:val="26563DD2"/>
    <w:rsid w:val="26695200"/>
    <w:rsid w:val="267A7455"/>
    <w:rsid w:val="267B3D8A"/>
    <w:rsid w:val="268C4203"/>
    <w:rsid w:val="268D0EEE"/>
    <w:rsid w:val="268D1ABF"/>
    <w:rsid w:val="26BA6EA6"/>
    <w:rsid w:val="26C03072"/>
    <w:rsid w:val="26DB4E04"/>
    <w:rsid w:val="26DE349F"/>
    <w:rsid w:val="26E33696"/>
    <w:rsid w:val="26E56F82"/>
    <w:rsid w:val="26E823DF"/>
    <w:rsid w:val="270B3D9E"/>
    <w:rsid w:val="27206DF6"/>
    <w:rsid w:val="272848EB"/>
    <w:rsid w:val="272C0174"/>
    <w:rsid w:val="272D31A7"/>
    <w:rsid w:val="273A72C8"/>
    <w:rsid w:val="27453D19"/>
    <w:rsid w:val="274A1BAD"/>
    <w:rsid w:val="27653C19"/>
    <w:rsid w:val="27806CA5"/>
    <w:rsid w:val="279731DA"/>
    <w:rsid w:val="27A45CF7"/>
    <w:rsid w:val="27A77E7D"/>
    <w:rsid w:val="27AE5470"/>
    <w:rsid w:val="27B23302"/>
    <w:rsid w:val="27BB5C9F"/>
    <w:rsid w:val="27BF5B24"/>
    <w:rsid w:val="27C80E1E"/>
    <w:rsid w:val="27D8263D"/>
    <w:rsid w:val="27D85032"/>
    <w:rsid w:val="27DA59B3"/>
    <w:rsid w:val="27DC1550"/>
    <w:rsid w:val="27E27909"/>
    <w:rsid w:val="27E3276F"/>
    <w:rsid w:val="27E75A93"/>
    <w:rsid w:val="27F23275"/>
    <w:rsid w:val="280B2F44"/>
    <w:rsid w:val="281A7247"/>
    <w:rsid w:val="28510B97"/>
    <w:rsid w:val="285228C8"/>
    <w:rsid w:val="28536E41"/>
    <w:rsid w:val="28702875"/>
    <w:rsid w:val="287A1946"/>
    <w:rsid w:val="287C56BE"/>
    <w:rsid w:val="287F131A"/>
    <w:rsid w:val="288D1B03"/>
    <w:rsid w:val="288D3F56"/>
    <w:rsid w:val="28A37D33"/>
    <w:rsid w:val="28B1694E"/>
    <w:rsid w:val="28B91854"/>
    <w:rsid w:val="28D4482F"/>
    <w:rsid w:val="28DF7A47"/>
    <w:rsid w:val="290B7B1B"/>
    <w:rsid w:val="291A071D"/>
    <w:rsid w:val="292724D8"/>
    <w:rsid w:val="292A1B70"/>
    <w:rsid w:val="292E536A"/>
    <w:rsid w:val="292E6A81"/>
    <w:rsid w:val="2931631A"/>
    <w:rsid w:val="29345ADD"/>
    <w:rsid w:val="29360DF7"/>
    <w:rsid w:val="293715E5"/>
    <w:rsid w:val="293E4398"/>
    <w:rsid w:val="29400708"/>
    <w:rsid w:val="29430E8F"/>
    <w:rsid w:val="29544DBE"/>
    <w:rsid w:val="295829E8"/>
    <w:rsid w:val="295977AD"/>
    <w:rsid w:val="296223B9"/>
    <w:rsid w:val="29695BC0"/>
    <w:rsid w:val="297242DA"/>
    <w:rsid w:val="2978172D"/>
    <w:rsid w:val="29791191"/>
    <w:rsid w:val="297E507C"/>
    <w:rsid w:val="298B6CE5"/>
    <w:rsid w:val="299D3B3E"/>
    <w:rsid w:val="299F10C3"/>
    <w:rsid w:val="299F1664"/>
    <w:rsid w:val="299F67D1"/>
    <w:rsid w:val="29A1539B"/>
    <w:rsid w:val="29A66F84"/>
    <w:rsid w:val="29A814A5"/>
    <w:rsid w:val="29BD0F96"/>
    <w:rsid w:val="29DB7C1C"/>
    <w:rsid w:val="29DD218D"/>
    <w:rsid w:val="29F16CFD"/>
    <w:rsid w:val="2A1162D7"/>
    <w:rsid w:val="2A287F05"/>
    <w:rsid w:val="2A2A3AC4"/>
    <w:rsid w:val="2A3433A9"/>
    <w:rsid w:val="2A443FBA"/>
    <w:rsid w:val="2A4E2264"/>
    <w:rsid w:val="2A5B478B"/>
    <w:rsid w:val="2A5D56DA"/>
    <w:rsid w:val="2A6308E4"/>
    <w:rsid w:val="2A71059F"/>
    <w:rsid w:val="2A735C2B"/>
    <w:rsid w:val="2A836D8A"/>
    <w:rsid w:val="2AA809EC"/>
    <w:rsid w:val="2AA8279A"/>
    <w:rsid w:val="2AAB2C02"/>
    <w:rsid w:val="2AB70C30"/>
    <w:rsid w:val="2ACD2201"/>
    <w:rsid w:val="2ADA66CC"/>
    <w:rsid w:val="2AE50F58"/>
    <w:rsid w:val="2AE8424A"/>
    <w:rsid w:val="2AEB2687"/>
    <w:rsid w:val="2AFF4738"/>
    <w:rsid w:val="2B162AF1"/>
    <w:rsid w:val="2B3D09B2"/>
    <w:rsid w:val="2B442539"/>
    <w:rsid w:val="2B4E44D8"/>
    <w:rsid w:val="2B520A35"/>
    <w:rsid w:val="2B5F7125"/>
    <w:rsid w:val="2B5F7D93"/>
    <w:rsid w:val="2B7057C0"/>
    <w:rsid w:val="2B7775B1"/>
    <w:rsid w:val="2B9810D6"/>
    <w:rsid w:val="2BA9740E"/>
    <w:rsid w:val="2BE64D82"/>
    <w:rsid w:val="2BFB2D9E"/>
    <w:rsid w:val="2BFC0FF0"/>
    <w:rsid w:val="2BFD6B16"/>
    <w:rsid w:val="2C033760"/>
    <w:rsid w:val="2C063C1D"/>
    <w:rsid w:val="2C0C13EF"/>
    <w:rsid w:val="2C165B72"/>
    <w:rsid w:val="2C3D1F9E"/>
    <w:rsid w:val="2C414C55"/>
    <w:rsid w:val="2C62382A"/>
    <w:rsid w:val="2C7768C8"/>
    <w:rsid w:val="2C9F3729"/>
    <w:rsid w:val="2CA163C3"/>
    <w:rsid w:val="2CA83FD0"/>
    <w:rsid w:val="2CB62436"/>
    <w:rsid w:val="2CBC1DA1"/>
    <w:rsid w:val="2CBF14CE"/>
    <w:rsid w:val="2CDE78DA"/>
    <w:rsid w:val="2CE447DC"/>
    <w:rsid w:val="2CE62B3A"/>
    <w:rsid w:val="2CFC21B6"/>
    <w:rsid w:val="2D0143E4"/>
    <w:rsid w:val="2D016690"/>
    <w:rsid w:val="2D0839C4"/>
    <w:rsid w:val="2D0C77AB"/>
    <w:rsid w:val="2D104627"/>
    <w:rsid w:val="2D112A54"/>
    <w:rsid w:val="2D14783B"/>
    <w:rsid w:val="2D1573FC"/>
    <w:rsid w:val="2D1D179A"/>
    <w:rsid w:val="2D1F65F8"/>
    <w:rsid w:val="2D2518F6"/>
    <w:rsid w:val="2D480265"/>
    <w:rsid w:val="2D4C22B2"/>
    <w:rsid w:val="2D51443D"/>
    <w:rsid w:val="2D586C2F"/>
    <w:rsid w:val="2D770F2D"/>
    <w:rsid w:val="2D796670"/>
    <w:rsid w:val="2D8C17AD"/>
    <w:rsid w:val="2D9B4087"/>
    <w:rsid w:val="2D9B65E7"/>
    <w:rsid w:val="2DA21B44"/>
    <w:rsid w:val="2DE7275E"/>
    <w:rsid w:val="2DF16206"/>
    <w:rsid w:val="2E180AD3"/>
    <w:rsid w:val="2E291CDE"/>
    <w:rsid w:val="2E3F5952"/>
    <w:rsid w:val="2E405D26"/>
    <w:rsid w:val="2E422F06"/>
    <w:rsid w:val="2E45437E"/>
    <w:rsid w:val="2E5903EE"/>
    <w:rsid w:val="2E6C3230"/>
    <w:rsid w:val="2E7010F7"/>
    <w:rsid w:val="2EA8720D"/>
    <w:rsid w:val="2EC851B9"/>
    <w:rsid w:val="2ECC3E9A"/>
    <w:rsid w:val="2ECD465C"/>
    <w:rsid w:val="2ED314DB"/>
    <w:rsid w:val="2ED51684"/>
    <w:rsid w:val="2ED84089"/>
    <w:rsid w:val="2EF7784D"/>
    <w:rsid w:val="2F0075D3"/>
    <w:rsid w:val="2F0106BC"/>
    <w:rsid w:val="2F037EA9"/>
    <w:rsid w:val="2F116970"/>
    <w:rsid w:val="2F1321AD"/>
    <w:rsid w:val="2F175BC0"/>
    <w:rsid w:val="2F3126D5"/>
    <w:rsid w:val="2F65382B"/>
    <w:rsid w:val="2F701FE6"/>
    <w:rsid w:val="2F875074"/>
    <w:rsid w:val="2FA5374C"/>
    <w:rsid w:val="2FB77156"/>
    <w:rsid w:val="2FB83480"/>
    <w:rsid w:val="2FC94464"/>
    <w:rsid w:val="2FCC3878"/>
    <w:rsid w:val="2FD906EF"/>
    <w:rsid w:val="2FF41FDE"/>
    <w:rsid w:val="2FFB0863"/>
    <w:rsid w:val="301D34EE"/>
    <w:rsid w:val="30215F72"/>
    <w:rsid w:val="30232088"/>
    <w:rsid w:val="302A1F56"/>
    <w:rsid w:val="30313D4F"/>
    <w:rsid w:val="303F3036"/>
    <w:rsid w:val="3058256D"/>
    <w:rsid w:val="305D4040"/>
    <w:rsid w:val="306814F8"/>
    <w:rsid w:val="307B44AD"/>
    <w:rsid w:val="307C0198"/>
    <w:rsid w:val="308374AC"/>
    <w:rsid w:val="30911266"/>
    <w:rsid w:val="309203D5"/>
    <w:rsid w:val="30964836"/>
    <w:rsid w:val="30C419B0"/>
    <w:rsid w:val="30C47C02"/>
    <w:rsid w:val="30D75B88"/>
    <w:rsid w:val="30DB5380"/>
    <w:rsid w:val="30E56E28"/>
    <w:rsid w:val="311A3CC6"/>
    <w:rsid w:val="31421A87"/>
    <w:rsid w:val="31496B08"/>
    <w:rsid w:val="3150593A"/>
    <w:rsid w:val="315671B6"/>
    <w:rsid w:val="31853836"/>
    <w:rsid w:val="318807C3"/>
    <w:rsid w:val="31882BFC"/>
    <w:rsid w:val="318850D4"/>
    <w:rsid w:val="318B46FE"/>
    <w:rsid w:val="318F6462"/>
    <w:rsid w:val="31921A0C"/>
    <w:rsid w:val="31A967B5"/>
    <w:rsid w:val="31C003CA"/>
    <w:rsid w:val="31DB4763"/>
    <w:rsid w:val="31EF007A"/>
    <w:rsid w:val="31F02CC4"/>
    <w:rsid w:val="31F44517"/>
    <w:rsid w:val="31F84007"/>
    <w:rsid w:val="32073B1C"/>
    <w:rsid w:val="320D7387"/>
    <w:rsid w:val="32134238"/>
    <w:rsid w:val="32195716"/>
    <w:rsid w:val="322A4E65"/>
    <w:rsid w:val="324223A0"/>
    <w:rsid w:val="324D59C4"/>
    <w:rsid w:val="32537490"/>
    <w:rsid w:val="325416FF"/>
    <w:rsid w:val="3257066A"/>
    <w:rsid w:val="32700BFC"/>
    <w:rsid w:val="329140DA"/>
    <w:rsid w:val="32A12CE8"/>
    <w:rsid w:val="32A777DC"/>
    <w:rsid w:val="32C7361B"/>
    <w:rsid w:val="32D81635"/>
    <w:rsid w:val="32DF3F61"/>
    <w:rsid w:val="32E225C2"/>
    <w:rsid w:val="32E3159F"/>
    <w:rsid w:val="32E4458C"/>
    <w:rsid w:val="32E54963"/>
    <w:rsid w:val="32E764E7"/>
    <w:rsid w:val="32F11BD7"/>
    <w:rsid w:val="330C1077"/>
    <w:rsid w:val="33105381"/>
    <w:rsid w:val="331602C6"/>
    <w:rsid w:val="331A7FAD"/>
    <w:rsid w:val="332A42D8"/>
    <w:rsid w:val="33557238"/>
    <w:rsid w:val="336E3F0E"/>
    <w:rsid w:val="338651D9"/>
    <w:rsid w:val="33AB42BC"/>
    <w:rsid w:val="33AE12F5"/>
    <w:rsid w:val="33AE55E8"/>
    <w:rsid w:val="33B7107F"/>
    <w:rsid w:val="33C543BD"/>
    <w:rsid w:val="33C90453"/>
    <w:rsid w:val="33D00E39"/>
    <w:rsid w:val="33DA5294"/>
    <w:rsid w:val="33F06EE9"/>
    <w:rsid w:val="340842AA"/>
    <w:rsid w:val="340A29A4"/>
    <w:rsid w:val="342917A1"/>
    <w:rsid w:val="3439473C"/>
    <w:rsid w:val="34473024"/>
    <w:rsid w:val="344A6BE7"/>
    <w:rsid w:val="344E7E86"/>
    <w:rsid w:val="34592D57"/>
    <w:rsid w:val="345A695B"/>
    <w:rsid w:val="346534AA"/>
    <w:rsid w:val="34757B91"/>
    <w:rsid w:val="347E7882"/>
    <w:rsid w:val="34B1158C"/>
    <w:rsid w:val="34D66156"/>
    <w:rsid w:val="35154ED0"/>
    <w:rsid w:val="351D4740"/>
    <w:rsid w:val="352119BD"/>
    <w:rsid w:val="352275ED"/>
    <w:rsid w:val="35252D86"/>
    <w:rsid w:val="352944D8"/>
    <w:rsid w:val="352F7B20"/>
    <w:rsid w:val="353510CF"/>
    <w:rsid w:val="35366B0E"/>
    <w:rsid w:val="35416914"/>
    <w:rsid w:val="35463F99"/>
    <w:rsid w:val="356274DF"/>
    <w:rsid w:val="358D22EE"/>
    <w:rsid w:val="358E248D"/>
    <w:rsid w:val="35935DF5"/>
    <w:rsid w:val="35BD126D"/>
    <w:rsid w:val="35CD382E"/>
    <w:rsid w:val="35D62726"/>
    <w:rsid w:val="35DE52C2"/>
    <w:rsid w:val="35E46651"/>
    <w:rsid w:val="36103A89"/>
    <w:rsid w:val="36170C1A"/>
    <w:rsid w:val="361B0994"/>
    <w:rsid w:val="36211653"/>
    <w:rsid w:val="362178A5"/>
    <w:rsid w:val="36292C00"/>
    <w:rsid w:val="36310AAC"/>
    <w:rsid w:val="363D46DF"/>
    <w:rsid w:val="363E65AC"/>
    <w:rsid w:val="36404E48"/>
    <w:rsid w:val="36685F22"/>
    <w:rsid w:val="366C4FC4"/>
    <w:rsid w:val="367E5FBF"/>
    <w:rsid w:val="36867508"/>
    <w:rsid w:val="368C4D1E"/>
    <w:rsid w:val="368E263E"/>
    <w:rsid w:val="369462C9"/>
    <w:rsid w:val="36A24542"/>
    <w:rsid w:val="36B85A54"/>
    <w:rsid w:val="36BA230D"/>
    <w:rsid w:val="36C3270A"/>
    <w:rsid w:val="36D04F83"/>
    <w:rsid w:val="36E27034"/>
    <w:rsid w:val="36EA627A"/>
    <w:rsid w:val="36F079A3"/>
    <w:rsid w:val="36FB00F6"/>
    <w:rsid w:val="36FC4733"/>
    <w:rsid w:val="37171BC3"/>
    <w:rsid w:val="373D68FE"/>
    <w:rsid w:val="37427AD3"/>
    <w:rsid w:val="374721A7"/>
    <w:rsid w:val="37490E61"/>
    <w:rsid w:val="374A3E53"/>
    <w:rsid w:val="37551681"/>
    <w:rsid w:val="37571067"/>
    <w:rsid w:val="37751C56"/>
    <w:rsid w:val="377635A3"/>
    <w:rsid w:val="377C3EF0"/>
    <w:rsid w:val="379320DC"/>
    <w:rsid w:val="379D70E8"/>
    <w:rsid w:val="37A5008F"/>
    <w:rsid w:val="37AB4ED9"/>
    <w:rsid w:val="37B04F8E"/>
    <w:rsid w:val="37B564F7"/>
    <w:rsid w:val="37BF1123"/>
    <w:rsid w:val="37C31036"/>
    <w:rsid w:val="37C93D50"/>
    <w:rsid w:val="381B38BD"/>
    <w:rsid w:val="38213B8C"/>
    <w:rsid w:val="38233460"/>
    <w:rsid w:val="38352FF9"/>
    <w:rsid w:val="383A5C4A"/>
    <w:rsid w:val="38415D25"/>
    <w:rsid w:val="384233F6"/>
    <w:rsid w:val="388877DC"/>
    <w:rsid w:val="388C72BD"/>
    <w:rsid w:val="3891694B"/>
    <w:rsid w:val="38997B4F"/>
    <w:rsid w:val="389A0890"/>
    <w:rsid w:val="389E0D37"/>
    <w:rsid w:val="38A10829"/>
    <w:rsid w:val="38AC5B4C"/>
    <w:rsid w:val="38D138B9"/>
    <w:rsid w:val="38D13C5F"/>
    <w:rsid w:val="38D9288F"/>
    <w:rsid w:val="38FA4F61"/>
    <w:rsid w:val="390F1C37"/>
    <w:rsid w:val="391500DE"/>
    <w:rsid w:val="39176340"/>
    <w:rsid w:val="39182A0E"/>
    <w:rsid w:val="39276833"/>
    <w:rsid w:val="3935096F"/>
    <w:rsid w:val="3935770D"/>
    <w:rsid w:val="3936646F"/>
    <w:rsid w:val="3941583B"/>
    <w:rsid w:val="39447B32"/>
    <w:rsid w:val="394D0B6F"/>
    <w:rsid w:val="39535FF5"/>
    <w:rsid w:val="395A05A6"/>
    <w:rsid w:val="39732D2C"/>
    <w:rsid w:val="39973D4A"/>
    <w:rsid w:val="399E59C6"/>
    <w:rsid w:val="39A028C6"/>
    <w:rsid w:val="39B91D2E"/>
    <w:rsid w:val="39BA62A6"/>
    <w:rsid w:val="39BE44A7"/>
    <w:rsid w:val="39C65CC4"/>
    <w:rsid w:val="39D5676B"/>
    <w:rsid w:val="39D92970"/>
    <w:rsid w:val="39EB4452"/>
    <w:rsid w:val="39EC42CB"/>
    <w:rsid w:val="39FA49D3"/>
    <w:rsid w:val="3A012039"/>
    <w:rsid w:val="3A0606BF"/>
    <w:rsid w:val="3A184B1B"/>
    <w:rsid w:val="3A2622F6"/>
    <w:rsid w:val="3A2955D2"/>
    <w:rsid w:val="3A304FE0"/>
    <w:rsid w:val="3A3D03FD"/>
    <w:rsid w:val="3A4C101C"/>
    <w:rsid w:val="3A536005"/>
    <w:rsid w:val="3A577D39"/>
    <w:rsid w:val="3A766F0B"/>
    <w:rsid w:val="3A8A671A"/>
    <w:rsid w:val="3A907704"/>
    <w:rsid w:val="3A970136"/>
    <w:rsid w:val="3AA7481D"/>
    <w:rsid w:val="3AAB2639"/>
    <w:rsid w:val="3AAC64BB"/>
    <w:rsid w:val="3AB04B9A"/>
    <w:rsid w:val="3AB12509"/>
    <w:rsid w:val="3AC71F69"/>
    <w:rsid w:val="3AC85B65"/>
    <w:rsid w:val="3AD13D7F"/>
    <w:rsid w:val="3AD91D1C"/>
    <w:rsid w:val="3ADB0022"/>
    <w:rsid w:val="3AFD1E46"/>
    <w:rsid w:val="3B212338"/>
    <w:rsid w:val="3B4210B6"/>
    <w:rsid w:val="3B427E99"/>
    <w:rsid w:val="3B54404B"/>
    <w:rsid w:val="3B56296D"/>
    <w:rsid w:val="3B567FF1"/>
    <w:rsid w:val="3B602C1D"/>
    <w:rsid w:val="3B71604E"/>
    <w:rsid w:val="3B8E1085"/>
    <w:rsid w:val="3B9A0A43"/>
    <w:rsid w:val="3B9D5355"/>
    <w:rsid w:val="3BA37269"/>
    <w:rsid w:val="3BB645EB"/>
    <w:rsid w:val="3BB706F0"/>
    <w:rsid w:val="3BB841D6"/>
    <w:rsid w:val="3BDA7340"/>
    <w:rsid w:val="3BDD6A0B"/>
    <w:rsid w:val="3BFB7531"/>
    <w:rsid w:val="3C054E8D"/>
    <w:rsid w:val="3C096E11"/>
    <w:rsid w:val="3C1B153E"/>
    <w:rsid w:val="3C1E0921"/>
    <w:rsid w:val="3C1F3929"/>
    <w:rsid w:val="3C2B4FD9"/>
    <w:rsid w:val="3C3C75E7"/>
    <w:rsid w:val="3C4816E7"/>
    <w:rsid w:val="3C631DE3"/>
    <w:rsid w:val="3C7F6C4E"/>
    <w:rsid w:val="3C8A268B"/>
    <w:rsid w:val="3C913DA7"/>
    <w:rsid w:val="3C956426"/>
    <w:rsid w:val="3C9C4838"/>
    <w:rsid w:val="3CB461C4"/>
    <w:rsid w:val="3CB778D5"/>
    <w:rsid w:val="3CD64F45"/>
    <w:rsid w:val="3CDA396C"/>
    <w:rsid w:val="3CFB7A17"/>
    <w:rsid w:val="3D05582A"/>
    <w:rsid w:val="3D1073BD"/>
    <w:rsid w:val="3D2B61A5"/>
    <w:rsid w:val="3D2F5C77"/>
    <w:rsid w:val="3D4445A5"/>
    <w:rsid w:val="3D4A5224"/>
    <w:rsid w:val="3D4C7FE7"/>
    <w:rsid w:val="3D4D72CB"/>
    <w:rsid w:val="3D510BFC"/>
    <w:rsid w:val="3D534738"/>
    <w:rsid w:val="3D554765"/>
    <w:rsid w:val="3D632551"/>
    <w:rsid w:val="3D6A4C1C"/>
    <w:rsid w:val="3D7D1865"/>
    <w:rsid w:val="3D7F55DD"/>
    <w:rsid w:val="3D8C5929"/>
    <w:rsid w:val="3DAB4624"/>
    <w:rsid w:val="3DBA11DB"/>
    <w:rsid w:val="3DBE18C5"/>
    <w:rsid w:val="3DBF6452"/>
    <w:rsid w:val="3DC4381F"/>
    <w:rsid w:val="3DD43616"/>
    <w:rsid w:val="3DD94F94"/>
    <w:rsid w:val="3DD97028"/>
    <w:rsid w:val="3DE54865"/>
    <w:rsid w:val="3DEC2051"/>
    <w:rsid w:val="3DF6688C"/>
    <w:rsid w:val="3DF80E88"/>
    <w:rsid w:val="3DFE3AA2"/>
    <w:rsid w:val="3E0610AE"/>
    <w:rsid w:val="3E094BAE"/>
    <w:rsid w:val="3E133F77"/>
    <w:rsid w:val="3E153194"/>
    <w:rsid w:val="3E227D96"/>
    <w:rsid w:val="3E374E7B"/>
    <w:rsid w:val="3E3F4D6C"/>
    <w:rsid w:val="3E506E3C"/>
    <w:rsid w:val="3E5A29D9"/>
    <w:rsid w:val="3E60514F"/>
    <w:rsid w:val="3E7B1AE9"/>
    <w:rsid w:val="3E806BB4"/>
    <w:rsid w:val="3E8879DA"/>
    <w:rsid w:val="3EA26FA5"/>
    <w:rsid w:val="3EA427EF"/>
    <w:rsid w:val="3EC27CCF"/>
    <w:rsid w:val="3EC62D97"/>
    <w:rsid w:val="3ECF07A5"/>
    <w:rsid w:val="3ED602AD"/>
    <w:rsid w:val="3EDB7FC3"/>
    <w:rsid w:val="3EFA3896"/>
    <w:rsid w:val="3F1020F9"/>
    <w:rsid w:val="3F177551"/>
    <w:rsid w:val="3F183805"/>
    <w:rsid w:val="3F567517"/>
    <w:rsid w:val="3F584337"/>
    <w:rsid w:val="3F60143E"/>
    <w:rsid w:val="3F680498"/>
    <w:rsid w:val="3F7C5679"/>
    <w:rsid w:val="3F854456"/>
    <w:rsid w:val="3F88629F"/>
    <w:rsid w:val="3F8B424E"/>
    <w:rsid w:val="3F910F36"/>
    <w:rsid w:val="3FA7706D"/>
    <w:rsid w:val="3FC84686"/>
    <w:rsid w:val="3FC9475C"/>
    <w:rsid w:val="3FD91DCF"/>
    <w:rsid w:val="3FDF76DA"/>
    <w:rsid w:val="3FE648D3"/>
    <w:rsid w:val="3FE931E1"/>
    <w:rsid w:val="3FEE576B"/>
    <w:rsid w:val="3FF17500"/>
    <w:rsid w:val="4006574C"/>
    <w:rsid w:val="40102722"/>
    <w:rsid w:val="401364B0"/>
    <w:rsid w:val="40185875"/>
    <w:rsid w:val="40200B9E"/>
    <w:rsid w:val="40237A8B"/>
    <w:rsid w:val="402C30CE"/>
    <w:rsid w:val="40345FD3"/>
    <w:rsid w:val="40416B7A"/>
    <w:rsid w:val="40506822"/>
    <w:rsid w:val="40532D51"/>
    <w:rsid w:val="4068278D"/>
    <w:rsid w:val="406F6A9B"/>
    <w:rsid w:val="406F743C"/>
    <w:rsid w:val="407003CE"/>
    <w:rsid w:val="407A208B"/>
    <w:rsid w:val="409D5D7A"/>
    <w:rsid w:val="409F2631"/>
    <w:rsid w:val="40A61B7F"/>
    <w:rsid w:val="40C562D3"/>
    <w:rsid w:val="40CC2B79"/>
    <w:rsid w:val="40E635E7"/>
    <w:rsid w:val="40E764AD"/>
    <w:rsid w:val="40F064C1"/>
    <w:rsid w:val="411C75E7"/>
    <w:rsid w:val="41255FD6"/>
    <w:rsid w:val="412A20B8"/>
    <w:rsid w:val="412F1748"/>
    <w:rsid w:val="41352EB1"/>
    <w:rsid w:val="413E11C9"/>
    <w:rsid w:val="414D66B9"/>
    <w:rsid w:val="41550306"/>
    <w:rsid w:val="41593C10"/>
    <w:rsid w:val="419F7CD8"/>
    <w:rsid w:val="41AD5FCD"/>
    <w:rsid w:val="41C04416"/>
    <w:rsid w:val="41C50675"/>
    <w:rsid w:val="41E2613A"/>
    <w:rsid w:val="41EC7CD9"/>
    <w:rsid w:val="420B0515"/>
    <w:rsid w:val="420C0805"/>
    <w:rsid w:val="420E7E57"/>
    <w:rsid w:val="42116A20"/>
    <w:rsid w:val="42134546"/>
    <w:rsid w:val="42164036"/>
    <w:rsid w:val="424D3EFC"/>
    <w:rsid w:val="425662E5"/>
    <w:rsid w:val="425A319C"/>
    <w:rsid w:val="4267663F"/>
    <w:rsid w:val="426B25D4"/>
    <w:rsid w:val="42825306"/>
    <w:rsid w:val="4292190E"/>
    <w:rsid w:val="429338D8"/>
    <w:rsid w:val="4296401C"/>
    <w:rsid w:val="429838CE"/>
    <w:rsid w:val="429B15D2"/>
    <w:rsid w:val="429D2065"/>
    <w:rsid w:val="42A85471"/>
    <w:rsid w:val="42AE0712"/>
    <w:rsid w:val="42D76512"/>
    <w:rsid w:val="42D77C69"/>
    <w:rsid w:val="42DD70D1"/>
    <w:rsid w:val="42EE0B0F"/>
    <w:rsid w:val="42F04887"/>
    <w:rsid w:val="42F11A6C"/>
    <w:rsid w:val="431A019C"/>
    <w:rsid w:val="431D1053"/>
    <w:rsid w:val="431E13F4"/>
    <w:rsid w:val="43291B47"/>
    <w:rsid w:val="4335673E"/>
    <w:rsid w:val="4338647E"/>
    <w:rsid w:val="433B0DB6"/>
    <w:rsid w:val="43450488"/>
    <w:rsid w:val="434B17FA"/>
    <w:rsid w:val="437A0EB8"/>
    <w:rsid w:val="43805C8A"/>
    <w:rsid w:val="438576C5"/>
    <w:rsid w:val="43A56409"/>
    <w:rsid w:val="43A63197"/>
    <w:rsid w:val="43A75EEF"/>
    <w:rsid w:val="43AD4526"/>
    <w:rsid w:val="43AE09F3"/>
    <w:rsid w:val="43B458B4"/>
    <w:rsid w:val="43B94756"/>
    <w:rsid w:val="43CA597D"/>
    <w:rsid w:val="43D45F57"/>
    <w:rsid w:val="43DC20F4"/>
    <w:rsid w:val="43F3462F"/>
    <w:rsid w:val="442758B7"/>
    <w:rsid w:val="443A0242"/>
    <w:rsid w:val="443E35E3"/>
    <w:rsid w:val="44446C38"/>
    <w:rsid w:val="44472BCC"/>
    <w:rsid w:val="444857B3"/>
    <w:rsid w:val="44625877"/>
    <w:rsid w:val="448207EC"/>
    <w:rsid w:val="44842941"/>
    <w:rsid w:val="44867251"/>
    <w:rsid w:val="44960797"/>
    <w:rsid w:val="44A83141"/>
    <w:rsid w:val="44C72E8F"/>
    <w:rsid w:val="44D40880"/>
    <w:rsid w:val="44E623E5"/>
    <w:rsid w:val="44F83B06"/>
    <w:rsid w:val="450B1C91"/>
    <w:rsid w:val="450D7972"/>
    <w:rsid w:val="4517259F"/>
    <w:rsid w:val="45256CD1"/>
    <w:rsid w:val="452A7138"/>
    <w:rsid w:val="452C658A"/>
    <w:rsid w:val="45592CE6"/>
    <w:rsid w:val="455D312F"/>
    <w:rsid w:val="45611A6C"/>
    <w:rsid w:val="45703A86"/>
    <w:rsid w:val="45763476"/>
    <w:rsid w:val="45796DB6"/>
    <w:rsid w:val="45994065"/>
    <w:rsid w:val="459B31D0"/>
    <w:rsid w:val="459C6D71"/>
    <w:rsid w:val="459D0560"/>
    <w:rsid w:val="459F067B"/>
    <w:rsid w:val="45BA4A55"/>
    <w:rsid w:val="45D24718"/>
    <w:rsid w:val="45D43FEC"/>
    <w:rsid w:val="45D80469"/>
    <w:rsid w:val="45F864AC"/>
    <w:rsid w:val="46050649"/>
    <w:rsid w:val="460D2F7E"/>
    <w:rsid w:val="46385084"/>
    <w:rsid w:val="463E3C23"/>
    <w:rsid w:val="4649335D"/>
    <w:rsid w:val="464E3DC5"/>
    <w:rsid w:val="465102AB"/>
    <w:rsid w:val="465856F8"/>
    <w:rsid w:val="466552FD"/>
    <w:rsid w:val="466F1F67"/>
    <w:rsid w:val="467A1037"/>
    <w:rsid w:val="4689375C"/>
    <w:rsid w:val="468B49BC"/>
    <w:rsid w:val="46986D84"/>
    <w:rsid w:val="46A47E62"/>
    <w:rsid w:val="46A61741"/>
    <w:rsid w:val="46A622A5"/>
    <w:rsid w:val="46C23D45"/>
    <w:rsid w:val="46D324F5"/>
    <w:rsid w:val="46E93AC7"/>
    <w:rsid w:val="46FD79B3"/>
    <w:rsid w:val="471F34C4"/>
    <w:rsid w:val="472216C7"/>
    <w:rsid w:val="472606E1"/>
    <w:rsid w:val="472E59E3"/>
    <w:rsid w:val="473B428E"/>
    <w:rsid w:val="473E02B7"/>
    <w:rsid w:val="474653BD"/>
    <w:rsid w:val="4746716B"/>
    <w:rsid w:val="4753777D"/>
    <w:rsid w:val="47543636"/>
    <w:rsid w:val="47603EFA"/>
    <w:rsid w:val="47744E30"/>
    <w:rsid w:val="47884A29"/>
    <w:rsid w:val="47A17784"/>
    <w:rsid w:val="47B7471B"/>
    <w:rsid w:val="47BB1AE0"/>
    <w:rsid w:val="47C3256A"/>
    <w:rsid w:val="47CA2D6C"/>
    <w:rsid w:val="47D442AB"/>
    <w:rsid w:val="47DD7224"/>
    <w:rsid w:val="47E75388"/>
    <w:rsid w:val="47F8043B"/>
    <w:rsid w:val="47FD7D06"/>
    <w:rsid w:val="48117431"/>
    <w:rsid w:val="48117779"/>
    <w:rsid w:val="48213F9C"/>
    <w:rsid w:val="4826706B"/>
    <w:rsid w:val="482A15D0"/>
    <w:rsid w:val="482F12B6"/>
    <w:rsid w:val="484016AA"/>
    <w:rsid w:val="48401E0D"/>
    <w:rsid w:val="48403BBB"/>
    <w:rsid w:val="48497B99"/>
    <w:rsid w:val="4867383D"/>
    <w:rsid w:val="486D2832"/>
    <w:rsid w:val="48917DFB"/>
    <w:rsid w:val="48A0062B"/>
    <w:rsid w:val="48A94357"/>
    <w:rsid w:val="48AF3B53"/>
    <w:rsid w:val="48AF4C3D"/>
    <w:rsid w:val="48B819A3"/>
    <w:rsid w:val="48CC36A0"/>
    <w:rsid w:val="48F86243"/>
    <w:rsid w:val="49023556"/>
    <w:rsid w:val="49070941"/>
    <w:rsid w:val="490843F7"/>
    <w:rsid w:val="490B41C9"/>
    <w:rsid w:val="491A308E"/>
    <w:rsid w:val="492434DC"/>
    <w:rsid w:val="492E6109"/>
    <w:rsid w:val="492F5B52"/>
    <w:rsid w:val="493D5D41"/>
    <w:rsid w:val="49474864"/>
    <w:rsid w:val="494F67AB"/>
    <w:rsid w:val="495042D1"/>
    <w:rsid w:val="496D5CD7"/>
    <w:rsid w:val="497755E1"/>
    <w:rsid w:val="49A37876"/>
    <w:rsid w:val="49AA1C33"/>
    <w:rsid w:val="49C03C46"/>
    <w:rsid w:val="49C10027"/>
    <w:rsid w:val="49C346A0"/>
    <w:rsid w:val="49D62938"/>
    <w:rsid w:val="49D82CB6"/>
    <w:rsid w:val="49DF443D"/>
    <w:rsid w:val="49E02FB1"/>
    <w:rsid w:val="49E862B8"/>
    <w:rsid w:val="49E876D4"/>
    <w:rsid w:val="4A001853"/>
    <w:rsid w:val="4A007D8A"/>
    <w:rsid w:val="4A0330F2"/>
    <w:rsid w:val="4A08695A"/>
    <w:rsid w:val="4A1129BB"/>
    <w:rsid w:val="4A152301"/>
    <w:rsid w:val="4A174E5B"/>
    <w:rsid w:val="4A183041"/>
    <w:rsid w:val="4A1D4A85"/>
    <w:rsid w:val="4A21439E"/>
    <w:rsid w:val="4A247259"/>
    <w:rsid w:val="4A2B43F6"/>
    <w:rsid w:val="4A2C30F9"/>
    <w:rsid w:val="4A345E6F"/>
    <w:rsid w:val="4A3643C5"/>
    <w:rsid w:val="4A4009DF"/>
    <w:rsid w:val="4A436D25"/>
    <w:rsid w:val="4A655B5A"/>
    <w:rsid w:val="4A6D0E1C"/>
    <w:rsid w:val="4A825EDC"/>
    <w:rsid w:val="4A8B4C76"/>
    <w:rsid w:val="4A9229B9"/>
    <w:rsid w:val="4A9C6F87"/>
    <w:rsid w:val="4A9F106C"/>
    <w:rsid w:val="4AC72047"/>
    <w:rsid w:val="4AD04DC9"/>
    <w:rsid w:val="4AD2265C"/>
    <w:rsid w:val="4AD60DFB"/>
    <w:rsid w:val="4ADB5A3C"/>
    <w:rsid w:val="4B0059A0"/>
    <w:rsid w:val="4B0215FB"/>
    <w:rsid w:val="4B071B1E"/>
    <w:rsid w:val="4B0B79A3"/>
    <w:rsid w:val="4B0D53C7"/>
    <w:rsid w:val="4B1026AC"/>
    <w:rsid w:val="4B175A13"/>
    <w:rsid w:val="4B315A3D"/>
    <w:rsid w:val="4B4A0E91"/>
    <w:rsid w:val="4B5A1437"/>
    <w:rsid w:val="4B5E33BB"/>
    <w:rsid w:val="4B644064"/>
    <w:rsid w:val="4B694B79"/>
    <w:rsid w:val="4B696516"/>
    <w:rsid w:val="4B6E2CCF"/>
    <w:rsid w:val="4B767CEC"/>
    <w:rsid w:val="4B7F0E9E"/>
    <w:rsid w:val="4B857DCA"/>
    <w:rsid w:val="4B87469C"/>
    <w:rsid w:val="4B99763F"/>
    <w:rsid w:val="4B9E091B"/>
    <w:rsid w:val="4BBA360B"/>
    <w:rsid w:val="4BD44D46"/>
    <w:rsid w:val="4BE3523A"/>
    <w:rsid w:val="4BE85126"/>
    <w:rsid w:val="4BEF3DEB"/>
    <w:rsid w:val="4BF34FFA"/>
    <w:rsid w:val="4BF45399"/>
    <w:rsid w:val="4BFA2F1D"/>
    <w:rsid w:val="4C0A46BD"/>
    <w:rsid w:val="4C0C0983"/>
    <w:rsid w:val="4C2629DA"/>
    <w:rsid w:val="4C2F38F0"/>
    <w:rsid w:val="4C3E7D6E"/>
    <w:rsid w:val="4C417870"/>
    <w:rsid w:val="4C5916EF"/>
    <w:rsid w:val="4C787DC7"/>
    <w:rsid w:val="4C7C0314"/>
    <w:rsid w:val="4C960FB4"/>
    <w:rsid w:val="4CC36B68"/>
    <w:rsid w:val="4CCE79E7"/>
    <w:rsid w:val="4CD60BE9"/>
    <w:rsid w:val="4CEB1005"/>
    <w:rsid w:val="4D0524B7"/>
    <w:rsid w:val="4D0B690F"/>
    <w:rsid w:val="4D117CDD"/>
    <w:rsid w:val="4D135D42"/>
    <w:rsid w:val="4D146A1E"/>
    <w:rsid w:val="4D176CDD"/>
    <w:rsid w:val="4D1E617F"/>
    <w:rsid w:val="4D2910C1"/>
    <w:rsid w:val="4D2F34E6"/>
    <w:rsid w:val="4D316E02"/>
    <w:rsid w:val="4D3704F7"/>
    <w:rsid w:val="4D40640B"/>
    <w:rsid w:val="4D4E5C17"/>
    <w:rsid w:val="4D5A752C"/>
    <w:rsid w:val="4D5E485D"/>
    <w:rsid w:val="4D7D31BB"/>
    <w:rsid w:val="4D7E0E31"/>
    <w:rsid w:val="4DA70238"/>
    <w:rsid w:val="4DBF51BA"/>
    <w:rsid w:val="4DC516FE"/>
    <w:rsid w:val="4DE6074D"/>
    <w:rsid w:val="4DE674D6"/>
    <w:rsid w:val="4DF755E4"/>
    <w:rsid w:val="4DFD3A9A"/>
    <w:rsid w:val="4E020EC4"/>
    <w:rsid w:val="4E200716"/>
    <w:rsid w:val="4E2F01CC"/>
    <w:rsid w:val="4E407E03"/>
    <w:rsid w:val="4E453E52"/>
    <w:rsid w:val="4E5441D9"/>
    <w:rsid w:val="4E57733A"/>
    <w:rsid w:val="4E5E2FEC"/>
    <w:rsid w:val="4E737BED"/>
    <w:rsid w:val="4E811855"/>
    <w:rsid w:val="4E832A53"/>
    <w:rsid w:val="4E86609F"/>
    <w:rsid w:val="4E8C1CA6"/>
    <w:rsid w:val="4EB11029"/>
    <w:rsid w:val="4EB8094F"/>
    <w:rsid w:val="4ED31FB4"/>
    <w:rsid w:val="4F10564F"/>
    <w:rsid w:val="4F130CF7"/>
    <w:rsid w:val="4F374212"/>
    <w:rsid w:val="4F4A531F"/>
    <w:rsid w:val="4F506B2E"/>
    <w:rsid w:val="4F796526"/>
    <w:rsid w:val="4F7A20A8"/>
    <w:rsid w:val="4F7E5588"/>
    <w:rsid w:val="4F8B7E11"/>
    <w:rsid w:val="4FA64C4B"/>
    <w:rsid w:val="4FC357FD"/>
    <w:rsid w:val="4FCB2904"/>
    <w:rsid w:val="4FCD72C5"/>
    <w:rsid w:val="4FD57105"/>
    <w:rsid w:val="4FD743B2"/>
    <w:rsid w:val="4FDC241B"/>
    <w:rsid w:val="4FDE4964"/>
    <w:rsid w:val="4FE54E31"/>
    <w:rsid w:val="4FEE214E"/>
    <w:rsid w:val="50355FCF"/>
    <w:rsid w:val="50414974"/>
    <w:rsid w:val="504179F5"/>
    <w:rsid w:val="50496A40"/>
    <w:rsid w:val="504B2249"/>
    <w:rsid w:val="504E5146"/>
    <w:rsid w:val="50630D8E"/>
    <w:rsid w:val="506A3ECB"/>
    <w:rsid w:val="50707171"/>
    <w:rsid w:val="50824921"/>
    <w:rsid w:val="50937A66"/>
    <w:rsid w:val="509469E5"/>
    <w:rsid w:val="509C604E"/>
    <w:rsid w:val="509E05BB"/>
    <w:rsid w:val="50AA42C7"/>
    <w:rsid w:val="50C12FE2"/>
    <w:rsid w:val="50DC23A1"/>
    <w:rsid w:val="50DF6CFE"/>
    <w:rsid w:val="50EE52D5"/>
    <w:rsid w:val="50EF617E"/>
    <w:rsid w:val="50F13B0F"/>
    <w:rsid w:val="510A1ED5"/>
    <w:rsid w:val="5136553F"/>
    <w:rsid w:val="513A3775"/>
    <w:rsid w:val="5153495F"/>
    <w:rsid w:val="515A2406"/>
    <w:rsid w:val="515D0C2F"/>
    <w:rsid w:val="516D27BF"/>
    <w:rsid w:val="516E009E"/>
    <w:rsid w:val="5175273E"/>
    <w:rsid w:val="5179376F"/>
    <w:rsid w:val="517A013D"/>
    <w:rsid w:val="518965D2"/>
    <w:rsid w:val="519B6284"/>
    <w:rsid w:val="51BC36F0"/>
    <w:rsid w:val="51D04201"/>
    <w:rsid w:val="51D51818"/>
    <w:rsid w:val="51EA3C14"/>
    <w:rsid w:val="51F86F55"/>
    <w:rsid w:val="5202632F"/>
    <w:rsid w:val="52076C7C"/>
    <w:rsid w:val="52290433"/>
    <w:rsid w:val="52365910"/>
    <w:rsid w:val="52466271"/>
    <w:rsid w:val="52571B5C"/>
    <w:rsid w:val="526F014F"/>
    <w:rsid w:val="527A4A5C"/>
    <w:rsid w:val="52A4501B"/>
    <w:rsid w:val="52AE52EA"/>
    <w:rsid w:val="52B07B8F"/>
    <w:rsid w:val="52B30437"/>
    <w:rsid w:val="52E73F78"/>
    <w:rsid w:val="52E857C0"/>
    <w:rsid w:val="52EA4395"/>
    <w:rsid w:val="52F5184E"/>
    <w:rsid w:val="52FE4D9E"/>
    <w:rsid w:val="531804BD"/>
    <w:rsid w:val="53394028"/>
    <w:rsid w:val="534053B7"/>
    <w:rsid w:val="534A673B"/>
    <w:rsid w:val="53516CBE"/>
    <w:rsid w:val="535242FD"/>
    <w:rsid w:val="53582700"/>
    <w:rsid w:val="537D3F15"/>
    <w:rsid w:val="53806B73"/>
    <w:rsid w:val="539543DE"/>
    <w:rsid w:val="53A95DC0"/>
    <w:rsid w:val="53BF4BE0"/>
    <w:rsid w:val="53DA0512"/>
    <w:rsid w:val="53E61ABA"/>
    <w:rsid w:val="53F63161"/>
    <w:rsid w:val="53FB65C5"/>
    <w:rsid w:val="54134879"/>
    <w:rsid w:val="542E0595"/>
    <w:rsid w:val="542E3461"/>
    <w:rsid w:val="54372316"/>
    <w:rsid w:val="54375959"/>
    <w:rsid w:val="54387E3C"/>
    <w:rsid w:val="544A535F"/>
    <w:rsid w:val="545760C1"/>
    <w:rsid w:val="545A4165"/>
    <w:rsid w:val="545B0CBD"/>
    <w:rsid w:val="545D55FC"/>
    <w:rsid w:val="545F361A"/>
    <w:rsid w:val="54655381"/>
    <w:rsid w:val="546C3108"/>
    <w:rsid w:val="5470598C"/>
    <w:rsid w:val="54767551"/>
    <w:rsid w:val="547E5877"/>
    <w:rsid w:val="54B65D63"/>
    <w:rsid w:val="54D47B64"/>
    <w:rsid w:val="54E9355C"/>
    <w:rsid w:val="54EF54F7"/>
    <w:rsid w:val="54F26520"/>
    <w:rsid w:val="54F6767D"/>
    <w:rsid w:val="54F93A6F"/>
    <w:rsid w:val="55125CF2"/>
    <w:rsid w:val="55202DAA"/>
    <w:rsid w:val="55314FB7"/>
    <w:rsid w:val="553E6B05"/>
    <w:rsid w:val="5547226E"/>
    <w:rsid w:val="554929D5"/>
    <w:rsid w:val="555B3FA7"/>
    <w:rsid w:val="555F40C8"/>
    <w:rsid w:val="55654C60"/>
    <w:rsid w:val="55761405"/>
    <w:rsid w:val="5577594F"/>
    <w:rsid w:val="5593602B"/>
    <w:rsid w:val="55B52E7A"/>
    <w:rsid w:val="55EA33B8"/>
    <w:rsid w:val="55EF3365"/>
    <w:rsid w:val="55F244A9"/>
    <w:rsid w:val="55F44741"/>
    <w:rsid w:val="5606196D"/>
    <w:rsid w:val="56067310"/>
    <w:rsid w:val="56110FB7"/>
    <w:rsid w:val="561F2DC7"/>
    <w:rsid w:val="564E7101"/>
    <w:rsid w:val="5653011F"/>
    <w:rsid w:val="565D1DDC"/>
    <w:rsid w:val="566850BB"/>
    <w:rsid w:val="56747760"/>
    <w:rsid w:val="567F61F6"/>
    <w:rsid w:val="569A7D90"/>
    <w:rsid w:val="56AA6493"/>
    <w:rsid w:val="56D402F0"/>
    <w:rsid w:val="56E72B61"/>
    <w:rsid w:val="56EA4EB1"/>
    <w:rsid w:val="570606C5"/>
    <w:rsid w:val="570F30D6"/>
    <w:rsid w:val="570F757A"/>
    <w:rsid w:val="571B1B80"/>
    <w:rsid w:val="57243617"/>
    <w:rsid w:val="5729154C"/>
    <w:rsid w:val="573A61D3"/>
    <w:rsid w:val="573D4350"/>
    <w:rsid w:val="57551572"/>
    <w:rsid w:val="57643691"/>
    <w:rsid w:val="576644B7"/>
    <w:rsid w:val="576A292B"/>
    <w:rsid w:val="578447E8"/>
    <w:rsid w:val="578C2978"/>
    <w:rsid w:val="578E4942"/>
    <w:rsid w:val="579532F8"/>
    <w:rsid w:val="57AB14F5"/>
    <w:rsid w:val="57B22CF3"/>
    <w:rsid w:val="57C55E8A"/>
    <w:rsid w:val="57CC6913"/>
    <w:rsid w:val="57E427B4"/>
    <w:rsid w:val="58020E8D"/>
    <w:rsid w:val="5808114A"/>
    <w:rsid w:val="583A6878"/>
    <w:rsid w:val="5846521D"/>
    <w:rsid w:val="584E02C2"/>
    <w:rsid w:val="584F5A1C"/>
    <w:rsid w:val="585D2567"/>
    <w:rsid w:val="58613E05"/>
    <w:rsid w:val="58663058"/>
    <w:rsid w:val="58692DC9"/>
    <w:rsid w:val="58A77DB1"/>
    <w:rsid w:val="58B06B3A"/>
    <w:rsid w:val="58B36388"/>
    <w:rsid w:val="58B95846"/>
    <w:rsid w:val="58C17A21"/>
    <w:rsid w:val="58C46142"/>
    <w:rsid w:val="58D046D6"/>
    <w:rsid w:val="58DB73AF"/>
    <w:rsid w:val="58E3481A"/>
    <w:rsid w:val="58E52C6A"/>
    <w:rsid w:val="5908578F"/>
    <w:rsid w:val="59201FD4"/>
    <w:rsid w:val="592A2E13"/>
    <w:rsid w:val="594D25DB"/>
    <w:rsid w:val="595175AC"/>
    <w:rsid w:val="596B457C"/>
    <w:rsid w:val="596D4A2C"/>
    <w:rsid w:val="59716A0E"/>
    <w:rsid w:val="59722E8D"/>
    <w:rsid w:val="59725B9E"/>
    <w:rsid w:val="5988765D"/>
    <w:rsid w:val="599865EB"/>
    <w:rsid w:val="599B2239"/>
    <w:rsid w:val="599D5EE6"/>
    <w:rsid w:val="599E4BE5"/>
    <w:rsid w:val="59BC53C6"/>
    <w:rsid w:val="59BE2B4A"/>
    <w:rsid w:val="59C135E1"/>
    <w:rsid w:val="59CC0D86"/>
    <w:rsid w:val="59D423B5"/>
    <w:rsid w:val="59E560D9"/>
    <w:rsid w:val="59EA1BD8"/>
    <w:rsid w:val="59EA6BC7"/>
    <w:rsid w:val="5A126D51"/>
    <w:rsid w:val="5A144EA7"/>
    <w:rsid w:val="5A1B7396"/>
    <w:rsid w:val="5A295499"/>
    <w:rsid w:val="5A364E1D"/>
    <w:rsid w:val="5A3761BD"/>
    <w:rsid w:val="5A423795"/>
    <w:rsid w:val="5A44753A"/>
    <w:rsid w:val="5A5E0734"/>
    <w:rsid w:val="5A6F2008"/>
    <w:rsid w:val="5A907E2F"/>
    <w:rsid w:val="5AA1000A"/>
    <w:rsid w:val="5AA12BDF"/>
    <w:rsid w:val="5AC41DC2"/>
    <w:rsid w:val="5AC5578A"/>
    <w:rsid w:val="5ACA3645"/>
    <w:rsid w:val="5AF62D21"/>
    <w:rsid w:val="5AFC1BC3"/>
    <w:rsid w:val="5B1433B1"/>
    <w:rsid w:val="5B2259DD"/>
    <w:rsid w:val="5B2D605C"/>
    <w:rsid w:val="5B4800FC"/>
    <w:rsid w:val="5B5C0302"/>
    <w:rsid w:val="5B687AEC"/>
    <w:rsid w:val="5B766812"/>
    <w:rsid w:val="5B7E082A"/>
    <w:rsid w:val="5B805E87"/>
    <w:rsid w:val="5B8836FB"/>
    <w:rsid w:val="5B962039"/>
    <w:rsid w:val="5B996CB3"/>
    <w:rsid w:val="5BA5422B"/>
    <w:rsid w:val="5BB7605B"/>
    <w:rsid w:val="5BBD21A0"/>
    <w:rsid w:val="5BCA1672"/>
    <w:rsid w:val="5BCF1086"/>
    <w:rsid w:val="5BD668B8"/>
    <w:rsid w:val="5BE21779"/>
    <w:rsid w:val="5BE508A9"/>
    <w:rsid w:val="5C4757D4"/>
    <w:rsid w:val="5C4952DC"/>
    <w:rsid w:val="5C555C50"/>
    <w:rsid w:val="5C6A01AA"/>
    <w:rsid w:val="5C8C79CF"/>
    <w:rsid w:val="5CB87BC8"/>
    <w:rsid w:val="5CBA7D8D"/>
    <w:rsid w:val="5CBC3FEF"/>
    <w:rsid w:val="5CBE02FE"/>
    <w:rsid w:val="5CCB73E0"/>
    <w:rsid w:val="5CCE437A"/>
    <w:rsid w:val="5CEB55FF"/>
    <w:rsid w:val="5CFF0FDD"/>
    <w:rsid w:val="5CFF30F6"/>
    <w:rsid w:val="5D0863AE"/>
    <w:rsid w:val="5D094882"/>
    <w:rsid w:val="5D155CAE"/>
    <w:rsid w:val="5D173220"/>
    <w:rsid w:val="5D1A50E8"/>
    <w:rsid w:val="5D1F3745"/>
    <w:rsid w:val="5D3A654F"/>
    <w:rsid w:val="5D3F0D8B"/>
    <w:rsid w:val="5D476A0C"/>
    <w:rsid w:val="5D4D5A23"/>
    <w:rsid w:val="5D5825C4"/>
    <w:rsid w:val="5D5C129A"/>
    <w:rsid w:val="5D742A81"/>
    <w:rsid w:val="5D7540F3"/>
    <w:rsid w:val="5D757437"/>
    <w:rsid w:val="5D7A2682"/>
    <w:rsid w:val="5D8660BC"/>
    <w:rsid w:val="5D991096"/>
    <w:rsid w:val="5DA0717E"/>
    <w:rsid w:val="5DAD23EC"/>
    <w:rsid w:val="5DB119B1"/>
    <w:rsid w:val="5DCC31E1"/>
    <w:rsid w:val="5DD32763"/>
    <w:rsid w:val="5DF270A4"/>
    <w:rsid w:val="5E051D8B"/>
    <w:rsid w:val="5E09713B"/>
    <w:rsid w:val="5E2E2914"/>
    <w:rsid w:val="5E385608"/>
    <w:rsid w:val="5E4405CB"/>
    <w:rsid w:val="5E5A4C0C"/>
    <w:rsid w:val="5E6C5008"/>
    <w:rsid w:val="5E79144D"/>
    <w:rsid w:val="5E7E6D93"/>
    <w:rsid w:val="5E7F4FE5"/>
    <w:rsid w:val="5E857FEF"/>
    <w:rsid w:val="5E92305D"/>
    <w:rsid w:val="5EC65CF5"/>
    <w:rsid w:val="5ED02B4E"/>
    <w:rsid w:val="5ED6097D"/>
    <w:rsid w:val="5EE7053E"/>
    <w:rsid w:val="5EE70F2F"/>
    <w:rsid w:val="5EE906B0"/>
    <w:rsid w:val="5EF85086"/>
    <w:rsid w:val="5F0474B2"/>
    <w:rsid w:val="5F0B08F8"/>
    <w:rsid w:val="5F1871E8"/>
    <w:rsid w:val="5F41673E"/>
    <w:rsid w:val="5F5E0AA9"/>
    <w:rsid w:val="5F5F0972"/>
    <w:rsid w:val="5F6206A8"/>
    <w:rsid w:val="5F685A79"/>
    <w:rsid w:val="5F6949B8"/>
    <w:rsid w:val="5F695B03"/>
    <w:rsid w:val="5FA2671A"/>
    <w:rsid w:val="5FAE2798"/>
    <w:rsid w:val="5FAE3384"/>
    <w:rsid w:val="5FCA0871"/>
    <w:rsid w:val="5FCD3B2E"/>
    <w:rsid w:val="5FDC7D72"/>
    <w:rsid w:val="5FE57397"/>
    <w:rsid w:val="600C197D"/>
    <w:rsid w:val="60107EBF"/>
    <w:rsid w:val="601B787E"/>
    <w:rsid w:val="60275934"/>
    <w:rsid w:val="602A5424"/>
    <w:rsid w:val="602D64AE"/>
    <w:rsid w:val="603147C5"/>
    <w:rsid w:val="60327E35"/>
    <w:rsid w:val="603515C5"/>
    <w:rsid w:val="6036651C"/>
    <w:rsid w:val="60392CC1"/>
    <w:rsid w:val="604F6C39"/>
    <w:rsid w:val="6057789C"/>
    <w:rsid w:val="605B3631"/>
    <w:rsid w:val="60917DCB"/>
    <w:rsid w:val="60A74298"/>
    <w:rsid w:val="60AA73C4"/>
    <w:rsid w:val="60AC32F1"/>
    <w:rsid w:val="60C74A21"/>
    <w:rsid w:val="60D63582"/>
    <w:rsid w:val="60D82A72"/>
    <w:rsid w:val="60DA29A7"/>
    <w:rsid w:val="60DB6BE8"/>
    <w:rsid w:val="60DE0679"/>
    <w:rsid w:val="60EB0696"/>
    <w:rsid w:val="60EB66EE"/>
    <w:rsid w:val="611D0AE5"/>
    <w:rsid w:val="612C0D28"/>
    <w:rsid w:val="612E0BA0"/>
    <w:rsid w:val="613C2182"/>
    <w:rsid w:val="61453B98"/>
    <w:rsid w:val="61517527"/>
    <w:rsid w:val="61695AD8"/>
    <w:rsid w:val="616D66DD"/>
    <w:rsid w:val="61872A82"/>
    <w:rsid w:val="61901952"/>
    <w:rsid w:val="61B3256A"/>
    <w:rsid w:val="61B81E65"/>
    <w:rsid w:val="61CA6014"/>
    <w:rsid w:val="61CB511F"/>
    <w:rsid w:val="61CF0031"/>
    <w:rsid w:val="61D0163F"/>
    <w:rsid w:val="61DB6BD8"/>
    <w:rsid w:val="61DC274E"/>
    <w:rsid w:val="61FF2DC1"/>
    <w:rsid w:val="620A5F58"/>
    <w:rsid w:val="621379A5"/>
    <w:rsid w:val="6220119B"/>
    <w:rsid w:val="622C5B82"/>
    <w:rsid w:val="62383F6B"/>
    <w:rsid w:val="623B7C37"/>
    <w:rsid w:val="62506FB8"/>
    <w:rsid w:val="62560084"/>
    <w:rsid w:val="625978FB"/>
    <w:rsid w:val="626C0CC2"/>
    <w:rsid w:val="626C3AD2"/>
    <w:rsid w:val="626F46EC"/>
    <w:rsid w:val="62743293"/>
    <w:rsid w:val="62851EA4"/>
    <w:rsid w:val="628B3F5C"/>
    <w:rsid w:val="628F2F4A"/>
    <w:rsid w:val="629152E7"/>
    <w:rsid w:val="629710AD"/>
    <w:rsid w:val="62976475"/>
    <w:rsid w:val="62976F22"/>
    <w:rsid w:val="62A96C94"/>
    <w:rsid w:val="62AC216E"/>
    <w:rsid w:val="62C27B96"/>
    <w:rsid w:val="62D90357"/>
    <w:rsid w:val="62EA4FE6"/>
    <w:rsid w:val="6300421A"/>
    <w:rsid w:val="63091321"/>
    <w:rsid w:val="63275C4B"/>
    <w:rsid w:val="634230D8"/>
    <w:rsid w:val="6347009B"/>
    <w:rsid w:val="634957D9"/>
    <w:rsid w:val="636649C5"/>
    <w:rsid w:val="63721545"/>
    <w:rsid w:val="63780255"/>
    <w:rsid w:val="63855AF1"/>
    <w:rsid w:val="638A4CEA"/>
    <w:rsid w:val="63994004"/>
    <w:rsid w:val="63A728E8"/>
    <w:rsid w:val="63A846F8"/>
    <w:rsid w:val="63B13B4D"/>
    <w:rsid w:val="63C46DE2"/>
    <w:rsid w:val="63CB7DC7"/>
    <w:rsid w:val="63CF2051"/>
    <w:rsid w:val="63D91100"/>
    <w:rsid w:val="63E35481"/>
    <w:rsid w:val="63EA7C71"/>
    <w:rsid w:val="63F250CA"/>
    <w:rsid w:val="63FE4BFE"/>
    <w:rsid w:val="64026AE2"/>
    <w:rsid w:val="641064E4"/>
    <w:rsid w:val="641937E6"/>
    <w:rsid w:val="641F6922"/>
    <w:rsid w:val="642409E3"/>
    <w:rsid w:val="64326656"/>
    <w:rsid w:val="643E0E51"/>
    <w:rsid w:val="644C140A"/>
    <w:rsid w:val="6454005E"/>
    <w:rsid w:val="645A5339"/>
    <w:rsid w:val="6468402B"/>
    <w:rsid w:val="646A0BCA"/>
    <w:rsid w:val="648C045C"/>
    <w:rsid w:val="648F6B8B"/>
    <w:rsid w:val="64917820"/>
    <w:rsid w:val="64977571"/>
    <w:rsid w:val="64A21A2D"/>
    <w:rsid w:val="64A256F1"/>
    <w:rsid w:val="64A56604"/>
    <w:rsid w:val="64B33973"/>
    <w:rsid w:val="64BD3550"/>
    <w:rsid w:val="64CE136F"/>
    <w:rsid w:val="64DA352A"/>
    <w:rsid w:val="64E40194"/>
    <w:rsid w:val="64ED4D50"/>
    <w:rsid w:val="64FF13C4"/>
    <w:rsid w:val="650F7D78"/>
    <w:rsid w:val="65131925"/>
    <w:rsid w:val="65181CEF"/>
    <w:rsid w:val="652B27D9"/>
    <w:rsid w:val="6530528B"/>
    <w:rsid w:val="653908EB"/>
    <w:rsid w:val="65427EEA"/>
    <w:rsid w:val="654E1580"/>
    <w:rsid w:val="655A3C48"/>
    <w:rsid w:val="655E0498"/>
    <w:rsid w:val="65670581"/>
    <w:rsid w:val="65691616"/>
    <w:rsid w:val="6570357F"/>
    <w:rsid w:val="657117A3"/>
    <w:rsid w:val="657D6D23"/>
    <w:rsid w:val="657F771D"/>
    <w:rsid w:val="65864EAB"/>
    <w:rsid w:val="65AA0A63"/>
    <w:rsid w:val="65C06B3F"/>
    <w:rsid w:val="65CA2037"/>
    <w:rsid w:val="65D33E68"/>
    <w:rsid w:val="65DB3814"/>
    <w:rsid w:val="65DD654D"/>
    <w:rsid w:val="65E0291F"/>
    <w:rsid w:val="65F41075"/>
    <w:rsid w:val="65FE1FB4"/>
    <w:rsid w:val="65FF2BD8"/>
    <w:rsid w:val="66081A77"/>
    <w:rsid w:val="660E6EE8"/>
    <w:rsid w:val="661D7B71"/>
    <w:rsid w:val="66225AEA"/>
    <w:rsid w:val="66251C04"/>
    <w:rsid w:val="66284D67"/>
    <w:rsid w:val="66293A88"/>
    <w:rsid w:val="663C067D"/>
    <w:rsid w:val="6657269C"/>
    <w:rsid w:val="66584B92"/>
    <w:rsid w:val="666939FF"/>
    <w:rsid w:val="667A4202"/>
    <w:rsid w:val="667B0788"/>
    <w:rsid w:val="66815638"/>
    <w:rsid w:val="668236F2"/>
    <w:rsid w:val="66865BE9"/>
    <w:rsid w:val="669D300F"/>
    <w:rsid w:val="66A46092"/>
    <w:rsid w:val="66A852F5"/>
    <w:rsid w:val="66AD290B"/>
    <w:rsid w:val="66AE6AF3"/>
    <w:rsid w:val="66B03481"/>
    <w:rsid w:val="66BA68F7"/>
    <w:rsid w:val="66BC0D74"/>
    <w:rsid w:val="66C66014"/>
    <w:rsid w:val="66CC61B6"/>
    <w:rsid w:val="66CD08B8"/>
    <w:rsid w:val="66D048AA"/>
    <w:rsid w:val="66D217F6"/>
    <w:rsid w:val="66F83B86"/>
    <w:rsid w:val="67004C5E"/>
    <w:rsid w:val="670A1B0C"/>
    <w:rsid w:val="670F7122"/>
    <w:rsid w:val="67185770"/>
    <w:rsid w:val="671F55B7"/>
    <w:rsid w:val="6725638C"/>
    <w:rsid w:val="67281F92"/>
    <w:rsid w:val="673F75D2"/>
    <w:rsid w:val="67550AD0"/>
    <w:rsid w:val="676B07FC"/>
    <w:rsid w:val="676F4FE8"/>
    <w:rsid w:val="677671A1"/>
    <w:rsid w:val="677C34FF"/>
    <w:rsid w:val="67832C18"/>
    <w:rsid w:val="67846410"/>
    <w:rsid w:val="678D1978"/>
    <w:rsid w:val="679305D0"/>
    <w:rsid w:val="67984AEE"/>
    <w:rsid w:val="679A551E"/>
    <w:rsid w:val="67AF7FBD"/>
    <w:rsid w:val="67D87514"/>
    <w:rsid w:val="67DA14DE"/>
    <w:rsid w:val="67DC1184"/>
    <w:rsid w:val="67DF7AEE"/>
    <w:rsid w:val="67EE31DB"/>
    <w:rsid w:val="67F51E74"/>
    <w:rsid w:val="680E5379"/>
    <w:rsid w:val="68144C73"/>
    <w:rsid w:val="681A49A7"/>
    <w:rsid w:val="683A4FB1"/>
    <w:rsid w:val="684613CE"/>
    <w:rsid w:val="684B0C28"/>
    <w:rsid w:val="684C73E9"/>
    <w:rsid w:val="684F195B"/>
    <w:rsid w:val="68525518"/>
    <w:rsid w:val="68593B86"/>
    <w:rsid w:val="686C338D"/>
    <w:rsid w:val="68707E47"/>
    <w:rsid w:val="687E7126"/>
    <w:rsid w:val="687F6537"/>
    <w:rsid w:val="68802085"/>
    <w:rsid w:val="68882C31"/>
    <w:rsid w:val="689C26EC"/>
    <w:rsid w:val="68B74DC7"/>
    <w:rsid w:val="68C84CF7"/>
    <w:rsid w:val="68CE2480"/>
    <w:rsid w:val="68E210E7"/>
    <w:rsid w:val="68E65C61"/>
    <w:rsid w:val="68FE2FAA"/>
    <w:rsid w:val="69006D22"/>
    <w:rsid w:val="69061F32"/>
    <w:rsid w:val="690A5038"/>
    <w:rsid w:val="690E2BF6"/>
    <w:rsid w:val="691369EE"/>
    <w:rsid w:val="69243FCA"/>
    <w:rsid w:val="692A0243"/>
    <w:rsid w:val="692E215F"/>
    <w:rsid w:val="6937089E"/>
    <w:rsid w:val="694275A2"/>
    <w:rsid w:val="695F6E17"/>
    <w:rsid w:val="69683063"/>
    <w:rsid w:val="696A5CDF"/>
    <w:rsid w:val="6971770E"/>
    <w:rsid w:val="69763488"/>
    <w:rsid w:val="698F343B"/>
    <w:rsid w:val="699670B1"/>
    <w:rsid w:val="69A2039E"/>
    <w:rsid w:val="69A97727"/>
    <w:rsid w:val="69B419F4"/>
    <w:rsid w:val="69BE2E1F"/>
    <w:rsid w:val="69D432BC"/>
    <w:rsid w:val="69DA7573"/>
    <w:rsid w:val="69E4001D"/>
    <w:rsid w:val="69F33B09"/>
    <w:rsid w:val="69F544E6"/>
    <w:rsid w:val="69F90F20"/>
    <w:rsid w:val="6A0209A0"/>
    <w:rsid w:val="6A2048D5"/>
    <w:rsid w:val="6A246554"/>
    <w:rsid w:val="6A511D79"/>
    <w:rsid w:val="6A521800"/>
    <w:rsid w:val="6A5B3C84"/>
    <w:rsid w:val="6A83483A"/>
    <w:rsid w:val="6A9357CC"/>
    <w:rsid w:val="6A9D6FFA"/>
    <w:rsid w:val="6AA87031"/>
    <w:rsid w:val="6AB44BE2"/>
    <w:rsid w:val="6AD57DD6"/>
    <w:rsid w:val="6AF2575E"/>
    <w:rsid w:val="6AFD633F"/>
    <w:rsid w:val="6B032BB3"/>
    <w:rsid w:val="6B0534AA"/>
    <w:rsid w:val="6B146AB5"/>
    <w:rsid w:val="6B2421BE"/>
    <w:rsid w:val="6B252A70"/>
    <w:rsid w:val="6B2817F8"/>
    <w:rsid w:val="6B2A277C"/>
    <w:rsid w:val="6B4A5D9D"/>
    <w:rsid w:val="6B534A22"/>
    <w:rsid w:val="6B5B63EA"/>
    <w:rsid w:val="6B5E07AC"/>
    <w:rsid w:val="6B785296"/>
    <w:rsid w:val="6B8235F5"/>
    <w:rsid w:val="6B853F67"/>
    <w:rsid w:val="6B90762E"/>
    <w:rsid w:val="6B9F6792"/>
    <w:rsid w:val="6BB25263"/>
    <w:rsid w:val="6BB362CE"/>
    <w:rsid w:val="6BB81161"/>
    <w:rsid w:val="6BC14981"/>
    <w:rsid w:val="6BCA2D65"/>
    <w:rsid w:val="6BE92CE6"/>
    <w:rsid w:val="6C0E5BFA"/>
    <w:rsid w:val="6C156978"/>
    <w:rsid w:val="6C303D8F"/>
    <w:rsid w:val="6C3900E2"/>
    <w:rsid w:val="6C4E5FF7"/>
    <w:rsid w:val="6C5C06A3"/>
    <w:rsid w:val="6C5C4853"/>
    <w:rsid w:val="6C5C6A2E"/>
    <w:rsid w:val="6C5E4EBF"/>
    <w:rsid w:val="6C727F37"/>
    <w:rsid w:val="6C7517D5"/>
    <w:rsid w:val="6C797848"/>
    <w:rsid w:val="6C7B7925"/>
    <w:rsid w:val="6C8B56FB"/>
    <w:rsid w:val="6CA125CA"/>
    <w:rsid w:val="6CA36342"/>
    <w:rsid w:val="6CAB7CFF"/>
    <w:rsid w:val="6CB178DD"/>
    <w:rsid w:val="6CB42F74"/>
    <w:rsid w:val="6CBF6EF4"/>
    <w:rsid w:val="6CC02616"/>
    <w:rsid w:val="6CE07597"/>
    <w:rsid w:val="6CED20B8"/>
    <w:rsid w:val="6CF070AE"/>
    <w:rsid w:val="6CF82994"/>
    <w:rsid w:val="6D001A9B"/>
    <w:rsid w:val="6D094896"/>
    <w:rsid w:val="6D2A4318"/>
    <w:rsid w:val="6D3279D3"/>
    <w:rsid w:val="6D405653"/>
    <w:rsid w:val="6D503E92"/>
    <w:rsid w:val="6D543AE1"/>
    <w:rsid w:val="6D566DB9"/>
    <w:rsid w:val="6D572229"/>
    <w:rsid w:val="6D8F01F3"/>
    <w:rsid w:val="6D8F4B19"/>
    <w:rsid w:val="6DA80733"/>
    <w:rsid w:val="6DAB3360"/>
    <w:rsid w:val="6DAD0205"/>
    <w:rsid w:val="6DB37F8D"/>
    <w:rsid w:val="6DB8616B"/>
    <w:rsid w:val="6DC76061"/>
    <w:rsid w:val="6DE02D11"/>
    <w:rsid w:val="6DFD1F27"/>
    <w:rsid w:val="6E0A1B08"/>
    <w:rsid w:val="6E10454B"/>
    <w:rsid w:val="6E201C15"/>
    <w:rsid w:val="6E2E4332"/>
    <w:rsid w:val="6E393BAE"/>
    <w:rsid w:val="6E407360"/>
    <w:rsid w:val="6E4B6C92"/>
    <w:rsid w:val="6E7939AB"/>
    <w:rsid w:val="6E7D1D88"/>
    <w:rsid w:val="6E8D72AA"/>
    <w:rsid w:val="6E8F6D91"/>
    <w:rsid w:val="6EA43F05"/>
    <w:rsid w:val="6EAB66A1"/>
    <w:rsid w:val="6EB02B1F"/>
    <w:rsid w:val="6EB81E4D"/>
    <w:rsid w:val="6EBF2C8C"/>
    <w:rsid w:val="6ECB748F"/>
    <w:rsid w:val="6EDF66F1"/>
    <w:rsid w:val="6F1E59D6"/>
    <w:rsid w:val="6F3D3EC4"/>
    <w:rsid w:val="6F550FA0"/>
    <w:rsid w:val="6F5D163E"/>
    <w:rsid w:val="6F6333B6"/>
    <w:rsid w:val="6F651FD5"/>
    <w:rsid w:val="6F6E783A"/>
    <w:rsid w:val="6F71097A"/>
    <w:rsid w:val="6F71216D"/>
    <w:rsid w:val="6F7F1EB4"/>
    <w:rsid w:val="6F8453A5"/>
    <w:rsid w:val="6F8C6F21"/>
    <w:rsid w:val="6FA56875"/>
    <w:rsid w:val="6FB95E7D"/>
    <w:rsid w:val="6FB97C2B"/>
    <w:rsid w:val="6FCB46D0"/>
    <w:rsid w:val="6FEB14CC"/>
    <w:rsid w:val="6FF3432E"/>
    <w:rsid w:val="6FF70753"/>
    <w:rsid w:val="6FFF3784"/>
    <w:rsid w:val="700E090B"/>
    <w:rsid w:val="70115CB9"/>
    <w:rsid w:val="702F63B3"/>
    <w:rsid w:val="70347510"/>
    <w:rsid w:val="70392F3D"/>
    <w:rsid w:val="703A53B4"/>
    <w:rsid w:val="70471EA9"/>
    <w:rsid w:val="704F5C71"/>
    <w:rsid w:val="705319BC"/>
    <w:rsid w:val="705C1B4A"/>
    <w:rsid w:val="705D50DF"/>
    <w:rsid w:val="7060279C"/>
    <w:rsid w:val="70633729"/>
    <w:rsid w:val="70790219"/>
    <w:rsid w:val="70827219"/>
    <w:rsid w:val="70864EBC"/>
    <w:rsid w:val="70875F7B"/>
    <w:rsid w:val="708B5A6B"/>
    <w:rsid w:val="708D1557"/>
    <w:rsid w:val="708D5EE8"/>
    <w:rsid w:val="70902E35"/>
    <w:rsid w:val="70994420"/>
    <w:rsid w:val="709E580C"/>
    <w:rsid w:val="70A54737"/>
    <w:rsid w:val="70A86CD9"/>
    <w:rsid w:val="70B76860"/>
    <w:rsid w:val="70C0110B"/>
    <w:rsid w:val="70C64CF5"/>
    <w:rsid w:val="70D540AB"/>
    <w:rsid w:val="70DB0F2B"/>
    <w:rsid w:val="70E82008"/>
    <w:rsid w:val="70FE448F"/>
    <w:rsid w:val="710870BC"/>
    <w:rsid w:val="71172F17"/>
    <w:rsid w:val="712D08D1"/>
    <w:rsid w:val="71371A7C"/>
    <w:rsid w:val="714B7137"/>
    <w:rsid w:val="714D4ACF"/>
    <w:rsid w:val="71641E18"/>
    <w:rsid w:val="716B735A"/>
    <w:rsid w:val="71952E96"/>
    <w:rsid w:val="719E7B7C"/>
    <w:rsid w:val="71B80B0B"/>
    <w:rsid w:val="71BF1F5B"/>
    <w:rsid w:val="71CD5C10"/>
    <w:rsid w:val="71D84CE0"/>
    <w:rsid w:val="71DC40A5"/>
    <w:rsid w:val="71E45E8C"/>
    <w:rsid w:val="71FC4BC8"/>
    <w:rsid w:val="71FC4D8C"/>
    <w:rsid w:val="71FD2172"/>
    <w:rsid w:val="720B131B"/>
    <w:rsid w:val="720F0782"/>
    <w:rsid w:val="721553B9"/>
    <w:rsid w:val="72255A4C"/>
    <w:rsid w:val="722B03AA"/>
    <w:rsid w:val="723B55F8"/>
    <w:rsid w:val="723C45B8"/>
    <w:rsid w:val="72411700"/>
    <w:rsid w:val="724C7A91"/>
    <w:rsid w:val="72640322"/>
    <w:rsid w:val="726923D2"/>
    <w:rsid w:val="726C367A"/>
    <w:rsid w:val="72725D97"/>
    <w:rsid w:val="728C1627"/>
    <w:rsid w:val="72904F6E"/>
    <w:rsid w:val="729761B6"/>
    <w:rsid w:val="729C0437"/>
    <w:rsid w:val="72A946A6"/>
    <w:rsid w:val="72AC26F4"/>
    <w:rsid w:val="72BA514A"/>
    <w:rsid w:val="72BC0926"/>
    <w:rsid w:val="72D458A8"/>
    <w:rsid w:val="72D66B16"/>
    <w:rsid w:val="72DD264E"/>
    <w:rsid w:val="72DE415F"/>
    <w:rsid w:val="72E65ADD"/>
    <w:rsid w:val="72FB052F"/>
    <w:rsid w:val="73037E37"/>
    <w:rsid w:val="73402EC4"/>
    <w:rsid w:val="734B4DAA"/>
    <w:rsid w:val="73735F26"/>
    <w:rsid w:val="737A11E4"/>
    <w:rsid w:val="737E2F20"/>
    <w:rsid w:val="739351FC"/>
    <w:rsid w:val="73BB545B"/>
    <w:rsid w:val="73C31078"/>
    <w:rsid w:val="73C36247"/>
    <w:rsid w:val="73DE2426"/>
    <w:rsid w:val="73DE5EB2"/>
    <w:rsid w:val="73E07E7C"/>
    <w:rsid w:val="73E55A62"/>
    <w:rsid w:val="73F40973"/>
    <w:rsid w:val="73FE4EC6"/>
    <w:rsid w:val="740873D3"/>
    <w:rsid w:val="741B7AD0"/>
    <w:rsid w:val="7420471D"/>
    <w:rsid w:val="74257F85"/>
    <w:rsid w:val="742C15B3"/>
    <w:rsid w:val="743405B9"/>
    <w:rsid w:val="744523D5"/>
    <w:rsid w:val="744C72C0"/>
    <w:rsid w:val="7452064E"/>
    <w:rsid w:val="74624BFD"/>
    <w:rsid w:val="7468082A"/>
    <w:rsid w:val="74795BDB"/>
    <w:rsid w:val="748404BD"/>
    <w:rsid w:val="7488134F"/>
    <w:rsid w:val="748D31A1"/>
    <w:rsid w:val="74A2314F"/>
    <w:rsid w:val="74BF03C1"/>
    <w:rsid w:val="74C613C9"/>
    <w:rsid w:val="74D93DAE"/>
    <w:rsid w:val="74E304BB"/>
    <w:rsid w:val="74E470D9"/>
    <w:rsid w:val="74F7482A"/>
    <w:rsid w:val="74F82FA3"/>
    <w:rsid w:val="750036F4"/>
    <w:rsid w:val="750137E6"/>
    <w:rsid w:val="75157FF9"/>
    <w:rsid w:val="75165F95"/>
    <w:rsid w:val="75186717"/>
    <w:rsid w:val="7522340F"/>
    <w:rsid w:val="753F3849"/>
    <w:rsid w:val="754C4DF7"/>
    <w:rsid w:val="754E3FF7"/>
    <w:rsid w:val="755659C6"/>
    <w:rsid w:val="7556625E"/>
    <w:rsid w:val="757271FA"/>
    <w:rsid w:val="757C1E26"/>
    <w:rsid w:val="757D79DB"/>
    <w:rsid w:val="75826AA6"/>
    <w:rsid w:val="758A6EF3"/>
    <w:rsid w:val="75970A0E"/>
    <w:rsid w:val="75973476"/>
    <w:rsid w:val="759C4277"/>
    <w:rsid w:val="75AC76D4"/>
    <w:rsid w:val="75AD1592"/>
    <w:rsid w:val="75AD1CA7"/>
    <w:rsid w:val="75BF40A3"/>
    <w:rsid w:val="75C01911"/>
    <w:rsid w:val="75CD2682"/>
    <w:rsid w:val="75D274B7"/>
    <w:rsid w:val="75E37ECE"/>
    <w:rsid w:val="75E919A1"/>
    <w:rsid w:val="75F0011F"/>
    <w:rsid w:val="75FE222A"/>
    <w:rsid w:val="76120095"/>
    <w:rsid w:val="761402B1"/>
    <w:rsid w:val="761920DD"/>
    <w:rsid w:val="761A519B"/>
    <w:rsid w:val="76211CE4"/>
    <w:rsid w:val="76257DC8"/>
    <w:rsid w:val="764741E2"/>
    <w:rsid w:val="7647515B"/>
    <w:rsid w:val="76540620"/>
    <w:rsid w:val="766A7ED1"/>
    <w:rsid w:val="76737F4D"/>
    <w:rsid w:val="76797FEA"/>
    <w:rsid w:val="767A0D16"/>
    <w:rsid w:val="768014A2"/>
    <w:rsid w:val="768076F4"/>
    <w:rsid w:val="768E7B11"/>
    <w:rsid w:val="76907E70"/>
    <w:rsid w:val="769E7DAB"/>
    <w:rsid w:val="76A65E7B"/>
    <w:rsid w:val="76AC04E9"/>
    <w:rsid w:val="76B414A0"/>
    <w:rsid w:val="76B949B4"/>
    <w:rsid w:val="76BA660F"/>
    <w:rsid w:val="76BD6253"/>
    <w:rsid w:val="76CA6CD4"/>
    <w:rsid w:val="76D17F50"/>
    <w:rsid w:val="76E22F00"/>
    <w:rsid w:val="76E533CD"/>
    <w:rsid w:val="76EF279C"/>
    <w:rsid w:val="773B0DEA"/>
    <w:rsid w:val="77617D97"/>
    <w:rsid w:val="77673480"/>
    <w:rsid w:val="77701972"/>
    <w:rsid w:val="777A4144"/>
    <w:rsid w:val="777E638B"/>
    <w:rsid w:val="77811C48"/>
    <w:rsid w:val="77910C7E"/>
    <w:rsid w:val="779437BB"/>
    <w:rsid w:val="77C55A4D"/>
    <w:rsid w:val="77E048EF"/>
    <w:rsid w:val="77E339D2"/>
    <w:rsid w:val="77E37F3B"/>
    <w:rsid w:val="77E82FB1"/>
    <w:rsid w:val="78006B24"/>
    <w:rsid w:val="781760AB"/>
    <w:rsid w:val="78181A6D"/>
    <w:rsid w:val="78222589"/>
    <w:rsid w:val="78291D26"/>
    <w:rsid w:val="7835188D"/>
    <w:rsid w:val="78361CE2"/>
    <w:rsid w:val="78396EC2"/>
    <w:rsid w:val="783B4B17"/>
    <w:rsid w:val="784604EB"/>
    <w:rsid w:val="785818DA"/>
    <w:rsid w:val="78604B6B"/>
    <w:rsid w:val="788F3C1F"/>
    <w:rsid w:val="788F4266"/>
    <w:rsid w:val="789F31D9"/>
    <w:rsid w:val="78A23952"/>
    <w:rsid w:val="78BD69DE"/>
    <w:rsid w:val="78CD0EAA"/>
    <w:rsid w:val="78D53E1C"/>
    <w:rsid w:val="78DA53DD"/>
    <w:rsid w:val="78DE7320"/>
    <w:rsid w:val="78EA5710"/>
    <w:rsid w:val="78F32F61"/>
    <w:rsid w:val="78F46178"/>
    <w:rsid w:val="78F76249"/>
    <w:rsid w:val="78FD2FE2"/>
    <w:rsid w:val="79006402"/>
    <w:rsid w:val="790541F3"/>
    <w:rsid w:val="79392288"/>
    <w:rsid w:val="7955121E"/>
    <w:rsid w:val="795C6161"/>
    <w:rsid w:val="796F46A0"/>
    <w:rsid w:val="7975594B"/>
    <w:rsid w:val="797C23F5"/>
    <w:rsid w:val="799C565A"/>
    <w:rsid w:val="79B03A01"/>
    <w:rsid w:val="79B61DD2"/>
    <w:rsid w:val="79C07B31"/>
    <w:rsid w:val="7A010B4C"/>
    <w:rsid w:val="7A230972"/>
    <w:rsid w:val="7A4E1BE5"/>
    <w:rsid w:val="7A86172A"/>
    <w:rsid w:val="7A86235C"/>
    <w:rsid w:val="7A8C31A7"/>
    <w:rsid w:val="7A926745"/>
    <w:rsid w:val="7A965794"/>
    <w:rsid w:val="7AB70811"/>
    <w:rsid w:val="7AD51747"/>
    <w:rsid w:val="7AD86E13"/>
    <w:rsid w:val="7AD9139A"/>
    <w:rsid w:val="7AE52E13"/>
    <w:rsid w:val="7AEC3FE1"/>
    <w:rsid w:val="7AEC7106"/>
    <w:rsid w:val="7AEF4E49"/>
    <w:rsid w:val="7AF23E61"/>
    <w:rsid w:val="7AFB65D1"/>
    <w:rsid w:val="7AFC2853"/>
    <w:rsid w:val="7B246757"/>
    <w:rsid w:val="7B2A1024"/>
    <w:rsid w:val="7B2B6D46"/>
    <w:rsid w:val="7B4C229B"/>
    <w:rsid w:val="7B5053EA"/>
    <w:rsid w:val="7B542EFE"/>
    <w:rsid w:val="7B565D6F"/>
    <w:rsid w:val="7B64551F"/>
    <w:rsid w:val="7B6A0BEC"/>
    <w:rsid w:val="7B703C82"/>
    <w:rsid w:val="7B8671A0"/>
    <w:rsid w:val="7B8746F7"/>
    <w:rsid w:val="7B8F4DF1"/>
    <w:rsid w:val="7B8F7A66"/>
    <w:rsid w:val="7B941B84"/>
    <w:rsid w:val="7BA56EE3"/>
    <w:rsid w:val="7BAC2D3A"/>
    <w:rsid w:val="7BBA7205"/>
    <w:rsid w:val="7BC71395"/>
    <w:rsid w:val="7BDF6C6B"/>
    <w:rsid w:val="7BE2675B"/>
    <w:rsid w:val="7BE37720"/>
    <w:rsid w:val="7BE91898"/>
    <w:rsid w:val="7BF87D2D"/>
    <w:rsid w:val="7BFF10BB"/>
    <w:rsid w:val="7C0F7C05"/>
    <w:rsid w:val="7C1939BA"/>
    <w:rsid w:val="7C2852B3"/>
    <w:rsid w:val="7C39301E"/>
    <w:rsid w:val="7C42777A"/>
    <w:rsid w:val="7C446A44"/>
    <w:rsid w:val="7C502F40"/>
    <w:rsid w:val="7C572CA5"/>
    <w:rsid w:val="7C6023A9"/>
    <w:rsid w:val="7C674CB2"/>
    <w:rsid w:val="7C685205"/>
    <w:rsid w:val="7C6E1295"/>
    <w:rsid w:val="7C6E1430"/>
    <w:rsid w:val="7C8A2265"/>
    <w:rsid w:val="7C8C4B39"/>
    <w:rsid w:val="7C8F2B51"/>
    <w:rsid w:val="7C9A4F82"/>
    <w:rsid w:val="7CA659DB"/>
    <w:rsid w:val="7CA85F22"/>
    <w:rsid w:val="7CAB2E21"/>
    <w:rsid w:val="7CB2612E"/>
    <w:rsid w:val="7CB3005B"/>
    <w:rsid w:val="7CBE516E"/>
    <w:rsid w:val="7CBF6DD5"/>
    <w:rsid w:val="7CC320E9"/>
    <w:rsid w:val="7CD16A4D"/>
    <w:rsid w:val="7CD21154"/>
    <w:rsid w:val="7CD84004"/>
    <w:rsid w:val="7CD95DB0"/>
    <w:rsid w:val="7CE04A14"/>
    <w:rsid w:val="7CF160B0"/>
    <w:rsid w:val="7D033EC2"/>
    <w:rsid w:val="7D035AC9"/>
    <w:rsid w:val="7D0A69F7"/>
    <w:rsid w:val="7D1A6D3E"/>
    <w:rsid w:val="7D247E6E"/>
    <w:rsid w:val="7D272678"/>
    <w:rsid w:val="7D3467D9"/>
    <w:rsid w:val="7D37755F"/>
    <w:rsid w:val="7D492DAE"/>
    <w:rsid w:val="7D4C2119"/>
    <w:rsid w:val="7D563869"/>
    <w:rsid w:val="7D5909DE"/>
    <w:rsid w:val="7D63656D"/>
    <w:rsid w:val="7D641FC7"/>
    <w:rsid w:val="7D7F24B4"/>
    <w:rsid w:val="7D853842"/>
    <w:rsid w:val="7D8950E1"/>
    <w:rsid w:val="7DA67E52"/>
    <w:rsid w:val="7DB0512F"/>
    <w:rsid w:val="7DB859C6"/>
    <w:rsid w:val="7DBB5C88"/>
    <w:rsid w:val="7DD132A3"/>
    <w:rsid w:val="7DD24CD9"/>
    <w:rsid w:val="7E083896"/>
    <w:rsid w:val="7E0B1F99"/>
    <w:rsid w:val="7E120026"/>
    <w:rsid w:val="7E292420"/>
    <w:rsid w:val="7E341174"/>
    <w:rsid w:val="7E436938"/>
    <w:rsid w:val="7E512A8E"/>
    <w:rsid w:val="7E512ECC"/>
    <w:rsid w:val="7E5542FF"/>
    <w:rsid w:val="7E66278F"/>
    <w:rsid w:val="7E7F64E4"/>
    <w:rsid w:val="7E891B10"/>
    <w:rsid w:val="7E9173A9"/>
    <w:rsid w:val="7EAE4F3F"/>
    <w:rsid w:val="7EBB1354"/>
    <w:rsid w:val="7EC62364"/>
    <w:rsid w:val="7ED50BAB"/>
    <w:rsid w:val="7EDB01A9"/>
    <w:rsid w:val="7EFA3281"/>
    <w:rsid w:val="7F0D3870"/>
    <w:rsid w:val="7F2D0B46"/>
    <w:rsid w:val="7F3C7050"/>
    <w:rsid w:val="7F5473CB"/>
    <w:rsid w:val="7F560281"/>
    <w:rsid w:val="7F5B1111"/>
    <w:rsid w:val="7F5F03E9"/>
    <w:rsid w:val="7F672E6B"/>
    <w:rsid w:val="7F6851CA"/>
    <w:rsid w:val="7F84211A"/>
    <w:rsid w:val="7F9A7014"/>
    <w:rsid w:val="7FA0356C"/>
    <w:rsid w:val="7FA37664"/>
    <w:rsid w:val="7FAC0C3E"/>
    <w:rsid w:val="7FC75816"/>
    <w:rsid w:val="7FE66FFF"/>
    <w:rsid w:val="7FE97A73"/>
    <w:rsid w:val="7FEA592C"/>
    <w:rsid w:val="7FEC7BA9"/>
    <w:rsid w:val="7FF34F22"/>
    <w:rsid w:val="7FF57A6C"/>
    <w:rsid w:val="7FFF7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unhideWhenUsed="0" w:uiPriority="0" w:semiHidden="0" w:name="Date"/>
    <w:lsdException w:uiPriority="99" w:semiHidden="0" w:name="Body Text First Indent"/>
    <w:lsdException w:qFormat="1"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58"/>
    <w:qFormat/>
    <w:uiPriority w:val="0"/>
    <w:pPr>
      <w:keepNext/>
      <w:keepLines/>
      <w:spacing w:before="340" w:beforeLines="0" w:after="330" w:afterLines="0" w:line="576" w:lineRule="auto"/>
      <w:jc w:val="center"/>
      <w:outlineLvl w:val="0"/>
    </w:pPr>
    <w:rPr>
      <w:b/>
      <w:bCs/>
      <w:kern w:val="44"/>
      <w:sz w:val="30"/>
      <w:szCs w:val="44"/>
    </w:rPr>
  </w:style>
  <w:style w:type="paragraph" w:styleId="5">
    <w:name w:val="heading 2"/>
    <w:basedOn w:val="1"/>
    <w:next w:val="1"/>
    <w:link w:val="59"/>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6">
    <w:name w:val="heading 3"/>
    <w:basedOn w:val="1"/>
    <w:next w:val="7"/>
    <w:link w:val="60"/>
    <w:qFormat/>
    <w:uiPriority w:val="0"/>
    <w:pPr>
      <w:keepNext/>
      <w:keepLines/>
      <w:spacing w:before="260" w:beforeLines="0" w:after="260" w:afterLines="0" w:line="416" w:lineRule="auto"/>
      <w:jc w:val="center"/>
      <w:outlineLvl w:val="2"/>
    </w:pPr>
    <w:rPr>
      <w:b/>
      <w:bCs/>
      <w:sz w:val="28"/>
      <w:szCs w:val="32"/>
    </w:rPr>
  </w:style>
  <w:style w:type="paragraph" w:styleId="8">
    <w:name w:val="heading 4"/>
    <w:basedOn w:val="1"/>
    <w:next w:val="9"/>
    <w:link w:val="62"/>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11">
    <w:name w:val="heading 5"/>
    <w:basedOn w:val="1"/>
    <w:next w:val="1"/>
    <w:link w:val="63"/>
    <w:qFormat/>
    <w:uiPriority w:val="0"/>
    <w:pPr>
      <w:keepNext/>
      <w:keepLines/>
      <w:tabs>
        <w:tab w:val="left" w:pos="1800"/>
      </w:tabs>
      <w:spacing w:before="280" w:beforeLines="0" w:after="290" w:afterLines="0" w:line="376" w:lineRule="auto"/>
      <w:ind w:left="1800" w:hanging="1800"/>
      <w:outlineLvl w:val="4"/>
    </w:pPr>
    <w:rPr>
      <w:b/>
      <w:bCs/>
      <w:sz w:val="28"/>
      <w:szCs w:val="28"/>
    </w:rPr>
  </w:style>
  <w:style w:type="paragraph" w:styleId="12">
    <w:name w:val="heading 6"/>
    <w:basedOn w:val="1"/>
    <w:next w:val="1"/>
    <w:link w:val="64"/>
    <w:qFormat/>
    <w:uiPriority w:val="0"/>
    <w:pPr>
      <w:keepNext/>
      <w:keepLines/>
      <w:adjustRightInd w:val="0"/>
      <w:spacing w:before="240" w:beforeLines="0" w:after="64" w:afterLines="0" w:line="320" w:lineRule="auto"/>
      <w:textAlignment w:val="baseline"/>
      <w:outlineLvl w:val="5"/>
    </w:pPr>
    <w:rPr>
      <w:rFonts w:ascii="Arial" w:hAnsi="Arial" w:eastAsia="黑体"/>
      <w:b/>
      <w:szCs w:val="20"/>
    </w:rPr>
  </w:style>
  <w:style w:type="paragraph" w:styleId="13">
    <w:name w:val="heading 7"/>
    <w:basedOn w:val="1"/>
    <w:next w:val="1"/>
    <w:link w:val="65"/>
    <w:qFormat/>
    <w:uiPriority w:val="0"/>
    <w:pPr>
      <w:keepNext/>
      <w:keepLines/>
      <w:adjustRightInd w:val="0"/>
      <w:spacing w:before="240" w:beforeLines="0" w:after="64" w:afterLines="0" w:line="320" w:lineRule="auto"/>
      <w:textAlignment w:val="baseline"/>
      <w:outlineLvl w:val="6"/>
    </w:pPr>
    <w:rPr>
      <w:b/>
      <w:szCs w:val="20"/>
    </w:rPr>
  </w:style>
  <w:style w:type="paragraph" w:styleId="14">
    <w:name w:val="heading 8"/>
    <w:basedOn w:val="1"/>
    <w:next w:val="1"/>
    <w:link w:val="66"/>
    <w:qFormat/>
    <w:uiPriority w:val="0"/>
    <w:pPr>
      <w:keepNext/>
      <w:keepLines/>
      <w:adjustRightInd w:val="0"/>
      <w:spacing w:before="240" w:beforeLines="0" w:after="64" w:afterLines="0" w:line="320" w:lineRule="auto"/>
      <w:textAlignment w:val="baseline"/>
      <w:outlineLvl w:val="7"/>
    </w:pPr>
    <w:rPr>
      <w:rFonts w:ascii="Arial" w:hAnsi="Arial" w:eastAsia="黑体"/>
      <w:szCs w:val="20"/>
    </w:rPr>
  </w:style>
  <w:style w:type="paragraph" w:styleId="15">
    <w:name w:val="heading 9"/>
    <w:basedOn w:val="1"/>
    <w:next w:val="1"/>
    <w:link w:val="67"/>
    <w:qFormat/>
    <w:uiPriority w:val="0"/>
    <w:pPr>
      <w:keepNext/>
      <w:keepLines/>
      <w:adjustRightInd w:val="0"/>
      <w:spacing w:before="240" w:beforeLines="0" w:after="64" w:afterLines="0" w:line="320" w:lineRule="auto"/>
      <w:textAlignment w:val="baseline"/>
      <w:outlineLvl w:val="8"/>
    </w:pPr>
    <w:rPr>
      <w:rFonts w:ascii="Arial" w:hAnsi="Arial" w:eastAsia="黑体"/>
      <w:szCs w:val="20"/>
    </w:rPr>
  </w:style>
  <w:style w:type="character" w:default="1" w:styleId="50">
    <w:name w:val="Default Paragraph Font"/>
    <w:uiPriority w:val="0"/>
    <w:rPr>
      <w:rFonts w:ascii="Tahoma" w:hAnsi="Tahoma"/>
      <w:sz w:val="24"/>
      <w:szCs w:val="20"/>
    </w:rPr>
  </w:style>
  <w:style w:type="table" w:default="1" w:styleId="48">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8"/>
      <w:tblCellMar>
        <w:top w:w="0" w:type="dxa"/>
        <w:left w:w="108" w:type="dxa"/>
        <w:bottom w:w="0" w:type="dxa"/>
        <w:right w:w="108" w:type="dxa"/>
      </w:tblCellMar>
    </w:tblPr>
  </w:style>
  <w:style w:type="paragraph" w:styleId="2">
    <w:name w:val="Body Text First Indent 2"/>
    <w:basedOn w:val="3"/>
    <w:next w:val="1"/>
    <w:link w:val="57"/>
    <w:unhideWhenUsed/>
    <w:qFormat/>
    <w:uiPriority w:val="99"/>
    <w:pPr>
      <w:spacing w:after="120" w:line="240" w:lineRule="auto"/>
      <w:ind w:left="420" w:leftChars="200" w:firstLine="420"/>
    </w:pPr>
    <w:rPr>
      <w:rFonts w:cs="宋体"/>
      <w:sz w:val="21"/>
      <w:szCs w:val="21"/>
    </w:rPr>
  </w:style>
  <w:style w:type="paragraph" w:styleId="3">
    <w:name w:val="Body Text Indent"/>
    <w:basedOn w:val="1"/>
    <w:next w:val="1"/>
    <w:link w:val="56"/>
    <w:uiPriority w:val="99"/>
    <w:pPr>
      <w:spacing w:line="200" w:lineRule="exact"/>
      <w:ind w:firstLine="301"/>
    </w:pPr>
    <w:rPr>
      <w:rFonts w:ascii="宋体" w:hAnsi="Courier New"/>
      <w:spacing w:val="-4"/>
      <w:sz w:val="18"/>
      <w:szCs w:val="20"/>
    </w:rPr>
  </w:style>
  <w:style w:type="paragraph" w:styleId="7">
    <w:name w:val="Normal Indent"/>
    <w:basedOn w:val="1"/>
    <w:uiPriority w:val="0"/>
    <w:pPr>
      <w:ind w:firstLine="420"/>
    </w:pPr>
    <w:rPr>
      <w:szCs w:val="20"/>
    </w:rPr>
  </w:style>
  <w:style w:type="paragraph" w:styleId="9">
    <w:name w:val="Body Text First Indent"/>
    <w:basedOn w:val="10"/>
    <w:next w:val="1"/>
    <w:unhideWhenUsed/>
    <w:uiPriority w:val="99"/>
    <w:pPr>
      <w:ind w:firstLine="420" w:firstLineChars="100"/>
    </w:pPr>
  </w:style>
  <w:style w:type="paragraph" w:styleId="10">
    <w:name w:val="Body Text"/>
    <w:basedOn w:val="1"/>
    <w:next w:val="1"/>
    <w:link w:val="61"/>
    <w:uiPriority w:val="0"/>
    <w:pPr>
      <w:spacing w:after="120" w:afterLines="0"/>
    </w:pPr>
    <w:rPr>
      <w:sz w:val="28"/>
    </w:rPr>
  </w:style>
  <w:style w:type="paragraph" w:styleId="16">
    <w:name w:val="toc 7"/>
    <w:basedOn w:val="1"/>
    <w:next w:val="1"/>
    <w:uiPriority w:val="0"/>
    <w:pPr>
      <w:ind w:left="1260"/>
      <w:jc w:val="left"/>
    </w:pPr>
    <w:rPr>
      <w:rFonts w:ascii="Calibri" w:hAnsi="Calibri" w:cs="Calibri"/>
      <w:sz w:val="18"/>
      <w:szCs w:val="18"/>
    </w:rPr>
  </w:style>
  <w:style w:type="paragraph" w:styleId="17">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8">
    <w:name w:val="caption"/>
    <w:basedOn w:val="1"/>
    <w:next w:val="1"/>
    <w:link w:val="68"/>
    <w:qFormat/>
    <w:uiPriority w:val="0"/>
    <w:pPr>
      <w:spacing w:before="152" w:beforeLines="0" w:after="160" w:afterLines="0"/>
    </w:pPr>
    <w:rPr>
      <w:rFonts w:ascii="Arial" w:hAnsi="Arial" w:eastAsia="黑体" w:cs="Arial"/>
      <w:sz w:val="20"/>
      <w:szCs w:val="20"/>
    </w:rPr>
  </w:style>
  <w:style w:type="paragraph" w:styleId="19">
    <w:name w:val="Document Map"/>
    <w:basedOn w:val="1"/>
    <w:link w:val="69"/>
    <w:uiPriority w:val="0"/>
    <w:pPr>
      <w:shd w:val="clear" w:color="auto" w:fill="000080"/>
    </w:pPr>
  </w:style>
  <w:style w:type="paragraph" w:styleId="20">
    <w:name w:val="annotation text"/>
    <w:basedOn w:val="1"/>
    <w:link w:val="70"/>
    <w:uiPriority w:val="0"/>
    <w:pPr>
      <w:jc w:val="left"/>
    </w:pPr>
    <w:rPr>
      <w:szCs w:val="20"/>
    </w:rPr>
  </w:style>
  <w:style w:type="paragraph" w:styleId="21">
    <w:name w:val="Body Text 3"/>
    <w:basedOn w:val="1"/>
    <w:link w:val="71"/>
    <w:uiPriority w:val="0"/>
    <w:pPr>
      <w:snapToGrid w:val="0"/>
      <w:spacing w:before="50" w:beforeLines="0" w:after="50" w:afterLines="0"/>
    </w:pPr>
    <w:rPr>
      <w:rFonts w:hAnsi="宋体" w:eastAsia="仿宋_GB2312"/>
      <w:b/>
      <w:bCs/>
      <w:sz w:val="24"/>
      <w:szCs w:val="20"/>
    </w:rPr>
  </w:style>
  <w:style w:type="paragraph" w:styleId="22">
    <w:name w:val="List Number 3"/>
    <w:basedOn w:val="1"/>
    <w:uiPriority w:val="0"/>
    <w:pPr>
      <w:numPr>
        <w:ilvl w:val="0"/>
        <w:numId w:val="1"/>
      </w:numPr>
    </w:pPr>
  </w:style>
  <w:style w:type="paragraph" w:styleId="23">
    <w:name w:val="List 2"/>
    <w:basedOn w:val="1"/>
    <w:uiPriority w:val="0"/>
    <w:pPr>
      <w:ind w:left="100" w:leftChars="200" w:hanging="200" w:hangingChars="200"/>
    </w:pPr>
    <w:rPr>
      <w:sz w:val="28"/>
    </w:rPr>
  </w:style>
  <w:style w:type="paragraph" w:styleId="24">
    <w:name w:val="toc 5"/>
    <w:basedOn w:val="1"/>
    <w:next w:val="1"/>
    <w:uiPriority w:val="0"/>
    <w:pPr>
      <w:ind w:left="840"/>
      <w:jc w:val="left"/>
    </w:pPr>
    <w:rPr>
      <w:rFonts w:ascii="Calibri" w:hAnsi="Calibri" w:cs="Calibri"/>
      <w:sz w:val="18"/>
      <w:szCs w:val="18"/>
    </w:rPr>
  </w:style>
  <w:style w:type="paragraph" w:styleId="25">
    <w:name w:val="toc 3"/>
    <w:basedOn w:val="1"/>
    <w:next w:val="1"/>
    <w:uiPriority w:val="39"/>
    <w:pPr>
      <w:ind w:left="840" w:leftChars="400"/>
    </w:pPr>
  </w:style>
  <w:style w:type="paragraph" w:styleId="26">
    <w:name w:val="Plain Text"/>
    <w:basedOn w:val="1"/>
    <w:next w:val="1"/>
    <w:link w:val="72"/>
    <w:uiPriority w:val="0"/>
    <w:pPr>
      <w:spacing w:before="156" w:beforeLines="50" w:after="156" w:afterLines="50" w:line="400" w:lineRule="exact"/>
    </w:pPr>
    <w:rPr>
      <w:rFonts w:ascii="宋体" w:hAnsi="Courier New"/>
      <w:sz w:val="24"/>
    </w:rPr>
  </w:style>
  <w:style w:type="paragraph" w:styleId="27">
    <w:name w:val="toc 8"/>
    <w:basedOn w:val="1"/>
    <w:next w:val="1"/>
    <w:uiPriority w:val="0"/>
    <w:pPr>
      <w:ind w:left="1470"/>
      <w:jc w:val="left"/>
    </w:pPr>
    <w:rPr>
      <w:rFonts w:ascii="Calibri" w:hAnsi="Calibri" w:cs="Calibri"/>
      <w:sz w:val="18"/>
      <w:szCs w:val="18"/>
    </w:rPr>
  </w:style>
  <w:style w:type="paragraph" w:styleId="28">
    <w:name w:val="Date"/>
    <w:basedOn w:val="1"/>
    <w:next w:val="1"/>
    <w:link w:val="73"/>
    <w:uiPriority w:val="0"/>
    <w:pPr>
      <w:ind w:leftChars="2500"/>
    </w:pPr>
    <w:rPr>
      <w:rFonts w:eastAsia="楷体_GB2312"/>
      <w:sz w:val="32"/>
      <w:szCs w:val="20"/>
    </w:rPr>
  </w:style>
  <w:style w:type="paragraph" w:styleId="29">
    <w:name w:val="Body Text Indent 2"/>
    <w:basedOn w:val="1"/>
    <w:link w:val="74"/>
    <w:uiPriority w:val="0"/>
    <w:pPr>
      <w:snapToGrid w:val="0"/>
      <w:ind w:firstLine="542" w:firstLineChars="225"/>
    </w:pPr>
    <w:rPr>
      <w:rFonts w:ascii="仿宋_GB2312" w:hAnsi="宋体"/>
      <w:b/>
      <w:bCs/>
      <w:color w:val="000000"/>
      <w:sz w:val="24"/>
    </w:rPr>
  </w:style>
  <w:style w:type="paragraph" w:styleId="30">
    <w:name w:val="endnote text"/>
    <w:basedOn w:val="1"/>
    <w:link w:val="75"/>
    <w:uiPriority w:val="0"/>
    <w:pPr>
      <w:snapToGrid w:val="0"/>
      <w:jc w:val="left"/>
    </w:pPr>
  </w:style>
  <w:style w:type="paragraph" w:styleId="31">
    <w:name w:val="Balloon Text"/>
    <w:basedOn w:val="1"/>
    <w:link w:val="76"/>
    <w:uiPriority w:val="0"/>
    <w:rPr>
      <w:sz w:val="18"/>
      <w:szCs w:val="18"/>
    </w:rPr>
  </w:style>
  <w:style w:type="paragraph" w:styleId="32">
    <w:name w:val="footer"/>
    <w:basedOn w:val="1"/>
    <w:link w:val="77"/>
    <w:uiPriority w:val="0"/>
    <w:pPr>
      <w:tabs>
        <w:tab w:val="center" w:pos="4153"/>
        <w:tab w:val="right" w:pos="8306"/>
      </w:tabs>
      <w:snapToGrid w:val="0"/>
      <w:jc w:val="left"/>
    </w:pPr>
    <w:rPr>
      <w:rFonts w:eastAsia="黑体"/>
      <w:snapToGrid w:val="0"/>
      <w:kern w:val="0"/>
      <w:sz w:val="18"/>
      <w:szCs w:val="18"/>
    </w:rPr>
  </w:style>
  <w:style w:type="paragraph" w:styleId="33">
    <w:name w:val="header"/>
    <w:basedOn w:val="1"/>
    <w:link w:val="78"/>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4">
    <w:name w:val="toc 1"/>
    <w:basedOn w:val="1"/>
    <w:next w:val="1"/>
    <w:uiPriority w:val="39"/>
    <w:pPr>
      <w:spacing w:before="600" w:beforeLines="0" w:after="600" w:afterLines="0"/>
    </w:pPr>
    <w:rPr>
      <w:b/>
      <w:sz w:val="32"/>
    </w:rPr>
  </w:style>
  <w:style w:type="paragraph" w:styleId="35">
    <w:name w:val="toc 4"/>
    <w:basedOn w:val="1"/>
    <w:next w:val="1"/>
    <w:uiPriority w:val="0"/>
    <w:pPr>
      <w:ind w:left="630"/>
      <w:jc w:val="left"/>
    </w:pPr>
    <w:rPr>
      <w:rFonts w:ascii="Calibri" w:hAnsi="Calibri" w:cs="Calibri"/>
      <w:sz w:val="18"/>
      <w:szCs w:val="18"/>
    </w:rPr>
  </w:style>
  <w:style w:type="paragraph" w:styleId="36">
    <w:name w:val="Subtitle"/>
    <w:basedOn w:val="1"/>
    <w:next w:val="1"/>
    <w:link w:val="79"/>
    <w:qFormat/>
    <w:uiPriority w:val="0"/>
    <w:pPr>
      <w:spacing w:before="240" w:beforeLines="0" w:after="60" w:afterLines="0" w:line="312" w:lineRule="auto"/>
      <w:jc w:val="center"/>
      <w:outlineLvl w:val="1"/>
    </w:pPr>
    <w:rPr>
      <w:rFonts w:ascii="Cambria" w:hAnsi="Cambria"/>
      <w:b/>
      <w:bCs/>
      <w:kern w:val="28"/>
      <w:sz w:val="32"/>
      <w:szCs w:val="32"/>
    </w:rPr>
  </w:style>
  <w:style w:type="paragraph" w:styleId="37">
    <w:name w:val="List"/>
    <w:basedOn w:val="1"/>
    <w:uiPriority w:val="0"/>
    <w:pPr>
      <w:ind w:left="200" w:hanging="200" w:hangingChars="200"/>
    </w:pPr>
    <w:rPr>
      <w:sz w:val="28"/>
    </w:rPr>
  </w:style>
  <w:style w:type="paragraph" w:styleId="38">
    <w:name w:val="footnote text"/>
    <w:basedOn w:val="1"/>
    <w:link w:val="80"/>
    <w:uiPriority w:val="0"/>
    <w:pPr>
      <w:snapToGrid w:val="0"/>
      <w:jc w:val="left"/>
    </w:pPr>
    <w:rPr>
      <w:sz w:val="18"/>
      <w:szCs w:val="18"/>
    </w:rPr>
  </w:style>
  <w:style w:type="paragraph" w:styleId="39">
    <w:name w:val="toc 6"/>
    <w:basedOn w:val="1"/>
    <w:next w:val="1"/>
    <w:uiPriority w:val="0"/>
    <w:pPr>
      <w:ind w:left="1050"/>
      <w:jc w:val="left"/>
    </w:pPr>
    <w:rPr>
      <w:rFonts w:ascii="Calibri" w:hAnsi="Calibri" w:cs="Calibri"/>
      <w:sz w:val="18"/>
      <w:szCs w:val="18"/>
    </w:rPr>
  </w:style>
  <w:style w:type="paragraph" w:styleId="40">
    <w:name w:val="Body Text Indent 3"/>
    <w:basedOn w:val="1"/>
    <w:link w:val="81"/>
    <w:uiPriority w:val="0"/>
    <w:pPr>
      <w:snapToGrid w:val="0"/>
      <w:ind w:firstLine="480" w:firstLineChars="200"/>
      <w:jc w:val="left"/>
    </w:pPr>
    <w:rPr>
      <w:rFonts w:ascii="仿宋_GB2312" w:hAnsi="宋体" w:eastAsia="仿宋_GB2312"/>
      <w:color w:val="000000"/>
      <w:sz w:val="24"/>
    </w:rPr>
  </w:style>
  <w:style w:type="paragraph" w:styleId="41">
    <w:name w:val="toc 2"/>
    <w:basedOn w:val="1"/>
    <w:next w:val="1"/>
    <w:uiPriority w:val="39"/>
    <w:pPr>
      <w:ind w:left="420" w:leftChars="200"/>
    </w:pPr>
  </w:style>
  <w:style w:type="paragraph" w:styleId="42">
    <w:name w:val="toc 9"/>
    <w:basedOn w:val="1"/>
    <w:next w:val="1"/>
    <w:uiPriority w:val="0"/>
    <w:pPr>
      <w:ind w:left="1680"/>
      <w:jc w:val="left"/>
    </w:pPr>
    <w:rPr>
      <w:rFonts w:ascii="Calibri" w:hAnsi="Calibri" w:cs="Calibri"/>
      <w:sz w:val="18"/>
      <w:szCs w:val="18"/>
    </w:rPr>
  </w:style>
  <w:style w:type="paragraph" w:styleId="43">
    <w:name w:val="Body Text 2"/>
    <w:basedOn w:val="1"/>
    <w:link w:val="82"/>
    <w:uiPriority w:val="0"/>
    <w:pPr>
      <w:widowControl/>
      <w:snapToGrid w:val="0"/>
      <w:spacing w:before="50" w:beforeLines="0" w:after="156" w:afterLines="50" w:line="400" w:lineRule="exact"/>
      <w:jc w:val="left"/>
    </w:pPr>
    <w:rPr>
      <w:rFonts w:ascii="宋体" w:hAnsi="宋体"/>
      <w:color w:val="000000"/>
      <w:sz w:val="24"/>
    </w:rPr>
  </w:style>
  <w:style w:type="paragraph" w:styleId="4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5">
    <w:name w:val="Normal (Web)"/>
    <w:basedOn w:val="1"/>
    <w:link w:val="83"/>
    <w:qFormat/>
    <w:uiPriority w:val="0"/>
    <w:pPr>
      <w:widowControl/>
      <w:spacing w:before="100" w:beforeLines="0" w:beforeAutospacing="1" w:after="100" w:afterLines="0" w:afterAutospacing="1"/>
      <w:jc w:val="left"/>
    </w:pPr>
    <w:rPr>
      <w:kern w:val="0"/>
      <w:sz w:val="24"/>
    </w:rPr>
  </w:style>
  <w:style w:type="paragraph" w:styleId="46">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eastAsia="宋体" w:cs="Times New Roman"/>
      <w:b/>
      <w:color w:val="000000"/>
      <w:kern w:val="0"/>
      <w:sz w:val="32"/>
      <w:szCs w:val="32"/>
    </w:rPr>
  </w:style>
  <w:style w:type="paragraph" w:styleId="47">
    <w:name w:val="annotation subject"/>
    <w:basedOn w:val="20"/>
    <w:next w:val="20"/>
    <w:link w:val="171"/>
    <w:semiHidden/>
    <w:unhideWhenUsed/>
    <w:uiPriority w:val="99"/>
    <w:rPr>
      <w:b/>
      <w:bCs/>
      <w:szCs w:val="24"/>
    </w:rPr>
  </w:style>
  <w:style w:type="table" w:styleId="49">
    <w:name w:val="Table Grid"/>
    <w:basedOn w:val="48"/>
    <w:unhideWhenUsed/>
    <w:uiPriority w:val="39"/>
    <w:tblPr>
      <w:tblStyle w:val="4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qFormat/>
    <w:uiPriority w:val="22"/>
    <w:rPr>
      <w:rFonts w:ascii="Tahoma" w:hAnsi="Tahoma"/>
      <w:b/>
      <w:bCs/>
      <w:sz w:val="24"/>
      <w:szCs w:val="20"/>
    </w:rPr>
  </w:style>
  <w:style w:type="character" w:styleId="52">
    <w:name w:val="page number"/>
    <w:uiPriority w:val="0"/>
  </w:style>
  <w:style w:type="character" w:styleId="53">
    <w:name w:val="FollowedHyperlink"/>
    <w:uiPriority w:val="99"/>
    <w:rPr>
      <w:rFonts w:ascii="Tahoma" w:hAnsi="Tahoma"/>
      <w:color w:val="004102"/>
      <w:sz w:val="24"/>
      <w:szCs w:val="20"/>
      <w:u w:val="none"/>
    </w:rPr>
  </w:style>
  <w:style w:type="character" w:styleId="54">
    <w:name w:val="Hyperlink"/>
    <w:uiPriority w:val="99"/>
    <w:rPr>
      <w:rFonts w:ascii="Tahoma" w:hAnsi="Tahoma"/>
      <w:color w:val="004102"/>
      <w:sz w:val="24"/>
      <w:szCs w:val="20"/>
      <w:u w:val="none"/>
    </w:rPr>
  </w:style>
  <w:style w:type="character" w:styleId="55">
    <w:name w:val="annotation reference"/>
    <w:uiPriority w:val="0"/>
    <w:rPr>
      <w:sz w:val="21"/>
      <w:szCs w:val="21"/>
    </w:rPr>
  </w:style>
  <w:style w:type="character" w:customStyle="1" w:styleId="56">
    <w:name w:val="正文文本缩进 Char"/>
    <w:link w:val="3"/>
    <w:uiPriority w:val="99"/>
    <w:rPr>
      <w:rFonts w:ascii="宋体" w:hAnsi="Courier New"/>
      <w:spacing w:val="-4"/>
      <w:kern w:val="2"/>
      <w:sz w:val="18"/>
    </w:rPr>
  </w:style>
  <w:style w:type="character" w:customStyle="1" w:styleId="57">
    <w:name w:val="正文首行缩进 2 Char"/>
    <w:link w:val="2"/>
    <w:uiPriority w:val="99"/>
    <w:rPr>
      <w:rFonts w:ascii="宋体" w:hAnsi="Courier New" w:cs="宋体"/>
      <w:spacing w:val="-4"/>
      <w:kern w:val="2"/>
      <w:sz w:val="21"/>
      <w:szCs w:val="21"/>
    </w:rPr>
  </w:style>
  <w:style w:type="character" w:customStyle="1" w:styleId="58">
    <w:name w:val="标题 1 Char"/>
    <w:link w:val="4"/>
    <w:uiPriority w:val="0"/>
    <w:rPr>
      <w:b/>
      <w:bCs/>
      <w:kern w:val="44"/>
      <w:sz w:val="30"/>
      <w:szCs w:val="44"/>
    </w:rPr>
  </w:style>
  <w:style w:type="character" w:customStyle="1" w:styleId="59">
    <w:name w:val="标题 2 Char"/>
    <w:link w:val="5"/>
    <w:uiPriority w:val="0"/>
    <w:rPr>
      <w:rFonts w:ascii="Arial" w:hAnsi="Arial" w:eastAsia="黑体"/>
      <w:b/>
      <w:bCs/>
      <w:kern w:val="2"/>
      <w:sz w:val="32"/>
      <w:szCs w:val="32"/>
    </w:rPr>
  </w:style>
  <w:style w:type="character" w:customStyle="1" w:styleId="60">
    <w:name w:val="标题 3 Char"/>
    <w:link w:val="6"/>
    <w:uiPriority w:val="0"/>
    <w:rPr>
      <w:rFonts w:ascii="Calibri" w:hAnsi="Calibri"/>
      <w:b/>
      <w:bCs/>
      <w:kern w:val="2"/>
      <w:sz w:val="28"/>
      <w:szCs w:val="32"/>
    </w:rPr>
  </w:style>
  <w:style w:type="character" w:customStyle="1" w:styleId="61">
    <w:name w:val="正文文本 Char"/>
    <w:link w:val="10"/>
    <w:uiPriority w:val="0"/>
    <w:rPr>
      <w:kern w:val="2"/>
      <w:sz w:val="28"/>
      <w:szCs w:val="24"/>
    </w:rPr>
  </w:style>
  <w:style w:type="character" w:customStyle="1" w:styleId="62">
    <w:name w:val="标题 4 Char"/>
    <w:link w:val="8"/>
    <w:uiPriority w:val="0"/>
    <w:rPr>
      <w:rFonts w:ascii="Arial" w:hAnsi="Arial" w:eastAsia="黑体"/>
      <w:b/>
      <w:bCs/>
      <w:kern w:val="2"/>
      <w:sz w:val="28"/>
      <w:szCs w:val="28"/>
    </w:rPr>
  </w:style>
  <w:style w:type="character" w:customStyle="1" w:styleId="63">
    <w:name w:val="标题 5 Char"/>
    <w:link w:val="11"/>
    <w:uiPriority w:val="0"/>
    <w:rPr>
      <w:b/>
      <w:bCs/>
      <w:kern w:val="2"/>
      <w:sz w:val="28"/>
      <w:szCs w:val="28"/>
    </w:rPr>
  </w:style>
  <w:style w:type="character" w:customStyle="1" w:styleId="64">
    <w:name w:val="标题 6 Char"/>
    <w:link w:val="12"/>
    <w:uiPriority w:val="0"/>
    <w:rPr>
      <w:rFonts w:ascii="Arial" w:hAnsi="Arial" w:eastAsia="黑体"/>
      <w:b/>
      <w:kern w:val="2"/>
      <w:sz w:val="21"/>
    </w:rPr>
  </w:style>
  <w:style w:type="character" w:customStyle="1" w:styleId="65">
    <w:name w:val="标题 7 Char"/>
    <w:link w:val="13"/>
    <w:uiPriority w:val="0"/>
    <w:rPr>
      <w:b/>
      <w:kern w:val="2"/>
      <w:sz w:val="21"/>
    </w:rPr>
  </w:style>
  <w:style w:type="character" w:customStyle="1" w:styleId="66">
    <w:name w:val="标题 8 Char"/>
    <w:link w:val="14"/>
    <w:uiPriority w:val="0"/>
    <w:rPr>
      <w:rFonts w:ascii="Arial" w:hAnsi="Arial" w:eastAsia="黑体"/>
      <w:kern w:val="2"/>
      <w:sz w:val="21"/>
    </w:rPr>
  </w:style>
  <w:style w:type="character" w:customStyle="1" w:styleId="67">
    <w:name w:val="标题 9 Char"/>
    <w:link w:val="15"/>
    <w:uiPriority w:val="0"/>
    <w:rPr>
      <w:rFonts w:ascii="Arial" w:hAnsi="Arial" w:eastAsia="黑体"/>
      <w:kern w:val="2"/>
      <w:sz w:val="21"/>
    </w:rPr>
  </w:style>
  <w:style w:type="character" w:customStyle="1" w:styleId="68">
    <w:name w:val="题注 Char"/>
    <w:link w:val="18"/>
    <w:qFormat/>
    <w:uiPriority w:val="0"/>
    <w:rPr>
      <w:rFonts w:ascii="Arial" w:hAnsi="Arial" w:eastAsia="黑体" w:cs="Arial"/>
      <w:kern w:val="2"/>
    </w:rPr>
  </w:style>
  <w:style w:type="character" w:customStyle="1" w:styleId="69">
    <w:name w:val="文档结构图 Char"/>
    <w:link w:val="19"/>
    <w:uiPriority w:val="0"/>
    <w:rPr>
      <w:kern w:val="2"/>
      <w:sz w:val="21"/>
      <w:szCs w:val="24"/>
      <w:shd w:val="clear" w:color="auto" w:fill="000080"/>
    </w:rPr>
  </w:style>
  <w:style w:type="character" w:customStyle="1" w:styleId="70">
    <w:name w:val="批注文字 Char"/>
    <w:link w:val="20"/>
    <w:uiPriority w:val="0"/>
    <w:rPr>
      <w:kern w:val="2"/>
      <w:sz w:val="21"/>
    </w:rPr>
  </w:style>
  <w:style w:type="character" w:customStyle="1" w:styleId="71">
    <w:name w:val="正文文本 3 Char"/>
    <w:link w:val="21"/>
    <w:uiPriority w:val="0"/>
    <w:rPr>
      <w:rFonts w:hAnsi="宋体" w:eastAsia="仿宋_GB2312"/>
      <w:b/>
      <w:bCs/>
      <w:kern w:val="2"/>
      <w:sz w:val="24"/>
    </w:rPr>
  </w:style>
  <w:style w:type="character" w:customStyle="1" w:styleId="72">
    <w:name w:val="纯文本 Char"/>
    <w:link w:val="26"/>
    <w:uiPriority w:val="0"/>
    <w:rPr>
      <w:rFonts w:hint="eastAsia" w:ascii="宋体" w:hAnsi="Courier New" w:eastAsia="宋体" w:cs="宋体"/>
      <w:kern w:val="2"/>
      <w:sz w:val="24"/>
      <w:szCs w:val="24"/>
    </w:rPr>
  </w:style>
  <w:style w:type="character" w:customStyle="1" w:styleId="73">
    <w:name w:val="日期 Char"/>
    <w:link w:val="28"/>
    <w:uiPriority w:val="0"/>
    <w:rPr>
      <w:rFonts w:eastAsia="楷体_GB2312"/>
      <w:kern w:val="2"/>
      <w:sz w:val="32"/>
    </w:rPr>
  </w:style>
  <w:style w:type="character" w:customStyle="1" w:styleId="74">
    <w:name w:val="正文文本缩进 2 Char"/>
    <w:link w:val="29"/>
    <w:uiPriority w:val="0"/>
    <w:rPr>
      <w:rFonts w:ascii="仿宋_GB2312" w:hAnsi="宋体" w:cs="Arial"/>
      <w:b/>
      <w:bCs/>
      <w:color w:val="000000"/>
      <w:kern w:val="2"/>
      <w:sz w:val="24"/>
      <w:szCs w:val="24"/>
    </w:rPr>
  </w:style>
  <w:style w:type="character" w:customStyle="1" w:styleId="75">
    <w:name w:val="尾注文本 Char"/>
    <w:link w:val="30"/>
    <w:uiPriority w:val="0"/>
    <w:rPr>
      <w:kern w:val="2"/>
      <w:sz w:val="21"/>
      <w:szCs w:val="24"/>
    </w:rPr>
  </w:style>
  <w:style w:type="character" w:customStyle="1" w:styleId="76">
    <w:name w:val="批注框文本 Char"/>
    <w:link w:val="31"/>
    <w:uiPriority w:val="0"/>
    <w:rPr>
      <w:kern w:val="2"/>
      <w:sz w:val="18"/>
      <w:szCs w:val="18"/>
    </w:rPr>
  </w:style>
  <w:style w:type="character" w:customStyle="1" w:styleId="77">
    <w:name w:val="页脚 Char"/>
    <w:link w:val="32"/>
    <w:uiPriority w:val="0"/>
    <w:rPr>
      <w:rFonts w:eastAsia="黑体"/>
      <w:snapToGrid w:val="0"/>
      <w:sz w:val="18"/>
      <w:szCs w:val="18"/>
      <w:lang w:val="en-US" w:eastAsia="zh-CN" w:bidi="ar-SA"/>
    </w:rPr>
  </w:style>
  <w:style w:type="character" w:customStyle="1" w:styleId="78">
    <w:name w:val="页眉 Char"/>
    <w:link w:val="33"/>
    <w:uiPriority w:val="0"/>
    <w:rPr>
      <w:rFonts w:eastAsia="仿宋_GB2312"/>
      <w:kern w:val="2"/>
      <w:sz w:val="18"/>
    </w:rPr>
  </w:style>
  <w:style w:type="character" w:customStyle="1" w:styleId="79">
    <w:name w:val="副标题 Char"/>
    <w:link w:val="36"/>
    <w:uiPriority w:val="0"/>
    <w:rPr>
      <w:rFonts w:ascii="Cambria" w:hAnsi="Cambria"/>
      <w:b/>
      <w:bCs/>
      <w:kern w:val="28"/>
      <w:sz w:val="32"/>
      <w:szCs w:val="32"/>
    </w:rPr>
  </w:style>
  <w:style w:type="character" w:customStyle="1" w:styleId="80">
    <w:name w:val="脚注文本 Char"/>
    <w:link w:val="38"/>
    <w:uiPriority w:val="0"/>
    <w:rPr>
      <w:kern w:val="2"/>
      <w:sz w:val="18"/>
      <w:szCs w:val="18"/>
    </w:rPr>
  </w:style>
  <w:style w:type="character" w:customStyle="1" w:styleId="81">
    <w:name w:val="正文文本缩进 3 Char"/>
    <w:link w:val="40"/>
    <w:uiPriority w:val="0"/>
    <w:rPr>
      <w:rFonts w:ascii="仿宋_GB2312" w:hAnsi="宋体" w:eastAsia="仿宋_GB2312"/>
      <w:color w:val="000000"/>
      <w:kern w:val="2"/>
      <w:sz w:val="24"/>
      <w:szCs w:val="24"/>
    </w:rPr>
  </w:style>
  <w:style w:type="character" w:customStyle="1" w:styleId="82">
    <w:name w:val="正文文本 2 Char"/>
    <w:link w:val="43"/>
    <w:uiPriority w:val="0"/>
    <w:rPr>
      <w:rFonts w:ascii="宋体" w:hAnsi="宋体"/>
      <w:color w:val="000000"/>
      <w:kern w:val="2"/>
      <w:sz w:val="24"/>
      <w:szCs w:val="24"/>
    </w:rPr>
  </w:style>
  <w:style w:type="character" w:customStyle="1" w:styleId="83">
    <w:name w:val="普通(网站) Char"/>
    <w:link w:val="45"/>
    <w:locked/>
    <w:uiPriority w:val="99"/>
    <w:rPr>
      <w:sz w:val="24"/>
      <w:szCs w:val="24"/>
    </w:rPr>
  </w:style>
  <w:style w:type="character" w:customStyle="1" w:styleId="84">
    <w:name w:val="副标题 Char1"/>
    <w:uiPriority w:val="11"/>
    <w:rPr>
      <w:rFonts w:ascii="Cambria" w:hAnsi="Cambria" w:eastAsia="宋体" w:cs="Times New Roman"/>
      <w:b/>
      <w:bCs/>
      <w:kern w:val="28"/>
      <w:sz w:val="32"/>
      <w:szCs w:val="32"/>
    </w:rPr>
  </w:style>
  <w:style w:type="character" w:customStyle="1" w:styleId="85">
    <w:name w:val="正文文本 2 Char1"/>
    <w:semiHidden/>
    <w:uiPriority w:val="99"/>
    <w:rPr>
      <w:rFonts w:ascii="Times New Roman" w:hAnsi="Times New Roman" w:eastAsia="宋体" w:cs="Times New Roman"/>
      <w:szCs w:val="24"/>
    </w:rPr>
  </w:style>
  <w:style w:type="character" w:customStyle="1" w:styleId="86">
    <w:name w:val="m_461"/>
    <w:uiPriority w:val="0"/>
  </w:style>
  <w:style w:type="character" w:customStyle="1" w:styleId="87">
    <w:name w:val="m_391"/>
    <w:uiPriority w:val="0"/>
  </w:style>
  <w:style w:type="character" w:customStyle="1" w:styleId="88">
    <w:name w:val="正文文本缩进 3 Char1"/>
    <w:semiHidden/>
    <w:uiPriority w:val="99"/>
    <w:rPr>
      <w:rFonts w:ascii="Times New Roman" w:hAnsi="Times New Roman" w:eastAsia="宋体" w:cs="Times New Roman"/>
      <w:sz w:val="16"/>
      <w:szCs w:val="16"/>
    </w:rPr>
  </w:style>
  <w:style w:type="character" w:customStyle="1" w:styleId="89">
    <w:name w:val="font01"/>
    <w:qFormat/>
    <w:uiPriority w:val="0"/>
    <w:rPr>
      <w:rFonts w:hint="eastAsia" w:ascii="宋体" w:hAnsi="宋体" w:eastAsia="宋体" w:cs="宋体"/>
      <w:color w:val="000000"/>
      <w:sz w:val="20"/>
      <w:szCs w:val="20"/>
      <w:u w:val="none"/>
    </w:rPr>
  </w:style>
  <w:style w:type="character" w:customStyle="1" w:styleId="90">
    <w:name w:val=" Char Char4"/>
    <w:uiPriority w:val="0"/>
    <w:rPr>
      <w:rFonts w:eastAsia="仿宋_GB2312"/>
      <w:kern w:val="2"/>
      <w:sz w:val="18"/>
      <w:lang w:bidi="ar-SA"/>
    </w:rPr>
  </w:style>
  <w:style w:type="character" w:customStyle="1" w:styleId="91">
    <w:name w:val="纯文本 Char1"/>
    <w:semiHidden/>
    <w:uiPriority w:val="99"/>
    <w:rPr>
      <w:rFonts w:ascii="宋体" w:hAnsi="Courier New" w:eastAsia="宋体" w:cs="Times New Roman"/>
      <w:szCs w:val="21"/>
    </w:rPr>
  </w:style>
  <w:style w:type="character" w:customStyle="1" w:styleId="92">
    <w:name w:val="m_01"/>
    <w:uiPriority w:val="0"/>
  </w:style>
  <w:style w:type="character" w:customStyle="1" w:styleId="93">
    <w:name w:val="textcolor1"/>
    <w:uiPriority w:val="0"/>
    <w:rPr>
      <w:rFonts w:ascii="Tahoma" w:hAnsi="Tahoma"/>
      <w:color w:val="FF6600"/>
      <w:sz w:val="24"/>
      <w:szCs w:val="20"/>
    </w:rPr>
  </w:style>
  <w:style w:type="character" w:customStyle="1" w:styleId="94">
    <w:name w:val="Plain Text Char"/>
    <w:locked/>
    <w:uiPriority w:val="0"/>
    <w:rPr>
      <w:rFonts w:ascii="宋体" w:hAnsi="Courier New" w:eastAsia="宋体" w:cs="宋体"/>
      <w:kern w:val="2"/>
      <w:szCs w:val="24"/>
    </w:rPr>
  </w:style>
  <w:style w:type="character" w:customStyle="1" w:styleId="95">
    <w:name w:val="尾注文本 Char1"/>
    <w:semiHidden/>
    <w:uiPriority w:val="99"/>
    <w:rPr>
      <w:rFonts w:ascii="Times New Roman" w:hAnsi="Times New Roman" w:eastAsia="宋体" w:cs="Times New Roman"/>
      <w:szCs w:val="24"/>
    </w:rPr>
  </w:style>
  <w:style w:type="character" w:customStyle="1" w:styleId="96">
    <w:name w:val="页脚 Char1"/>
    <w:semiHidden/>
    <w:uiPriority w:val="99"/>
    <w:rPr>
      <w:rFonts w:ascii="Times New Roman" w:hAnsi="Times New Roman" w:eastAsia="宋体" w:cs="Times New Roman"/>
      <w:sz w:val="18"/>
      <w:szCs w:val="18"/>
    </w:rPr>
  </w:style>
  <w:style w:type="character" w:customStyle="1" w:styleId="97">
    <w:name w:val="font51"/>
    <w:uiPriority w:val="0"/>
    <w:rPr>
      <w:rFonts w:hint="eastAsia" w:ascii="仿宋_GB2312" w:hAnsi="Tahoma" w:eastAsia="仿宋_GB2312" w:cs="仿宋_GB2312"/>
      <w:color w:val="000000"/>
      <w:sz w:val="24"/>
      <w:szCs w:val="24"/>
      <w:u w:val="none"/>
    </w:rPr>
  </w:style>
  <w:style w:type="character" w:customStyle="1" w:styleId="98">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99">
    <w:name w:val="font21"/>
    <w:qFormat/>
    <w:uiPriority w:val="0"/>
    <w:rPr>
      <w:rFonts w:hint="eastAsia" w:ascii="宋体" w:hAnsi="宋体" w:eastAsia="宋体" w:cs="宋体"/>
      <w:color w:val="000000"/>
      <w:sz w:val="20"/>
      <w:szCs w:val="20"/>
      <w:u w:val="none"/>
    </w:rPr>
  </w:style>
  <w:style w:type="character" w:customStyle="1" w:styleId="100">
    <w:name w:val="font41"/>
    <w:uiPriority w:val="0"/>
    <w:rPr>
      <w:rFonts w:hint="eastAsia" w:ascii="仿宋_GB2312" w:hAnsi="Tahoma" w:eastAsia="仿宋_GB2312" w:cs="仿宋_GB2312"/>
      <w:color w:val="000000"/>
      <w:sz w:val="20"/>
      <w:szCs w:val="20"/>
      <w:u w:val="none"/>
    </w:rPr>
  </w:style>
  <w:style w:type="character" w:customStyle="1" w:styleId="101">
    <w:name w:val="正文文本 3 Char1"/>
    <w:semiHidden/>
    <w:uiPriority w:val="99"/>
    <w:rPr>
      <w:rFonts w:ascii="Times New Roman" w:hAnsi="Times New Roman" w:eastAsia="宋体" w:cs="Times New Roman"/>
      <w:sz w:val="16"/>
      <w:szCs w:val="16"/>
    </w:rPr>
  </w:style>
  <w:style w:type="character" w:customStyle="1" w:styleId="102">
    <w:name w:val="正文文本首行缩进 字符"/>
    <w:uiPriority w:val="0"/>
    <w:rPr>
      <w:rFonts w:hint="default" w:ascii="Times New Roman" w:hAnsi="Times New Roman" w:eastAsia="宋体" w:cs="Times New Roman"/>
      <w:kern w:val="2"/>
      <w:sz w:val="21"/>
      <w:szCs w:val="24"/>
    </w:rPr>
  </w:style>
  <w:style w:type="character" w:customStyle="1" w:styleId="103">
    <w:name w:val="fontstyle11"/>
    <w:uiPriority w:val="0"/>
    <w:rPr>
      <w:rFonts w:ascii="ArialMT" w:hAnsi="ArialMT" w:eastAsia="ArialMT" w:cs="ArialMT"/>
      <w:color w:val="000000"/>
      <w:sz w:val="24"/>
      <w:szCs w:val="24"/>
    </w:rPr>
  </w:style>
  <w:style w:type="character" w:customStyle="1" w:styleId="104">
    <w:name w:val="m_491"/>
    <w:uiPriority w:val="0"/>
  </w:style>
  <w:style w:type="character" w:customStyle="1" w:styleId="105">
    <w:name w:val="fontstyle01"/>
    <w:uiPriority w:val="0"/>
    <w:rPr>
      <w:rFonts w:ascii="宋体" w:hAnsi="宋体" w:eastAsia="宋体" w:cs="宋体"/>
      <w:color w:val="000000"/>
      <w:sz w:val="24"/>
      <w:szCs w:val="24"/>
    </w:rPr>
  </w:style>
  <w:style w:type="character" w:customStyle="1" w:styleId="106">
    <w:name w:val="m_51"/>
    <w:uiPriority w:val="0"/>
  </w:style>
  <w:style w:type="character" w:customStyle="1" w:styleId="107">
    <w:name w:val="批注框文本 Char1"/>
    <w:semiHidden/>
    <w:uiPriority w:val="99"/>
    <w:rPr>
      <w:rFonts w:ascii="Times New Roman" w:hAnsi="Times New Roman" w:eastAsia="宋体" w:cs="Times New Roman"/>
      <w:sz w:val="16"/>
      <w:szCs w:val="16"/>
    </w:rPr>
  </w:style>
  <w:style w:type="character" w:customStyle="1" w:styleId="108">
    <w:name w:val="font11"/>
    <w:qFormat/>
    <w:uiPriority w:val="0"/>
    <w:rPr>
      <w:rFonts w:hint="eastAsia" w:ascii="宋体" w:hAnsi="宋体" w:eastAsia="宋体" w:cs="宋体"/>
      <w:color w:val="000000"/>
      <w:sz w:val="24"/>
      <w:szCs w:val="24"/>
      <w:u w:val="none"/>
      <w:vertAlign w:val="superscript"/>
    </w:rPr>
  </w:style>
  <w:style w:type="character" w:customStyle="1" w:styleId="109">
    <w:name w:val="font31"/>
    <w:qFormat/>
    <w:uiPriority w:val="0"/>
    <w:rPr>
      <w:rFonts w:hint="default" w:ascii="Times New Roman" w:hAnsi="Times New Roman" w:cs="Times New Roman"/>
      <w:b/>
      <w:color w:val="000000"/>
      <w:sz w:val="20"/>
      <w:szCs w:val="20"/>
      <w:u w:val="none"/>
    </w:rPr>
  </w:style>
  <w:style w:type="character" w:customStyle="1" w:styleId="110">
    <w:name w:val="页眉 Char1"/>
    <w:semiHidden/>
    <w:uiPriority w:val="99"/>
    <w:rPr>
      <w:rFonts w:ascii="Times New Roman" w:hAnsi="Times New Roman" w:eastAsia="宋体" w:cs="Times New Roman"/>
      <w:sz w:val="18"/>
      <w:szCs w:val="18"/>
    </w:rPr>
  </w:style>
  <w:style w:type="character" w:customStyle="1" w:styleId="111">
    <w:name w:val="纯文本 字符"/>
    <w:uiPriority w:val="0"/>
    <w:rPr>
      <w:rFonts w:ascii="宋体" w:hAnsi="Courier New" w:eastAsia="宋体"/>
      <w:kern w:val="2"/>
      <w:sz w:val="24"/>
      <w:szCs w:val="24"/>
      <w:lang w:val="en-US" w:eastAsia="zh-CN" w:bidi="ar-SA"/>
    </w:rPr>
  </w:style>
  <w:style w:type="character" w:customStyle="1" w:styleId="112">
    <w:name w:val="font14zd"/>
    <w:uiPriority w:val="0"/>
  </w:style>
  <w:style w:type="character" w:customStyle="1" w:styleId="113">
    <w:name w:val="脚注文本 Char1"/>
    <w:semiHidden/>
    <w:uiPriority w:val="99"/>
    <w:rPr>
      <w:rFonts w:ascii="Times New Roman" w:hAnsi="Times New Roman" w:eastAsia="宋体" w:cs="Times New Roman"/>
      <w:sz w:val="18"/>
      <w:szCs w:val="18"/>
    </w:rPr>
  </w:style>
  <w:style w:type="character" w:customStyle="1" w:styleId="114">
    <w:name w:val="普通文字 Char Char2"/>
    <w:aliases w:val="纯文本 Char Char Char1,普通文字 Char Char Char2,普通文字1 Char1,普通文字2 Char1,普通文字3 Char1,普通文字4 Char1,普通文字5 Char1,普通文字6 Char1,普通文字11 Char1,普通文字21 Char1,普通文字31 Char1,普通文字41 Char1,普通文字7 Char1,正 文 1 Char1,普通文字 Char2,普通文字 Char Char Char Char2,小 Char"/>
    <w:uiPriority w:val="0"/>
    <w:rPr>
      <w:rFonts w:ascii="宋体" w:hAnsi="Courier New" w:eastAsia="仿宋_GB2312"/>
      <w:kern w:val="2"/>
      <w:sz w:val="30"/>
      <w:lang w:val="en-US" w:eastAsia="zh-CN"/>
    </w:rPr>
  </w:style>
  <w:style w:type="character" w:customStyle="1" w:styleId="115">
    <w:name w:val="m_171"/>
    <w:uiPriority w:val="0"/>
  </w:style>
  <w:style w:type="character" w:customStyle="1" w:styleId="116">
    <w:name w:val="正文文本 Char1"/>
    <w:semiHidden/>
    <w:uiPriority w:val="99"/>
    <w:rPr>
      <w:rFonts w:ascii="Times New Roman" w:hAnsi="Times New Roman" w:eastAsia="宋体" w:cs="Times New Roman"/>
      <w:szCs w:val="24"/>
    </w:rPr>
  </w:style>
  <w:style w:type="character" w:customStyle="1" w:styleId="117">
    <w:name w:val="正文文本缩进 2 Char1"/>
    <w:semiHidden/>
    <w:uiPriority w:val="99"/>
    <w:rPr>
      <w:rFonts w:ascii="Times New Roman" w:hAnsi="Times New Roman" w:eastAsia="宋体" w:cs="Times New Roman"/>
      <w:szCs w:val="24"/>
    </w:rPr>
  </w:style>
  <w:style w:type="character" w:customStyle="1" w:styleId="118">
    <w:name w:val=" Char Char23"/>
    <w:uiPriority w:val="0"/>
    <w:rPr>
      <w:rFonts w:ascii="Arial" w:hAnsi="Arial" w:eastAsia="黑体"/>
      <w:b/>
      <w:bCs/>
      <w:kern w:val="2"/>
      <w:sz w:val="32"/>
      <w:szCs w:val="32"/>
      <w:lang w:val="en-US" w:eastAsia="zh-CN" w:bidi="ar-SA"/>
    </w:rPr>
  </w:style>
  <w:style w:type="character" w:customStyle="1" w:styleId="119">
    <w:name w:val="正文文本缩进 Char1"/>
    <w:semiHidden/>
    <w:uiPriority w:val="99"/>
    <w:rPr>
      <w:rFonts w:ascii="Times New Roman" w:hAnsi="Times New Roman" w:eastAsia="宋体" w:cs="Times New Roman"/>
      <w:szCs w:val="24"/>
    </w:rPr>
  </w:style>
  <w:style w:type="character" w:customStyle="1" w:styleId="120">
    <w:name w:val="日期 Char1"/>
    <w:semiHidden/>
    <w:uiPriority w:val="99"/>
    <w:rPr>
      <w:rFonts w:ascii="Times New Roman" w:hAnsi="Times New Roman" w:eastAsia="宋体" w:cs="Times New Roman"/>
      <w:szCs w:val="24"/>
    </w:rPr>
  </w:style>
  <w:style w:type="paragraph" w:customStyle="1" w:styleId="121">
    <w:name w:val="默认段落字体 Para Char Char Char Char Char Char Char Char Char1 Char Char Char Char"/>
    <w:basedOn w:val="1"/>
    <w:uiPriority w:val="0"/>
    <w:rPr>
      <w:rFonts w:ascii="Tahoma" w:hAnsi="Tahoma"/>
      <w:sz w:val="24"/>
      <w:szCs w:val="20"/>
    </w:rPr>
  </w:style>
  <w:style w:type="paragraph" w:customStyle="1" w:styleId="122">
    <w:name w:val="样式3"/>
    <w:basedOn w:val="26"/>
    <w:next w:val="1"/>
    <w:qFormat/>
    <w:uiPriority w:val="0"/>
    <w:pPr>
      <w:adjustRightInd/>
      <w:textAlignment w:val="auto"/>
    </w:pPr>
    <w:rPr>
      <w:rFonts w:ascii="Times New Roman" w:hAnsi="Times New Roman" w:eastAsia="宋体" w:cs="Times New Roman"/>
      <w:kern w:val="2"/>
      <w:sz w:val="21"/>
      <w:szCs w:val="20"/>
    </w:rPr>
  </w:style>
  <w:style w:type="paragraph" w:customStyle="1" w:styleId="123">
    <w:name w:val="列出段落1"/>
    <w:basedOn w:val="1"/>
    <w:uiPriority w:val="0"/>
    <w:pPr>
      <w:ind w:firstLine="420" w:firstLineChars="200"/>
    </w:pPr>
    <w:rPr>
      <w:rFonts w:ascii="Calibri" w:hAnsi="Calibri"/>
      <w:szCs w:val="22"/>
    </w:rPr>
  </w:style>
  <w:style w:type="paragraph" w:customStyle="1" w:styleId="124">
    <w:name w:val="Body Text First Indent 21"/>
    <w:basedOn w:val="125"/>
    <w:qFormat/>
    <w:uiPriority w:val="0"/>
    <w:pPr>
      <w:spacing w:after="120" w:afterLines="0" w:line="240" w:lineRule="auto"/>
      <w:ind w:left="420" w:leftChars="200" w:firstLine="420"/>
    </w:pPr>
    <w:rPr>
      <w:rFonts w:cs="宋体"/>
    </w:rPr>
  </w:style>
  <w:style w:type="paragraph" w:customStyle="1" w:styleId="125">
    <w:name w:val="Body Text Indent1"/>
    <w:basedOn w:val="1"/>
    <w:next w:val="1"/>
    <w:qFormat/>
    <w:uiPriority w:val="0"/>
    <w:pPr>
      <w:spacing w:after="120" w:afterLines="0"/>
      <w:ind w:left="420" w:leftChars="200"/>
    </w:pPr>
  </w:style>
  <w:style w:type="paragraph" w:customStyle="1" w:styleId="126">
    <w:name w:val="证文"/>
    <w:basedOn w:val="1"/>
    <w:uiPriority w:val="0"/>
    <w:pPr>
      <w:spacing w:line="360" w:lineRule="auto"/>
    </w:pPr>
    <w:rPr>
      <w:sz w:val="24"/>
      <w:szCs w:val="20"/>
    </w:rPr>
  </w:style>
  <w:style w:type="paragraph" w:customStyle="1" w:styleId="127">
    <w:name w:val="xl66"/>
    <w:basedOn w:val="1"/>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kern w:val="0"/>
      <w:sz w:val="24"/>
    </w:rPr>
  </w:style>
  <w:style w:type="paragraph" w:customStyle="1" w:styleId="128">
    <w:name w:val="自由格式 A"/>
    <w:uiPriority w:val="0"/>
    <w:rPr>
      <w:rFonts w:ascii="Helvetica" w:hAnsi="Helvetica" w:eastAsia="ヒラギノ角ゴ Pro W3"/>
      <w:color w:val="000000"/>
      <w:sz w:val="24"/>
      <w:lang w:val="en-US" w:eastAsia="zh-CN" w:bidi="ar-SA"/>
    </w:rPr>
  </w:style>
  <w:style w:type="paragraph" w:customStyle="1" w:styleId="129">
    <w:name w:val="地址内"/>
    <w:basedOn w:val="1"/>
    <w:uiPriority w:val="0"/>
    <w:rPr>
      <w:szCs w:val="20"/>
    </w:rPr>
  </w:style>
  <w:style w:type="paragraph" w:customStyle="1" w:styleId="130">
    <w:name w:val="正文1"/>
    <w:basedOn w:val="1"/>
    <w:uiPriority w:val="0"/>
    <w:pPr>
      <w:tabs>
        <w:tab w:val="left" w:pos="2220"/>
      </w:tabs>
      <w:spacing w:line="360" w:lineRule="auto"/>
      <w:ind w:left="360" w:hanging="360"/>
    </w:pPr>
    <w:rPr>
      <w:rFonts w:ascii="宋体" w:hAnsi="宋体"/>
    </w:rPr>
  </w:style>
  <w:style w:type="paragraph" w:customStyle="1" w:styleId="131">
    <w:name w:val="_Style 3"/>
    <w:qFormat/>
    <w:uiPriority w:val="0"/>
    <w:pPr>
      <w:widowControl w:val="0"/>
      <w:jc w:val="both"/>
    </w:pPr>
    <w:rPr>
      <w:kern w:val="2"/>
      <w:sz w:val="21"/>
      <w:szCs w:val="22"/>
      <w:lang w:val="en-US" w:eastAsia="zh-CN" w:bidi="ar-SA"/>
    </w:rPr>
  </w:style>
  <w:style w:type="paragraph" w:customStyle="1" w:styleId="13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133">
    <w:name w:val="List Paragraph"/>
    <w:basedOn w:val="1"/>
    <w:qFormat/>
    <w:uiPriority w:val="34"/>
    <w:pPr>
      <w:ind w:firstLine="420" w:firstLineChars="200"/>
    </w:pPr>
    <w:rPr>
      <w:rFonts w:ascii="Calibri" w:hAnsi="Calibri"/>
      <w:szCs w:val="22"/>
    </w:rPr>
  </w:style>
  <w:style w:type="paragraph" w:customStyle="1" w:styleId="134">
    <w:name w:val="纯文本1"/>
    <w:basedOn w:val="130"/>
    <w:qFormat/>
    <w:uiPriority w:val="99"/>
    <w:pPr>
      <w:widowControl/>
      <w:jc w:val="left"/>
    </w:pPr>
    <w:rPr>
      <w:rFonts w:ascii="宋体" w:hAnsi="Courier New" w:cs="宋体"/>
    </w:rPr>
  </w:style>
  <w:style w:type="paragraph" w:customStyle="1" w:styleId="13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36">
    <w:name w:val="样式 标题 3 +"/>
    <w:basedOn w:val="6"/>
    <w:uiPriority w:val="0"/>
    <w:rPr>
      <w:kern w:val="0"/>
    </w:rPr>
  </w:style>
  <w:style w:type="paragraph" w:customStyle="1" w:styleId="137">
    <w:name w:val=" Char Char Char Char Char Char Char Char Char Char Char Char1 Char"/>
    <w:basedOn w:val="19"/>
    <w:uiPriority w:val="0"/>
    <w:rPr>
      <w:rFonts w:ascii="Tahoma" w:hAnsi="Tahoma"/>
      <w:sz w:val="24"/>
    </w:rPr>
  </w:style>
  <w:style w:type="paragraph" w:customStyle="1" w:styleId="138">
    <w:name w:val="样式 标题 1 + 两端对齐"/>
    <w:basedOn w:val="5"/>
    <w:next w:val="5"/>
    <w:uiPriority w:val="0"/>
    <w:pPr>
      <w:autoSpaceDE w:val="0"/>
      <w:autoSpaceDN w:val="0"/>
      <w:adjustRightInd w:val="0"/>
      <w:spacing w:before="340" w:beforeLines="0" w:after="330" w:afterLines="0" w:line="240" w:lineRule="auto"/>
      <w:jc w:val="center"/>
    </w:pPr>
    <w:rPr>
      <w:rFonts w:ascii="汉鼎简细圆" w:hAnsi="Times New Roman" w:eastAsia="宋体" w:cs="宋体"/>
      <w:kern w:val="44"/>
      <w:sz w:val="28"/>
      <w:szCs w:val="20"/>
    </w:rPr>
  </w:style>
  <w:style w:type="paragraph" w:customStyle="1" w:styleId="139">
    <w:name w:val="样式1"/>
    <w:basedOn w:val="8"/>
    <w:uiPriority w:val="0"/>
  </w:style>
  <w:style w:type="paragraph" w:customStyle="1" w:styleId="140">
    <w:name w:val="xl24"/>
    <w:basedOn w:val="1"/>
    <w:uiPriority w:val="0"/>
    <w:pPr>
      <w:widowControl/>
      <w:spacing w:before="100" w:beforeLines="0" w:beforeAutospacing="1" w:after="100" w:afterLines="0" w:afterAutospacing="1"/>
      <w:jc w:val="center"/>
      <w:textAlignment w:val="center"/>
    </w:pPr>
    <w:rPr>
      <w:rFonts w:ascii="宋体" w:hAnsi="宋体"/>
      <w:kern w:val="0"/>
      <w:sz w:val="24"/>
    </w:rPr>
  </w:style>
  <w:style w:type="paragraph" w:customStyle="1" w:styleId="141">
    <w:name w:val="Default"/>
    <w:uiPriority w:val="0"/>
    <w:pPr>
      <w:widowControl w:val="0"/>
      <w:autoSpaceDE w:val="0"/>
      <w:autoSpaceDN w:val="0"/>
      <w:adjustRightInd w:val="0"/>
    </w:pPr>
    <w:rPr>
      <w:color w:val="000000"/>
      <w:sz w:val="24"/>
      <w:szCs w:val="24"/>
      <w:lang w:val="en-US" w:eastAsia="zh-CN" w:bidi="ar-SA"/>
    </w:rPr>
  </w:style>
  <w:style w:type="paragraph" w:customStyle="1" w:styleId="142">
    <w:name w:val="[Normal]"/>
    <w:qFormat/>
    <w:uiPriority w:val="99"/>
    <w:rPr>
      <w:rFonts w:ascii="宋体" w:hAnsi="宋体"/>
      <w:sz w:val="24"/>
      <w:lang w:val="en-US" w:eastAsia="en-US" w:bidi="ar-SA"/>
    </w:rPr>
  </w:style>
  <w:style w:type="paragraph" w:customStyle="1" w:styleId="143">
    <w:name w:val="正文段"/>
    <w:basedOn w:val="1"/>
    <w:uiPriority w:val="0"/>
    <w:pPr>
      <w:widowControl/>
      <w:snapToGrid w:val="0"/>
      <w:spacing w:after="156" w:afterLines="50"/>
      <w:ind w:firstLine="200" w:firstLineChars="200"/>
    </w:pPr>
    <w:rPr>
      <w:kern w:val="0"/>
      <w:sz w:val="24"/>
      <w:szCs w:val="20"/>
    </w:rPr>
  </w:style>
  <w:style w:type="paragraph" w:customStyle="1" w:styleId="144">
    <w:name w:val="Heading2"/>
    <w:basedOn w:val="1"/>
    <w:next w:val="1"/>
    <w:qFormat/>
    <w:uiPriority w:val="0"/>
    <w:pPr>
      <w:keepNext/>
      <w:keepLines/>
      <w:spacing w:before="260" w:after="260" w:line="413" w:lineRule="auto"/>
      <w:jc w:val="both"/>
      <w:textAlignment w:val="baseline"/>
    </w:pPr>
    <w:rPr>
      <w:rFonts w:ascii="Arial" w:hAnsi="Arial" w:eastAsia="黑体" w:cs="Times New Roman"/>
      <w:b/>
      <w:bCs/>
      <w:kern w:val="2"/>
      <w:sz w:val="32"/>
      <w:szCs w:val="32"/>
      <w:lang w:val="en-US" w:eastAsia="zh-CN" w:bidi="ar-SA"/>
    </w:rPr>
  </w:style>
  <w:style w:type="paragraph" w:customStyle="1" w:styleId="145">
    <w:name w:val="正文 + 黑体"/>
    <w:basedOn w:val="9"/>
    <w:uiPriority w:val="0"/>
    <w:pPr>
      <w:spacing w:after="0" w:line="360" w:lineRule="exact"/>
      <w:ind w:firstLine="0" w:firstLineChars="0"/>
    </w:pPr>
  </w:style>
  <w:style w:type="paragraph" w:customStyle="1" w:styleId="146">
    <w:name w:val="List Paragraph"/>
    <w:basedOn w:val="1"/>
    <w:uiPriority w:val="0"/>
    <w:pPr>
      <w:ind w:firstLine="420" w:firstLineChars="200"/>
    </w:pPr>
    <w:rPr>
      <w:rFonts w:ascii="Calibri" w:hAnsi="Calibri" w:cs="Calibri"/>
    </w:rPr>
  </w:style>
  <w:style w:type="paragraph" w:customStyle="1" w:styleId="147">
    <w:name w:val="Char1"/>
    <w:basedOn w:val="1"/>
    <w:uiPriority w:val="0"/>
    <w:rPr>
      <w:rFonts w:ascii="Tahoma" w:hAnsi="Tahoma"/>
      <w:sz w:val="24"/>
      <w:szCs w:val="20"/>
    </w:rPr>
  </w:style>
  <w:style w:type="paragraph" w:customStyle="1" w:styleId="148">
    <w:name w:val="a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9">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50">
    <w:name w:val="_Style 4"/>
    <w:qFormat/>
    <w:uiPriority w:val="0"/>
    <w:pPr>
      <w:widowControl w:val="0"/>
      <w:jc w:val="both"/>
    </w:pPr>
    <w:rPr>
      <w:kern w:val="2"/>
      <w:sz w:val="21"/>
      <w:szCs w:val="22"/>
      <w:lang w:val="en-US" w:eastAsia="zh-CN" w:bidi="ar-SA"/>
    </w:rPr>
  </w:style>
  <w:style w:type="paragraph" w:customStyle="1" w:styleId="151">
    <w:name w:val="big"/>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152">
    <w:name w:val="Other|1"/>
    <w:basedOn w:val="1"/>
    <w:qFormat/>
    <w:uiPriority w:val="0"/>
    <w:pPr>
      <w:spacing w:line="322" w:lineRule="exact"/>
    </w:pPr>
    <w:rPr>
      <w:rFonts w:ascii="MingLiU" w:hAnsi="MingLiU" w:eastAsia="MingLiU" w:cs="MingLiU"/>
      <w:sz w:val="19"/>
      <w:szCs w:val="19"/>
      <w:lang w:val="zh-TW" w:eastAsia="zh-TW" w:bidi="zh-TW"/>
    </w:rPr>
  </w:style>
  <w:style w:type="paragraph" w:customStyle="1" w:styleId="153">
    <w:name w:val="Char3"/>
    <w:basedOn w:val="1"/>
    <w:uiPriority w:val="0"/>
    <w:rPr>
      <w:szCs w:val="20"/>
    </w:rPr>
  </w:style>
  <w:style w:type="paragraph" w:customStyle="1" w:styleId="154">
    <w:name w:val="Table Paragraph"/>
    <w:basedOn w:val="1"/>
    <w:qFormat/>
    <w:uiPriority w:val="1"/>
    <w:pPr>
      <w:jc w:val="center"/>
    </w:pPr>
    <w:rPr>
      <w:rFonts w:ascii="宋体" w:hAnsi="宋体" w:eastAsia="宋体" w:cs="宋体"/>
      <w:kern w:val="0"/>
      <w:sz w:val="22"/>
      <w:lang w:eastAsia="en-US"/>
    </w:rPr>
  </w:style>
  <w:style w:type="paragraph" w:customStyle="1" w:styleId="155">
    <w:name w:val="_Style 15"/>
    <w:qFormat/>
    <w:uiPriority w:val="0"/>
    <w:pPr>
      <w:widowControl w:val="0"/>
      <w:jc w:val="both"/>
    </w:pPr>
    <w:rPr>
      <w:kern w:val="2"/>
      <w:sz w:val="21"/>
      <w:szCs w:val="22"/>
      <w:lang w:val="en-US" w:eastAsia="zh-CN" w:bidi="ar-SA"/>
    </w:rPr>
  </w:style>
  <w:style w:type="paragraph" w:customStyle="1" w:styleId="156">
    <w:name w:val="正文2"/>
    <w:basedOn w:val="1"/>
    <w:qFormat/>
    <w:uiPriority w:val="0"/>
    <w:pPr>
      <w:ind w:firstLine="200" w:firstLineChars="200"/>
    </w:pPr>
    <w:rPr>
      <w:rFonts w:eastAsia="华文仿宋"/>
      <w:kern w:val="0"/>
      <w:sz w:val="28"/>
    </w:rPr>
  </w:style>
  <w:style w:type="paragraph" w:customStyle="1" w:styleId="157">
    <w:name w:val=" Char"/>
    <w:basedOn w:val="1"/>
    <w:uiPriority w:val="0"/>
    <w:rPr>
      <w:rFonts w:ascii="仿宋_GB2312" w:eastAsia="仿宋_GB2312"/>
      <w:b/>
      <w:sz w:val="32"/>
      <w:szCs w:val="32"/>
    </w:rPr>
  </w:style>
  <w:style w:type="paragraph" w:customStyle="1" w:styleId="158">
    <w:name w:val="样式 标题 3 +1"/>
    <w:basedOn w:val="6"/>
    <w:uiPriority w:val="0"/>
    <w:rPr>
      <w:kern w:val="0"/>
    </w:rPr>
  </w:style>
  <w:style w:type="paragraph" w:customStyle="1" w:styleId="159">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60">
    <w:name w:val="正文 + 小四"/>
    <w:basedOn w:val="9"/>
    <w:uiPriority w:val="0"/>
    <w:pPr>
      <w:spacing w:after="0" w:line="360" w:lineRule="exact"/>
      <w:ind w:firstLine="0" w:firstLineChars="0"/>
    </w:pPr>
    <w:rPr>
      <w:w w:val="80"/>
      <w:kern w:val="0"/>
    </w:rPr>
  </w:style>
  <w:style w:type="paragraph" w:customStyle="1" w:styleId="161">
    <w:name w:val=" Char1"/>
    <w:basedOn w:val="1"/>
    <w:uiPriority w:val="0"/>
    <w:rPr>
      <w:rFonts w:ascii="Tahoma" w:hAnsi="Tahoma"/>
      <w:sz w:val="24"/>
      <w:szCs w:val="20"/>
    </w:rPr>
  </w:style>
  <w:style w:type="paragraph" w:customStyle="1" w:styleId="162">
    <w:name w:val=" Char Char Char Char Char Char Char"/>
    <w:basedOn w:val="1"/>
    <w:uiPriority w:val="0"/>
    <w:rPr>
      <w:rFonts w:ascii="仿宋_GB2312" w:eastAsia="仿宋_GB2312"/>
      <w:b/>
      <w:sz w:val="32"/>
      <w:szCs w:val="32"/>
    </w:rPr>
  </w:style>
  <w:style w:type="paragraph" w:styleId="163">
    <w:name w:val=""/>
    <w:basedOn w:val="4"/>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164">
    <w:name w:val="此正文"/>
    <w:basedOn w:val="1"/>
    <w:uiPriority w:val="0"/>
    <w:pPr>
      <w:spacing w:line="360" w:lineRule="auto"/>
      <w:ind w:firstLine="200" w:firstLineChars="200"/>
    </w:pPr>
    <w:rPr>
      <w:sz w:val="24"/>
      <w:szCs w:val="24"/>
    </w:rPr>
  </w:style>
  <w:style w:type="paragraph" w:customStyle="1" w:styleId="165">
    <w:name w:val="文章正文"/>
    <w:basedOn w:val="1"/>
    <w:uiPriority w:val="0"/>
    <w:pPr>
      <w:spacing w:line="360" w:lineRule="auto"/>
      <w:ind w:firstLine="420"/>
    </w:pPr>
    <w:rPr>
      <w:sz w:val="24"/>
    </w:rPr>
  </w:style>
  <w:style w:type="paragraph" w:customStyle="1" w:styleId="166">
    <w:name w:val="Char"/>
    <w:basedOn w:val="1"/>
    <w:uiPriority w:val="0"/>
    <w:pPr>
      <w:widowControl/>
      <w:spacing w:after="160" w:afterLines="0" w:line="240" w:lineRule="exact"/>
      <w:jc w:val="left"/>
    </w:pPr>
    <w:rPr>
      <w:szCs w:val="20"/>
    </w:rPr>
  </w:style>
  <w:style w:type="table" w:customStyle="1" w:styleId="167">
    <w:name w:val="Table Normal"/>
    <w:unhideWhenUsed/>
    <w:qFormat/>
    <w:uiPriority w:val="0"/>
    <w:rPr>
      <w:lang w:val="en-US" w:eastAsia="zh-CN" w:bidi="ar-SA"/>
    </w:rPr>
    <w:tblPr>
      <w:tblStyle w:val="48"/>
      <w:tblCellMar>
        <w:top w:w="0" w:type="dxa"/>
        <w:left w:w="0" w:type="dxa"/>
        <w:bottom w:w="0" w:type="dxa"/>
        <w:right w:w="0" w:type="dxa"/>
      </w:tblCellMar>
    </w:tblPr>
  </w:style>
  <w:style w:type="character" w:customStyle="1" w:styleId="168">
    <w:name w:val="nav_title_txt"/>
    <w:qFormat/>
    <w:uiPriority w:val="0"/>
  </w:style>
  <w:style w:type="paragraph" w:customStyle="1" w:styleId="169">
    <w:name w:val="Plain Text1"/>
    <w:basedOn w:val="1"/>
    <w:qFormat/>
    <w:uiPriority w:val="0"/>
    <w:pPr>
      <w:spacing w:before="156" w:beforeLines="50" w:after="156" w:afterLines="50" w:line="400" w:lineRule="exact"/>
    </w:pPr>
    <w:rPr>
      <w:rFonts w:ascii="宋体" w:hAnsi="Courier New"/>
      <w:sz w:val="24"/>
    </w:rPr>
  </w:style>
  <w:style w:type="character" w:customStyle="1" w:styleId="170">
    <w:name w:val="页眉 Char2"/>
    <w:qFormat/>
    <w:uiPriority w:val="99"/>
    <w:rPr>
      <w:kern w:val="2"/>
      <w:sz w:val="18"/>
      <w:szCs w:val="18"/>
    </w:rPr>
  </w:style>
  <w:style w:type="character" w:customStyle="1" w:styleId="171">
    <w:name w:val="批注主题 Char"/>
    <w:link w:val="47"/>
    <w:semiHidden/>
    <w:uiPriority w:val="99"/>
    <w:rPr>
      <w:b/>
      <w:bCs/>
      <w:kern w:val="2"/>
      <w:sz w:val="21"/>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jpe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85</Pages>
  <Words>8979</Words>
  <Characters>51184</Characters>
  <Lines>426</Lines>
  <Paragraphs>120</Paragraphs>
  <TotalTime>0</TotalTime>
  <ScaleCrop>false</ScaleCrop>
  <LinksUpToDate>false</LinksUpToDate>
  <CharactersWithSpaces>60043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2023-11-15T06:43:00Z</dcterms:created>
  <dc:creator>黄旭明</dc:creator>
  <cp:lastModifiedBy>WPS_1701756769</cp:lastModifiedBy>
  <cp:lastPrinted>2023-11-30T07:49:00Z</cp:lastPrinted>
  <dcterms:modified xsi:type="dcterms:W3CDTF">2024-02-26T03:40:33Z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E64BDD56B352433292770ADF3A34875A_13</vt:lpwstr>
  </property>
</Properties>
</file>