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cs="宋体"/>
          <w:color w:val="auto"/>
          <w:sz w:val="32"/>
          <w:szCs w:val="32"/>
        </w:rPr>
      </w:pPr>
      <w:r>
        <w:rPr>
          <w:rFonts w:hint="eastAsia" w:ascii="宋体" w:hAnsi="宋体" w:cs="宋体"/>
          <w:color w:val="auto"/>
          <w:sz w:val="32"/>
          <w:szCs w:val="32"/>
        </w:rPr>
        <w:t xml:space="preserve">  </w:t>
      </w:r>
    </w:p>
    <w:p>
      <w:pPr>
        <w:spacing w:before="156" w:beforeLines="50"/>
        <w:rPr>
          <w:rFonts w:ascii="宋体" w:hAnsi="宋体" w:cs="宋体"/>
          <w:b/>
          <w:color w:val="auto"/>
          <w:sz w:val="52"/>
          <w:szCs w:val="52"/>
        </w:rPr>
      </w:pPr>
    </w:p>
    <w:p>
      <w:pPr>
        <w:spacing w:before="156" w:beforeLines="50"/>
        <w:rPr>
          <w:rFonts w:ascii="宋体" w:hAnsi="宋体" w:cs="宋体"/>
          <w:b/>
          <w:color w:val="auto"/>
          <w:sz w:val="52"/>
          <w:szCs w:val="52"/>
        </w:rPr>
      </w:pPr>
    </w:p>
    <w:p>
      <w:pPr>
        <w:pStyle w:val="122"/>
        <w:widowControl w:val="0"/>
        <w:snapToGrid w:val="0"/>
        <w:spacing w:line="470" w:lineRule="atLeast"/>
        <w:ind w:firstLine="0"/>
        <w:jc w:val="distribute"/>
        <w:rPr>
          <w:rFonts w:ascii="宋体" w:hAnsi="宋体" w:cs="宋体"/>
          <w:color w:val="auto"/>
          <w:sz w:val="72"/>
          <w:szCs w:val="72"/>
        </w:rPr>
      </w:pPr>
      <w:r>
        <w:rPr>
          <w:rFonts w:hint="eastAsia" w:ascii="宋体" w:hAnsi="宋体" w:cs="宋体"/>
          <w:color w:val="auto"/>
          <w:sz w:val="72"/>
          <w:szCs w:val="72"/>
        </w:rPr>
        <w:t>竞争性磋商文件</w:t>
      </w:r>
    </w:p>
    <w:p>
      <w:pPr>
        <w:pStyle w:val="122"/>
        <w:widowControl w:val="0"/>
        <w:snapToGrid w:val="0"/>
        <w:spacing w:line="470" w:lineRule="atLeast"/>
        <w:ind w:firstLine="0"/>
        <w:jc w:val="center"/>
        <w:rPr>
          <w:rFonts w:ascii="宋体" w:hAnsi="宋体" w:cs="宋体"/>
          <w:color w:val="auto"/>
          <w:szCs w:val="44"/>
        </w:rPr>
      </w:pPr>
    </w:p>
    <w:p>
      <w:pPr>
        <w:pStyle w:val="122"/>
        <w:widowControl w:val="0"/>
        <w:snapToGrid w:val="0"/>
        <w:spacing w:line="470" w:lineRule="atLeast"/>
        <w:ind w:firstLine="0"/>
        <w:jc w:val="center"/>
        <w:rPr>
          <w:rFonts w:ascii="宋体" w:hAnsi="宋体" w:cs="宋体"/>
          <w:color w:val="auto"/>
          <w:sz w:val="48"/>
          <w:szCs w:val="48"/>
        </w:rPr>
      </w:pPr>
      <w:r>
        <w:rPr>
          <w:rFonts w:hint="eastAsia" w:ascii="宋体" w:hAnsi="宋体" w:cs="宋体"/>
          <w:color w:val="auto"/>
          <w:szCs w:val="44"/>
        </w:rPr>
        <w:t>（电子采购项目）</w:t>
      </w:r>
    </w:p>
    <w:p>
      <w:pPr>
        <w:pStyle w:val="122"/>
        <w:widowControl w:val="0"/>
        <w:snapToGrid w:val="0"/>
        <w:spacing w:line="470" w:lineRule="atLeast"/>
        <w:ind w:firstLine="0"/>
        <w:jc w:val="center"/>
        <w:rPr>
          <w:rFonts w:ascii="宋体" w:hAnsi="宋体" w:cs="宋体"/>
          <w:b w:val="0"/>
          <w:color w:val="auto"/>
          <w:sz w:val="32"/>
        </w:rPr>
      </w:pPr>
    </w:p>
    <w:p>
      <w:pPr>
        <w:pStyle w:val="122"/>
        <w:widowControl w:val="0"/>
        <w:snapToGrid w:val="0"/>
        <w:spacing w:line="470" w:lineRule="atLeast"/>
        <w:ind w:firstLine="0"/>
        <w:jc w:val="center"/>
        <w:rPr>
          <w:rFonts w:ascii="宋体" w:hAnsi="宋体" w:cs="宋体"/>
          <w:b w:val="0"/>
          <w:color w:val="auto"/>
          <w:sz w:val="32"/>
        </w:rPr>
      </w:pPr>
    </w:p>
    <w:p>
      <w:pPr>
        <w:pStyle w:val="122"/>
        <w:widowControl w:val="0"/>
        <w:snapToGrid w:val="0"/>
        <w:spacing w:line="470" w:lineRule="atLeast"/>
        <w:ind w:firstLine="0"/>
        <w:jc w:val="center"/>
        <w:rPr>
          <w:rFonts w:ascii="宋体" w:hAnsi="宋体" w:cs="宋体"/>
          <w:b w:val="0"/>
          <w:color w:val="auto"/>
          <w:sz w:val="32"/>
        </w:rPr>
      </w:pPr>
    </w:p>
    <w:tbl>
      <w:tblPr>
        <w:tblStyle w:val="49"/>
        <w:tblW w:w="9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5"/>
        <w:gridCol w:w="7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015" w:type="dxa"/>
            <w:tcBorders>
              <w:tl2br w:val="nil"/>
              <w:tr2bl w:val="nil"/>
            </w:tcBorders>
          </w:tcPr>
          <w:p>
            <w:pPr>
              <w:spacing w:line="600" w:lineRule="exact"/>
              <w:jc w:val="distribute"/>
              <w:rPr>
                <w:rFonts w:ascii="宋体" w:hAnsi="宋体" w:cs="宋体"/>
                <w:b/>
                <w:color w:val="auto"/>
                <w:sz w:val="32"/>
                <w:szCs w:val="30"/>
                <w:u w:color="000000"/>
              </w:rPr>
            </w:pPr>
            <w:r>
              <w:rPr>
                <w:rFonts w:hint="eastAsia" w:ascii="宋体" w:hAnsi="宋体" w:cs="宋体"/>
                <w:b/>
                <w:color w:val="auto"/>
                <w:sz w:val="32"/>
                <w:szCs w:val="30"/>
                <w:u w:color="000000"/>
              </w:rPr>
              <w:t>项目名称：</w:t>
            </w:r>
          </w:p>
        </w:tc>
        <w:tc>
          <w:tcPr>
            <w:tcW w:w="7512" w:type="dxa"/>
            <w:tcBorders>
              <w:tl2br w:val="nil"/>
              <w:tr2bl w:val="nil"/>
            </w:tcBorders>
          </w:tcPr>
          <w:p>
            <w:pPr>
              <w:spacing w:line="600" w:lineRule="exact"/>
              <w:rPr>
                <w:rFonts w:ascii="宋体" w:hAnsi="宋体" w:cs="宋体"/>
                <w:b/>
                <w:color w:val="auto"/>
                <w:sz w:val="32"/>
                <w:szCs w:val="30"/>
                <w:u w:color="000000"/>
              </w:rPr>
            </w:pPr>
            <w:r>
              <w:rPr>
                <w:rFonts w:hint="eastAsia" w:ascii="宋体" w:hAnsi="宋体" w:cs="宋体"/>
                <w:b/>
                <w:color w:val="auto"/>
                <w:sz w:val="32"/>
                <w:szCs w:val="30"/>
                <w:u w:color="000000"/>
              </w:rPr>
              <w:t>时空信息云平台技术服务（2023年）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015" w:type="dxa"/>
            <w:tcBorders>
              <w:tl2br w:val="nil"/>
              <w:tr2bl w:val="nil"/>
            </w:tcBorders>
          </w:tcPr>
          <w:p>
            <w:pPr>
              <w:spacing w:line="600" w:lineRule="exact"/>
              <w:jc w:val="distribute"/>
              <w:rPr>
                <w:rFonts w:ascii="宋体" w:hAnsi="宋体" w:cs="宋体"/>
                <w:b/>
                <w:color w:val="auto"/>
                <w:sz w:val="32"/>
                <w:szCs w:val="30"/>
                <w:u w:color="000000"/>
              </w:rPr>
            </w:pPr>
            <w:r>
              <w:rPr>
                <w:rFonts w:hint="eastAsia" w:ascii="宋体" w:hAnsi="宋体" w:cs="宋体"/>
                <w:b/>
                <w:color w:val="auto"/>
                <w:sz w:val="32"/>
                <w:szCs w:val="30"/>
                <w:u w:color="000000"/>
              </w:rPr>
              <w:t>项目编号：</w:t>
            </w:r>
          </w:p>
        </w:tc>
        <w:tc>
          <w:tcPr>
            <w:tcW w:w="7512" w:type="dxa"/>
            <w:tcBorders>
              <w:tl2br w:val="nil"/>
              <w:tr2bl w:val="nil"/>
            </w:tcBorders>
          </w:tcPr>
          <w:p>
            <w:pPr>
              <w:spacing w:line="600" w:lineRule="exact"/>
              <w:rPr>
                <w:rFonts w:ascii="宋体" w:hAnsi="宋体" w:cs="宋体"/>
                <w:b/>
                <w:color w:val="auto"/>
                <w:sz w:val="32"/>
                <w:szCs w:val="30"/>
                <w:u w:color="000000"/>
              </w:rPr>
            </w:pPr>
            <w:r>
              <w:rPr>
                <w:rFonts w:hint="eastAsia" w:ascii="宋体" w:hAnsi="宋体" w:cs="宋体"/>
                <w:b/>
                <w:color w:val="auto"/>
                <w:sz w:val="32"/>
                <w:szCs w:val="30"/>
                <w:u w:color="000000"/>
              </w:rPr>
              <w:t>NBZS-202211497C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015" w:type="dxa"/>
            <w:tcBorders>
              <w:tl2br w:val="nil"/>
              <w:tr2bl w:val="nil"/>
            </w:tcBorders>
          </w:tcPr>
          <w:p>
            <w:pPr>
              <w:spacing w:line="600" w:lineRule="exact"/>
              <w:jc w:val="distribute"/>
              <w:rPr>
                <w:rFonts w:ascii="宋体" w:hAnsi="宋体" w:cs="宋体"/>
                <w:b/>
                <w:color w:val="auto"/>
                <w:sz w:val="32"/>
                <w:szCs w:val="30"/>
                <w:u w:color="000000"/>
              </w:rPr>
            </w:pPr>
          </w:p>
        </w:tc>
        <w:tc>
          <w:tcPr>
            <w:tcW w:w="7512" w:type="dxa"/>
            <w:tcBorders>
              <w:tl2br w:val="nil"/>
              <w:tr2bl w:val="nil"/>
            </w:tcBorders>
          </w:tcPr>
          <w:p>
            <w:pPr>
              <w:spacing w:line="600" w:lineRule="exact"/>
              <w:rPr>
                <w:rFonts w:ascii="宋体" w:hAnsi="宋体" w:cs="宋体"/>
                <w:b/>
                <w:color w:val="auto"/>
                <w:sz w:val="32"/>
                <w:szCs w:val="30"/>
                <w:u w:color="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015" w:type="dxa"/>
            <w:tcBorders>
              <w:tl2br w:val="nil"/>
              <w:tr2bl w:val="nil"/>
            </w:tcBorders>
          </w:tcPr>
          <w:p>
            <w:pPr>
              <w:spacing w:line="600" w:lineRule="exact"/>
              <w:jc w:val="distribute"/>
              <w:rPr>
                <w:rFonts w:ascii="宋体" w:hAnsi="宋体" w:cs="宋体"/>
                <w:b/>
                <w:color w:val="auto"/>
                <w:sz w:val="32"/>
                <w:szCs w:val="30"/>
                <w:u w:color="000000"/>
              </w:rPr>
            </w:pPr>
            <w:r>
              <w:rPr>
                <w:rFonts w:hint="eastAsia" w:ascii="宋体" w:hAnsi="宋体" w:cs="宋体"/>
                <w:b/>
                <w:color w:val="auto"/>
                <w:sz w:val="32"/>
                <w:szCs w:val="30"/>
                <w:u w:color="000000"/>
              </w:rPr>
              <w:t>采购人：</w:t>
            </w:r>
          </w:p>
        </w:tc>
        <w:tc>
          <w:tcPr>
            <w:tcW w:w="7512" w:type="dxa"/>
            <w:tcBorders>
              <w:tl2br w:val="nil"/>
              <w:tr2bl w:val="nil"/>
            </w:tcBorders>
          </w:tcPr>
          <w:p>
            <w:pPr>
              <w:spacing w:line="600" w:lineRule="exact"/>
              <w:rPr>
                <w:rFonts w:ascii="宋体" w:hAnsi="宋体" w:cs="宋体"/>
                <w:b/>
                <w:color w:val="auto"/>
                <w:sz w:val="32"/>
                <w:szCs w:val="30"/>
                <w:u w:color="000000"/>
              </w:rPr>
            </w:pPr>
            <w:r>
              <w:rPr>
                <w:rFonts w:hint="eastAsia" w:ascii="宋体" w:hAnsi="宋体" w:cs="宋体"/>
                <w:b/>
                <w:color w:val="auto"/>
                <w:sz w:val="32"/>
                <w:szCs w:val="30"/>
                <w:u w:color="000000"/>
              </w:rPr>
              <w:t>宁波市自然资源和规划局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2015" w:type="dxa"/>
            <w:tcBorders>
              <w:tl2br w:val="nil"/>
              <w:tr2bl w:val="nil"/>
            </w:tcBorders>
          </w:tcPr>
          <w:p>
            <w:pPr>
              <w:spacing w:line="600" w:lineRule="exact"/>
              <w:jc w:val="distribute"/>
              <w:rPr>
                <w:rFonts w:ascii="宋体" w:hAnsi="宋体" w:cs="宋体"/>
                <w:b/>
                <w:color w:val="auto"/>
                <w:sz w:val="32"/>
                <w:szCs w:val="30"/>
                <w:u w:color="000000"/>
              </w:rPr>
            </w:pPr>
            <w:r>
              <w:rPr>
                <w:rFonts w:hint="eastAsia" w:ascii="宋体" w:hAnsi="宋体" w:cs="宋体"/>
                <w:b/>
                <w:color w:val="auto"/>
                <w:sz w:val="32"/>
                <w:szCs w:val="30"/>
                <w:u w:color="000000"/>
              </w:rPr>
              <w:t>代理机构：</w:t>
            </w:r>
          </w:p>
        </w:tc>
        <w:tc>
          <w:tcPr>
            <w:tcW w:w="7512" w:type="dxa"/>
            <w:tcBorders>
              <w:tl2br w:val="nil"/>
              <w:tr2bl w:val="nil"/>
            </w:tcBorders>
          </w:tcPr>
          <w:p>
            <w:pPr>
              <w:spacing w:line="600" w:lineRule="exact"/>
              <w:rPr>
                <w:rFonts w:ascii="宋体" w:hAnsi="宋体" w:cs="宋体"/>
                <w:b/>
                <w:color w:val="auto"/>
                <w:sz w:val="32"/>
                <w:szCs w:val="30"/>
                <w:u w:color="000000"/>
              </w:rPr>
            </w:pPr>
            <w:r>
              <w:rPr>
                <w:rFonts w:hint="eastAsia" w:ascii="宋体" w:hAnsi="宋体" w:cs="宋体"/>
                <w:b/>
                <w:color w:val="auto"/>
                <w:sz w:val="32"/>
                <w:szCs w:val="30"/>
                <w:u w:color="000000"/>
              </w:rPr>
              <w:t>宁波中穗招标有限公司</w:t>
            </w:r>
          </w:p>
          <w:p>
            <w:pPr>
              <w:spacing w:line="600" w:lineRule="exact"/>
              <w:rPr>
                <w:rFonts w:ascii="宋体" w:hAnsi="宋体" w:cs="宋体"/>
                <w:b/>
                <w:color w:val="auto"/>
                <w:sz w:val="32"/>
                <w:szCs w:val="30"/>
                <w:u w:color="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4" w:hRule="atLeast"/>
        </w:trPr>
        <w:tc>
          <w:tcPr>
            <w:tcW w:w="9527" w:type="dxa"/>
            <w:gridSpan w:val="2"/>
            <w:tcBorders>
              <w:tl2br w:val="nil"/>
              <w:tr2bl w:val="nil"/>
            </w:tcBorders>
          </w:tcPr>
          <w:p>
            <w:pPr>
              <w:pStyle w:val="122"/>
              <w:spacing w:line="480" w:lineRule="auto"/>
              <w:jc w:val="left"/>
              <w:rPr>
                <w:rFonts w:ascii="宋体" w:hAnsi="宋体" w:cs="宋体"/>
                <w:color w:val="auto"/>
                <w:sz w:val="32"/>
                <w:szCs w:val="30"/>
              </w:rPr>
            </w:pPr>
          </w:p>
          <w:p>
            <w:pPr>
              <w:pStyle w:val="122"/>
              <w:spacing w:line="480" w:lineRule="auto"/>
              <w:jc w:val="left"/>
              <w:rPr>
                <w:rFonts w:ascii="宋体" w:hAnsi="宋体" w:cs="宋体"/>
                <w:color w:val="auto"/>
                <w:sz w:val="32"/>
                <w:szCs w:val="30"/>
              </w:rPr>
            </w:pPr>
          </w:p>
          <w:p>
            <w:pPr>
              <w:pStyle w:val="122"/>
              <w:spacing w:line="480" w:lineRule="auto"/>
              <w:jc w:val="center"/>
              <w:rPr>
                <w:bCs/>
                <w:color w:val="auto"/>
                <w:sz w:val="30"/>
                <w:szCs w:val="30"/>
              </w:rPr>
            </w:pPr>
          </w:p>
          <w:p>
            <w:pPr>
              <w:pStyle w:val="122"/>
              <w:spacing w:line="480" w:lineRule="auto"/>
              <w:ind w:firstLine="0"/>
              <w:jc w:val="center"/>
              <w:rPr>
                <w:rFonts w:ascii="宋体" w:hAnsi="宋体" w:cs="宋体"/>
                <w:color w:val="auto"/>
                <w:sz w:val="32"/>
                <w:szCs w:val="30"/>
              </w:rPr>
            </w:pPr>
            <w:r>
              <w:rPr>
                <w:bCs/>
                <w:color w:val="auto"/>
                <w:sz w:val="30"/>
                <w:szCs w:val="30"/>
              </w:rPr>
              <w:t>二〇</w:t>
            </w:r>
            <w:r>
              <w:rPr>
                <w:rFonts w:hint="eastAsia"/>
                <w:bCs/>
                <w:color w:val="auto"/>
                <w:sz w:val="30"/>
                <w:szCs w:val="30"/>
                <w:lang w:val="en-US" w:eastAsia="zh-CN"/>
              </w:rPr>
              <w:t>二三</w:t>
            </w:r>
            <w:r>
              <w:rPr>
                <w:bCs/>
                <w:color w:val="auto"/>
                <w:sz w:val="30"/>
                <w:szCs w:val="30"/>
              </w:rPr>
              <w:t>年</w:t>
            </w:r>
            <w:r>
              <w:rPr>
                <w:rFonts w:hint="eastAsia"/>
                <w:bCs/>
                <w:color w:val="auto"/>
                <w:sz w:val="30"/>
                <w:szCs w:val="30"/>
                <w:lang w:val="en-US" w:eastAsia="zh-CN"/>
              </w:rPr>
              <w:t>一</w:t>
            </w:r>
            <w:r>
              <w:rPr>
                <w:bCs/>
                <w:color w:val="auto"/>
                <w:sz w:val="30"/>
                <w:szCs w:val="30"/>
              </w:rPr>
              <w:t>月</w:t>
            </w:r>
          </w:p>
        </w:tc>
      </w:tr>
    </w:tbl>
    <w:p>
      <w:pPr>
        <w:pStyle w:val="122"/>
        <w:widowControl w:val="0"/>
        <w:snapToGrid w:val="0"/>
        <w:spacing w:line="470" w:lineRule="atLeast"/>
        <w:ind w:firstLine="0"/>
        <w:jc w:val="center"/>
        <w:rPr>
          <w:rFonts w:ascii="宋体" w:hAnsi="宋体" w:cs="宋体"/>
          <w:b w:val="0"/>
          <w:color w:val="auto"/>
          <w:sz w:val="32"/>
        </w:rPr>
      </w:pPr>
    </w:p>
    <w:p>
      <w:pPr>
        <w:jc w:val="center"/>
        <w:rPr>
          <w:rFonts w:ascii="宋体" w:hAnsi="宋体" w:cs="宋体"/>
          <w:b/>
          <w:color w:val="auto"/>
          <w:sz w:val="36"/>
          <w:szCs w:val="36"/>
          <w:lang w:val="zh-CN"/>
        </w:rPr>
      </w:pPr>
      <w:r>
        <w:rPr>
          <w:rFonts w:hint="eastAsia" w:ascii="宋体" w:hAnsi="宋体" w:cs="宋体"/>
          <w:b/>
          <w:color w:val="auto"/>
          <w:sz w:val="36"/>
          <w:szCs w:val="36"/>
          <w:lang w:val="zh-CN"/>
        </w:rPr>
        <w:t>目  录</w:t>
      </w:r>
    </w:p>
    <w:sdt>
      <w:sdtPr>
        <w:rPr>
          <w:rFonts w:ascii="宋体" w:hAnsi="宋体"/>
          <w:color w:val="auto"/>
          <w:sz w:val="28"/>
        </w:rPr>
        <w:id w:val="147477980"/>
        <w:docPartObj>
          <w:docPartGallery w:val="Table of Contents"/>
          <w:docPartUnique/>
        </w:docPartObj>
      </w:sdtPr>
      <w:sdtEndPr>
        <w:rPr>
          <w:rFonts w:ascii="Times New Roman" w:hAnsi="Times New Roman"/>
          <w:color w:val="auto"/>
          <w:sz w:val="28"/>
        </w:rPr>
      </w:sdtEndPr>
      <w:sdtContent>
        <w:p>
          <w:pPr>
            <w:jc w:val="center"/>
            <w:rPr>
              <w:color w:val="auto"/>
            </w:rPr>
          </w:pP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TOC \o "1-1" \h \u </w:instrText>
          </w:r>
          <w:r>
            <w:rPr>
              <w:color w:val="auto"/>
            </w:rPr>
            <w:fldChar w:fldCharType="separate"/>
          </w:r>
          <w:r>
            <w:rPr>
              <w:color w:val="auto"/>
            </w:rPr>
            <w:fldChar w:fldCharType="begin"/>
          </w:r>
          <w:r>
            <w:rPr>
              <w:color w:val="auto"/>
            </w:rPr>
            <w:instrText xml:space="preserve"> HYPERLINK \l "_Toc7958" </w:instrText>
          </w:r>
          <w:r>
            <w:rPr>
              <w:color w:val="auto"/>
            </w:rPr>
            <w:fldChar w:fldCharType="separate"/>
          </w:r>
          <w:r>
            <w:rPr>
              <w:rFonts w:hint="eastAsia" w:ascii="宋体" w:hAnsi="宋体" w:cs="宋体"/>
              <w:color w:val="auto"/>
              <w:sz w:val="28"/>
              <w:szCs w:val="28"/>
            </w:rPr>
            <w:t>第一章  竞争性磋商采购公告</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_Toc7958 \h </w:instrText>
          </w:r>
          <w:r>
            <w:rPr>
              <w:rFonts w:hint="eastAsia" w:ascii="宋体" w:hAnsi="宋体" w:cs="宋体"/>
              <w:color w:val="auto"/>
              <w:sz w:val="28"/>
              <w:szCs w:val="28"/>
            </w:rPr>
            <w:fldChar w:fldCharType="separate"/>
          </w:r>
          <w:r>
            <w:rPr>
              <w:rFonts w:hint="eastAsia" w:ascii="宋体" w:hAnsi="宋体" w:cs="宋体"/>
              <w:color w:val="auto"/>
              <w:sz w:val="28"/>
              <w:szCs w:val="28"/>
            </w:rPr>
            <w:t>1</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 HYPERLINK \l "_Toc24604" </w:instrText>
          </w:r>
          <w:r>
            <w:rPr>
              <w:color w:val="auto"/>
            </w:rPr>
            <w:fldChar w:fldCharType="separate"/>
          </w:r>
          <w:r>
            <w:rPr>
              <w:rFonts w:hint="eastAsia" w:ascii="宋体" w:hAnsi="宋体" w:cs="宋体"/>
              <w:color w:val="auto"/>
              <w:sz w:val="28"/>
              <w:szCs w:val="28"/>
            </w:rPr>
            <w:t>第二章  采购需求</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_Toc24604 \h </w:instrText>
          </w:r>
          <w:r>
            <w:rPr>
              <w:rFonts w:hint="eastAsia" w:ascii="宋体" w:hAnsi="宋体" w:cs="宋体"/>
              <w:color w:val="auto"/>
              <w:sz w:val="28"/>
              <w:szCs w:val="28"/>
            </w:rPr>
            <w:fldChar w:fldCharType="separate"/>
          </w:r>
          <w:r>
            <w:rPr>
              <w:rFonts w:hint="eastAsia" w:ascii="宋体" w:hAnsi="宋体" w:cs="宋体"/>
              <w:color w:val="auto"/>
              <w:sz w:val="28"/>
              <w:szCs w:val="28"/>
            </w:rPr>
            <w:t>4</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 HYPERLINK \l "_Toc11255" </w:instrText>
          </w:r>
          <w:r>
            <w:rPr>
              <w:color w:val="auto"/>
            </w:rPr>
            <w:fldChar w:fldCharType="separate"/>
          </w:r>
          <w:r>
            <w:rPr>
              <w:rFonts w:hint="eastAsia" w:ascii="宋体" w:hAnsi="宋体" w:cs="宋体"/>
              <w:color w:val="auto"/>
              <w:sz w:val="28"/>
              <w:szCs w:val="28"/>
            </w:rPr>
            <w:t>第三章  供应商须知</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_Toc11255 \h </w:instrText>
          </w:r>
          <w:r>
            <w:rPr>
              <w:rFonts w:hint="eastAsia" w:ascii="宋体" w:hAnsi="宋体" w:cs="宋体"/>
              <w:color w:val="auto"/>
              <w:sz w:val="28"/>
              <w:szCs w:val="28"/>
            </w:rPr>
            <w:fldChar w:fldCharType="separate"/>
          </w:r>
          <w:r>
            <w:rPr>
              <w:rFonts w:hint="eastAsia" w:ascii="宋体" w:hAnsi="宋体" w:cs="宋体"/>
              <w:color w:val="auto"/>
              <w:sz w:val="28"/>
              <w:szCs w:val="28"/>
            </w:rPr>
            <w:t>6</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 HYPERLINK \l "_Toc28750" </w:instrText>
          </w:r>
          <w:r>
            <w:rPr>
              <w:color w:val="auto"/>
            </w:rPr>
            <w:fldChar w:fldCharType="separate"/>
          </w:r>
          <w:r>
            <w:rPr>
              <w:rFonts w:hint="eastAsia" w:ascii="宋体" w:hAnsi="宋体" w:cs="宋体"/>
              <w:color w:val="auto"/>
              <w:sz w:val="28"/>
              <w:szCs w:val="28"/>
            </w:rPr>
            <w:t>第四章  评审办法及评分标准</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_Toc28750 \h </w:instrText>
          </w:r>
          <w:r>
            <w:rPr>
              <w:rFonts w:hint="eastAsia" w:ascii="宋体" w:hAnsi="宋体" w:cs="宋体"/>
              <w:color w:val="auto"/>
              <w:sz w:val="28"/>
              <w:szCs w:val="28"/>
            </w:rPr>
            <w:fldChar w:fldCharType="separate"/>
          </w:r>
          <w:r>
            <w:rPr>
              <w:rFonts w:hint="eastAsia" w:ascii="宋体" w:hAnsi="宋体" w:cs="宋体"/>
              <w:color w:val="auto"/>
              <w:sz w:val="28"/>
              <w:szCs w:val="28"/>
            </w:rPr>
            <w:t>19</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 HYPERLINK \l "_Toc28035" </w:instrText>
          </w:r>
          <w:r>
            <w:rPr>
              <w:color w:val="auto"/>
            </w:rPr>
            <w:fldChar w:fldCharType="separate"/>
          </w:r>
          <w:r>
            <w:rPr>
              <w:rFonts w:hint="eastAsia" w:ascii="宋体" w:hAnsi="宋体" w:cs="宋体"/>
              <w:color w:val="auto"/>
              <w:sz w:val="28"/>
              <w:szCs w:val="28"/>
            </w:rPr>
            <w:t>第五章  采购合同</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_Toc28035 \h </w:instrText>
          </w:r>
          <w:r>
            <w:rPr>
              <w:rFonts w:hint="eastAsia" w:ascii="宋体" w:hAnsi="宋体" w:cs="宋体"/>
              <w:color w:val="auto"/>
              <w:sz w:val="28"/>
              <w:szCs w:val="28"/>
            </w:rPr>
            <w:fldChar w:fldCharType="separate"/>
          </w:r>
          <w:r>
            <w:rPr>
              <w:rFonts w:hint="eastAsia" w:ascii="宋体" w:hAnsi="宋体" w:cs="宋体"/>
              <w:color w:val="auto"/>
              <w:sz w:val="28"/>
              <w:szCs w:val="28"/>
            </w:rPr>
            <w:t>23</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2"/>
            <w:tabs>
              <w:tab w:val="right" w:leader="dot" w:pos="8856"/>
            </w:tabs>
            <w:rPr>
              <w:rFonts w:ascii="宋体" w:hAnsi="宋体" w:cs="宋体"/>
              <w:color w:val="auto"/>
              <w:sz w:val="28"/>
              <w:szCs w:val="28"/>
            </w:rPr>
          </w:pPr>
          <w:r>
            <w:rPr>
              <w:color w:val="auto"/>
            </w:rPr>
            <w:fldChar w:fldCharType="begin"/>
          </w:r>
          <w:r>
            <w:rPr>
              <w:color w:val="auto"/>
            </w:rPr>
            <w:instrText xml:space="preserve"> HYPERLINK \l "_Toc4458" </w:instrText>
          </w:r>
          <w:r>
            <w:rPr>
              <w:color w:val="auto"/>
            </w:rPr>
            <w:fldChar w:fldCharType="separate"/>
          </w:r>
          <w:r>
            <w:rPr>
              <w:rFonts w:hint="eastAsia" w:ascii="宋体" w:hAnsi="宋体" w:cs="宋体"/>
              <w:color w:val="auto"/>
              <w:sz w:val="28"/>
              <w:szCs w:val="28"/>
            </w:rPr>
            <w:t>第六章  响应文件格式</w:t>
          </w:r>
          <w:r>
            <w:rPr>
              <w:rFonts w:hint="eastAsia" w:ascii="宋体" w:hAnsi="宋体" w:cs="宋体"/>
              <w:color w:val="auto"/>
              <w:sz w:val="28"/>
              <w:szCs w:val="28"/>
            </w:rPr>
            <w:tab/>
          </w:r>
          <w:r>
            <w:rPr>
              <w:rFonts w:hint="eastAsia" w:ascii="宋体" w:hAnsi="宋体" w:cs="宋体"/>
              <w:color w:val="auto"/>
              <w:sz w:val="28"/>
              <w:szCs w:val="28"/>
            </w:rPr>
            <w:t>2</w:t>
          </w:r>
          <w:r>
            <w:rPr>
              <w:rFonts w:hint="eastAsia" w:ascii="宋体" w:hAnsi="宋体" w:cs="宋体"/>
              <w:color w:val="auto"/>
              <w:sz w:val="28"/>
              <w:szCs w:val="28"/>
            </w:rPr>
            <w:fldChar w:fldCharType="end"/>
          </w:r>
          <w:r>
            <w:rPr>
              <w:rFonts w:hint="eastAsia" w:ascii="宋体" w:hAnsi="宋体" w:cs="宋体"/>
              <w:color w:val="auto"/>
              <w:sz w:val="28"/>
              <w:szCs w:val="28"/>
            </w:rPr>
            <w:t>8</w:t>
          </w:r>
        </w:p>
        <w:p>
          <w:pPr>
            <w:pStyle w:val="132"/>
            <w:tabs>
              <w:tab w:val="right" w:leader="dot" w:pos="8856"/>
            </w:tabs>
            <w:rPr>
              <w:color w:val="auto"/>
            </w:rPr>
          </w:pPr>
        </w:p>
        <w:p>
          <w:pPr>
            <w:pStyle w:val="19"/>
            <w:rPr>
              <w:color w:val="auto"/>
            </w:rPr>
          </w:pPr>
          <w:r>
            <w:rPr>
              <w:color w:val="auto"/>
            </w:rPr>
            <w:fldChar w:fldCharType="end"/>
          </w:r>
        </w:p>
      </w:sdtContent>
    </w:sdt>
    <w:p>
      <w:pPr>
        <w:pStyle w:val="28"/>
        <w:spacing w:before="120" w:beforeLines="0" w:after="120" w:afterLines="0" w:line="360" w:lineRule="auto"/>
        <w:jc w:val="center"/>
        <w:rPr>
          <w:rFonts w:hAnsi="宋体" w:cs="宋体"/>
          <w:b/>
          <w:bCs/>
          <w:color w:val="auto"/>
          <w:kern w:val="44"/>
          <w:sz w:val="30"/>
          <w:szCs w:val="44"/>
        </w:rPr>
        <w:sectPr>
          <w:footerReference r:id="rId5" w:type="first"/>
          <w:headerReference r:id="rId3" w:type="default"/>
          <w:footerReference r:id="rId4" w:type="default"/>
          <w:pgSz w:w="11906" w:h="16838"/>
          <w:pgMar w:top="1417" w:right="1440" w:bottom="1440" w:left="1610" w:header="851" w:footer="992" w:gutter="0"/>
          <w:pgNumType w:start="1"/>
          <w:cols w:space="720" w:num="1"/>
          <w:docGrid w:type="lines" w:linePitch="312" w:charSpace="0"/>
        </w:sectPr>
      </w:pPr>
      <w:bookmarkStart w:id="0" w:name="_Toc23614"/>
      <w:bookmarkStart w:id="1" w:name="_Toc13556"/>
      <w:bookmarkStart w:id="2" w:name="_Toc9492"/>
      <w:bookmarkStart w:id="3" w:name="_Toc18191"/>
    </w:p>
    <w:p>
      <w:pPr>
        <w:pStyle w:val="3"/>
        <w:rPr>
          <w:color w:val="auto"/>
        </w:rPr>
      </w:pPr>
      <w:bookmarkStart w:id="4" w:name="_Toc7958"/>
      <w:bookmarkStart w:id="5" w:name="_Toc16646"/>
      <w:r>
        <w:rPr>
          <w:rFonts w:hint="eastAsia"/>
          <w:color w:val="auto"/>
        </w:rPr>
        <w:t>第一章  竞争性磋商采购公告</w:t>
      </w:r>
      <w:bookmarkEnd w:id="0"/>
      <w:bookmarkEnd w:id="1"/>
      <w:bookmarkEnd w:id="2"/>
      <w:bookmarkEnd w:id="3"/>
      <w:bookmarkEnd w:id="4"/>
      <w:bookmarkEnd w:id="5"/>
    </w:p>
    <w:p>
      <w:pPr>
        <w:pBdr>
          <w:top w:val="single" w:color="auto" w:sz="4" w:space="1"/>
          <w:left w:val="single" w:color="auto" w:sz="4" w:space="4"/>
          <w:bottom w:val="single" w:color="auto" w:sz="4" w:space="0"/>
          <w:right w:val="single" w:color="auto" w:sz="4" w:space="4"/>
        </w:pBdr>
        <w:spacing w:line="400" w:lineRule="exact"/>
        <w:ind w:firstLine="422" w:firstLineChars="200"/>
        <w:rPr>
          <w:rFonts w:ascii="宋体" w:hAnsi="宋体" w:cs="宋体"/>
          <w:b/>
          <w:bCs/>
          <w:color w:val="auto"/>
          <w:szCs w:val="21"/>
        </w:rPr>
      </w:pPr>
      <w:r>
        <w:rPr>
          <w:rFonts w:hint="eastAsia" w:ascii="宋体" w:hAnsi="宋体" w:cs="宋体"/>
          <w:b/>
          <w:bCs/>
          <w:color w:val="auto"/>
          <w:szCs w:val="21"/>
        </w:rPr>
        <w:t>项目概况</w:t>
      </w:r>
    </w:p>
    <w:p>
      <w:pPr>
        <w:pBdr>
          <w:top w:val="single" w:color="auto" w:sz="4" w:space="1"/>
          <w:left w:val="single" w:color="auto" w:sz="4" w:space="4"/>
          <w:bottom w:val="single" w:color="auto" w:sz="4" w:space="0"/>
          <w:right w:val="single" w:color="auto" w:sz="4" w:space="4"/>
        </w:pBdr>
        <w:spacing w:line="400" w:lineRule="exact"/>
        <w:ind w:firstLine="420" w:firstLineChars="200"/>
        <w:jc w:val="left"/>
        <w:rPr>
          <w:rFonts w:ascii="宋体" w:hAnsi="宋体" w:cs="宋体"/>
          <w:color w:val="auto"/>
          <w:szCs w:val="21"/>
        </w:rPr>
      </w:pPr>
      <w:r>
        <w:rPr>
          <w:rFonts w:hint="eastAsia" w:ascii="宋体" w:hAnsi="宋体" w:cs="宋体"/>
          <w:bCs/>
          <w:color w:val="auto"/>
          <w:szCs w:val="21"/>
          <w:u w:val="single"/>
        </w:rPr>
        <w:t>时空信息云平台技术服务（2023年）项目</w:t>
      </w:r>
      <w:r>
        <w:rPr>
          <w:rFonts w:hint="eastAsia" w:ascii="宋体" w:hAnsi="宋体" w:cs="宋体"/>
          <w:color w:val="auto"/>
          <w:szCs w:val="21"/>
        </w:rPr>
        <w:t>的潜在供应商应在</w:t>
      </w:r>
      <w:r>
        <w:rPr>
          <w:rFonts w:hint="eastAsia" w:ascii="宋体" w:hAnsi="宋体" w:cs="宋体"/>
          <w:color w:val="auto"/>
          <w:szCs w:val="21"/>
          <w:u w:val="single"/>
        </w:rPr>
        <w:t>政采云平台（https://www.zcygov.cn）</w:t>
      </w:r>
      <w:r>
        <w:rPr>
          <w:rFonts w:hint="eastAsia" w:ascii="宋体" w:hAnsi="宋体" w:cs="宋体"/>
          <w:color w:val="auto"/>
          <w:szCs w:val="21"/>
        </w:rPr>
        <w:t>获取采购文件，并于</w:t>
      </w:r>
      <w:r>
        <w:rPr>
          <w:rFonts w:hint="eastAsia" w:ascii="宋体" w:hAnsi="宋体" w:cs="宋体"/>
          <w:color w:val="auto"/>
          <w:szCs w:val="21"/>
        </w:rPr>
        <w:t>2023年1月16</w:t>
      </w:r>
      <w:r>
        <w:rPr>
          <w:rFonts w:hint="eastAsia" w:ascii="宋体" w:hAnsi="宋体" w:cs="宋体"/>
          <w:bCs/>
          <w:color w:val="auto"/>
          <w:szCs w:val="21"/>
        </w:rPr>
        <w:t>日14点00分</w:t>
      </w:r>
      <w:r>
        <w:rPr>
          <w:rFonts w:hint="eastAsia" w:ascii="宋体" w:hAnsi="宋体" w:cs="宋体"/>
          <w:bCs/>
          <w:color w:val="auto"/>
          <w:szCs w:val="21"/>
        </w:rPr>
        <w:t>（北京时间）前提交响应文件</w:t>
      </w:r>
      <w:r>
        <w:rPr>
          <w:rFonts w:hint="eastAsia" w:ascii="宋体" w:hAnsi="宋体" w:cs="宋体"/>
          <w:color w:val="auto"/>
          <w:szCs w:val="21"/>
        </w:rPr>
        <w:t>。</w:t>
      </w:r>
    </w:p>
    <w:p>
      <w:pPr>
        <w:spacing w:line="400" w:lineRule="exact"/>
        <w:rPr>
          <w:b/>
          <w:bCs/>
          <w:color w:val="auto"/>
        </w:rPr>
      </w:pPr>
      <w:bookmarkStart w:id="6" w:name="_Toc12368"/>
      <w:bookmarkStart w:id="7" w:name="_Toc3669"/>
      <w:bookmarkStart w:id="8" w:name="_Toc20361"/>
      <w:bookmarkStart w:id="9" w:name="_Toc2529"/>
      <w:bookmarkStart w:id="10" w:name="_Toc35393629"/>
      <w:bookmarkStart w:id="11" w:name="_Toc11971"/>
      <w:bookmarkStart w:id="12" w:name="_Toc35393798"/>
      <w:bookmarkStart w:id="13" w:name="_Toc7647"/>
      <w:bookmarkStart w:id="14" w:name="_Toc28359089"/>
      <w:bookmarkStart w:id="15" w:name="_Toc28359012"/>
      <w:bookmarkStart w:id="16" w:name="_Toc23207"/>
      <w:r>
        <w:rPr>
          <w:rFonts w:hint="eastAsia"/>
          <w:b/>
          <w:bCs/>
          <w:color w:val="auto"/>
        </w:rPr>
        <w:t>一、项目基本情况</w:t>
      </w:r>
      <w:bookmarkEnd w:id="6"/>
      <w:bookmarkEnd w:id="7"/>
      <w:bookmarkEnd w:id="8"/>
      <w:bookmarkEnd w:id="9"/>
      <w:bookmarkEnd w:id="10"/>
      <w:bookmarkEnd w:id="11"/>
      <w:bookmarkEnd w:id="12"/>
      <w:bookmarkEnd w:id="13"/>
      <w:bookmarkEnd w:id="14"/>
      <w:bookmarkEnd w:id="15"/>
      <w:bookmarkEnd w:id="16"/>
    </w:p>
    <w:p>
      <w:pPr>
        <w:pStyle w:val="102"/>
        <w:widowControl/>
        <w:numPr>
          <w:ilvl w:val="0"/>
          <w:numId w:val="3"/>
        </w:numPr>
        <w:spacing w:before="156" w:beforeLines="50" w:after="120" w:line="400" w:lineRule="exact"/>
        <w:ind w:firstLineChars="0"/>
        <w:jc w:val="left"/>
        <w:rPr>
          <w:rFonts w:eastAsia="宋体"/>
          <w:color w:val="auto"/>
          <w:kern w:val="0"/>
          <w:sz w:val="21"/>
        </w:rPr>
      </w:pPr>
      <w:bookmarkStart w:id="17" w:name="_Toc35393799"/>
      <w:bookmarkStart w:id="18" w:name="_Toc28359090"/>
      <w:bookmarkStart w:id="19" w:name="_Toc28359013"/>
      <w:bookmarkStart w:id="20" w:name="_Toc35393630"/>
      <w:r>
        <w:rPr>
          <w:rFonts w:hint="eastAsia" w:eastAsia="宋体"/>
          <w:color w:val="auto"/>
          <w:kern w:val="0"/>
          <w:sz w:val="21"/>
        </w:rPr>
        <w:t>项目编号：NBZS-202211497C </w:t>
      </w:r>
    </w:p>
    <w:p>
      <w:pPr>
        <w:pStyle w:val="102"/>
        <w:widowControl/>
        <w:numPr>
          <w:ilvl w:val="0"/>
          <w:numId w:val="3"/>
        </w:numPr>
        <w:spacing w:before="156" w:beforeLines="50" w:after="120" w:line="400" w:lineRule="exact"/>
        <w:ind w:firstLineChars="0"/>
        <w:jc w:val="left"/>
        <w:rPr>
          <w:rFonts w:eastAsia="宋体"/>
          <w:color w:val="auto"/>
          <w:kern w:val="0"/>
          <w:sz w:val="21"/>
        </w:rPr>
      </w:pPr>
      <w:r>
        <w:rPr>
          <w:rFonts w:hint="eastAsia" w:eastAsia="宋体"/>
          <w:color w:val="auto"/>
          <w:kern w:val="0"/>
          <w:sz w:val="21"/>
        </w:rPr>
        <w:t>项目名称：时空信息云平台技术服务（2023年）</w:t>
      </w:r>
    </w:p>
    <w:p>
      <w:pPr>
        <w:pStyle w:val="102"/>
        <w:widowControl/>
        <w:numPr>
          <w:ilvl w:val="0"/>
          <w:numId w:val="3"/>
        </w:numPr>
        <w:spacing w:before="156" w:beforeLines="50" w:after="120" w:line="400" w:lineRule="exact"/>
        <w:ind w:firstLineChars="0"/>
        <w:jc w:val="left"/>
        <w:rPr>
          <w:rFonts w:eastAsia="宋体"/>
          <w:color w:val="auto"/>
          <w:kern w:val="0"/>
          <w:sz w:val="21"/>
        </w:rPr>
      </w:pPr>
      <w:r>
        <w:rPr>
          <w:rFonts w:hint="eastAsia" w:eastAsia="宋体"/>
          <w:color w:val="auto"/>
          <w:kern w:val="0"/>
          <w:sz w:val="21"/>
        </w:rPr>
        <w:t>采购方式：竞争性磋商 </w:t>
      </w:r>
    </w:p>
    <w:tbl>
      <w:tblPr>
        <w:tblStyle w:val="48"/>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425"/>
        <w:gridCol w:w="750"/>
        <w:gridCol w:w="176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标项</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标项名称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数量</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预算金额</w:t>
            </w:r>
          </w:p>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（最高限价）</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bCs/>
                <w:color w:val="auto"/>
                <w:kern w:val="0"/>
                <w:szCs w:val="21"/>
              </w:rPr>
              <w:t>时空信息云平台技术服务（2023年）</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220万元</w:t>
            </w:r>
          </w:p>
        </w:tc>
        <w:tc>
          <w:tcPr>
            <w:tcW w:w="2123" w:type="dxa"/>
            <w:vAlign w:val="center"/>
          </w:tcPr>
          <w:p>
            <w:pPr>
              <w:widowControl/>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详见采购需求</w:t>
            </w:r>
          </w:p>
        </w:tc>
      </w:tr>
    </w:tbl>
    <w:p>
      <w:pPr>
        <w:spacing w:line="400" w:lineRule="exact"/>
        <w:rPr>
          <w:b/>
          <w:bCs/>
          <w:color w:val="auto"/>
        </w:rPr>
      </w:pPr>
      <w:bookmarkStart w:id="21" w:name="_Toc20358"/>
      <w:bookmarkStart w:id="22" w:name="_Toc5856"/>
      <w:bookmarkStart w:id="23" w:name="_Toc24741"/>
      <w:bookmarkStart w:id="24" w:name="_Toc2464"/>
      <w:bookmarkStart w:id="25" w:name="_Toc15279"/>
      <w:bookmarkStart w:id="26" w:name="_Toc7285"/>
      <w:bookmarkStart w:id="27" w:name="_Toc17698"/>
      <w:r>
        <w:rPr>
          <w:rFonts w:hint="eastAsia"/>
          <w:b/>
          <w:bCs/>
          <w:color w:val="auto"/>
        </w:rPr>
        <w:t>二、申请人的资格要求：</w:t>
      </w:r>
      <w:bookmarkEnd w:id="17"/>
      <w:bookmarkEnd w:id="18"/>
      <w:bookmarkEnd w:id="19"/>
      <w:bookmarkEnd w:id="20"/>
      <w:bookmarkEnd w:id="21"/>
      <w:bookmarkEnd w:id="22"/>
      <w:bookmarkEnd w:id="23"/>
      <w:bookmarkEnd w:id="24"/>
      <w:bookmarkEnd w:id="25"/>
      <w:bookmarkEnd w:id="26"/>
      <w:bookmarkEnd w:id="27"/>
    </w:p>
    <w:p>
      <w:pPr>
        <w:numPr>
          <w:ilvl w:val="0"/>
          <w:numId w:val="4"/>
        </w:numPr>
        <w:spacing w:line="360" w:lineRule="auto"/>
        <w:rPr>
          <w:rFonts w:ascii="宋体" w:hAnsi="宋体" w:cs="宋体"/>
          <w:color w:val="auto"/>
        </w:rPr>
      </w:pPr>
      <w:bookmarkStart w:id="28" w:name="_Toc28359014"/>
      <w:bookmarkStart w:id="29" w:name="_Toc35393631"/>
      <w:bookmarkStart w:id="30" w:name="_Toc28359091"/>
      <w:bookmarkStart w:id="31" w:name="_Toc35393800"/>
      <w:r>
        <w:rPr>
          <w:rFonts w:hint="eastAsia" w:ascii="宋体" w:hAnsi="宋体" w:cs="宋体"/>
          <w:color w:val="auto"/>
        </w:rPr>
        <w:t>满足《中华人民共和国政府采购法》第二十二条规定；</w:t>
      </w:r>
    </w:p>
    <w:p>
      <w:pPr>
        <w:numPr>
          <w:ilvl w:val="0"/>
          <w:numId w:val="4"/>
        </w:numPr>
        <w:spacing w:line="360" w:lineRule="auto"/>
        <w:rPr>
          <w:rFonts w:ascii="宋体" w:hAnsi="宋体" w:cs="宋体"/>
          <w:color w:val="auto"/>
        </w:rPr>
      </w:pPr>
      <w:r>
        <w:rPr>
          <w:rFonts w:hint="eastAsia" w:ascii="宋体" w:hAnsi="宋体" w:cs="宋体"/>
          <w:color w:val="auto"/>
        </w:rPr>
        <w:t>未被“信用中国”（www.creditchina.gov.cn)、中国政府采购网（www.ccgp.gov.cn）列入失信被执行人、重大税收违法案件当事人名单、政府采购严重违法失信行为记录名单；</w:t>
      </w:r>
    </w:p>
    <w:p>
      <w:pPr>
        <w:numPr>
          <w:ilvl w:val="0"/>
          <w:numId w:val="4"/>
        </w:numPr>
        <w:spacing w:line="360" w:lineRule="auto"/>
        <w:rPr>
          <w:rFonts w:ascii="宋体" w:hAnsi="宋体" w:cs="宋体"/>
          <w:color w:val="auto"/>
        </w:rPr>
      </w:pPr>
      <w:r>
        <w:rPr>
          <w:rFonts w:hint="eastAsia" w:ascii="宋体" w:hAnsi="宋体" w:cs="宋体"/>
          <w:color w:val="auto"/>
        </w:rPr>
        <w:t>落实政府采购政策需满足的资格要求：无； </w:t>
      </w:r>
    </w:p>
    <w:p>
      <w:pPr>
        <w:numPr>
          <w:ilvl w:val="0"/>
          <w:numId w:val="4"/>
        </w:numPr>
        <w:spacing w:line="360" w:lineRule="auto"/>
        <w:rPr>
          <w:rFonts w:ascii="宋体" w:hAnsi="宋体" w:cs="宋体"/>
          <w:color w:val="auto"/>
        </w:rPr>
      </w:pPr>
      <w:r>
        <w:rPr>
          <w:rFonts w:hint="eastAsia" w:ascii="宋体" w:hAnsi="宋体" w:cs="宋体"/>
          <w:color w:val="auto"/>
        </w:rPr>
        <w:t>本项目的特定资格要求：</w:t>
      </w:r>
      <w:r>
        <w:rPr>
          <w:rFonts w:hint="eastAsia" w:ascii="宋体" w:hAnsi="宋体"/>
          <w:iCs/>
          <w:color w:val="auto"/>
          <w:szCs w:val="21"/>
        </w:rPr>
        <w:t>无；</w:t>
      </w:r>
      <w:r>
        <w:rPr>
          <w:rFonts w:hint="eastAsia" w:ascii="宋体" w:hAnsi="宋体" w:cs="宋体"/>
          <w:color w:val="auto"/>
        </w:rPr>
        <w:t xml:space="preserve">  </w:t>
      </w:r>
    </w:p>
    <w:p>
      <w:pPr>
        <w:numPr>
          <w:ilvl w:val="0"/>
          <w:numId w:val="4"/>
        </w:numPr>
        <w:spacing w:line="360" w:lineRule="auto"/>
        <w:rPr>
          <w:rFonts w:ascii="宋体" w:hAnsi="宋体" w:cs="宋体"/>
          <w:color w:val="auto"/>
        </w:rPr>
      </w:pPr>
      <w:r>
        <w:rPr>
          <w:rFonts w:hint="eastAsia" w:ascii="宋体" w:hAnsi="宋体" w:cs="宋体"/>
          <w:color w:val="auto"/>
        </w:rPr>
        <w:t>本项目不接受联合体投标。</w:t>
      </w:r>
    </w:p>
    <w:p>
      <w:pPr>
        <w:spacing w:line="400" w:lineRule="exact"/>
        <w:rPr>
          <w:b/>
          <w:bCs/>
          <w:color w:val="auto"/>
        </w:rPr>
      </w:pPr>
      <w:bookmarkStart w:id="32" w:name="_Toc11624"/>
      <w:bookmarkStart w:id="33" w:name="_Toc16451"/>
      <w:bookmarkStart w:id="34" w:name="_Toc8010"/>
      <w:bookmarkStart w:id="35" w:name="_Toc20203"/>
      <w:bookmarkStart w:id="36" w:name="_Toc30231"/>
      <w:bookmarkStart w:id="37" w:name="_Toc25070"/>
      <w:bookmarkStart w:id="38" w:name="_Toc10223"/>
      <w:r>
        <w:rPr>
          <w:rFonts w:hint="eastAsia"/>
          <w:b/>
          <w:bCs/>
          <w:color w:val="auto"/>
        </w:rPr>
        <w:t>三、获取采购文件</w:t>
      </w:r>
      <w:bookmarkEnd w:id="28"/>
      <w:bookmarkEnd w:id="29"/>
      <w:bookmarkEnd w:id="30"/>
      <w:bookmarkEnd w:id="31"/>
      <w:bookmarkEnd w:id="32"/>
      <w:bookmarkEnd w:id="33"/>
      <w:bookmarkEnd w:id="34"/>
      <w:bookmarkEnd w:id="35"/>
      <w:bookmarkEnd w:id="36"/>
      <w:bookmarkEnd w:id="37"/>
      <w:bookmarkEnd w:id="38"/>
    </w:p>
    <w:p>
      <w:pPr>
        <w:pStyle w:val="102"/>
        <w:widowControl/>
        <w:numPr>
          <w:ilvl w:val="0"/>
          <w:numId w:val="5"/>
        </w:numPr>
        <w:spacing w:before="156" w:beforeLines="50" w:after="120" w:line="400" w:lineRule="exact"/>
        <w:ind w:firstLineChars="0"/>
        <w:jc w:val="left"/>
        <w:rPr>
          <w:rFonts w:eastAsia="宋体"/>
          <w:color w:val="auto"/>
          <w:kern w:val="0"/>
          <w:sz w:val="21"/>
        </w:rPr>
      </w:pPr>
      <w:r>
        <w:rPr>
          <w:rFonts w:hint="eastAsia" w:eastAsia="宋体"/>
          <w:color w:val="auto"/>
          <w:kern w:val="0"/>
          <w:sz w:val="21"/>
        </w:rPr>
        <w:t>时间：</w:t>
      </w:r>
      <w:r>
        <w:rPr>
          <w:rFonts w:hint="eastAsia" w:eastAsia="宋体"/>
          <w:color w:val="auto"/>
          <w:kern w:val="0"/>
          <w:sz w:val="21"/>
          <w:lang w:val="en-US" w:eastAsia="zh-CN"/>
        </w:rPr>
        <w:t>公告之日起</w:t>
      </w:r>
      <w:r>
        <w:rPr>
          <w:rFonts w:hint="eastAsia" w:eastAsia="宋体"/>
          <w:color w:val="auto"/>
          <w:kern w:val="0"/>
          <w:sz w:val="21"/>
        </w:rPr>
        <w:t>至2023年1月</w:t>
      </w:r>
      <w:r>
        <w:rPr>
          <w:rFonts w:hint="eastAsia" w:eastAsia="宋体"/>
          <w:color w:val="auto"/>
          <w:kern w:val="0"/>
          <w:sz w:val="21"/>
          <w:lang w:val="en-US" w:eastAsia="zh-CN"/>
        </w:rPr>
        <w:t>12</w:t>
      </w:r>
      <w:r>
        <w:rPr>
          <w:rFonts w:hint="eastAsia" w:eastAsia="宋体"/>
          <w:color w:val="auto"/>
          <w:kern w:val="0"/>
          <w:sz w:val="21"/>
        </w:rPr>
        <w:t>日</w:t>
      </w:r>
      <w:r>
        <w:rPr>
          <w:rFonts w:hint="eastAsia" w:eastAsia="宋体"/>
          <w:color w:val="auto"/>
          <w:kern w:val="0"/>
          <w:sz w:val="21"/>
        </w:rPr>
        <w:t>，每天上午00:00至12:00，下午12:00至23:59（北京时间，线上获取法定节假日均可，线下获取文件法定节假日除外）。</w:t>
      </w:r>
    </w:p>
    <w:p>
      <w:pPr>
        <w:numPr>
          <w:ilvl w:val="0"/>
          <w:numId w:val="5"/>
        </w:numPr>
        <w:spacing w:line="400" w:lineRule="exact"/>
        <w:rPr>
          <w:rFonts w:ascii="宋体" w:hAnsi="宋体" w:cs="宋体"/>
          <w:color w:val="auto"/>
          <w:szCs w:val="21"/>
          <w:u w:val="single"/>
        </w:rPr>
      </w:pPr>
      <w:r>
        <w:rPr>
          <w:rFonts w:hint="eastAsia" w:ascii="宋体" w:hAnsi="宋体" w:cs="宋体"/>
          <w:color w:val="auto"/>
          <w:szCs w:val="21"/>
        </w:rPr>
        <w:t>地点(网址)：政采云平台（https://www.zcygov.cn）。</w:t>
      </w:r>
    </w:p>
    <w:p>
      <w:pPr>
        <w:numPr>
          <w:ilvl w:val="0"/>
          <w:numId w:val="5"/>
        </w:numPr>
        <w:spacing w:line="400" w:lineRule="exact"/>
        <w:rPr>
          <w:rFonts w:ascii="宋体" w:hAnsi="宋体" w:cs="宋体"/>
          <w:color w:val="auto"/>
          <w:szCs w:val="21"/>
        </w:rPr>
      </w:pPr>
      <w:bookmarkStart w:id="39" w:name="_Toc35393801"/>
      <w:bookmarkStart w:id="40" w:name="_Toc35393632"/>
      <w:bookmarkStart w:id="41" w:name="_Toc28359092"/>
      <w:bookmarkStart w:id="42" w:name="_Toc28359015"/>
      <w:r>
        <w:rPr>
          <w:rFonts w:hint="eastAsia" w:ascii="宋体" w:hAnsi="宋体" w:cs="宋体"/>
          <w:color w:val="auto"/>
          <w:szCs w:val="21"/>
        </w:rPr>
        <w:t>方式：供应商登录政采云平台https://www.zcygov.cn/在线申请获取采购文件（进入“项目采购”应用，在获取采购文件菜单中选择项目，申请获取采购文件）。</w:t>
      </w:r>
    </w:p>
    <w:p>
      <w:pPr>
        <w:numPr>
          <w:ilvl w:val="0"/>
          <w:numId w:val="5"/>
        </w:numPr>
        <w:spacing w:line="400" w:lineRule="exact"/>
        <w:rPr>
          <w:rFonts w:ascii="宋体" w:hAnsi="宋体" w:cs="宋体"/>
          <w:color w:val="auto"/>
          <w:szCs w:val="21"/>
        </w:rPr>
      </w:pPr>
      <w:r>
        <w:rPr>
          <w:rFonts w:hint="eastAsia" w:ascii="宋体" w:hAnsi="宋体" w:cs="宋体"/>
          <w:color w:val="auto"/>
          <w:szCs w:val="21"/>
        </w:rPr>
        <w:t>供应商应在规定的竞争性磋商文件提供期限内在政府采购云平台登录供应商注册的账号后免费获取竞争性磋商文件（https://bidding.zcygov.cn/）。未在规定的竞争性磋商文件提供期限内或未按上述方式获取竞争性磋商文件的，其响应文件均视为无效，并不得对竞争性磋商文件提起质疑投诉。 </w:t>
      </w:r>
    </w:p>
    <w:p>
      <w:pPr>
        <w:numPr>
          <w:ilvl w:val="0"/>
          <w:numId w:val="5"/>
        </w:numPr>
        <w:spacing w:line="400" w:lineRule="exact"/>
        <w:rPr>
          <w:rFonts w:ascii="宋体" w:hAnsi="宋体" w:cs="宋体"/>
          <w:color w:val="auto"/>
          <w:szCs w:val="21"/>
        </w:rPr>
      </w:pPr>
      <w:r>
        <w:rPr>
          <w:rFonts w:hint="eastAsia" w:ascii="宋体" w:hAnsi="宋体" w:cs="宋体"/>
          <w:color w:val="auto"/>
          <w:szCs w:val="21"/>
        </w:rPr>
        <w:t>售价（元）：0 </w:t>
      </w:r>
    </w:p>
    <w:p>
      <w:pPr>
        <w:spacing w:line="400" w:lineRule="exact"/>
        <w:rPr>
          <w:b/>
          <w:bCs/>
          <w:color w:val="auto"/>
        </w:rPr>
      </w:pPr>
      <w:bookmarkStart w:id="43" w:name="_Toc20762"/>
      <w:bookmarkStart w:id="44" w:name="_Toc16534"/>
      <w:bookmarkStart w:id="45" w:name="_Toc14743"/>
      <w:bookmarkStart w:id="46" w:name="_Toc15786"/>
      <w:bookmarkStart w:id="47" w:name="_Toc9934"/>
      <w:bookmarkStart w:id="48" w:name="_Toc16299"/>
      <w:bookmarkStart w:id="49" w:name="_Toc23425"/>
      <w:r>
        <w:rPr>
          <w:rFonts w:hint="eastAsia"/>
          <w:b/>
          <w:bCs/>
          <w:color w:val="auto"/>
        </w:rPr>
        <w:t>四、提交</w:t>
      </w:r>
      <w:bookmarkEnd w:id="39"/>
      <w:bookmarkEnd w:id="40"/>
      <w:bookmarkEnd w:id="41"/>
      <w:bookmarkEnd w:id="42"/>
      <w:bookmarkEnd w:id="43"/>
      <w:bookmarkEnd w:id="44"/>
      <w:bookmarkEnd w:id="45"/>
      <w:bookmarkEnd w:id="46"/>
      <w:bookmarkEnd w:id="47"/>
      <w:bookmarkEnd w:id="48"/>
      <w:bookmarkEnd w:id="49"/>
      <w:r>
        <w:rPr>
          <w:rFonts w:hint="eastAsia"/>
          <w:b/>
          <w:bCs/>
          <w:color w:val="auto"/>
        </w:rPr>
        <w:t>响应文件截止时间、开标时间和地点</w:t>
      </w:r>
    </w:p>
    <w:p>
      <w:pPr>
        <w:numPr>
          <w:ilvl w:val="0"/>
          <w:numId w:val="6"/>
        </w:numPr>
        <w:spacing w:line="400" w:lineRule="exact"/>
        <w:rPr>
          <w:rFonts w:ascii="宋体" w:hAnsi="宋体" w:cs="宋体"/>
          <w:bCs/>
          <w:color w:val="auto"/>
          <w:szCs w:val="21"/>
        </w:rPr>
      </w:pPr>
      <w:r>
        <w:rPr>
          <w:rFonts w:hint="eastAsia" w:ascii="宋体" w:hAnsi="宋体" w:cs="宋体"/>
          <w:color w:val="auto"/>
          <w:szCs w:val="21"/>
        </w:rPr>
        <w:t>提交磋商文件截止时间：</w:t>
      </w:r>
      <w:r>
        <w:rPr>
          <w:rFonts w:hint="eastAsia" w:ascii="宋体" w:hAnsi="宋体" w:cs="宋体"/>
          <w:color w:val="auto"/>
          <w:szCs w:val="21"/>
        </w:rPr>
        <w:t>2023年1月16日14点00分（北京时间）。</w:t>
      </w:r>
    </w:p>
    <w:p>
      <w:pPr>
        <w:numPr>
          <w:ilvl w:val="0"/>
          <w:numId w:val="6"/>
        </w:numPr>
        <w:spacing w:line="400" w:lineRule="exact"/>
        <w:rPr>
          <w:rFonts w:ascii="宋体" w:hAnsi="宋体" w:cs="宋体"/>
          <w:color w:val="auto"/>
          <w:szCs w:val="21"/>
        </w:rPr>
      </w:pPr>
      <w:r>
        <w:rPr>
          <w:rFonts w:hint="eastAsia" w:ascii="宋体" w:hAnsi="宋体" w:cs="宋体"/>
          <w:color w:val="auto"/>
          <w:szCs w:val="21"/>
        </w:rPr>
        <w:t>投标地点（网址）：“电子加密磋商响应文件”通过</w:t>
      </w:r>
      <w:r>
        <w:rPr>
          <w:rFonts w:hint="eastAsia" w:ascii="宋体" w:hAnsi="宋体" w:cs="宋体"/>
          <w:color w:val="auto"/>
          <w:szCs w:val="21"/>
          <w:u w:val="single"/>
        </w:rPr>
        <w:t>政采云平台（https://www.zcygov.cn）</w:t>
      </w:r>
      <w:r>
        <w:rPr>
          <w:rFonts w:hint="eastAsia" w:ascii="宋体" w:hAnsi="宋体" w:cs="宋体"/>
          <w:color w:val="auto"/>
          <w:szCs w:val="21"/>
        </w:rPr>
        <w:t>在线上传提交。</w:t>
      </w:r>
    </w:p>
    <w:p>
      <w:pPr>
        <w:pStyle w:val="57"/>
        <w:numPr>
          <w:ilvl w:val="0"/>
          <w:numId w:val="6"/>
        </w:numPr>
        <w:spacing w:line="400" w:lineRule="exact"/>
        <w:ind w:firstLineChars="0"/>
        <w:rPr>
          <w:rFonts w:ascii="宋体" w:hAnsi="宋体" w:cs="宋体"/>
          <w:color w:val="auto"/>
          <w:szCs w:val="21"/>
        </w:rPr>
      </w:pPr>
      <w:r>
        <w:rPr>
          <w:rFonts w:hint="eastAsia" w:ascii="宋体" w:hAnsi="宋体" w:cs="宋体"/>
          <w:bCs/>
          <w:color w:val="auto"/>
          <w:szCs w:val="21"/>
        </w:rPr>
        <w:t>开标时间：</w:t>
      </w:r>
      <w:r>
        <w:rPr>
          <w:rFonts w:hint="eastAsia" w:ascii="宋体" w:hAnsi="宋体" w:cs="宋体"/>
          <w:color w:val="auto"/>
          <w:szCs w:val="21"/>
        </w:rPr>
        <w:t>2023年1月16</w:t>
      </w:r>
      <w:r>
        <w:rPr>
          <w:rFonts w:hint="eastAsia" w:ascii="宋体" w:hAnsi="宋体" w:cs="宋体"/>
          <w:bCs/>
          <w:color w:val="auto"/>
          <w:szCs w:val="21"/>
        </w:rPr>
        <w:t>日14点00分（北京时间）</w:t>
      </w:r>
      <w:r>
        <w:rPr>
          <w:rFonts w:hint="eastAsia" w:ascii="宋体" w:hAnsi="宋体" w:cs="宋体"/>
          <w:bCs/>
          <w:color w:val="auto"/>
          <w:szCs w:val="21"/>
        </w:rPr>
        <w:t>。</w:t>
      </w:r>
    </w:p>
    <w:p>
      <w:pPr>
        <w:pStyle w:val="57"/>
        <w:numPr>
          <w:ilvl w:val="0"/>
          <w:numId w:val="6"/>
        </w:numPr>
        <w:spacing w:line="400" w:lineRule="exact"/>
        <w:ind w:firstLineChars="0"/>
        <w:rPr>
          <w:rFonts w:ascii="宋体" w:hAnsi="宋体" w:cs="宋体"/>
          <w:bCs/>
          <w:color w:val="auto"/>
          <w:szCs w:val="21"/>
          <w:u w:val="single"/>
        </w:rPr>
      </w:pPr>
      <w:r>
        <w:rPr>
          <w:rFonts w:hint="eastAsia" w:ascii="宋体" w:hAnsi="宋体" w:cs="宋体"/>
          <w:color w:val="auto"/>
          <w:szCs w:val="21"/>
        </w:rPr>
        <w:t>开标地点：宁波市翠柏路89号宁波工程学院公共培训平台大楼A座1107室。</w:t>
      </w:r>
    </w:p>
    <w:p>
      <w:pPr>
        <w:numPr>
          <w:ilvl w:val="0"/>
          <w:numId w:val="6"/>
        </w:numPr>
        <w:spacing w:line="400" w:lineRule="exact"/>
        <w:rPr>
          <w:rFonts w:ascii="宋体" w:hAnsi="宋体" w:cs="宋体"/>
          <w:color w:val="auto"/>
          <w:szCs w:val="21"/>
        </w:rPr>
      </w:pPr>
      <w:r>
        <w:rPr>
          <w:rFonts w:hint="eastAsia" w:ascii="宋体" w:hAnsi="宋体" w:cs="宋体"/>
          <w:color w:val="auto"/>
          <w:szCs w:val="21"/>
        </w:rPr>
        <w:t>备份磋商响应文件提交（邮寄或送达地点）：宁波市翠柏路89号宁波工程学院公共培训平台大楼A座1112室（驾车请从体育场路北门进入）。</w:t>
      </w:r>
    </w:p>
    <w:p>
      <w:pPr>
        <w:spacing w:line="400" w:lineRule="exact"/>
        <w:rPr>
          <w:b/>
          <w:bCs/>
          <w:color w:val="auto"/>
        </w:rPr>
      </w:pPr>
      <w:bookmarkStart w:id="50" w:name="_Toc5392"/>
      <w:bookmarkStart w:id="51" w:name="_Toc11984"/>
      <w:bookmarkStart w:id="52" w:name="_Toc28359016"/>
      <w:bookmarkStart w:id="53" w:name="_Toc27549"/>
      <w:bookmarkStart w:id="54" w:name="_Toc28359093"/>
      <w:bookmarkStart w:id="55" w:name="_Toc29404"/>
      <w:bookmarkStart w:id="56" w:name="_Toc29463"/>
      <w:bookmarkStart w:id="57" w:name="_Toc35393802"/>
      <w:bookmarkStart w:id="58" w:name="_Toc35393633"/>
      <w:bookmarkStart w:id="59" w:name="_Toc12542"/>
      <w:bookmarkStart w:id="60" w:name="_Toc2764"/>
      <w:r>
        <w:rPr>
          <w:rFonts w:hint="eastAsia"/>
          <w:b/>
          <w:bCs/>
          <w:color w:val="auto"/>
        </w:rPr>
        <w:t>五、响应文件开启</w:t>
      </w:r>
      <w:bookmarkEnd w:id="50"/>
      <w:bookmarkEnd w:id="51"/>
      <w:bookmarkEnd w:id="52"/>
      <w:bookmarkEnd w:id="53"/>
      <w:bookmarkEnd w:id="54"/>
      <w:bookmarkEnd w:id="55"/>
      <w:bookmarkEnd w:id="56"/>
      <w:bookmarkEnd w:id="57"/>
      <w:bookmarkEnd w:id="58"/>
      <w:bookmarkEnd w:id="59"/>
      <w:bookmarkEnd w:id="60"/>
    </w:p>
    <w:p>
      <w:pPr>
        <w:pStyle w:val="57"/>
        <w:numPr>
          <w:ilvl w:val="0"/>
          <w:numId w:val="7"/>
        </w:numPr>
        <w:spacing w:line="400" w:lineRule="exact"/>
        <w:ind w:firstLineChars="0"/>
        <w:rPr>
          <w:rFonts w:ascii="宋体" w:hAnsi="宋体" w:cs="宋体"/>
          <w:bCs/>
          <w:color w:val="auto"/>
          <w:szCs w:val="21"/>
          <w:u w:val="single"/>
        </w:rPr>
      </w:pPr>
      <w:r>
        <w:rPr>
          <w:rFonts w:hint="eastAsia" w:ascii="宋体" w:hAnsi="宋体" w:cs="宋体"/>
          <w:color w:val="auto"/>
          <w:szCs w:val="21"/>
        </w:rPr>
        <w:t>响应文件开启时间：</w:t>
      </w:r>
      <w:r>
        <w:rPr>
          <w:rFonts w:hint="eastAsia" w:ascii="宋体" w:hAnsi="宋体" w:cs="宋体"/>
          <w:color w:val="auto"/>
          <w:szCs w:val="21"/>
        </w:rPr>
        <w:t>2023年1月16</w:t>
      </w:r>
      <w:r>
        <w:rPr>
          <w:rFonts w:hint="eastAsia" w:ascii="宋体" w:hAnsi="宋体" w:cs="宋体"/>
          <w:bCs/>
          <w:color w:val="auto"/>
          <w:szCs w:val="21"/>
        </w:rPr>
        <w:t>日14点00分（北京时间）</w:t>
      </w:r>
      <w:r>
        <w:rPr>
          <w:rFonts w:hint="eastAsia" w:ascii="宋体" w:hAnsi="宋体" w:cs="宋体"/>
          <w:bCs/>
          <w:color w:val="auto"/>
          <w:szCs w:val="21"/>
        </w:rPr>
        <w:t>。</w:t>
      </w:r>
    </w:p>
    <w:p>
      <w:pPr>
        <w:numPr>
          <w:ilvl w:val="0"/>
          <w:numId w:val="7"/>
        </w:numPr>
        <w:spacing w:line="400" w:lineRule="exact"/>
        <w:rPr>
          <w:rFonts w:ascii="宋体" w:hAnsi="宋体" w:cs="宋体"/>
          <w:color w:val="auto"/>
          <w:szCs w:val="21"/>
        </w:rPr>
      </w:pPr>
      <w:r>
        <w:rPr>
          <w:rFonts w:hint="eastAsia" w:ascii="宋体" w:hAnsi="宋体" w:cs="宋体"/>
          <w:color w:val="auto"/>
          <w:szCs w:val="21"/>
        </w:rPr>
        <w:t>地点（网址）：</w:t>
      </w:r>
      <w:r>
        <w:rPr>
          <w:rFonts w:hint="eastAsia" w:ascii="宋体" w:hAnsi="宋体" w:cs="宋体"/>
          <w:color w:val="auto"/>
          <w:szCs w:val="21"/>
          <w:u w:val="single"/>
        </w:rPr>
        <w:t>政采云平台（https://www.zcygov.cn）</w:t>
      </w:r>
      <w:r>
        <w:rPr>
          <w:rFonts w:hint="eastAsia" w:ascii="宋体" w:hAnsi="宋体" w:cs="宋体"/>
          <w:color w:val="auto"/>
          <w:szCs w:val="21"/>
        </w:rPr>
        <w:t>在线解密并开启响应文件。</w:t>
      </w:r>
    </w:p>
    <w:p>
      <w:pPr>
        <w:numPr>
          <w:ilvl w:val="0"/>
          <w:numId w:val="7"/>
        </w:numPr>
        <w:spacing w:line="400" w:lineRule="exact"/>
        <w:rPr>
          <w:rFonts w:ascii="宋体" w:hAnsi="宋体" w:cs="宋体"/>
          <w:color w:val="auto"/>
          <w:szCs w:val="21"/>
        </w:rPr>
      </w:pPr>
      <w:r>
        <w:rPr>
          <w:rFonts w:hint="eastAsia" w:ascii="宋体" w:hAnsi="宋体" w:cs="宋体"/>
          <w:color w:val="auto"/>
          <w:szCs w:val="21"/>
        </w:rPr>
        <w:t>开启时间后30分钟内供应商可以登录政府采购云平台https://www.zcygov.cn/，用“项目采购-开标评标”功能进行解密响应文件。供应商按时在线解密响应文件的，以在线解密的响应文件作为评审依据，若供应商在规定时间内无法解密或解密失败，则以备份电子磋商响应文件作为评审依据（若备份电子磋商响应文件与政采云平台上传的响应文件被识别为不一致，仍以备份电子磋商响应文件作为评审依据）。</w:t>
      </w:r>
    </w:p>
    <w:p>
      <w:pPr>
        <w:spacing w:line="400" w:lineRule="exact"/>
        <w:rPr>
          <w:b/>
          <w:bCs/>
          <w:color w:val="auto"/>
        </w:rPr>
      </w:pPr>
      <w:bookmarkStart w:id="61" w:name="_Toc35393634"/>
      <w:bookmarkStart w:id="62" w:name="_Toc9712"/>
      <w:bookmarkStart w:id="63" w:name="_Toc28359017"/>
      <w:bookmarkStart w:id="64" w:name="_Toc25188"/>
      <w:bookmarkStart w:id="65" w:name="_Toc6331"/>
      <w:bookmarkStart w:id="66" w:name="_Toc35393803"/>
      <w:bookmarkStart w:id="67" w:name="_Toc3764"/>
      <w:bookmarkStart w:id="68" w:name="_Toc22161"/>
      <w:bookmarkStart w:id="69" w:name="_Toc29497"/>
      <w:bookmarkStart w:id="70" w:name="_Toc20150"/>
      <w:bookmarkStart w:id="71" w:name="_Toc28359094"/>
      <w:r>
        <w:rPr>
          <w:rFonts w:hint="eastAsia"/>
          <w:b/>
          <w:bCs/>
          <w:color w:val="auto"/>
        </w:rPr>
        <w:t>六、公告期限</w:t>
      </w:r>
      <w:bookmarkEnd w:id="61"/>
      <w:bookmarkEnd w:id="62"/>
      <w:bookmarkEnd w:id="63"/>
      <w:bookmarkEnd w:id="64"/>
      <w:bookmarkEnd w:id="65"/>
      <w:bookmarkEnd w:id="66"/>
      <w:bookmarkEnd w:id="67"/>
      <w:bookmarkEnd w:id="68"/>
      <w:bookmarkEnd w:id="69"/>
      <w:bookmarkEnd w:id="70"/>
      <w:bookmarkEnd w:id="71"/>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自本公告发布之日起3个工作日。</w:t>
      </w:r>
    </w:p>
    <w:p>
      <w:pPr>
        <w:spacing w:line="400" w:lineRule="exact"/>
        <w:rPr>
          <w:b/>
          <w:bCs/>
          <w:color w:val="auto"/>
        </w:rPr>
      </w:pPr>
      <w:bookmarkStart w:id="72" w:name="_Toc1279"/>
      <w:bookmarkStart w:id="73" w:name="_Toc26622"/>
      <w:bookmarkStart w:id="74" w:name="_Toc22466"/>
      <w:bookmarkStart w:id="75" w:name="_Toc35393635"/>
      <w:bookmarkStart w:id="76" w:name="_Toc5710"/>
      <w:bookmarkStart w:id="77" w:name="_Toc10754"/>
      <w:bookmarkStart w:id="78" w:name="_Toc13175"/>
      <w:bookmarkStart w:id="79" w:name="_Toc14933"/>
      <w:bookmarkStart w:id="80" w:name="_Toc35393804"/>
      <w:r>
        <w:rPr>
          <w:rFonts w:hint="eastAsia"/>
          <w:b/>
          <w:bCs/>
          <w:color w:val="auto"/>
        </w:rPr>
        <w:t>七、其他补充事宜</w:t>
      </w:r>
      <w:bookmarkEnd w:id="72"/>
      <w:bookmarkEnd w:id="73"/>
      <w:bookmarkEnd w:id="74"/>
      <w:bookmarkEnd w:id="75"/>
      <w:bookmarkEnd w:id="76"/>
      <w:bookmarkEnd w:id="77"/>
      <w:bookmarkEnd w:id="78"/>
      <w:bookmarkEnd w:id="79"/>
      <w:bookmarkEnd w:id="80"/>
    </w:p>
    <w:p>
      <w:pPr>
        <w:numPr>
          <w:ilvl w:val="0"/>
          <w:numId w:val="8"/>
        </w:numPr>
        <w:spacing w:line="400" w:lineRule="exact"/>
        <w:rPr>
          <w:rFonts w:ascii="宋体" w:hAnsi="宋体" w:cs="宋体"/>
          <w:color w:val="auto"/>
          <w:szCs w:val="21"/>
        </w:rPr>
      </w:pPr>
      <w:bookmarkStart w:id="81" w:name="_Toc28359018"/>
      <w:bookmarkStart w:id="82" w:name="_Toc28359095"/>
      <w:bookmarkStart w:id="83" w:name="_Toc35393636"/>
      <w:bookmarkStart w:id="84" w:name="_Toc35393805"/>
      <w:r>
        <w:rPr>
          <w:rFonts w:hint="eastAsia" w:ascii="宋体" w:hAnsi="宋体" w:cs="宋体"/>
          <w:color w:val="auto"/>
          <w:szCs w:val="21"/>
        </w:rPr>
        <w:t>供应商认为采购文件使自己的权益受到损害的，可以自获取采购文件之日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numPr>
          <w:ilvl w:val="0"/>
          <w:numId w:val="8"/>
        </w:numPr>
        <w:spacing w:line="400" w:lineRule="exact"/>
        <w:rPr>
          <w:rFonts w:ascii="宋体" w:hAnsi="宋体" w:cs="宋体"/>
          <w:color w:val="auto"/>
          <w:szCs w:val="21"/>
        </w:rPr>
      </w:pPr>
      <w:r>
        <w:rPr>
          <w:rFonts w:hint="eastAsia" w:ascii="宋体" w:hAnsi="宋体" w:cs="宋体"/>
          <w:color w:val="auto"/>
          <w:szCs w:val="21"/>
        </w:rPr>
        <w:t>其他事项：</w:t>
      </w:r>
    </w:p>
    <w:p>
      <w:pPr>
        <w:numPr>
          <w:ilvl w:val="0"/>
          <w:numId w:val="9"/>
        </w:numPr>
        <w:spacing w:line="400" w:lineRule="exact"/>
        <w:rPr>
          <w:rFonts w:ascii="宋体" w:hAnsi="宋体" w:cs="宋体"/>
          <w:color w:val="auto"/>
          <w:szCs w:val="21"/>
        </w:rPr>
      </w:pPr>
      <w:r>
        <w:rPr>
          <w:rFonts w:hint="eastAsia" w:ascii="宋体" w:hAnsi="宋体" w:cs="宋体"/>
          <w:color w:val="auto"/>
          <w:szCs w:val="21"/>
        </w:rPr>
        <w:t>各供应商应在响应文件提交截止时间前确保成为浙江政府采购网正式注册入库供应商，并完成CA数字证书办理。因未注册入库、未办理CA数字证书等原因造成无法响应或响应失败等后果由供应商自行承担。</w:t>
      </w:r>
    </w:p>
    <w:p>
      <w:pPr>
        <w:numPr>
          <w:ilvl w:val="0"/>
          <w:numId w:val="9"/>
        </w:numPr>
        <w:spacing w:line="400" w:lineRule="exact"/>
        <w:rPr>
          <w:rFonts w:ascii="宋体" w:hAnsi="宋体" w:cs="宋体"/>
          <w:color w:val="auto"/>
          <w:szCs w:val="21"/>
        </w:rPr>
      </w:pPr>
      <w:r>
        <w:rPr>
          <w:rFonts w:hint="eastAsia" w:ascii="宋体" w:hAnsi="宋体" w:cs="宋体"/>
          <w:color w:val="auto"/>
          <w:szCs w:val="21"/>
        </w:rPr>
        <w:t>单位负责人为同一人或者存在直接控股、管理关系的不同供应商，不得参加同一标项的磋商响应。</w:t>
      </w:r>
    </w:p>
    <w:p>
      <w:pPr>
        <w:numPr>
          <w:ilvl w:val="0"/>
          <w:numId w:val="9"/>
        </w:numPr>
        <w:spacing w:line="400" w:lineRule="exact"/>
        <w:rPr>
          <w:rFonts w:ascii="宋体" w:hAnsi="宋体" w:cs="宋体"/>
          <w:color w:val="auto"/>
          <w:szCs w:val="21"/>
        </w:rPr>
      </w:pPr>
      <w:r>
        <w:rPr>
          <w:rFonts w:hint="eastAsia" w:ascii="宋体" w:hAnsi="宋体" w:cs="宋体"/>
          <w:color w:val="auto"/>
          <w:szCs w:val="21"/>
        </w:rPr>
        <w:t>为本项目提供整体设计、规范编制或者项目管理、监理、检测等服务的供应商，不得再参加本项目的磋商响应。</w:t>
      </w:r>
    </w:p>
    <w:p>
      <w:pPr>
        <w:numPr>
          <w:ilvl w:val="0"/>
          <w:numId w:val="9"/>
        </w:numPr>
        <w:spacing w:line="400" w:lineRule="exact"/>
        <w:rPr>
          <w:rFonts w:ascii="宋体" w:hAnsi="宋体" w:cs="宋体"/>
          <w:color w:val="auto"/>
          <w:szCs w:val="21"/>
        </w:rPr>
      </w:pPr>
      <w:r>
        <w:rPr>
          <w:rFonts w:hint="eastAsia" w:ascii="宋体" w:hAnsi="宋体" w:cs="宋体"/>
          <w:color w:val="auto"/>
          <w:szCs w:val="21"/>
        </w:rPr>
        <w:t>本项目实行网上响应，采用电子响应文件。若供应商参与磋商，自行承担磋商一切费用。</w:t>
      </w:r>
    </w:p>
    <w:p>
      <w:pPr>
        <w:numPr>
          <w:ilvl w:val="0"/>
          <w:numId w:val="9"/>
        </w:numPr>
        <w:spacing w:line="400" w:lineRule="exact"/>
        <w:rPr>
          <w:rFonts w:ascii="宋体" w:hAnsi="宋体" w:cs="宋体"/>
          <w:color w:val="auto"/>
          <w:szCs w:val="21"/>
        </w:rPr>
      </w:pPr>
      <w:r>
        <w:rPr>
          <w:rFonts w:hint="eastAsia" w:ascii="宋体" w:hAnsi="宋体" w:cs="宋体"/>
          <w:color w:val="auto"/>
          <w:szCs w:val="21"/>
        </w:rPr>
        <w:t>供应商可对以上一个或多个标项进行选择</w:t>
      </w:r>
      <w:bookmarkStart w:id="207" w:name="_GoBack"/>
      <w:bookmarkEnd w:id="207"/>
      <w:r>
        <w:rPr>
          <w:rFonts w:hint="eastAsia" w:ascii="宋体" w:hAnsi="宋体" w:cs="宋体"/>
          <w:color w:val="auto"/>
          <w:szCs w:val="21"/>
        </w:rPr>
        <w:t>性响应。</w:t>
      </w:r>
    </w:p>
    <w:p>
      <w:pPr>
        <w:numPr>
          <w:ilvl w:val="0"/>
          <w:numId w:val="9"/>
        </w:numPr>
        <w:spacing w:line="400" w:lineRule="exact"/>
        <w:rPr>
          <w:rFonts w:ascii="宋体" w:hAnsi="宋体" w:cs="宋体"/>
          <w:color w:val="auto"/>
          <w:szCs w:val="21"/>
        </w:rPr>
      </w:pPr>
      <w:r>
        <w:rPr>
          <w:rFonts w:hint="eastAsia" w:ascii="宋体" w:hAnsi="宋体" w:cs="宋体"/>
          <w:color w:val="auto"/>
          <w:szCs w:val="21"/>
        </w:rPr>
        <w:t>邮寄地址：宁波市翠柏路89号宁波工程学院公共培训平台大楼A座1109室，马倩倩 电话：13396671730。</w:t>
      </w:r>
    </w:p>
    <w:p>
      <w:pPr>
        <w:spacing w:line="400" w:lineRule="exact"/>
        <w:rPr>
          <w:b/>
          <w:bCs/>
          <w:color w:val="auto"/>
        </w:rPr>
      </w:pPr>
      <w:bookmarkStart w:id="85" w:name="_Toc7725"/>
      <w:bookmarkStart w:id="86" w:name="_Toc26887"/>
      <w:bookmarkStart w:id="87" w:name="_Toc32210"/>
      <w:bookmarkStart w:id="88" w:name="_Toc6113"/>
      <w:bookmarkStart w:id="89" w:name="_Toc26500"/>
      <w:bookmarkStart w:id="90" w:name="_Toc8115"/>
      <w:bookmarkStart w:id="91" w:name="_Toc11770"/>
      <w:r>
        <w:rPr>
          <w:rFonts w:hint="eastAsia"/>
          <w:b/>
          <w:bCs/>
          <w:color w:val="auto"/>
        </w:rPr>
        <w:t>八、凡对本次采购提出询问，请按以下方式联系。</w:t>
      </w:r>
      <w:bookmarkEnd w:id="81"/>
      <w:bookmarkEnd w:id="82"/>
      <w:bookmarkEnd w:id="83"/>
      <w:bookmarkEnd w:id="84"/>
      <w:bookmarkEnd w:id="85"/>
      <w:bookmarkEnd w:id="86"/>
      <w:bookmarkEnd w:id="87"/>
      <w:bookmarkEnd w:id="88"/>
      <w:bookmarkEnd w:id="89"/>
      <w:bookmarkEnd w:id="90"/>
      <w:bookmarkEnd w:id="91"/>
    </w:p>
    <w:p>
      <w:pPr>
        <w:numPr>
          <w:ilvl w:val="0"/>
          <w:numId w:val="10"/>
        </w:numPr>
        <w:snapToGrid w:val="0"/>
        <w:spacing w:line="400" w:lineRule="exact"/>
        <w:rPr>
          <w:rFonts w:ascii="宋体" w:hAnsi="宋体" w:cs="宋体"/>
          <w:color w:val="auto"/>
          <w:szCs w:val="21"/>
        </w:rPr>
      </w:pPr>
      <w:r>
        <w:rPr>
          <w:rFonts w:hint="eastAsia" w:ascii="宋体" w:hAnsi="宋体" w:cs="宋体"/>
          <w:color w:val="auto"/>
          <w:szCs w:val="21"/>
        </w:rPr>
        <w:t>采购人信息</w:t>
      </w:r>
    </w:p>
    <w:p>
      <w:pPr>
        <w:snapToGrid w:val="0"/>
        <w:spacing w:line="400" w:lineRule="exac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rPr>
        <w:t>名    称：宁波市自然资源和规划局</w:t>
      </w:r>
    </w:p>
    <w:p>
      <w:pPr>
        <w:snapToGrid w:val="0"/>
        <w:spacing w:line="400" w:lineRule="exact"/>
        <w:rPr>
          <w:rFonts w:ascii="宋体" w:hAnsi="宋体" w:cs="宋体"/>
          <w:color w:val="auto"/>
          <w:szCs w:val="21"/>
        </w:rPr>
      </w:pPr>
      <w:r>
        <w:rPr>
          <w:rFonts w:hint="eastAsia" w:ascii="宋体" w:hAnsi="宋体" w:cs="宋体"/>
          <w:color w:val="auto"/>
          <w:szCs w:val="21"/>
        </w:rPr>
        <w:t>   联 系 人： 高老师</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联系电话：0574-89187569</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质疑联系人：杨老师</w:t>
      </w:r>
    </w:p>
    <w:p>
      <w:pPr>
        <w:snapToGrid w:val="0"/>
        <w:spacing w:line="400" w:lineRule="exact"/>
        <w:rPr>
          <w:rFonts w:ascii="宋体" w:hAnsi="宋体" w:cs="宋体"/>
          <w:color w:val="auto"/>
          <w:szCs w:val="21"/>
        </w:rPr>
      </w:pPr>
      <w:r>
        <w:rPr>
          <w:rFonts w:hint="eastAsia" w:ascii="宋体" w:hAnsi="宋体" w:cs="宋体"/>
          <w:color w:val="auto"/>
          <w:szCs w:val="21"/>
        </w:rPr>
        <w:t xml:space="preserve">    联系电话：0574-89187338</w:t>
      </w:r>
    </w:p>
    <w:p>
      <w:pPr>
        <w:numPr>
          <w:ilvl w:val="0"/>
          <w:numId w:val="10"/>
        </w:numPr>
        <w:snapToGrid w:val="0"/>
        <w:spacing w:line="400" w:lineRule="exact"/>
        <w:rPr>
          <w:rFonts w:ascii="宋体" w:hAnsi="宋体" w:cs="宋体"/>
          <w:color w:val="auto"/>
          <w:szCs w:val="21"/>
        </w:rPr>
      </w:pPr>
      <w:r>
        <w:rPr>
          <w:rFonts w:hint="eastAsia" w:ascii="宋体" w:hAnsi="宋体" w:cs="宋体"/>
          <w:color w:val="auto"/>
          <w:szCs w:val="21"/>
        </w:rPr>
        <w:t>采购代理机构信息</w:t>
      </w:r>
    </w:p>
    <w:p>
      <w:pPr>
        <w:snapToGrid w:val="0"/>
        <w:spacing w:line="400" w:lineRule="exact"/>
        <w:rPr>
          <w:rFonts w:ascii="宋体" w:hAnsi="宋体" w:cs="宋体"/>
          <w:color w:val="auto"/>
          <w:szCs w:val="21"/>
        </w:rPr>
      </w:pPr>
      <w:r>
        <w:rPr>
          <w:rFonts w:hint="eastAsia" w:ascii="宋体" w:hAnsi="宋体" w:cs="宋体"/>
          <w:color w:val="auto"/>
          <w:szCs w:val="21"/>
        </w:rPr>
        <w:t>   名    称：宁波中穗招标有限公司 </w:t>
      </w:r>
    </w:p>
    <w:p>
      <w:pPr>
        <w:snapToGrid w:val="0"/>
        <w:spacing w:line="400" w:lineRule="exact"/>
        <w:rPr>
          <w:rFonts w:ascii="宋体" w:hAnsi="宋体" w:cs="宋体"/>
          <w:color w:val="auto"/>
          <w:szCs w:val="21"/>
        </w:rPr>
      </w:pPr>
      <w:r>
        <w:rPr>
          <w:rFonts w:hint="eastAsia" w:ascii="宋体" w:hAnsi="宋体" w:cs="宋体"/>
          <w:color w:val="auto"/>
          <w:szCs w:val="21"/>
        </w:rPr>
        <w:t>   地    址：宁波市翠柏路89号宁波工程学院公共培训平台大楼A座1109室 </w:t>
      </w:r>
    </w:p>
    <w:p>
      <w:pPr>
        <w:snapToGrid w:val="0"/>
        <w:spacing w:line="400" w:lineRule="exact"/>
        <w:rPr>
          <w:rFonts w:ascii="宋体" w:hAnsi="宋体" w:cs="宋体"/>
          <w:color w:val="auto"/>
          <w:szCs w:val="21"/>
        </w:rPr>
      </w:pPr>
      <w:r>
        <w:rPr>
          <w:rFonts w:hint="eastAsia" w:ascii="宋体" w:hAnsi="宋体" w:cs="宋体"/>
          <w:color w:val="auto"/>
          <w:szCs w:val="21"/>
        </w:rPr>
        <w:t>   项目联系人（询问）：马倩倩、</w:t>
      </w:r>
      <w:r>
        <w:rPr>
          <w:rFonts w:hint="eastAsia" w:ascii="宋体" w:hAnsi="宋体" w:cs="宋体"/>
          <w:color w:val="auto"/>
          <w:szCs w:val="21"/>
          <w:lang w:val="en-US" w:eastAsia="zh-CN"/>
        </w:rPr>
        <w:t>庞港腾</w:t>
      </w:r>
      <w:r>
        <w:rPr>
          <w:rFonts w:hint="eastAsia" w:ascii="宋体" w:hAnsi="宋体" w:cs="宋体"/>
          <w:color w:val="auto"/>
          <w:szCs w:val="21"/>
        </w:rPr>
        <w:t>、求华勇</w:t>
      </w:r>
    </w:p>
    <w:p>
      <w:pPr>
        <w:snapToGrid w:val="0"/>
        <w:spacing w:line="400" w:lineRule="exact"/>
        <w:rPr>
          <w:rFonts w:ascii="宋体" w:hAnsi="宋体" w:cs="宋体"/>
          <w:color w:val="auto"/>
          <w:szCs w:val="21"/>
        </w:rPr>
      </w:pPr>
      <w:r>
        <w:rPr>
          <w:rFonts w:hint="eastAsia" w:ascii="宋体" w:hAnsi="宋体" w:cs="宋体"/>
          <w:color w:val="auto"/>
          <w:szCs w:val="21"/>
        </w:rPr>
        <w:t>   项目联系方式（询问）：0574-87400706  </w:t>
      </w:r>
    </w:p>
    <w:p>
      <w:pPr>
        <w:snapToGrid w:val="0"/>
        <w:spacing w:line="400" w:lineRule="exact"/>
        <w:ind w:firstLine="210" w:firstLineChars="100"/>
        <w:rPr>
          <w:rFonts w:ascii="宋体" w:hAnsi="宋体" w:cs="宋体"/>
          <w:color w:val="auto"/>
          <w:szCs w:val="21"/>
        </w:rPr>
      </w:pPr>
      <w:r>
        <w:rPr>
          <w:rFonts w:hint="eastAsia" w:ascii="宋体" w:hAnsi="宋体" w:cs="宋体"/>
          <w:color w:val="auto"/>
          <w:szCs w:val="21"/>
        </w:rPr>
        <w:t> 质疑联系人：俞力甩</w:t>
      </w:r>
    </w:p>
    <w:p>
      <w:pPr>
        <w:snapToGrid w:val="0"/>
        <w:spacing w:line="400" w:lineRule="exact"/>
        <w:ind w:firstLine="210" w:firstLineChars="100"/>
        <w:rPr>
          <w:rFonts w:ascii="宋体" w:hAnsi="宋体" w:cs="宋体"/>
          <w:color w:val="auto"/>
          <w:szCs w:val="21"/>
        </w:rPr>
      </w:pPr>
      <w:r>
        <w:rPr>
          <w:rFonts w:hint="eastAsia" w:ascii="宋体" w:hAnsi="宋体" w:cs="宋体"/>
          <w:color w:val="auto"/>
          <w:szCs w:val="21"/>
        </w:rPr>
        <w:t> 质疑联系方式：0574-87152663</w:t>
      </w:r>
    </w:p>
    <w:p>
      <w:pPr>
        <w:numPr>
          <w:ilvl w:val="0"/>
          <w:numId w:val="10"/>
        </w:numPr>
        <w:snapToGrid w:val="0"/>
        <w:spacing w:line="400" w:lineRule="exact"/>
        <w:rPr>
          <w:rFonts w:ascii="宋体" w:hAnsi="宋体" w:cs="宋体"/>
          <w:color w:val="auto"/>
          <w:szCs w:val="21"/>
        </w:rPr>
      </w:pPr>
      <w:r>
        <w:rPr>
          <w:rFonts w:hint="eastAsia" w:ascii="宋体" w:hAnsi="宋体" w:cs="宋体"/>
          <w:color w:val="auto"/>
          <w:szCs w:val="21"/>
        </w:rPr>
        <w:t>同级政府采购监督管理部门</w:t>
      </w:r>
    </w:p>
    <w:p>
      <w:pPr>
        <w:snapToGrid w:val="0"/>
        <w:spacing w:line="400" w:lineRule="exact"/>
        <w:rPr>
          <w:rFonts w:ascii="宋体" w:hAnsi="宋体" w:cs="宋体"/>
          <w:color w:val="auto"/>
          <w:szCs w:val="21"/>
        </w:rPr>
      </w:pPr>
      <w:r>
        <w:rPr>
          <w:rFonts w:hint="eastAsia" w:ascii="宋体" w:hAnsi="宋体" w:cs="宋体"/>
          <w:color w:val="auto"/>
          <w:szCs w:val="21"/>
        </w:rPr>
        <w:t>   名   称：宁波市政府采购管理办公室</w:t>
      </w:r>
    </w:p>
    <w:p>
      <w:pPr>
        <w:snapToGrid w:val="0"/>
        <w:spacing w:line="400" w:lineRule="exact"/>
        <w:rPr>
          <w:rFonts w:ascii="宋体" w:hAnsi="宋体" w:cs="宋体"/>
          <w:color w:val="auto"/>
          <w:szCs w:val="21"/>
        </w:rPr>
      </w:pPr>
      <w:r>
        <w:rPr>
          <w:rFonts w:hint="eastAsia" w:ascii="宋体" w:hAnsi="宋体" w:cs="宋体"/>
          <w:color w:val="auto"/>
          <w:szCs w:val="21"/>
        </w:rPr>
        <w:t>   联 系 人 ：李老师 </w:t>
      </w:r>
    </w:p>
    <w:p>
      <w:pPr>
        <w:snapToGrid w:val="0"/>
        <w:spacing w:line="400" w:lineRule="exact"/>
        <w:rPr>
          <w:rFonts w:ascii="宋体" w:hAnsi="宋体" w:cs="宋体"/>
          <w:color w:val="auto"/>
          <w:szCs w:val="21"/>
        </w:rPr>
      </w:pPr>
      <w:r>
        <w:rPr>
          <w:rFonts w:hint="eastAsia" w:ascii="宋体" w:hAnsi="宋体" w:cs="宋体"/>
          <w:color w:val="auto"/>
          <w:szCs w:val="21"/>
        </w:rPr>
        <w:t>   监督投诉电话：0574-89388042</w:t>
      </w:r>
    </w:p>
    <w:p>
      <w:pPr>
        <w:pStyle w:val="57"/>
        <w:spacing w:line="400" w:lineRule="exact"/>
        <w:rPr>
          <w:color w:val="auto"/>
        </w:rPr>
      </w:pPr>
    </w:p>
    <w:p>
      <w:pPr>
        <w:spacing w:line="400" w:lineRule="exact"/>
        <w:ind w:left="-420" w:leftChars="-200" w:firstLine="422" w:firstLineChars="200"/>
        <w:rPr>
          <w:rFonts w:ascii="宋体" w:hAnsi="宋体" w:cs="宋体"/>
          <w:b/>
          <w:bCs/>
          <w:color w:val="auto"/>
        </w:rPr>
      </w:pPr>
      <w:r>
        <w:rPr>
          <w:rFonts w:hint="eastAsia" w:ascii="宋体" w:hAnsi="宋体" w:cs="宋体"/>
          <w:b/>
          <w:bCs/>
          <w:color w:val="auto"/>
        </w:rPr>
        <w:t>若对项目采购电子交易系统操作有疑问，可登录政采云（https://www.zcygov.cn/），点击右侧咨询小采，获取采小蜜智能服务管家帮助，或拨打政采云服务热线400-881-7190获取热线服务帮助。        </w:t>
      </w:r>
    </w:p>
    <w:p>
      <w:pPr>
        <w:spacing w:line="400" w:lineRule="exact"/>
        <w:rPr>
          <w:rFonts w:ascii="宋体" w:hAnsi="宋体" w:cs="宋体"/>
          <w:color w:val="auto"/>
        </w:rPr>
      </w:pPr>
      <w:r>
        <w:rPr>
          <w:rFonts w:hint="eastAsia" w:ascii="宋体" w:hAnsi="宋体" w:cs="宋体"/>
          <w:b/>
          <w:bCs/>
          <w:color w:val="auto"/>
        </w:rPr>
        <w:t>CA问题联系电话（人工）：汇信CA 400-888-4636；天谷CA 400-087-8198。</w:t>
      </w:r>
    </w:p>
    <w:p>
      <w:pPr>
        <w:pStyle w:val="3"/>
        <w:spacing w:line="360" w:lineRule="auto"/>
        <w:rPr>
          <w:rFonts w:ascii="宋体" w:hAnsi="宋体" w:cs="宋体"/>
          <w:color w:val="auto"/>
        </w:rPr>
      </w:pPr>
      <w:r>
        <w:rPr>
          <w:rFonts w:hint="eastAsia" w:ascii="宋体" w:hAnsi="宋体" w:cs="宋体"/>
          <w:color w:val="auto"/>
        </w:rPr>
        <w:br w:type="page"/>
      </w:r>
      <w:bookmarkStart w:id="92" w:name="_Toc14935"/>
      <w:bookmarkStart w:id="93" w:name="_Toc19837"/>
      <w:bookmarkStart w:id="94" w:name="_Toc8467"/>
      <w:bookmarkStart w:id="95" w:name="_Toc19899"/>
      <w:bookmarkStart w:id="96" w:name="_Toc24604"/>
      <w:bookmarkStart w:id="97" w:name="_Toc23320"/>
      <w:r>
        <w:rPr>
          <w:rFonts w:hint="eastAsia" w:ascii="宋体" w:hAnsi="宋体" w:cs="宋体"/>
          <w:color w:val="auto"/>
        </w:rPr>
        <w:t>第二章 采购需求</w:t>
      </w:r>
      <w:bookmarkEnd w:id="92"/>
      <w:bookmarkEnd w:id="93"/>
      <w:bookmarkEnd w:id="94"/>
      <w:bookmarkEnd w:id="95"/>
      <w:bookmarkEnd w:id="96"/>
      <w:bookmarkEnd w:id="97"/>
    </w:p>
    <w:p>
      <w:pPr>
        <w:spacing w:line="400" w:lineRule="exact"/>
        <w:jc w:val="left"/>
        <w:rPr>
          <w:rFonts w:ascii="宋体" w:hAnsi="宋体" w:cs="宋体"/>
          <w:b/>
          <w:color w:val="auto"/>
          <w:szCs w:val="21"/>
        </w:rPr>
      </w:pPr>
      <w:bookmarkStart w:id="98" w:name="_Toc20648"/>
      <w:bookmarkStart w:id="99" w:name="_Toc13684"/>
      <w:bookmarkStart w:id="100" w:name="_Toc23647"/>
      <w:bookmarkStart w:id="101" w:name="_Toc28662"/>
      <w:r>
        <w:rPr>
          <w:rFonts w:hint="eastAsia" w:ascii="宋体" w:hAnsi="宋体" w:cs="宋体"/>
          <w:b/>
          <w:color w:val="auto"/>
          <w:szCs w:val="21"/>
        </w:rPr>
        <w:t>一、项目背景</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根据《宁波市数字化改革总体行动方案》《宁波市人民政府关于印发宁波市深化“最多跑一次”改革推进政府数字化转型三年行动计划（2019-2021年）的通知》，为有效促进数字化改革和数字孪生系列应用，确保宁波时空信息云平台稳定运行，对平台接入的全市各级政府部门240多个应用系统以及590余个在线数据服务做好维护，持续提供各类空间地理信息以及人口、企业、自然资源等专题数据服务，提升平台三维服务能力，对包括宁波城市大脑、三江流域等数字化改革应用场景做好应用支撑，稳步提高平台的社会影响。同时通过政务应用的建设，降低财政资金投入，实现公共数据的“一张蓝图”管理模式。因此有必要开展2023年时空信息云平台技术服务。</w:t>
      </w:r>
    </w:p>
    <w:p>
      <w:pPr>
        <w:spacing w:line="400" w:lineRule="exact"/>
        <w:jc w:val="left"/>
        <w:rPr>
          <w:rFonts w:ascii="宋体" w:hAnsi="宋体" w:cs="宋体"/>
          <w:b/>
          <w:color w:val="auto"/>
          <w:szCs w:val="21"/>
        </w:rPr>
      </w:pPr>
      <w:r>
        <w:rPr>
          <w:rFonts w:hint="eastAsia" w:ascii="宋体" w:hAnsi="宋体" w:cs="宋体"/>
          <w:b/>
          <w:color w:val="auto"/>
          <w:szCs w:val="21"/>
        </w:rPr>
        <w:t>二、项目服务范围：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本项目包括全市范围时空信息云平台和国土空间基础信息平台常规性运维工作和基于时空信息云平台和国土空间基础信息平台的技术服务工作。</w:t>
      </w:r>
    </w:p>
    <w:p>
      <w:pPr>
        <w:spacing w:line="400" w:lineRule="exact"/>
        <w:jc w:val="left"/>
        <w:rPr>
          <w:rFonts w:ascii="宋体" w:hAnsi="宋体" w:cs="宋体"/>
          <w:b/>
          <w:color w:val="auto"/>
          <w:szCs w:val="21"/>
        </w:rPr>
      </w:pPr>
      <w:r>
        <w:rPr>
          <w:rFonts w:hint="eastAsia" w:ascii="宋体" w:hAnsi="宋体" w:cs="宋体"/>
          <w:b/>
          <w:color w:val="auto"/>
          <w:szCs w:val="21"/>
        </w:rPr>
        <w:t>三、工作内容：</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 平台日常运维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做好时空云平台互联网、政务外网、国土专网三套运维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（1）日常巡检：共计服务器约140余台，约570多个在线数量服务的总体日常运维工作；</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（2）门户网站内容维护（一张图、资源中心、地图中心、工具中心等更新维护）；</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（3）GIS集群站点管理（10个arcgis Server集群和3个supermap iServer集群及后续新增站点）；</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（4）安全运维（年度安全漏洞补丁加固30余次）；</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（5）月度运维报告编制，《平台运维管理制度完善》</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 数据更新维护</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做好时空云平台互联网、政务外网、国土专网三套。</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基础数据更新维护：电子地图（矢量数据入库、切片、服务更新，包括国家2000、宁波2000两套，更新周期为季度更新，重大变更按需更新）、0.2米、0.5米和0.8米影像（数据切片、服务更新，0.2米和0.5米更新周期为年度更新，0.8米更新周期为季度更新）；</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（3）专题数据更新维护：管线数据、网格数据、人口、企业、自然资源等专题数据入库、更新、服务维护等；</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（4）三维数据更新维护：倾斜摄影、三维管线、三维地形等数据更新维护；</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 区县（市）技术支撑</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（1）区县（市）时空信息云平台、宁波市地理信息公共服务平台应用技术指导；</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（2）区县（市）应用接入用户技术服务支撑。</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 平台推广与用户技术服务</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（1）线上/线下技术指导（年度100次左右）；</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（2）重点用户单位需求实现、参与需求策划、大数据分析展示（年度5家）； </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（3）用户单位走访（年度10家重点用户单位）、一般用户应用系统回访；</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（4）开展平台全市用户应用交流会；</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（5）技术协助，二次开发体系维护</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5.平台三维服务</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（1）为全市各区县（市）分局及单独应用节点用户提供三维基础平台应用服务支撑，服务期限为1年；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（2）全年开展3次线下、4次线上三维服务用户专项培训会，包括：三维数据处理入库、系统使用知识讲解、系统运行过程中常见问题的解决方法；</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（3）提供三维基础平台日常维护，每月定期开展巡检，处理应用软件运行中存在的问题，确保软件系统正常运行；</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（4）提供三维基础平台二次开发技术服务支撑，包括宁波城市大脑、三江流域等数字化改革应用场景。</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6. 天地图评测</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（1）全市天地图评测工作整体推进，包括天地图部分功能模块升级完善工作；</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（2）天地图评测工作培训；</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（3）区县（市）评测工作指导。</w:t>
      </w:r>
    </w:p>
    <w:p>
      <w:pPr>
        <w:spacing w:line="400" w:lineRule="exact"/>
        <w:jc w:val="left"/>
        <w:rPr>
          <w:rFonts w:ascii="宋体" w:hAnsi="宋体" w:cs="宋体"/>
          <w:b/>
          <w:color w:val="auto"/>
          <w:szCs w:val="21"/>
        </w:rPr>
      </w:pPr>
      <w:r>
        <w:rPr>
          <w:rFonts w:hint="eastAsia" w:ascii="宋体" w:hAnsi="宋体" w:cs="宋体"/>
          <w:b/>
          <w:color w:val="auto"/>
          <w:szCs w:val="21"/>
        </w:rPr>
        <w:t>四、进度计划要求：</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1、2023年2月，完成项目设计及评审；</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2、2023年6月，中期汇报；</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3、2023年12月，完成项目总结、验收、提交。</w:t>
      </w:r>
    </w:p>
    <w:p>
      <w:pPr>
        <w:spacing w:line="400" w:lineRule="exact"/>
        <w:jc w:val="left"/>
        <w:rPr>
          <w:rFonts w:ascii="宋体" w:hAnsi="宋体" w:cs="宋体"/>
          <w:b/>
          <w:color w:val="auto"/>
          <w:szCs w:val="21"/>
        </w:rPr>
      </w:pPr>
      <w:r>
        <w:rPr>
          <w:rFonts w:hint="eastAsia" w:ascii="宋体" w:hAnsi="宋体" w:cs="宋体"/>
          <w:b/>
          <w:color w:val="auto"/>
          <w:szCs w:val="21"/>
        </w:rPr>
        <w:t>五、成果要求：</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平台稳定运行，出现故障或问题及时响应，保障用户单位稳定服务。项目过程管理规范，组织通过专家验收工作，具体成果要求如下：</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1、项目设计书；</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2、项目总结报告。</w:t>
      </w:r>
    </w:p>
    <w:p>
      <w:pPr>
        <w:jc w:val="left"/>
        <w:rPr>
          <w:rFonts w:ascii="宋体" w:hAnsi="宋体" w:cs="宋体"/>
          <w:b/>
          <w:color w:val="auto"/>
          <w:szCs w:val="21"/>
        </w:rPr>
      </w:pPr>
      <w:r>
        <w:rPr>
          <w:rFonts w:hint="eastAsia" w:ascii="宋体" w:hAnsi="宋体" w:cs="宋体"/>
          <w:b/>
          <w:color w:val="auto"/>
          <w:szCs w:val="21"/>
        </w:rPr>
        <w:t>六、商务需求</w:t>
      </w:r>
    </w:p>
    <w:tbl>
      <w:tblPr>
        <w:tblStyle w:val="48"/>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8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88" w:type="dxa"/>
            <w:vAlign w:val="center"/>
          </w:tcPr>
          <w:p>
            <w:pPr>
              <w:jc w:val="center"/>
              <w:rPr>
                <w:rFonts w:ascii="宋体" w:hAnsi="宋体" w:cs="宋体"/>
                <w:color w:val="auto"/>
                <w:szCs w:val="21"/>
              </w:rPr>
            </w:pPr>
            <w:r>
              <w:rPr>
                <w:rFonts w:hint="eastAsia" w:ascii="宋体" w:hAnsi="宋体" w:cs="宋体"/>
                <w:color w:val="auto"/>
                <w:szCs w:val="21"/>
              </w:rPr>
              <w:t>项 目</w:t>
            </w:r>
          </w:p>
        </w:tc>
        <w:tc>
          <w:tcPr>
            <w:tcW w:w="8078" w:type="dxa"/>
            <w:vAlign w:val="center"/>
          </w:tcPr>
          <w:p>
            <w:pPr>
              <w:jc w:val="center"/>
              <w:rPr>
                <w:rFonts w:ascii="宋体" w:hAnsi="宋体" w:cs="宋体"/>
                <w:color w:val="auto"/>
                <w:szCs w:val="21"/>
              </w:rPr>
            </w:pPr>
            <w:r>
              <w:rPr>
                <w:rFonts w:hint="eastAsia" w:ascii="宋体" w:hAnsi="宋体" w:cs="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88" w:type="dxa"/>
            <w:vAlign w:val="center"/>
          </w:tcPr>
          <w:p>
            <w:pPr>
              <w:tabs>
                <w:tab w:val="left" w:pos="420"/>
              </w:tabs>
              <w:spacing w:before="156" w:beforeLines="50"/>
              <w:jc w:val="center"/>
              <w:rPr>
                <w:rFonts w:ascii="宋体" w:hAnsi="宋体" w:cs="宋体"/>
                <w:color w:val="auto"/>
                <w:szCs w:val="21"/>
              </w:rPr>
            </w:pPr>
            <w:r>
              <w:rPr>
                <w:rFonts w:hint="eastAsia" w:ascii="宋体" w:hAnsi="宋体" w:cs="宋体"/>
                <w:color w:val="auto"/>
                <w:szCs w:val="21"/>
              </w:rPr>
              <w:t>服务期限与地点</w:t>
            </w:r>
          </w:p>
        </w:tc>
        <w:tc>
          <w:tcPr>
            <w:tcW w:w="8078" w:type="dxa"/>
            <w:vAlign w:val="center"/>
          </w:tcPr>
          <w:p>
            <w:pPr>
              <w:spacing w:line="400" w:lineRule="exact"/>
              <w:jc w:val="left"/>
              <w:rPr>
                <w:rFonts w:ascii="宋体" w:hAnsi="宋体" w:cs="宋体"/>
                <w:color w:val="auto"/>
              </w:rPr>
            </w:pPr>
            <w:r>
              <w:rPr>
                <w:rFonts w:hint="eastAsia" w:ascii="宋体" w:hAnsi="宋体" w:cs="宋体"/>
                <w:color w:val="auto"/>
              </w:rPr>
              <w:t>服务期限：合同签订后至</w:t>
            </w:r>
            <w:r>
              <w:rPr>
                <w:rFonts w:hint="eastAsia" w:ascii="宋体" w:hAnsi="宋体" w:cs="宋体"/>
                <w:color w:val="auto"/>
                <w:szCs w:val="21"/>
              </w:rPr>
              <w:t>2023年12月，完成项目总结、验收、提交。</w:t>
            </w:r>
          </w:p>
          <w:p>
            <w:pPr>
              <w:pStyle w:val="19"/>
              <w:rPr>
                <w:rFonts w:ascii="宋体" w:hAnsi="宋体" w:cs="宋体"/>
                <w:color w:val="auto"/>
              </w:rPr>
            </w:pPr>
            <w:r>
              <w:rPr>
                <w:rFonts w:hint="eastAsia" w:ascii="宋体" w:hAnsi="宋体" w:cs="宋体"/>
                <w:color w:val="auto"/>
                <w:sz w:val="21"/>
                <w:szCs w:val="21"/>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888" w:type="dxa"/>
            <w:vAlign w:val="center"/>
          </w:tcPr>
          <w:p>
            <w:pPr>
              <w:tabs>
                <w:tab w:val="left" w:pos="420"/>
              </w:tabs>
              <w:spacing w:before="156" w:beforeLines="50"/>
              <w:jc w:val="center"/>
              <w:rPr>
                <w:rFonts w:ascii="宋体" w:hAnsi="宋体" w:cs="宋体"/>
                <w:color w:val="auto"/>
                <w:szCs w:val="21"/>
              </w:rPr>
            </w:pPr>
            <w:r>
              <w:rPr>
                <w:rFonts w:hint="eastAsia" w:ascii="宋体" w:hAnsi="宋体" w:cs="宋体"/>
                <w:color w:val="auto"/>
                <w:szCs w:val="21"/>
              </w:rPr>
              <w:t>付款方式</w:t>
            </w:r>
          </w:p>
        </w:tc>
        <w:tc>
          <w:tcPr>
            <w:tcW w:w="8078" w:type="dxa"/>
            <w:vAlign w:val="center"/>
          </w:tcPr>
          <w:p>
            <w:pPr>
              <w:jc w:val="left"/>
              <w:rPr>
                <w:rFonts w:ascii="宋体" w:hAnsi="宋体" w:cs="宋体"/>
                <w:color w:val="auto"/>
                <w:szCs w:val="21"/>
              </w:rPr>
            </w:pPr>
            <w:r>
              <w:rPr>
                <w:rFonts w:hint="eastAsia" w:ascii="宋体" w:hAnsi="宋体" w:cs="宋体"/>
                <w:color w:val="auto"/>
              </w:rPr>
              <w:t>合同签订后7日内，采购人向中标供应商支付合同总金额的65%,作为项目预付款；项目年度运维中期（6月底前）10日内，采购人向中标供应商支付合同总金额的30%；中标供应商提交完所有验收材料后10日内，采购人向中标供应商支付合同总金额的5%,作为项目结算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88" w:type="dxa"/>
            <w:vAlign w:val="center"/>
          </w:tcPr>
          <w:p>
            <w:pPr>
              <w:tabs>
                <w:tab w:val="left" w:pos="420"/>
              </w:tabs>
              <w:spacing w:before="156" w:beforeLines="50"/>
              <w:jc w:val="center"/>
              <w:rPr>
                <w:rFonts w:ascii="宋体" w:hAnsi="宋体" w:cs="宋体"/>
                <w:color w:val="auto"/>
                <w:szCs w:val="21"/>
              </w:rPr>
            </w:pPr>
            <w:r>
              <w:rPr>
                <w:rFonts w:hint="eastAsia" w:ascii="宋体" w:hAnsi="宋体" w:cs="宋体"/>
                <w:color w:val="auto"/>
                <w:szCs w:val="21"/>
              </w:rPr>
              <w:t>履约保证金</w:t>
            </w:r>
          </w:p>
        </w:tc>
        <w:tc>
          <w:tcPr>
            <w:tcW w:w="8078" w:type="dxa"/>
            <w:vAlign w:val="center"/>
          </w:tcPr>
          <w:p>
            <w:pPr>
              <w:tabs>
                <w:tab w:val="left" w:pos="420"/>
              </w:tabs>
              <w:spacing w:before="156" w:beforeLines="50"/>
              <w:jc w:val="left"/>
              <w:rPr>
                <w:rFonts w:ascii="宋体" w:hAnsi="宋体" w:cs="宋体"/>
                <w:color w:val="auto"/>
                <w:szCs w:val="21"/>
              </w:rPr>
            </w:pP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88" w:type="dxa"/>
            <w:vAlign w:val="center"/>
          </w:tcPr>
          <w:p>
            <w:pPr>
              <w:tabs>
                <w:tab w:val="left" w:pos="420"/>
              </w:tabs>
              <w:spacing w:before="156" w:beforeLines="50"/>
              <w:jc w:val="center"/>
              <w:rPr>
                <w:rFonts w:ascii="宋体" w:hAnsi="宋体" w:cs="宋体"/>
                <w:color w:val="auto"/>
                <w:szCs w:val="21"/>
              </w:rPr>
            </w:pPr>
            <w:r>
              <w:rPr>
                <w:rFonts w:hint="eastAsia" w:ascii="宋体" w:hAnsi="宋体" w:cs="宋体"/>
                <w:color w:val="auto"/>
                <w:szCs w:val="21"/>
              </w:rPr>
              <w:t>验收方式</w:t>
            </w:r>
          </w:p>
        </w:tc>
        <w:tc>
          <w:tcPr>
            <w:tcW w:w="8078" w:type="dxa"/>
            <w:vAlign w:val="center"/>
          </w:tcPr>
          <w:p>
            <w:pPr>
              <w:tabs>
                <w:tab w:val="left" w:pos="420"/>
              </w:tabs>
              <w:spacing w:before="156" w:beforeLines="50"/>
              <w:jc w:val="left"/>
              <w:rPr>
                <w:rFonts w:ascii="宋体" w:hAnsi="宋体" w:cs="宋体"/>
                <w:color w:val="auto"/>
                <w:szCs w:val="21"/>
              </w:rPr>
            </w:pPr>
            <w:r>
              <w:rPr>
                <w:rFonts w:hint="eastAsia" w:ascii="宋体" w:hAnsi="宋体" w:cs="宋体"/>
                <w:color w:val="auto"/>
                <w:szCs w:val="21"/>
              </w:rPr>
              <w:t>根据招标文件及响应文件，结合项目实际情况由采购人组织验收。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88" w:type="dxa"/>
            <w:vAlign w:val="center"/>
          </w:tcPr>
          <w:p>
            <w:pPr>
              <w:tabs>
                <w:tab w:val="left" w:pos="420"/>
              </w:tabs>
              <w:spacing w:before="156" w:beforeLines="50"/>
              <w:jc w:val="center"/>
              <w:rPr>
                <w:rFonts w:ascii="宋体" w:hAnsi="宋体" w:cs="宋体"/>
                <w:color w:val="auto"/>
                <w:szCs w:val="21"/>
              </w:rPr>
            </w:pPr>
            <w:r>
              <w:rPr>
                <w:rFonts w:hint="eastAsia" w:ascii="宋体" w:hAnsi="宋体" w:cs="宋体"/>
                <w:color w:val="auto"/>
                <w:szCs w:val="21"/>
              </w:rPr>
              <w:t>合同签订</w:t>
            </w:r>
          </w:p>
        </w:tc>
        <w:tc>
          <w:tcPr>
            <w:tcW w:w="8078" w:type="dxa"/>
            <w:vAlign w:val="center"/>
          </w:tcPr>
          <w:p>
            <w:pPr>
              <w:tabs>
                <w:tab w:val="left" w:pos="420"/>
              </w:tabs>
              <w:spacing w:before="156" w:beforeLines="50"/>
              <w:jc w:val="left"/>
              <w:rPr>
                <w:rFonts w:ascii="宋体" w:hAnsi="宋体" w:cs="宋体"/>
                <w:color w:val="auto"/>
                <w:szCs w:val="21"/>
              </w:rPr>
            </w:pPr>
            <w:r>
              <w:rPr>
                <w:rFonts w:hint="eastAsia" w:ascii="宋体" w:hAnsi="宋体" w:cs="宋体"/>
                <w:color w:val="auto"/>
                <w:szCs w:val="21"/>
              </w:rPr>
              <w:t>中标通知书发出后30天内签订合同。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888" w:type="dxa"/>
            <w:vAlign w:val="center"/>
          </w:tcPr>
          <w:p>
            <w:pPr>
              <w:jc w:val="center"/>
              <w:rPr>
                <w:rFonts w:ascii="宋体" w:hAnsi="宋体" w:cs="宋体"/>
                <w:color w:val="auto"/>
              </w:rPr>
            </w:pPr>
            <w:r>
              <w:rPr>
                <w:rFonts w:hint="eastAsia" w:ascii="宋体" w:hAnsi="宋体" w:cs="宋体"/>
                <w:color w:val="auto"/>
              </w:rPr>
              <w:t>知识产权</w:t>
            </w:r>
          </w:p>
        </w:tc>
        <w:tc>
          <w:tcPr>
            <w:tcW w:w="8078" w:type="dxa"/>
            <w:vAlign w:val="center"/>
          </w:tcPr>
          <w:p>
            <w:pPr>
              <w:rPr>
                <w:rFonts w:ascii="宋体" w:hAnsi="宋体" w:cs="宋体"/>
                <w:color w:val="auto"/>
              </w:rPr>
            </w:pPr>
            <w:r>
              <w:rPr>
                <w:rFonts w:hint="eastAsia" w:ascii="宋体" w:hAnsi="宋体" w:cs="宋体"/>
                <w:color w:val="auto"/>
              </w:rPr>
              <w:t>本项目最终成果的知识产权归采购人所有。供应商应保证提供服务过程中不会侵犯任何第三方的知识产权。若发生第三方知识产权纠纷，采购人保留追究责任的权利。</w:t>
            </w:r>
          </w:p>
        </w:tc>
      </w:tr>
    </w:tbl>
    <w:p>
      <w:pPr>
        <w:jc w:val="center"/>
        <w:outlineLvl w:val="0"/>
        <w:rPr>
          <w:rFonts w:ascii="宋体" w:hAnsi="宋体" w:cs="宋体"/>
          <w:b/>
          <w:bCs/>
          <w:color w:val="auto"/>
          <w:kern w:val="44"/>
          <w:sz w:val="30"/>
          <w:szCs w:val="44"/>
        </w:rPr>
      </w:pPr>
      <w:r>
        <w:rPr>
          <w:rFonts w:hint="eastAsia" w:ascii="宋体" w:hAnsi="宋体" w:cs="宋体"/>
          <w:b/>
          <w:bCs/>
          <w:color w:val="auto"/>
          <w:kern w:val="44"/>
          <w:sz w:val="30"/>
          <w:szCs w:val="44"/>
        </w:rPr>
        <w:br w:type="page"/>
      </w:r>
      <w:bookmarkStart w:id="102" w:name="_Toc11255"/>
      <w:bookmarkStart w:id="103" w:name="_Toc16188"/>
      <w:r>
        <w:rPr>
          <w:rStyle w:val="58"/>
          <w:rFonts w:hint="eastAsia"/>
          <w:color w:val="auto"/>
        </w:rPr>
        <w:t>第三章 供应商须知</w:t>
      </w:r>
      <w:bookmarkEnd w:id="98"/>
      <w:bookmarkEnd w:id="99"/>
      <w:bookmarkEnd w:id="100"/>
      <w:bookmarkEnd w:id="101"/>
      <w:bookmarkEnd w:id="102"/>
      <w:bookmarkEnd w:id="103"/>
    </w:p>
    <w:p>
      <w:pPr>
        <w:jc w:val="center"/>
        <w:outlineLvl w:val="1"/>
        <w:rPr>
          <w:rFonts w:ascii="宋体" w:hAnsi="宋体" w:cs="宋体"/>
          <w:b/>
          <w:bCs/>
          <w:color w:val="auto"/>
          <w:sz w:val="28"/>
          <w:szCs w:val="28"/>
        </w:rPr>
      </w:pPr>
      <w:bookmarkStart w:id="104" w:name="_Toc3231"/>
      <w:r>
        <w:rPr>
          <w:rFonts w:hint="eastAsia" w:ascii="宋体" w:hAnsi="宋体" w:cs="宋体"/>
          <w:b/>
          <w:bCs/>
          <w:color w:val="auto"/>
          <w:sz w:val="28"/>
          <w:szCs w:val="28"/>
        </w:rPr>
        <w:t>前 附 表</w:t>
      </w:r>
      <w:bookmarkEnd w:id="104"/>
    </w:p>
    <w:tbl>
      <w:tblPr>
        <w:tblStyle w:val="48"/>
        <w:tblW w:w="0" w:type="auto"/>
        <w:tblInd w:w="5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5"/>
        <w:gridCol w:w="78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tblHeader/>
        </w:trPr>
        <w:tc>
          <w:tcPr>
            <w:tcW w:w="1125" w:type="dxa"/>
            <w:vAlign w:val="center"/>
          </w:tcPr>
          <w:p>
            <w:pPr>
              <w:snapToGrid w:val="0"/>
              <w:spacing w:line="400" w:lineRule="exact"/>
              <w:jc w:val="center"/>
              <w:rPr>
                <w:rFonts w:ascii="宋体" w:hAnsi="宋体" w:cs="宋体"/>
                <w:b/>
                <w:color w:val="auto"/>
                <w:szCs w:val="21"/>
              </w:rPr>
            </w:pPr>
            <w:bookmarkStart w:id="105" w:name="_Toc460857895"/>
            <w:bookmarkStart w:id="106" w:name="_Toc460416594"/>
            <w:r>
              <w:rPr>
                <w:rFonts w:hint="eastAsia" w:ascii="宋体" w:hAnsi="宋体" w:cs="宋体"/>
                <w:b/>
                <w:color w:val="auto"/>
                <w:szCs w:val="21"/>
              </w:rPr>
              <w:t>序  号</w:t>
            </w:r>
          </w:p>
        </w:tc>
        <w:tc>
          <w:tcPr>
            <w:tcW w:w="7861" w:type="dxa"/>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11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项目名称：时空信息云平台技术服务（2023年）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8" w:hRule="atLeast"/>
        </w:trPr>
        <w:tc>
          <w:tcPr>
            <w:tcW w:w="11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采购数量及单位：详见竞争性磋商公告。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trPr>
        <w:tc>
          <w:tcPr>
            <w:tcW w:w="11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1.完成期限：2023年12月，完成项目总结、验收、提交。</w:t>
            </w:r>
          </w:p>
          <w:p>
            <w:pPr>
              <w:spacing w:line="400" w:lineRule="exact"/>
              <w:rPr>
                <w:rFonts w:ascii="宋体" w:hAnsi="宋体" w:cs="宋体"/>
                <w:color w:val="auto"/>
                <w:szCs w:val="21"/>
              </w:rPr>
            </w:pPr>
            <w:r>
              <w:rPr>
                <w:rFonts w:hint="eastAsia" w:ascii="宋体" w:hAnsi="宋体" w:cs="宋体"/>
                <w:color w:val="auto"/>
                <w:szCs w:val="21"/>
              </w:rPr>
              <w:t>2.付款条件：合同签订后7日内，采购人向中标供应商支付合同总金额的65%,作为项目预付款；项目年度运维中期（6月底前）10日内，采购人向中标供应商支付合同总金额的30%；中标供应商提交完所有验收材料后10日内，采购人向中标供应商支付合同总金额的5%,作为项目结算款。</w:t>
            </w:r>
          </w:p>
          <w:p>
            <w:pPr>
              <w:spacing w:line="400" w:lineRule="exact"/>
              <w:rPr>
                <w:rFonts w:ascii="宋体" w:hAnsi="宋体" w:cs="宋体"/>
                <w:color w:val="auto"/>
                <w:szCs w:val="21"/>
              </w:rPr>
            </w:pPr>
            <w:r>
              <w:rPr>
                <w:rFonts w:hint="eastAsia" w:ascii="宋体" w:hAnsi="宋体" w:cs="宋体"/>
                <w:color w:val="auto"/>
                <w:szCs w:val="21"/>
              </w:rPr>
              <w:t>3.履约保证金：无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7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4</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磋商响应报价及费用：</w:t>
            </w:r>
          </w:p>
          <w:p>
            <w:pPr>
              <w:spacing w:line="400" w:lineRule="exact"/>
              <w:rPr>
                <w:rFonts w:ascii="宋体" w:hAnsi="宋体" w:cs="宋体"/>
                <w:color w:val="auto"/>
                <w:szCs w:val="21"/>
              </w:rPr>
            </w:pPr>
            <w:r>
              <w:rPr>
                <w:rFonts w:hint="eastAsia" w:ascii="宋体" w:hAnsi="宋体" w:cs="宋体"/>
                <w:color w:val="auto"/>
                <w:szCs w:val="21"/>
              </w:rPr>
              <w:t>1.响应报价：报价应是竞争性磋商文件确定的采购范围内的全部内容的价格体现，包含但不限于项目实施全过程的费用、人工费，以及管理费、利润、税金、采购代理服务费等与此有关的一切费用。</w:t>
            </w:r>
          </w:p>
          <w:p>
            <w:pPr>
              <w:spacing w:line="400" w:lineRule="exact"/>
              <w:rPr>
                <w:rFonts w:ascii="宋体" w:hAnsi="宋体" w:cs="宋体"/>
                <w:color w:val="auto"/>
                <w:szCs w:val="21"/>
              </w:rPr>
            </w:pPr>
            <w:r>
              <w:rPr>
                <w:rFonts w:hint="eastAsia" w:ascii="宋体" w:hAnsi="宋体" w:cs="宋体"/>
                <w:color w:val="auto"/>
                <w:szCs w:val="21"/>
              </w:rPr>
              <w:t>2.本项目采购预算/最高限价：详见竞争性磋商公告，供应商响应报价超过预算金额或最高限价的作无效标处理。</w:t>
            </w:r>
          </w:p>
          <w:p>
            <w:pPr>
              <w:spacing w:line="400" w:lineRule="exact"/>
              <w:rPr>
                <w:rFonts w:ascii="宋体" w:hAnsi="宋体" w:cs="宋体"/>
                <w:color w:val="auto"/>
                <w:szCs w:val="21"/>
              </w:rPr>
            </w:pPr>
            <w:r>
              <w:rPr>
                <w:rFonts w:hint="eastAsia" w:ascii="宋体" w:hAnsi="宋体" w:cs="宋体"/>
                <w:color w:val="auto"/>
                <w:szCs w:val="21"/>
              </w:rPr>
              <w:t>3.不论磋商响应结果如何，</w:t>
            </w:r>
            <w:r>
              <w:rPr>
                <w:rFonts w:hint="eastAsia" w:ascii="宋体" w:hAnsi="宋体" w:cs="宋体"/>
                <w:bCs/>
                <w:color w:val="auto"/>
                <w:szCs w:val="21"/>
              </w:rPr>
              <w:t>供应商</w:t>
            </w:r>
            <w:r>
              <w:rPr>
                <w:rFonts w:hint="eastAsia" w:ascii="宋体" w:hAnsi="宋体" w:cs="宋体"/>
                <w:color w:val="auto"/>
                <w:szCs w:val="21"/>
              </w:rPr>
              <w:t>均应自行承担所有与磋商响应有关的全部费用。</w:t>
            </w:r>
          </w:p>
          <w:p>
            <w:pPr>
              <w:spacing w:line="400" w:lineRule="exact"/>
              <w:rPr>
                <w:rFonts w:ascii="宋体" w:hAnsi="宋体" w:cs="宋体"/>
                <w:color w:val="auto"/>
                <w:szCs w:val="21"/>
              </w:rPr>
            </w:pPr>
            <w:r>
              <w:rPr>
                <w:rFonts w:hint="eastAsia" w:ascii="宋体" w:hAnsi="宋体" w:cs="宋体"/>
                <w:color w:val="auto"/>
                <w:szCs w:val="21"/>
              </w:rPr>
              <w:t>4.采购代理服务费的收取标准：</w:t>
            </w:r>
          </w:p>
          <w:p>
            <w:pPr>
              <w:tabs>
                <w:tab w:val="left" w:pos="625"/>
              </w:tabs>
              <w:spacing w:line="400" w:lineRule="exact"/>
              <w:rPr>
                <w:rFonts w:ascii="宋体" w:hAnsi="宋体" w:cs="宋体"/>
                <w:color w:val="auto"/>
                <w:szCs w:val="21"/>
              </w:rPr>
            </w:pPr>
            <w:r>
              <w:rPr>
                <w:rFonts w:hint="eastAsia" w:ascii="宋体" w:hAnsi="宋体" w:cs="宋体"/>
                <w:color w:val="auto"/>
                <w:szCs w:val="21"/>
              </w:rPr>
              <w:t>（1）参照国家发改委发改办价格[2003]857号通知和国家计委计价格[2002]1980号文件规定的招标费率标准，以中标通知书确定的总金额为基数，由成交供应商在领取中标通知书前以现金、银行转账方式支付。</w:t>
            </w:r>
          </w:p>
          <w:p>
            <w:pPr>
              <w:tabs>
                <w:tab w:val="left" w:pos="625"/>
              </w:tabs>
              <w:spacing w:line="400" w:lineRule="exact"/>
              <w:rPr>
                <w:rFonts w:ascii="宋体" w:hAnsi="宋体" w:cs="宋体"/>
                <w:color w:val="auto"/>
                <w:szCs w:val="21"/>
              </w:rPr>
            </w:pPr>
            <w:r>
              <w:rPr>
                <w:rFonts w:hint="eastAsia" w:ascii="宋体" w:hAnsi="宋体" w:cs="宋体"/>
                <w:color w:val="auto"/>
                <w:szCs w:val="21"/>
              </w:rPr>
              <w:t>（2）服务费汇入账户：</w:t>
            </w:r>
          </w:p>
          <w:p>
            <w:pPr>
              <w:spacing w:line="400" w:lineRule="exact"/>
              <w:ind w:firstLine="630" w:firstLineChars="300"/>
              <w:rPr>
                <w:rFonts w:ascii="宋体" w:hAnsi="宋体" w:cs="宋体"/>
                <w:color w:val="auto"/>
                <w:szCs w:val="21"/>
              </w:rPr>
            </w:pPr>
            <w:r>
              <w:rPr>
                <w:rFonts w:hint="eastAsia" w:ascii="宋体" w:hAnsi="宋体" w:cs="宋体"/>
                <w:color w:val="auto"/>
                <w:szCs w:val="21"/>
              </w:rPr>
              <w:t>帐户名称：宁波中穗招标有限公司</w:t>
            </w:r>
          </w:p>
          <w:p>
            <w:pPr>
              <w:spacing w:line="400" w:lineRule="exact"/>
              <w:ind w:left="601" w:firstLine="27" w:firstLineChars="13"/>
              <w:rPr>
                <w:rFonts w:ascii="宋体" w:hAnsi="宋体" w:cs="宋体"/>
                <w:color w:val="auto"/>
                <w:szCs w:val="21"/>
              </w:rPr>
            </w:pPr>
            <w:r>
              <w:rPr>
                <w:rFonts w:hint="eastAsia" w:ascii="宋体" w:hAnsi="宋体" w:cs="宋体"/>
                <w:color w:val="auto"/>
                <w:szCs w:val="21"/>
              </w:rPr>
              <w:t>开户银行：中国建设银行宁波市分行</w:t>
            </w:r>
          </w:p>
          <w:p>
            <w:pPr>
              <w:spacing w:line="400" w:lineRule="exact"/>
              <w:ind w:left="601" w:firstLine="27" w:firstLineChars="13"/>
              <w:rPr>
                <w:rFonts w:ascii="宋体" w:hAnsi="宋体" w:cs="宋体"/>
                <w:color w:val="auto"/>
                <w:szCs w:val="21"/>
              </w:rPr>
            </w:pPr>
            <w:r>
              <w:rPr>
                <w:rFonts w:hint="eastAsia" w:ascii="宋体" w:hAnsi="宋体" w:cs="宋体"/>
                <w:color w:val="auto"/>
                <w:szCs w:val="21"/>
              </w:rPr>
              <w:t>银行帐号：33101983679050542195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5</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本项目实行网上磋商响应，供应商应准备以下响应文件：</w:t>
            </w:r>
          </w:p>
          <w:p>
            <w:pPr>
              <w:spacing w:line="400" w:lineRule="exact"/>
              <w:rPr>
                <w:rFonts w:ascii="宋体" w:hAnsi="宋体" w:cs="宋体"/>
                <w:color w:val="auto"/>
                <w:szCs w:val="21"/>
              </w:rPr>
            </w:pPr>
            <w:r>
              <w:rPr>
                <w:rFonts w:hint="eastAsia" w:ascii="宋体" w:hAnsi="宋体" w:cs="宋体"/>
                <w:color w:val="auto"/>
                <w:szCs w:val="21"/>
              </w:rPr>
              <w:t>1.上传到政府采购云平台的电子加密磋商响应文件（含资格证明文件、商务技术文件、报价文件）1份。</w:t>
            </w:r>
          </w:p>
          <w:p>
            <w:pPr>
              <w:spacing w:line="400" w:lineRule="exact"/>
              <w:rPr>
                <w:rFonts w:ascii="宋体" w:hAnsi="宋体" w:cs="宋体"/>
                <w:color w:val="auto"/>
              </w:rPr>
            </w:pPr>
            <w:r>
              <w:rPr>
                <w:rFonts w:hint="eastAsia" w:ascii="宋体" w:hAnsi="宋体" w:cs="宋体"/>
                <w:color w:val="auto"/>
              </w:rPr>
              <w:t>2.以U盘或光盘存储的电子备份磋商响应文件（含资格证明文件、商务技术文件、报价文件）1份。【</w:t>
            </w:r>
            <w:r>
              <w:rPr>
                <w:rFonts w:hint="eastAsia" w:ascii="宋体" w:hAnsi="宋体" w:cs="宋体"/>
                <w:b/>
                <w:bCs/>
                <w:color w:val="auto"/>
              </w:rPr>
              <w:t>非强制项</w:t>
            </w:r>
            <w:r>
              <w:rPr>
                <w:rFonts w:hint="eastAsia" w:ascii="宋体" w:hAnsi="宋体" w:cs="宋体"/>
                <w:color w:val="auto"/>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6</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递交首次响应文件截止时间及地点：详见《竞争性磋商公告》。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7</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响应文件开启时间、地点：详见《竞争性磋商公告》。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8</w:t>
            </w:r>
          </w:p>
        </w:tc>
        <w:tc>
          <w:tcPr>
            <w:tcW w:w="7861" w:type="dxa"/>
            <w:vAlign w:val="center"/>
          </w:tcPr>
          <w:p>
            <w:pPr>
              <w:spacing w:line="400" w:lineRule="exact"/>
              <w:rPr>
                <w:rFonts w:ascii="宋体" w:hAnsi="宋体" w:cs="宋体"/>
                <w:color w:val="auto"/>
                <w:szCs w:val="21"/>
              </w:rPr>
            </w:pPr>
            <w:r>
              <w:rPr>
                <w:rFonts w:hint="eastAsia" w:ascii="宋体" w:hAnsi="宋体" w:cs="宋体"/>
                <w:color w:val="auto"/>
                <w:szCs w:val="21"/>
              </w:rPr>
              <w:t>信用记录：</w:t>
            </w:r>
          </w:p>
          <w:p>
            <w:pPr>
              <w:tabs>
                <w:tab w:val="left" w:pos="625"/>
              </w:tabs>
              <w:spacing w:line="400" w:lineRule="exact"/>
              <w:rPr>
                <w:rFonts w:ascii="宋体" w:hAnsi="宋体" w:cs="宋体"/>
                <w:color w:val="auto"/>
              </w:rPr>
            </w:pPr>
            <w:r>
              <w:rPr>
                <w:rFonts w:hint="eastAsia" w:ascii="宋体" w:hAnsi="宋体" w:cs="宋体"/>
                <w:color w:val="auto"/>
                <w:szCs w:val="21"/>
              </w:rPr>
              <w:t>1.信用信息查询的时间以采购代理机构于响应文件提交截止日当天在“信用中国”网站（www.creditchina.gov.cn）及中国政府采购网</w:t>
            </w:r>
            <w:r>
              <w:rPr>
                <w:rFonts w:hint="eastAsia" w:ascii="宋体" w:hAnsi="宋体" w:cs="宋体"/>
                <w:color w:val="auto"/>
              </w:rPr>
              <w:t>（www.ccgp.gov.cn）</w:t>
            </w:r>
            <w:r>
              <w:rPr>
                <w:rFonts w:hint="eastAsia" w:ascii="宋体" w:hAnsi="宋体" w:cs="宋体"/>
                <w:color w:val="auto"/>
                <w:szCs w:val="21"/>
              </w:rPr>
              <w:t>查询结果为准。</w:t>
            </w:r>
          </w:p>
          <w:p>
            <w:pPr>
              <w:tabs>
                <w:tab w:val="left" w:pos="625"/>
              </w:tabs>
              <w:spacing w:line="400" w:lineRule="exact"/>
              <w:rPr>
                <w:rFonts w:ascii="宋体" w:hAnsi="宋体" w:cs="宋体"/>
                <w:color w:val="auto"/>
              </w:rPr>
            </w:pPr>
            <w:r>
              <w:rPr>
                <w:rFonts w:hint="eastAsia" w:ascii="宋体" w:hAnsi="宋体" w:cs="宋体"/>
                <w:color w:val="auto"/>
              </w:rPr>
              <w:t>2.信用信息查询记录和证据留存具体方式：信用信息查询记录将以网站截图打印稿形式与其他采购文件一并保存。</w:t>
            </w:r>
          </w:p>
          <w:p>
            <w:pPr>
              <w:tabs>
                <w:tab w:val="left" w:pos="625"/>
              </w:tabs>
              <w:spacing w:line="400" w:lineRule="exact"/>
              <w:rPr>
                <w:rFonts w:ascii="宋体" w:hAnsi="宋体" w:cs="宋体"/>
                <w:color w:val="auto"/>
                <w:szCs w:val="21"/>
              </w:rPr>
            </w:pPr>
            <w:r>
              <w:rPr>
                <w:rFonts w:hint="eastAsia" w:ascii="宋体" w:hAnsi="宋体" w:cs="宋体"/>
                <w:color w:val="auto"/>
              </w:rPr>
              <w:t>3.信用信息的使用规则：对列入失信被执行人、重大税收违法案件当事人名单、政府采购严重违法失信行为记录名单及其他不符合《中华人民共和国政府采购法》第二十二条规定条件的供应商，应当拒绝其参与政府采购活动；</w:t>
            </w:r>
            <w:r>
              <w:rPr>
                <w:rFonts w:hint="eastAsia" w:ascii="宋体" w:hAnsi="宋体" w:cs="宋体"/>
                <w:color w:val="auto"/>
                <w:szCs w:val="21"/>
              </w:rPr>
              <w:t>中标候选人被列入失信被执行人、重大税收违法案件当事人名单、政府采购严重违法失信行为记录名单的，采购单位将依法取消其中标资格</w:t>
            </w:r>
            <w:r>
              <w:rPr>
                <w:rFonts w:hint="eastAsia" w:ascii="宋体" w:hAnsi="宋体" w:cs="宋体"/>
                <w:color w:val="auto"/>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9</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评标办法及评分标准：详见第四章评审办法及评分标准。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10</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评标结果公示：结果发布于浙江政府采购网、宁波政府采购网。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2"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11</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12</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采购资金来源：财政资金。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13</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响应文件有效期：90天。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14</w:t>
            </w:r>
          </w:p>
        </w:tc>
        <w:tc>
          <w:tcPr>
            <w:tcW w:w="7861" w:type="dxa"/>
            <w:vAlign w:val="center"/>
          </w:tcPr>
          <w:p>
            <w:pPr>
              <w:autoSpaceDE w:val="0"/>
              <w:autoSpaceDN w:val="0"/>
              <w:spacing w:line="400" w:lineRule="exact"/>
              <w:textAlignment w:val="bottom"/>
              <w:rPr>
                <w:rFonts w:ascii="宋体" w:hAnsi="宋体" w:cs="宋体"/>
                <w:b/>
                <w:color w:val="auto"/>
                <w:szCs w:val="21"/>
              </w:rPr>
            </w:pPr>
            <w:r>
              <w:rPr>
                <w:rFonts w:hint="eastAsia" w:ascii="宋体" w:hAnsi="宋体" w:cs="宋体"/>
                <w:bCs/>
                <w:color w:val="auto"/>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1125"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15</w:t>
            </w:r>
          </w:p>
        </w:tc>
        <w:tc>
          <w:tcPr>
            <w:tcW w:w="7861"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解释：本采购文件的解释权属于采购人和招标代理机构。</w:t>
            </w:r>
          </w:p>
        </w:tc>
      </w:tr>
      <w:bookmarkEnd w:id="105"/>
      <w:bookmarkEnd w:id="106"/>
    </w:tbl>
    <w:p>
      <w:pPr>
        <w:rPr>
          <w:rFonts w:ascii="宋体" w:hAnsi="宋体" w:cs="宋体"/>
          <w:b/>
          <w:color w:val="auto"/>
          <w:szCs w:val="21"/>
        </w:rPr>
      </w:pPr>
    </w:p>
    <w:p>
      <w:pPr>
        <w:pStyle w:val="20"/>
        <w:ind w:firstLine="211"/>
        <w:rPr>
          <w:rFonts w:ascii="宋体" w:hAnsi="宋体" w:cs="宋体"/>
          <w:b/>
          <w:color w:val="auto"/>
          <w:sz w:val="21"/>
          <w:szCs w:val="21"/>
        </w:rPr>
      </w:pPr>
    </w:p>
    <w:p>
      <w:pPr>
        <w:rPr>
          <w:rFonts w:ascii="宋体" w:hAnsi="宋体" w:cs="宋体"/>
          <w:b/>
          <w:color w:val="auto"/>
          <w:szCs w:val="21"/>
        </w:rPr>
      </w:pPr>
    </w:p>
    <w:p>
      <w:pPr>
        <w:pStyle w:val="20"/>
        <w:ind w:firstLine="211"/>
        <w:rPr>
          <w:rFonts w:ascii="宋体" w:hAnsi="宋体" w:cs="宋体"/>
          <w:b/>
          <w:color w:val="auto"/>
          <w:sz w:val="21"/>
          <w:szCs w:val="21"/>
        </w:rPr>
      </w:pPr>
    </w:p>
    <w:p>
      <w:pPr>
        <w:rPr>
          <w:rFonts w:ascii="宋体" w:hAnsi="宋体" w:cs="宋体"/>
          <w:b/>
          <w:color w:val="auto"/>
          <w:szCs w:val="21"/>
        </w:rPr>
      </w:pPr>
    </w:p>
    <w:p>
      <w:pPr>
        <w:pStyle w:val="14"/>
        <w:widowControl w:val="0"/>
        <w:tabs>
          <w:tab w:val="clear" w:pos="454"/>
        </w:tabs>
        <w:snapToGrid w:val="0"/>
        <w:spacing w:before="156" w:beforeLines="50" w:after="0" w:afterLines="0" w:line="360" w:lineRule="auto"/>
        <w:ind w:left="0" w:firstLine="0"/>
        <w:outlineLvl w:val="1"/>
        <w:rPr>
          <w:rFonts w:ascii="宋体" w:hAnsi="宋体" w:cs="宋体"/>
          <w:b/>
          <w:color w:val="auto"/>
          <w:sz w:val="22"/>
          <w:szCs w:val="22"/>
        </w:rPr>
      </w:pPr>
      <w:r>
        <w:rPr>
          <w:rFonts w:hint="eastAsia" w:ascii="宋体" w:hAnsi="宋体" w:cs="宋体"/>
          <w:b/>
          <w:color w:val="auto"/>
          <w:sz w:val="22"/>
          <w:szCs w:val="22"/>
        </w:rPr>
        <w:br w:type="page"/>
      </w:r>
      <w:bookmarkStart w:id="107" w:name="_Toc3664"/>
      <w:r>
        <w:rPr>
          <w:rFonts w:hint="eastAsia" w:ascii="宋体" w:hAnsi="宋体" w:cs="宋体"/>
          <w:b/>
          <w:color w:val="auto"/>
          <w:szCs w:val="24"/>
        </w:rPr>
        <w:t>一 、总  则</w:t>
      </w:r>
      <w:bookmarkEnd w:id="107"/>
    </w:p>
    <w:p>
      <w:pPr>
        <w:pStyle w:val="14"/>
        <w:widowControl w:val="0"/>
        <w:tabs>
          <w:tab w:val="clear" w:pos="454"/>
        </w:tabs>
        <w:snapToGrid w:val="0"/>
        <w:spacing w:before="156" w:beforeLines="50" w:after="0" w:afterLines="0" w:line="360" w:lineRule="auto"/>
        <w:ind w:left="420" w:leftChars="200" w:firstLine="0"/>
        <w:outlineLvl w:val="2"/>
        <w:rPr>
          <w:rFonts w:ascii="宋体" w:hAnsi="宋体" w:cs="宋体"/>
          <w:b/>
          <w:color w:val="auto"/>
          <w:sz w:val="21"/>
          <w:szCs w:val="21"/>
        </w:rPr>
      </w:pPr>
      <w:bookmarkStart w:id="108" w:name="_Toc25951"/>
      <w:r>
        <w:rPr>
          <w:rFonts w:hint="eastAsia" w:ascii="宋体" w:hAnsi="宋体" w:cs="宋体"/>
          <w:b/>
          <w:color w:val="auto"/>
          <w:sz w:val="21"/>
          <w:szCs w:val="21"/>
        </w:rPr>
        <w:t>（一） 适用范围</w:t>
      </w:r>
      <w:bookmarkEnd w:id="108"/>
    </w:p>
    <w:p>
      <w:pPr>
        <w:pStyle w:val="28"/>
        <w:snapToGrid w:val="0"/>
        <w:spacing w:before="0" w:beforeLines="0" w:after="0" w:afterLines="0" w:line="360" w:lineRule="auto"/>
        <w:ind w:firstLine="420" w:firstLineChars="200"/>
        <w:rPr>
          <w:rFonts w:hAnsi="宋体" w:cs="宋体"/>
          <w:color w:val="auto"/>
        </w:rPr>
      </w:pPr>
      <w:r>
        <w:rPr>
          <w:rFonts w:hint="eastAsia" w:hAnsi="宋体" w:cs="宋体"/>
          <w:color w:val="auto"/>
        </w:rPr>
        <w:t>本磋商文件适用于本项目的磋商公告、响应、评审、验收、合同履约、付款等行为（法律、法规另有规定的，从其规定）。</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09" w:name="_Toc16065"/>
      <w:r>
        <w:rPr>
          <w:rFonts w:hint="eastAsia" w:ascii="宋体" w:hAnsi="宋体" w:cs="宋体"/>
          <w:b/>
          <w:color w:val="auto"/>
          <w:sz w:val="21"/>
          <w:szCs w:val="21"/>
        </w:rPr>
        <w:t>（二）定义</w:t>
      </w:r>
      <w:bookmarkEnd w:id="109"/>
    </w:p>
    <w:p>
      <w:pPr>
        <w:pStyle w:val="28"/>
        <w:numPr>
          <w:ilvl w:val="0"/>
          <w:numId w:val="11"/>
        </w:numPr>
        <w:snapToGrid w:val="0"/>
        <w:spacing w:before="0" w:beforeLines="0" w:after="0" w:afterLines="0" w:line="360" w:lineRule="auto"/>
        <w:rPr>
          <w:rFonts w:hAnsi="宋体" w:cs="宋体"/>
          <w:color w:val="auto"/>
        </w:rPr>
      </w:pPr>
      <w:r>
        <w:rPr>
          <w:rFonts w:hint="eastAsia" w:hAnsi="宋体" w:cs="宋体"/>
          <w:color w:val="auto"/>
        </w:rPr>
        <w:t>采购单位系指组织本次竞争性磋商的代理机构和采购人。</w:t>
      </w:r>
    </w:p>
    <w:p>
      <w:pPr>
        <w:pStyle w:val="28"/>
        <w:numPr>
          <w:ilvl w:val="0"/>
          <w:numId w:val="11"/>
        </w:numPr>
        <w:snapToGrid w:val="0"/>
        <w:spacing w:before="0" w:beforeLines="0" w:after="0" w:afterLines="0" w:line="360" w:lineRule="auto"/>
        <w:rPr>
          <w:rFonts w:hAnsi="宋体" w:cs="宋体"/>
          <w:color w:val="auto"/>
        </w:rPr>
      </w:pPr>
      <w:r>
        <w:rPr>
          <w:rFonts w:hint="eastAsia" w:hAnsi="宋体" w:cs="宋体"/>
          <w:color w:val="auto"/>
        </w:rPr>
        <w:t>“供应商”系指向采购单位提交响应文件的单 位或个人。</w:t>
      </w:r>
    </w:p>
    <w:p>
      <w:pPr>
        <w:numPr>
          <w:ilvl w:val="0"/>
          <w:numId w:val="11"/>
        </w:numPr>
        <w:snapToGrid w:val="0"/>
        <w:spacing w:line="360" w:lineRule="auto"/>
        <w:jc w:val="left"/>
        <w:rPr>
          <w:rFonts w:ascii="宋体" w:hAnsi="宋体" w:cs="宋体"/>
          <w:color w:val="auto"/>
          <w:szCs w:val="21"/>
        </w:rPr>
      </w:pPr>
      <w:r>
        <w:rPr>
          <w:rFonts w:hint="eastAsia" w:ascii="宋体" w:hAnsi="宋体" w:cs="宋体"/>
          <w:color w:val="auto"/>
          <w:szCs w:val="21"/>
        </w:rPr>
        <w:t>“产品”系指供方按采购文件规定，须向采购人提供的一切服务相关的产品、保险、税金、手册及其它有关技术资料和材料。如采购文件无特别说明，本项目不接受进口产品参与竞争。</w:t>
      </w:r>
    </w:p>
    <w:p>
      <w:pPr>
        <w:numPr>
          <w:ilvl w:val="0"/>
          <w:numId w:val="11"/>
        </w:numPr>
        <w:snapToGrid w:val="0"/>
        <w:spacing w:line="360" w:lineRule="auto"/>
        <w:jc w:val="left"/>
        <w:rPr>
          <w:rFonts w:ascii="宋体" w:hAnsi="宋体" w:cs="宋体"/>
          <w:color w:val="auto"/>
          <w:szCs w:val="21"/>
        </w:rPr>
      </w:pPr>
      <w:r>
        <w:rPr>
          <w:rFonts w:hint="eastAsia" w:ascii="宋体" w:hAnsi="宋体" w:cs="宋体"/>
          <w:color w:val="auto"/>
          <w:szCs w:val="21"/>
        </w:rPr>
        <w:t>“服务”系指供应商根据采购文件规定的服务要求所要完成的工作。</w:t>
      </w:r>
    </w:p>
    <w:p>
      <w:pPr>
        <w:pStyle w:val="28"/>
        <w:numPr>
          <w:ilvl w:val="0"/>
          <w:numId w:val="11"/>
        </w:numPr>
        <w:snapToGrid w:val="0"/>
        <w:spacing w:before="0" w:beforeLines="0" w:after="0" w:afterLines="0" w:line="360" w:lineRule="auto"/>
        <w:rPr>
          <w:rFonts w:hAnsi="宋体" w:cs="宋体"/>
          <w:color w:val="auto"/>
        </w:rPr>
      </w:pPr>
      <w:r>
        <w:rPr>
          <w:rFonts w:hint="eastAsia" w:hAnsi="宋体" w:cs="宋体"/>
          <w:color w:val="auto"/>
        </w:rPr>
        <w:t>“项目”系指供应商按采购文件规定向采购人提供的服务和相关产品。</w:t>
      </w:r>
    </w:p>
    <w:p>
      <w:pPr>
        <w:pStyle w:val="28"/>
        <w:numPr>
          <w:ilvl w:val="0"/>
          <w:numId w:val="11"/>
        </w:numPr>
        <w:snapToGrid w:val="0"/>
        <w:spacing w:before="0" w:beforeLines="0" w:after="0" w:afterLines="0" w:line="360" w:lineRule="auto"/>
        <w:rPr>
          <w:rFonts w:hAnsi="宋体" w:cs="宋体"/>
          <w:color w:val="auto"/>
        </w:rPr>
      </w:pPr>
      <w:r>
        <w:rPr>
          <w:rFonts w:hint="eastAsia" w:hAnsi="宋体" w:cs="宋体"/>
          <w:color w:val="auto"/>
        </w:rPr>
        <w:t>“书面形式”包括信函、传真、电报、电子邮件等。</w:t>
      </w:r>
    </w:p>
    <w:p>
      <w:pPr>
        <w:pStyle w:val="28"/>
        <w:numPr>
          <w:ilvl w:val="0"/>
          <w:numId w:val="11"/>
        </w:numPr>
        <w:snapToGrid w:val="0"/>
        <w:spacing w:before="0" w:beforeLines="0" w:after="0" w:afterLines="0" w:line="360" w:lineRule="auto"/>
        <w:rPr>
          <w:rFonts w:hAnsi="宋体" w:cs="宋体"/>
          <w:b/>
          <w:color w:val="auto"/>
        </w:rPr>
      </w:pPr>
      <w:r>
        <w:rPr>
          <w:rFonts w:hint="eastAsia" w:hAnsi="宋体" w:cs="宋体"/>
          <w:b/>
          <w:color w:val="auto"/>
        </w:rPr>
        <w:t>“*”系指实质性要求条款。</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0" w:name="_Toc32283"/>
      <w:r>
        <w:rPr>
          <w:rFonts w:hint="eastAsia" w:ascii="宋体" w:hAnsi="宋体" w:cs="宋体"/>
          <w:b/>
          <w:color w:val="auto"/>
          <w:sz w:val="21"/>
          <w:szCs w:val="21"/>
        </w:rPr>
        <w:t>（三）采购方式</w:t>
      </w:r>
      <w:bookmarkEnd w:id="110"/>
    </w:p>
    <w:p>
      <w:pPr>
        <w:pStyle w:val="28"/>
        <w:snapToGrid w:val="0"/>
        <w:spacing w:before="0" w:beforeLines="0" w:after="0" w:afterLines="0" w:line="360" w:lineRule="auto"/>
        <w:ind w:firstLine="420" w:firstLineChars="200"/>
        <w:rPr>
          <w:rFonts w:hAnsi="宋体" w:cs="宋体"/>
          <w:color w:val="auto"/>
        </w:rPr>
      </w:pPr>
      <w:r>
        <w:rPr>
          <w:rFonts w:hint="eastAsia" w:hAnsi="宋体" w:cs="宋体"/>
          <w:color w:val="auto"/>
        </w:rPr>
        <w:t>本次采购采用竞争性磋商方式进行。</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1" w:name="_Toc26620"/>
      <w:r>
        <w:rPr>
          <w:rFonts w:hint="eastAsia" w:ascii="宋体" w:hAnsi="宋体" w:cs="宋体"/>
          <w:b/>
          <w:color w:val="auto"/>
          <w:sz w:val="21"/>
          <w:szCs w:val="21"/>
        </w:rPr>
        <w:t>（四）磋商委托</w:t>
      </w:r>
      <w:bookmarkEnd w:id="111"/>
    </w:p>
    <w:p>
      <w:pPr>
        <w:pStyle w:val="114"/>
        <w:widowControl w:val="0"/>
        <w:wordWrap w:val="0"/>
        <w:spacing w:afterLines="0" w:line="360" w:lineRule="auto"/>
        <w:ind w:firstLine="420"/>
        <w:rPr>
          <w:rFonts w:hAnsi="宋体" w:cs="宋体"/>
          <w:color w:val="auto"/>
        </w:rPr>
      </w:pPr>
      <w:r>
        <w:rPr>
          <w:rFonts w:hint="eastAsia" w:ascii="宋体" w:hAnsi="宋体"/>
          <w:color w:val="auto"/>
          <w:sz w:val="21"/>
          <w:szCs w:val="21"/>
        </w:rPr>
        <w:t>响应文件的签署人应当为供应商的法定代表人，并在响应文件中提供法定代表人身份证正反面复印件。如供应商的法定代表人委托他人签署响应文件办理磋商响应事务的，响应文件中必须提供供应商的</w:t>
      </w:r>
      <w:r>
        <w:rPr>
          <w:rFonts w:ascii="宋体" w:hAnsi="宋体"/>
          <w:color w:val="auto"/>
          <w:sz w:val="21"/>
          <w:szCs w:val="21"/>
        </w:rPr>
        <w:t>法定代表人出具的授权委托书</w:t>
      </w:r>
      <w:r>
        <w:rPr>
          <w:rFonts w:hint="eastAsia" w:ascii="宋体" w:hAnsi="宋体"/>
          <w:color w:val="auto"/>
          <w:sz w:val="21"/>
          <w:szCs w:val="21"/>
        </w:rPr>
        <w:t>及授权代表的身份证正反面复印件</w:t>
      </w:r>
      <w:r>
        <w:rPr>
          <w:rFonts w:ascii="宋体" w:hAnsi="宋体"/>
          <w:color w:val="auto"/>
          <w:sz w:val="21"/>
          <w:szCs w:val="21"/>
        </w:rPr>
        <w:t>。</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2" w:name="_Toc21304"/>
      <w:r>
        <w:rPr>
          <w:rFonts w:hint="eastAsia" w:ascii="宋体" w:hAnsi="宋体" w:cs="宋体"/>
          <w:b/>
          <w:color w:val="auto"/>
          <w:sz w:val="21"/>
          <w:szCs w:val="21"/>
        </w:rPr>
        <w:t>（五）磋商费用</w:t>
      </w:r>
      <w:bookmarkEnd w:id="112"/>
    </w:p>
    <w:p>
      <w:pPr>
        <w:pStyle w:val="28"/>
        <w:snapToGrid w:val="0"/>
        <w:spacing w:before="0" w:beforeLines="0" w:after="0" w:afterLines="0" w:line="360" w:lineRule="auto"/>
        <w:ind w:firstLine="420" w:firstLineChars="200"/>
        <w:rPr>
          <w:rFonts w:hAnsi="宋体" w:cs="宋体"/>
          <w:color w:val="auto"/>
        </w:rPr>
      </w:pPr>
      <w:r>
        <w:rPr>
          <w:rFonts w:hint="eastAsia" w:hAnsi="宋体" w:cs="宋体"/>
          <w:color w:val="auto"/>
        </w:rPr>
        <w:t>不论采购结果如何，供应商均应自行承担所有与采购有关的全部费用（采购文件有相关规定除外）。</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3" w:name="_Toc29911"/>
      <w:r>
        <w:rPr>
          <w:rFonts w:hint="eastAsia" w:ascii="宋体" w:hAnsi="宋体" w:cs="宋体"/>
          <w:b/>
          <w:color w:val="auto"/>
          <w:sz w:val="21"/>
          <w:szCs w:val="21"/>
        </w:rPr>
        <w:t>（六）联合体报价</w:t>
      </w:r>
      <w:bookmarkEnd w:id="113"/>
    </w:p>
    <w:p>
      <w:pPr>
        <w:pStyle w:val="28"/>
        <w:snapToGrid w:val="0"/>
        <w:spacing w:before="0" w:beforeLines="0" w:after="0" w:afterLines="0" w:line="360" w:lineRule="auto"/>
        <w:ind w:firstLine="422" w:firstLineChars="200"/>
        <w:rPr>
          <w:rFonts w:hAnsi="宋体" w:cs="宋体"/>
          <w:bCs/>
          <w:color w:val="auto"/>
        </w:rPr>
      </w:pPr>
      <w:r>
        <w:rPr>
          <w:rFonts w:hint="eastAsia" w:hAnsi="宋体" w:cs="宋体"/>
          <w:b/>
          <w:color w:val="auto"/>
        </w:rPr>
        <w:t>*</w:t>
      </w:r>
      <w:r>
        <w:rPr>
          <w:rFonts w:hint="eastAsia" w:hAnsi="宋体" w:cs="宋体"/>
          <w:bCs/>
          <w:color w:val="auto"/>
        </w:rPr>
        <w:t>本项目不接受联合体报价。</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bCs/>
          <w:color w:val="auto"/>
          <w:sz w:val="21"/>
          <w:szCs w:val="21"/>
        </w:rPr>
      </w:pPr>
      <w:bookmarkStart w:id="114" w:name="_Toc3119"/>
      <w:r>
        <w:rPr>
          <w:rFonts w:hint="eastAsia" w:ascii="宋体" w:hAnsi="宋体" w:cs="宋体"/>
          <w:b/>
          <w:bCs/>
          <w:color w:val="auto"/>
          <w:sz w:val="21"/>
          <w:szCs w:val="21"/>
        </w:rPr>
        <w:t>（七）转包与分包</w:t>
      </w:r>
      <w:bookmarkEnd w:id="114"/>
    </w:p>
    <w:p>
      <w:pPr>
        <w:pStyle w:val="28"/>
        <w:snapToGrid w:val="0"/>
        <w:spacing w:before="0" w:beforeLines="0" w:after="0" w:afterLines="0" w:line="360" w:lineRule="auto"/>
        <w:ind w:firstLine="422" w:firstLineChars="200"/>
        <w:rPr>
          <w:rFonts w:hAnsi="宋体" w:cs="宋体"/>
          <w:bCs/>
          <w:color w:val="auto"/>
        </w:rPr>
      </w:pPr>
      <w:r>
        <w:rPr>
          <w:rFonts w:hint="eastAsia" w:hAnsi="宋体" w:cs="宋体"/>
          <w:b/>
          <w:color w:val="auto"/>
        </w:rPr>
        <w:t>*</w:t>
      </w:r>
      <w:r>
        <w:rPr>
          <w:rFonts w:hint="eastAsia" w:hAnsi="宋体" w:cs="宋体"/>
          <w:bCs/>
          <w:color w:val="auto"/>
        </w:rPr>
        <w:t>本项目不允许转包，未经采购人同意不得分包。</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5" w:name="_Toc7930"/>
      <w:r>
        <w:rPr>
          <w:rFonts w:hint="eastAsia" w:ascii="宋体" w:hAnsi="宋体" w:cs="宋体"/>
          <w:b/>
          <w:color w:val="auto"/>
          <w:sz w:val="21"/>
          <w:szCs w:val="21"/>
        </w:rPr>
        <w:t>（八）特别说明</w:t>
      </w:r>
      <w:bookmarkEnd w:id="115"/>
    </w:p>
    <w:p>
      <w:pPr>
        <w:pStyle w:val="28"/>
        <w:numPr>
          <w:ilvl w:val="0"/>
          <w:numId w:val="12"/>
        </w:numPr>
        <w:snapToGrid w:val="0"/>
        <w:spacing w:before="0" w:beforeLines="0" w:after="0" w:afterLines="0" w:line="360" w:lineRule="auto"/>
        <w:rPr>
          <w:rFonts w:hAnsi="宋体" w:cs="宋体"/>
          <w:color w:val="auto"/>
        </w:rPr>
      </w:pPr>
      <w:r>
        <w:rPr>
          <w:rFonts w:hint="eastAsia" w:hAnsi="宋体" w:cs="宋体"/>
          <w:color w:val="auto"/>
        </w:rPr>
        <w:t>供应商应仔细阅读磋商文件的所有内容，按照磋商文件的要求提交响应文件，并对所提供的全部资料的真实性承担法律责任。</w:t>
      </w:r>
    </w:p>
    <w:p>
      <w:pPr>
        <w:pStyle w:val="28"/>
        <w:numPr>
          <w:ilvl w:val="0"/>
          <w:numId w:val="12"/>
        </w:numPr>
        <w:snapToGrid w:val="0"/>
        <w:spacing w:before="0" w:beforeLines="0" w:after="0" w:afterLines="0" w:line="360" w:lineRule="auto"/>
        <w:rPr>
          <w:rFonts w:hAnsi="宋体" w:cs="宋体"/>
          <w:color w:val="auto"/>
        </w:rPr>
      </w:pPr>
      <w:r>
        <w:rPr>
          <w:rFonts w:hint="eastAsia" w:hAnsi="宋体" w:cs="宋体"/>
          <w:b/>
          <w:color w:val="auto"/>
        </w:rPr>
        <w:t>*</w:t>
      </w:r>
      <w:r>
        <w:rPr>
          <w:rFonts w:hint="eastAsia" w:hAnsi="宋体" w:cs="宋体"/>
          <w:color w:val="auto"/>
        </w:rPr>
        <w:t>供应商在采购活动中提供任何虚假材料,其响应文件无效，并报监管部门查处。</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6" w:name="_Toc13267"/>
      <w:r>
        <w:rPr>
          <w:rFonts w:hint="eastAsia" w:ascii="宋体" w:hAnsi="宋体" w:cs="宋体"/>
          <w:b/>
          <w:color w:val="auto"/>
          <w:sz w:val="21"/>
          <w:szCs w:val="21"/>
        </w:rPr>
        <w:t>（九）关于分公司参加磋商</w:t>
      </w:r>
      <w:bookmarkEnd w:id="116"/>
    </w:p>
    <w:p>
      <w:pPr>
        <w:widowControl/>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除银行、保险、石油石化、电力、电信、移动、联通等行业允许分公司参加磋商外，其余不允许分公司参加磋商。如允许分公司参加磋商的，需提供具有法人资格的总公司的营业执照扫描件及授权书，授权书须加盖总公司公章。总公司可就本项目或此类项目在一定范围或时间内出具授权书。已由总公司授权的，总公司取得的相关资质证书对分公司有效。</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7" w:name="_Toc18058"/>
      <w:r>
        <w:rPr>
          <w:rFonts w:hint="eastAsia" w:ascii="宋体" w:hAnsi="宋体" w:cs="宋体"/>
          <w:b/>
          <w:color w:val="auto"/>
          <w:sz w:val="21"/>
          <w:szCs w:val="21"/>
        </w:rPr>
        <w:t>（十）关于知识产权</w:t>
      </w:r>
      <w:bookmarkEnd w:id="117"/>
    </w:p>
    <w:p>
      <w:pPr>
        <w:widowControl/>
        <w:numPr>
          <w:ilvl w:val="0"/>
          <w:numId w:val="13"/>
        </w:numPr>
        <w:snapToGrid w:val="0"/>
        <w:spacing w:line="360" w:lineRule="auto"/>
        <w:jc w:val="left"/>
        <w:rPr>
          <w:rFonts w:ascii="宋体" w:hAnsi="宋体" w:cs="宋体"/>
          <w:bCs/>
          <w:color w:val="auto"/>
          <w:szCs w:val="21"/>
        </w:rPr>
      </w:pPr>
      <w:r>
        <w:rPr>
          <w:rFonts w:hint="eastAsia" w:ascii="宋体" w:hAnsi="宋体" w:cs="宋体"/>
          <w:bCs/>
          <w:color w:val="auto"/>
          <w:szCs w:val="21"/>
        </w:rPr>
        <w:t>供应商必须保证，采购人在中华人民共和国境内使用响应服务、资料、技术、服务或其任何一部分时，享有不受限制的无偿使用权，如有第三方向采购人提出侵犯其专利权、商标权或其它知识产权的主张，该责任应由供应商承担。</w:t>
      </w:r>
    </w:p>
    <w:p>
      <w:pPr>
        <w:widowControl/>
        <w:numPr>
          <w:ilvl w:val="0"/>
          <w:numId w:val="13"/>
        </w:numPr>
        <w:snapToGrid w:val="0"/>
        <w:spacing w:line="360" w:lineRule="auto"/>
        <w:jc w:val="left"/>
        <w:rPr>
          <w:rFonts w:ascii="宋体" w:hAnsi="宋体" w:cs="宋体"/>
          <w:bCs/>
          <w:color w:val="auto"/>
          <w:szCs w:val="21"/>
        </w:rPr>
      </w:pPr>
      <w:r>
        <w:rPr>
          <w:rFonts w:hint="eastAsia" w:ascii="宋体" w:hAnsi="宋体" w:cs="宋体"/>
          <w:bCs/>
          <w:color w:val="auto"/>
          <w:szCs w:val="21"/>
        </w:rPr>
        <w:t>供应商报价应包含所有应向所有权人支付的专利权、商标权或其它知识产权的一切相关费用。</w:t>
      </w:r>
    </w:p>
    <w:p>
      <w:pPr>
        <w:widowControl/>
        <w:numPr>
          <w:ilvl w:val="0"/>
          <w:numId w:val="13"/>
        </w:numPr>
        <w:snapToGrid w:val="0"/>
        <w:spacing w:line="360" w:lineRule="auto"/>
        <w:jc w:val="left"/>
        <w:rPr>
          <w:rFonts w:ascii="宋体" w:hAnsi="宋体" w:cs="宋体"/>
          <w:bCs/>
          <w:color w:val="auto"/>
          <w:szCs w:val="21"/>
        </w:rPr>
      </w:pPr>
      <w:r>
        <w:rPr>
          <w:rFonts w:hint="eastAsia" w:ascii="宋体" w:hAnsi="宋体" w:cs="宋体"/>
          <w:bCs/>
          <w:color w:val="auto"/>
          <w:szCs w:val="21"/>
        </w:rPr>
        <w:t>系统软件、通用软件必须是具有在中国境内的合法使用权或版权的正版软件，涉及到第三方提出侵权或知识产权的起诉及支付版税等费用由供应商承担所有责任及费用。</w:t>
      </w:r>
    </w:p>
    <w:p>
      <w:pPr>
        <w:pStyle w:val="57"/>
        <w:numPr>
          <w:ilvl w:val="0"/>
          <w:numId w:val="13"/>
        </w:numPr>
        <w:ind w:firstLineChars="0"/>
        <w:rPr>
          <w:color w:val="auto"/>
        </w:rPr>
      </w:pPr>
      <w:r>
        <w:rPr>
          <w:rFonts w:hint="eastAsia" w:ascii="宋体" w:hAnsi="宋体" w:cs="宋体"/>
          <w:bCs/>
          <w:color w:val="auto"/>
          <w:szCs w:val="21"/>
        </w:rPr>
        <w:t>本项目形成的成果知识产权归采购人所有。</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18" w:name="_Toc12235"/>
      <w:r>
        <w:rPr>
          <w:rFonts w:hint="eastAsia" w:ascii="宋体" w:hAnsi="宋体" w:cs="宋体"/>
          <w:b/>
          <w:color w:val="auto"/>
          <w:sz w:val="21"/>
          <w:szCs w:val="21"/>
        </w:rPr>
        <w:t>（十一）质疑和投诉</w:t>
      </w:r>
      <w:bookmarkEnd w:id="118"/>
    </w:p>
    <w:p>
      <w:pPr>
        <w:pStyle w:val="19"/>
        <w:numPr>
          <w:ilvl w:val="0"/>
          <w:numId w:val="14"/>
        </w:numPr>
        <w:spacing w:after="0" w:line="360" w:lineRule="auto"/>
        <w:rPr>
          <w:rFonts w:ascii="宋体" w:hAnsi="宋体" w:cs="宋体"/>
          <w:color w:val="auto"/>
        </w:rPr>
      </w:pPr>
      <w:r>
        <w:rPr>
          <w:rFonts w:hint="eastAsia" w:ascii="宋体" w:hAnsi="宋体" w:cs="宋体"/>
          <w:color w:val="auto"/>
          <w:sz w:val="21"/>
          <w:szCs w:val="21"/>
        </w:rPr>
        <w:t>供应商认为采购文件、采购过程、成交结果使自己的权益受到损害的，须在应</w:t>
      </w:r>
      <w:r>
        <w:rPr>
          <w:rFonts w:hint="eastAsia" w:ascii="宋体" w:hAnsi="宋体" w:cs="宋体"/>
          <w:color w:val="auto"/>
          <w:spacing w:val="2"/>
          <w:sz w:val="21"/>
        </w:rPr>
        <w:t>知其利益受损之日起七个工作日内以书面形式向采购人、采购代理机构提出质疑。</w:t>
      </w:r>
      <w:r>
        <w:rPr>
          <w:rFonts w:hint="eastAsia" w:ascii="宋体" w:hAnsi="宋体" w:cs="宋体"/>
          <w:b/>
          <w:color w:val="auto"/>
          <w:spacing w:val="2"/>
          <w:sz w:val="21"/>
        </w:rPr>
        <w:t>供应商应当在法定质疑期内一次性提出针对同一采购程序环节的质疑</w:t>
      </w:r>
      <w:r>
        <w:rPr>
          <w:rFonts w:hint="eastAsia" w:ascii="宋体" w:hAnsi="宋体" w:cs="宋体"/>
          <w:color w:val="auto"/>
          <w:spacing w:val="2"/>
          <w:sz w:val="21"/>
        </w:rPr>
        <w:t>。</w:t>
      </w:r>
    </w:p>
    <w:p>
      <w:pPr>
        <w:numPr>
          <w:ilvl w:val="0"/>
          <w:numId w:val="14"/>
        </w:numPr>
        <w:tabs>
          <w:tab w:val="left" w:pos="518"/>
        </w:tabs>
        <w:adjustRightInd w:val="0"/>
        <w:snapToGrid w:val="0"/>
        <w:spacing w:line="360" w:lineRule="auto"/>
        <w:jc w:val="left"/>
        <w:rPr>
          <w:rFonts w:ascii="宋体" w:hAnsi="宋体" w:cs="宋体"/>
          <w:color w:val="auto"/>
          <w:szCs w:val="21"/>
        </w:rPr>
      </w:pPr>
      <w:r>
        <w:rPr>
          <w:rFonts w:hint="eastAsia" w:ascii="宋体" w:hAnsi="宋体" w:cs="宋体"/>
          <w:color w:val="auto"/>
        </w:rPr>
        <w:t>提出质疑的供应商应当是参与所质疑项目采购活动的供应商。未依法获取采</w:t>
      </w:r>
      <w:r>
        <w:rPr>
          <w:rFonts w:hint="eastAsia" w:ascii="宋体" w:hAnsi="宋体" w:cs="宋体"/>
          <w:color w:val="auto"/>
          <w:spacing w:val="2"/>
        </w:rPr>
        <w:t>购文件的，不得就采购文件提出质疑；未提交响应文件的供应商，视为与采购结</w:t>
      </w:r>
      <w:r>
        <w:rPr>
          <w:rFonts w:hint="eastAsia" w:ascii="宋体" w:hAnsi="宋体" w:cs="宋体"/>
          <w:color w:val="auto"/>
          <w:spacing w:val="-115"/>
        </w:rPr>
        <w:t xml:space="preserve"> </w:t>
      </w:r>
      <w:r>
        <w:rPr>
          <w:rFonts w:hint="eastAsia" w:ascii="宋体" w:hAnsi="宋体" w:cs="宋体"/>
          <w:color w:val="auto"/>
        </w:rPr>
        <w:t>果没有利害关系，不得就采购响应截止时间后的采购过程、采购结果提出质疑。</w:t>
      </w:r>
    </w:p>
    <w:p>
      <w:pPr>
        <w:numPr>
          <w:ilvl w:val="0"/>
          <w:numId w:val="14"/>
        </w:numPr>
        <w:tabs>
          <w:tab w:val="left" w:pos="518"/>
        </w:tabs>
        <w:adjustRightInd w:val="0"/>
        <w:snapToGrid w:val="0"/>
        <w:spacing w:line="360" w:lineRule="auto"/>
        <w:jc w:val="left"/>
        <w:rPr>
          <w:rFonts w:ascii="宋体" w:hAnsi="宋体" w:cs="宋体"/>
          <w:color w:val="auto"/>
          <w:szCs w:val="21"/>
        </w:rPr>
      </w:pPr>
      <w:r>
        <w:rPr>
          <w:rFonts w:hint="eastAsia" w:ascii="宋体" w:hAnsi="宋体" w:cs="宋体"/>
          <w:color w:val="auto"/>
        </w:rPr>
        <w:t>供应商提出质疑应当提交质疑函和必要的证明材料，质疑函应当以书面形式</w:t>
      </w:r>
      <w:r>
        <w:rPr>
          <w:rFonts w:hint="eastAsia" w:ascii="宋体" w:hAnsi="宋体" w:cs="宋体"/>
          <w:color w:val="auto"/>
          <w:szCs w:val="21"/>
        </w:rPr>
        <w:t>（需符合财政部令第94号政府采购质疑和投诉办法要求）</w:t>
      </w:r>
      <w:r>
        <w:rPr>
          <w:rFonts w:hint="eastAsia" w:ascii="宋体" w:hAnsi="宋体" w:cs="宋体"/>
          <w:color w:val="auto"/>
          <w:spacing w:val="2"/>
        </w:rPr>
        <w:t>提出</w:t>
      </w:r>
      <w:r>
        <w:rPr>
          <w:rFonts w:hint="eastAsia" w:ascii="宋体" w:hAnsi="宋体" w:cs="宋体"/>
          <w:color w:val="auto"/>
          <w:szCs w:val="21"/>
        </w:rPr>
        <w:t>。</w:t>
      </w:r>
    </w:p>
    <w:p>
      <w:pPr>
        <w:numPr>
          <w:ilvl w:val="0"/>
          <w:numId w:val="14"/>
        </w:numPr>
        <w:tabs>
          <w:tab w:val="left" w:pos="518"/>
        </w:tabs>
        <w:adjustRightInd w:val="0"/>
        <w:snapToGrid w:val="0"/>
        <w:spacing w:line="360" w:lineRule="auto"/>
        <w:jc w:val="left"/>
        <w:rPr>
          <w:rFonts w:ascii="宋体" w:hAnsi="宋体" w:cs="宋体"/>
          <w:color w:val="auto"/>
          <w:szCs w:val="21"/>
        </w:rPr>
      </w:pPr>
      <w:r>
        <w:rPr>
          <w:rFonts w:hint="eastAsia" w:ascii="宋体" w:hAnsi="宋体" w:cs="宋体"/>
          <w:color w:val="auto"/>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numPr>
          <w:ilvl w:val="0"/>
          <w:numId w:val="14"/>
        </w:numPr>
        <w:tabs>
          <w:tab w:val="left" w:pos="518"/>
        </w:tabs>
        <w:adjustRightInd w:val="0"/>
        <w:snapToGrid w:val="0"/>
        <w:spacing w:line="360" w:lineRule="auto"/>
        <w:jc w:val="left"/>
        <w:rPr>
          <w:rFonts w:ascii="宋体" w:hAnsi="宋体" w:cs="宋体"/>
          <w:color w:val="auto"/>
          <w:szCs w:val="21"/>
        </w:rPr>
      </w:pPr>
      <w:r>
        <w:rPr>
          <w:rFonts w:hint="eastAsia" w:ascii="宋体" w:hAnsi="宋体" w:cs="宋体"/>
          <w:color w:val="auto"/>
          <w:szCs w:val="21"/>
        </w:rPr>
        <w:t>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14"/>
        <w:widowControl w:val="0"/>
        <w:tabs>
          <w:tab w:val="clear" w:pos="454"/>
        </w:tabs>
        <w:snapToGrid w:val="0"/>
        <w:spacing w:before="156" w:beforeLines="50" w:after="0" w:afterLines="0" w:line="360" w:lineRule="auto"/>
        <w:ind w:left="0" w:firstLine="0"/>
        <w:outlineLvl w:val="1"/>
        <w:rPr>
          <w:rFonts w:ascii="宋体" w:hAnsi="宋体" w:cs="宋体"/>
          <w:b/>
          <w:color w:val="auto"/>
          <w:szCs w:val="24"/>
        </w:rPr>
      </w:pPr>
      <w:bookmarkStart w:id="119" w:name="_Toc4170"/>
      <w:r>
        <w:rPr>
          <w:rFonts w:hint="eastAsia" w:ascii="宋体" w:hAnsi="宋体" w:cs="宋体"/>
          <w:b/>
          <w:color w:val="auto"/>
          <w:szCs w:val="24"/>
        </w:rPr>
        <w:t>二、磋商文件</w:t>
      </w:r>
      <w:bookmarkEnd w:id="119"/>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0" w:name="_Toc22717"/>
      <w:r>
        <w:rPr>
          <w:rFonts w:hint="eastAsia" w:ascii="宋体" w:hAnsi="宋体" w:cs="宋体"/>
          <w:b/>
          <w:color w:val="auto"/>
          <w:sz w:val="21"/>
          <w:szCs w:val="21"/>
        </w:rPr>
        <w:t>（一）磋商文件的构成。本磋商文件由以下部分组成：</w:t>
      </w:r>
      <w:bookmarkEnd w:id="120"/>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竞争性磋商采购公告；</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采购需求；</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供应商须知；</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评审办法及标准；</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采购合同；</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响应文件格式；</w:t>
      </w:r>
    </w:p>
    <w:p>
      <w:pPr>
        <w:pStyle w:val="28"/>
        <w:numPr>
          <w:ilvl w:val="0"/>
          <w:numId w:val="15"/>
        </w:numPr>
        <w:snapToGrid w:val="0"/>
        <w:spacing w:before="0" w:beforeLines="0" w:after="0" w:afterLines="0" w:line="360" w:lineRule="auto"/>
        <w:rPr>
          <w:rFonts w:hAnsi="宋体" w:cs="宋体"/>
          <w:color w:val="auto"/>
        </w:rPr>
      </w:pPr>
      <w:r>
        <w:rPr>
          <w:rFonts w:hint="eastAsia" w:hAnsi="宋体" w:cs="宋体"/>
          <w:color w:val="auto"/>
        </w:rPr>
        <w:t>本项目磋商文件的澄清、答复、修改、补充的内容。</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1" w:name="_Toc17794"/>
      <w:r>
        <w:rPr>
          <w:rFonts w:hint="eastAsia" w:ascii="宋体" w:hAnsi="宋体" w:cs="宋体"/>
          <w:b/>
          <w:color w:val="auto"/>
          <w:sz w:val="21"/>
          <w:szCs w:val="21"/>
        </w:rPr>
        <w:t>（二）供应商的风险</w:t>
      </w:r>
      <w:bookmarkEnd w:id="121"/>
    </w:p>
    <w:p>
      <w:pPr>
        <w:pStyle w:val="28"/>
        <w:snapToGrid w:val="0"/>
        <w:spacing w:before="0" w:beforeLines="0" w:after="0" w:afterLines="0" w:line="360" w:lineRule="auto"/>
        <w:ind w:firstLine="420" w:firstLineChars="200"/>
        <w:rPr>
          <w:rFonts w:hAnsi="宋体" w:cs="宋体"/>
          <w:color w:val="auto"/>
        </w:rPr>
      </w:pPr>
      <w:r>
        <w:rPr>
          <w:rFonts w:hint="eastAsia" w:hAnsi="宋体" w:cs="宋体"/>
          <w:color w:val="auto"/>
        </w:rPr>
        <w:t>供应商没有按照磋商文件要求提供全部资料，或者供应商没有对磋商文件在各方面作出实质性响应是供应商的风险，并可能导致其响应文件被拒绝。</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2" w:name="_Toc24838"/>
      <w:r>
        <w:rPr>
          <w:rFonts w:hint="eastAsia" w:ascii="宋体" w:hAnsi="宋体" w:cs="宋体"/>
          <w:b/>
          <w:color w:val="auto"/>
          <w:sz w:val="21"/>
          <w:szCs w:val="21"/>
        </w:rPr>
        <w:t>（三）磋商文件的澄清与修改</w:t>
      </w:r>
      <w:bookmarkEnd w:id="122"/>
      <w:r>
        <w:rPr>
          <w:rFonts w:hint="eastAsia" w:ascii="宋体" w:hAnsi="宋体" w:cs="宋体"/>
          <w:b/>
          <w:color w:val="auto"/>
          <w:sz w:val="21"/>
          <w:szCs w:val="21"/>
        </w:rPr>
        <w:t xml:space="preserve"> </w:t>
      </w:r>
    </w:p>
    <w:p>
      <w:pPr>
        <w:pStyle w:val="28"/>
        <w:numPr>
          <w:ilvl w:val="0"/>
          <w:numId w:val="16"/>
        </w:numPr>
        <w:snapToGrid w:val="0"/>
        <w:spacing w:before="0" w:beforeLines="0" w:after="0" w:afterLines="0" w:line="360" w:lineRule="auto"/>
        <w:rPr>
          <w:rFonts w:hAnsi="宋体" w:cs="宋体"/>
          <w:color w:val="auto"/>
        </w:rPr>
      </w:pPr>
      <w:r>
        <w:rPr>
          <w:rFonts w:hint="eastAsia" w:hAnsi="宋体" w:cs="宋体"/>
          <w:color w:val="auto"/>
        </w:rPr>
        <w:t>澄清或者修改的内容可能影响响应文件编制的，采购人、采购代理机构将在提交首次响应文件截止时间至少5日前，以书面形式通知所有获取磋商文件的供应商；不足5日的，采购人、采购代理机构可能会顺延提交首次响应文件截止时间。澄清或者修改的内容未对原磋商文件作出重大修改或不会影响响应文件编制的，递交首次响应文件截止时间不变。</w:t>
      </w:r>
    </w:p>
    <w:p>
      <w:pPr>
        <w:pStyle w:val="28"/>
        <w:numPr>
          <w:ilvl w:val="0"/>
          <w:numId w:val="16"/>
        </w:numPr>
        <w:snapToGrid w:val="0"/>
        <w:spacing w:before="0" w:beforeLines="0" w:after="0" w:afterLines="0" w:line="360" w:lineRule="auto"/>
        <w:rPr>
          <w:rFonts w:hAnsi="宋体" w:cs="宋体"/>
          <w:color w:val="auto"/>
        </w:rPr>
      </w:pPr>
      <w:r>
        <w:rPr>
          <w:rFonts w:hint="eastAsia" w:hAnsi="宋体" w:cs="宋体"/>
          <w:color w:val="auto"/>
        </w:rPr>
        <w:t>供应商在规定的时间内未对磋商文件提出疑问、质疑或要求澄清的，将视其为无异议。对磋商文件中描述有歧义或前后不一致的地方，磋商小组有权进行评判，但对同一条款的评判应适用于每个供应商。</w:t>
      </w:r>
    </w:p>
    <w:p>
      <w:pPr>
        <w:pStyle w:val="28"/>
        <w:snapToGrid w:val="0"/>
        <w:spacing w:before="0" w:beforeLines="0" w:after="0" w:afterLines="0" w:line="240" w:lineRule="auto"/>
        <w:outlineLvl w:val="1"/>
        <w:rPr>
          <w:rFonts w:hAnsi="宋体" w:cs="宋体"/>
          <w:b/>
          <w:color w:val="auto"/>
          <w:sz w:val="24"/>
          <w:szCs w:val="24"/>
        </w:rPr>
      </w:pPr>
      <w:bookmarkStart w:id="123" w:name="_Toc3188"/>
      <w:r>
        <w:rPr>
          <w:rFonts w:hint="eastAsia" w:hAnsi="宋体" w:cs="宋体"/>
          <w:b/>
          <w:color w:val="auto"/>
          <w:sz w:val="24"/>
          <w:szCs w:val="24"/>
        </w:rPr>
        <w:t>三、响应文件的编制要求</w:t>
      </w:r>
      <w:bookmarkEnd w:id="123"/>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4" w:name="_Toc26093"/>
      <w:r>
        <w:rPr>
          <w:rFonts w:hint="eastAsia" w:ascii="宋体" w:hAnsi="宋体" w:cs="宋体"/>
          <w:b/>
          <w:color w:val="auto"/>
          <w:sz w:val="21"/>
          <w:szCs w:val="21"/>
        </w:rPr>
        <w:t>（一）响应文件的组成</w:t>
      </w:r>
      <w:bookmarkEnd w:id="124"/>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响应文件至少包含以下部分：</w:t>
      </w:r>
    </w:p>
    <w:p>
      <w:pPr>
        <w:numPr>
          <w:ilvl w:val="0"/>
          <w:numId w:val="17"/>
        </w:numPr>
        <w:tabs>
          <w:tab w:val="left" w:pos="0"/>
        </w:tabs>
        <w:snapToGrid w:val="0"/>
        <w:spacing w:line="360" w:lineRule="auto"/>
        <w:jc w:val="left"/>
        <w:outlineLvl w:val="3"/>
        <w:rPr>
          <w:rFonts w:ascii="宋体" w:hAnsi="宋体" w:cs="宋体"/>
          <w:b/>
          <w:color w:val="auto"/>
          <w:szCs w:val="21"/>
        </w:rPr>
      </w:pPr>
      <w:r>
        <w:rPr>
          <w:rFonts w:hint="eastAsia" w:ascii="宋体" w:hAnsi="宋体" w:cs="宋体"/>
          <w:b/>
          <w:color w:val="auto"/>
          <w:szCs w:val="21"/>
        </w:rPr>
        <w:t>技术商务部分</w:t>
      </w:r>
    </w:p>
    <w:p>
      <w:pPr>
        <w:snapToGrid w:val="0"/>
        <w:spacing w:line="360" w:lineRule="auto"/>
        <w:ind w:firstLine="413" w:firstLineChars="196"/>
        <w:jc w:val="left"/>
        <w:rPr>
          <w:rFonts w:ascii="宋体" w:hAnsi="宋体" w:cs="宋体"/>
          <w:b/>
          <w:bCs/>
          <w:color w:val="auto"/>
          <w:szCs w:val="21"/>
        </w:rPr>
      </w:pPr>
      <w:r>
        <w:rPr>
          <w:rFonts w:hint="eastAsia" w:ascii="宋体" w:hAnsi="宋体" w:cs="宋体"/>
          <w:b/>
          <w:bCs/>
          <w:color w:val="auto"/>
          <w:szCs w:val="21"/>
        </w:rPr>
        <w:t>资格证明文件</w:t>
      </w:r>
    </w:p>
    <w:p>
      <w:pPr>
        <w:numPr>
          <w:ilvl w:val="0"/>
          <w:numId w:val="18"/>
        </w:numPr>
        <w:spacing w:line="360" w:lineRule="auto"/>
        <w:rPr>
          <w:color w:val="auto"/>
        </w:rPr>
      </w:pPr>
      <w:r>
        <w:rPr>
          <w:rFonts w:hint="eastAsia"/>
          <w:color w:val="auto"/>
        </w:rPr>
        <w:t>资格证明材料承诺函（格式见附件）；</w:t>
      </w:r>
    </w:p>
    <w:p>
      <w:pPr>
        <w:numPr>
          <w:ilvl w:val="0"/>
          <w:numId w:val="18"/>
        </w:numPr>
        <w:spacing w:line="360" w:lineRule="auto"/>
        <w:rPr>
          <w:color w:val="auto"/>
        </w:rPr>
      </w:pPr>
      <w:r>
        <w:rPr>
          <w:rFonts w:hint="eastAsia"/>
          <w:color w:val="auto"/>
        </w:rPr>
        <w:t>有效的企业法人营业执照（或事业法人登记证）、其他组织（个体工商户）的营业执照或者民办非企业单位登记证书复印件（复印件加盖公章）；</w:t>
      </w:r>
    </w:p>
    <w:p>
      <w:pPr>
        <w:snapToGrid w:val="0"/>
        <w:spacing w:line="360" w:lineRule="auto"/>
        <w:ind w:firstLine="413" w:firstLineChars="196"/>
        <w:jc w:val="left"/>
        <w:rPr>
          <w:rFonts w:ascii="宋体" w:hAnsi="宋体" w:cs="宋体"/>
          <w:color w:val="auto"/>
          <w:szCs w:val="21"/>
        </w:rPr>
      </w:pPr>
      <w:r>
        <w:rPr>
          <w:rFonts w:hint="eastAsia" w:ascii="宋体" w:hAnsi="宋体" w:cs="宋体"/>
          <w:b/>
          <w:bCs/>
          <w:color w:val="auto"/>
          <w:szCs w:val="21"/>
        </w:rPr>
        <w:t>商务技术部分</w:t>
      </w:r>
    </w:p>
    <w:p>
      <w:pPr>
        <w:numPr>
          <w:ilvl w:val="0"/>
          <w:numId w:val="18"/>
        </w:numPr>
        <w:spacing w:line="400" w:lineRule="exact"/>
        <w:rPr>
          <w:rFonts w:ascii="宋体" w:hAnsi="宋体" w:cs="宋体"/>
          <w:color w:val="auto"/>
          <w:szCs w:val="21"/>
        </w:rPr>
      </w:pPr>
      <w:r>
        <w:rPr>
          <w:rFonts w:hint="eastAsia" w:ascii="宋体" w:hAnsi="宋体" w:cs="宋体"/>
          <w:color w:val="auto"/>
          <w:szCs w:val="21"/>
        </w:rPr>
        <w:t>法定代表人的身份证明或法定代表人授权书；</w:t>
      </w:r>
    </w:p>
    <w:p>
      <w:pPr>
        <w:numPr>
          <w:ilvl w:val="0"/>
          <w:numId w:val="18"/>
        </w:numPr>
        <w:spacing w:line="400" w:lineRule="exact"/>
        <w:rPr>
          <w:rFonts w:ascii="宋体" w:hAnsi="宋体" w:cs="宋体"/>
          <w:color w:val="auto"/>
          <w:szCs w:val="21"/>
        </w:rPr>
      </w:pPr>
      <w:r>
        <w:rPr>
          <w:rFonts w:hint="eastAsia" w:ascii="宋体" w:hAnsi="宋体" w:cs="宋体"/>
          <w:color w:val="auto"/>
          <w:szCs w:val="21"/>
        </w:rPr>
        <w:t>供应商基本情况说明（格式见附件)；</w:t>
      </w:r>
    </w:p>
    <w:p>
      <w:pPr>
        <w:numPr>
          <w:ilvl w:val="0"/>
          <w:numId w:val="18"/>
        </w:numPr>
        <w:spacing w:line="400" w:lineRule="exact"/>
        <w:rPr>
          <w:rFonts w:ascii="宋体" w:hAnsi="宋体" w:cs="宋体"/>
          <w:color w:val="auto"/>
          <w:szCs w:val="21"/>
        </w:rPr>
      </w:pPr>
      <w:r>
        <w:rPr>
          <w:rFonts w:hint="eastAsia" w:ascii="宋体" w:hAnsi="宋体" w:cs="宋体"/>
          <w:color w:val="auto"/>
          <w:szCs w:val="21"/>
        </w:rPr>
        <w:t>商务要求偏离表(格式见附件)；</w:t>
      </w:r>
    </w:p>
    <w:p>
      <w:pPr>
        <w:numPr>
          <w:ilvl w:val="0"/>
          <w:numId w:val="18"/>
        </w:numPr>
        <w:tabs>
          <w:tab w:val="left" w:pos="518"/>
        </w:tabs>
        <w:adjustRightInd w:val="0"/>
        <w:snapToGrid w:val="0"/>
        <w:spacing w:line="400" w:lineRule="exact"/>
        <w:jc w:val="left"/>
        <w:rPr>
          <w:rFonts w:ascii="宋体" w:hAnsi="宋体" w:cs="宋体"/>
          <w:color w:val="auto"/>
          <w:szCs w:val="21"/>
        </w:rPr>
      </w:pPr>
      <w:r>
        <w:rPr>
          <w:rFonts w:hint="eastAsia" w:ascii="宋体" w:hAnsi="宋体" w:cs="宋体"/>
          <w:color w:val="auto"/>
          <w:szCs w:val="21"/>
        </w:rPr>
        <w:t>技术要求偏离表（格式见附件）；</w:t>
      </w:r>
    </w:p>
    <w:p>
      <w:pPr>
        <w:numPr>
          <w:ilvl w:val="0"/>
          <w:numId w:val="18"/>
        </w:numPr>
        <w:tabs>
          <w:tab w:val="left" w:pos="518"/>
        </w:tabs>
        <w:adjustRightInd w:val="0"/>
        <w:snapToGrid w:val="0"/>
        <w:spacing w:line="400" w:lineRule="exact"/>
        <w:jc w:val="left"/>
        <w:rPr>
          <w:rFonts w:ascii="宋体" w:hAnsi="宋体" w:cs="宋体"/>
          <w:color w:val="auto"/>
          <w:szCs w:val="21"/>
        </w:rPr>
      </w:pPr>
      <w:r>
        <w:rPr>
          <w:rFonts w:hint="eastAsia" w:ascii="宋体" w:hAnsi="宋体" w:cs="宋体"/>
          <w:color w:val="auto"/>
          <w:szCs w:val="21"/>
        </w:rPr>
        <w:t>项目实施方案；</w:t>
      </w:r>
    </w:p>
    <w:p>
      <w:pPr>
        <w:pStyle w:val="5"/>
        <w:numPr>
          <w:ilvl w:val="0"/>
          <w:numId w:val="18"/>
        </w:numPr>
        <w:spacing w:line="400" w:lineRule="exact"/>
        <w:rPr>
          <w:rFonts w:ascii="宋体" w:hAnsi="宋体" w:cs="宋体"/>
          <w:color w:val="auto"/>
        </w:rPr>
      </w:pPr>
      <w:r>
        <w:rPr>
          <w:rFonts w:hint="eastAsia" w:ascii="宋体" w:hAnsi="宋体" w:cs="宋体"/>
          <w:color w:val="auto"/>
          <w:szCs w:val="21"/>
        </w:rPr>
        <w:t>项目团队介绍；</w:t>
      </w:r>
    </w:p>
    <w:p>
      <w:pPr>
        <w:numPr>
          <w:ilvl w:val="0"/>
          <w:numId w:val="18"/>
        </w:numPr>
        <w:tabs>
          <w:tab w:val="left" w:pos="518"/>
        </w:tabs>
        <w:adjustRightInd w:val="0"/>
        <w:snapToGrid w:val="0"/>
        <w:spacing w:line="400" w:lineRule="exact"/>
        <w:jc w:val="left"/>
        <w:rPr>
          <w:rFonts w:ascii="宋体" w:hAnsi="宋体" w:cs="宋体"/>
          <w:color w:val="auto"/>
          <w:szCs w:val="21"/>
        </w:rPr>
      </w:pPr>
      <w:r>
        <w:rPr>
          <w:rFonts w:hint="eastAsia" w:ascii="宋体" w:hAnsi="宋体" w:cs="宋体"/>
          <w:color w:val="auto"/>
          <w:szCs w:val="21"/>
        </w:rPr>
        <w:t>类似项目业绩表（格式见附件）；</w:t>
      </w:r>
    </w:p>
    <w:p>
      <w:pPr>
        <w:numPr>
          <w:ilvl w:val="0"/>
          <w:numId w:val="18"/>
        </w:numPr>
        <w:tabs>
          <w:tab w:val="left" w:pos="518"/>
        </w:tabs>
        <w:adjustRightInd w:val="0"/>
        <w:snapToGrid w:val="0"/>
        <w:spacing w:line="400" w:lineRule="exact"/>
        <w:jc w:val="left"/>
        <w:rPr>
          <w:rFonts w:ascii="宋体" w:hAnsi="宋体" w:cs="宋体"/>
          <w:color w:val="auto"/>
          <w:szCs w:val="21"/>
        </w:rPr>
      </w:pPr>
      <w:r>
        <w:rPr>
          <w:rFonts w:hint="eastAsia" w:ascii="宋体" w:hAnsi="宋体" w:cs="宋体"/>
          <w:color w:val="auto"/>
          <w:szCs w:val="21"/>
        </w:rPr>
        <w:t>评分标准中要求提供的资料。</w:t>
      </w:r>
    </w:p>
    <w:p>
      <w:pPr>
        <w:numPr>
          <w:ilvl w:val="0"/>
          <w:numId w:val="17"/>
        </w:numPr>
        <w:tabs>
          <w:tab w:val="left" w:pos="0"/>
        </w:tabs>
        <w:snapToGrid w:val="0"/>
        <w:spacing w:line="360" w:lineRule="auto"/>
        <w:jc w:val="left"/>
        <w:outlineLvl w:val="3"/>
        <w:rPr>
          <w:rFonts w:ascii="宋体" w:hAnsi="宋体" w:cs="宋体"/>
          <w:b/>
          <w:color w:val="auto"/>
          <w:szCs w:val="21"/>
        </w:rPr>
      </w:pPr>
      <w:r>
        <w:rPr>
          <w:rFonts w:hint="eastAsia" w:ascii="宋体" w:hAnsi="宋体" w:cs="宋体"/>
          <w:b/>
          <w:color w:val="auto"/>
          <w:szCs w:val="21"/>
        </w:rPr>
        <w:t>报价部分</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 xml:space="preserve">报价函（格式见附件）； </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报价一览表（格式见附件）；</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报价明细表（格式见附件）；</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中小企业声明函（若有，格式见附件）；</w:t>
      </w:r>
    </w:p>
    <w:p>
      <w:pPr>
        <w:snapToGrid w:val="0"/>
        <w:spacing w:line="360" w:lineRule="auto"/>
        <w:ind w:firstLine="413" w:firstLineChars="196"/>
        <w:jc w:val="left"/>
        <w:rPr>
          <w:rFonts w:ascii="宋体" w:hAnsi="宋体" w:cs="宋体"/>
          <w:b/>
          <w:bCs/>
          <w:color w:val="auto"/>
          <w:szCs w:val="21"/>
        </w:rPr>
      </w:pPr>
      <w:r>
        <w:rPr>
          <w:rFonts w:hint="eastAsia" w:ascii="宋体" w:hAnsi="宋体" w:cs="宋体"/>
          <w:b/>
          <w:bCs/>
          <w:color w:val="auto"/>
          <w:szCs w:val="21"/>
        </w:rPr>
        <w:t>本项目为非专门面向中小企业采购的项目，如果供应商和制造商均为小微企业，提供《中小企业声明函》。如未按照要求提供，将不得享受评标标准中注明的针对小微企业的价格扣除优惠。</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残疾人福利性单位声明函（若有，格式见附件）；</w:t>
      </w:r>
    </w:p>
    <w:p>
      <w:pPr>
        <w:numPr>
          <w:ilvl w:val="0"/>
          <w:numId w:val="19"/>
        </w:numPr>
        <w:snapToGrid w:val="0"/>
        <w:spacing w:line="360" w:lineRule="auto"/>
        <w:jc w:val="left"/>
        <w:rPr>
          <w:rFonts w:ascii="宋体" w:hAnsi="宋体" w:cs="宋体"/>
          <w:color w:val="auto"/>
          <w:szCs w:val="21"/>
        </w:rPr>
      </w:pPr>
      <w:r>
        <w:rPr>
          <w:rFonts w:hint="eastAsia" w:ascii="宋体" w:hAnsi="宋体" w:cs="宋体"/>
          <w:color w:val="auto"/>
          <w:szCs w:val="21"/>
        </w:rPr>
        <w:t>供应商针对报价需要说明的其他文件和说明。</w:t>
      </w:r>
    </w:p>
    <w:p>
      <w:pPr>
        <w:snapToGrid w:val="0"/>
        <w:spacing w:line="360" w:lineRule="auto"/>
        <w:ind w:firstLine="422" w:firstLineChars="200"/>
        <w:jc w:val="left"/>
        <w:rPr>
          <w:rFonts w:ascii="宋体" w:hAnsi="宋体" w:cs="宋体"/>
          <w:b/>
          <w:bCs/>
          <w:color w:val="auto"/>
          <w:szCs w:val="21"/>
        </w:rPr>
      </w:pPr>
      <w:r>
        <w:rPr>
          <w:rFonts w:hint="eastAsia" w:ascii="宋体" w:hAnsi="宋体" w:cs="宋体"/>
          <w:b/>
          <w:bCs/>
          <w:color w:val="auto"/>
          <w:szCs w:val="21"/>
        </w:rPr>
        <w:t>以上内容附件中有参考格式的，参照格式；没有参考格式的，磋商供应商根据磋商文件要求自行编制。</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5" w:name="_Toc1319"/>
      <w:r>
        <w:rPr>
          <w:rFonts w:hint="eastAsia" w:ascii="宋体" w:hAnsi="宋体" w:cs="宋体"/>
          <w:b/>
          <w:color w:val="auto"/>
          <w:sz w:val="21"/>
          <w:szCs w:val="21"/>
        </w:rPr>
        <w:t>（二）响应文件的语言及计量</w:t>
      </w:r>
      <w:bookmarkEnd w:id="125"/>
    </w:p>
    <w:p>
      <w:pPr>
        <w:numPr>
          <w:ilvl w:val="0"/>
          <w:numId w:val="20"/>
        </w:numPr>
        <w:snapToGrid w:val="0"/>
        <w:spacing w:line="360" w:lineRule="auto"/>
        <w:jc w:val="left"/>
        <w:rPr>
          <w:rFonts w:ascii="宋体" w:hAnsi="宋体" w:cs="宋体"/>
          <w:b/>
          <w:color w:val="auto"/>
          <w:szCs w:val="21"/>
        </w:rPr>
      </w:pPr>
      <w:r>
        <w:rPr>
          <w:rFonts w:hint="eastAsia" w:ascii="宋体" w:hAnsi="宋体" w:cs="宋体"/>
          <w:b/>
          <w:color w:val="auto"/>
          <w:szCs w:val="21"/>
        </w:rPr>
        <w:t>*响应文件以及供应商与采购单位就有关磋商事宜的所有来往函电，均应以中文汉语书写。除签名、盖章、专用名称等特殊情形外，以中文汉语以外的文字表述的响应文件视同未提供。</w:t>
      </w:r>
    </w:p>
    <w:p>
      <w:pPr>
        <w:numPr>
          <w:ilvl w:val="0"/>
          <w:numId w:val="20"/>
        </w:numPr>
        <w:snapToGrid w:val="0"/>
        <w:spacing w:line="360" w:lineRule="auto"/>
        <w:jc w:val="left"/>
        <w:rPr>
          <w:rFonts w:ascii="宋体" w:hAnsi="宋体" w:cs="宋体"/>
          <w:b/>
          <w:color w:val="auto"/>
          <w:szCs w:val="21"/>
        </w:rPr>
      </w:pPr>
      <w:r>
        <w:rPr>
          <w:rFonts w:hint="eastAsia" w:ascii="宋体" w:hAnsi="宋体" w:cs="宋体"/>
          <w:b/>
          <w:color w:val="auto"/>
          <w:szCs w:val="21"/>
        </w:rPr>
        <w:t>*报价计量单位：磋商文件已有明确规定的，使用磋商文件规定的计量单位；磋商文件没有规定的，应采用中华人民共和国法定计量单位（货币单位：人民币元）。</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6" w:name="_Toc10165"/>
      <w:r>
        <w:rPr>
          <w:rFonts w:hint="eastAsia" w:ascii="宋体" w:hAnsi="宋体" w:cs="宋体"/>
          <w:b/>
          <w:color w:val="auto"/>
          <w:sz w:val="21"/>
          <w:szCs w:val="21"/>
        </w:rPr>
        <w:t>（三）报价要求</w:t>
      </w:r>
      <w:bookmarkEnd w:id="126"/>
    </w:p>
    <w:p>
      <w:pPr>
        <w:numPr>
          <w:ilvl w:val="0"/>
          <w:numId w:val="21"/>
        </w:numPr>
        <w:rPr>
          <w:color w:val="auto"/>
        </w:rPr>
      </w:pPr>
      <w:r>
        <w:rPr>
          <w:rFonts w:hint="eastAsia"/>
          <w:color w:val="auto"/>
        </w:rPr>
        <w:t>报价应按磋商文件中相关附表格式填写。</w:t>
      </w:r>
    </w:p>
    <w:p>
      <w:pPr>
        <w:numPr>
          <w:ilvl w:val="0"/>
          <w:numId w:val="21"/>
        </w:numPr>
        <w:rPr>
          <w:color w:val="auto"/>
        </w:rPr>
      </w:pPr>
      <w:r>
        <w:rPr>
          <w:rFonts w:hint="eastAsia"/>
          <w:color w:val="auto"/>
        </w:rPr>
        <w:t>*响应文件只允许有一个报价，有选择的或有条件的报价将不予接受。</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27" w:name="_Toc30155"/>
      <w:r>
        <w:rPr>
          <w:rFonts w:hint="eastAsia" w:ascii="宋体" w:hAnsi="宋体" w:cs="宋体"/>
          <w:b/>
          <w:color w:val="auto"/>
          <w:sz w:val="21"/>
          <w:szCs w:val="21"/>
        </w:rPr>
        <w:t>（四）响应文件的有效期</w:t>
      </w:r>
      <w:bookmarkEnd w:id="127"/>
    </w:p>
    <w:p>
      <w:pPr>
        <w:pStyle w:val="28"/>
        <w:numPr>
          <w:ilvl w:val="0"/>
          <w:numId w:val="22"/>
        </w:numPr>
        <w:snapToGrid w:val="0"/>
        <w:spacing w:before="0" w:beforeLines="0" w:after="0" w:afterLines="0" w:line="360" w:lineRule="auto"/>
        <w:rPr>
          <w:rFonts w:hAnsi="宋体" w:cs="宋体"/>
          <w:b/>
          <w:bCs/>
          <w:color w:val="auto"/>
        </w:rPr>
      </w:pPr>
      <w:r>
        <w:rPr>
          <w:rFonts w:hint="eastAsia" w:hAnsi="宋体" w:cs="宋体"/>
          <w:b/>
          <w:bCs/>
          <w:color w:val="auto"/>
        </w:rPr>
        <w:t>*自递交首次响应文件截止日起90天响应文件应保持有效。有效期不足的响应文件将被拒绝。</w:t>
      </w:r>
    </w:p>
    <w:p>
      <w:pPr>
        <w:pStyle w:val="28"/>
        <w:numPr>
          <w:ilvl w:val="0"/>
          <w:numId w:val="22"/>
        </w:numPr>
        <w:snapToGrid w:val="0"/>
        <w:spacing w:before="0" w:beforeLines="0" w:after="0" w:afterLines="0" w:line="360" w:lineRule="auto"/>
        <w:rPr>
          <w:rFonts w:hAnsi="宋体" w:cs="宋体"/>
          <w:color w:val="auto"/>
        </w:rPr>
      </w:pPr>
      <w:r>
        <w:rPr>
          <w:rFonts w:hint="eastAsia" w:hAnsi="宋体" w:cs="宋体"/>
          <w:color w:val="auto"/>
        </w:rPr>
        <w:t>在特殊情况下，采购人可与供应商协商延长响应文件的有效期，这种要求和答复均以书面形式进行。</w:t>
      </w:r>
    </w:p>
    <w:p>
      <w:pPr>
        <w:pStyle w:val="28"/>
        <w:numPr>
          <w:ilvl w:val="0"/>
          <w:numId w:val="22"/>
        </w:numPr>
        <w:snapToGrid w:val="0"/>
        <w:spacing w:before="0" w:beforeLines="0" w:after="0" w:afterLines="0" w:line="360" w:lineRule="auto"/>
        <w:rPr>
          <w:rFonts w:hAnsi="宋体" w:cs="宋体"/>
          <w:color w:val="auto"/>
        </w:rPr>
      </w:pPr>
      <w:r>
        <w:rPr>
          <w:rFonts w:hint="eastAsia" w:hAnsi="宋体" w:cs="宋体"/>
          <w:color w:val="auto"/>
        </w:rPr>
        <w:t xml:space="preserve">供应商可拒绝接受延期要求。同意延长有效期的，但不能修改响应文件。 </w:t>
      </w:r>
    </w:p>
    <w:p>
      <w:pPr>
        <w:pStyle w:val="28"/>
        <w:numPr>
          <w:ilvl w:val="0"/>
          <w:numId w:val="22"/>
        </w:numPr>
        <w:snapToGrid w:val="0"/>
        <w:spacing w:before="0" w:beforeLines="0" w:after="0" w:afterLines="0" w:line="360" w:lineRule="auto"/>
        <w:rPr>
          <w:rFonts w:hAnsi="宋体" w:cs="宋体"/>
          <w:color w:val="auto"/>
        </w:rPr>
      </w:pPr>
      <w:r>
        <w:rPr>
          <w:rFonts w:hint="eastAsia" w:hAnsi="宋体" w:cs="宋体"/>
          <w:color w:val="auto"/>
        </w:rPr>
        <w:t>成交供应商的响应文件自开启之日起至合同履行完毕止均应保持有效。</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bCs/>
          <w:color w:val="auto"/>
          <w:sz w:val="22"/>
          <w:szCs w:val="22"/>
        </w:rPr>
      </w:pPr>
      <w:bookmarkStart w:id="128" w:name="_Toc1786"/>
      <w:r>
        <w:rPr>
          <w:rFonts w:hint="eastAsia" w:ascii="宋体" w:hAnsi="宋体" w:cs="宋体"/>
          <w:b/>
          <w:color w:val="auto"/>
          <w:sz w:val="21"/>
          <w:szCs w:val="21"/>
        </w:rPr>
        <w:t>（五）</w:t>
      </w:r>
      <w:bookmarkEnd w:id="128"/>
      <w:r>
        <w:rPr>
          <w:rFonts w:hint="eastAsia" w:ascii="宋体" w:hAnsi="宋体" w:cs="宋体"/>
          <w:b/>
          <w:color w:val="auto"/>
          <w:sz w:val="21"/>
          <w:szCs w:val="21"/>
        </w:rPr>
        <w:t>磋商响应</w:t>
      </w:r>
      <w:r>
        <w:rPr>
          <w:rFonts w:hint="eastAsia" w:ascii="宋体" w:hAnsi="宋体" w:cs="宋体"/>
          <w:b/>
          <w:bCs/>
          <w:color w:val="auto"/>
          <w:sz w:val="22"/>
          <w:szCs w:val="22"/>
        </w:rPr>
        <w:t>文件的上传和递交、启用顺序和效力：</w:t>
      </w:r>
    </w:p>
    <w:p>
      <w:pPr>
        <w:numPr>
          <w:ilvl w:val="0"/>
          <w:numId w:val="23"/>
        </w:num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“电子加密磋商响应文件”的上传、递交：</w:t>
      </w:r>
    </w:p>
    <w:p>
      <w:p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a.投标供应商应在磋商截止时间前将“电子加密磋商响应文件”成功上传递交至“政府采购云平台</w:t>
      </w:r>
      <w:r>
        <w:rPr>
          <w:rFonts w:hint="eastAsia" w:ascii="宋体" w:hAnsi="宋体" w:cs="宋体"/>
          <w:color w:val="auto"/>
          <w:szCs w:val="21"/>
          <w:u w:val="single"/>
        </w:rPr>
        <w:t>（https://www.zcygov.cn）</w:t>
      </w:r>
      <w:r>
        <w:rPr>
          <w:rFonts w:hint="eastAsia" w:ascii="宋体" w:hAnsi="宋体" w:cs="宋体"/>
          <w:color w:val="auto"/>
          <w:szCs w:val="21"/>
        </w:rPr>
        <w:t>”，到达磋商响应文件递交截止时间后30分钟内，在线解密电子加密磋商响应文件，未上传“电子加密磋商响应文件”的投标无效。</w:t>
      </w:r>
    </w:p>
    <w:p>
      <w:p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b.“电子加密磋商响应文件”成功上传递交后，供应商可自行打印磋商响应文件接收回执。</w:t>
      </w:r>
    </w:p>
    <w:p>
      <w:pPr>
        <w:numPr>
          <w:ilvl w:val="0"/>
          <w:numId w:val="23"/>
        </w:num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w:t>
      </w:r>
      <w:r>
        <w:rPr>
          <w:rFonts w:hint="eastAsia" w:ascii="宋体" w:hAnsi="宋体" w:cs="宋体"/>
          <w:b/>
          <w:bCs/>
          <w:color w:val="auto"/>
          <w:szCs w:val="21"/>
        </w:rPr>
        <w:t>非强制项</w:t>
      </w:r>
      <w:r>
        <w:rPr>
          <w:rFonts w:hint="eastAsia" w:ascii="宋体" w:hAnsi="宋体" w:cs="宋体"/>
          <w:color w:val="auto"/>
          <w:szCs w:val="21"/>
        </w:rPr>
        <w:t>】“备份磋商响应文件”的密封包装、递交：</w:t>
      </w:r>
    </w:p>
    <w:p>
      <w:pPr>
        <w:pStyle w:val="22"/>
        <w:snapToGrid w:val="0"/>
        <w:spacing w:line="360" w:lineRule="auto"/>
        <w:ind w:firstLine="0"/>
        <w:rPr>
          <w:rFonts w:hAnsi="宋体" w:cs="宋体"/>
          <w:color w:val="auto"/>
          <w:sz w:val="21"/>
          <w:szCs w:val="21"/>
        </w:rPr>
      </w:pPr>
      <w:r>
        <w:rPr>
          <w:rFonts w:hint="eastAsia" w:hAnsi="宋体" w:cs="宋体"/>
          <w:color w:val="auto"/>
          <w:sz w:val="21"/>
          <w:szCs w:val="21"/>
        </w:rPr>
        <w:t>a.投标供应商应当采用邮寄方式或现场方式在磋商截止时间前，以U盘或光盘存储的 “备份磋商响应文件”</w:t>
      </w:r>
      <w:r>
        <w:rPr>
          <w:rFonts w:hint="eastAsia" w:hAnsi="宋体" w:cs="宋体"/>
          <w:color w:val="auto"/>
          <w:spacing w:val="0"/>
          <w:sz w:val="21"/>
          <w:szCs w:val="21"/>
        </w:rPr>
        <w:t>一份递交至采购代理机构，以便电子加密响应文件解密异常时应急使用</w:t>
      </w:r>
      <w:r>
        <w:rPr>
          <w:rFonts w:hint="eastAsia" w:hAnsi="宋体" w:cs="宋体"/>
          <w:color w:val="auto"/>
          <w:sz w:val="21"/>
          <w:szCs w:val="21"/>
        </w:rPr>
        <w:t>（各供应商应自行考虑邮寄在途时间，邮寄过程中无论何种因素导致备份磋商响应文件未按时递交的，后果由供应商自行负责）；</w:t>
      </w:r>
    </w:p>
    <w:p>
      <w:p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b.“备份磋商响应文件”应当密封包装，并在包装上标注磋商项目名称、参与磋商的单位名称并加盖公章。未密封包装或者逾期邮寄送达至投标地点的“备份磋商响应文件”将不予接收；</w:t>
      </w:r>
    </w:p>
    <w:p>
      <w:p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c.通过“政府采购云平台”成功上传递交的“电子加密磋商响应文件”已按时解密的，“备份磋商响应文件”自动失效。磋商截止时间前，参与磋商的供应商仅递交了“备份磋商响应文件”而未将“电子加密磋商响应文件”成功上传至“政府采购云平台”的，投标无效。</w:t>
      </w:r>
    </w:p>
    <w:p>
      <w:pPr>
        <w:numPr>
          <w:ilvl w:val="0"/>
          <w:numId w:val="23"/>
        </w:numPr>
        <w:tabs>
          <w:tab w:val="left" w:pos="105"/>
          <w:tab w:val="left" w:pos="735"/>
          <w:tab w:val="left" w:pos="945"/>
          <w:tab w:val="left" w:pos="3360"/>
        </w:tabs>
        <w:spacing w:line="360" w:lineRule="auto"/>
        <w:rPr>
          <w:rFonts w:ascii="宋体" w:hAnsi="宋体" w:cs="宋体"/>
          <w:color w:val="auto"/>
          <w:szCs w:val="21"/>
        </w:rPr>
      </w:pPr>
      <w:r>
        <w:rPr>
          <w:rFonts w:hint="eastAsia" w:ascii="宋体" w:hAnsi="宋体" w:cs="宋体"/>
          <w:color w:val="auto"/>
          <w:szCs w:val="21"/>
        </w:rPr>
        <w:t>磋商响应文件启用顺序和效力：</w:t>
      </w:r>
    </w:p>
    <w:p>
      <w:pPr>
        <w:tabs>
          <w:tab w:val="left" w:pos="105"/>
          <w:tab w:val="left" w:pos="735"/>
          <w:tab w:val="left" w:pos="945"/>
          <w:tab w:val="left" w:pos="3360"/>
        </w:tabs>
        <w:spacing w:line="360" w:lineRule="auto"/>
        <w:ind w:firstLine="420" w:firstLineChars="200"/>
        <w:rPr>
          <w:rFonts w:ascii="宋体" w:hAnsi="宋体" w:cs="宋体"/>
          <w:color w:val="auto"/>
          <w:szCs w:val="21"/>
        </w:rPr>
      </w:pPr>
      <w:r>
        <w:rPr>
          <w:rFonts w:hint="eastAsia" w:ascii="宋体" w:hAnsi="宋体" w:cs="宋体"/>
          <w:color w:val="auto"/>
          <w:szCs w:val="21"/>
        </w:rPr>
        <w:t>磋商响应文件的启用，按先后顺位分别为电子加密磋商响应文件、以U盘或光盘存储的数据电文形式的备份磋商响应文件。顺位在先的磋商响应文件已按时解密的，备份磋商响应文件自动失效。在下一顺位的磋商响应文件启用时，前一顺位的磋商响应文件自动失效。</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bCs/>
          <w:color w:val="auto"/>
          <w:sz w:val="21"/>
          <w:szCs w:val="21"/>
        </w:rPr>
      </w:pPr>
      <w:r>
        <w:rPr>
          <w:rFonts w:hint="eastAsia" w:ascii="宋体" w:hAnsi="宋体" w:cs="宋体"/>
          <w:b/>
          <w:bCs/>
          <w:color w:val="auto"/>
          <w:sz w:val="21"/>
          <w:szCs w:val="21"/>
        </w:rPr>
        <w:t>注：评标结束后，本项目的中标供应商仍需提供叁套与电子磋商响应文件一致的纸质文件（一正二副），如不一致，以电子加密磋商响应文件为准。</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特别说明：</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供应商应根据“政采云供应商项目采购-电子招投标操作指南”及本磋商文件规定的格式和顺序编制电子响应文件并进行关联定位。以便磋商小组在谈判过程中，点击评分项，可直接定位到该评分项内容。</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如对磋商文件的某项要求，供应商上传的响应文件未能提供相应的内容与其对应，则磋商小组在对该内容进行评分时会提示供应商未对此项招标要求提供相应内容。由此可能导致相关评分项不得分，该后果由供应商自行承担。</w:t>
      </w:r>
    </w:p>
    <w:p>
      <w:pPr>
        <w:snapToGrid w:val="0"/>
        <w:spacing w:line="360" w:lineRule="auto"/>
        <w:ind w:firstLine="422" w:firstLineChars="200"/>
        <w:jc w:val="left"/>
        <w:outlineLvl w:val="2"/>
        <w:rPr>
          <w:rFonts w:ascii="宋体" w:hAnsi="宋体" w:cs="宋体"/>
          <w:b/>
          <w:color w:val="auto"/>
          <w:szCs w:val="21"/>
        </w:rPr>
      </w:pPr>
      <w:bookmarkStart w:id="129" w:name="_Toc19209"/>
      <w:r>
        <w:rPr>
          <w:rFonts w:hint="eastAsia" w:ascii="宋体" w:hAnsi="宋体" w:cs="宋体"/>
          <w:b/>
          <w:color w:val="auto"/>
          <w:szCs w:val="21"/>
        </w:rPr>
        <w:t>（六）响应文件的盖章</w:t>
      </w:r>
      <w:bookmarkEnd w:id="129"/>
    </w:p>
    <w:p>
      <w:pPr>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电子磋商响应文件及电子磋商备份文件中涉及到加盖供应商公章部分均采用CA签章。</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30" w:name="_Toc6716"/>
      <w:r>
        <w:rPr>
          <w:rFonts w:hint="eastAsia" w:ascii="宋体" w:hAnsi="宋体" w:cs="宋体"/>
          <w:b/>
          <w:color w:val="auto"/>
          <w:sz w:val="21"/>
          <w:szCs w:val="21"/>
        </w:rPr>
        <w:t>（七）响应文件的包装、递交、修改和撤回</w:t>
      </w:r>
      <w:bookmarkEnd w:id="130"/>
    </w:p>
    <w:p>
      <w:pPr>
        <w:pStyle w:val="22"/>
        <w:numPr>
          <w:ilvl w:val="0"/>
          <w:numId w:val="24"/>
        </w:numPr>
        <w:snapToGrid w:val="0"/>
        <w:spacing w:line="360" w:lineRule="auto"/>
        <w:rPr>
          <w:rFonts w:hAnsi="宋体" w:cs="宋体"/>
          <w:color w:val="auto"/>
          <w:sz w:val="21"/>
          <w:szCs w:val="21"/>
        </w:rPr>
      </w:pPr>
      <w:r>
        <w:rPr>
          <w:rFonts w:hint="eastAsia" w:hAnsi="宋体" w:cs="宋体"/>
          <w:color w:val="auto"/>
          <w:sz w:val="21"/>
          <w:szCs w:val="21"/>
        </w:rPr>
        <w:t>磋商供应商可以在上传电子响应文件以后，在规定的响应文件上传截止时间前，可以对所上传的响应文件进行补充、修改或者撤回，补充或者修改电子响应文件的，应当先行撤回原文件，补充、修改后重新传输递交。磋商响应截止时间前未完成上功上传的，视为响应文件撤回，磋商无效。</w:t>
      </w:r>
    </w:p>
    <w:p>
      <w:pPr>
        <w:numPr>
          <w:ilvl w:val="0"/>
          <w:numId w:val="24"/>
        </w:numPr>
        <w:adjustRightInd w:val="0"/>
        <w:spacing w:line="360" w:lineRule="auto"/>
        <w:rPr>
          <w:rFonts w:ascii="宋体" w:hAnsi="宋体" w:cs="宋体"/>
          <w:color w:val="auto"/>
          <w:szCs w:val="21"/>
        </w:rPr>
      </w:pPr>
      <w:r>
        <w:rPr>
          <w:rFonts w:hint="eastAsia" w:ascii="宋体" w:hAnsi="宋体" w:cs="宋体"/>
          <w:color w:val="auto"/>
          <w:szCs w:val="21"/>
        </w:rPr>
        <w:t>在磋商响应截止期之后，供应商不得对其响应文件作任何修改。</w:t>
      </w:r>
    </w:p>
    <w:p>
      <w:pPr>
        <w:numPr>
          <w:ilvl w:val="0"/>
          <w:numId w:val="24"/>
        </w:numPr>
        <w:adjustRightInd w:val="0"/>
        <w:spacing w:line="360" w:lineRule="auto"/>
        <w:rPr>
          <w:rFonts w:ascii="宋体" w:hAnsi="宋体" w:cs="宋体"/>
          <w:color w:val="auto"/>
          <w:szCs w:val="21"/>
        </w:rPr>
      </w:pPr>
      <w:r>
        <w:rPr>
          <w:rFonts w:hint="eastAsia" w:ascii="宋体" w:hAnsi="宋体" w:cs="宋体"/>
          <w:color w:val="auto"/>
          <w:szCs w:val="21"/>
        </w:rPr>
        <w:t>从磋商截止期至磋商有效期期满这段时间内，供应商不得撤回其响应文件。</w:t>
      </w:r>
    </w:p>
    <w:p>
      <w:pPr>
        <w:pStyle w:val="14"/>
        <w:widowControl w:val="0"/>
        <w:tabs>
          <w:tab w:val="clear" w:pos="454"/>
        </w:tabs>
        <w:snapToGrid w:val="0"/>
        <w:spacing w:before="156" w:beforeLines="50" w:after="0" w:afterLines="0" w:line="360" w:lineRule="auto"/>
        <w:ind w:left="0" w:firstLine="413" w:firstLineChars="196"/>
        <w:outlineLvl w:val="2"/>
        <w:rPr>
          <w:rFonts w:ascii="宋体" w:hAnsi="宋体" w:cs="宋体"/>
          <w:b/>
          <w:color w:val="auto"/>
          <w:sz w:val="21"/>
          <w:szCs w:val="21"/>
        </w:rPr>
      </w:pPr>
      <w:bookmarkStart w:id="131" w:name="_Toc5107"/>
      <w:r>
        <w:rPr>
          <w:rFonts w:hint="eastAsia" w:ascii="宋体" w:hAnsi="宋体" w:cs="宋体"/>
          <w:b/>
          <w:color w:val="auto"/>
          <w:sz w:val="21"/>
          <w:szCs w:val="21"/>
        </w:rPr>
        <w:t>（八）响应无效的情形</w:t>
      </w:r>
      <w:bookmarkEnd w:id="131"/>
    </w:p>
    <w:p>
      <w:pPr>
        <w:pStyle w:val="22"/>
        <w:snapToGrid w:val="0"/>
        <w:spacing w:line="360" w:lineRule="auto"/>
        <w:ind w:firstLine="395" w:firstLineChars="196"/>
        <w:rPr>
          <w:rFonts w:hAnsi="宋体" w:cs="宋体"/>
          <w:color w:val="auto"/>
          <w:sz w:val="21"/>
          <w:szCs w:val="21"/>
        </w:rPr>
      </w:pPr>
      <w:r>
        <w:rPr>
          <w:rFonts w:hint="eastAsia" w:hAnsi="宋体" w:cs="宋体"/>
          <w:color w:val="auto"/>
          <w:sz w:val="21"/>
          <w:szCs w:val="21"/>
        </w:rPr>
        <w:t>实质上没有响应磋商文件要求的响应文件将被视为无效响应，供应商不得通过修正或撤消不合要求的偏离或保留从而使其响应成为实质上响应的文件。</w:t>
      </w:r>
    </w:p>
    <w:p>
      <w:pPr>
        <w:pStyle w:val="22"/>
        <w:numPr>
          <w:ilvl w:val="0"/>
          <w:numId w:val="25"/>
        </w:numPr>
        <w:snapToGrid w:val="0"/>
        <w:spacing w:line="360" w:lineRule="auto"/>
        <w:rPr>
          <w:rFonts w:hAnsi="宋体" w:cs="宋体"/>
          <w:b/>
          <w:bCs/>
          <w:color w:val="auto"/>
          <w:sz w:val="21"/>
          <w:szCs w:val="21"/>
        </w:rPr>
      </w:pPr>
      <w:r>
        <w:rPr>
          <w:rFonts w:hint="eastAsia" w:hAnsi="宋体" w:cs="宋体"/>
          <w:b/>
          <w:bCs/>
          <w:color w:val="auto"/>
          <w:sz w:val="21"/>
          <w:szCs w:val="21"/>
        </w:rPr>
        <w:t>在符合性审查和商务评审时，如发现下列情形之一的，响应文件将被视为无效：</w:t>
      </w:r>
    </w:p>
    <w:p>
      <w:pPr>
        <w:pStyle w:val="22"/>
        <w:numPr>
          <w:ilvl w:val="0"/>
          <w:numId w:val="26"/>
        </w:numPr>
        <w:snapToGrid w:val="0"/>
        <w:spacing w:line="360" w:lineRule="auto"/>
        <w:rPr>
          <w:rFonts w:hAnsi="宋体" w:cs="宋体"/>
          <w:color w:val="auto"/>
          <w:sz w:val="21"/>
          <w:szCs w:val="21"/>
        </w:rPr>
      </w:pPr>
      <w:r>
        <w:rPr>
          <w:rFonts w:hint="eastAsia" w:hAnsi="宋体" w:cs="宋体"/>
          <w:color w:val="auto"/>
          <w:sz w:val="21"/>
          <w:szCs w:val="21"/>
        </w:rPr>
        <w:t>资格证明文件不全的，或者不符合磋商文件标明的资格要求的；</w:t>
      </w:r>
    </w:p>
    <w:p>
      <w:pPr>
        <w:pStyle w:val="22"/>
        <w:numPr>
          <w:ilvl w:val="0"/>
          <w:numId w:val="26"/>
        </w:numPr>
        <w:snapToGrid w:val="0"/>
        <w:spacing w:line="360" w:lineRule="auto"/>
        <w:rPr>
          <w:rFonts w:hAnsi="宋体" w:cs="宋体"/>
          <w:color w:val="auto"/>
          <w:sz w:val="21"/>
          <w:szCs w:val="21"/>
        </w:rPr>
      </w:pPr>
      <w:r>
        <w:rPr>
          <w:rFonts w:hint="eastAsia" w:hAnsi="宋体" w:cs="宋体"/>
          <w:color w:val="auto"/>
          <w:sz w:val="21"/>
          <w:szCs w:val="21"/>
        </w:rPr>
        <w:t>响应文件格式不规范、项目不齐全或者内容虚假的；</w:t>
      </w:r>
    </w:p>
    <w:p>
      <w:pPr>
        <w:pStyle w:val="22"/>
        <w:numPr>
          <w:ilvl w:val="0"/>
          <w:numId w:val="26"/>
        </w:numPr>
        <w:snapToGrid w:val="0"/>
        <w:spacing w:line="360" w:lineRule="auto"/>
        <w:rPr>
          <w:rFonts w:hAnsi="宋体" w:cs="宋体"/>
          <w:color w:val="auto"/>
          <w:sz w:val="21"/>
          <w:szCs w:val="21"/>
        </w:rPr>
      </w:pPr>
      <w:r>
        <w:rPr>
          <w:rFonts w:hint="eastAsia" w:hAnsi="宋体" w:cs="宋体"/>
          <w:color w:val="auto"/>
          <w:sz w:val="21"/>
          <w:szCs w:val="21"/>
        </w:rPr>
        <w:t>响应文件的实质性内容未使用中文表述、意思表述不明确、前后矛盾或者使用计量单位不符合磋商文件要求的（经磋商小组认定并允许其当场更正的笔误除外）；</w:t>
      </w:r>
    </w:p>
    <w:p>
      <w:pPr>
        <w:pStyle w:val="22"/>
        <w:numPr>
          <w:ilvl w:val="0"/>
          <w:numId w:val="26"/>
        </w:numPr>
        <w:snapToGrid w:val="0"/>
        <w:spacing w:line="360" w:lineRule="auto"/>
        <w:rPr>
          <w:rFonts w:hAnsi="宋体" w:cs="宋体"/>
          <w:snapToGrid w:val="0"/>
          <w:color w:val="auto"/>
          <w:sz w:val="21"/>
          <w:szCs w:val="21"/>
        </w:rPr>
      </w:pPr>
      <w:r>
        <w:rPr>
          <w:rFonts w:hint="eastAsia" w:hAnsi="宋体" w:cs="宋体"/>
          <w:snapToGrid w:val="0"/>
          <w:color w:val="auto"/>
          <w:sz w:val="21"/>
          <w:szCs w:val="21"/>
        </w:rPr>
        <w:t>响应文件有效期不能满足磋商文件要求的；</w:t>
      </w:r>
    </w:p>
    <w:p>
      <w:pPr>
        <w:pStyle w:val="22"/>
        <w:numPr>
          <w:ilvl w:val="0"/>
          <w:numId w:val="26"/>
        </w:numPr>
        <w:snapToGrid w:val="0"/>
        <w:spacing w:line="360" w:lineRule="auto"/>
        <w:rPr>
          <w:rFonts w:hAnsi="宋体" w:cs="宋体"/>
          <w:color w:val="auto"/>
          <w:sz w:val="21"/>
          <w:szCs w:val="21"/>
        </w:rPr>
      </w:pPr>
      <w:r>
        <w:rPr>
          <w:rFonts w:hint="eastAsia" w:hAnsi="宋体" w:cs="宋体"/>
          <w:color w:val="auto"/>
          <w:sz w:val="21"/>
          <w:szCs w:val="21"/>
        </w:rPr>
        <w:t>未实质性响应磋商文件要求或者响应文件有采购人不能接受的附加条件的；</w:t>
      </w:r>
    </w:p>
    <w:p>
      <w:pPr>
        <w:pStyle w:val="22"/>
        <w:numPr>
          <w:ilvl w:val="0"/>
          <w:numId w:val="26"/>
        </w:numPr>
        <w:snapToGrid w:val="0"/>
        <w:spacing w:line="360" w:lineRule="auto"/>
        <w:rPr>
          <w:rFonts w:hAnsi="宋体" w:cs="宋体"/>
          <w:color w:val="auto"/>
          <w:sz w:val="21"/>
          <w:szCs w:val="21"/>
        </w:rPr>
      </w:pPr>
      <w:r>
        <w:rPr>
          <w:rFonts w:hint="eastAsia" w:hAnsi="宋体" w:cs="宋体"/>
          <w:color w:val="auto"/>
          <w:sz w:val="21"/>
          <w:szCs w:val="21"/>
        </w:rPr>
        <w:t>超过递交响应文件截止时间解密响应文件的。</w:t>
      </w:r>
    </w:p>
    <w:p>
      <w:pPr>
        <w:pStyle w:val="22"/>
        <w:numPr>
          <w:ilvl w:val="0"/>
          <w:numId w:val="25"/>
        </w:numPr>
        <w:snapToGrid w:val="0"/>
        <w:spacing w:line="360" w:lineRule="auto"/>
        <w:rPr>
          <w:rFonts w:hAnsi="宋体" w:cs="宋体"/>
          <w:b/>
          <w:bCs/>
          <w:color w:val="auto"/>
          <w:sz w:val="21"/>
          <w:szCs w:val="21"/>
        </w:rPr>
      </w:pPr>
      <w:r>
        <w:rPr>
          <w:rFonts w:hint="eastAsia" w:hAnsi="宋体" w:cs="宋体"/>
          <w:b/>
          <w:bCs/>
          <w:color w:val="auto"/>
          <w:sz w:val="21"/>
          <w:szCs w:val="21"/>
        </w:rPr>
        <w:t>在技术评审时，如发现下列情形之一的，响应文件将被视为无效：</w:t>
      </w:r>
    </w:p>
    <w:p>
      <w:pPr>
        <w:pStyle w:val="22"/>
        <w:numPr>
          <w:ilvl w:val="0"/>
          <w:numId w:val="27"/>
        </w:numPr>
        <w:snapToGrid w:val="0"/>
        <w:spacing w:line="360" w:lineRule="auto"/>
        <w:rPr>
          <w:rFonts w:hAnsi="宋体" w:cs="宋体"/>
          <w:color w:val="auto"/>
          <w:sz w:val="21"/>
          <w:szCs w:val="21"/>
        </w:rPr>
      </w:pPr>
      <w:r>
        <w:rPr>
          <w:rFonts w:hint="eastAsia" w:hAnsi="宋体" w:cs="宋体"/>
          <w:color w:val="auto"/>
          <w:sz w:val="21"/>
          <w:szCs w:val="21"/>
        </w:rPr>
        <w:t>响应文件标明的响应或偏离与事实不符或虚假响应的；</w:t>
      </w:r>
    </w:p>
    <w:p>
      <w:pPr>
        <w:pStyle w:val="22"/>
        <w:numPr>
          <w:ilvl w:val="0"/>
          <w:numId w:val="27"/>
        </w:numPr>
        <w:snapToGrid w:val="0"/>
        <w:spacing w:line="360" w:lineRule="auto"/>
        <w:rPr>
          <w:rFonts w:hAnsi="宋体" w:cs="宋体"/>
          <w:color w:val="auto"/>
          <w:sz w:val="21"/>
          <w:szCs w:val="21"/>
        </w:rPr>
      </w:pPr>
      <w:r>
        <w:rPr>
          <w:rFonts w:hint="eastAsia" w:hAnsi="宋体" w:cs="宋体"/>
          <w:snapToGrid w:val="0"/>
          <w:color w:val="auto"/>
          <w:sz w:val="21"/>
          <w:szCs w:val="21"/>
        </w:rPr>
        <w:t>明显不符合磋商文件要求的，或者与</w:t>
      </w:r>
      <w:r>
        <w:rPr>
          <w:rFonts w:hint="eastAsia" w:hAnsi="宋体" w:cs="宋体"/>
          <w:color w:val="auto"/>
          <w:sz w:val="21"/>
          <w:szCs w:val="21"/>
        </w:rPr>
        <w:t>磋商文件中“</w:t>
      </w:r>
      <w:r>
        <w:rPr>
          <w:rFonts w:hint="eastAsia" w:hAnsi="宋体" w:cs="宋体"/>
          <w:b/>
          <w:color w:val="auto"/>
          <w:szCs w:val="21"/>
        </w:rPr>
        <w:t>*</w:t>
      </w:r>
      <w:r>
        <w:rPr>
          <w:rFonts w:hint="eastAsia" w:hAnsi="宋体" w:cs="宋体"/>
          <w:color w:val="auto"/>
          <w:sz w:val="21"/>
          <w:szCs w:val="21"/>
        </w:rPr>
        <w:t>”的条款发生实质性偏离的；</w:t>
      </w:r>
    </w:p>
    <w:p>
      <w:pPr>
        <w:pStyle w:val="22"/>
        <w:numPr>
          <w:ilvl w:val="0"/>
          <w:numId w:val="27"/>
        </w:numPr>
        <w:snapToGrid w:val="0"/>
        <w:spacing w:line="360" w:lineRule="auto"/>
        <w:rPr>
          <w:rFonts w:hAnsi="宋体" w:cs="宋体"/>
          <w:color w:val="auto"/>
          <w:sz w:val="21"/>
          <w:szCs w:val="21"/>
        </w:rPr>
      </w:pPr>
      <w:r>
        <w:rPr>
          <w:rFonts w:hint="eastAsia" w:hAnsi="宋体" w:cs="宋体"/>
          <w:color w:val="auto"/>
          <w:sz w:val="21"/>
          <w:szCs w:val="21"/>
        </w:rPr>
        <w:t>响应文件技术方案不明确，存在一个或一个以上备选（替代）方案的。</w:t>
      </w:r>
    </w:p>
    <w:p>
      <w:pPr>
        <w:pStyle w:val="22"/>
        <w:numPr>
          <w:ilvl w:val="0"/>
          <w:numId w:val="25"/>
        </w:numPr>
        <w:snapToGrid w:val="0"/>
        <w:spacing w:line="360" w:lineRule="auto"/>
        <w:rPr>
          <w:rFonts w:hAnsi="宋体" w:cs="宋体"/>
          <w:b/>
          <w:bCs/>
          <w:color w:val="auto"/>
          <w:sz w:val="21"/>
          <w:szCs w:val="21"/>
        </w:rPr>
      </w:pPr>
      <w:r>
        <w:rPr>
          <w:rFonts w:hint="eastAsia" w:hAnsi="宋体" w:cs="宋体"/>
          <w:b/>
          <w:bCs/>
          <w:color w:val="auto"/>
          <w:sz w:val="21"/>
          <w:szCs w:val="21"/>
        </w:rPr>
        <w:t>在报价评审时，如发现下列情形之一的，响应文件将被视为无效：</w:t>
      </w:r>
    </w:p>
    <w:p>
      <w:pPr>
        <w:pStyle w:val="22"/>
        <w:numPr>
          <w:ilvl w:val="0"/>
          <w:numId w:val="28"/>
        </w:numPr>
        <w:snapToGrid w:val="0"/>
        <w:spacing w:line="360" w:lineRule="auto"/>
        <w:rPr>
          <w:rFonts w:hAnsi="宋体" w:cs="宋体"/>
          <w:color w:val="auto"/>
          <w:sz w:val="21"/>
          <w:szCs w:val="21"/>
        </w:rPr>
      </w:pPr>
      <w:r>
        <w:rPr>
          <w:rFonts w:hint="eastAsia" w:hAnsi="宋体" w:cs="宋体"/>
          <w:color w:val="auto"/>
          <w:sz w:val="21"/>
          <w:szCs w:val="21"/>
        </w:rPr>
        <w:t>未采用响应文件要求的报价形式或超过采购预算（最高限价）报价的；</w:t>
      </w:r>
    </w:p>
    <w:p>
      <w:pPr>
        <w:pStyle w:val="22"/>
        <w:numPr>
          <w:ilvl w:val="0"/>
          <w:numId w:val="28"/>
        </w:numPr>
        <w:snapToGrid w:val="0"/>
        <w:spacing w:line="360" w:lineRule="auto"/>
        <w:rPr>
          <w:rFonts w:hAnsi="宋体" w:cs="宋体"/>
          <w:color w:val="auto"/>
          <w:sz w:val="21"/>
          <w:szCs w:val="21"/>
        </w:rPr>
      </w:pPr>
      <w:r>
        <w:rPr>
          <w:rFonts w:hint="eastAsia" w:hAnsi="宋体" w:cs="宋体"/>
          <w:color w:val="auto"/>
          <w:sz w:val="21"/>
          <w:szCs w:val="21"/>
        </w:rPr>
        <w:t>报价具有选择性；</w:t>
      </w:r>
    </w:p>
    <w:p>
      <w:pPr>
        <w:pStyle w:val="22"/>
        <w:numPr>
          <w:ilvl w:val="0"/>
          <w:numId w:val="28"/>
        </w:numPr>
        <w:snapToGrid w:val="0"/>
        <w:spacing w:line="360" w:lineRule="auto"/>
        <w:rPr>
          <w:rFonts w:hAnsi="宋体" w:cs="宋体"/>
          <w:color w:val="auto"/>
          <w:sz w:val="21"/>
          <w:szCs w:val="21"/>
        </w:rPr>
      </w:pPr>
      <w:r>
        <w:rPr>
          <w:rFonts w:hint="eastAsia" w:hAnsi="宋体" w:cs="宋体"/>
          <w:color w:val="auto"/>
          <w:sz w:val="21"/>
          <w:szCs w:val="21"/>
        </w:rPr>
        <w:t>磋商小组认为供应商的报价明显低于其他通过符合性审查供应商的报价，有可能影响产品质量或者不能诚信履约的，且不能在磋商小组规定的时间内提供相关证明材料说明其报价的合理性的；</w:t>
      </w:r>
    </w:p>
    <w:p>
      <w:pPr>
        <w:pStyle w:val="22"/>
        <w:numPr>
          <w:ilvl w:val="0"/>
          <w:numId w:val="28"/>
        </w:numPr>
        <w:snapToGrid w:val="0"/>
        <w:spacing w:line="360" w:lineRule="auto"/>
        <w:rPr>
          <w:rFonts w:hAnsi="宋体" w:cs="宋体"/>
          <w:color w:val="auto"/>
          <w:sz w:val="21"/>
          <w:szCs w:val="21"/>
        </w:rPr>
      </w:pPr>
      <w:r>
        <w:rPr>
          <w:rFonts w:hint="eastAsia" w:hAnsi="宋体" w:cs="宋体"/>
          <w:color w:val="auto"/>
          <w:sz w:val="21"/>
          <w:szCs w:val="21"/>
        </w:rPr>
        <w:t>磋商文件规定的其他报价无效的情形。</w:t>
      </w:r>
    </w:p>
    <w:p>
      <w:pPr>
        <w:pStyle w:val="22"/>
        <w:numPr>
          <w:ilvl w:val="0"/>
          <w:numId w:val="25"/>
        </w:numPr>
        <w:snapToGrid w:val="0"/>
        <w:spacing w:line="360" w:lineRule="auto"/>
        <w:rPr>
          <w:rFonts w:hAnsi="宋体" w:cs="宋体"/>
          <w:b/>
          <w:bCs/>
          <w:color w:val="auto"/>
          <w:sz w:val="21"/>
          <w:szCs w:val="21"/>
        </w:rPr>
      </w:pPr>
      <w:r>
        <w:rPr>
          <w:rFonts w:hint="eastAsia" w:hAnsi="宋体" w:cs="宋体"/>
          <w:b/>
          <w:bCs/>
          <w:color w:val="auto"/>
          <w:sz w:val="21"/>
          <w:szCs w:val="21"/>
        </w:rPr>
        <w:t>被拒绝的响应文件为无效。</w:t>
      </w:r>
      <w:bookmarkStart w:id="132" w:name="_Toc1163"/>
    </w:p>
    <w:p>
      <w:pPr>
        <w:pStyle w:val="22"/>
        <w:numPr>
          <w:ilvl w:val="0"/>
          <w:numId w:val="25"/>
        </w:numPr>
        <w:snapToGrid w:val="0"/>
        <w:spacing w:line="360" w:lineRule="auto"/>
        <w:rPr>
          <w:rFonts w:hAnsi="宋体" w:cs="宋体"/>
          <w:color w:val="auto"/>
          <w:sz w:val="21"/>
          <w:szCs w:val="21"/>
        </w:rPr>
      </w:pPr>
      <w:r>
        <w:rPr>
          <w:rFonts w:hint="eastAsia" w:hAnsi="宋体" w:cs="宋体"/>
          <w:color w:val="auto"/>
          <w:sz w:val="21"/>
          <w:szCs w:val="21"/>
        </w:rPr>
        <w:t>政府购买服务项目（含政府和社会资本合作项目），在采购过程中符合的供应商（社会资本）只有2家的，竞争性磋商采购活动可以继续进行。采购过程中符合要求的供应商（社会资本）只有1家的，采购人（项目实施主体）或者采购代理机构应当终止竞争性磋商采购活动，发布项目终止公告并说明原因，重新开展采购活动。</w:t>
      </w:r>
    </w:p>
    <w:p>
      <w:pPr>
        <w:pStyle w:val="22"/>
        <w:snapToGrid w:val="0"/>
        <w:spacing w:line="360" w:lineRule="auto"/>
        <w:ind w:firstLine="0"/>
        <w:rPr>
          <w:rFonts w:hAnsi="宋体" w:cs="宋体"/>
          <w:b/>
          <w:color w:val="auto"/>
          <w:sz w:val="24"/>
          <w:szCs w:val="24"/>
        </w:rPr>
      </w:pPr>
      <w:r>
        <w:rPr>
          <w:rFonts w:hint="eastAsia" w:hAnsi="宋体" w:cs="宋体"/>
          <w:b/>
          <w:color w:val="auto"/>
          <w:sz w:val="24"/>
          <w:szCs w:val="24"/>
        </w:rPr>
        <w:t>四、磋商程序</w:t>
      </w:r>
      <w:bookmarkEnd w:id="132"/>
    </w:p>
    <w:p>
      <w:pPr>
        <w:pStyle w:val="28"/>
        <w:spacing w:before="0" w:beforeLines="0" w:after="0" w:afterLines="0" w:line="360" w:lineRule="auto"/>
        <w:ind w:firstLine="422" w:firstLineChars="200"/>
        <w:outlineLvl w:val="2"/>
        <w:rPr>
          <w:rFonts w:hAnsi="宋体" w:cs="宋体"/>
          <w:b/>
          <w:color w:val="auto"/>
        </w:rPr>
      </w:pPr>
      <w:bookmarkStart w:id="133" w:name="_Toc7806"/>
      <w:r>
        <w:rPr>
          <w:rFonts w:hint="eastAsia" w:hAnsi="宋体" w:cs="宋体"/>
          <w:b/>
          <w:color w:val="auto"/>
        </w:rPr>
        <w:t>（一）磋商准备</w:t>
      </w:r>
      <w:bookmarkEnd w:id="133"/>
    </w:p>
    <w:p>
      <w:pPr>
        <w:pStyle w:val="28"/>
        <w:spacing w:before="0" w:beforeLines="0" w:after="0" w:afterLines="0" w:line="360" w:lineRule="auto"/>
        <w:ind w:firstLine="420" w:firstLineChars="200"/>
        <w:rPr>
          <w:rFonts w:hAnsi="宋体" w:cs="宋体"/>
          <w:bCs/>
          <w:color w:val="auto"/>
        </w:rPr>
      </w:pPr>
      <w:r>
        <w:rPr>
          <w:rFonts w:hint="eastAsia" w:hAnsi="宋体" w:cs="宋体"/>
          <w:bCs/>
          <w:color w:val="auto"/>
        </w:rPr>
        <w:t>采购代理机构将在规定的时间和地点进行磋商，供应商的法定代表人或授权代表可参加磋商会议。供应商的法定代表人或授权代表未参加磋商会议的，视同放弃磋商权利、认可磋商结果。</w:t>
      </w:r>
    </w:p>
    <w:p>
      <w:pPr>
        <w:pStyle w:val="28"/>
        <w:spacing w:before="0" w:beforeLines="0" w:after="0" w:afterLines="0" w:line="360" w:lineRule="auto"/>
        <w:ind w:left="420" w:leftChars="200"/>
        <w:outlineLvl w:val="2"/>
        <w:rPr>
          <w:rFonts w:hAnsi="宋体" w:cs="宋体"/>
          <w:b/>
          <w:color w:val="auto"/>
        </w:rPr>
      </w:pPr>
      <w:bookmarkStart w:id="134" w:name="_Toc16036"/>
      <w:r>
        <w:rPr>
          <w:rFonts w:hint="eastAsia" w:hAnsi="宋体" w:cs="宋体"/>
          <w:b/>
          <w:color w:val="auto"/>
        </w:rPr>
        <w:t>（二）磋商程序</w:t>
      </w:r>
      <w:bookmarkEnd w:id="134"/>
    </w:p>
    <w:p>
      <w:pPr>
        <w:numPr>
          <w:ilvl w:val="0"/>
          <w:numId w:val="29"/>
        </w:numPr>
        <w:spacing w:line="360" w:lineRule="auto"/>
        <w:jc w:val="left"/>
        <w:outlineLvl w:val="3"/>
        <w:rPr>
          <w:rFonts w:ascii="宋体" w:hAnsi="宋体" w:cs="宋体"/>
          <w:b/>
          <w:color w:val="auto"/>
          <w:lang w:bidi="ar"/>
        </w:rPr>
      </w:pPr>
      <w:r>
        <w:rPr>
          <w:rFonts w:hint="eastAsia" w:ascii="宋体" w:hAnsi="宋体" w:cs="宋体"/>
          <w:b/>
          <w:color w:val="auto"/>
          <w:lang w:bidi="ar"/>
        </w:rPr>
        <w:t>电子招投标开标程序</w:t>
      </w:r>
    </w:p>
    <w:p>
      <w:pPr>
        <w:spacing w:line="360" w:lineRule="auto"/>
        <w:ind w:firstLine="422" w:firstLineChars="200"/>
        <w:jc w:val="left"/>
        <w:rPr>
          <w:rFonts w:ascii="宋体" w:hAnsi="宋体" w:cs="宋体"/>
          <w:b/>
          <w:bCs/>
          <w:color w:val="auto"/>
        </w:rPr>
      </w:pPr>
      <w:r>
        <w:rPr>
          <w:rFonts w:hint="eastAsia" w:ascii="宋体" w:hAnsi="宋体" w:cs="宋体"/>
          <w:b/>
          <w:bCs/>
          <w:color w:val="auto"/>
        </w:rPr>
        <w:t>第一阶段：</w:t>
      </w:r>
    </w:p>
    <w:p>
      <w:pPr>
        <w:spacing w:line="360" w:lineRule="auto"/>
        <w:ind w:firstLine="420" w:firstLineChars="200"/>
        <w:jc w:val="left"/>
        <w:rPr>
          <w:rFonts w:ascii="宋体" w:hAnsi="宋体" w:cs="宋体"/>
          <w:color w:val="auto"/>
        </w:rPr>
      </w:pPr>
      <w:r>
        <w:rPr>
          <w:rFonts w:hint="eastAsia" w:ascii="宋体" w:hAnsi="宋体" w:cs="宋体"/>
          <w:color w:val="auto"/>
        </w:rPr>
        <w:t>首次递交响应文件截止时间后，供应商登录政府采购云平台，用“项目采购-开标评标”功能对电子响应文件进行在线解密，在线解密电子响应文件时间为开标时间后30分钟内。</w:t>
      </w:r>
    </w:p>
    <w:p>
      <w:pPr>
        <w:spacing w:line="360" w:lineRule="auto"/>
        <w:ind w:firstLine="422" w:firstLineChars="200"/>
        <w:jc w:val="left"/>
        <w:rPr>
          <w:rFonts w:ascii="宋体" w:hAnsi="宋体" w:cs="宋体"/>
          <w:b/>
          <w:bCs/>
          <w:color w:val="auto"/>
        </w:rPr>
      </w:pPr>
      <w:r>
        <w:rPr>
          <w:rFonts w:hint="eastAsia" w:ascii="宋体" w:hAnsi="宋体" w:cs="宋体"/>
          <w:b/>
          <w:bCs/>
          <w:color w:val="auto"/>
        </w:rPr>
        <w:t>第二阶段：</w:t>
      </w:r>
    </w:p>
    <w:p>
      <w:pPr>
        <w:numPr>
          <w:ilvl w:val="0"/>
          <w:numId w:val="30"/>
        </w:numPr>
        <w:spacing w:line="360" w:lineRule="auto"/>
        <w:jc w:val="left"/>
        <w:rPr>
          <w:rFonts w:ascii="宋体" w:hAnsi="宋体" w:cs="宋体"/>
          <w:color w:val="auto"/>
        </w:rPr>
      </w:pPr>
      <w:r>
        <w:rPr>
          <w:rFonts w:hint="eastAsia" w:ascii="宋体" w:hAnsi="宋体" w:cs="宋体"/>
          <w:color w:val="auto"/>
        </w:rPr>
        <w:t>磋商小组查阅响应文件，不符合资格审查的供应商将被拒绝。</w:t>
      </w:r>
    </w:p>
    <w:p>
      <w:pPr>
        <w:numPr>
          <w:ilvl w:val="0"/>
          <w:numId w:val="30"/>
        </w:numPr>
        <w:spacing w:line="360" w:lineRule="auto"/>
        <w:jc w:val="left"/>
        <w:rPr>
          <w:rFonts w:ascii="宋体" w:hAnsi="宋体" w:cs="宋体"/>
          <w:color w:val="auto"/>
        </w:rPr>
      </w:pPr>
      <w:r>
        <w:rPr>
          <w:rFonts w:hint="eastAsia" w:ascii="宋体" w:hAnsi="宋体" w:cs="宋体"/>
          <w:color w:val="auto"/>
        </w:rPr>
        <w:t>如磋商小组对响应文件有疑义，将向响应供应商在线发送询标函，供应商应在规定的时间内对在线询标函做出询标澄清。逾期澄清或未澄清的供应商视同认可磋商结果。</w:t>
      </w:r>
    </w:p>
    <w:p>
      <w:pPr>
        <w:numPr>
          <w:ilvl w:val="0"/>
          <w:numId w:val="30"/>
        </w:numPr>
        <w:spacing w:line="360" w:lineRule="auto"/>
        <w:jc w:val="left"/>
        <w:rPr>
          <w:rFonts w:ascii="宋体" w:hAnsi="宋体" w:cs="宋体"/>
          <w:b/>
          <w:bCs/>
          <w:color w:val="auto"/>
        </w:rPr>
      </w:pPr>
      <w:r>
        <w:rPr>
          <w:rFonts w:hint="eastAsia" w:ascii="宋体" w:hAnsi="宋体" w:cs="宋体"/>
          <w:b/>
          <w:bCs/>
          <w:color w:val="auto"/>
        </w:rPr>
        <w:t>在磋商过程中，磋商小组可以根据磋商文件和磋商情况实质性变动采购需求中的技术、服务要求（即本磋商文件第二章 采购需求）以及合同条款（即本磋商文件第五章 采购合同）；对磋商文件作出的实质性变动是磋商文件的有效组成部分，磋商小组以在线询标的形式同时通知所有参加磋商的供应商。供应商按照磋商文件的变动情况和磋商小组的要求在规定时间内提交响应文件（或补充文件），并加盖公章。递交的响应文件（或补充文件）具有相应的法律效力；磋商结束后，磋商小组要求所有实质性响应的供应商在规定时间内在线提交最终报价。最终报价是供应商响应文件的有效组成部分。</w:t>
      </w:r>
    </w:p>
    <w:p>
      <w:pPr>
        <w:numPr>
          <w:ilvl w:val="0"/>
          <w:numId w:val="30"/>
        </w:numPr>
        <w:spacing w:line="360" w:lineRule="auto"/>
        <w:jc w:val="left"/>
        <w:rPr>
          <w:rFonts w:ascii="宋体" w:hAnsi="宋体" w:cs="宋体"/>
          <w:color w:val="auto"/>
        </w:rPr>
      </w:pPr>
      <w:r>
        <w:rPr>
          <w:rFonts w:hint="eastAsia" w:ascii="宋体" w:hAnsi="宋体" w:cs="宋体"/>
          <w:color w:val="auto"/>
        </w:rPr>
        <w:t>经磋商确定最终采购需求和提交最终报价的供应商后，由磋商小组采用综合评分法对提交最终报价的供应商的响应文件和最终报价进行综合评分（详见第四章 评审办及评分标准）。</w:t>
      </w:r>
    </w:p>
    <w:p>
      <w:pPr>
        <w:numPr>
          <w:ilvl w:val="0"/>
          <w:numId w:val="30"/>
        </w:numPr>
        <w:spacing w:line="360" w:lineRule="auto"/>
        <w:jc w:val="left"/>
        <w:rPr>
          <w:rFonts w:ascii="宋体" w:hAnsi="宋体" w:cs="宋体"/>
          <w:color w:val="auto"/>
        </w:rPr>
      </w:pPr>
      <w:r>
        <w:rPr>
          <w:rFonts w:hint="eastAsia" w:ascii="宋体" w:hAnsi="宋体" w:cs="宋体"/>
          <w:color w:val="auto"/>
        </w:rPr>
        <w:t>磋商小组根据综合评分情况，按照评审得分由高到低顺序推荐1名成交候选供应商。并编写评审报告。若评审得分相同，则报价低者为成交候选人；评审得分且最终报价相同的则由抽签决定成交候选人。</w:t>
      </w:r>
    </w:p>
    <w:p>
      <w:pPr>
        <w:numPr>
          <w:ilvl w:val="0"/>
          <w:numId w:val="30"/>
        </w:numPr>
        <w:spacing w:line="360" w:lineRule="auto"/>
        <w:jc w:val="left"/>
        <w:rPr>
          <w:rFonts w:ascii="宋体" w:hAnsi="宋体" w:cs="宋体"/>
          <w:color w:val="auto"/>
        </w:rPr>
      </w:pPr>
      <w:r>
        <w:rPr>
          <w:rFonts w:hint="eastAsia" w:ascii="宋体" w:hAnsi="宋体" w:cs="宋体"/>
          <w:color w:val="auto"/>
        </w:rPr>
        <w:t>在政府采购云平台公布评审结果。</w:t>
      </w:r>
    </w:p>
    <w:p>
      <w:pPr>
        <w:numPr>
          <w:ilvl w:val="0"/>
          <w:numId w:val="30"/>
        </w:numPr>
        <w:spacing w:line="360" w:lineRule="auto"/>
        <w:jc w:val="left"/>
        <w:rPr>
          <w:rFonts w:ascii="宋体" w:hAnsi="宋体" w:cs="宋体"/>
          <w:color w:val="auto"/>
        </w:rPr>
      </w:pPr>
      <w:r>
        <w:rPr>
          <w:rFonts w:hint="eastAsia" w:ascii="宋体" w:hAnsi="宋体" w:cs="宋体"/>
          <w:color w:val="auto"/>
        </w:rPr>
        <w:t>磋商会议结束。</w:t>
      </w:r>
    </w:p>
    <w:p>
      <w:pPr>
        <w:numPr>
          <w:ilvl w:val="0"/>
          <w:numId w:val="30"/>
        </w:numPr>
        <w:spacing w:line="360" w:lineRule="auto"/>
        <w:jc w:val="left"/>
        <w:rPr>
          <w:rFonts w:ascii="宋体" w:hAnsi="宋体" w:cs="宋体"/>
          <w:color w:val="auto"/>
        </w:rPr>
      </w:pPr>
      <w:r>
        <w:rPr>
          <w:rFonts w:hint="eastAsia" w:ascii="宋体" w:hAnsi="宋体" w:cs="宋体"/>
          <w:color w:val="auto"/>
        </w:rPr>
        <w:t>采购人从评审报告提出的成交候选供应商中，按照得分排序由高到低的原则确定成交供应商。采购代理机构在发布采购公告的媒体上公布成交结果。</w:t>
      </w:r>
    </w:p>
    <w:p>
      <w:pPr>
        <w:numPr>
          <w:ilvl w:val="0"/>
          <w:numId w:val="29"/>
        </w:numPr>
        <w:spacing w:line="360" w:lineRule="auto"/>
        <w:jc w:val="left"/>
        <w:outlineLvl w:val="3"/>
        <w:rPr>
          <w:rFonts w:ascii="宋体" w:hAnsi="宋体" w:cs="宋体"/>
          <w:bCs/>
          <w:color w:val="auto"/>
          <w:lang w:bidi="ar"/>
        </w:rPr>
      </w:pPr>
      <w:r>
        <w:rPr>
          <w:rFonts w:hint="eastAsia" w:ascii="宋体" w:hAnsi="宋体" w:cs="宋体"/>
          <w:bCs/>
          <w:color w:val="auto"/>
          <w:lang w:bidi="ar"/>
        </w:rPr>
        <w:t>特别说明：政府采购云平台如对电子化开标及评审程序有调整的，按调整后的程序操作。</w:t>
      </w:r>
    </w:p>
    <w:p>
      <w:pPr>
        <w:spacing w:line="360" w:lineRule="auto"/>
        <w:ind w:firstLine="420" w:firstLineChars="200"/>
        <w:jc w:val="left"/>
        <w:rPr>
          <w:rFonts w:ascii="宋体" w:hAnsi="宋体" w:cs="宋体"/>
          <w:color w:val="auto"/>
        </w:rPr>
      </w:pPr>
      <w:r>
        <w:rPr>
          <w:rFonts w:hint="eastAsia" w:ascii="宋体" w:hAnsi="宋体" w:cs="宋体"/>
          <w:color w:val="auto"/>
        </w:rPr>
        <w:t>本项目原则上采用政采云</w:t>
      </w:r>
      <w:r>
        <w:rPr>
          <w:rFonts w:hint="eastAsia" w:ascii="宋体" w:hAnsi="宋体" w:cs="宋体"/>
          <w:color w:val="auto"/>
          <w:lang w:bidi="ar"/>
        </w:rPr>
        <w:t>电子招投标开标程序</w:t>
      </w:r>
      <w:r>
        <w:rPr>
          <w:rFonts w:hint="eastAsia" w:ascii="宋体" w:hAnsi="宋体" w:cs="宋体"/>
          <w:color w:val="auto"/>
        </w:rPr>
        <w:t>，但有下情形之一的，按以下情况处理：</w:t>
      </w:r>
    </w:p>
    <w:p>
      <w:pPr>
        <w:spacing w:line="360" w:lineRule="auto"/>
        <w:ind w:firstLine="420" w:firstLineChars="200"/>
        <w:jc w:val="left"/>
        <w:rPr>
          <w:rFonts w:ascii="宋体" w:hAnsi="宋体" w:cs="宋体"/>
          <w:color w:val="auto"/>
        </w:rPr>
      </w:pPr>
      <w:r>
        <w:rPr>
          <w:rFonts w:hint="eastAsia" w:ascii="宋体" w:hAnsi="宋体" w:cs="宋体"/>
          <w:color w:val="auto"/>
        </w:rPr>
        <w:t>采购过程中出现以下情形，导致电子交易平台无法正常运行，或者无法保证电子交易的公平、公正和安全时，采购人（或代理机构）可中止电子交易活动：</w:t>
      </w:r>
    </w:p>
    <w:p>
      <w:pPr>
        <w:numPr>
          <w:ilvl w:val="0"/>
          <w:numId w:val="31"/>
        </w:numPr>
        <w:spacing w:line="360" w:lineRule="auto"/>
        <w:jc w:val="left"/>
        <w:rPr>
          <w:rFonts w:ascii="宋体" w:hAnsi="宋体" w:cs="宋体"/>
          <w:color w:val="auto"/>
        </w:rPr>
      </w:pPr>
      <w:r>
        <w:rPr>
          <w:rFonts w:hint="eastAsia" w:ascii="宋体" w:hAnsi="宋体" w:cs="宋体"/>
          <w:color w:val="auto"/>
        </w:rPr>
        <w:t xml:space="preserve">电子交易平台发生故障而无法登录访问的。 </w:t>
      </w:r>
    </w:p>
    <w:p>
      <w:pPr>
        <w:numPr>
          <w:ilvl w:val="0"/>
          <w:numId w:val="31"/>
        </w:numPr>
        <w:spacing w:line="360" w:lineRule="auto"/>
        <w:jc w:val="left"/>
        <w:rPr>
          <w:rFonts w:ascii="宋体" w:hAnsi="宋体" w:cs="宋体"/>
          <w:color w:val="auto"/>
        </w:rPr>
      </w:pPr>
      <w:r>
        <w:rPr>
          <w:rFonts w:hint="eastAsia" w:ascii="宋体" w:hAnsi="宋体" w:cs="宋体"/>
          <w:color w:val="auto"/>
        </w:rPr>
        <w:t>电子交易平台应用或数据库出现错误，不能进行正常操作的。</w:t>
      </w:r>
    </w:p>
    <w:p>
      <w:pPr>
        <w:numPr>
          <w:ilvl w:val="0"/>
          <w:numId w:val="31"/>
        </w:numPr>
        <w:spacing w:line="360" w:lineRule="auto"/>
        <w:jc w:val="left"/>
        <w:rPr>
          <w:rFonts w:ascii="宋体" w:hAnsi="宋体" w:cs="宋体"/>
          <w:color w:val="auto"/>
        </w:rPr>
      </w:pPr>
      <w:r>
        <w:rPr>
          <w:rFonts w:hint="eastAsia" w:ascii="宋体" w:hAnsi="宋体" w:cs="宋体"/>
          <w:color w:val="auto"/>
        </w:rPr>
        <w:t>电子交易平台发现严重安全漏洞，有潜在泄密危险的。</w:t>
      </w:r>
    </w:p>
    <w:p>
      <w:pPr>
        <w:numPr>
          <w:ilvl w:val="0"/>
          <w:numId w:val="31"/>
        </w:numPr>
        <w:spacing w:line="360" w:lineRule="auto"/>
        <w:jc w:val="left"/>
        <w:rPr>
          <w:rFonts w:ascii="宋体" w:hAnsi="宋体" w:cs="宋体"/>
          <w:color w:val="auto"/>
        </w:rPr>
      </w:pPr>
      <w:r>
        <w:rPr>
          <w:rFonts w:hint="eastAsia" w:ascii="宋体" w:hAnsi="宋体" w:cs="宋体"/>
          <w:color w:val="auto"/>
        </w:rPr>
        <w:t>病毒发作导致不能进行正常操作的。</w:t>
      </w:r>
    </w:p>
    <w:p>
      <w:pPr>
        <w:numPr>
          <w:ilvl w:val="0"/>
          <w:numId w:val="31"/>
        </w:numPr>
        <w:spacing w:line="360" w:lineRule="auto"/>
        <w:jc w:val="left"/>
        <w:rPr>
          <w:rFonts w:ascii="宋体" w:hAnsi="宋体" w:cs="宋体"/>
          <w:color w:val="auto"/>
        </w:rPr>
      </w:pPr>
      <w:r>
        <w:rPr>
          <w:rFonts w:hint="eastAsia" w:ascii="宋体" w:hAnsi="宋体" w:cs="宋体"/>
          <w:color w:val="auto"/>
        </w:rPr>
        <w:t>其他无法保证电子交易的公平、公正和安全的情况。</w:t>
      </w:r>
    </w:p>
    <w:p>
      <w:pPr>
        <w:spacing w:line="360" w:lineRule="auto"/>
        <w:ind w:firstLine="420" w:firstLineChars="200"/>
        <w:jc w:val="left"/>
        <w:rPr>
          <w:rFonts w:ascii="宋体" w:hAnsi="宋体" w:cs="宋体"/>
          <w:color w:val="auto"/>
        </w:rPr>
      </w:pPr>
      <w:r>
        <w:rPr>
          <w:rFonts w:hint="eastAsia" w:ascii="宋体" w:hAnsi="宋体" w:cs="宋体"/>
          <w:color w:val="auto"/>
        </w:rPr>
        <w:t>出现前款规定情形，不影响采购公平、公正性的，采购人（或代理机构）可以待上述情形消除后继续组织电子交易活动，也可以决定某些环节以纸质形式进行。</w:t>
      </w:r>
    </w:p>
    <w:p>
      <w:pPr>
        <w:spacing w:line="360" w:lineRule="auto"/>
        <w:jc w:val="left"/>
        <w:outlineLvl w:val="1"/>
        <w:rPr>
          <w:rFonts w:ascii="宋体" w:hAnsi="宋体" w:cs="宋体"/>
          <w:b/>
          <w:color w:val="auto"/>
          <w:szCs w:val="21"/>
        </w:rPr>
      </w:pPr>
      <w:bookmarkStart w:id="135" w:name="_Toc16545"/>
      <w:r>
        <w:rPr>
          <w:rFonts w:hint="eastAsia" w:ascii="宋体" w:hAnsi="宋体" w:cs="宋体"/>
          <w:b/>
          <w:color w:val="auto"/>
          <w:szCs w:val="21"/>
        </w:rPr>
        <w:t>五、评审</w:t>
      </w:r>
      <w:bookmarkEnd w:id="135"/>
    </w:p>
    <w:p>
      <w:pPr>
        <w:pStyle w:val="28"/>
        <w:snapToGrid w:val="0"/>
        <w:spacing w:before="120" w:beforeLines="0" w:after="120" w:afterLines="0" w:line="360" w:lineRule="auto"/>
        <w:ind w:left="690" w:leftChars="228" w:hanging="211" w:hangingChars="100"/>
        <w:outlineLvl w:val="2"/>
        <w:rPr>
          <w:rFonts w:hAnsi="宋体" w:cs="宋体"/>
          <w:b/>
          <w:color w:val="auto"/>
        </w:rPr>
      </w:pPr>
      <w:bookmarkStart w:id="136" w:name="_Toc19982"/>
      <w:r>
        <w:rPr>
          <w:rFonts w:hint="eastAsia" w:hAnsi="宋体" w:cs="宋体"/>
          <w:b/>
          <w:color w:val="auto"/>
        </w:rPr>
        <w:t>（一）组建磋商小组</w:t>
      </w:r>
      <w:bookmarkEnd w:id="136"/>
    </w:p>
    <w:p>
      <w:pPr>
        <w:pStyle w:val="28"/>
        <w:snapToGrid w:val="0"/>
        <w:spacing w:before="0" w:beforeLines="0" w:after="0" w:afterLines="0" w:line="360" w:lineRule="auto"/>
        <w:ind w:firstLine="420" w:firstLineChars="200"/>
        <w:rPr>
          <w:rFonts w:hAnsi="宋体" w:cs="宋体"/>
          <w:color w:val="auto"/>
        </w:rPr>
      </w:pPr>
      <w:r>
        <w:rPr>
          <w:rFonts w:hint="eastAsia" w:hAnsi="宋体" w:cs="宋体"/>
          <w:color w:val="auto"/>
        </w:rPr>
        <w:t>磋商小组由评审专家或采购人代表共3人或以上单数组成，评审专家将按规定在政府采购评审专家库中随机抽取。磋商小组成员名单在磋商结果确定之前依法保密。</w:t>
      </w:r>
    </w:p>
    <w:p>
      <w:pPr>
        <w:pStyle w:val="28"/>
        <w:snapToGrid w:val="0"/>
        <w:spacing w:before="120" w:beforeLines="0" w:after="120" w:afterLines="0" w:line="360" w:lineRule="auto"/>
        <w:ind w:left="690" w:leftChars="228" w:hanging="211" w:hangingChars="100"/>
        <w:outlineLvl w:val="2"/>
        <w:rPr>
          <w:rFonts w:hAnsi="宋体" w:cs="宋体"/>
          <w:b/>
          <w:color w:val="auto"/>
        </w:rPr>
      </w:pPr>
      <w:bookmarkStart w:id="137" w:name="_Toc31629"/>
      <w:r>
        <w:rPr>
          <w:rFonts w:hint="eastAsia" w:hAnsi="宋体" w:cs="宋体"/>
          <w:b/>
          <w:color w:val="auto"/>
        </w:rPr>
        <w:t>（二）评审的方式</w:t>
      </w:r>
      <w:bookmarkEnd w:id="137"/>
    </w:p>
    <w:p>
      <w:pPr>
        <w:pStyle w:val="28"/>
        <w:snapToGrid w:val="0"/>
        <w:spacing w:before="0" w:beforeLines="0" w:after="0" w:afterLines="0" w:line="360" w:lineRule="auto"/>
        <w:ind w:left="689" w:leftChars="228" w:hanging="210" w:hangingChars="100"/>
        <w:rPr>
          <w:rFonts w:hAnsi="宋体" w:cs="宋体"/>
          <w:color w:val="auto"/>
        </w:rPr>
      </w:pPr>
      <w:r>
        <w:rPr>
          <w:rFonts w:hint="eastAsia" w:hAnsi="宋体" w:cs="宋体"/>
          <w:color w:val="auto"/>
        </w:rPr>
        <w:t>本项目采用不公开方式评审，评审的依据为磋商文件和响应文件。</w:t>
      </w:r>
    </w:p>
    <w:p>
      <w:pPr>
        <w:pStyle w:val="28"/>
        <w:snapToGrid w:val="0"/>
        <w:spacing w:before="120" w:beforeLines="0" w:after="120" w:afterLines="0" w:line="360" w:lineRule="auto"/>
        <w:ind w:left="690" w:leftChars="228" w:hanging="211" w:hangingChars="100"/>
        <w:outlineLvl w:val="2"/>
        <w:rPr>
          <w:rFonts w:hAnsi="宋体" w:cs="宋体"/>
          <w:b/>
          <w:color w:val="auto"/>
        </w:rPr>
      </w:pPr>
      <w:bookmarkStart w:id="138" w:name="_Toc494"/>
      <w:r>
        <w:rPr>
          <w:rFonts w:hint="eastAsia" w:hAnsi="宋体" w:cs="宋体"/>
          <w:b/>
          <w:color w:val="auto"/>
        </w:rPr>
        <w:t>（三）</w:t>
      </w:r>
      <w:r>
        <w:rPr>
          <w:rFonts w:hint="eastAsia" w:hAnsi="宋体" w:cs="宋体"/>
          <w:b/>
          <w:bCs/>
          <w:color w:val="auto"/>
        </w:rPr>
        <w:t>评审程序</w:t>
      </w:r>
      <w:bookmarkEnd w:id="138"/>
    </w:p>
    <w:p>
      <w:pPr>
        <w:numPr>
          <w:ilvl w:val="0"/>
          <w:numId w:val="32"/>
        </w:numPr>
        <w:rPr>
          <w:rFonts w:ascii="宋体" w:hAnsi="宋体" w:cs="宋体"/>
          <w:b/>
          <w:bCs/>
          <w:color w:val="auto"/>
          <w:szCs w:val="21"/>
        </w:rPr>
      </w:pPr>
      <w:r>
        <w:rPr>
          <w:rFonts w:hint="eastAsia" w:ascii="宋体" w:hAnsi="宋体" w:cs="宋体"/>
          <w:b/>
          <w:bCs/>
          <w:color w:val="auto"/>
          <w:szCs w:val="21"/>
        </w:rPr>
        <w:t>形式审查</w:t>
      </w:r>
      <w:r>
        <w:rPr>
          <w:rFonts w:hint="eastAsia" w:ascii="宋体" w:hAnsi="宋体" w:cs="宋体"/>
          <w:b/>
          <w:bCs/>
          <w:color w:val="auto"/>
          <w:szCs w:val="21"/>
        </w:rPr>
        <w:tab/>
      </w:r>
    </w:p>
    <w:p>
      <w:pPr>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采购人代表和代理机构工作人员协助磋商小组对供应商的资格和响应文件的完整性、合法性等进行审查。</w:t>
      </w:r>
    </w:p>
    <w:p>
      <w:pPr>
        <w:numPr>
          <w:ilvl w:val="0"/>
          <w:numId w:val="32"/>
        </w:numPr>
        <w:snapToGrid w:val="0"/>
        <w:spacing w:line="360" w:lineRule="auto"/>
        <w:rPr>
          <w:rFonts w:ascii="宋体" w:hAnsi="宋体" w:cs="宋体"/>
          <w:b/>
          <w:bCs/>
          <w:color w:val="auto"/>
          <w:szCs w:val="21"/>
        </w:rPr>
      </w:pPr>
      <w:r>
        <w:rPr>
          <w:rFonts w:hint="eastAsia" w:ascii="宋体" w:hAnsi="宋体" w:cs="宋体"/>
          <w:b/>
          <w:bCs/>
          <w:color w:val="auto"/>
          <w:szCs w:val="21"/>
        </w:rPr>
        <w:t>实质审查与比较</w:t>
      </w:r>
    </w:p>
    <w:p>
      <w:pPr>
        <w:numPr>
          <w:ilvl w:val="0"/>
          <w:numId w:val="33"/>
        </w:numPr>
        <w:snapToGrid w:val="0"/>
        <w:spacing w:line="360" w:lineRule="auto"/>
        <w:rPr>
          <w:rFonts w:ascii="宋体" w:hAnsi="宋体" w:cs="宋体"/>
          <w:color w:val="auto"/>
          <w:szCs w:val="21"/>
        </w:rPr>
      </w:pPr>
      <w:r>
        <w:rPr>
          <w:rFonts w:hint="eastAsia" w:ascii="宋体" w:hAnsi="宋体" w:cs="宋体"/>
          <w:color w:val="auto"/>
          <w:szCs w:val="21"/>
        </w:rPr>
        <w:t>磋商小组审查响应文件的实质性内容是否符合磋商文件的实质性要求。</w:t>
      </w:r>
    </w:p>
    <w:p>
      <w:pPr>
        <w:numPr>
          <w:ilvl w:val="0"/>
          <w:numId w:val="33"/>
        </w:numPr>
        <w:snapToGrid w:val="0"/>
        <w:spacing w:line="360" w:lineRule="auto"/>
        <w:rPr>
          <w:rFonts w:ascii="宋体" w:hAnsi="宋体" w:cs="宋体"/>
          <w:color w:val="auto"/>
          <w:szCs w:val="21"/>
        </w:rPr>
      </w:pPr>
      <w:r>
        <w:rPr>
          <w:rFonts w:hint="eastAsia" w:ascii="宋体" w:hAnsi="宋体" w:cs="宋体"/>
          <w:color w:val="auto"/>
          <w:szCs w:val="21"/>
        </w:rPr>
        <w:t>磋商小组将根据供应商的响应文件进行审查、核对，如有疑问，可要求供应商澄清、说明或者更正响应文件通过“政府采购云平台”在线答复形式提交，并进行电子签章，或者由法定代表人或其授权的代表签字后扫描上传提交。</w:t>
      </w:r>
    </w:p>
    <w:p>
      <w:pPr>
        <w:numPr>
          <w:ilvl w:val="0"/>
          <w:numId w:val="33"/>
        </w:numPr>
        <w:snapToGrid w:val="0"/>
        <w:spacing w:line="360" w:lineRule="auto"/>
        <w:rPr>
          <w:rFonts w:ascii="宋体" w:hAnsi="宋体" w:cs="宋体"/>
          <w:color w:val="auto"/>
          <w:szCs w:val="21"/>
        </w:rPr>
      </w:pPr>
      <w:r>
        <w:rPr>
          <w:rFonts w:hint="eastAsia" w:ascii="宋体" w:hAnsi="宋体" w:cs="宋体"/>
          <w:color w:val="auto"/>
          <w:szCs w:val="21"/>
        </w:rPr>
        <w:t>各供应商的技术商务得分为所有磋商小组成员的有效评分的算术平均数，由指定专人进行计算复核。</w:t>
      </w:r>
    </w:p>
    <w:p>
      <w:pPr>
        <w:numPr>
          <w:ilvl w:val="0"/>
          <w:numId w:val="33"/>
        </w:numPr>
        <w:snapToGrid w:val="0"/>
        <w:spacing w:line="360" w:lineRule="auto"/>
        <w:rPr>
          <w:rFonts w:ascii="宋体" w:hAnsi="宋体" w:cs="宋体"/>
          <w:color w:val="auto"/>
          <w:szCs w:val="21"/>
        </w:rPr>
      </w:pPr>
      <w:r>
        <w:rPr>
          <w:rFonts w:hint="eastAsia" w:ascii="宋体" w:hAnsi="宋体" w:cs="宋体"/>
          <w:color w:val="auto"/>
          <w:szCs w:val="21"/>
        </w:rPr>
        <w:t>代理机构工作人员协助磋商小组根据本项目的评分标准计算各供应商的报价得分。</w:t>
      </w:r>
    </w:p>
    <w:p>
      <w:pPr>
        <w:numPr>
          <w:ilvl w:val="0"/>
          <w:numId w:val="33"/>
        </w:numPr>
        <w:snapToGrid w:val="0"/>
        <w:spacing w:line="360" w:lineRule="auto"/>
        <w:rPr>
          <w:rFonts w:ascii="宋体" w:hAnsi="宋体" w:cs="宋体"/>
          <w:color w:val="auto"/>
          <w:szCs w:val="21"/>
        </w:rPr>
      </w:pPr>
      <w:r>
        <w:rPr>
          <w:rFonts w:hint="eastAsia" w:ascii="宋体" w:hAnsi="宋体" w:cs="宋体"/>
          <w:color w:val="auto"/>
          <w:szCs w:val="21"/>
        </w:rPr>
        <w:t>磋商小组完成评审后,评审成员对各部分得分汇总，计算出本项目最终得分。磋商小组按评审原则推荐成交候选供应商同时起草评审报告。</w:t>
      </w:r>
    </w:p>
    <w:p>
      <w:pPr>
        <w:snapToGrid w:val="0"/>
        <w:spacing w:line="360" w:lineRule="auto"/>
        <w:ind w:firstLine="422" w:firstLineChars="200"/>
        <w:outlineLvl w:val="2"/>
        <w:rPr>
          <w:rFonts w:ascii="宋体" w:hAnsi="宋体" w:cs="宋体"/>
          <w:b/>
          <w:color w:val="auto"/>
          <w:szCs w:val="21"/>
        </w:rPr>
      </w:pPr>
      <w:bookmarkStart w:id="139" w:name="_Toc20898"/>
      <w:r>
        <w:rPr>
          <w:rFonts w:hint="eastAsia" w:ascii="宋体" w:hAnsi="宋体" w:cs="宋体"/>
          <w:b/>
          <w:color w:val="auto"/>
          <w:szCs w:val="21"/>
        </w:rPr>
        <w:t>（四）澄清问题的形式</w:t>
      </w:r>
      <w:bookmarkEnd w:id="139"/>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对响应文件中含义不明确、同类问题表述不一致或者有明显文字和计算错误的内容，磋商小组可要求供应商作出必要的澄清、说明或者更正。供应商的澄清、说明或者更正应当采用“政府采购云平台”在线答复形式提交，并进行电子签章，或者由法定代表人或其授权的代表签字后扫描上传提交，并不得超出响应文件的范围或者改变响应文件的实质性内容。</w:t>
      </w:r>
    </w:p>
    <w:p>
      <w:pPr>
        <w:snapToGrid w:val="0"/>
        <w:spacing w:line="360" w:lineRule="auto"/>
        <w:ind w:firstLine="422" w:firstLineChars="200"/>
        <w:outlineLvl w:val="2"/>
        <w:rPr>
          <w:rFonts w:ascii="宋体" w:hAnsi="宋体" w:cs="宋体"/>
          <w:b/>
          <w:color w:val="auto"/>
          <w:szCs w:val="21"/>
        </w:rPr>
      </w:pPr>
      <w:bookmarkStart w:id="140" w:name="_Toc19373"/>
      <w:r>
        <w:rPr>
          <w:rFonts w:hint="eastAsia" w:ascii="宋体" w:hAnsi="宋体" w:cs="宋体"/>
          <w:b/>
          <w:color w:val="auto"/>
          <w:szCs w:val="21"/>
        </w:rPr>
        <w:t>（五）错误修正</w:t>
      </w:r>
      <w:bookmarkEnd w:id="140"/>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响应文件如果出现计算或表达上的错误，修正错误的原则如下：</w:t>
      </w:r>
    </w:p>
    <w:p>
      <w:pPr>
        <w:numPr>
          <w:ilvl w:val="0"/>
          <w:numId w:val="34"/>
        </w:numPr>
        <w:spacing w:line="360" w:lineRule="auto"/>
        <w:contextualSpacing/>
        <w:rPr>
          <w:rFonts w:ascii="宋体" w:hAnsi="宋体" w:cs="宋体"/>
          <w:color w:val="auto"/>
          <w:szCs w:val="21"/>
        </w:rPr>
      </w:pPr>
      <w:r>
        <w:rPr>
          <w:rFonts w:hint="eastAsia" w:ascii="宋体" w:hAnsi="宋体" w:cs="宋体"/>
          <w:color w:val="auto"/>
          <w:szCs w:val="21"/>
        </w:rPr>
        <w:t>响应文件中报价一览表（报价表）内容与响应文件中相应内容不一致的，以报价一览表（报价表）为准。</w:t>
      </w:r>
    </w:p>
    <w:p>
      <w:pPr>
        <w:numPr>
          <w:ilvl w:val="0"/>
          <w:numId w:val="34"/>
        </w:numPr>
        <w:spacing w:line="360" w:lineRule="auto"/>
        <w:contextualSpacing/>
        <w:rPr>
          <w:rFonts w:ascii="宋体" w:hAnsi="宋体" w:cs="宋体"/>
          <w:color w:val="auto"/>
          <w:szCs w:val="21"/>
        </w:rPr>
      </w:pPr>
      <w:r>
        <w:rPr>
          <w:rFonts w:hint="eastAsia" w:ascii="宋体" w:hAnsi="宋体" w:cs="宋体"/>
          <w:color w:val="auto"/>
          <w:szCs w:val="21"/>
        </w:rPr>
        <w:t>响应文件的大写金额和小写金额不一致的，以大写金额为准。</w:t>
      </w:r>
    </w:p>
    <w:p>
      <w:pPr>
        <w:numPr>
          <w:ilvl w:val="0"/>
          <w:numId w:val="34"/>
        </w:numPr>
        <w:spacing w:line="360" w:lineRule="auto"/>
        <w:contextualSpacing/>
        <w:rPr>
          <w:rFonts w:ascii="宋体" w:hAnsi="宋体" w:cs="宋体"/>
          <w:color w:val="auto"/>
          <w:szCs w:val="21"/>
        </w:rPr>
      </w:pPr>
      <w:r>
        <w:rPr>
          <w:rFonts w:hint="eastAsia" w:ascii="宋体" w:hAnsi="宋体" w:cs="宋体"/>
          <w:color w:val="auto"/>
          <w:szCs w:val="21"/>
        </w:rPr>
        <w:t>单价金额小数点或者百分比有明显错位的，以报价一览表的总价为准，并修改单价。</w:t>
      </w:r>
    </w:p>
    <w:p>
      <w:pPr>
        <w:numPr>
          <w:ilvl w:val="0"/>
          <w:numId w:val="34"/>
        </w:numPr>
        <w:spacing w:line="360" w:lineRule="auto"/>
        <w:contextualSpacing/>
        <w:rPr>
          <w:rFonts w:ascii="宋体" w:hAnsi="宋体" w:cs="宋体"/>
          <w:color w:val="auto"/>
          <w:szCs w:val="21"/>
        </w:rPr>
      </w:pPr>
      <w:r>
        <w:rPr>
          <w:rFonts w:hint="eastAsia" w:ascii="宋体" w:hAnsi="宋体" w:cs="宋体"/>
          <w:color w:val="auto"/>
          <w:szCs w:val="21"/>
        </w:rPr>
        <w:t>总价与按单价汇总金额不一致的，以单价金额计算结果为准。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同时出现两种以上不一致的，按照前款规定的顺序修正。按上述修正错误的原则及方法调整或修正响应文件的报价，供应商同意并签字确认后，调整后的报价对供应商具有约束作用。如果供应商不接受修正后的报价，则其报价将作为无效报价处理。</w:t>
      </w:r>
    </w:p>
    <w:p>
      <w:pPr>
        <w:pStyle w:val="28"/>
        <w:tabs>
          <w:tab w:val="left" w:pos="630"/>
        </w:tabs>
        <w:snapToGrid w:val="0"/>
        <w:spacing w:before="120" w:beforeLines="0" w:after="120" w:afterLines="0" w:line="360" w:lineRule="auto"/>
        <w:ind w:firstLine="413" w:firstLineChars="196"/>
        <w:outlineLvl w:val="2"/>
        <w:rPr>
          <w:rFonts w:hAnsi="宋体" w:cs="宋体"/>
          <w:b/>
          <w:color w:val="auto"/>
        </w:rPr>
      </w:pPr>
      <w:bookmarkStart w:id="141" w:name="_Toc11530"/>
      <w:r>
        <w:rPr>
          <w:rFonts w:hint="eastAsia" w:hAnsi="宋体" w:cs="宋体"/>
          <w:b/>
          <w:color w:val="auto"/>
        </w:rPr>
        <w:t>（六）评审原则和评审办法</w:t>
      </w:r>
      <w:bookmarkEnd w:id="141"/>
    </w:p>
    <w:p>
      <w:pPr>
        <w:pStyle w:val="28"/>
        <w:numPr>
          <w:ilvl w:val="0"/>
          <w:numId w:val="35"/>
        </w:numPr>
        <w:snapToGrid w:val="0"/>
        <w:spacing w:before="0" w:beforeLines="0" w:after="0" w:afterLines="0" w:line="360" w:lineRule="auto"/>
        <w:rPr>
          <w:rFonts w:hAnsi="宋体" w:cs="宋体"/>
          <w:color w:val="auto"/>
        </w:rPr>
      </w:pPr>
      <w:r>
        <w:rPr>
          <w:rFonts w:hint="eastAsia" w:hAnsi="宋体" w:cs="宋体"/>
          <w:color w:val="auto"/>
        </w:rPr>
        <w:t>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28"/>
        <w:numPr>
          <w:ilvl w:val="0"/>
          <w:numId w:val="35"/>
        </w:numPr>
        <w:snapToGrid w:val="0"/>
        <w:spacing w:before="0" w:beforeLines="0" w:after="0" w:afterLines="0" w:line="360" w:lineRule="auto"/>
        <w:rPr>
          <w:rFonts w:hAnsi="宋体" w:cs="宋体"/>
          <w:color w:val="auto"/>
        </w:rPr>
      </w:pPr>
      <w:r>
        <w:rPr>
          <w:rFonts w:hint="eastAsia" w:hAnsi="宋体" w:cs="宋体"/>
          <w:color w:val="auto"/>
        </w:rPr>
        <w:t>评审办法。本项目评审办法是</w:t>
      </w:r>
      <w:r>
        <w:rPr>
          <w:rFonts w:hint="eastAsia" w:hAnsi="宋体" w:cs="宋体"/>
          <w:b/>
          <w:color w:val="auto"/>
          <w:u w:val="single"/>
        </w:rPr>
        <w:t xml:space="preserve"> 综合评分法</w:t>
      </w:r>
      <w:r>
        <w:rPr>
          <w:rFonts w:hint="eastAsia" w:hAnsi="宋体" w:cs="宋体"/>
          <w:color w:val="auto"/>
          <w:u w:val="single"/>
        </w:rPr>
        <w:t xml:space="preserve"> </w:t>
      </w:r>
      <w:r>
        <w:rPr>
          <w:rFonts w:hint="eastAsia" w:hAnsi="宋体" w:cs="宋体"/>
          <w:color w:val="auto"/>
        </w:rPr>
        <w:t>，具体评审内容及评分标准等详见《第四章：评审办法及评分标准》。</w:t>
      </w:r>
    </w:p>
    <w:p>
      <w:pPr>
        <w:pStyle w:val="28"/>
        <w:tabs>
          <w:tab w:val="left" w:pos="630"/>
        </w:tabs>
        <w:snapToGrid w:val="0"/>
        <w:spacing w:before="120" w:beforeLines="0" w:after="120" w:afterLines="0" w:line="360" w:lineRule="auto"/>
        <w:ind w:firstLine="413" w:firstLineChars="196"/>
        <w:outlineLvl w:val="2"/>
        <w:rPr>
          <w:rFonts w:hAnsi="宋体" w:cs="宋体"/>
          <w:b/>
          <w:color w:val="auto"/>
        </w:rPr>
      </w:pPr>
      <w:bookmarkStart w:id="142" w:name="_Toc14759"/>
      <w:r>
        <w:rPr>
          <w:rFonts w:hint="eastAsia" w:hAnsi="宋体" w:cs="宋体"/>
          <w:b/>
          <w:color w:val="auto"/>
        </w:rPr>
        <w:t>（七）专家回避情况</w:t>
      </w:r>
      <w:bookmarkEnd w:id="142"/>
    </w:p>
    <w:p>
      <w:pPr>
        <w:pStyle w:val="28"/>
        <w:tabs>
          <w:tab w:val="left" w:pos="630"/>
        </w:tabs>
        <w:snapToGrid w:val="0"/>
        <w:spacing w:before="120" w:beforeLines="0" w:after="120" w:afterLines="0" w:line="360" w:lineRule="auto"/>
        <w:ind w:firstLine="422" w:firstLineChars="200"/>
        <w:rPr>
          <w:rFonts w:hAnsi="宋体" w:cs="宋体"/>
          <w:b/>
          <w:color w:val="auto"/>
        </w:rPr>
      </w:pPr>
      <w:r>
        <w:rPr>
          <w:rFonts w:hint="eastAsia" w:hAnsi="宋体" w:cs="宋体"/>
          <w:b/>
          <w:color w:val="auto"/>
        </w:rPr>
        <w:t>评审专家有下列情形之一的，受到邀请应主动提出回避，采购当事人也可以要求该评审专家回避：</w:t>
      </w:r>
    </w:p>
    <w:p>
      <w:pPr>
        <w:numPr>
          <w:ilvl w:val="0"/>
          <w:numId w:val="36"/>
        </w:numPr>
        <w:spacing w:line="360" w:lineRule="exact"/>
        <w:rPr>
          <w:rFonts w:ascii="宋体" w:hAnsi="宋体" w:cs="宋体"/>
          <w:color w:val="auto"/>
        </w:rPr>
      </w:pPr>
      <w:r>
        <w:rPr>
          <w:rFonts w:hint="eastAsia" w:ascii="宋体" w:hAnsi="宋体" w:cs="宋体"/>
          <w:color w:val="auto"/>
        </w:rPr>
        <w:t>本人、配偶或直系亲属3年内曾在参加该采购项目的供应商中任职（包括一般工作）或担任顾问，或与参加该采购项目的供应商发生过法律纠纷。</w:t>
      </w:r>
    </w:p>
    <w:p>
      <w:pPr>
        <w:numPr>
          <w:ilvl w:val="0"/>
          <w:numId w:val="36"/>
        </w:numPr>
        <w:spacing w:line="360" w:lineRule="exact"/>
        <w:rPr>
          <w:rFonts w:ascii="宋体" w:hAnsi="宋体" w:cs="宋体"/>
          <w:color w:val="auto"/>
        </w:rPr>
      </w:pPr>
      <w:r>
        <w:rPr>
          <w:rFonts w:hint="eastAsia" w:ascii="宋体" w:hAnsi="宋体" w:cs="宋体"/>
          <w:color w:val="auto"/>
        </w:rPr>
        <w:t>任职单位与采购人或参加该采购项目供应商存在行政隶属关系。</w:t>
      </w:r>
    </w:p>
    <w:p>
      <w:pPr>
        <w:numPr>
          <w:ilvl w:val="0"/>
          <w:numId w:val="36"/>
        </w:numPr>
        <w:spacing w:line="360" w:lineRule="exact"/>
        <w:rPr>
          <w:rFonts w:ascii="宋体" w:hAnsi="宋体" w:cs="宋体"/>
          <w:color w:val="auto"/>
        </w:rPr>
      </w:pPr>
      <w:r>
        <w:rPr>
          <w:rFonts w:hint="eastAsia" w:ascii="宋体" w:hAnsi="宋体" w:cs="宋体"/>
          <w:color w:val="auto"/>
        </w:rPr>
        <w:t>曾经参加过该采购项目的进口产品或磋商文件、采购需求、采购方式的论证和咨询服务工作。</w:t>
      </w:r>
    </w:p>
    <w:p>
      <w:pPr>
        <w:numPr>
          <w:ilvl w:val="0"/>
          <w:numId w:val="36"/>
        </w:numPr>
        <w:spacing w:line="360" w:lineRule="exact"/>
        <w:rPr>
          <w:rFonts w:ascii="宋体" w:hAnsi="宋体" w:cs="宋体"/>
          <w:color w:val="auto"/>
        </w:rPr>
      </w:pPr>
      <w:r>
        <w:rPr>
          <w:rFonts w:hint="eastAsia" w:ascii="宋体" w:hAnsi="宋体" w:cs="宋体"/>
          <w:color w:val="auto"/>
        </w:rPr>
        <w:t>是参加该采购项目供应商的上级主管部门、控股或参股单位的工作人员，或与该供应商存在其他经济利益关系。</w:t>
      </w:r>
    </w:p>
    <w:p>
      <w:pPr>
        <w:numPr>
          <w:ilvl w:val="0"/>
          <w:numId w:val="36"/>
        </w:numPr>
        <w:spacing w:line="360" w:lineRule="exact"/>
        <w:rPr>
          <w:rFonts w:ascii="宋体" w:hAnsi="宋体" w:cs="宋体"/>
          <w:color w:val="auto"/>
        </w:rPr>
      </w:pPr>
      <w:r>
        <w:rPr>
          <w:rFonts w:hint="eastAsia" w:ascii="宋体" w:hAnsi="宋体" w:cs="宋体"/>
          <w:color w:val="auto"/>
        </w:rPr>
        <w:t>法律、法规、规章规定应当回避以及其他可能影响公正评审的。</w:t>
      </w:r>
    </w:p>
    <w:p>
      <w:pPr>
        <w:pStyle w:val="28"/>
        <w:tabs>
          <w:tab w:val="left" w:pos="630"/>
        </w:tabs>
        <w:snapToGrid w:val="0"/>
        <w:spacing w:before="120" w:beforeLines="0" w:after="120" w:afterLines="0" w:line="360" w:lineRule="auto"/>
        <w:ind w:firstLine="413" w:firstLineChars="196"/>
        <w:outlineLvl w:val="2"/>
        <w:rPr>
          <w:rFonts w:hAnsi="宋体" w:cs="宋体"/>
          <w:b/>
          <w:color w:val="auto"/>
        </w:rPr>
      </w:pPr>
      <w:bookmarkStart w:id="143" w:name="_Toc25631"/>
      <w:r>
        <w:rPr>
          <w:rFonts w:hint="eastAsia" w:hAnsi="宋体" w:cs="宋体"/>
          <w:b/>
          <w:color w:val="auto"/>
        </w:rPr>
        <w:t>（八）磋商小组判断响应文件的有效性、合格性和响应情况，仅依据供应商所提交一切文件的真实表述，不受与本项目无直接关联的外部信息、传言而影响自身的专业判断。</w:t>
      </w:r>
      <w:bookmarkEnd w:id="143"/>
    </w:p>
    <w:p>
      <w:pPr>
        <w:pStyle w:val="28"/>
        <w:tabs>
          <w:tab w:val="left" w:pos="630"/>
        </w:tabs>
        <w:snapToGrid w:val="0"/>
        <w:spacing w:before="120" w:beforeLines="0" w:after="120" w:afterLines="0" w:line="360" w:lineRule="auto"/>
        <w:ind w:firstLine="413" w:firstLineChars="196"/>
        <w:outlineLvl w:val="2"/>
        <w:rPr>
          <w:rFonts w:hAnsi="宋体" w:cs="宋体"/>
          <w:b/>
          <w:color w:val="auto"/>
        </w:rPr>
      </w:pPr>
      <w:bookmarkStart w:id="144" w:name="_Toc3197"/>
      <w:r>
        <w:rPr>
          <w:rFonts w:hint="eastAsia" w:hAnsi="宋体" w:cs="宋体"/>
          <w:b/>
          <w:color w:val="auto"/>
        </w:rPr>
        <w:t>（九）磋商小组成员依法独立评审，并对评审意见承担个人责任。磋商小组成员对需要共同认定的事项存在争议的，按照少数服从多数的原则做出结论。持不同意见的磋商小组应当在评审报告上签署不同意见并说明理由，否则视为同意。</w:t>
      </w:r>
      <w:bookmarkEnd w:id="144"/>
    </w:p>
    <w:p>
      <w:pPr>
        <w:pStyle w:val="28"/>
        <w:tabs>
          <w:tab w:val="left" w:pos="630"/>
        </w:tabs>
        <w:snapToGrid w:val="0"/>
        <w:spacing w:before="120" w:beforeLines="0" w:after="120" w:afterLines="0" w:line="360" w:lineRule="auto"/>
        <w:ind w:firstLine="413" w:firstLineChars="196"/>
        <w:outlineLvl w:val="2"/>
        <w:rPr>
          <w:rFonts w:hAnsi="宋体" w:cs="宋体"/>
          <w:b/>
          <w:color w:val="auto"/>
        </w:rPr>
      </w:pPr>
      <w:bookmarkStart w:id="145" w:name="_Toc4611"/>
      <w:r>
        <w:rPr>
          <w:rFonts w:hint="eastAsia" w:hAnsi="宋体" w:cs="宋体"/>
          <w:b/>
          <w:color w:val="auto"/>
        </w:rPr>
        <w:t>（十）评标过程的监控</w:t>
      </w:r>
      <w:bookmarkEnd w:id="145"/>
    </w:p>
    <w:p>
      <w:pPr>
        <w:numPr>
          <w:ilvl w:val="0"/>
          <w:numId w:val="37"/>
        </w:numPr>
        <w:rPr>
          <w:color w:val="auto"/>
        </w:rPr>
      </w:pPr>
      <w:r>
        <w:rPr>
          <w:rFonts w:hint="eastAsia"/>
          <w:color w:val="auto"/>
        </w:rPr>
        <w:t>本项目评标过程实行全程录音、录像监控，供应商在评标过程中所进行的试图影响评标结果的不公正活动，可能导致其投标被拒绝。</w:t>
      </w:r>
    </w:p>
    <w:p>
      <w:pPr>
        <w:numPr>
          <w:ilvl w:val="0"/>
          <w:numId w:val="37"/>
        </w:numPr>
        <w:rPr>
          <w:color w:val="auto"/>
        </w:rPr>
      </w:pPr>
      <w:r>
        <w:rPr>
          <w:rFonts w:hint="eastAsia"/>
          <w:color w:val="auto"/>
        </w:rPr>
        <w:t>成交通知书发出之前，所有涉及磋商小组名单以及对响应文件的澄清、评价、比较等情况，磋商小组成员、采购人和采购代理机构的有关人员均不得向供应商或其他无关人员透露。</w:t>
      </w:r>
    </w:p>
    <w:p>
      <w:pPr>
        <w:pStyle w:val="28"/>
        <w:snapToGrid w:val="0"/>
        <w:spacing w:before="120" w:beforeLines="0" w:after="120" w:afterLines="0" w:line="360" w:lineRule="auto"/>
        <w:ind w:firstLine="422" w:firstLineChars="200"/>
        <w:outlineLvl w:val="1"/>
        <w:rPr>
          <w:rFonts w:hAnsi="宋体" w:cs="宋体"/>
          <w:b/>
          <w:bCs/>
          <w:color w:val="auto"/>
        </w:rPr>
      </w:pPr>
      <w:bookmarkStart w:id="146" w:name="_Toc25533"/>
      <w:r>
        <w:rPr>
          <w:rFonts w:hint="eastAsia" w:hAnsi="宋体" w:cs="宋体"/>
          <w:b/>
          <w:color w:val="auto"/>
        </w:rPr>
        <w:t>六、确定成交供应商：</w:t>
      </w:r>
      <w:bookmarkEnd w:id="146"/>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采购代理机构在评标结束后2个工作日内将评审报告交采购人确认，采购人自收到评审报告之日起5个工作日内在评审报告推荐的成交候选供应商中按由高到低的顺序确定成交供应商，采购代理机构自成交供应商确定之日起2个工作日内在</w:t>
      </w:r>
      <w:r>
        <w:rPr>
          <w:rFonts w:hint="eastAsia" w:ascii="宋体" w:hAnsi="宋体" w:cs="宋体"/>
          <w:bCs/>
          <w:color w:val="auto"/>
          <w:szCs w:val="21"/>
        </w:rPr>
        <w:t>发布采购公告的网站上</w:t>
      </w:r>
      <w:r>
        <w:rPr>
          <w:rFonts w:hint="eastAsia" w:ascii="宋体" w:hAnsi="宋体" w:cs="宋体"/>
          <w:color w:val="auto"/>
          <w:szCs w:val="21"/>
        </w:rPr>
        <w:t>对成交结果进行公告。</w:t>
      </w:r>
    </w:p>
    <w:p>
      <w:pPr>
        <w:pStyle w:val="28"/>
        <w:snapToGrid w:val="0"/>
        <w:spacing w:before="120" w:beforeLines="0" w:after="120" w:afterLines="0" w:line="360" w:lineRule="auto"/>
        <w:ind w:firstLine="422" w:firstLineChars="200"/>
        <w:outlineLvl w:val="1"/>
        <w:rPr>
          <w:rFonts w:hAnsi="宋体" w:cs="宋体"/>
          <w:b/>
          <w:color w:val="auto"/>
        </w:rPr>
      </w:pPr>
      <w:bookmarkStart w:id="147" w:name="_Toc27935"/>
      <w:r>
        <w:rPr>
          <w:rFonts w:hint="eastAsia" w:hAnsi="宋体" w:cs="宋体"/>
          <w:b/>
          <w:color w:val="auto"/>
        </w:rPr>
        <w:t>七、合同授予</w:t>
      </w:r>
      <w:bookmarkEnd w:id="147"/>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（一）成交供应商应当在在中标通知发出后30天内与采购人签订合同。</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（二）成交供应商拖延、拒签合同的，将被取消成交资格。</w:t>
      </w:r>
    </w:p>
    <w:p>
      <w:pPr>
        <w:snapToGrid w:val="0"/>
        <w:spacing w:line="360" w:lineRule="auto"/>
        <w:ind w:firstLine="420" w:firstLineChars="200"/>
        <w:rPr>
          <w:rFonts w:ascii="宋体" w:hAnsi="宋体" w:cs="宋体"/>
          <w:color w:val="auto"/>
        </w:rPr>
      </w:pPr>
      <w:r>
        <w:rPr>
          <w:rFonts w:hint="eastAsia" w:ascii="宋体" w:hAnsi="宋体" w:cs="宋体"/>
          <w:color w:val="auto"/>
          <w:szCs w:val="21"/>
        </w:rPr>
        <w:t>（三）成交供应商拒绝与采购人签订合同的，采购人可以按照评审报告推荐的成交候选供应商名单排序，确定下一成交候选人为成交供应商或重新采购。</w:t>
      </w:r>
    </w:p>
    <w:p>
      <w:pPr>
        <w:pStyle w:val="28"/>
        <w:snapToGrid w:val="0"/>
        <w:spacing w:before="120" w:beforeLines="0" w:after="120" w:afterLines="0" w:line="360" w:lineRule="auto"/>
        <w:ind w:firstLine="422" w:firstLineChars="200"/>
        <w:outlineLvl w:val="1"/>
        <w:rPr>
          <w:rFonts w:hAnsi="宋体" w:cs="宋体"/>
          <w:b/>
          <w:color w:val="auto"/>
        </w:rPr>
      </w:pPr>
      <w:bookmarkStart w:id="148" w:name="_Toc460857937"/>
      <w:bookmarkStart w:id="149" w:name="_Toc17707951"/>
      <w:bookmarkStart w:id="150" w:name="_Toc18592926"/>
      <w:bookmarkStart w:id="151" w:name="_Toc9465"/>
      <w:r>
        <w:rPr>
          <w:rFonts w:hint="eastAsia" w:hAnsi="宋体" w:cs="宋体"/>
          <w:b/>
          <w:color w:val="auto"/>
        </w:rPr>
        <w:t>八、特别说明</w:t>
      </w:r>
      <w:bookmarkEnd w:id="148"/>
      <w:bookmarkEnd w:id="149"/>
      <w:bookmarkEnd w:id="150"/>
      <w:bookmarkEnd w:id="151"/>
    </w:p>
    <w:p>
      <w:pPr>
        <w:spacing w:line="360" w:lineRule="auto"/>
        <w:ind w:firstLine="315" w:firstLineChars="150"/>
        <w:rPr>
          <w:rFonts w:ascii="宋体" w:hAnsi="宋体" w:cs="宋体"/>
          <w:color w:val="auto"/>
        </w:rPr>
      </w:pPr>
      <w:r>
        <w:rPr>
          <w:rFonts w:hint="eastAsia" w:ascii="宋体" w:hAnsi="宋体" w:cs="宋体"/>
          <w:color w:val="auto"/>
          <w:szCs w:val="21"/>
        </w:rPr>
        <w:t>（一）</w:t>
      </w:r>
      <w:r>
        <w:rPr>
          <w:rFonts w:hint="eastAsia" w:ascii="宋体" w:hAnsi="宋体" w:cs="宋体"/>
          <w:color w:val="auto"/>
        </w:rPr>
        <w:t>提供相同品牌产品且通过资格审查、符合性审查的不同</w:t>
      </w:r>
      <w:r>
        <w:rPr>
          <w:rFonts w:hint="eastAsia" w:ascii="宋体" w:hAnsi="宋体" w:cs="宋体"/>
          <w:color w:val="auto"/>
          <w:szCs w:val="21"/>
        </w:rPr>
        <w:t>供应商</w:t>
      </w:r>
      <w:r>
        <w:rPr>
          <w:rFonts w:hint="eastAsia" w:ascii="宋体" w:hAnsi="宋体" w:cs="宋体"/>
          <w:color w:val="auto"/>
        </w:rPr>
        <w:t>参加同一合同项下响应的，按一家</w:t>
      </w:r>
      <w:r>
        <w:rPr>
          <w:rFonts w:hint="eastAsia" w:ascii="宋体" w:hAnsi="宋体" w:cs="宋体"/>
          <w:color w:val="auto"/>
          <w:szCs w:val="21"/>
        </w:rPr>
        <w:t>供应商</w:t>
      </w:r>
      <w:r>
        <w:rPr>
          <w:rFonts w:hint="eastAsia" w:ascii="宋体" w:hAnsi="宋体" w:cs="宋体"/>
          <w:color w:val="auto"/>
        </w:rPr>
        <w:t>计算。</w:t>
      </w:r>
    </w:p>
    <w:p>
      <w:pPr>
        <w:spacing w:line="360" w:lineRule="auto"/>
        <w:ind w:firstLine="525" w:firstLineChars="250"/>
        <w:rPr>
          <w:rFonts w:ascii="宋体" w:hAnsi="宋体" w:cs="宋体"/>
          <w:color w:val="auto"/>
        </w:rPr>
      </w:pPr>
      <w:r>
        <w:rPr>
          <w:rFonts w:hint="eastAsia" w:ascii="宋体" w:hAnsi="宋体" w:cs="宋体"/>
          <w:color w:val="auto"/>
        </w:rPr>
        <w:t>若采用综合评分法进行评审的，评审后得分最高的同品牌</w:t>
      </w:r>
      <w:r>
        <w:rPr>
          <w:rFonts w:hint="eastAsia" w:ascii="宋体" w:hAnsi="宋体" w:cs="宋体"/>
          <w:color w:val="auto"/>
          <w:szCs w:val="21"/>
        </w:rPr>
        <w:t>供应商</w:t>
      </w:r>
      <w:r>
        <w:rPr>
          <w:rFonts w:hint="eastAsia" w:ascii="宋体" w:hAnsi="宋体" w:cs="宋体"/>
          <w:color w:val="auto"/>
        </w:rPr>
        <w:t>获得</w:t>
      </w:r>
      <w:r>
        <w:rPr>
          <w:rFonts w:hint="eastAsia" w:ascii="宋体" w:hAnsi="宋体" w:cs="宋体"/>
          <w:bCs/>
          <w:color w:val="auto"/>
          <w:szCs w:val="21"/>
        </w:rPr>
        <w:t>成交供应商</w:t>
      </w:r>
      <w:r>
        <w:rPr>
          <w:rFonts w:hint="eastAsia" w:ascii="宋体" w:hAnsi="宋体" w:cs="宋体"/>
          <w:color w:val="auto"/>
        </w:rPr>
        <w:t>推荐资格；评审得分相同的，由评标委员会按照采购文件规定的方式确定一个</w:t>
      </w:r>
      <w:r>
        <w:rPr>
          <w:rFonts w:hint="eastAsia" w:ascii="宋体" w:hAnsi="宋体" w:cs="宋体"/>
          <w:color w:val="auto"/>
          <w:szCs w:val="21"/>
        </w:rPr>
        <w:t>供应商</w:t>
      </w:r>
      <w:r>
        <w:rPr>
          <w:rFonts w:hint="eastAsia" w:ascii="宋体" w:hAnsi="宋体" w:cs="宋体"/>
          <w:color w:val="auto"/>
        </w:rPr>
        <w:t>获得</w:t>
      </w:r>
      <w:r>
        <w:rPr>
          <w:rFonts w:hint="eastAsia" w:ascii="宋体" w:hAnsi="宋体" w:cs="宋体"/>
          <w:bCs/>
          <w:color w:val="auto"/>
          <w:szCs w:val="21"/>
        </w:rPr>
        <w:t>成交供应商</w:t>
      </w:r>
      <w:r>
        <w:rPr>
          <w:rFonts w:hint="eastAsia" w:ascii="宋体" w:hAnsi="宋体" w:cs="宋体"/>
          <w:color w:val="auto"/>
        </w:rPr>
        <w:t>的推荐资格，采购文件未规定的采取随机抽取的方式确定，其他同品牌</w:t>
      </w:r>
      <w:r>
        <w:rPr>
          <w:rFonts w:hint="eastAsia" w:ascii="宋体" w:hAnsi="宋体" w:cs="宋体"/>
          <w:color w:val="auto"/>
          <w:szCs w:val="21"/>
        </w:rPr>
        <w:t>供应商</w:t>
      </w:r>
      <w:r>
        <w:rPr>
          <w:rFonts w:hint="eastAsia" w:ascii="宋体" w:hAnsi="宋体" w:cs="宋体"/>
          <w:color w:val="auto"/>
        </w:rPr>
        <w:t>不作为</w:t>
      </w:r>
      <w:r>
        <w:rPr>
          <w:rFonts w:hint="eastAsia" w:ascii="宋体" w:hAnsi="宋体" w:cs="宋体"/>
          <w:bCs/>
          <w:color w:val="auto"/>
          <w:szCs w:val="21"/>
        </w:rPr>
        <w:t>成交供应商</w:t>
      </w:r>
      <w:r>
        <w:rPr>
          <w:rFonts w:hint="eastAsia" w:ascii="宋体" w:hAnsi="宋体" w:cs="宋体"/>
          <w:color w:val="auto"/>
        </w:rPr>
        <w:t>候选人。</w:t>
      </w:r>
    </w:p>
    <w:p>
      <w:pPr>
        <w:spacing w:line="360" w:lineRule="auto"/>
        <w:ind w:firstLine="525" w:firstLineChars="250"/>
        <w:rPr>
          <w:rFonts w:ascii="宋体" w:hAnsi="宋体" w:cs="宋体"/>
          <w:color w:val="auto"/>
        </w:rPr>
      </w:pPr>
      <w:r>
        <w:rPr>
          <w:rFonts w:hint="eastAsia" w:ascii="宋体" w:hAnsi="宋体" w:cs="宋体"/>
          <w:color w:val="auto"/>
        </w:rPr>
        <w:t>若采用最低评标价法进行评审的，以报价最低的</w:t>
      </w:r>
      <w:r>
        <w:rPr>
          <w:rFonts w:hint="eastAsia" w:ascii="宋体" w:hAnsi="宋体" w:cs="宋体"/>
          <w:color w:val="auto"/>
          <w:szCs w:val="21"/>
        </w:rPr>
        <w:t>供应商</w:t>
      </w:r>
      <w:r>
        <w:rPr>
          <w:rFonts w:hint="eastAsia" w:ascii="宋体" w:hAnsi="宋体" w:cs="宋体"/>
          <w:color w:val="auto"/>
        </w:rPr>
        <w:t>参加评审，报价相同的，由评标委员会按照采购文件规定的方式确定一个</w:t>
      </w:r>
      <w:r>
        <w:rPr>
          <w:rFonts w:hint="eastAsia" w:ascii="宋体" w:hAnsi="宋体" w:cs="宋体"/>
          <w:color w:val="auto"/>
          <w:szCs w:val="21"/>
        </w:rPr>
        <w:t>供应商</w:t>
      </w:r>
      <w:r>
        <w:rPr>
          <w:rFonts w:hint="eastAsia" w:ascii="宋体" w:hAnsi="宋体" w:cs="宋体"/>
          <w:color w:val="auto"/>
        </w:rPr>
        <w:t>获得</w:t>
      </w:r>
      <w:r>
        <w:rPr>
          <w:rFonts w:hint="eastAsia" w:ascii="宋体" w:hAnsi="宋体" w:cs="宋体"/>
          <w:bCs/>
          <w:color w:val="auto"/>
          <w:szCs w:val="21"/>
        </w:rPr>
        <w:t>成交供应商</w:t>
      </w:r>
      <w:r>
        <w:rPr>
          <w:rFonts w:hint="eastAsia" w:ascii="宋体" w:hAnsi="宋体" w:cs="宋体"/>
          <w:color w:val="auto"/>
        </w:rPr>
        <w:t>的推荐资格，采购文件未规定的采取随机抽取的方式确定。</w:t>
      </w:r>
    </w:p>
    <w:p>
      <w:pPr>
        <w:spacing w:line="360" w:lineRule="auto"/>
        <w:ind w:firstLine="315" w:firstLineChars="150"/>
        <w:rPr>
          <w:rFonts w:ascii="宋体" w:hAnsi="宋体" w:cs="宋体"/>
          <w:color w:val="auto"/>
        </w:rPr>
      </w:pPr>
      <w:r>
        <w:rPr>
          <w:rFonts w:hint="eastAsia" w:ascii="宋体" w:hAnsi="宋体" w:cs="宋体"/>
          <w:color w:val="auto"/>
        </w:rPr>
        <w:t xml:space="preserve"> 非单一产品采购项目，</w:t>
      </w:r>
      <w:r>
        <w:rPr>
          <w:rFonts w:hint="eastAsia" w:ascii="宋体" w:hAnsi="宋体" w:cs="宋体"/>
          <w:color w:val="auto"/>
          <w:szCs w:val="21"/>
        </w:rPr>
        <w:t>供应商</w:t>
      </w:r>
      <w:r>
        <w:rPr>
          <w:rFonts w:hint="eastAsia" w:ascii="宋体" w:hAnsi="宋体" w:cs="宋体"/>
          <w:color w:val="auto"/>
        </w:rPr>
        <w:t>使用相同制造产品（相同制造产品是指采购文件中指定的“核心产品”）作为其项目的一部分，按一家</w:t>
      </w:r>
      <w:r>
        <w:rPr>
          <w:rFonts w:hint="eastAsia" w:ascii="宋体" w:hAnsi="宋体" w:cs="宋体"/>
          <w:color w:val="auto"/>
          <w:szCs w:val="21"/>
        </w:rPr>
        <w:t>供应商</w:t>
      </w:r>
      <w:r>
        <w:rPr>
          <w:rFonts w:hint="eastAsia" w:ascii="宋体" w:hAnsi="宋体" w:cs="宋体"/>
          <w:color w:val="auto"/>
        </w:rPr>
        <w:t>认定。</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（二）政府采购活动中有关中小企业的相关规定（采购进口产品的项目不适用）</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本项目</w:t>
      </w:r>
      <w:r>
        <w:rPr>
          <w:rFonts w:hint="eastAsia" w:ascii="宋体" w:hAnsi="宋体" w:cs="宋体"/>
          <w:b/>
          <w:bCs/>
          <w:color w:val="auto"/>
          <w:sz w:val="21"/>
          <w:szCs w:val="21"/>
          <w:u w:val="single"/>
        </w:rPr>
        <w:t xml:space="preserve"> 非 </w:t>
      </w:r>
      <w:r>
        <w:rPr>
          <w:rFonts w:hint="eastAsia" w:ascii="宋体" w:hAnsi="宋体" w:cs="宋体"/>
          <w:color w:val="auto"/>
          <w:sz w:val="21"/>
          <w:szCs w:val="21"/>
        </w:rPr>
        <w:t>专门面向中小企业采购。</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本项目对应的中小企业划分标准所属行业：</w:t>
      </w:r>
      <w:r>
        <w:rPr>
          <w:rFonts w:hint="eastAsia" w:ascii="宋体" w:hAnsi="宋体" w:cs="宋体"/>
          <w:b/>
          <w:bCs/>
          <w:color w:val="auto"/>
          <w:sz w:val="21"/>
          <w:szCs w:val="21"/>
          <w:u w:val="single"/>
        </w:rPr>
        <w:t>软件和信息技术服务业。</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中小企业是指中华人民共和国境内依法设立，依据国务院批准的中小企业划分标准确定的小型企业和微型企业，但与大企业的负责人为同一人，或者与大企业存在直接控股、管理关系的除外。</w:t>
      </w:r>
    </w:p>
    <w:p>
      <w:pPr>
        <w:pStyle w:val="19"/>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符合中小企业划分标准的个体工商户，在政府采购活动中视同中小企业。</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在政府采购活动中，供应商提供的货物、工程或者服务符合下列情形的，可享受小型、微型企业（以下简称小微企业）的价格扣除：</w:t>
      </w:r>
    </w:p>
    <w:p>
      <w:pPr>
        <w:numPr>
          <w:ilvl w:val="0"/>
          <w:numId w:val="39"/>
        </w:numPr>
        <w:spacing w:line="400" w:lineRule="exact"/>
        <w:rPr>
          <w:rFonts w:ascii="宋体" w:hAnsi="宋体" w:cs="宋体"/>
          <w:color w:val="auto"/>
          <w:szCs w:val="21"/>
        </w:rPr>
      </w:pPr>
      <w:r>
        <w:rPr>
          <w:rFonts w:hint="eastAsia" w:ascii="宋体" w:hAnsi="宋体" w:cs="宋体"/>
          <w:color w:val="auto"/>
          <w:szCs w:val="21"/>
        </w:rPr>
        <w:t>在货物采购项目中，货物由小微企业制造，即货物由小微企业生产且使用该小微企业商号或者注册商标。</w:t>
      </w:r>
    </w:p>
    <w:p>
      <w:pPr>
        <w:numPr>
          <w:ilvl w:val="0"/>
          <w:numId w:val="39"/>
        </w:numPr>
        <w:spacing w:line="400" w:lineRule="exact"/>
        <w:rPr>
          <w:rFonts w:ascii="宋体" w:hAnsi="宋体" w:cs="宋体"/>
          <w:color w:val="auto"/>
          <w:szCs w:val="21"/>
        </w:rPr>
      </w:pPr>
      <w:r>
        <w:rPr>
          <w:rFonts w:hint="eastAsia" w:ascii="宋体" w:hAnsi="宋体" w:cs="宋体"/>
          <w:color w:val="auto"/>
          <w:szCs w:val="21"/>
        </w:rPr>
        <w:t>在工程采购项目中，工程由小微企业承建，即工程施工单位为小微企业。</w:t>
      </w:r>
    </w:p>
    <w:p>
      <w:pPr>
        <w:numPr>
          <w:ilvl w:val="0"/>
          <w:numId w:val="39"/>
        </w:numPr>
        <w:spacing w:line="400" w:lineRule="exact"/>
        <w:rPr>
          <w:rFonts w:ascii="宋体" w:hAnsi="宋体" w:cs="宋体"/>
          <w:color w:val="auto"/>
          <w:szCs w:val="21"/>
        </w:rPr>
      </w:pPr>
      <w:r>
        <w:rPr>
          <w:rFonts w:hint="eastAsia" w:ascii="宋体" w:hAnsi="宋体" w:cs="宋体"/>
          <w:color w:val="auto"/>
          <w:szCs w:val="21"/>
        </w:rPr>
        <w:t>在服务采购项目中，服务由小微企业承接，即提供服务的人员为小微企业依照《中华人民共和国劳动合同法》订立劳动合同的从业人员。</w:t>
      </w:r>
    </w:p>
    <w:p>
      <w:pPr>
        <w:spacing w:line="400" w:lineRule="exact"/>
        <w:ind w:firstLine="420" w:firstLineChars="200"/>
        <w:rPr>
          <w:rFonts w:ascii="宋体" w:hAnsi="宋体" w:cs="宋体"/>
          <w:color w:val="auto"/>
          <w:szCs w:val="21"/>
        </w:rPr>
      </w:pPr>
      <w:r>
        <w:rPr>
          <w:rFonts w:hint="eastAsia" w:ascii="宋体" w:hAnsi="宋体" w:cs="宋体"/>
          <w:color w:val="auto"/>
          <w:szCs w:val="21"/>
        </w:rPr>
        <w:t>以联合体形式参加政府采购活动，联合体各方均为小微企业的，联合体视同小微企业。</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在货物采购项目中，供应商提供的货物既有中小企业制造货物，也有大型企业制造货物的，不享受的小微企业价格扣除。</w:t>
      </w:r>
    </w:p>
    <w:p>
      <w:pPr>
        <w:pStyle w:val="19"/>
        <w:numPr>
          <w:ilvl w:val="0"/>
          <w:numId w:val="38"/>
        </w:numPr>
        <w:spacing w:line="400" w:lineRule="exact"/>
        <w:rPr>
          <w:rFonts w:ascii="宋体" w:hAnsi="宋体" w:cs="宋体"/>
          <w:color w:val="auto"/>
          <w:sz w:val="21"/>
          <w:szCs w:val="21"/>
        </w:rPr>
      </w:pPr>
      <w:r>
        <w:rPr>
          <w:rFonts w:hint="eastAsia" w:ascii="宋体" w:hAnsi="宋体" w:cs="宋体"/>
          <w:color w:val="auto"/>
          <w:sz w:val="21"/>
          <w:szCs w:val="21"/>
        </w:rPr>
        <w:t>对于非专门面向中小企业采购的采购项目，小微企业报价给予 20%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6％的价格扣除，用扣除后的价格参与评审。组成联合体或者接受分包的小微企业与联合体内其他企业、分包企业之间存在直接控股、管理关系的，不享受价格扣除优惠政策。</w:t>
      </w:r>
    </w:p>
    <w:p>
      <w:pPr>
        <w:numPr>
          <w:ilvl w:val="0"/>
          <w:numId w:val="38"/>
        </w:numPr>
        <w:rPr>
          <w:color w:val="auto"/>
        </w:rPr>
      </w:pPr>
      <w:r>
        <w:rPr>
          <w:rFonts w:hint="eastAsia" w:ascii="宋体" w:hAnsi="宋体" w:cs="宋体"/>
          <w:color w:val="auto"/>
          <w:szCs w:val="21"/>
        </w:rPr>
        <w:t>采购活动过程中，对供应商的“中小企业”资格认定，以供应商提交的《中小企业声明函》</w:t>
      </w:r>
      <w:r>
        <w:rPr>
          <w:rFonts w:hint="eastAsia"/>
          <w:color w:val="auto"/>
        </w:rPr>
        <w:t>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19"/>
        <w:numPr>
          <w:ilvl w:val="0"/>
          <w:numId w:val="38"/>
        </w:numPr>
        <w:spacing w:line="400" w:lineRule="exact"/>
        <w:rPr>
          <w:rFonts w:ascii="宋体" w:hAnsi="宋体" w:cs="宋体"/>
          <w:b/>
          <w:color w:val="auto"/>
          <w:sz w:val="21"/>
          <w:szCs w:val="21"/>
        </w:rPr>
      </w:pPr>
      <w:r>
        <w:rPr>
          <w:rFonts w:hint="eastAsia" w:ascii="宋体" w:hAnsi="宋体" w:cs="宋体"/>
          <w:color w:val="auto"/>
          <w:sz w:val="21"/>
          <w:szCs w:val="21"/>
        </w:rPr>
        <w:t>按规定享受扶持政策获得政府采购合同的，小微企业不得将合同分包给大中型企业，中型企业不得将合同分包给大型企业。</w:t>
      </w:r>
    </w:p>
    <w:p>
      <w:pPr>
        <w:spacing w:line="400" w:lineRule="exact"/>
        <w:ind w:firstLine="420" w:firstLineChars="200"/>
        <w:jc w:val="left"/>
        <w:rPr>
          <w:color w:val="auto"/>
          <w:szCs w:val="21"/>
        </w:rPr>
      </w:pPr>
      <w:r>
        <w:rPr>
          <w:rFonts w:hint="eastAsia" w:ascii="宋体" w:hAnsi="宋体" w:cs="宋体"/>
          <w:color w:val="auto"/>
        </w:rPr>
        <w:t>（三）</w:t>
      </w:r>
      <w:r>
        <w:rPr>
          <w:color w:val="auto"/>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jc w:val="left"/>
        <w:rPr>
          <w:color w:val="auto"/>
          <w:szCs w:val="21"/>
        </w:rPr>
      </w:pPr>
      <w:r>
        <w:rPr>
          <w:rFonts w:hint="eastAsia"/>
          <w:color w:val="auto"/>
        </w:rPr>
        <w:t>（四）</w:t>
      </w:r>
      <w:r>
        <w:rPr>
          <w:color w:val="auto"/>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jc w:val="left"/>
        <w:rPr>
          <w:color w:val="auto"/>
        </w:rPr>
        <w:sectPr>
          <w:footerReference r:id="rId6" w:type="default"/>
          <w:pgSz w:w="11906" w:h="16838"/>
          <w:pgMar w:top="1134" w:right="1440" w:bottom="1440" w:left="1440" w:header="851" w:footer="992" w:gutter="0"/>
          <w:pgNumType w:start="1"/>
          <w:cols w:space="720" w:num="1"/>
          <w:docGrid w:type="lines" w:linePitch="312" w:charSpace="0"/>
        </w:sectPr>
      </w:pPr>
    </w:p>
    <w:p>
      <w:pPr>
        <w:pStyle w:val="3"/>
        <w:rPr>
          <w:rFonts w:ascii="宋体" w:hAnsi="宋体" w:cs="宋体"/>
          <w:color w:val="auto"/>
        </w:rPr>
      </w:pPr>
      <w:bookmarkStart w:id="152" w:name="_Toc28724"/>
      <w:bookmarkStart w:id="153" w:name="_Toc13696"/>
      <w:bookmarkStart w:id="154" w:name="_Toc9353"/>
      <w:bookmarkStart w:id="155" w:name="_Toc28750"/>
      <w:bookmarkStart w:id="156" w:name="_Toc4258"/>
      <w:bookmarkStart w:id="157" w:name="_Toc21083"/>
      <w:r>
        <w:rPr>
          <w:rFonts w:hint="eastAsia" w:ascii="宋体" w:hAnsi="宋体" w:cs="宋体"/>
          <w:color w:val="auto"/>
        </w:rPr>
        <w:t>第四章  评审办法及评分标准</w:t>
      </w:r>
      <w:bookmarkEnd w:id="152"/>
      <w:bookmarkEnd w:id="153"/>
      <w:bookmarkEnd w:id="154"/>
      <w:bookmarkEnd w:id="155"/>
      <w:bookmarkEnd w:id="156"/>
      <w:bookmarkEnd w:id="157"/>
    </w:p>
    <w:p>
      <w:pPr>
        <w:spacing w:line="360" w:lineRule="auto"/>
        <w:outlineLvl w:val="1"/>
        <w:rPr>
          <w:rFonts w:ascii="宋体" w:hAnsi="宋体" w:cs="宋体"/>
          <w:b/>
          <w:bCs/>
          <w:color w:val="auto"/>
          <w:szCs w:val="21"/>
        </w:rPr>
      </w:pPr>
      <w:bookmarkStart w:id="158" w:name="_Toc6289"/>
      <w:r>
        <w:rPr>
          <w:rFonts w:hint="eastAsia" w:ascii="宋体" w:hAnsi="宋体" w:cs="宋体"/>
          <w:b/>
          <w:bCs/>
          <w:color w:val="auto"/>
          <w:szCs w:val="21"/>
        </w:rPr>
        <w:t>一、总则</w:t>
      </w:r>
      <w:bookmarkEnd w:id="158"/>
    </w:p>
    <w:p>
      <w:pPr>
        <w:spacing w:line="360" w:lineRule="auto"/>
        <w:ind w:firstLine="420" w:firstLineChars="200"/>
        <w:rPr>
          <w:rFonts w:ascii="宋体" w:hAnsi="宋体" w:cs="宋体"/>
          <w:color w:val="auto"/>
          <w:szCs w:val="21"/>
        </w:rPr>
      </w:pPr>
      <w:r>
        <w:rPr>
          <w:rFonts w:hint="eastAsia" w:ascii="宋体" w:hAnsi="宋体" w:cs="宋体"/>
          <w:color w:val="auto"/>
          <w:szCs w:val="21"/>
        </w:rPr>
        <w:t>本次磋商遵循公平、公正、科学、择优的原则依法进行，磋商活动及当事人接受依法实施的监督。本次磋商采用综合评分法。</w:t>
      </w:r>
    </w:p>
    <w:p>
      <w:pPr>
        <w:spacing w:line="360" w:lineRule="auto"/>
        <w:outlineLvl w:val="1"/>
        <w:rPr>
          <w:rFonts w:ascii="宋体" w:hAnsi="宋体" w:cs="宋体"/>
          <w:b/>
          <w:bCs/>
          <w:color w:val="auto"/>
          <w:szCs w:val="21"/>
        </w:rPr>
      </w:pPr>
      <w:bookmarkStart w:id="159" w:name="_Toc13133"/>
      <w:r>
        <w:rPr>
          <w:rFonts w:hint="eastAsia" w:ascii="宋体" w:hAnsi="宋体" w:cs="宋体"/>
          <w:b/>
          <w:bCs/>
          <w:color w:val="auto"/>
          <w:szCs w:val="21"/>
        </w:rPr>
        <w:t>二、评审组织</w:t>
      </w:r>
      <w:bookmarkEnd w:id="159"/>
    </w:p>
    <w:p>
      <w:pPr>
        <w:spacing w:line="360" w:lineRule="auto"/>
        <w:ind w:firstLine="420" w:firstLineChars="200"/>
        <w:rPr>
          <w:rFonts w:ascii="宋体" w:hAnsi="宋体" w:cs="宋体"/>
          <w:color w:val="auto"/>
          <w:szCs w:val="21"/>
        </w:rPr>
      </w:pPr>
      <w:r>
        <w:rPr>
          <w:rFonts w:hint="eastAsia" w:ascii="宋体" w:hAnsi="宋体" w:cs="宋体"/>
          <w:color w:val="auto"/>
          <w:szCs w:val="21"/>
        </w:rPr>
        <w:t>磋商小组：采购人和采购机构根据采购项目的内容特点按照法律法规规定组建磋商小组。磋商小组由采购人、技术、经济等方面专家等有关人员组成。</w:t>
      </w:r>
    </w:p>
    <w:p>
      <w:pPr>
        <w:spacing w:line="360" w:lineRule="auto"/>
        <w:outlineLvl w:val="1"/>
        <w:rPr>
          <w:rFonts w:ascii="宋体" w:hAnsi="宋体" w:cs="宋体"/>
          <w:b/>
          <w:bCs/>
          <w:color w:val="auto"/>
          <w:szCs w:val="21"/>
        </w:rPr>
      </w:pPr>
      <w:bookmarkStart w:id="160" w:name="_Toc20912"/>
      <w:r>
        <w:rPr>
          <w:rFonts w:hint="eastAsia" w:ascii="宋体" w:hAnsi="宋体" w:cs="宋体"/>
          <w:b/>
          <w:bCs/>
          <w:color w:val="auto"/>
          <w:szCs w:val="21"/>
        </w:rPr>
        <w:t>三、磋商程序</w:t>
      </w:r>
      <w:bookmarkEnd w:id="160"/>
    </w:p>
    <w:p>
      <w:pPr>
        <w:pStyle w:val="14"/>
        <w:widowControl w:val="0"/>
        <w:tabs>
          <w:tab w:val="clear" w:pos="454"/>
        </w:tabs>
        <w:snapToGrid w:val="0"/>
        <w:spacing w:before="120" w:beforeLines="50" w:after="0" w:afterLines="0" w:line="360" w:lineRule="auto"/>
        <w:ind w:left="0" w:firstLine="411" w:firstLineChars="196"/>
        <w:rPr>
          <w:rFonts w:ascii="宋体" w:hAnsi="宋体" w:cs="宋体"/>
          <w:color w:val="auto"/>
          <w:kern w:val="2"/>
          <w:sz w:val="21"/>
          <w:szCs w:val="21"/>
        </w:rPr>
      </w:pPr>
      <w:r>
        <w:rPr>
          <w:rFonts w:hint="eastAsia" w:ascii="宋体" w:hAnsi="宋体" w:cs="宋体"/>
          <w:color w:val="auto"/>
          <w:kern w:val="2"/>
          <w:sz w:val="21"/>
          <w:szCs w:val="21"/>
        </w:rPr>
        <w:t>详见第三章供应商须知 四、磋商程序。</w:t>
      </w:r>
    </w:p>
    <w:p>
      <w:pPr>
        <w:spacing w:line="360" w:lineRule="auto"/>
        <w:outlineLvl w:val="1"/>
        <w:rPr>
          <w:rFonts w:ascii="宋体" w:hAnsi="宋体" w:cs="宋体"/>
          <w:b/>
          <w:bCs/>
          <w:color w:val="auto"/>
          <w:szCs w:val="21"/>
        </w:rPr>
      </w:pPr>
      <w:bookmarkStart w:id="161" w:name="_Toc18101"/>
      <w:r>
        <w:rPr>
          <w:rFonts w:hint="eastAsia" w:ascii="宋体" w:hAnsi="宋体" w:cs="宋体"/>
          <w:b/>
          <w:bCs/>
          <w:color w:val="auto"/>
          <w:szCs w:val="21"/>
        </w:rPr>
        <w:t>四、评审程序</w:t>
      </w:r>
      <w:bookmarkEnd w:id="161"/>
    </w:p>
    <w:p>
      <w:pPr>
        <w:pStyle w:val="31"/>
        <w:spacing w:line="360" w:lineRule="auto"/>
        <w:ind w:firstLine="473"/>
        <w:rPr>
          <w:rFonts w:ascii="宋体" w:hAnsi="宋体" w:cs="宋体"/>
          <w:b w:val="0"/>
          <w:bCs w:val="0"/>
          <w:color w:val="auto"/>
          <w:sz w:val="21"/>
          <w:szCs w:val="21"/>
        </w:rPr>
      </w:pPr>
      <w:r>
        <w:rPr>
          <w:rFonts w:hint="eastAsia" w:ascii="宋体" w:hAnsi="宋体" w:cs="宋体"/>
          <w:b w:val="0"/>
          <w:bCs w:val="0"/>
          <w:color w:val="auto"/>
          <w:sz w:val="21"/>
          <w:szCs w:val="21"/>
        </w:rPr>
        <w:t>详见第三章供应商须知 五、评审。</w:t>
      </w:r>
    </w:p>
    <w:p>
      <w:pPr>
        <w:spacing w:line="360" w:lineRule="auto"/>
        <w:outlineLvl w:val="1"/>
        <w:rPr>
          <w:rFonts w:ascii="宋体" w:hAnsi="宋体" w:cs="宋体"/>
          <w:b/>
          <w:color w:val="auto"/>
          <w:szCs w:val="21"/>
        </w:rPr>
      </w:pPr>
      <w:bookmarkStart w:id="162" w:name="_Toc25421"/>
      <w:r>
        <w:rPr>
          <w:rFonts w:hint="eastAsia" w:ascii="宋体" w:hAnsi="宋体" w:cs="宋体"/>
          <w:b/>
          <w:color w:val="auto"/>
          <w:szCs w:val="21"/>
        </w:rPr>
        <w:t>五、评分标准</w:t>
      </w:r>
      <w:bookmarkEnd w:id="162"/>
    </w:p>
    <w:tbl>
      <w:tblPr>
        <w:tblStyle w:val="48"/>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906"/>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jc w:val="center"/>
        </w:trPr>
        <w:tc>
          <w:tcPr>
            <w:tcW w:w="9731" w:type="dxa"/>
            <w:gridSpan w:val="2"/>
            <w:tcBorders>
              <w:right w:val="single" w:color="auto" w:sz="2" w:space="0"/>
            </w:tcBorders>
            <w:vAlign w:val="center"/>
          </w:tcPr>
          <w:p>
            <w:pPr>
              <w:spacing w:before="120" w:beforeLines="50" w:line="360" w:lineRule="auto"/>
              <w:jc w:val="center"/>
              <w:rPr>
                <w:rFonts w:ascii="宋体" w:hAnsi="宋体" w:cs="宋体"/>
                <w:snapToGrid w:val="0"/>
                <w:color w:val="auto"/>
                <w:spacing w:val="-4"/>
                <w:szCs w:val="21"/>
              </w:rPr>
            </w:pPr>
            <w:r>
              <w:rPr>
                <w:rFonts w:hint="eastAsia" w:ascii="宋体" w:hAnsi="宋体" w:cs="宋体"/>
                <w:b/>
                <w:bCs/>
                <w:color w:val="auto"/>
                <w:szCs w:val="21"/>
              </w:rPr>
              <w:t>评分表(兼评委打分表)</w:t>
            </w:r>
            <w:r>
              <w:rPr>
                <w:rFonts w:hint="eastAsia" w:ascii="宋体" w:hAnsi="宋体" w:cs="宋体"/>
                <w:b/>
                <w:bCs/>
                <w:snapToGrid w:val="0"/>
                <w:color w:val="auto"/>
                <w:spacing w:val="-4"/>
                <w:szCs w:val="21"/>
              </w:rPr>
              <w:t>评分项及分值</w:t>
            </w:r>
          </w:p>
        </w:tc>
        <w:tc>
          <w:tcPr>
            <w:tcW w:w="518" w:type="dxa"/>
            <w:tcBorders>
              <w:right w:val="single" w:color="auto" w:sz="2" w:space="0"/>
            </w:tcBorders>
          </w:tcPr>
          <w:p>
            <w:pPr>
              <w:spacing w:before="120" w:beforeLines="50" w:line="360" w:lineRule="auto"/>
              <w:jc w:val="center"/>
              <w:rPr>
                <w:rFonts w:ascii="宋体" w:hAnsi="宋体" w:cs="宋体"/>
                <w:snapToGrid w:val="0"/>
                <w:color w:val="auto"/>
                <w:spacing w:val="-4"/>
                <w:szCs w:val="21"/>
              </w:rPr>
            </w:pPr>
            <w:r>
              <w:rPr>
                <w:rFonts w:hint="eastAsia" w:ascii="宋体" w:hAnsi="宋体" w:cs="宋体"/>
                <w:snapToGrid w:val="0"/>
                <w:color w:val="auto"/>
                <w:spacing w:val="-4"/>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25" w:type="dxa"/>
            <w:vMerge w:val="restart"/>
            <w:tcBorders>
              <w:right w:val="single" w:color="auto" w:sz="2" w:space="0"/>
            </w:tcBorders>
            <w:vAlign w:val="center"/>
          </w:tcPr>
          <w:p>
            <w:pPr>
              <w:rPr>
                <w:rFonts w:ascii="宋体" w:hAnsi="宋体" w:cs="宋体"/>
                <w:color w:val="auto"/>
                <w:szCs w:val="21"/>
              </w:rPr>
            </w:pPr>
            <w:r>
              <w:rPr>
                <w:rFonts w:hint="eastAsia" w:ascii="宋体" w:hAnsi="宋体" w:cs="宋体"/>
                <w:snapToGrid w:val="0"/>
                <w:color w:val="auto"/>
                <w:spacing w:val="-4"/>
                <w:szCs w:val="21"/>
              </w:rPr>
              <w:t>商务技术分（85分）</w:t>
            </w:r>
          </w:p>
        </w:tc>
        <w:tc>
          <w:tcPr>
            <w:tcW w:w="8906" w:type="dxa"/>
            <w:tcBorders>
              <w:right w:val="single" w:color="auto" w:sz="2" w:space="0"/>
            </w:tcBorders>
            <w:vAlign w:val="center"/>
          </w:tcPr>
          <w:p>
            <w:pPr>
              <w:rPr>
                <w:rFonts w:ascii="宋体" w:hAnsi="宋体" w:cs="宋体"/>
                <w:color w:val="auto"/>
              </w:rPr>
            </w:pPr>
            <w:r>
              <w:rPr>
                <w:rFonts w:hint="eastAsia" w:ascii="宋体" w:hAnsi="宋体" w:cs="宋体"/>
                <w:color w:val="auto"/>
              </w:rPr>
              <w:t>1.根据投标人对时空信息云平台的技术架构、产品体系、应用现状了解情况进行评议。</w:t>
            </w:r>
          </w:p>
          <w:p>
            <w:pPr>
              <w:rPr>
                <w:rFonts w:ascii="宋体" w:hAnsi="宋体" w:cs="宋体"/>
                <w:color w:val="auto"/>
                <w:szCs w:val="21"/>
              </w:rPr>
            </w:pPr>
            <w:r>
              <w:rPr>
                <w:rFonts w:hint="eastAsia" w:ascii="宋体" w:hAnsi="宋体" w:cs="宋体"/>
                <w:color w:val="auto"/>
              </w:rPr>
              <w:t>对平台Arcgis和Supermap两套产品体系和技术架构、及应用现状了解全面准确的得8分；对平台Arcgis和Supermap中任意一套产品体系和技术架构，及应用现状了解基本全面准确的得5分；平台Arcgis和Supermap中任意一套产品体系和技术架构，及应用现状了解不够全面准确的得3分；未提供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25" w:type="dxa"/>
            <w:vMerge w:val="continue"/>
            <w:tcBorders>
              <w:right w:val="single" w:color="auto" w:sz="2" w:space="0"/>
            </w:tcBorders>
            <w:vAlign w:val="center"/>
          </w:tcPr>
          <w:p>
            <w:pPr>
              <w:rPr>
                <w:rFonts w:ascii="宋体" w:hAnsi="宋体" w:cs="宋体"/>
                <w:snapToGrid w:val="0"/>
                <w:color w:val="auto"/>
                <w:spacing w:val="-4"/>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2.根据投标人针对本项目整体实施方案内容的完整性程度，条理清晰程度，表述准确性进行评议。</w:t>
            </w:r>
          </w:p>
          <w:p>
            <w:pPr>
              <w:rPr>
                <w:rFonts w:ascii="宋体" w:hAnsi="宋体" w:cs="宋体"/>
                <w:color w:val="auto"/>
                <w:szCs w:val="21"/>
              </w:rPr>
            </w:pPr>
            <w:r>
              <w:rPr>
                <w:rFonts w:hint="eastAsia" w:ascii="宋体" w:hAnsi="宋体" w:cs="宋体"/>
                <w:color w:val="auto"/>
                <w:szCs w:val="21"/>
              </w:rPr>
              <w:t>针对本项目制定的整体方案内容完整，条理清晰，表述准确到位的得6分；针对本项目制定的整体方案内容较完整，条理较清晰，表述比较准确到位的得4分；针对本项目制定的整体方案内容不完整，条理欠清晰，表述基本准确到位的得3分；未提供的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3.根据投标人的技术方案与需求的吻合程度进行评议。</w:t>
            </w:r>
          </w:p>
          <w:p>
            <w:pPr>
              <w:rPr>
                <w:rFonts w:ascii="宋体" w:hAnsi="宋体" w:cs="宋体"/>
                <w:color w:val="auto"/>
                <w:szCs w:val="21"/>
              </w:rPr>
            </w:pPr>
            <w:r>
              <w:rPr>
                <w:rFonts w:hint="eastAsia" w:ascii="宋体" w:hAnsi="宋体" w:cs="宋体"/>
                <w:color w:val="auto"/>
                <w:szCs w:val="21"/>
              </w:rPr>
              <w:t>投标人的技术方案与需求完全吻合的得6分；投标人的技术方案与需求的比较吻合的得4分；</w:t>
            </w:r>
          </w:p>
          <w:p>
            <w:pPr>
              <w:rPr>
                <w:rFonts w:ascii="宋体" w:hAnsi="宋体" w:cs="宋体"/>
                <w:color w:val="auto"/>
                <w:szCs w:val="21"/>
              </w:rPr>
            </w:pPr>
            <w:r>
              <w:rPr>
                <w:rFonts w:hint="eastAsia" w:ascii="宋体" w:hAnsi="宋体" w:cs="宋体"/>
                <w:color w:val="auto"/>
                <w:szCs w:val="21"/>
              </w:rPr>
              <w:t>投标人的技术方案与需求的基本不吻合的得3分。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4.根据投标人针对时空信息云平台的日常运维服务方案和管理制度的完整性、合理性进行评议。</w:t>
            </w:r>
          </w:p>
          <w:p>
            <w:pPr>
              <w:pStyle w:val="20"/>
              <w:ind w:firstLine="0" w:firstLineChars="0"/>
              <w:rPr>
                <w:rFonts w:ascii="宋体" w:hAnsi="宋体" w:cs="宋体"/>
                <w:color w:val="auto"/>
                <w:sz w:val="21"/>
                <w:szCs w:val="21"/>
              </w:rPr>
            </w:pPr>
            <w:r>
              <w:rPr>
                <w:rFonts w:hint="eastAsia" w:ascii="宋体" w:hAnsi="宋体" w:cs="宋体"/>
                <w:color w:val="auto"/>
                <w:sz w:val="21"/>
                <w:szCs w:val="21"/>
              </w:rPr>
              <w:t>运维服务方案完整，管理制度合理可行的得8分；运维服务方案比较完整，管理制度基本合理可行的得5分；运维服务方案有缺漏，管理制度合理可行性差的的得3分。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5.根据投标人针对时空信息云平台数据更新的方案进行评议。</w:t>
            </w:r>
          </w:p>
          <w:p>
            <w:pPr>
              <w:rPr>
                <w:rFonts w:ascii="宋体" w:hAnsi="宋体" w:cs="宋体"/>
                <w:color w:val="auto"/>
                <w:szCs w:val="21"/>
              </w:rPr>
            </w:pPr>
            <w:r>
              <w:rPr>
                <w:rFonts w:hint="eastAsia" w:ascii="宋体" w:hAnsi="宋体" w:cs="宋体"/>
                <w:color w:val="auto"/>
                <w:szCs w:val="21"/>
              </w:rPr>
              <w:t>平台基础数据更新耗时和周期明确，整体更新方案的详细，合理性、可行性强的得8分；平台基础数据更新耗时或周期较明确，整体更新方案的较详细，合理性、可行性较强的得5分；平台基础数据更新耗时和周期均不明确，整体更新方案的不够详细性，合理性、可行性较差的得3分；未提供的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6.根据投标人针对平台用户技术服务支撑方案进行评议。</w:t>
            </w:r>
          </w:p>
          <w:p>
            <w:pPr>
              <w:rPr>
                <w:rFonts w:ascii="宋体" w:hAnsi="宋体" w:cs="宋体"/>
                <w:color w:val="auto"/>
                <w:szCs w:val="21"/>
              </w:rPr>
            </w:pPr>
            <w:r>
              <w:rPr>
                <w:rFonts w:hint="eastAsia" w:ascii="宋体" w:hAnsi="宋体" w:cs="宋体"/>
                <w:color w:val="auto"/>
                <w:szCs w:val="21"/>
              </w:rPr>
              <w:t>对数字化改革应用具有较好的应用解决方案和技术能力，方案详细，合理性、可行性强的得7分；对数字化改革应用具有一般的应用解决方案和技术能力，方案较详细，合理性、可行性较强的得5分；无数字化改革应用解决方案和技术能力，方案较详细，合理性、可行性较差的得3分；未提供的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7.根据投标人针对天地图评测实施方案进行评议。</w:t>
            </w:r>
          </w:p>
          <w:p>
            <w:pPr>
              <w:rPr>
                <w:rFonts w:ascii="宋体" w:hAnsi="宋体" w:cs="宋体"/>
                <w:color w:val="auto"/>
                <w:szCs w:val="21"/>
              </w:rPr>
            </w:pPr>
            <w:r>
              <w:rPr>
                <w:rFonts w:hint="eastAsia" w:ascii="宋体" w:hAnsi="宋体" w:cs="宋体"/>
                <w:color w:val="auto"/>
                <w:szCs w:val="21"/>
              </w:rPr>
              <w:t>评测内容理解到位，实施方案详细性、合理性、可行性强的得7分；评测内容基本理解，实施方案详细性、合理性、可行性一般的得5分；评测内容不理解，实施方案详细性、合理性、可行性不足的得3分；未提供的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8.根据投标人针对平台安全运维服务方案进行评议。</w:t>
            </w:r>
          </w:p>
          <w:p>
            <w:pPr>
              <w:rPr>
                <w:rFonts w:ascii="宋体" w:hAnsi="宋体" w:cs="宋体"/>
                <w:color w:val="auto"/>
                <w:szCs w:val="21"/>
              </w:rPr>
            </w:pPr>
            <w:r>
              <w:rPr>
                <w:rFonts w:hint="eastAsia" w:ascii="宋体" w:hAnsi="宋体" w:cs="宋体"/>
                <w:color w:val="auto"/>
                <w:szCs w:val="21"/>
              </w:rPr>
              <w:t>方案包含主动和被动等多种运维方式，方案合理性、可行性强的得7分；方案仅包含主动或被动一种运维方式，方案合理性、可行性较强的得5分；方案包含主动或被动一种运维方式，方案合理性、可行性较差的得3分；未提供的不得分。</w:t>
            </w:r>
          </w:p>
        </w:tc>
        <w:tc>
          <w:tcPr>
            <w:tcW w:w="518"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9.根据投标人提供的数据保密安全措施(是否提供坐标转换服务，是否使用数据脱密工具等）进行评议。</w:t>
            </w:r>
          </w:p>
          <w:p>
            <w:pPr>
              <w:rPr>
                <w:rFonts w:ascii="宋体" w:hAnsi="宋体" w:cs="宋体"/>
                <w:color w:val="auto"/>
                <w:szCs w:val="21"/>
              </w:rPr>
            </w:pPr>
            <w:r>
              <w:rPr>
                <w:rFonts w:hint="eastAsia" w:ascii="宋体" w:hAnsi="宋体" w:cs="宋体"/>
                <w:color w:val="auto"/>
                <w:szCs w:val="21"/>
              </w:rPr>
              <w:t>保密措施可行、有效的得8分；保密措施较为可行、有效的得5分；保密措施可行性有效性较差的得3分；未提供的不得分。</w:t>
            </w:r>
          </w:p>
        </w:tc>
        <w:tc>
          <w:tcPr>
            <w:tcW w:w="518"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tabs>
                <w:tab w:val="left" w:pos="312"/>
              </w:tabs>
              <w:rPr>
                <w:rFonts w:ascii="宋体" w:hAnsi="宋体" w:cs="宋体"/>
                <w:color w:val="auto"/>
                <w:szCs w:val="21"/>
                <w:lang w:val="zh-TW"/>
              </w:rPr>
            </w:pPr>
            <w:r>
              <w:rPr>
                <w:rFonts w:hint="eastAsia" w:ascii="宋体" w:hAnsi="宋体" w:cs="宋体"/>
                <w:color w:val="auto"/>
                <w:szCs w:val="21"/>
              </w:rPr>
              <w:t>10</w:t>
            </w:r>
            <w:r>
              <w:rPr>
                <w:rFonts w:hint="eastAsia" w:ascii="宋体" w:hAnsi="宋体" w:cs="宋体"/>
                <w:color w:val="auto"/>
                <w:szCs w:val="21"/>
                <w:lang w:val="zh-TW"/>
              </w:rPr>
              <w:t>.</w:t>
            </w:r>
            <w:r>
              <w:rPr>
                <w:rFonts w:hint="eastAsia" w:ascii="宋体" w:hAnsi="宋体" w:cs="宋体"/>
                <w:color w:val="auto"/>
                <w:szCs w:val="21"/>
              </w:rPr>
              <w:t>根据投标人提供的</w:t>
            </w:r>
            <w:r>
              <w:rPr>
                <w:rFonts w:hint="eastAsia" w:ascii="宋体" w:hAnsi="宋体" w:cs="宋体"/>
                <w:color w:val="auto"/>
                <w:szCs w:val="21"/>
                <w:lang w:val="zh-TW"/>
              </w:rPr>
              <w:t>突发事件处置方案</w:t>
            </w:r>
            <w:r>
              <w:rPr>
                <w:rFonts w:hint="eastAsia" w:ascii="宋体" w:hAnsi="宋体" w:cs="宋体"/>
                <w:color w:val="auto"/>
                <w:szCs w:val="21"/>
              </w:rPr>
              <w:t>的完整性、可行性</w:t>
            </w:r>
            <w:r>
              <w:rPr>
                <w:rFonts w:hint="eastAsia" w:ascii="宋体" w:hAnsi="宋体" w:cs="宋体"/>
                <w:color w:val="auto"/>
                <w:szCs w:val="21"/>
                <w:lang w:val="zh-TW"/>
              </w:rPr>
              <w:t>进行综合评议。</w:t>
            </w:r>
          </w:p>
          <w:p>
            <w:pPr>
              <w:rPr>
                <w:rFonts w:ascii="宋体" w:hAnsi="宋体" w:cs="宋体"/>
                <w:color w:val="auto"/>
                <w:szCs w:val="21"/>
              </w:rPr>
            </w:pPr>
            <w:r>
              <w:rPr>
                <w:rFonts w:hint="eastAsia" w:ascii="宋体" w:hAnsi="宋体" w:cs="宋体"/>
                <w:color w:val="auto"/>
                <w:szCs w:val="21"/>
              </w:rPr>
              <w:t>方案周密完整、可行性强的得3分；方案较周密完整、基本可行的得2分；方案不够完整、可行性差的得1分，未提供不得分</w:t>
            </w:r>
            <w:r>
              <w:rPr>
                <w:rFonts w:hint="eastAsia" w:ascii="宋体" w:hAnsi="宋体" w:cs="宋体"/>
                <w:color w:val="auto"/>
                <w:szCs w:val="21"/>
                <w:lang w:val="zh-TW"/>
              </w:rPr>
              <w:t>。</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11.根据投标人提供的全天候响应服务承诺进行评议，包括但不限于驻点服务、服务响应承诺。</w:t>
            </w:r>
          </w:p>
          <w:p>
            <w:pPr>
              <w:rPr>
                <w:rFonts w:ascii="宋体" w:hAnsi="宋体" w:cs="宋体"/>
                <w:color w:val="auto"/>
                <w:szCs w:val="21"/>
              </w:rPr>
            </w:pPr>
            <w:r>
              <w:rPr>
                <w:rFonts w:hint="eastAsia" w:ascii="宋体" w:hAnsi="宋体" w:cs="宋体"/>
                <w:color w:val="auto"/>
                <w:szCs w:val="21"/>
              </w:rPr>
              <w:t>服务内容全面响应及时的得6分；服务内容较为全面服务响应较为及时的得4分；服务内容响应慢不够及时的得2分。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12.根据投标人拟投入项目负责人进行评议</w:t>
            </w:r>
          </w:p>
          <w:p>
            <w:pPr>
              <w:rPr>
                <w:rFonts w:ascii="宋体" w:hAnsi="宋体" w:cs="宋体"/>
                <w:color w:val="auto"/>
                <w:szCs w:val="21"/>
              </w:rPr>
            </w:pPr>
            <w:r>
              <w:rPr>
                <w:rFonts w:hint="eastAsia" w:ascii="宋体" w:hAnsi="宋体" w:cs="宋体"/>
                <w:color w:val="auto"/>
                <w:szCs w:val="21"/>
              </w:rPr>
              <w:t>项目负责人具有测绘类或地理信息相关学科本科以上学位的，并同时具有正高级工程师（测绘类或地理信息类）专业技术职称的得4分；具有副高工程师（测绘地理信息或遥感）专业技术职称的，得2分，其它不得分。</w:t>
            </w:r>
          </w:p>
          <w:p>
            <w:pPr>
              <w:rPr>
                <w:color w:val="auto"/>
              </w:rPr>
            </w:pPr>
            <w:r>
              <w:rPr>
                <w:rFonts w:hint="eastAsia" w:ascii="宋体" w:hAnsi="宋体" w:cs="宋体"/>
                <w:color w:val="auto"/>
                <w:szCs w:val="21"/>
              </w:rPr>
              <w:t>（提供项目负责人学历证书、职称证书扫描件，及近三个月投标人为其缴纳的社保证明。）</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rPr>
                <w:rFonts w:ascii="宋体" w:hAnsi="宋体" w:cs="宋体"/>
                <w:color w:val="auto"/>
                <w:szCs w:val="21"/>
              </w:rPr>
            </w:pPr>
            <w:r>
              <w:rPr>
                <w:rFonts w:hint="eastAsia" w:ascii="宋体" w:hAnsi="宋体" w:cs="宋体"/>
                <w:color w:val="auto"/>
                <w:szCs w:val="21"/>
              </w:rPr>
              <w:t>13.根据投标人拟投入本项目人员进行评议。</w:t>
            </w:r>
          </w:p>
          <w:p>
            <w:pPr>
              <w:rPr>
                <w:rFonts w:ascii="宋体" w:hAnsi="宋体" w:cs="宋体"/>
                <w:color w:val="auto"/>
                <w:szCs w:val="21"/>
              </w:rPr>
            </w:pPr>
            <w:r>
              <w:rPr>
                <w:rFonts w:hint="eastAsia" w:ascii="宋体" w:hAnsi="宋体" w:cs="宋体"/>
                <w:color w:val="auto"/>
                <w:szCs w:val="21"/>
              </w:rPr>
              <w:t>(1)拟派项目组人员具有注册测绘师证书的得2分，具有涉密测绘成果管理人员证书的得1分。</w:t>
            </w:r>
          </w:p>
          <w:p>
            <w:pPr>
              <w:rPr>
                <w:rFonts w:ascii="宋体" w:hAnsi="宋体" w:cs="宋体"/>
                <w:color w:val="auto"/>
                <w:szCs w:val="21"/>
              </w:rPr>
            </w:pPr>
            <w:r>
              <w:rPr>
                <w:rFonts w:hint="eastAsia" w:ascii="宋体" w:hAnsi="宋体" w:cs="宋体"/>
                <w:color w:val="auto"/>
                <w:szCs w:val="21"/>
              </w:rPr>
              <w:t>(2)拟派本项目的运维服务人员具有中级及以上职称的，每有一人得1分，满分3分；</w:t>
            </w:r>
          </w:p>
          <w:p>
            <w:pPr>
              <w:rPr>
                <w:rFonts w:ascii="宋体" w:hAnsi="宋体" w:cs="宋体"/>
                <w:color w:val="auto"/>
                <w:szCs w:val="21"/>
              </w:rPr>
            </w:pPr>
            <w:r>
              <w:rPr>
                <w:rFonts w:hint="eastAsia" w:ascii="宋体" w:hAnsi="宋体" w:cs="宋体"/>
                <w:color w:val="auto"/>
                <w:szCs w:val="21"/>
              </w:rPr>
              <w:t>（提供配备人员的清单、专业证书及相关分工介绍等证明材料，及投标人缴纳的社保证明。）</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825" w:type="dxa"/>
            <w:vMerge w:val="continue"/>
            <w:tcBorders>
              <w:right w:val="single" w:color="auto" w:sz="2" w:space="0"/>
            </w:tcBorders>
            <w:vAlign w:val="center"/>
          </w:tcPr>
          <w:p>
            <w:pPr>
              <w:rPr>
                <w:rFonts w:ascii="宋体" w:hAnsi="宋体" w:cs="宋体"/>
                <w:color w:val="auto"/>
                <w:szCs w:val="21"/>
              </w:rPr>
            </w:pPr>
          </w:p>
        </w:tc>
        <w:tc>
          <w:tcPr>
            <w:tcW w:w="8906" w:type="dxa"/>
            <w:tcBorders>
              <w:right w:val="single" w:color="auto" w:sz="2" w:space="0"/>
            </w:tcBorders>
            <w:vAlign w:val="center"/>
          </w:tcPr>
          <w:p>
            <w:pPr>
              <w:numPr>
                <w:ilvl w:val="255"/>
                <w:numId w:val="0"/>
              </w:numPr>
              <w:rPr>
                <w:rFonts w:ascii="宋体" w:hAnsi="宋体" w:cs="宋体"/>
                <w:color w:val="auto"/>
                <w:szCs w:val="21"/>
              </w:rPr>
            </w:pPr>
            <w:r>
              <w:rPr>
                <w:rFonts w:hint="eastAsia" w:ascii="宋体" w:hAnsi="宋体" w:cs="宋体"/>
                <w:color w:val="auto"/>
                <w:szCs w:val="21"/>
              </w:rPr>
              <w:t>14.投标人近三年承担过与本项目类似业绩，每提供1个合同得0.5分，最多得1分。</w:t>
            </w:r>
          </w:p>
          <w:p>
            <w:pPr>
              <w:widowControl/>
              <w:jc w:val="left"/>
              <w:rPr>
                <w:rFonts w:ascii="宋体" w:hAnsi="宋体" w:cs="宋体"/>
                <w:color w:val="auto"/>
                <w:szCs w:val="21"/>
              </w:rPr>
            </w:pPr>
            <w:r>
              <w:rPr>
                <w:rFonts w:hint="eastAsia" w:ascii="宋体" w:hAnsi="宋体" w:cs="宋体"/>
                <w:color w:val="auto"/>
                <w:szCs w:val="21"/>
              </w:rPr>
              <w:t>（提供合同复印件加盖公章，不提供不得分）。</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825" w:type="dxa"/>
            <w:tcBorders>
              <w:right w:val="single" w:color="auto" w:sz="2" w:space="0"/>
            </w:tcBorders>
            <w:tcMar>
              <w:left w:w="0" w:type="dxa"/>
              <w:right w:w="0" w:type="dxa"/>
            </w:tcMar>
            <w:vAlign w:val="center"/>
          </w:tcPr>
          <w:p>
            <w:pPr>
              <w:spacing w:before="120" w:beforeLines="50" w:line="360" w:lineRule="auto"/>
              <w:jc w:val="center"/>
              <w:rPr>
                <w:rFonts w:ascii="宋体" w:hAnsi="宋体" w:cs="宋体"/>
                <w:snapToGrid w:val="0"/>
                <w:color w:val="auto"/>
                <w:spacing w:val="-4"/>
                <w:szCs w:val="21"/>
              </w:rPr>
            </w:pPr>
            <w:r>
              <w:rPr>
                <w:rFonts w:hint="eastAsia" w:ascii="宋体" w:hAnsi="宋体" w:cs="宋体"/>
                <w:snapToGrid w:val="0"/>
                <w:color w:val="auto"/>
                <w:spacing w:val="-4"/>
                <w:szCs w:val="21"/>
              </w:rPr>
              <w:t>报价分</w:t>
            </w:r>
          </w:p>
          <w:p>
            <w:pPr>
              <w:spacing w:before="120" w:beforeLines="50" w:line="360" w:lineRule="auto"/>
              <w:jc w:val="center"/>
              <w:rPr>
                <w:rFonts w:ascii="宋体" w:hAnsi="宋体" w:cs="宋体"/>
                <w:snapToGrid w:val="0"/>
                <w:color w:val="auto"/>
                <w:spacing w:val="-4"/>
                <w:szCs w:val="21"/>
              </w:rPr>
            </w:pPr>
            <w:r>
              <w:rPr>
                <w:rFonts w:hint="eastAsia" w:ascii="宋体" w:hAnsi="宋体" w:cs="宋体"/>
                <w:snapToGrid w:val="0"/>
                <w:color w:val="auto"/>
                <w:spacing w:val="-4"/>
                <w:szCs w:val="21"/>
              </w:rPr>
              <w:t>（15分）</w:t>
            </w:r>
          </w:p>
        </w:tc>
        <w:tc>
          <w:tcPr>
            <w:tcW w:w="8906" w:type="dxa"/>
            <w:tcBorders>
              <w:right w:val="single" w:color="auto" w:sz="2" w:space="0"/>
            </w:tcBorders>
            <w:vAlign w:val="center"/>
          </w:tcPr>
          <w:p>
            <w:pPr>
              <w:rPr>
                <w:rFonts w:ascii="宋体" w:hAnsi="宋体" w:cs="宋体"/>
                <w:strike/>
                <w:color w:val="auto"/>
                <w:szCs w:val="21"/>
              </w:rPr>
            </w:pPr>
            <w:r>
              <w:rPr>
                <w:rFonts w:hint="eastAsia" w:ascii="宋体" w:hAnsi="宋体" w:cs="宋体"/>
                <w:color w:val="auto"/>
                <w:szCs w:val="21"/>
              </w:rPr>
              <w:t>评标基准价=满足招标文件要求且投标价格最低的投标报价</w:t>
            </w:r>
          </w:p>
          <w:p>
            <w:pPr>
              <w:rPr>
                <w:rFonts w:ascii="宋体" w:hAnsi="宋体" w:cs="宋体"/>
                <w:color w:val="auto"/>
                <w:szCs w:val="21"/>
              </w:rPr>
            </w:pPr>
            <w:r>
              <w:rPr>
                <w:rFonts w:hint="eastAsia" w:ascii="宋体" w:hAnsi="宋体" w:cs="宋体"/>
                <w:color w:val="auto"/>
                <w:szCs w:val="21"/>
              </w:rPr>
              <w:t>投标报价等于基准价的得分为满分15分。</w:t>
            </w:r>
          </w:p>
          <w:p>
            <w:pPr>
              <w:rPr>
                <w:rFonts w:ascii="宋体" w:hAnsi="宋体" w:cs="宋体"/>
                <w:color w:val="auto"/>
                <w:szCs w:val="21"/>
              </w:rPr>
            </w:pPr>
            <w:r>
              <w:rPr>
                <w:rFonts w:hint="eastAsia" w:ascii="宋体" w:hAnsi="宋体" w:cs="宋体"/>
                <w:color w:val="auto"/>
                <w:szCs w:val="21"/>
              </w:rPr>
              <w:t>投标报价得分=(评标基准价/投标报价)×价格权重（15%）×100</w:t>
            </w:r>
          </w:p>
          <w:p>
            <w:pPr>
              <w:rPr>
                <w:rFonts w:ascii="宋体" w:hAnsi="宋体" w:cs="宋体"/>
                <w:color w:val="auto"/>
                <w:szCs w:val="21"/>
              </w:rPr>
            </w:pPr>
            <w:r>
              <w:rPr>
                <w:rFonts w:hint="eastAsia" w:ascii="宋体" w:hAnsi="宋体" w:cs="宋体"/>
                <w:color w:val="auto"/>
                <w:szCs w:val="21"/>
              </w:rPr>
              <w:t>投标报价得分以四舍五入保留小数点后两位。</w:t>
            </w:r>
          </w:p>
          <w:p>
            <w:pPr>
              <w:rPr>
                <w:rFonts w:ascii="宋体" w:hAnsi="宋体" w:cs="宋体"/>
                <w:snapToGrid w:val="0"/>
                <w:color w:val="auto"/>
                <w:spacing w:val="-4"/>
                <w:szCs w:val="21"/>
              </w:rPr>
            </w:pPr>
            <w:r>
              <w:rPr>
                <w:rFonts w:hint="eastAsia" w:ascii="宋体" w:hAnsi="宋体" w:cs="宋体"/>
                <w:color w:val="auto"/>
                <w:szCs w:val="21"/>
              </w:rPr>
              <w:t>投标人满足小微企业的，扣除投标报价的20%，用扣除后价格参与评审。</w:t>
            </w:r>
          </w:p>
        </w:tc>
        <w:tc>
          <w:tcPr>
            <w:tcW w:w="518" w:type="dxa"/>
            <w:tcBorders>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15</w:t>
            </w:r>
          </w:p>
        </w:tc>
      </w:tr>
    </w:tbl>
    <w:p>
      <w:pPr>
        <w:spacing w:line="360" w:lineRule="auto"/>
        <w:outlineLvl w:val="1"/>
        <w:rPr>
          <w:rFonts w:ascii="宋体" w:hAnsi="宋体" w:cs="宋体"/>
          <w:b/>
          <w:color w:val="auto"/>
          <w:szCs w:val="21"/>
        </w:rPr>
      </w:pPr>
    </w:p>
    <w:p>
      <w:pPr>
        <w:spacing w:line="360" w:lineRule="auto"/>
        <w:rPr>
          <w:rFonts w:ascii="宋体" w:hAnsi="宋体" w:cs="宋体"/>
          <w:color w:val="auto"/>
          <w:szCs w:val="21"/>
        </w:rPr>
      </w:pPr>
      <w:r>
        <w:rPr>
          <w:rFonts w:hint="eastAsia" w:ascii="宋体" w:hAnsi="宋体" w:cs="宋体"/>
          <w:color w:val="auto"/>
          <w:szCs w:val="21"/>
        </w:rPr>
        <w:t>以上各项得分磋商小组成员评分时保留小数点后一位小数，汇总计算时保留小数点二位。</w:t>
      </w:r>
    </w:p>
    <w:p>
      <w:pPr>
        <w:rPr>
          <w:rFonts w:ascii="宋体" w:hAnsi="宋体" w:cs="宋体"/>
          <w:color w:val="auto"/>
        </w:rPr>
      </w:pPr>
      <w:bookmarkStart w:id="163" w:name="_Toc29402"/>
      <w:bookmarkStart w:id="164" w:name="_Toc20990"/>
      <w:bookmarkStart w:id="165" w:name="_Toc5851"/>
      <w:bookmarkStart w:id="166" w:name="_Toc5628"/>
      <w:bookmarkStart w:id="167" w:name="_Toc28035"/>
      <w:bookmarkStart w:id="168" w:name="_Toc7874"/>
      <w:bookmarkStart w:id="169" w:name="_Toc5522"/>
    </w:p>
    <w:p>
      <w:pPr>
        <w:pStyle w:val="19"/>
        <w:rPr>
          <w:rFonts w:ascii="宋体" w:hAnsi="宋体" w:cs="宋体"/>
          <w:color w:val="auto"/>
        </w:rPr>
      </w:pPr>
    </w:p>
    <w:p>
      <w:pPr>
        <w:rPr>
          <w:color w:val="auto"/>
        </w:rPr>
      </w:pPr>
    </w:p>
    <w:p>
      <w:pPr>
        <w:rPr>
          <w:rFonts w:ascii="宋体" w:hAnsi="宋体" w:cs="宋体"/>
          <w:color w:val="auto"/>
        </w:rPr>
      </w:pPr>
      <w:r>
        <w:rPr>
          <w:rFonts w:hint="eastAsia" w:ascii="宋体" w:hAnsi="宋体" w:cs="宋体"/>
          <w:color w:val="auto"/>
        </w:rPr>
        <w:br w:type="page"/>
      </w:r>
    </w:p>
    <w:p>
      <w:pPr>
        <w:pStyle w:val="3"/>
        <w:spacing w:line="360" w:lineRule="auto"/>
        <w:rPr>
          <w:rFonts w:ascii="宋体" w:hAnsi="宋体" w:cs="宋体"/>
          <w:color w:val="auto"/>
        </w:rPr>
      </w:pPr>
      <w:r>
        <w:rPr>
          <w:rFonts w:hint="eastAsia" w:ascii="宋体" w:hAnsi="宋体" w:cs="宋体"/>
          <w:color w:val="auto"/>
        </w:rPr>
        <w:t>第五章  采购合同</w:t>
      </w:r>
      <w:bookmarkEnd w:id="163"/>
      <w:bookmarkEnd w:id="164"/>
      <w:bookmarkEnd w:id="165"/>
      <w:bookmarkEnd w:id="166"/>
      <w:bookmarkEnd w:id="167"/>
      <w:bookmarkEnd w:id="168"/>
      <w:bookmarkEnd w:id="169"/>
    </w:p>
    <w:p>
      <w:pPr>
        <w:spacing w:line="240" w:lineRule="exact"/>
        <w:rPr>
          <w:rFonts w:ascii="宋体" w:hAnsi="宋体" w:cs="宋体"/>
          <w:color w:val="auto"/>
          <w:szCs w:val="21"/>
        </w:rPr>
      </w:pPr>
    </w:p>
    <w:p>
      <w:pPr>
        <w:jc w:val="center"/>
        <w:rPr>
          <w:rFonts w:ascii="宋体" w:hAnsi="宋体" w:cs="宋体"/>
          <w:color w:val="auto"/>
          <w:szCs w:val="21"/>
        </w:rPr>
      </w:pPr>
      <w:bookmarkStart w:id="170" w:name="_Toc15544"/>
      <w:bookmarkStart w:id="171" w:name="_Toc21207"/>
      <w:bookmarkStart w:id="172" w:name="_Toc23059"/>
      <w:bookmarkStart w:id="173" w:name="_Toc12858"/>
      <w:bookmarkStart w:id="174" w:name="_Toc24452"/>
      <w:r>
        <w:rPr>
          <w:rFonts w:hint="eastAsia" w:ascii="宋体" w:hAnsi="宋体" w:cs="宋体"/>
          <w:color w:val="auto"/>
          <w:szCs w:val="21"/>
        </w:rPr>
        <w:t>（参考合同，具体细则以采购人及中标人双方签订为准）</w:t>
      </w:r>
    </w:p>
    <w:p>
      <w:pPr>
        <w:pStyle w:val="19"/>
        <w:rPr>
          <w:color w:val="auto"/>
        </w:rPr>
      </w:pPr>
    </w:p>
    <w:p>
      <w:pPr>
        <w:spacing w:line="240" w:lineRule="exact"/>
        <w:jc w:val="center"/>
        <w:rPr>
          <w:rFonts w:ascii="宋体" w:hAnsi="宋体" w:cs="宋体"/>
          <w:b/>
          <w:color w:val="auto"/>
          <w:sz w:val="32"/>
          <w:szCs w:val="32"/>
        </w:rPr>
      </w:pPr>
    </w:p>
    <w:p>
      <w:pPr>
        <w:spacing w:line="360" w:lineRule="exact"/>
        <w:rPr>
          <w:color w:val="auto"/>
        </w:rPr>
      </w:pPr>
      <w:bookmarkStart w:id="175" w:name="_Toc4458"/>
      <w:r>
        <w:rPr>
          <w:color w:val="auto"/>
        </w:rPr>
        <w:t>项目名称：                                     项目编号：</w:t>
      </w:r>
    </w:p>
    <w:p>
      <w:pPr>
        <w:spacing w:line="360" w:lineRule="exact"/>
        <w:rPr>
          <w:color w:val="auto"/>
        </w:rPr>
      </w:pPr>
      <w:r>
        <w:rPr>
          <w:color w:val="auto"/>
        </w:rPr>
        <w:t>甲方：（买方）</w:t>
      </w:r>
    </w:p>
    <w:p>
      <w:pPr>
        <w:spacing w:line="360" w:lineRule="exact"/>
        <w:rPr>
          <w:color w:val="auto"/>
        </w:rPr>
      </w:pPr>
      <w:r>
        <w:rPr>
          <w:color w:val="auto"/>
        </w:rPr>
        <w:t>乙方：（卖方）</w:t>
      </w:r>
    </w:p>
    <w:p>
      <w:pPr>
        <w:spacing w:line="360" w:lineRule="exact"/>
        <w:rPr>
          <w:color w:val="auto"/>
        </w:rPr>
      </w:pPr>
      <w:r>
        <w:rPr>
          <w:color w:val="auto"/>
        </w:rPr>
        <w:t xml:space="preserve">    甲、乙双方根据</w:t>
      </w:r>
      <w:r>
        <w:rPr>
          <w:rFonts w:hint="eastAsia"/>
          <w:color w:val="auto"/>
          <w:u w:val="single"/>
        </w:rPr>
        <w:t xml:space="preserve"> </w:t>
      </w:r>
      <w:r>
        <w:rPr>
          <w:rFonts w:hint="eastAsia" w:ascii="宋体" w:hAnsi="宋体" w:cs="宋体"/>
          <w:bCs/>
          <w:color w:val="auto"/>
          <w:szCs w:val="21"/>
          <w:u w:val="single"/>
        </w:rPr>
        <w:t xml:space="preserve">时空信息云平台技术服务（2023年）项目 </w:t>
      </w:r>
      <w:r>
        <w:rPr>
          <w:color w:val="auto"/>
        </w:rPr>
        <w:t>招标的结果，签署本合同。</w:t>
      </w:r>
    </w:p>
    <w:p>
      <w:pPr>
        <w:spacing w:line="360" w:lineRule="exact"/>
        <w:rPr>
          <w:color w:val="auto"/>
        </w:rPr>
      </w:pPr>
      <w:r>
        <w:rPr>
          <w:color w:val="auto"/>
        </w:rPr>
        <w:t>一、服务内容</w:t>
      </w:r>
      <w:r>
        <w:rPr>
          <w:rFonts w:hint="eastAsia"/>
          <w:color w:val="auto"/>
        </w:rPr>
        <w:t>及服务期</w:t>
      </w:r>
      <w:r>
        <w:rPr>
          <w:color w:val="auto"/>
        </w:rPr>
        <w:t>：</w:t>
      </w:r>
    </w:p>
    <w:p>
      <w:pPr>
        <w:spacing w:line="360" w:lineRule="exact"/>
        <w:rPr>
          <w:color w:val="auto"/>
        </w:rPr>
      </w:pPr>
      <w:r>
        <w:rPr>
          <w:rFonts w:hint="eastAsia"/>
          <w:color w:val="auto"/>
        </w:rPr>
        <w:t>服务内容：</w:t>
      </w:r>
    </w:p>
    <w:p>
      <w:pPr>
        <w:spacing w:line="360" w:lineRule="exact"/>
        <w:rPr>
          <w:color w:val="auto"/>
        </w:rPr>
      </w:pPr>
      <w:r>
        <w:rPr>
          <w:rFonts w:hint="eastAsia"/>
          <w:color w:val="auto"/>
        </w:rPr>
        <w:t>服务期：</w:t>
      </w:r>
    </w:p>
    <w:p>
      <w:pPr>
        <w:spacing w:line="360" w:lineRule="exact"/>
        <w:rPr>
          <w:color w:val="auto"/>
        </w:rPr>
      </w:pPr>
      <w:r>
        <w:rPr>
          <w:color w:val="auto"/>
        </w:rPr>
        <w:t>本合同签订时间：202  年   月   日至202  年  月  日；</w:t>
      </w:r>
    </w:p>
    <w:p>
      <w:pPr>
        <w:spacing w:line="360" w:lineRule="exact"/>
        <w:rPr>
          <w:color w:val="auto"/>
        </w:rPr>
      </w:pPr>
      <w:r>
        <w:rPr>
          <w:color w:val="auto"/>
        </w:rPr>
        <w:t>二、合同金额</w:t>
      </w:r>
    </w:p>
    <w:p>
      <w:pPr>
        <w:spacing w:line="360" w:lineRule="exact"/>
        <w:rPr>
          <w:color w:val="auto"/>
        </w:rPr>
      </w:pPr>
      <w:r>
        <w:rPr>
          <w:color w:val="auto"/>
        </w:rPr>
        <w:t>2.1 本合同金额为（大写）：___________________________元（￥___________元）人民币。</w:t>
      </w:r>
    </w:p>
    <w:p>
      <w:pPr>
        <w:spacing w:line="360" w:lineRule="exact"/>
        <w:rPr>
          <w:color w:val="auto"/>
        </w:rPr>
      </w:pPr>
      <w:r>
        <w:rPr>
          <w:color w:val="auto"/>
        </w:rPr>
        <w:t>三、技术资料</w:t>
      </w:r>
    </w:p>
    <w:p>
      <w:pPr>
        <w:spacing w:line="360" w:lineRule="exact"/>
        <w:rPr>
          <w:color w:val="auto"/>
        </w:rPr>
      </w:pPr>
      <w:r>
        <w:rPr>
          <w:color w:val="auto"/>
        </w:rPr>
        <w:t>3.1乙方应按招标文件规定的时间向甲方提供有关技术资料。</w:t>
      </w:r>
    </w:p>
    <w:p>
      <w:pPr>
        <w:spacing w:line="360" w:lineRule="exact"/>
        <w:rPr>
          <w:color w:val="auto"/>
        </w:rPr>
      </w:pPr>
      <w:r>
        <w:rPr>
          <w:color w:val="auto"/>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exact"/>
        <w:rPr>
          <w:color w:val="auto"/>
        </w:rPr>
      </w:pPr>
      <w:r>
        <w:rPr>
          <w:rFonts w:hint="eastAsia"/>
          <w:color w:val="auto"/>
        </w:rPr>
        <w:t>3.3乙方系统开发完成后，须向甲方提出验收申请，并经甲方组织专家进行审查，审查通过后视为验收合格，否则乙方须按审查会议提出的修改意见限期进行整改，直至验收合格。</w:t>
      </w:r>
    </w:p>
    <w:p>
      <w:pPr>
        <w:spacing w:line="360" w:lineRule="exact"/>
        <w:rPr>
          <w:color w:val="auto"/>
        </w:rPr>
      </w:pPr>
      <w:r>
        <w:rPr>
          <w:color w:val="auto"/>
        </w:rPr>
        <w:t>四、知识产权</w:t>
      </w:r>
    </w:p>
    <w:p>
      <w:pPr>
        <w:spacing w:line="360" w:lineRule="exact"/>
        <w:rPr>
          <w:color w:val="auto"/>
        </w:rPr>
      </w:pPr>
      <w:r>
        <w:rPr>
          <w:color w:val="auto"/>
        </w:rPr>
        <w:t>4.1 乙方应保证提供服务过程中不会侵犯任何第三方的知识产权。</w:t>
      </w:r>
    </w:p>
    <w:p>
      <w:pPr>
        <w:spacing w:line="360" w:lineRule="exact"/>
        <w:rPr>
          <w:color w:val="auto"/>
        </w:rPr>
      </w:pPr>
      <w:r>
        <w:rPr>
          <w:color w:val="auto"/>
        </w:rPr>
        <w:t>五、履约保证金</w:t>
      </w:r>
    </w:p>
    <w:p>
      <w:pPr>
        <w:spacing w:line="360" w:lineRule="exact"/>
        <w:rPr>
          <w:color w:val="auto"/>
        </w:rPr>
      </w:pPr>
      <w:r>
        <w:rPr>
          <w:color w:val="auto"/>
        </w:rPr>
        <w:t>5.1 乙方交纳人民币</w:t>
      </w:r>
      <w:r>
        <w:rPr>
          <w:rFonts w:hint="eastAsia"/>
          <w:color w:val="auto"/>
        </w:rPr>
        <w:t xml:space="preserve"> </w:t>
      </w:r>
      <w:r>
        <w:rPr>
          <w:color w:val="auto"/>
        </w:rPr>
        <w:t xml:space="preserve"> /  元作为本合同的履约保证金。</w:t>
      </w:r>
    </w:p>
    <w:p>
      <w:pPr>
        <w:spacing w:line="360" w:lineRule="exact"/>
        <w:rPr>
          <w:color w:val="auto"/>
        </w:rPr>
      </w:pPr>
      <w:r>
        <w:rPr>
          <w:color w:val="auto"/>
        </w:rPr>
        <w:t>六、转包或分包</w:t>
      </w:r>
    </w:p>
    <w:p>
      <w:pPr>
        <w:spacing w:line="360" w:lineRule="exact"/>
        <w:rPr>
          <w:color w:val="auto"/>
        </w:rPr>
      </w:pPr>
      <w:r>
        <w:rPr>
          <w:color w:val="auto"/>
        </w:rPr>
        <w:t>6.1本合同范围的服务，应由乙方直接供应，不得转让他人供应；</w:t>
      </w:r>
    </w:p>
    <w:p>
      <w:pPr>
        <w:spacing w:line="360" w:lineRule="exact"/>
        <w:rPr>
          <w:color w:val="auto"/>
        </w:rPr>
      </w:pPr>
      <w:r>
        <w:rPr>
          <w:color w:val="auto"/>
        </w:rPr>
        <w:t>6.2 除非得到甲方的书面同意，乙方不得部分分包给他人供应。甲方有绝对权力阻止分包。</w:t>
      </w:r>
    </w:p>
    <w:p>
      <w:pPr>
        <w:spacing w:line="360" w:lineRule="exact"/>
        <w:rPr>
          <w:color w:val="auto"/>
        </w:rPr>
      </w:pPr>
      <w:r>
        <w:rPr>
          <w:color w:val="auto"/>
        </w:rPr>
        <w:t>6.3如有转让和未经甲方同意的分包行为，甲方有权给予终止合同。</w:t>
      </w:r>
    </w:p>
    <w:p>
      <w:pPr>
        <w:spacing w:line="360" w:lineRule="exact"/>
        <w:rPr>
          <w:color w:val="auto"/>
        </w:rPr>
      </w:pPr>
      <w:r>
        <w:rPr>
          <w:color w:val="auto"/>
        </w:rPr>
        <w:t>七、合同履行时间、履行方式及履行地点</w:t>
      </w:r>
    </w:p>
    <w:p>
      <w:pPr>
        <w:spacing w:line="360" w:lineRule="exact"/>
        <w:rPr>
          <w:color w:val="auto"/>
        </w:rPr>
      </w:pPr>
      <w:r>
        <w:rPr>
          <w:color w:val="auto"/>
        </w:rPr>
        <w:t>7.1 履行时间：</w:t>
      </w:r>
    </w:p>
    <w:p>
      <w:pPr>
        <w:spacing w:line="360" w:lineRule="exact"/>
        <w:rPr>
          <w:color w:val="auto"/>
        </w:rPr>
      </w:pPr>
      <w:r>
        <w:rPr>
          <w:color w:val="auto"/>
        </w:rPr>
        <w:t>7.2 履行方式：</w:t>
      </w:r>
    </w:p>
    <w:p>
      <w:pPr>
        <w:spacing w:line="360" w:lineRule="exact"/>
        <w:rPr>
          <w:color w:val="auto"/>
        </w:rPr>
      </w:pPr>
      <w:r>
        <w:rPr>
          <w:color w:val="auto"/>
        </w:rPr>
        <w:t>7.3 履行地点：</w:t>
      </w:r>
    </w:p>
    <w:p>
      <w:pPr>
        <w:spacing w:line="360" w:lineRule="exact"/>
        <w:rPr>
          <w:color w:val="auto"/>
        </w:rPr>
      </w:pPr>
      <w:r>
        <w:rPr>
          <w:color w:val="auto"/>
        </w:rPr>
        <w:t>八、款项支付</w:t>
      </w:r>
    </w:p>
    <w:p>
      <w:pPr>
        <w:spacing w:line="360" w:lineRule="exact"/>
        <w:rPr>
          <w:color w:val="auto"/>
        </w:rPr>
      </w:pPr>
      <w:r>
        <w:rPr>
          <w:color w:val="auto"/>
        </w:rPr>
        <w:t>8.1 付款方式：</w:t>
      </w:r>
    </w:p>
    <w:p>
      <w:pPr>
        <w:spacing w:line="400" w:lineRule="exact"/>
        <w:ind w:firstLine="420" w:firstLineChars="200"/>
        <w:rPr>
          <w:color w:val="auto"/>
        </w:rPr>
      </w:pPr>
      <w:r>
        <w:rPr>
          <w:rFonts w:hint="eastAsia" w:ascii="宋体" w:hAnsi="宋体" w:cs="宋体"/>
          <w:color w:val="auto"/>
          <w:szCs w:val="21"/>
        </w:rPr>
        <w:t>合同签订后7日内，采购人向中标供应商支付合同总金额的65%,作为项目预付款；项目年度运维中期（6月底前）10日内，采购人向中标供应商支付合同总金额的30%；中标供应商提交完所有验收材料后10日内，采购人向中标供应商支付合同总金额的5%,作为项目结算款。</w:t>
      </w:r>
    </w:p>
    <w:p>
      <w:pPr>
        <w:spacing w:line="360" w:lineRule="exact"/>
        <w:rPr>
          <w:color w:val="auto"/>
        </w:rPr>
      </w:pPr>
      <w:r>
        <w:rPr>
          <w:color w:val="auto"/>
        </w:rPr>
        <w:t>注：</w:t>
      </w:r>
      <w:r>
        <w:rPr>
          <w:rFonts w:hint="eastAsia"/>
          <w:color w:val="auto"/>
        </w:rPr>
        <w:t>1）预付款保函应由银行、保险公司等金额机构出具，且保函金额为合同金额的</w:t>
      </w:r>
      <w:r>
        <w:rPr>
          <w:color w:val="auto"/>
        </w:rPr>
        <w:t>30%，保函期限至服务期满止</w:t>
      </w:r>
      <w:r>
        <w:rPr>
          <w:rFonts w:hint="eastAsia"/>
          <w:color w:val="auto"/>
        </w:rPr>
        <w:t>。</w:t>
      </w:r>
    </w:p>
    <w:p>
      <w:pPr>
        <w:spacing w:line="360" w:lineRule="exact"/>
        <w:rPr>
          <w:color w:val="auto"/>
        </w:rPr>
      </w:pPr>
      <w:r>
        <w:rPr>
          <w:rFonts w:hint="eastAsia"/>
          <w:color w:val="auto"/>
        </w:rPr>
        <w:t>2）甲方付款前，乙方应向甲方开具足额正规的发票，否则甲方有权拒绝付款。</w:t>
      </w:r>
    </w:p>
    <w:p>
      <w:pPr>
        <w:spacing w:line="360" w:lineRule="exact"/>
        <w:rPr>
          <w:color w:val="auto"/>
        </w:rPr>
      </w:pPr>
      <w:r>
        <w:rPr>
          <w:rFonts w:hint="eastAsia"/>
          <w:color w:val="auto"/>
        </w:rPr>
        <w:t>九、税费</w:t>
      </w:r>
    </w:p>
    <w:p>
      <w:pPr>
        <w:spacing w:line="360" w:lineRule="exact"/>
        <w:rPr>
          <w:color w:val="auto"/>
        </w:rPr>
      </w:pPr>
      <w:r>
        <w:rPr>
          <w:rFonts w:hint="eastAsia"/>
          <w:color w:val="auto"/>
        </w:rPr>
        <w:t>9.1本合同执行中相关的一切税费均由乙方负担。</w:t>
      </w:r>
    </w:p>
    <w:p>
      <w:pPr>
        <w:spacing w:line="360" w:lineRule="exact"/>
        <w:rPr>
          <w:color w:val="auto"/>
        </w:rPr>
      </w:pPr>
      <w:r>
        <w:rPr>
          <w:color w:val="auto"/>
        </w:rPr>
        <w:t>十、违约责任</w:t>
      </w:r>
    </w:p>
    <w:p>
      <w:pPr>
        <w:spacing w:line="360" w:lineRule="exact"/>
        <w:rPr>
          <w:color w:val="auto"/>
        </w:rPr>
      </w:pPr>
      <w:r>
        <w:rPr>
          <w:color w:val="auto"/>
        </w:rPr>
        <w:t>10.1 甲方无正当理由拒收接受服务的，甲方向乙方偿付合同款项百分之五作为违约金。</w:t>
      </w:r>
    </w:p>
    <w:p>
      <w:pPr>
        <w:spacing w:line="360" w:lineRule="exact"/>
        <w:rPr>
          <w:color w:val="auto"/>
        </w:rPr>
      </w:pPr>
      <w:r>
        <w:rPr>
          <w:color w:val="auto"/>
        </w:rPr>
        <w:t>10.2 甲方无故逾期办理款项支付手续的,甲方应按逾期付款总额每日万分之五向乙方支付违约金。</w:t>
      </w:r>
    </w:p>
    <w:p>
      <w:pPr>
        <w:spacing w:line="360" w:lineRule="exact"/>
        <w:rPr>
          <w:color w:val="auto"/>
        </w:rPr>
      </w:pPr>
      <w:r>
        <w:rPr>
          <w:color w:val="auto"/>
        </w:rPr>
        <w:t>10.3 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r>
        <w:rPr>
          <w:rFonts w:hint="eastAsia"/>
          <w:color w:val="auto"/>
        </w:rPr>
        <w:t>，</w:t>
      </w:r>
      <w:r>
        <w:rPr>
          <w:color w:val="auto"/>
        </w:rPr>
        <w:t>赔偿金额不超过合同总额的</w:t>
      </w:r>
      <w:r>
        <w:rPr>
          <w:rFonts w:hint="eastAsia"/>
          <w:color w:val="auto"/>
        </w:rPr>
        <w:t>1</w:t>
      </w:r>
      <w:r>
        <w:rPr>
          <w:color w:val="auto"/>
        </w:rPr>
        <w:t>00</w:t>
      </w:r>
      <w:r>
        <w:rPr>
          <w:rFonts w:hint="eastAsia"/>
          <w:color w:val="auto"/>
        </w:rPr>
        <w:t>%</w:t>
      </w:r>
      <w:r>
        <w:rPr>
          <w:color w:val="auto"/>
        </w:rPr>
        <w:t>。</w:t>
      </w:r>
    </w:p>
    <w:p>
      <w:pPr>
        <w:spacing w:line="360" w:lineRule="exact"/>
        <w:rPr>
          <w:color w:val="auto"/>
        </w:rPr>
      </w:pPr>
      <w:r>
        <w:rPr>
          <w:color w:val="auto"/>
        </w:rPr>
        <w:t>十一、安全问题</w:t>
      </w:r>
    </w:p>
    <w:p>
      <w:pPr>
        <w:spacing w:line="360" w:lineRule="exact"/>
        <w:rPr>
          <w:color w:val="auto"/>
        </w:rPr>
      </w:pPr>
      <w:r>
        <w:rPr>
          <w:color w:val="auto"/>
        </w:rPr>
        <w:t>11.1  在任何</w:t>
      </w:r>
      <w:r>
        <w:rPr>
          <w:rFonts w:hint="eastAsia"/>
          <w:color w:val="auto"/>
        </w:rPr>
        <w:t>维护</w:t>
      </w:r>
      <w:r>
        <w:rPr>
          <w:color w:val="auto"/>
        </w:rPr>
        <w:t>作业过程中，施工人员应安全操作，如发生任何意外与甲方无关。</w:t>
      </w:r>
    </w:p>
    <w:p>
      <w:pPr>
        <w:spacing w:line="360" w:lineRule="exact"/>
        <w:rPr>
          <w:color w:val="auto"/>
        </w:rPr>
      </w:pPr>
      <w:r>
        <w:rPr>
          <w:color w:val="auto"/>
        </w:rPr>
        <w:t>十二、不可抗力事件处理</w:t>
      </w:r>
    </w:p>
    <w:p>
      <w:pPr>
        <w:spacing w:line="360" w:lineRule="exact"/>
        <w:rPr>
          <w:color w:val="auto"/>
        </w:rPr>
      </w:pPr>
      <w:r>
        <w:rPr>
          <w:color w:val="auto"/>
        </w:rPr>
        <w:t>12.1 在合同有效期内，任何一方因不可抗力事件导致不能履行合同，则合同履行期可延长，其延长期与不可抗力影响期相同。</w:t>
      </w:r>
    </w:p>
    <w:p>
      <w:pPr>
        <w:spacing w:line="360" w:lineRule="exact"/>
        <w:rPr>
          <w:color w:val="auto"/>
        </w:rPr>
      </w:pPr>
      <w:r>
        <w:rPr>
          <w:color w:val="auto"/>
        </w:rPr>
        <w:t>12.2 不可抗力事件发生后，应立即通知对方，并寄送有关权威机构出具的证明。</w:t>
      </w:r>
    </w:p>
    <w:p>
      <w:pPr>
        <w:spacing w:line="360" w:lineRule="exact"/>
        <w:rPr>
          <w:color w:val="auto"/>
        </w:rPr>
      </w:pPr>
      <w:r>
        <w:rPr>
          <w:color w:val="auto"/>
        </w:rPr>
        <w:t>12.3 不可抗力事件延续120天以上，双方应通过友好协商，确定是否继续履行合同。</w:t>
      </w:r>
    </w:p>
    <w:p>
      <w:pPr>
        <w:spacing w:line="360" w:lineRule="exact"/>
        <w:rPr>
          <w:color w:val="auto"/>
        </w:rPr>
      </w:pPr>
      <w:r>
        <w:rPr>
          <w:color w:val="auto"/>
        </w:rPr>
        <w:t>十三、诉讼</w:t>
      </w:r>
    </w:p>
    <w:p>
      <w:pPr>
        <w:spacing w:line="360" w:lineRule="exact"/>
        <w:rPr>
          <w:color w:val="auto"/>
        </w:rPr>
      </w:pPr>
      <w:r>
        <w:rPr>
          <w:color w:val="auto"/>
        </w:rPr>
        <w:t>12.1 双方在执行合同中所发生的一切争议，应通过协商解决。如协商不成，可向合同签订地法院起诉。</w:t>
      </w:r>
    </w:p>
    <w:p>
      <w:pPr>
        <w:spacing w:line="360" w:lineRule="exact"/>
        <w:rPr>
          <w:color w:val="auto"/>
        </w:rPr>
      </w:pPr>
      <w:r>
        <w:rPr>
          <w:color w:val="auto"/>
        </w:rPr>
        <w:t>十三、合同生效及其它</w:t>
      </w:r>
    </w:p>
    <w:p>
      <w:pPr>
        <w:spacing w:line="360" w:lineRule="exact"/>
        <w:rPr>
          <w:color w:val="auto"/>
        </w:rPr>
      </w:pPr>
      <w:r>
        <w:rPr>
          <w:color w:val="auto"/>
        </w:rPr>
        <w:t>13.1 合同经双方法定代表人或授权委托代理人签字并加盖单位公章后生效。</w:t>
      </w:r>
    </w:p>
    <w:p>
      <w:pPr>
        <w:spacing w:line="360" w:lineRule="exact"/>
        <w:rPr>
          <w:color w:val="auto"/>
        </w:rPr>
      </w:pPr>
      <w:r>
        <w:rPr>
          <w:color w:val="auto"/>
        </w:rPr>
        <w:t>13.2合同执行中涉及采购资金和采购内容修改或补充的，须经市/区财政部门审批，并签书面补充协议报政府采购监督管理部门备案，方可作为主合同不可分割的一部分。</w:t>
      </w:r>
    </w:p>
    <w:p>
      <w:pPr>
        <w:spacing w:line="360" w:lineRule="exact"/>
        <w:rPr>
          <w:color w:val="auto"/>
        </w:rPr>
      </w:pPr>
      <w:r>
        <w:rPr>
          <w:color w:val="auto"/>
        </w:rPr>
        <w:t>13.3本合同未尽事宜，遵照《中国人民共和国</w:t>
      </w:r>
      <w:r>
        <w:rPr>
          <w:rFonts w:hint="eastAsia"/>
          <w:color w:val="auto"/>
        </w:rPr>
        <w:t>民</w:t>
      </w:r>
      <w:r>
        <w:rPr>
          <w:color w:val="auto"/>
        </w:rPr>
        <w:t>法</w:t>
      </w:r>
      <w:r>
        <w:rPr>
          <w:rFonts w:hint="eastAsia"/>
          <w:color w:val="auto"/>
        </w:rPr>
        <w:t>典</w:t>
      </w:r>
      <w:r>
        <w:rPr>
          <w:color w:val="auto"/>
        </w:rPr>
        <w:t>》有关条文执行。</w:t>
      </w:r>
    </w:p>
    <w:p>
      <w:pPr>
        <w:spacing w:line="360" w:lineRule="exact"/>
        <w:rPr>
          <w:color w:val="auto"/>
        </w:rPr>
      </w:pPr>
      <w:r>
        <w:rPr>
          <w:color w:val="auto"/>
        </w:rPr>
        <w:t>13.4 本合同正本一式两份，具有同等法律效力，甲乙双方各执一份；副本 份，(用途)。</w:t>
      </w:r>
    </w:p>
    <w:p>
      <w:pPr>
        <w:spacing w:line="360" w:lineRule="exact"/>
        <w:rPr>
          <w:color w:val="auto"/>
        </w:rPr>
      </w:pPr>
    </w:p>
    <w:p>
      <w:pPr>
        <w:spacing w:line="360" w:lineRule="exact"/>
        <w:rPr>
          <w:color w:val="auto"/>
        </w:rPr>
      </w:pPr>
      <w:r>
        <w:rPr>
          <w:color w:val="auto"/>
        </w:rPr>
        <w:t xml:space="preserve">甲方：                                   乙方： </w:t>
      </w:r>
    </w:p>
    <w:p>
      <w:pPr>
        <w:spacing w:line="360" w:lineRule="exact"/>
        <w:rPr>
          <w:color w:val="auto"/>
        </w:rPr>
      </w:pPr>
      <w:r>
        <w:rPr>
          <w:color w:val="auto"/>
        </w:rPr>
        <w:t xml:space="preserve">  地址：                                   地址： </w:t>
      </w:r>
    </w:p>
    <w:p>
      <w:pPr>
        <w:spacing w:line="360" w:lineRule="exact"/>
        <w:rPr>
          <w:color w:val="auto"/>
        </w:rPr>
      </w:pPr>
      <w:r>
        <w:rPr>
          <w:color w:val="auto"/>
        </w:rPr>
        <w:t xml:space="preserve">  法定代表人：                             法定代表人：</w:t>
      </w:r>
    </w:p>
    <w:p>
      <w:pPr>
        <w:spacing w:line="360" w:lineRule="exact"/>
        <w:rPr>
          <w:color w:val="auto"/>
        </w:rPr>
      </w:pPr>
      <w:r>
        <w:rPr>
          <w:color w:val="auto"/>
        </w:rPr>
        <w:t xml:space="preserve"> 签订地点：                               签订日期：</w:t>
      </w:r>
    </w:p>
    <w:p>
      <w:pPr>
        <w:spacing w:line="360" w:lineRule="exact"/>
        <w:rPr>
          <w:color w:val="auto"/>
        </w:rPr>
      </w:pPr>
      <w:r>
        <w:rPr>
          <w:color w:val="auto"/>
        </w:rPr>
        <w:t xml:space="preserve">日期：                                   日期：  </w:t>
      </w:r>
    </w:p>
    <w:p>
      <w:pPr>
        <w:pStyle w:val="3"/>
        <w:rPr>
          <w:color w:val="auto"/>
        </w:rPr>
      </w:pPr>
      <w:r>
        <w:rPr>
          <w:rFonts w:hint="eastAsia"/>
          <w:color w:val="auto"/>
        </w:rPr>
        <w:t>第六章  响应文件格式</w:t>
      </w:r>
      <w:bookmarkEnd w:id="170"/>
      <w:bookmarkEnd w:id="171"/>
      <w:bookmarkEnd w:id="172"/>
      <w:bookmarkEnd w:id="173"/>
      <w:bookmarkEnd w:id="174"/>
      <w:bookmarkEnd w:id="175"/>
    </w:p>
    <w:p>
      <w:pPr>
        <w:snapToGrid w:val="0"/>
        <w:spacing w:line="360" w:lineRule="auto"/>
        <w:outlineLvl w:val="1"/>
        <w:rPr>
          <w:rFonts w:ascii="宋体" w:hAnsi="宋体" w:cs="宋体"/>
          <w:b/>
          <w:color w:val="auto"/>
          <w:sz w:val="28"/>
          <w:szCs w:val="28"/>
          <w:lang w:bidi="ar"/>
        </w:rPr>
      </w:pPr>
      <w:bookmarkStart w:id="176" w:name="_Toc6035"/>
      <w:r>
        <w:rPr>
          <w:rFonts w:hint="eastAsia" w:ascii="宋体" w:hAnsi="宋体" w:cs="宋体"/>
          <w:b/>
          <w:color w:val="auto"/>
        </w:rPr>
        <w:t>（一）外包装封面格式参考：</w:t>
      </w:r>
      <w:bookmarkEnd w:id="176"/>
    </w:p>
    <w:p>
      <w:pPr>
        <w:snapToGrid w:val="0"/>
        <w:spacing w:line="360" w:lineRule="auto"/>
        <w:jc w:val="center"/>
        <w:rPr>
          <w:rFonts w:ascii="宋体" w:hAnsi="宋体" w:cs="宋体"/>
          <w:color w:val="auto"/>
          <w:sz w:val="40"/>
          <w:szCs w:val="40"/>
        </w:rPr>
      </w:pPr>
    </w:p>
    <w:p>
      <w:pPr>
        <w:snapToGrid w:val="0"/>
        <w:spacing w:line="360" w:lineRule="auto"/>
        <w:jc w:val="center"/>
        <w:rPr>
          <w:rFonts w:ascii="宋体" w:hAnsi="宋体" w:cs="宋体"/>
          <w:bCs/>
          <w:color w:val="auto"/>
          <w:sz w:val="24"/>
        </w:rPr>
      </w:pPr>
      <w:r>
        <w:rPr>
          <w:rFonts w:hint="eastAsia" w:ascii="宋体" w:hAnsi="宋体" w:cs="宋体"/>
          <w:color w:val="auto"/>
          <w:sz w:val="40"/>
          <w:szCs w:val="40"/>
        </w:rPr>
        <w:t>响应文件</w:t>
      </w: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 xml:space="preserve">项目名称： </w:t>
      </w:r>
    </w:p>
    <w:p>
      <w:pPr>
        <w:snapToGrid w:val="0"/>
        <w:spacing w:line="360" w:lineRule="auto"/>
        <w:ind w:firstLine="1080" w:firstLineChars="450"/>
        <w:rPr>
          <w:rFonts w:ascii="宋体" w:hAnsi="宋体" w:cs="宋体"/>
          <w:bCs/>
          <w:color w:val="auto"/>
          <w:sz w:val="24"/>
          <w:lang w:bidi="ar"/>
        </w:rPr>
      </w:pPr>
      <w:r>
        <w:rPr>
          <w:rFonts w:hint="eastAsia" w:ascii="宋体" w:hAnsi="宋体" w:cs="宋体"/>
          <w:bCs/>
          <w:color w:val="auto"/>
          <w:sz w:val="24"/>
          <w:lang w:bidi="ar"/>
        </w:rPr>
        <w:t>项目编号：</w:t>
      </w: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供应商名称（加盖公章）：</w:t>
      </w: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供应商地址：</w:t>
      </w:r>
    </w:p>
    <w:p>
      <w:pPr>
        <w:adjustRightInd w:val="0"/>
        <w:snapToGrid w:val="0"/>
        <w:jc w:val="left"/>
        <w:rPr>
          <w:rFonts w:ascii="宋体" w:hAnsi="宋体" w:cs="宋体"/>
          <w:bCs/>
          <w:color w:val="auto"/>
          <w:sz w:val="24"/>
          <w:lang w:bidi="ar"/>
        </w:rPr>
      </w:pPr>
      <w:r>
        <w:rPr>
          <w:rFonts w:hint="eastAsia" w:ascii="宋体" w:hAnsi="宋体" w:cs="宋体"/>
          <w:bCs/>
          <w:color w:val="auto"/>
          <w:sz w:val="24"/>
          <w:lang w:bidi="ar"/>
        </w:rPr>
        <w:t xml:space="preserve">                        年  月  日</w:t>
      </w:r>
    </w:p>
    <w:p>
      <w:pPr>
        <w:adjustRightInd w:val="0"/>
        <w:snapToGrid w:val="0"/>
        <w:jc w:val="center"/>
        <w:rPr>
          <w:rFonts w:ascii="宋体" w:hAnsi="宋体" w:cs="宋体"/>
          <w:bCs/>
          <w:color w:val="auto"/>
          <w:sz w:val="24"/>
          <w:lang w:bidi="ar"/>
        </w:rPr>
      </w:pPr>
    </w:p>
    <w:p>
      <w:pPr>
        <w:adjustRightInd w:val="0"/>
        <w:snapToGrid w:val="0"/>
        <w:jc w:val="center"/>
        <w:rPr>
          <w:rFonts w:ascii="宋体" w:hAnsi="宋体" w:cs="宋体"/>
          <w:bCs/>
          <w:color w:val="auto"/>
          <w:sz w:val="24"/>
          <w:lang w:bidi="ar"/>
        </w:rPr>
      </w:pPr>
      <w:r>
        <w:rPr>
          <w:rFonts w:hint="eastAsia" w:ascii="宋体" w:hAnsi="宋体" w:cs="宋体"/>
          <w:bCs/>
          <w:color w:val="auto"/>
          <w:sz w:val="24"/>
          <w:lang w:bidi="ar"/>
        </w:rPr>
        <w:t>响应截止前不得开启</w:t>
      </w:r>
    </w:p>
    <w:p>
      <w:pPr>
        <w:adjustRightInd w:val="0"/>
        <w:snapToGrid w:val="0"/>
        <w:jc w:val="center"/>
        <w:rPr>
          <w:rFonts w:ascii="宋体" w:hAnsi="宋体" w:cs="宋体"/>
          <w:bCs/>
          <w:color w:val="auto"/>
          <w:sz w:val="24"/>
          <w:lang w:bidi="ar"/>
        </w:rPr>
      </w:pPr>
    </w:p>
    <w:p>
      <w:pPr>
        <w:snapToGrid w:val="0"/>
        <w:spacing w:line="360" w:lineRule="auto"/>
        <w:jc w:val="left"/>
        <w:rPr>
          <w:rFonts w:ascii="宋体" w:hAnsi="宋体" w:cs="宋体"/>
          <w:color w:val="auto"/>
          <w:szCs w:val="21"/>
        </w:rPr>
      </w:pPr>
    </w:p>
    <w:p>
      <w:pPr>
        <w:snapToGrid w:val="0"/>
        <w:spacing w:line="360" w:lineRule="auto"/>
        <w:outlineLvl w:val="1"/>
        <w:rPr>
          <w:rFonts w:ascii="宋体" w:hAnsi="宋体" w:cs="宋体"/>
          <w:b/>
          <w:color w:val="auto"/>
        </w:rPr>
      </w:pPr>
      <w:bookmarkStart w:id="177" w:name="_Toc29816"/>
      <w:r>
        <w:rPr>
          <w:rFonts w:hint="eastAsia" w:ascii="宋体" w:hAnsi="宋体" w:cs="宋体"/>
          <w:b/>
          <w:color w:val="auto"/>
        </w:rPr>
        <w:t>（二）响应文件封面格式参考：</w:t>
      </w:r>
      <w:bookmarkEnd w:id="177"/>
    </w:p>
    <w:p>
      <w:pPr>
        <w:snapToGrid w:val="0"/>
        <w:spacing w:line="360" w:lineRule="auto"/>
        <w:jc w:val="center"/>
        <w:rPr>
          <w:rFonts w:ascii="宋体" w:hAnsi="宋体" w:cs="宋体"/>
          <w:b/>
          <w:color w:val="auto"/>
          <w:sz w:val="28"/>
          <w:szCs w:val="28"/>
          <w:lang w:bidi="ar"/>
        </w:rPr>
      </w:pPr>
    </w:p>
    <w:p>
      <w:pPr>
        <w:snapToGrid w:val="0"/>
        <w:spacing w:line="360" w:lineRule="auto"/>
        <w:jc w:val="center"/>
        <w:rPr>
          <w:rFonts w:ascii="宋体" w:hAnsi="宋体" w:cs="宋体"/>
          <w:bCs/>
          <w:color w:val="auto"/>
          <w:sz w:val="28"/>
          <w:szCs w:val="28"/>
        </w:rPr>
      </w:pPr>
      <w:r>
        <w:rPr>
          <w:rFonts w:hint="eastAsia" w:ascii="宋体" w:hAnsi="宋体" w:cs="宋体"/>
          <w:b/>
          <w:color w:val="auto"/>
          <w:sz w:val="28"/>
          <w:szCs w:val="28"/>
          <w:lang w:bidi="ar"/>
        </w:rPr>
        <w:t xml:space="preserve">                                            正本/或副本</w:t>
      </w:r>
    </w:p>
    <w:p>
      <w:pPr>
        <w:snapToGrid w:val="0"/>
        <w:spacing w:line="360" w:lineRule="auto"/>
        <w:jc w:val="center"/>
        <w:rPr>
          <w:rFonts w:ascii="宋体" w:hAnsi="宋体" w:cs="宋体"/>
          <w:bCs/>
          <w:color w:val="auto"/>
          <w:sz w:val="24"/>
        </w:rPr>
      </w:pPr>
      <w:r>
        <w:rPr>
          <w:rFonts w:hint="eastAsia" w:ascii="宋体" w:hAnsi="宋体" w:cs="宋体"/>
          <w:color w:val="auto"/>
          <w:sz w:val="40"/>
          <w:szCs w:val="40"/>
        </w:rPr>
        <w:t>响应文件</w:t>
      </w:r>
    </w:p>
    <w:p>
      <w:pPr>
        <w:snapToGrid w:val="0"/>
        <w:spacing w:line="360" w:lineRule="auto"/>
        <w:ind w:firstLine="6919" w:firstLineChars="2883"/>
        <w:rPr>
          <w:rFonts w:ascii="宋体" w:hAnsi="宋体" w:cs="宋体"/>
          <w:bCs/>
          <w:color w:val="auto"/>
          <w:sz w:val="24"/>
        </w:rPr>
      </w:pP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项目名称：</w:t>
      </w:r>
    </w:p>
    <w:p>
      <w:pPr>
        <w:snapToGrid w:val="0"/>
        <w:spacing w:line="360" w:lineRule="auto"/>
        <w:ind w:firstLine="1080" w:firstLineChars="450"/>
        <w:rPr>
          <w:rFonts w:ascii="宋体" w:hAnsi="宋体" w:cs="宋体"/>
          <w:bCs/>
          <w:color w:val="auto"/>
          <w:sz w:val="24"/>
          <w:lang w:bidi="ar"/>
        </w:rPr>
      </w:pPr>
      <w:r>
        <w:rPr>
          <w:rFonts w:hint="eastAsia" w:ascii="宋体" w:hAnsi="宋体" w:cs="宋体"/>
          <w:bCs/>
          <w:color w:val="auto"/>
          <w:sz w:val="24"/>
          <w:lang w:bidi="ar"/>
        </w:rPr>
        <w:t>项目编号：</w:t>
      </w: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供应商名称（加盖公章）：</w:t>
      </w:r>
    </w:p>
    <w:p>
      <w:pPr>
        <w:snapToGrid w:val="0"/>
        <w:spacing w:line="360" w:lineRule="auto"/>
        <w:ind w:firstLine="1080" w:firstLineChars="450"/>
        <w:rPr>
          <w:rFonts w:ascii="宋体" w:hAnsi="宋体" w:cs="宋体"/>
          <w:bCs/>
          <w:color w:val="auto"/>
          <w:sz w:val="24"/>
        </w:rPr>
      </w:pPr>
      <w:r>
        <w:rPr>
          <w:rFonts w:hint="eastAsia" w:ascii="宋体" w:hAnsi="宋体" w:cs="宋体"/>
          <w:bCs/>
          <w:color w:val="auto"/>
          <w:sz w:val="24"/>
          <w:lang w:bidi="ar"/>
        </w:rPr>
        <w:t>供应商地址：</w:t>
      </w:r>
    </w:p>
    <w:p>
      <w:pPr>
        <w:snapToGrid w:val="0"/>
        <w:spacing w:line="360" w:lineRule="auto"/>
        <w:rPr>
          <w:rFonts w:ascii="宋体" w:hAnsi="宋体" w:cs="宋体"/>
          <w:color w:val="auto"/>
          <w:sz w:val="20"/>
          <w:szCs w:val="20"/>
        </w:rPr>
      </w:pPr>
      <w:r>
        <w:rPr>
          <w:rFonts w:hint="eastAsia" w:ascii="宋体" w:hAnsi="宋体" w:cs="宋体"/>
          <w:bCs/>
          <w:color w:val="auto"/>
          <w:sz w:val="24"/>
          <w:lang w:bidi="ar"/>
        </w:rPr>
        <w:t xml:space="preserve">                             </w:t>
      </w:r>
      <w:bookmarkStart w:id="178" w:name="_Toc9414"/>
      <w:r>
        <w:rPr>
          <w:rFonts w:hint="eastAsia" w:ascii="宋体" w:hAnsi="宋体" w:cs="宋体"/>
          <w:bCs/>
          <w:color w:val="auto"/>
          <w:sz w:val="24"/>
          <w:lang w:bidi="ar"/>
        </w:rPr>
        <w:t>年  月  日</w:t>
      </w:r>
      <w:bookmarkEnd w:id="178"/>
    </w:p>
    <w:p>
      <w:pPr>
        <w:adjustRightInd w:val="0"/>
        <w:snapToGrid w:val="0"/>
        <w:jc w:val="center"/>
        <w:rPr>
          <w:rFonts w:ascii="宋体" w:hAnsi="宋体" w:cs="宋体"/>
          <w:b/>
          <w:color w:val="auto"/>
        </w:rPr>
      </w:pPr>
    </w:p>
    <w:p>
      <w:pPr>
        <w:snapToGrid w:val="0"/>
        <w:spacing w:line="360" w:lineRule="auto"/>
        <w:outlineLvl w:val="1"/>
        <w:rPr>
          <w:rFonts w:ascii="宋体" w:hAnsi="宋体" w:cs="宋体"/>
          <w:b/>
          <w:color w:val="auto"/>
          <w:szCs w:val="21"/>
        </w:rPr>
      </w:pPr>
      <w:r>
        <w:rPr>
          <w:rFonts w:hint="eastAsia" w:ascii="宋体" w:hAnsi="宋体" w:cs="宋体"/>
          <w:b/>
          <w:color w:val="auto"/>
        </w:rPr>
        <w:br w:type="page"/>
      </w:r>
      <w:bookmarkStart w:id="179" w:name="_Toc20542"/>
      <w:r>
        <w:rPr>
          <w:rFonts w:hint="eastAsia" w:ascii="宋体" w:hAnsi="宋体" w:cs="宋体"/>
          <w:b/>
          <w:color w:val="auto"/>
          <w:szCs w:val="21"/>
        </w:rPr>
        <w:t>（三）商务技术部分：</w:t>
      </w:r>
      <w:bookmarkEnd w:id="179"/>
    </w:p>
    <w:p>
      <w:pPr>
        <w:spacing w:line="360" w:lineRule="auto"/>
        <w:jc w:val="left"/>
        <w:rPr>
          <w:rFonts w:ascii="宋体" w:hAnsi="宋体" w:cs="宋体"/>
          <w:color w:val="auto"/>
          <w:szCs w:val="21"/>
        </w:rPr>
      </w:pPr>
    </w:p>
    <w:p>
      <w:pPr>
        <w:snapToGrid w:val="0"/>
        <w:spacing w:line="360" w:lineRule="auto"/>
        <w:outlineLvl w:val="2"/>
        <w:rPr>
          <w:rFonts w:ascii="宋体" w:hAnsi="宋体" w:cs="宋体"/>
          <w:b/>
          <w:color w:val="auto"/>
          <w:szCs w:val="21"/>
        </w:rPr>
      </w:pPr>
      <w:bookmarkStart w:id="180" w:name="_Toc26589"/>
      <w:r>
        <w:rPr>
          <w:rFonts w:hint="eastAsia" w:ascii="宋体" w:hAnsi="宋体" w:cs="宋体"/>
          <w:b/>
          <w:color w:val="auto"/>
          <w:szCs w:val="21"/>
        </w:rPr>
        <w:t>1.资格证明材料承诺函</w:t>
      </w:r>
    </w:p>
    <w:p>
      <w:pPr>
        <w:spacing w:line="320" w:lineRule="exact"/>
        <w:jc w:val="center"/>
        <w:rPr>
          <w:b/>
          <w:color w:val="auto"/>
          <w:sz w:val="32"/>
          <w:szCs w:val="32"/>
        </w:rPr>
      </w:pPr>
      <w:r>
        <w:rPr>
          <w:rFonts w:hint="eastAsia"/>
          <w:b/>
          <w:color w:val="auto"/>
          <w:sz w:val="32"/>
          <w:szCs w:val="32"/>
        </w:rPr>
        <w:t>资格证明材料承诺函</w:t>
      </w:r>
    </w:p>
    <w:p>
      <w:pPr>
        <w:widowControl/>
        <w:adjustRightInd w:val="0"/>
        <w:snapToGrid w:val="0"/>
        <w:spacing w:line="48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（采购人）</w:t>
      </w:r>
    </w:p>
    <w:p>
      <w:pPr>
        <w:widowControl/>
        <w:adjustRightInd w:val="0"/>
        <w:snapToGrid w:val="0"/>
        <w:spacing w:line="480" w:lineRule="exact"/>
        <w:ind w:firstLine="420"/>
        <w:rPr>
          <w:rFonts w:ascii="宋体" w:hAnsi="宋体"/>
          <w:color w:val="auto"/>
          <w:szCs w:val="21"/>
        </w:rPr>
      </w:pPr>
      <w:r>
        <w:rPr>
          <w:rFonts w:hint="eastAsia" w:ascii="宋体" w:hAnsi="宋体"/>
          <w:color w:val="auto"/>
          <w:szCs w:val="21"/>
        </w:rPr>
        <w:t>我，</w:t>
      </w:r>
      <w:r>
        <w:rPr>
          <w:rFonts w:ascii="宋体" w:hAnsi="宋体"/>
          <w:color w:val="auto"/>
          <w:szCs w:val="21"/>
          <w:u w:val="single"/>
        </w:rPr>
        <w:t xml:space="preserve">                       </w:t>
      </w:r>
      <w:r>
        <w:rPr>
          <w:rFonts w:hint="eastAsia" w:ascii="宋体" w:hAnsi="宋体"/>
          <w:color w:val="auto"/>
          <w:szCs w:val="21"/>
        </w:rPr>
        <w:t>（供应商名称）已认真阅读</w:t>
      </w:r>
      <w:r>
        <w:rPr>
          <w:rFonts w:hint="eastAsia" w:ascii="宋体" w:hAnsi="宋体" w:cs="宋体"/>
          <w:color w:val="auto"/>
          <w:kern w:val="0"/>
          <w:szCs w:val="21"/>
        </w:rPr>
        <w:t>《中华人民共和国政府采购法》及《采购</w:t>
      </w:r>
      <w:r>
        <w:rPr>
          <w:rFonts w:hint="eastAsia" w:ascii="宋体" w:hAnsi="宋体"/>
          <w:color w:val="auto"/>
          <w:szCs w:val="21"/>
        </w:rPr>
        <w:t>文件</w:t>
      </w:r>
      <w:r>
        <w:rPr>
          <w:rFonts w:hint="eastAsia" w:ascii="宋体" w:hAnsi="宋体" w:cs="宋体"/>
          <w:color w:val="auto"/>
          <w:kern w:val="0"/>
          <w:szCs w:val="21"/>
        </w:rPr>
        <w:t>》[</w:t>
      </w:r>
      <w:r>
        <w:rPr>
          <w:rFonts w:ascii="宋体" w:hAnsi="宋体"/>
          <w:color w:val="auto"/>
          <w:szCs w:val="21"/>
          <w:u w:val="single"/>
        </w:rPr>
        <w:t xml:space="preserve">                       </w:t>
      </w:r>
      <w:r>
        <w:rPr>
          <w:rFonts w:hint="eastAsia" w:ascii="宋体" w:hAnsi="宋体"/>
          <w:color w:val="auto"/>
          <w:szCs w:val="21"/>
        </w:rPr>
        <w:t>（项目名称），项目编号编号：</w:t>
      </w:r>
      <w:r>
        <w:rPr>
          <w:rFonts w:ascii="宋体" w:hAnsi="宋体"/>
          <w:color w:val="auto"/>
          <w:szCs w:val="21"/>
          <w:u w:val="single"/>
        </w:rPr>
        <w:t xml:space="preserve">          </w:t>
      </w:r>
      <w:r>
        <w:rPr>
          <w:rFonts w:hint="eastAsia" w:ascii="宋体" w:hAnsi="宋体"/>
          <w:color w:val="auto"/>
          <w:szCs w:val="21"/>
        </w:rPr>
        <w:t>]相关内容，知悉供应商参加政府采购活动应当具备的条件。此次按《采购文件》要求提交的供应商资格证明材料，已经认真核对和检查，全部内容真实、合法、准确和完整，我们对此负责，并愿承担由此引起的法律责任。</w:t>
      </w:r>
    </w:p>
    <w:p>
      <w:pPr>
        <w:adjustRightInd w:val="0"/>
        <w:snapToGrid w:val="0"/>
        <w:spacing w:line="480" w:lineRule="exact"/>
        <w:ind w:firstLine="420"/>
        <w:rPr>
          <w:rFonts w:ascii="宋体" w:hAnsi="宋体"/>
          <w:color w:val="auto"/>
          <w:szCs w:val="21"/>
        </w:rPr>
      </w:pPr>
      <w:r>
        <w:rPr>
          <w:rFonts w:hint="eastAsia" w:ascii="宋体" w:hAnsi="宋体"/>
          <w:color w:val="auto"/>
          <w:szCs w:val="21"/>
        </w:rPr>
        <w:t xml:space="preserve">一、我方在此声明： </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（一）我</w:t>
      </w:r>
      <w:r>
        <w:rPr>
          <w:rFonts w:ascii="宋体" w:hAnsi="宋体"/>
          <w:color w:val="auto"/>
          <w:szCs w:val="21"/>
        </w:rPr>
        <w:t>方</w:t>
      </w:r>
      <w:r>
        <w:rPr>
          <w:rFonts w:hint="eastAsia" w:ascii="宋体" w:hAnsi="宋体"/>
          <w:color w:val="auto"/>
          <w:szCs w:val="21"/>
        </w:rPr>
        <w:t>具有独立承担民事责任的能力；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（二）我</w:t>
      </w:r>
      <w:r>
        <w:rPr>
          <w:rFonts w:ascii="宋体" w:hAnsi="宋体"/>
          <w:color w:val="auto"/>
          <w:szCs w:val="21"/>
        </w:rPr>
        <w:t>方</w:t>
      </w:r>
      <w:r>
        <w:rPr>
          <w:rFonts w:hint="eastAsia" w:ascii="宋体" w:hAnsi="宋体"/>
          <w:color w:val="auto"/>
          <w:szCs w:val="21"/>
        </w:rPr>
        <w:t>具有良好的商业信誉和健全的财务会计制度；</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（三）我</w:t>
      </w:r>
      <w:r>
        <w:rPr>
          <w:rFonts w:ascii="宋体" w:hAnsi="宋体"/>
          <w:color w:val="auto"/>
          <w:szCs w:val="21"/>
        </w:rPr>
        <w:t>方</w:t>
      </w:r>
      <w:r>
        <w:rPr>
          <w:rFonts w:hint="eastAsia" w:ascii="宋体" w:hAnsi="宋体"/>
          <w:color w:val="auto"/>
          <w:szCs w:val="21"/>
        </w:rPr>
        <w:t>具有履行合同所必需的设备和专业技术能力；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（四）我方与采购人或采购代理机构不存在</w:t>
      </w:r>
      <w:r>
        <w:rPr>
          <w:rFonts w:hint="eastAsia" w:ascii="宋体" w:hAnsi="宋体"/>
          <w:bCs/>
          <w:color w:val="auto"/>
          <w:szCs w:val="21"/>
        </w:rPr>
        <w:t>隶属关系或者其他利害关系</w:t>
      </w:r>
      <w:r>
        <w:rPr>
          <w:rFonts w:hint="eastAsia" w:ascii="宋体" w:hAnsi="宋体"/>
          <w:color w:val="auto"/>
          <w:szCs w:val="21"/>
        </w:rPr>
        <w:t>。</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（五）我方与参加本项目的其他供应商不存在控股、关联关系，或者与其他供应商单位负责人（或者负责人）为同一人。</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（六）我方未为本项目前期准备提供设计或咨询服务。</w:t>
      </w:r>
    </w:p>
    <w:p>
      <w:pPr>
        <w:adjustRightInd w:val="0"/>
        <w:snapToGrid w:val="0"/>
        <w:spacing w:line="480" w:lineRule="exact"/>
        <w:ind w:firstLine="420"/>
        <w:rPr>
          <w:rFonts w:ascii="宋体" w:hAnsi="宋体" w:cs="Courier New"/>
          <w:color w:val="auto"/>
          <w:szCs w:val="21"/>
        </w:rPr>
      </w:pPr>
      <w:r>
        <w:rPr>
          <w:rFonts w:hint="eastAsia" w:ascii="宋体" w:hAnsi="宋体" w:cs="Courier New"/>
          <w:color w:val="auto"/>
          <w:szCs w:val="21"/>
        </w:rPr>
        <w:t>二、我方承诺：</w:t>
      </w:r>
    </w:p>
    <w:p>
      <w:pPr>
        <w:adjustRightInd w:val="0"/>
        <w:snapToGrid w:val="0"/>
        <w:spacing w:line="480" w:lineRule="exact"/>
        <w:ind w:left="1" w:firstLine="420"/>
        <w:rPr>
          <w:rFonts w:ascii="宋体" w:hAnsi="宋体"/>
          <w:color w:val="auto"/>
          <w:szCs w:val="21"/>
        </w:rPr>
      </w:pPr>
      <w:r>
        <w:rPr>
          <w:rFonts w:hint="eastAsia" w:ascii="宋体" w:hAnsi="宋体"/>
          <w:bCs/>
          <w:color w:val="auto"/>
          <w:szCs w:val="21"/>
        </w:rPr>
        <w:t>（一）我方</w:t>
      </w:r>
      <w:r>
        <w:rPr>
          <w:rFonts w:hint="eastAsia" w:ascii="宋体" w:hAnsi="宋体"/>
          <w:color w:val="auto"/>
          <w:szCs w:val="21"/>
        </w:rPr>
        <w:t>依法缴纳了各项税费及各项社会保障资金，没有偷税、漏税及欠缴行为。</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1、受到刑事处罚；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2、责令停产停业、吊销许可证或者执照、较大数额罚款等行政处罚。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（三）我方未被列入</w:t>
      </w:r>
      <w:r>
        <w:rPr>
          <w:rFonts w:ascii="宋体" w:hAnsi="宋体"/>
          <w:color w:val="auto"/>
          <w:szCs w:val="21"/>
        </w:rPr>
        <w:t>“信用中国”（www.creditchina.gov.cn）、中国政府采购网（www.ccgp.gov.cn）列入失信被执行人、重大税收违法案件当事人名单、政府采购严重违法失信行为记录名单</w:t>
      </w:r>
      <w:r>
        <w:rPr>
          <w:rFonts w:hint="eastAsia" w:ascii="宋体" w:hAnsi="宋体"/>
          <w:color w:val="auto"/>
          <w:szCs w:val="21"/>
        </w:rPr>
        <w:t>；</w:t>
      </w:r>
    </w:p>
    <w:p>
      <w:pPr>
        <w:pStyle w:val="136"/>
        <w:ind w:firstLine="420"/>
        <w:rPr>
          <w:rFonts w:ascii="宋体" w:hAnsi="宋体"/>
          <w:color w:val="auto"/>
        </w:rPr>
      </w:pPr>
    </w:p>
    <w:p>
      <w:pPr>
        <w:spacing w:line="480" w:lineRule="exact"/>
        <w:ind w:firstLine="4678" w:firstLineChars="2228"/>
        <w:rPr>
          <w:rFonts w:ascii="宋体" w:hAnsi="宋体"/>
          <w:color w:val="auto"/>
          <w:u w:val="single"/>
        </w:rPr>
      </w:pPr>
      <w:r>
        <w:rPr>
          <w:rFonts w:hint="eastAsia" w:ascii="宋体" w:hAnsi="宋体"/>
          <w:color w:val="auto"/>
          <w:szCs w:val="21"/>
        </w:rPr>
        <w:t>投标人名称（盖单位章）：</w:t>
      </w:r>
      <w:r>
        <w:rPr>
          <w:rFonts w:hint="eastAsia" w:ascii="宋体" w:hAnsi="宋体"/>
          <w:color w:val="auto"/>
          <w:szCs w:val="21"/>
          <w:u w:val="single"/>
        </w:rPr>
        <w:t xml:space="preserve">                   </w:t>
      </w:r>
    </w:p>
    <w:p>
      <w:pPr>
        <w:spacing w:line="480" w:lineRule="exact"/>
        <w:ind w:firstLine="4678" w:firstLineChars="2228"/>
        <w:rPr>
          <w:rFonts w:ascii="宋体" w:hAnsi="宋体"/>
          <w:color w:val="auto"/>
          <w:szCs w:val="21"/>
          <w:u w:val="single"/>
        </w:rPr>
      </w:pPr>
      <w:r>
        <w:rPr>
          <w:rFonts w:hint="eastAsia" w:ascii="宋体" w:hAnsi="宋体"/>
          <w:color w:val="auto"/>
          <w:szCs w:val="21"/>
        </w:rPr>
        <w:t>单位负责人或授权代表（签名）：</w:t>
      </w:r>
      <w:r>
        <w:rPr>
          <w:rFonts w:hint="eastAsia" w:ascii="宋体" w:hAnsi="宋体"/>
          <w:color w:val="auto"/>
          <w:szCs w:val="21"/>
          <w:u w:val="single"/>
        </w:rPr>
        <w:t xml:space="preserve">             </w:t>
      </w:r>
    </w:p>
    <w:p>
      <w:pPr>
        <w:jc w:val="right"/>
        <w:rPr>
          <w:color w:val="auto"/>
        </w:rPr>
        <w:sectPr>
          <w:pgSz w:w="11906" w:h="16838"/>
          <w:pgMar w:top="1134" w:right="1797" w:bottom="1247" w:left="1797" w:header="851" w:footer="851" w:gutter="0"/>
          <w:cols w:space="720" w:num="1"/>
          <w:titlePg/>
          <w:docGrid w:linePitch="312" w:charSpace="0"/>
        </w:sect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 xml:space="preserve">年 </w:t>
      </w:r>
      <w:r>
        <w:rPr>
          <w:rFonts w:hint="eastAsia" w:ascii="宋体" w:hAnsi="宋体"/>
          <w:color w:val="auto"/>
          <w:u w:val="single"/>
        </w:rPr>
        <w:t xml:space="preserve">     </w:t>
      </w:r>
      <w:r>
        <w:rPr>
          <w:rFonts w:hint="eastAsia" w:ascii="宋体" w:hAnsi="宋体"/>
          <w:color w:val="auto"/>
        </w:rPr>
        <w:t xml:space="preserve"> 月</w:t>
      </w:r>
      <w:r>
        <w:rPr>
          <w:rFonts w:hint="eastAsia" w:ascii="宋体" w:hAnsi="宋体"/>
          <w:color w:val="auto"/>
          <w:u w:val="single"/>
        </w:rPr>
        <w:t xml:space="preserve">     </w:t>
      </w:r>
      <w:r>
        <w:rPr>
          <w:rFonts w:hint="eastAsia" w:ascii="宋体" w:hAnsi="宋体"/>
          <w:color w:val="auto"/>
        </w:rPr>
        <w:t>日</w:t>
      </w:r>
    </w:p>
    <w:p>
      <w:pPr>
        <w:spacing w:line="320" w:lineRule="exact"/>
        <w:jc w:val="center"/>
        <w:rPr>
          <w:b/>
          <w:color w:val="auto"/>
          <w:sz w:val="32"/>
          <w:szCs w:val="32"/>
        </w:rPr>
      </w:pPr>
    </w:p>
    <w:p>
      <w:pPr>
        <w:snapToGrid w:val="0"/>
        <w:spacing w:line="360" w:lineRule="auto"/>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b/>
          <w:color w:val="auto"/>
          <w:szCs w:val="21"/>
        </w:rPr>
        <w:t>2.法定代表人的身份证明</w:t>
      </w:r>
      <w:bookmarkEnd w:id="180"/>
    </w:p>
    <w:p>
      <w:pPr>
        <w:jc w:val="center"/>
        <w:rPr>
          <w:rFonts w:ascii="宋体" w:hAnsi="宋体" w:cs="宋体"/>
          <w:b/>
          <w:color w:val="auto"/>
          <w:szCs w:val="21"/>
        </w:rPr>
      </w:pPr>
    </w:p>
    <w:p>
      <w:pPr>
        <w:spacing w:line="320" w:lineRule="exact"/>
        <w:jc w:val="center"/>
        <w:rPr>
          <w:b/>
          <w:color w:val="auto"/>
          <w:sz w:val="32"/>
          <w:szCs w:val="32"/>
        </w:rPr>
      </w:pPr>
      <w:r>
        <w:rPr>
          <w:rFonts w:hint="eastAsia"/>
          <w:b/>
          <w:color w:val="auto"/>
          <w:sz w:val="32"/>
          <w:szCs w:val="32"/>
        </w:rPr>
        <w:t>法定代表人身份证明</w:t>
      </w:r>
    </w:p>
    <w:p>
      <w:pPr>
        <w:spacing w:line="480" w:lineRule="auto"/>
        <w:jc w:val="center"/>
        <w:rPr>
          <w:rFonts w:ascii="宋体" w:hAnsi="宋体" w:cs="宋体"/>
          <w:bCs/>
          <w:color w:val="auto"/>
          <w:szCs w:val="21"/>
        </w:rPr>
      </w:pPr>
    </w:p>
    <w:p>
      <w:pPr>
        <w:spacing w:line="480" w:lineRule="auto"/>
        <w:jc w:val="center"/>
        <w:rPr>
          <w:rFonts w:ascii="宋体" w:hAnsi="宋体" w:cs="宋体"/>
          <w:b/>
          <w:color w:val="auto"/>
          <w:szCs w:val="21"/>
        </w:rPr>
      </w:pPr>
    </w:p>
    <w:p>
      <w:pPr>
        <w:spacing w:line="480" w:lineRule="auto"/>
        <w:ind w:firstLine="420" w:firstLineChars="200"/>
        <w:rPr>
          <w:rFonts w:ascii="宋体" w:hAnsi="宋体" w:cs="宋体"/>
          <w:color w:val="auto"/>
          <w:szCs w:val="21"/>
        </w:rPr>
      </w:pPr>
    </w:p>
    <w:p>
      <w:pPr>
        <w:spacing w:line="480" w:lineRule="auto"/>
        <w:ind w:firstLine="420" w:firstLineChars="200"/>
        <w:rPr>
          <w:rFonts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spacing w:line="480" w:lineRule="auto"/>
        <w:ind w:firstLine="420" w:firstLineChars="200"/>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80" w:lineRule="auto"/>
        <w:ind w:firstLine="420" w:firstLineChars="20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p>
    <w:p>
      <w:pPr>
        <w:spacing w:line="480" w:lineRule="auto"/>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80" w:lineRule="auto"/>
        <w:ind w:firstLine="420" w:firstLineChars="200"/>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80" w:lineRule="auto"/>
        <w:ind w:firstLine="420" w:firstLineChars="200"/>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周岁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480" w:lineRule="auto"/>
        <w:ind w:firstLine="420" w:firstLineChars="200"/>
        <w:rPr>
          <w:rFonts w:ascii="宋体" w:hAnsi="宋体" w:cs="宋体"/>
          <w:color w:val="auto"/>
          <w:szCs w:val="21"/>
          <w:u w:val="single"/>
        </w:rPr>
      </w:pPr>
      <w:r>
        <w:rPr>
          <w:rFonts w:hint="eastAsia" w:ascii="宋体" w:hAnsi="宋体" w:cs="宋体"/>
          <w:color w:val="auto"/>
          <w:szCs w:val="21"/>
        </w:rPr>
        <w:t>身份证号码：</w:t>
      </w:r>
      <w:r>
        <w:rPr>
          <w:rFonts w:hint="eastAsia" w:ascii="宋体" w:hAnsi="宋体" w:cs="宋体"/>
          <w:color w:val="auto"/>
          <w:szCs w:val="21"/>
          <w:u w:val="single"/>
        </w:rPr>
        <w:t xml:space="preserve">                   </w:t>
      </w:r>
    </w:p>
    <w:p>
      <w:pPr>
        <w:spacing w:line="480" w:lineRule="auto"/>
        <w:ind w:firstLine="420" w:firstLineChars="20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（供应商名称）的法定代表人。</w:t>
      </w:r>
    </w:p>
    <w:p>
      <w:pPr>
        <w:spacing w:line="480" w:lineRule="auto"/>
        <w:ind w:firstLine="840" w:firstLineChars="400"/>
        <w:rPr>
          <w:rFonts w:ascii="宋体" w:hAnsi="宋体" w:cs="宋体"/>
          <w:color w:val="auto"/>
          <w:szCs w:val="21"/>
        </w:rPr>
      </w:pPr>
      <w:r>
        <w:rPr>
          <w:rFonts w:hint="eastAsia" w:ascii="宋体" w:hAnsi="宋体" w:cs="宋体"/>
          <w:color w:val="auto"/>
          <w:szCs w:val="21"/>
        </w:rPr>
        <w:t>特此证明。</w:t>
      </w: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spacing w:line="360" w:lineRule="auto"/>
        <w:rPr>
          <w:rFonts w:ascii="宋体" w:hAnsi="宋体" w:cs="宋体"/>
          <w:color w:val="auto"/>
          <w:szCs w:val="21"/>
        </w:rPr>
      </w:pPr>
    </w:p>
    <w:p>
      <w:pPr>
        <w:spacing w:line="360" w:lineRule="auto"/>
        <w:rPr>
          <w:rFonts w:ascii="宋体" w:hAnsi="宋体" w:cs="宋体"/>
          <w:b/>
          <w:color w:val="auto"/>
          <w:szCs w:val="21"/>
        </w:rPr>
      </w:pPr>
    </w:p>
    <w:p>
      <w:pPr>
        <w:spacing w:line="360" w:lineRule="auto"/>
        <w:rPr>
          <w:rFonts w:ascii="宋体" w:hAnsi="宋体" w:cs="宋体"/>
          <w:b/>
          <w:color w:val="auto"/>
          <w:szCs w:val="21"/>
        </w:rPr>
      </w:pPr>
    </w:p>
    <w:p>
      <w:pPr>
        <w:spacing w:line="360" w:lineRule="auto"/>
        <w:ind w:firstLine="413" w:firstLineChars="196"/>
        <w:rPr>
          <w:rFonts w:ascii="宋体" w:hAnsi="宋体" w:cs="宋体"/>
          <w:b/>
          <w:color w:val="auto"/>
          <w:szCs w:val="21"/>
        </w:rPr>
      </w:pPr>
      <w:r>
        <w:rPr>
          <w:rFonts w:hint="eastAsia" w:ascii="宋体" w:hAnsi="宋体" w:cs="宋体"/>
          <w:b/>
          <w:color w:val="auto"/>
          <w:szCs w:val="21"/>
        </w:rPr>
        <w:t>附法定代表人身份证复印件（正反面）</w:t>
      </w:r>
    </w:p>
    <w:p>
      <w:pPr>
        <w:rPr>
          <w:rFonts w:ascii="宋体" w:hAnsi="宋体" w:cs="宋体"/>
          <w:color w:val="auto"/>
          <w:szCs w:val="21"/>
        </w:rPr>
      </w:pPr>
    </w:p>
    <w:p>
      <w:pPr>
        <w:jc w:val="left"/>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color w:val="auto"/>
          <w:szCs w:val="21"/>
        </w:rPr>
        <w:br w:type="page"/>
      </w:r>
      <w:bookmarkStart w:id="181" w:name="_Toc7659"/>
      <w:r>
        <w:rPr>
          <w:rFonts w:hint="eastAsia" w:ascii="宋体" w:hAnsi="宋体" w:cs="宋体"/>
          <w:b/>
          <w:bCs/>
          <w:color w:val="auto"/>
          <w:szCs w:val="21"/>
        </w:rPr>
        <w:t>3.法定代表人授权书</w:t>
      </w:r>
      <w:bookmarkEnd w:id="181"/>
    </w:p>
    <w:p>
      <w:pPr>
        <w:jc w:val="center"/>
        <w:rPr>
          <w:rFonts w:ascii="宋体" w:hAnsi="宋体" w:cs="宋体"/>
          <w:b/>
          <w:color w:val="auto"/>
          <w:szCs w:val="21"/>
        </w:rPr>
      </w:pPr>
    </w:p>
    <w:p>
      <w:pPr>
        <w:spacing w:line="320" w:lineRule="exact"/>
        <w:jc w:val="center"/>
        <w:rPr>
          <w:b/>
          <w:color w:val="auto"/>
          <w:sz w:val="32"/>
          <w:szCs w:val="32"/>
        </w:rPr>
      </w:pPr>
      <w:r>
        <w:rPr>
          <w:rFonts w:hint="eastAsia"/>
          <w:b/>
          <w:color w:val="auto"/>
          <w:sz w:val="32"/>
          <w:szCs w:val="32"/>
        </w:rPr>
        <w:t>法定代表人授权委托书</w:t>
      </w:r>
    </w:p>
    <w:p>
      <w:pPr>
        <w:jc w:val="center"/>
        <w:rPr>
          <w:rFonts w:ascii="宋体" w:hAnsi="宋体" w:cs="宋体"/>
          <w:bCs/>
          <w:color w:val="auto"/>
          <w:szCs w:val="21"/>
        </w:rPr>
      </w:pPr>
    </w:p>
    <w:p>
      <w:pPr>
        <w:jc w:val="center"/>
        <w:rPr>
          <w:rFonts w:ascii="宋体" w:hAnsi="宋体" w:cs="宋体"/>
          <w:b/>
          <w:color w:val="auto"/>
          <w:szCs w:val="21"/>
        </w:rPr>
      </w:pPr>
      <w:r>
        <w:rPr>
          <w:rFonts w:hint="eastAsia" w:ascii="宋体" w:hAnsi="宋体" w:cs="宋体"/>
          <w:bCs/>
          <w:color w:val="auto"/>
          <w:szCs w:val="21"/>
        </w:rPr>
        <w:t>（法定代表人参加磋商的，此表不用）</w:t>
      </w:r>
    </w:p>
    <w:p>
      <w:pPr>
        <w:snapToGrid w:val="0"/>
        <w:spacing w:line="360" w:lineRule="auto"/>
        <w:rPr>
          <w:rFonts w:ascii="宋体" w:hAnsi="宋体" w:cs="宋体"/>
          <w:bCs/>
          <w:color w:val="auto"/>
          <w:szCs w:val="21"/>
        </w:rPr>
      </w:pPr>
    </w:p>
    <w:p>
      <w:pPr>
        <w:snapToGrid w:val="0"/>
        <w:spacing w:line="360" w:lineRule="auto"/>
        <w:rPr>
          <w:rFonts w:ascii="宋体" w:hAnsi="宋体" w:cs="宋体"/>
          <w:bCs/>
          <w:color w:val="auto"/>
          <w:szCs w:val="21"/>
        </w:rPr>
      </w:pPr>
    </w:p>
    <w:p>
      <w:pPr>
        <w:snapToGrid w:val="0"/>
        <w:spacing w:line="360" w:lineRule="auto"/>
        <w:rPr>
          <w:rFonts w:ascii="宋体" w:hAnsi="宋体" w:cs="宋体"/>
          <w:color w:val="auto"/>
          <w:szCs w:val="21"/>
        </w:rPr>
      </w:pPr>
      <w:r>
        <w:rPr>
          <w:rFonts w:hint="eastAsia" w:ascii="宋体" w:hAnsi="宋体" w:cs="宋体"/>
          <w:bCs/>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（采购单位名称）</w:t>
      </w:r>
      <w:r>
        <w:rPr>
          <w:rFonts w:hint="eastAsia" w:ascii="宋体" w:hAnsi="宋体" w:cs="宋体"/>
          <w:b/>
          <w:bCs/>
          <w:color w:val="auto"/>
          <w:szCs w:val="21"/>
        </w:rPr>
        <w:t xml:space="preserve"> </w:t>
      </w:r>
      <w:r>
        <w:rPr>
          <w:rFonts w:hint="eastAsia" w:ascii="宋体" w:hAnsi="宋体" w:cs="宋体"/>
          <w:color w:val="auto"/>
          <w:szCs w:val="21"/>
        </w:rPr>
        <w:t>：</w:t>
      </w:r>
    </w:p>
    <w:p>
      <w:pPr>
        <w:snapToGrid w:val="0"/>
        <w:spacing w:line="360" w:lineRule="auto"/>
        <w:ind w:firstLine="525" w:firstLineChars="250"/>
        <w:rPr>
          <w:rFonts w:ascii="宋体" w:hAnsi="宋体" w:cs="宋体"/>
          <w:color w:val="auto"/>
          <w:szCs w:val="21"/>
          <w:u w:val="single"/>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（供应商名称）的法定代表人，现授权委托本单位在职职工 </w:t>
      </w:r>
      <w:r>
        <w:rPr>
          <w:rFonts w:hint="eastAsia" w:ascii="宋体" w:hAnsi="宋体" w:cs="宋体"/>
          <w:color w:val="auto"/>
          <w:szCs w:val="21"/>
          <w:u w:val="single"/>
        </w:rPr>
        <w:t xml:space="preserve">           </w:t>
      </w:r>
      <w:r>
        <w:rPr>
          <w:rFonts w:hint="eastAsia" w:ascii="宋体" w:hAnsi="宋体" w:cs="宋体"/>
          <w:color w:val="auto"/>
          <w:szCs w:val="21"/>
        </w:rPr>
        <w:t>（姓名）身份证号</w:t>
      </w:r>
      <w:r>
        <w:rPr>
          <w:rFonts w:hint="eastAsia" w:ascii="宋体" w:hAnsi="宋体" w:cs="宋体"/>
          <w:color w:val="auto"/>
          <w:szCs w:val="21"/>
          <w:u w:val="single"/>
        </w:rPr>
        <w:t xml:space="preserve">                 </w:t>
      </w:r>
      <w:r>
        <w:rPr>
          <w:rFonts w:hint="eastAsia" w:ascii="宋体" w:hAnsi="宋体" w:cs="宋体"/>
          <w:color w:val="auto"/>
          <w:szCs w:val="21"/>
        </w:rPr>
        <w:t>，以我方的名义参加</w:t>
      </w:r>
      <w:r>
        <w:rPr>
          <w:rFonts w:hint="eastAsia" w:ascii="宋体" w:hAnsi="宋体" w:cs="宋体"/>
          <w:color w:val="auto"/>
          <w:szCs w:val="21"/>
          <w:u w:val="single"/>
        </w:rPr>
        <w:t xml:space="preserve">                       政府采购 </w:t>
      </w:r>
      <w:r>
        <w:rPr>
          <w:rFonts w:hint="eastAsia" w:ascii="宋体" w:hAnsi="宋体" w:cs="宋体"/>
          <w:color w:val="auto"/>
          <w:szCs w:val="21"/>
        </w:rPr>
        <w:t>项目的竞争性磋商活动，代表本公司处理竞争性磋商采购活动中的一切事宜。</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我方对被授权人的签名事项负全部责任。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auto"/>
          <w:szCs w:val="21"/>
        </w:rPr>
      </w:pPr>
      <w:r>
        <w:rPr>
          <w:rFonts w:hint="eastAsia" w:ascii="宋体" w:hAnsi="宋体" w:cs="宋体"/>
          <w:color w:val="auto"/>
          <w:szCs w:val="21"/>
        </w:rPr>
        <w:t>被授权人无转委托权，特此委托。</w:t>
      </w:r>
    </w:p>
    <w:p>
      <w:pPr>
        <w:snapToGrid w:val="0"/>
        <w:spacing w:line="360" w:lineRule="auto"/>
        <w:rPr>
          <w:rFonts w:ascii="宋体" w:hAnsi="宋体" w:cs="宋体"/>
          <w:color w:val="auto"/>
          <w:szCs w:val="21"/>
        </w:rPr>
      </w:pP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rPr>
      </w:pPr>
      <w:r>
        <w:rPr>
          <w:rFonts w:hint="eastAsia" w:ascii="宋体" w:hAnsi="宋体" w:cs="宋体"/>
          <w:color w:val="auto"/>
          <w:szCs w:val="21"/>
        </w:rPr>
        <w:t xml:space="preserve">                                    </w:t>
      </w:r>
    </w:p>
    <w:p>
      <w:pPr>
        <w:snapToGrid w:val="0"/>
        <w:spacing w:line="360" w:lineRule="auto"/>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pStyle w:val="47"/>
        <w:ind w:firstLine="404"/>
        <w:rPr>
          <w:color w:val="auto"/>
        </w:rPr>
      </w:pPr>
    </w:p>
    <w:p>
      <w:pPr>
        <w:pStyle w:val="47"/>
        <w:ind w:firstLine="404"/>
        <w:rPr>
          <w:color w:val="auto"/>
        </w:rPr>
      </w:pPr>
      <w:r>
        <w:rPr>
          <w:rFonts w:hint="eastAsia" w:ascii="宋体" w:hAnsi="宋体" w:cs="宋体"/>
          <w:bCs/>
          <w:color w:val="auto"/>
          <w:kern w:val="0"/>
          <w:szCs w:val="21"/>
        </w:rPr>
        <w:t xml:space="preserve">                                          法定代表人（盖章或签字）：</w:t>
      </w:r>
    </w:p>
    <w:p>
      <w:pPr>
        <w:widowControl/>
        <w:spacing w:line="400" w:lineRule="exact"/>
        <w:jc w:val="center"/>
        <w:rPr>
          <w:rFonts w:ascii="宋体" w:hAnsi="宋体" w:cs="宋体"/>
          <w:bCs/>
          <w:color w:val="auto"/>
          <w:kern w:val="0"/>
          <w:szCs w:val="21"/>
        </w:rPr>
      </w:pPr>
      <w:r>
        <w:rPr>
          <w:rFonts w:hint="eastAsia"/>
          <w:color w:val="auto"/>
        </w:rPr>
        <w:t xml:space="preserve">                   日期：</w:t>
      </w:r>
    </w:p>
    <w:p>
      <w:pPr>
        <w:spacing w:line="360" w:lineRule="auto"/>
        <w:rPr>
          <w:rFonts w:ascii="宋体" w:hAnsi="宋体" w:cs="宋体"/>
          <w:b/>
          <w:color w:val="auto"/>
          <w:szCs w:val="21"/>
        </w:rPr>
      </w:pPr>
    </w:p>
    <w:p>
      <w:pPr>
        <w:spacing w:line="360" w:lineRule="auto"/>
        <w:ind w:firstLine="103" w:firstLineChars="49"/>
        <w:rPr>
          <w:rFonts w:ascii="宋体" w:hAnsi="宋体" w:cs="宋体"/>
          <w:b/>
          <w:color w:val="auto"/>
          <w:szCs w:val="21"/>
        </w:rPr>
      </w:pPr>
      <w:r>
        <w:rPr>
          <w:rFonts w:hint="eastAsia" w:ascii="宋体" w:hAnsi="宋体" w:cs="宋体"/>
          <w:b/>
          <w:color w:val="auto"/>
          <w:szCs w:val="21"/>
        </w:rPr>
        <w:t>附：被授权代表身份证复印件（正反面）</w:t>
      </w:r>
    </w:p>
    <w:p>
      <w:pPr>
        <w:snapToGrid w:val="0"/>
        <w:spacing w:line="360" w:lineRule="auto"/>
        <w:outlineLvl w:val="2"/>
        <w:rPr>
          <w:rFonts w:ascii="宋体" w:hAnsi="宋体" w:cs="宋体"/>
          <w:b/>
          <w:color w:val="auto"/>
          <w:szCs w:val="21"/>
        </w:rPr>
      </w:pPr>
      <w:r>
        <w:rPr>
          <w:rFonts w:hint="eastAsia" w:ascii="宋体" w:hAnsi="宋体" w:cs="宋体"/>
          <w:b/>
          <w:color w:val="auto"/>
          <w:szCs w:val="21"/>
        </w:rPr>
        <w:br w:type="page"/>
      </w:r>
      <w:bookmarkStart w:id="182" w:name="_Toc28215"/>
      <w:r>
        <w:rPr>
          <w:rFonts w:hint="eastAsia" w:ascii="宋体" w:hAnsi="宋体" w:cs="宋体"/>
          <w:b/>
          <w:color w:val="auto"/>
          <w:szCs w:val="21"/>
        </w:rPr>
        <w:t>4.供应商基本情况说明</w:t>
      </w:r>
      <w:bookmarkEnd w:id="182"/>
    </w:p>
    <w:p>
      <w:pPr>
        <w:spacing w:line="360" w:lineRule="auto"/>
        <w:jc w:val="center"/>
        <w:rPr>
          <w:rFonts w:ascii="宋体" w:hAnsi="宋体" w:cs="宋体"/>
          <w:b/>
          <w:color w:val="auto"/>
          <w:szCs w:val="21"/>
        </w:rPr>
      </w:pPr>
      <w:bookmarkStart w:id="183" w:name="_Toc14746861"/>
      <w:bookmarkStart w:id="184" w:name="_Toc225223761"/>
      <w:bookmarkStart w:id="185" w:name="_Toc479927873"/>
      <w:bookmarkStart w:id="186" w:name="_Toc483379796"/>
      <w:bookmarkStart w:id="187" w:name="_Toc110393361"/>
      <w:bookmarkStart w:id="188" w:name="_Toc488936100"/>
    </w:p>
    <w:p>
      <w:pPr>
        <w:spacing w:line="320" w:lineRule="exact"/>
        <w:jc w:val="center"/>
        <w:rPr>
          <w:b/>
          <w:color w:val="auto"/>
          <w:sz w:val="32"/>
          <w:szCs w:val="32"/>
        </w:rPr>
      </w:pPr>
      <w:r>
        <w:rPr>
          <w:rFonts w:hint="eastAsia"/>
          <w:b/>
          <w:color w:val="auto"/>
          <w:sz w:val="32"/>
          <w:szCs w:val="32"/>
        </w:rPr>
        <w:t>供应商基本情况说明</w:t>
      </w:r>
      <w:bookmarkEnd w:id="183"/>
      <w:bookmarkEnd w:id="184"/>
      <w:bookmarkEnd w:id="185"/>
      <w:bookmarkEnd w:id="186"/>
      <w:bookmarkEnd w:id="187"/>
      <w:bookmarkEnd w:id="188"/>
    </w:p>
    <w:p>
      <w:pPr>
        <w:pStyle w:val="19"/>
        <w:rPr>
          <w:color w:val="auto"/>
        </w:rPr>
      </w:pPr>
    </w:p>
    <w:tbl>
      <w:tblPr>
        <w:tblStyle w:val="48"/>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680"/>
        <w:gridCol w:w="1050"/>
        <w:gridCol w:w="945"/>
        <w:gridCol w:w="1785"/>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单位名称</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组织机构代码</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注册地址</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注册登记号</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经营地址</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pacing w:val="30"/>
                <w:szCs w:val="21"/>
              </w:rPr>
            </w:pPr>
            <w:r>
              <w:rPr>
                <w:rFonts w:hint="eastAsia" w:ascii="宋体" w:hAnsi="宋体" w:cs="宋体"/>
                <w:color w:val="auto"/>
                <w:szCs w:val="21"/>
              </w:rPr>
              <w:t>税务登记证号</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单位性质</w:t>
            </w:r>
          </w:p>
        </w:tc>
        <w:tc>
          <w:tcPr>
            <w:tcW w:w="3675" w:type="dxa"/>
            <w:gridSpan w:val="3"/>
            <w:vAlign w:val="center"/>
          </w:tcPr>
          <w:p>
            <w:pPr>
              <w:pStyle w:val="87"/>
              <w:widowControl w:val="0"/>
              <w:spacing w:before="0" w:beforeAutospacing="0" w:after="0" w:afterAutospacing="0" w:line="0" w:lineRule="atLeast"/>
              <w:ind w:left="1320" w:firstLine="420"/>
              <w:rPr>
                <w:rFonts w:ascii="宋体" w:hAnsi="宋体" w:eastAsia="宋体" w:cs="宋体"/>
                <w:color w:val="auto"/>
                <w:kern w:val="2"/>
                <w:sz w:val="21"/>
                <w:szCs w:val="21"/>
              </w:rPr>
            </w:pPr>
          </w:p>
        </w:tc>
        <w:tc>
          <w:tcPr>
            <w:tcW w:w="1785" w:type="dxa"/>
            <w:vAlign w:val="center"/>
          </w:tcPr>
          <w:p>
            <w:pPr>
              <w:spacing w:line="0" w:lineRule="atLeast"/>
              <w:jc w:val="center"/>
              <w:rPr>
                <w:rFonts w:ascii="宋体" w:hAnsi="宋体" w:cs="宋体"/>
                <w:color w:val="auto"/>
                <w:spacing w:val="34"/>
                <w:szCs w:val="21"/>
              </w:rPr>
            </w:pPr>
            <w:r>
              <w:rPr>
                <w:rFonts w:hint="eastAsia" w:ascii="宋体" w:hAnsi="宋体" w:cs="宋体"/>
                <w:color w:val="auto"/>
                <w:spacing w:val="34"/>
                <w:szCs w:val="21"/>
              </w:rPr>
              <w:t>注册资本</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经营范围</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营业期限</w:t>
            </w:r>
          </w:p>
        </w:tc>
        <w:tc>
          <w:tcPr>
            <w:tcW w:w="2037"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资质情况</w:t>
            </w:r>
          </w:p>
        </w:tc>
        <w:tc>
          <w:tcPr>
            <w:tcW w:w="7497" w:type="dxa"/>
            <w:gridSpan w:val="5"/>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员工数量</w:t>
            </w:r>
          </w:p>
        </w:tc>
        <w:tc>
          <w:tcPr>
            <w:tcW w:w="7497" w:type="dxa"/>
            <w:gridSpan w:val="5"/>
            <w:vAlign w:val="center"/>
          </w:tcPr>
          <w:p>
            <w:pPr>
              <w:spacing w:line="0" w:lineRule="atLeast"/>
              <w:rPr>
                <w:rFonts w:ascii="宋体" w:hAnsi="宋体" w:cs="宋体"/>
                <w:color w:val="auto"/>
                <w:szCs w:val="21"/>
              </w:rPr>
            </w:pPr>
            <w:r>
              <w:rPr>
                <w:rFonts w:hint="eastAsia" w:ascii="宋体" w:hAnsi="宋体" w:cs="宋体"/>
                <w:color w:val="auto"/>
                <w:szCs w:val="21"/>
              </w:rPr>
              <w:t>共</w:t>
            </w:r>
            <w:r>
              <w:rPr>
                <w:rFonts w:hint="eastAsia" w:ascii="宋体" w:hAnsi="宋体" w:cs="宋体"/>
                <w:color w:val="auto"/>
                <w:szCs w:val="21"/>
                <w:u w:val="single"/>
              </w:rPr>
              <w:t xml:space="preserve">  </w:t>
            </w:r>
            <w:r>
              <w:rPr>
                <w:rFonts w:hint="eastAsia" w:ascii="宋体" w:hAnsi="宋体" w:cs="宋体"/>
                <w:color w:val="auto"/>
                <w:szCs w:val="21"/>
              </w:rPr>
              <w:t>人，其中，高级职称</w:t>
            </w:r>
            <w:r>
              <w:rPr>
                <w:rFonts w:hint="eastAsia" w:ascii="宋体" w:hAnsi="宋体" w:cs="宋体"/>
                <w:color w:val="auto"/>
                <w:szCs w:val="21"/>
                <w:u w:val="single"/>
              </w:rPr>
              <w:t xml:space="preserve">   </w:t>
            </w:r>
            <w:r>
              <w:rPr>
                <w:rFonts w:hint="eastAsia" w:ascii="宋体" w:hAnsi="宋体" w:cs="宋体"/>
                <w:color w:val="auto"/>
                <w:szCs w:val="21"/>
              </w:rPr>
              <w:t>人，中级职称</w:t>
            </w:r>
            <w:r>
              <w:rPr>
                <w:rFonts w:hint="eastAsia" w:ascii="宋体" w:hAnsi="宋体" w:cs="宋体"/>
                <w:color w:val="auto"/>
                <w:szCs w:val="21"/>
                <w:u w:val="single"/>
              </w:rPr>
              <w:t xml:space="preserve">  </w:t>
            </w:r>
            <w:r>
              <w:rPr>
                <w:rFonts w:hint="eastAsia" w:ascii="宋体" w:hAnsi="宋体" w:cs="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联系电话</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传真</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主要业绩</w:t>
            </w:r>
          </w:p>
        </w:tc>
        <w:tc>
          <w:tcPr>
            <w:tcW w:w="7497" w:type="dxa"/>
            <w:gridSpan w:val="5"/>
            <w:vAlign w:val="center"/>
          </w:tcPr>
          <w:p>
            <w:pPr>
              <w:spacing w:line="0" w:lineRule="atLeast"/>
              <w:rPr>
                <w:rFonts w:ascii="宋体" w:hAnsi="宋体" w:cs="宋体"/>
                <w:color w:val="auto"/>
                <w:szCs w:val="21"/>
              </w:rPr>
            </w:pPr>
          </w:p>
          <w:p>
            <w:pPr>
              <w:spacing w:line="0" w:lineRule="atLeas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5" w:type="dxa"/>
            <w:gridSpan w:val="6"/>
            <w:vAlign w:val="center"/>
          </w:tcPr>
          <w:p>
            <w:pPr>
              <w:spacing w:line="0" w:lineRule="atLeast"/>
              <w:jc w:val="center"/>
              <w:rPr>
                <w:rFonts w:ascii="宋体" w:hAnsi="宋体" w:cs="宋体"/>
                <w:color w:val="auto"/>
                <w:szCs w:val="21"/>
              </w:rPr>
            </w:pPr>
            <w:r>
              <w:rPr>
                <w:rFonts w:hint="eastAsia" w:ascii="宋体" w:hAnsi="宋体" w:cs="宋体"/>
                <w:color w:val="auto"/>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姓  名</w:t>
            </w:r>
          </w:p>
        </w:tc>
        <w:tc>
          <w:tcPr>
            <w:tcW w:w="3675" w:type="dxa"/>
            <w:gridSpan w:val="3"/>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身份证号码</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职  务</w:t>
            </w:r>
          </w:p>
        </w:tc>
        <w:tc>
          <w:tcPr>
            <w:tcW w:w="1680" w:type="dxa"/>
            <w:vAlign w:val="center"/>
          </w:tcPr>
          <w:p>
            <w:pPr>
              <w:spacing w:line="0" w:lineRule="atLeast"/>
              <w:jc w:val="center"/>
              <w:rPr>
                <w:rFonts w:ascii="宋体" w:hAnsi="宋体" w:cs="宋体"/>
                <w:color w:val="auto"/>
                <w:szCs w:val="21"/>
              </w:rPr>
            </w:pPr>
          </w:p>
        </w:tc>
        <w:tc>
          <w:tcPr>
            <w:tcW w:w="1050"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职   称</w:t>
            </w:r>
          </w:p>
        </w:tc>
        <w:tc>
          <w:tcPr>
            <w:tcW w:w="945" w:type="dxa"/>
            <w:vAlign w:val="center"/>
          </w:tcPr>
          <w:p>
            <w:pPr>
              <w:spacing w:line="0" w:lineRule="atLeast"/>
              <w:jc w:val="center"/>
              <w:rPr>
                <w:rFonts w:ascii="宋体" w:hAnsi="宋体" w:cs="宋体"/>
                <w:color w:val="auto"/>
                <w:szCs w:val="21"/>
              </w:rPr>
            </w:pPr>
          </w:p>
        </w:tc>
        <w:tc>
          <w:tcPr>
            <w:tcW w:w="1785"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学    历</w:t>
            </w:r>
          </w:p>
        </w:tc>
        <w:tc>
          <w:tcPr>
            <w:tcW w:w="2037" w:type="dxa"/>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65" w:type="dxa"/>
            <w:gridSpan w:val="6"/>
          </w:tcPr>
          <w:p>
            <w:pPr>
              <w:spacing w:line="0" w:lineRule="atLeast"/>
              <w:rPr>
                <w:rFonts w:ascii="宋体" w:hAnsi="宋体" w:cs="宋体"/>
                <w:color w:val="auto"/>
                <w:szCs w:val="21"/>
              </w:rPr>
            </w:pPr>
            <w:r>
              <w:rPr>
                <w:rFonts w:hint="eastAsia" w:ascii="宋体" w:hAnsi="宋体" w:cs="宋体"/>
                <w:color w:val="auto"/>
                <w:szCs w:val="21"/>
              </w:rPr>
              <w:t>备注:</w:t>
            </w:r>
          </w:p>
        </w:tc>
      </w:tr>
    </w:tbl>
    <w:p>
      <w:pPr>
        <w:spacing w:line="360" w:lineRule="auto"/>
        <w:rPr>
          <w:rFonts w:ascii="宋体" w:hAnsi="宋体" w:cs="宋体"/>
          <w:color w:val="auto"/>
          <w:szCs w:val="21"/>
        </w:rPr>
      </w:pPr>
      <w:r>
        <w:rPr>
          <w:rFonts w:hint="eastAsia" w:ascii="宋体" w:hAnsi="宋体" w:cs="宋体"/>
          <w:color w:val="auto"/>
          <w:szCs w:val="21"/>
        </w:rPr>
        <w:t xml:space="preserve">  </w:t>
      </w:r>
    </w:p>
    <w:p>
      <w:pPr>
        <w:spacing w:line="360" w:lineRule="auto"/>
        <w:rPr>
          <w:rFonts w:ascii="宋体" w:hAnsi="宋体" w:cs="宋体"/>
          <w:b/>
          <w:color w:val="auto"/>
          <w:szCs w:val="21"/>
        </w:rPr>
      </w:pPr>
      <w:r>
        <w:rPr>
          <w:rFonts w:hint="eastAsia" w:ascii="宋体" w:hAnsi="宋体" w:cs="宋体"/>
          <w:b/>
          <w:color w:val="auto"/>
          <w:szCs w:val="21"/>
        </w:rPr>
        <w:t>兹证明上述声明是真实、正确的，并提供了全部能提供的资料和数据，我们同意遵照贵方要求出示有关证明文件。</w:t>
      </w:r>
    </w:p>
    <w:p>
      <w:pPr>
        <w:spacing w:line="360" w:lineRule="auto"/>
        <w:rPr>
          <w:rFonts w:ascii="宋体" w:hAnsi="宋体" w:cs="宋体"/>
          <w:b/>
          <w:color w:val="auto"/>
          <w:szCs w:val="21"/>
        </w:rPr>
      </w:pPr>
    </w:p>
    <w:p>
      <w:pPr>
        <w:spacing w:line="360" w:lineRule="auto"/>
        <w:rPr>
          <w:rFonts w:ascii="宋体" w:hAnsi="宋体" w:cs="宋体"/>
          <w:b/>
          <w:color w:val="auto"/>
          <w:szCs w:val="21"/>
        </w:rPr>
      </w:pPr>
    </w:p>
    <w:p>
      <w:pPr>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spacing w:line="360" w:lineRule="auto"/>
        <w:ind w:firstLine="103" w:firstLineChars="49"/>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color w:val="auto"/>
          <w:szCs w:val="21"/>
        </w:rPr>
        <w:br w:type="page"/>
      </w:r>
      <w:bookmarkStart w:id="189" w:name="_Toc10847"/>
      <w:r>
        <w:rPr>
          <w:rFonts w:hint="eastAsia" w:ascii="宋体" w:hAnsi="宋体" w:cs="宋体"/>
          <w:b/>
          <w:color w:val="auto"/>
          <w:szCs w:val="21"/>
        </w:rPr>
        <w:t>5.商务要求偏离表格式</w:t>
      </w:r>
      <w:bookmarkEnd w:id="189"/>
    </w:p>
    <w:p>
      <w:pPr>
        <w:spacing w:line="360" w:lineRule="auto"/>
        <w:jc w:val="center"/>
        <w:rPr>
          <w:rFonts w:ascii="宋体" w:hAnsi="宋体" w:cs="宋体"/>
          <w:b/>
          <w:color w:val="auto"/>
          <w:sz w:val="32"/>
          <w:szCs w:val="32"/>
        </w:rPr>
      </w:pPr>
      <w:r>
        <w:rPr>
          <w:rFonts w:hint="eastAsia" w:ascii="宋体" w:hAnsi="宋体" w:cs="宋体"/>
          <w:b/>
          <w:color w:val="auto"/>
          <w:sz w:val="32"/>
          <w:szCs w:val="32"/>
        </w:rPr>
        <w:t>商务要求偏离表</w:t>
      </w:r>
    </w:p>
    <w:p>
      <w:pPr>
        <w:spacing w:line="360" w:lineRule="auto"/>
        <w:ind w:firstLine="3089"/>
        <w:rPr>
          <w:rFonts w:ascii="宋体" w:hAnsi="宋体" w:cs="宋体"/>
          <w:b/>
          <w:color w:val="auto"/>
          <w:szCs w:val="21"/>
        </w:rPr>
      </w:pPr>
    </w:p>
    <w:p>
      <w:pPr>
        <w:spacing w:line="360" w:lineRule="auto"/>
        <w:rPr>
          <w:rFonts w:ascii="宋体" w:hAnsi="宋体" w:cs="宋体"/>
          <w:color w:val="auto"/>
          <w:szCs w:val="21"/>
        </w:rPr>
      </w:pPr>
      <w:r>
        <w:rPr>
          <w:rFonts w:hint="eastAsia" w:ascii="宋体" w:hAnsi="宋体" w:cs="宋体"/>
          <w:color w:val="auto"/>
          <w:szCs w:val="21"/>
        </w:rPr>
        <w:t>项目名称：                                         项目编号：</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30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3150" w:type="dxa"/>
            <w:vAlign w:val="center"/>
          </w:tcPr>
          <w:p>
            <w:pPr>
              <w:jc w:val="center"/>
              <w:rPr>
                <w:rFonts w:ascii="宋体" w:hAnsi="宋体" w:cs="宋体"/>
                <w:color w:val="auto"/>
                <w:szCs w:val="21"/>
              </w:rPr>
            </w:pPr>
            <w:r>
              <w:rPr>
                <w:rFonts w:hint="eastAsia" w:ascii="宋体" w:hAnsi="宋体" w:cs="宋体"/>
                <w:color w:val="auto"/>
                <w:szCs w:val="21"/>
              </w:rPr>
              <w:t>竞争性磋商文件</w:t>
            </w:r>
          </w:p>
          <w:p>
            <w:pPr>
              <w:jc w:val="center"/>
              <w:rPr>
                <w:rFonts w:ascii="宋体" w:hAnsi="宋体" w:cs="宋体"/>
                <w:color w:val="auto"/>
                <w:szCs w:val="21"/>
              </w:rPr>
            </w:pPr>
            <w:r>
              <w:rPr>
                <w:rFonts w:hint="eastAsia" w:ascii="宋体" w:hAnsi="宋体" w:cs="宋体"/>
                <w:color w:val="auto"/>
                <w:szCs w:val="21"/>
              </w:rPr>
              <w:t>的商务要求</w:t>
            </w:r>
          </w:p>
        </w:tc>
        <w:tc>
          <w:tcPr>
            <w:tcW w:w="2301" w:type="dxa"/>
            <w:vAlign w:val="center"/>
          </w:tcPr>
          <w:p>
            <w:pPr>
              <w:jc w:val="center"/>
              <w:rPr>
                <w:rFonts w:ascii="宋体" w:hAnsi="宋体" w:cs="宋体"/>
                <w:color w:val="auto"/>
                <w:szCs w:val="21"/>
              </w:rPr>
            </w:pPr>
            <w:r>
              <w:rPr>
                <w:rFonts w:hint="eastAsia" w:ascii="宋体" w:hAnsi="宋体" w:cs="宋体"/>
                <w:color w:val="auto"/>
                <w:szCs w:val="21"/>
              </w:rPr>
              <w:t>磋商响应文件</w:t>
            </w:r>
          </w:p>
          <w:p>
            <w:pPr>
              <w:jc w:val="center"/>
              <w:rPr>
                <w:rFonts w:ascii="宋体" w:hAnsi="宋体" w:cs="宋体"/>
                <w:color w:val="auto"/>
                <w:szCs w:val="21"/>
              </w:rPr>
            </w:pPr>
            <w:r>
              <w:rPr>
                <w:rFonts w:hint="eastAsia" w:ascii="宋体" w:hAnsi="宋体" w:cs="宋体"/>
                <w:color w:val="auto"/>
                <w:szCs w:val="21"/>
              </w:rPr>
              <w:t>的响应</w:t>
            </w:r>
          </w:p>
        </w:tc>
        <w:tc>
          <w:tcPr>
            <w:tcW w:w="2559" w:type="dxa"/>
            <w:vAlign w:val="center"/>
          </w:tcPr>
          <w:p>
            <w:pPr>
              <w:jc w:val="cente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3150" w:type="dxa"/>
            <w:vAlign w:val="center"/>
          </w:tcPr>
          <w:p>
            <w:pPr>
              <w:spacing w:line="400" w:lineRule="exact"/>
              <w:rPr>
                <w:rFonts w:ascii="宋体" w:hAnsi="宋体" w:cs="宋体"/>
                <w:color w:val="auto"/>
                <w:szCs w:val="21"/>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3150" w:type="dxa"/>
            <w:vAlign w:val="center"/>
          </w:tcPr>
          <w:p>
            <w:pPr>
              <w:spacing w:line="400" w:lineRule="exact"/>
              <w:ind w:left="105" w:hanging="105" w:hangingChars="50"/>
              <w:rPr>
                <w:rFonts w:ascii="宋体" w:hAnsi="宋体" w:cs="宋体"/>
                <w:color w:val="auto"/>
                <w:szCs w:val="21"/>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3</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4</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6</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7</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8</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bl>
    <w:p>
      <w:pPr>
        <w:pStyle w:val="22"/>
        <w:spacing w:line="360" w:lineRule="auto"/>
        <w:ind w:left="404" w:hanging="404" w:hangingChars="200"/>
        <w:rPr>
          <w:rFonts w:hAnsi="宋体" w:cs="宋体"/>
          <w:color w:val="auto"/>
          <w:sz w:val="21"/>
          <w:szCs w:val="21"/>
        </w:rPr>
      </w:pPr>
    </w:p>
    <w:p>
      <w:pPr>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pStyle w:val="28"/>
        <w:snapToGrid w:val="0"/>
        <w:spacing w:before="120" w:after="120"/>
        <w:rPr>
          <w:rFonts w:hAnsi="宋体" w:cs="宋体"/>
          <w:color w:val="auto"/>
        </w:rPr>
      </w:pPr>
    </w:p>
    <w:p>
      <w:pPr>
        <w:pStyle w:val="28"/>
        <w:snapToGrid w:val="0"/>
        <w:spacing w:before="120" w:after="120"/>
        <w:rPr>
          <w:rFonts w:hAnsi="宋体" w:cs="宋体"/>
          <w:color w:val="auto"/>
        </w:rPr>
      </w:pPr>
    </w:p>
    <w:p>
      <w:pPr>
        <w:snapToGrid w:val="0"/>
        <w:spacing w:line="360" w:lineRule="auto"/>
        <w:outlineLvl w:val="2"/>
        <w:rPr>
          <w:rFonts w:ascii="宋体" w:hAnsi="宋体" w:cs="宋体"/>
          <w:b/>
          <w:color w:val="auto"/>
          <w:szCs w:val="21"/>
        </w:rPr>
      </w:pPr>
      <w:r>
        <w:rPr>
          <w:rFonts w:hint="eastAsia" w:ascii="宋体" w:hAnsi="宋体" w:cs="宋体"/>
          <w:color w:val="auto"/>
          <w:szCs w:val="21"/>
        </w:rPr>
        <w:br w:type="page"/>
      </w:r>
      <w:bookmarkStart w:id="190" w:name="_Toc8559"/>
      <w:r>
        <w:rPr>
          <w:rFonts w:hint="eastAsia" w:ascii="宋体" w:hAnsi="宋体" w:cs="宋体"/>
          <w:b/>
          <w:color w:val="auto"/>
          <w:szCs w:val="21"/>
        </w:rPr>
        <w:t>6.技术要求偏离表</w:t>
      </w:r>
      <w:bookmarkEnd w:id="190"/>
    </w:p>
    <w:p>
      <w:pPr>
        <w:spacing w:line="360" w:lineRule="auto"/>
        <w:jc w:val="center"/>
        <w:rPr>
          <w:rFonts w:ascii="宋体" w:hAnsi="宋体" w:cs="宋体"/>
          <w:b/>
          <w:color w:val="auto"/>
          <w:sz w:val="32"/>
          <w:szCs w:val="32"/>
        </w:rPr>
      </w:pPr>
      <w:r>
        <w:rPr>
          <w:rFonts w:hint="eastAsia" w:ascii="宋体" w:hAnsi="宋体" w:cs="宋体"/>
          <w:b/>
          <w:color w:val="auto"/>
          <w:sz w:val="32"/>
          <w:szCs w:val="32"/>
        </w:rPr>
        <w:t>技术要求偏离表</w:t>
      </w:r>
    </w:p>
    <w:p>
      <w:pPr>
        <w:spacing w:line="360" w:lineRule="auto"/>
        <w:ind w:firstLine="3089"/>
        <w:rPr>
          <w:rFonts w:ascii="宋体" w:hAnsi="宋体" w:cs="宋体"/>
          <w:b/>
          <w:color w:val="auto"/>
          <w:szCs w:val="21"/>
        </w:rPr>
      </w:pPr>
    </w:p>
    <w:p>
      <w:pPr>
        <w:spacing w:line="360" w:lineRule="auto"/>
        <w:rPr>
          <w:rFonts w:ascii="宋体" w:hAnsi="宋体" w:cs="宋体"/>
          <w:color w:val="auto"/>
          <w:szCs w:val="21"/>
        </w:rPr>
      </w:pPr>
      <w:r>
        <w:rPr>
          <w:rFonts w:hint="eastAsia" w:ascii="宋体" w:hAnsi="宋体" w:cs="宋体"/>
          <w:color w:val="auto"/>
          <w:szCs w:val="21"/>
        </w:rPr>
        <w:t>项目名称：                                         项目编号：</w:t>
      </w:r>
      <w:r>
        <w:rPr>
          <w:rFonts w:hint="eastAsia" w:ascii="宋体" w:hAnsi="宋体" w:cs="宋体"/>
          <w:color w:val="auto"/>
          <w:szCs w:val="21"/>
          <w:u w:val="single"/>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30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3150" w:type="dxa"/>
            <w:vAlign w:val="center"/>
          </w:tcPr>
          <w:p>
            <w:pPr>
              <w:jc w:val="center"/>
              <w:rPr>
                <w:rFonts w:ascii="宋体" w:hAnsi="宋体" w:cs="宋体"/>
                <w:color w:val="auto"/>
                <w:szCs w:val="21"/>
              </w:rPr>
            </w:pPr>
            <w:r>
              <w:rPr>
                <w:rFonts w:hint="eastAsia" w:ascii="宋体" w:hAnsi="宋体" w:cs="宋体"/>
                <w:color w:val="auto"/>
                <w:szCs w:val="21"/>
              </w:rPr>
              <w:t>竞争性磋商文件</w:t>
            </w:r>
          </w:p>
          <w:p>
            <w:pPr>
              <w:jc w:val="center"/>
              <w:rPr>
                <w:rFonts w:ascii="宋体" w:hAnsi="宋体" w:cs="宋体"/>
                <w:color w:val="auto"/>
                <w:szCs w:val="21"/>
              </w:rPr>
            </w:pPr>
            <w:r>
              <w:rPr>
                <w:rFonts w:hint="eastAsia" w:ascii="宋体" w:hAnsi="宋体" w:cs="宋体"/>
                <w:color w:val="auto"/>
                <w:szCs w:val="21"/>
              </w:rPr>
              <w:t>的技术要求</w:t>
            </w:r>
          </w:p>
        </w:tc>
        <w:tc>
          <w:tcPr>
            <w:tcW w:w="2301" w:type="dxa"/>
            <w:vAlign w:val="center"/>
          </w:tcPr>
          <w:p>
            <w:pPr>
              <w:jc w:val="center"/>
              <w:rPr>
                <w:rFonts w:ascii="宋体" w:hAnsi="宋体" w:cs="宋体"/>
                <w:color w:val="auto"/>
                <w:szCs w:val="21"/>
              </w:rPr>
            </w:pPr>
            <w:r>
              <w:rPr>
                <w:rFonts w:hint="eastAsia" w:ascii="宋体" w:hAnsi="宋体" w:cs="宋体"/>
                <w:color w:val="auto"/>
                <w:szCs w:val="21"/>
              </w:rPr>
              <w:t>磋商响应文件</w:t>
            </w:r>
          </w:p>
          <w:p>
            <w:pPr>
              <w:jc w:val="center"/>
              <w:rPr>
                <w:rFonts w:ascii="宋体" w:hAnsi="宋体" w:cs="宋体"/>
                <w:color w:val="auto"/>
                <w:szCs w:val="21"/>
              </w:rPr>
            </w:pPr>
            <w:r>
              <w:rPr>
                <w:rFonts w:hint="eastAsia" w:ascii="宋体" w:hAnsi="宋体" w:cs="宋体"/>
                <w:color w:val="auto"/>
                <w:szCs w:val="21"/>
              </w:rPr>
              <w:t>的响应</w:t>
            </w:r>
          </w:p>
        </w:tc>
        <w:tc>
          <w:tcPr>
            <w:tcW w:w="2559" w:type="dxa"/>
            <w:vAlign w:val="center"/>
          </w:tcPr>
          <w:p>
            <w:pPr>
              <w:jc w:val="cente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3150" w:type="dxa"/>
            <w:vAlign w:val="center"/>
          </w:tcPr>
          <w:p>
            <w:pPr>
              <w:spacing w:line="400" w:lineRule="exact"/>
              <w:rPr>
                <w:rFonts w:ascii="宋体" w:hAnsi="宋体" w:cs="宋体"/>
                <w:color w:val="auto"/>
                <w:szCs w:val="21"/>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3150" w:type="dxa"/>
            <w:vAlign w:val="center"/>
          </w:tcPr>
          <w:p>
            <w:pPr>
              <w:spacing w:line="400" w:lineRule="exact"/>
              <w:ind w:left="105" w:hanging="105" w:hangingChars="50"/>
              <w:rPr>
                <w:rFonts w:ascii="宋体" w:hAnsi="宋体" w:cs="宋体"/>
                <w:color w:val="auto"/>
                <w:szCs w:val="21"/>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3</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4</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6</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7</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8</w:t>
            </w:r>
          </w:p>
        </w:tc>
        <w:tc>
          <w:tcPr>
            <w:tcW w:w="3150" w:type="dxa"/>
            <w:vAlign w:val="center"/>
          </w:tcPr>
          <w:p>
            <w:pPr>
              <w:spacing w:line="400" w:lineRule="exact"/>
              <w:rPr>
                <w:rFonts w:ascii="宋体" w:hAnsi="宋体" w:cs="宋体"/>
                <w:bCs/>
                <w:color w:val="auto"/>
                <w:szCs w:val="21"/>
                <w:u w:val="single"/>
              </w:rPr>
            </w:pPr>
          </w:p>
        </w:tc>
        <w:tc>
          <w:tcPr>
            <w:tcW w:w="2301" w:type="dxa"/>
            <w:vAlign w:val="center"/>
          </w:tcPr>
          <w:p>
            <w:pPr>
              <w:jc w:val="center"/>
              <w:rPr>
                <w:rFonts w:ascii="宋体" w:hAnsi="宋体" w:cs="宋体"/>
                <w:color w:val="auto"/>
                <w:szCs w:val="21"/>
              </w:rPr>
            </w:pPr>
          </w:p>
        </w:tc>
        <w:tc>
          <w:tcPr>
            <w:tcW w:w="2559" w:type="dxa"/>
            <w:vAlign w:val="center"/>
          </w:tcPr>
          <w:p>
            <w:pPr>
              <w:jc w:val="center"/>
              <w:rPr>
                <w:rFonts w:ascii="宋体" w:hAnsi="宋体" w:cs="宋体"/>
                <w:color w:val="auto"/>
                <w:szCs w:val="21"/>
              </w:rPr>
            </w:pPr>
          </w:p>
        </w:tc>
      </w:tr>
    </w:tbl>
    <w:p>
      <w:pPr>
        <w:pStyle w:val="22"/>
        <w:spacing w:line="360" w:lineRule="auto"/>
        <w:ind w:left="404" w:hanging="404" w:hangingChars="200"/>
        <w:rPr>
          <w:rFonts w:hAnsi="宋体" w:cs="宋体"/>
          <w:color w:val="auto"/>
          <w:sz w:val="21"/>
          <w:szCs w:val="21"/>
        </w:rPr>
      </w:pPr>
    </w:p>
    <w:p>
      <w:pPr>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rPr>
          <w:rFonts w:ascii="宋体" w:hAnsi="宋体" w:cs="宋体"/>
          <w:b/>
          <w:color w:val="auto"/>
          <w:szCs w:val="21"/>
        </w:rPr>
      </w:pPr>
    </w:p>
    <w:p>
      <w:pPr>
        <w:widowControl/>
        <w:spacing w:line="360" w:lineRule="auto"/>
        <w:jc w:val="left"/>
        <w:rPr>
          <w:rFonts w:ascii="宋体" w:hAnsi="宋体" w:cs="宋体"/>
          <w:color w:val="auto"/>
          <w:szCs w:val="21"/>
        </w:rPr>
      </w:pPr>
    </w:p>
    <w:p>
      <w:pPr>
        <w:pStyle w:val="22"/>
        <w:snapToGrid w:val="0"/>
        <w:spacing w:line="360" w:lineRule="auto"/>
        <w:ind w:firstLine="542"/>
        <w:rPr>
          <w:rStyle w:val="72"/>
          <w:rFonts w:ascii="宋体" w:hAnsi="宋体" w:cs="宋体"/>
          <w:color w:val="auto"/>
          <w:sz w:val="21"/>
          <w:szCs w:val="21"/>
        </w:rPr>
      </w:pPr>
    </w:p>
    <w:p>
      <w:pPr>
        <w:snapToGrid w:val="0"/>
        <w:spacing w:line="360" w:lineRule="auto"/>
        <w:outlineLvl w:val="2"/>
        <w:rPr>
          <w:rFonts w:ascii="宋体" w:hAnsi="宋体" w:cs="宋体"/>
          <w:b/>
          <w:color w:val="auto"/>
          <w:szCs w:val="21"/>
        </w:rPr>
      </w:pPr>
      <w:r>
        <w:rPr>
          <w:rFonts w:hint="eastAsia" w:ascii="宋体" w:hAnsi="宋体" w:cs="宋体"/>
          <w:color w:val="auto"/>
          <w:szCs w:val="21"/>
        </w:rPr>
        <w:br w:type="page"/>
      </w:r>
      <w:bookmarkStart w:id="191" w:name="_Toc24980"/>
      <w:r>
        <w:rPr>
          <w:rFonts w:hint="eastAsia" w:ascii="宋体" w:hAnsi="宋体" w:cs="宋体"/>
          <w:b/>
          <w:color w:val="auto"/>
          <w:szCs w:val="21"/>
        </w:rPr>
        <w:t>7.类似项目业绩表</w:t>
      </w:r>
      <w:bookmarkEnd w:id="191"/>
    </w:p>
    <w:p>
      <w:pPr>
        <w:spacing w:line="360" w:lineRule="auto"/>
        <w:rPr>
          <w:rFonts w:ascii="宋体" w:hAnsi="宋体" w:cs="宋体"/>
          <w:color w:val="auto"/>
          <w:szCs w:val="21"/>
          <w:u w:val="single"/>
        </w:rPr>
      </w:pPr>
    </w:p>
    <w:p>
      <w:pPr>
        <w:spacing w:before="120" w:after="120"/>
        <w:jc w:val="center"/>
        <w:rPr>
          <w:rFonts w:ascii="宋体" w:hAnsi="宋体" w:cs="宋体"/>
          <w:b/>
          <w:bCs/>
          <w:color w:val="auto"/>
          <w:spacing w:val="20"/>
          <w:sz w:val="30"/>
          <w:szCs w:val="30"/>
        </w:rPr>
      </w:pPr>
      <w:r>
        <w:rPr>
          <w:rFonts w:hint="eastAsia" w:ascii="宋体" w:hAnsi="宋体" w:cs="宋体"/>
          <w:b/>
          <w:bCs/>
          <w:color w:val="auto"/>
          <w:spacing w:val="20"/>
          <w:sz w:val="30"/>
          <w:szCs w:val="30"/>
        </w:rPr>
        <w:t>类似项目业绩表</w:t>
      </w:r>
    </w:p>
    <w:p>
      <w:pPr>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项目名称：                                         项目编号：</w:t>
      </w:r>
      <w:r>
        <w:rPr>
          <w:rFonts w:hint="eastAsia" w:ascii="宋体" w:hAnsi="宋体" w:cs="宋体"/>
          <w:color w:val="auto"/>
          <w:szCs w:val="21"/>
          <w:u w:val="single"/>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1"/>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431"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序号</w:t>
            </w:r>
          </w:p>
        </w:tc>
        <w:tc>
          <w:tcPr>
            <w:tcW w:w="1932" w:type="dxa"/>
            <w:tcBorders>
              <w:top w:val="single" w:color="auto" w:sz="4" w:space="0"/>
              <w:bottom w:val="single" w:color="auto" w:sz="4" w:space="0"/>
            </w:tcBorders>
            <w:tcMar>
              <w:left w:w="0" w:type="dxa"/>
              <w:right w:w="0" w:type="dxa"/>
            </w:tcMar>
            <w:vAlign w:val="center"/>
          </w:tcPr>
          <w:p>
            <w:pPr>
              <w:spacing w:line="0" w:lineRule="atLeast"/>
              <w:jc w:val="center"/>
              <w:rPr>
                <w:rFonts w:ascii="宋体" w:hAnsi="宋体" w:cs="宋体"/>
                <w:color w:val="auto"/>
                <w:szCs w:val="21"/>
              </w:rPr>
            </w:pPr>
            <w:r>
              <w:rPr>
                <w:rFonts w:hint="eastAsia" w:ascii="宋体" w:hAnsi="宋体" w:cs="宋体"/>
                <w:color w:val="auto"/>
                <w:szCs w:val="21"/>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932"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2028"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143"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260"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2052"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431"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bl>
    <w:p>
      <w:pPr>
        <w:spacing w:line="0" w:lineRule="atLeast"/>
        <w:rPr>
          <w:rFonts w:ascii="宋体" w:hAnsi="宋体" w:cs="宋体"/>
          <w:color w:val="auto"/>
          <w:szCs w:val="21"/>
        </w:rPr>
      </w:pPr>
    </w:p>
    <w:p>
      <w:pPr>
        <w:widowControl/>
        <w:spacing w:line="360" w:lineRule="auto"/>
        <w:jc w:val="left"/>
        <w:rPr>
          <w:rFonts w:ascii="宋体" w:hAnsi="宋体" w:cs="宋体"/>
          <w:b/>
          <w:bCs/>
          <w:color w:val="auto"/>
          <w:szCs w:val="21"/>
        </w:rPr>
      </w:pPr>
      <w:r>
        <w:rPr>
          <w:rFonts w:hint="eastAsia" w:ascii="宋体" w:hAnsi="宋体" w:cs="宋体"/>
          <w:b/>
          <w:bCs/>
          <w:color w:val="auto"/>
          <w:szCs w:val="21"/>
        </w:rPr>
        <w:t>注：后附评分标准或采购文件需要提供的证明材料。</w:t>
      </w: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snapToGrid w:val="0"/>
        <w:spacing w:line="360" w:lineRule="auto"/>
        <w:rPr>
          <w:rFonts w:ascii="宋体" w:hAnsi="宋体" w:cs="宋体"/>
          <w:color w:val="auto"/>
          <w:szCs w:val="21"/>
        </w:rPr>
      </w:pPr>
    </w:p>
    <w:p>
      <w:pPr>
        <w:snapToGrid w:val="0"/>
        <w:spacing w:line="360" w:lineRule="auto"/>
        <w:rPr>
          <w:rFonts w:ascii="宋体" w:hAnsi="宋体" w:cs="宋体"/>
          <w:color w:val="auto"/>
          <w:szCs w:val="21"/>
        </w:rPr>
        <w:sectPr>
          <w:headerReference r:id="rId7" w:type="default"/>
          <w:footerReference r:id="rId8" w:type="default"/>
          <w:pgSz w:w="11906" w:h="16838"/>
          <w:pgMar w:top="1134" w:right="1797" w:bottom="1247" w:left="1797" w:header="851" w:footer="851" w:gutter="0"/>
          <w:cols w:space="720" w:num="1"/>
          <w:titlePg/>
          <w:docGrid w:linePitch="312" w:charSpace="0"/>
        </w:sectPr>
      </w:pPr>
    </w:p>
    <w:p>
      <w:pPr>
        <w:snapToGrid w:val="0"/>
        <w:spacing w:line="360" w:lineRule="auto"/>
        <w:outlineLvl w:val="2"/>
        <w:rPr>
          <w:rFonts w:ascii="宋体" w:hAnsi="宋体" w:cs="宋体"/>
          <w:b/>
          <w:bCs/>
          <w:color w:val="auto"/>
          <w:szCs w:val="21"/>
        </w:rPr>
      </w:pPr>
      <w:bookmarkStart w:id="192" w:name="_Toc31064"/>
      <w:r>
        <w:rPr>
          <w:rFonts w:hint="eastAsia" w:ascii="宋体" w:hAnsi="宋体" w:cs="宋体"/>
          <w:b/>
          <w:bCs/>
          <w:color w:val="auto"/>
          <w:szCs w:val="21"/>
        </w:rPr>
        <w:t>8.项目实施方案</w:t>
      </w:r>
      <w:bookmarkEnd w:id="192"/>
    </w:p>
    <w:p>
      <w:pPr>
        <w:pStyle w:val="57"/>
        <w:rPr>
          <w:rFonts w:ascii="宋体" w:hAnsi="宋体" w:cs="宋体"/>
          <w:color w:val="auto"/>
          <w:szCs w:val="21"/>
        </w:rPr>
      </w:pPr>
    </w:p>
    <w:p>
      <w:pPr>
        <w:pStyle w:val="57"/>
        <w:jc w:val="center"/>
        <w:rPr>
          <w:rFonts w:ascii="宋体" w:hAnsi="宋体" w:cs="宋体"/>
          <w:color w:val="auto"/>
          <w:szCs w:val="21"/>
        </w:rPr>
      </w:pPr>
      <w:r>
        <w:rPr>
          <w:rFonts w:hint="eastAsia" w:ascii="宋体" w:hAnsi="宋体" w:cs="宋体"/>
          <w:color w:val="auto"/>
          <w:szCs w:val="21"/>
        </w:rPr>
        <w:t>项目实施方案（自编）</w:t>
      </w:r>
    </w:p>
    <w:p>
      <w:pPr>
        <w:pStyle w:val="57"/>
        <w:jc w:val="center"/>
        <w:rPr>
          <w:rFonts w:ascii="宋体" w:hAnsi="宋体" w:cs="宋体"/>
          <w:color w:val="auto"/>
          <w:szCs w:val="21"/>
        </w:rPr>
      </w:pPr>
    </w:p>
    <w:p>
      <w:pPr>
        <w:pStyle w:val="57"/>
        <w:jc w:val="center"/>
        <w:rPr>
          <w:rFonts w:ascii="宋体" w:hAnsi="宋体" w:cs="宋体"/>
          <w:color w:val="auto"/>
          <w:szCs w:val="21"/>
        </w:rPr>
      </w:pPr>
    </w:p>
    <w:p>
      <w:pPr>
        <w:snapToGrid w:val="0"/>
        <w:spacing w:line="360" w:lineRule="auto"/>
        <w:outlineLvl w:val="2"/>
        <w:rPr>
          <w:rFonts w:ascii="宋体" w:hAnsi="宋体" w:cs="宋体"/>
          <w:b/>
          <w:bCs/>
          <w:color w:val="auto"/>
          <w:szCs w:val="21"/>
        </w:rPr>
      </w:pPr>
      <w:bookmarkStart w:id="193" w:name="_Toc4321"/>
      <w:r>
        <w:rPr>
          <w:rFonts w:hint="eastAsia" w:ascii="宋体" w:hAnsi="宋体" w:cs="宋体"/>
          <w:b/>
          <w:bCs/>
          <w:color w:val="auto"/>
          <w:szCs w:val="21"/>
        </w:rPr>
        <w:t>9.供应商认为有必要提交的其他商务技术说明文件和资料</w:t>
      </w:r>
      <w:bookmarkEnd w:id="193"/>
      <w:r>
        <w:rPr>
          <w:rFonts w:hint="eastAsia" w:ascii="宋体" w:hAnsi="宋体" w:cs="宋体"/>
          <w:b/>
          <w:bCs/>
          <w:color w:val="auto"/>
          <w:szCs w:val="21"/>
        </w:rPr>
        <w:t xml:space="preserve"> </w:t>
      </w:r>
    </w:p>
    <w:p>
      <w:pPr>
        <w:snapToGrid w:val="0"/>
        <w:spacing w:line="360" w:lineRule="auto"/>
        <w:jc w:val="center"/>
        <w:rPr>
          <w:rFonts w:ascii="宋体" w:hAnsi="宋体" w:cs="宋体"/>
          <w:color w:val="auto"/>
          <w:szCs w:val="21"/>
        </w:rPr>
      </w:pPr>
      <w:r>
        <w:rPr>
          <w:rFonts w:hint="eastAsia" w:ascii="宋体" w:hAnsi="宋体" w:cs="宋体"/>
          <w:color w:val="auto"/>
          <w:szCs w:val="21"/>
        </w:rPr>
        <w:t>（自编）</w:t>
      </w:r>
    </w:p>
    <w:p>
      <w:pPr>
        <w:numPr>
          <w:ilvl w:val="0"/>
          <w:numId w:val="40"/>
        </w:numPr>
        <w:snapToGrid w:val="0"/>
        <w:spacing w:line="360" w:lineRule="auto"/>
        <w:jc w:val="left"/>
        <w:outlineLvl w:val="1"/>
        <w:rPr>
          <w:rFonts w:ascii="宋体" w:hAnsi="宋体" w:cs="宋体"/>
          <w:b/>
          <w:color w:val="auto"/>
          <w:szCs w:val="21"/>
        </w:rPr>
      </w:pPr>
      <w:r>
        <w:rPr>
          <w:rFonts w:hint="eastAsia" w:ascii="宋体" w:hAnsi="宋体" w:cs="宋体"/>
          <w:color w:val="auto"/>
          <w:szCs w:val="21"/>
        </w:rPr>
        <w:br w:type="page"/>
      </w:r>
      <w:bookmarkStart w:id="194" w:name="_Toc14194"/>
      <w:r>
        <w:rPr>
          <w:rFonts w:hint="eastAsia" w:ascii="宋体" w:hAnsi="宋体" w:cs="宋体"/>
          <w:b/>
          <w:color w:val="auto"/>
          <w:szCs w:val="21"/>
        </w:rPr>
        <w:t>报价部分：</w:t>
      </w:r>
      <w:bookmarkEnd w:id="194"/>
    </w:p>
    <w:p>
      <w:pPr>
        <w:outlineLvl w:val="2"/>
        <w:rPr>
          <w:rFonts w:ascii="宋体" w:hAnsi="宋体" w:cs="宋体"/>
          <w:b/>
          <w:color w:val="auto"/>
          <w:szCs w:val="21"/>
        </w:rPr>
      </w:pPr>
      <w:bookmarkStart w:id="195" w:name="_Toc7980"/>
      <w:r>
        <w:rPr>
          <w:rFonts w:hint="eastAsia" w:ascii="宋体" w:hAnsi="宋体" w:cs="宋体"/>
          <w:b/>
          <w:color w:val="auto"/>
          <w:szCs w:val="21"/>
        </w:rPr>
        <w:t>1.报价函</w:t>
      </w:r>
      <w:bookmarkEnd w:id="195"/>
    </w:p>
    <w:p>
      <w:pPr>
        <w:widowControl/>
        <w:spacing w:line="400" w:lineRule="exact"/>
        <w:jc w:val="center"/>
        <w:rPr>
          <w:rFonts w:ascii="宋体" w:hAnsi="宋体" w:cs="宋体"/>
          <w:b/>
          <w:color w:val="auto"/>
          <w:sz w:val="32"/>
          <w:szCs w:val="32"/>
        </w:rPr>
      </w:pPr>
      <w:r>
        <w:rPr>
          <w:rFonts w:hint="eastAsia" w:ascii="宋体" w:hAnsi="宋体" w:cs="宋体"/>
          <w:b/>
          <w:color w:val="auto"/>
          <w:sz w:val="32"/>
          <w:szCs w:val="32"/>
        </w:rPr>
        <w:t>报价函</w:t>
      </w:r>
    </w:p>
    <w:p>
      <w:pPr>
        <w:widowControl/>
        <w:spacing w:line="400" w:lineRule="exact"/>
        <w:jc w:val="center"/>
        <w:rPr>
          <w:rFonts w:ascii="宋体" w:hAnsi="宋体" w:cs="宋体"/>
          <w:b/>
          <w:color w:val="auto"/>
          <w:szCs w:val="21"/>
        </w:rPr>
      </w:pP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致：宁波中穗招标有限公司</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u w:val="single"/>
        </w:rPr>
        <w:t xml:space="preserve">   （供应商全称）   </w:t>
      </w:r>
      <w:r>
        <w:rPr>
          <w:rFonts w:hint="eastAsia" w:hAnsi="宋体" w:cs="宋体"/>
          <w:color w:val="auto"/>
          <w:sz w:val="21"/>
          <w:szCs w:val="21"/>
        </w:rPr>
        <w:t xml:space="preserve"> 授权</w:t>
      </w:r>
      <w:r>
        <w:rPr>
          <w:rFonts w:hint="eastAsia" w:hAnsi="宋体" w:cs="宋体"/>
          <w:color w:val="auto"/>
          <w:sz w:val="21"/>
          <w:szCs w:val="21"/>
          <w:u w:val="single"/>
        </w:rPr>
        <w:t xml:space="preserve"> （授权代表姓名、职务）   </w:t>
      </w:r>
      <w:r>
        <w:rPr>
          <w:rFonts w:hint="eastAsia" w:hAnsi="宋体" w:cs="宋体"/>
          <w:color w:val="auto"/>
          <w:sz w:val="21"/>
          <w:szCs w:val="21"/>
        </w:rPr>
        <w:t xml:space="preserve">为本公司合法代理人，参加贵方组织的 </w:t>
      </w:r>
      <w:r>
        <w:rPr>
          <w:rFonts w:hint="eastAsia" w:hAnsi="宋体" w:cs="宋体"/>
          <w:color w:val="auto"/>
          <w:sz w:val="21"/>
          <w:szCs w:val="21"/>
          <w:u w:val="single"/>
        </w:rPr>
        <w:t xml:space="preserve">   （采购编号、项目名称、标项） </w:t>
      </w:r>
      <w:r>
        <w:rPr>
          <w:rFonts w:hint="eastAsia" w:hAnsi="宋体" w:cs="宋体"/>
          <w:color w:val="auto"/>
          <w:sz w:val="21"/>
          <w:szCs w:val="21"/>
        </w:rPr>
        <w:t>竞争性磋商活动，代表本公司（单位）处理竞争性磋商活动中的一切事宜，在此：</w:t>
      </w:r>
    </w:p>
    <w:p>
      <w:pPr>
        <w:pStyle w:val="22"/>
        <w:widowControl/>
        <w:tabs>
          <w:tab w:val="left" w:pos="0"/>
        </w:tabs>
        <w:spacing w:line="360" w:lineRule="auto"/>
        <w:ind w:left="420" w:firstLine="0"/>
        <w:jc w:val="left"/>
        <w:rPr>
          <w:rFonts w:hAnsi="宋体" w:cs="宋体"/>
          <w:color w:val="auto"/>
          <w:sz w:val="21"/>
          <w:szCs w:val="21"/>
        </w:rPr>
      </w:pPr>
      <w:r>
        <w:rPr>
          <w:rFonts w:hint="eastAsia" w:hAnsi="宋体" w:cs="宋体"/>
          <w:color w:val="auto"/>
          <w:sz w:val="21"/>
          <w:szCs w:val="21"/>
        </w:rPr>
        <w:t>1.提供磋商文件中“供应商须知”规定的全部响应文件：</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（1）上传到政府采购云平台的电子响应文件1份。</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（2）以U盘存储的电子备份响应文件1份。</w:t>
      </w:r>
    </w:p>
    <w:p>
      <w:pPr>
        <w:pStyle w:val="22"/>
        <w:widowControl/>
        <w:tabs>
          <w:tab w:val="left" w:pos="0"/>
        </w:tabs>
        <w:spacing w:line="360" w:lineRule="auto"/>
        <w:ind w:left="420" w:firstLine="0"/>
        <w:jc w:val="left"/>
        <w:rPr>
          <w:rFonts w:hAnsi="宋体" w:cs="宋体"/>
          <w:color w:val="auto"/>
          <w:sz w:val="21"/>
          <w:szCs w:val="21"/>
        </w:rPr>
      </w:pPr>
      <w:r>
        <w:rPr>
          <w:rFonts w:hint="eastAsia" w:hAnsi="宋体" w:cs="宋体"/>
          <w:color w:val="auto"/>
          <w:sz w:val="21"/>
          <w:szCs w:val="21"/>
        </w:rPr>
        <w:t>2.据此函，签字代表宣布并承诺如下：</w:t>
      </w:r>
    </w:p>
    <w:p>
      <w:pPr>
        <w:pStyle w:val="22"/>
        <w:widowControl/>
        <w:tabs>
          <w:tab w:val="left" w:pos="0"/>
        </w:tabs>
        <w:spacing w:line="360" w:lineRule="auto"/>
        <w:ind w:left="824" w:leftChars="200" w:hanging="404" w:hangingChars="200"/>
        <w:jc w:val="left"/>
        <w:rPr>
          <w:rFonts w:hAnsi="宋体" w:cs="宋体"/>
          <w:color w:val="auto"/>
          <w:sz w:val="21"/>
          <w:szCs w:val="21"/>
        </w:rPr>
      </w:pPr>
      <w:r>
        <w:rPr>
          <w:rFonts w:hint="eastAsia" w:hAnsi="宋体" w:cs="宋体"/>
          <w:color w:val="auto"/>
          <w:sz w:val="21"/>
          <w:szCs w:val="21"/>
        </w:rPr>
        <w:t>（1）我方对采购项目标项</w:t>
      </w:r>
      <w:r>
        <w:rPr>
          <w:rFonts w:hint="eastAsia" w:hAnsi="宋体" w:cs="宋体"/>
          <w:color w:val="auto"/>
          <w:sz w:val="21"/>
          <w:szCs w:val="21"/>
          <w:u w:val="single"/>
        </w:rPr>
        <w:t xml:space="preserve">      </w:t>
      </w:r>
      <w:r>
        <w:rPr>
          <w:rFonts w:hint="eastAsia" w:hAnsi="宋体" w:cs="宋体"/>
          <w:color w:val="auto"/>
          <w:sz w:val="21"/>
          <w:szCs w:val="21"/>
        </w:rPr>
        <w:t>愿以报价为（大写）：</w:t>
      </w:r>
      <w:r>
        <w:rPr>
          <w:rFonts w:hint="eastAsia" w:hAnsi="宋体" w:cs="宋体"/>
          <w:color w:val="auto"/>
          <w:sz w:val="21"/>
          <w:szCs w:val="21"/>
          <w:u w:val="single"/>
        </w:rPr>
        <w:t xml:space="preserve">          </w:t>
      </w:r>
      <w:r>
        <w:rPr>
          <w:rFonts w:hint="eastAsia" w:hAnsi="宋体" w:cs="宋体"/>
          <w:color w:val="auto"/>
          <w:sz w:val="21"/>
          <w:szCs w:val="21"/>
        </w:rPr>
        <w:t>元人民币、（小写）：元人民币，承担磋商文件规定内容。（可按标项列明）</w:t>
      </w:r>
    </w:p>
    <w:p>
      <w:pPr>
        <w:pStyle w:val="22"/>
        <w:widowControl/>
        <w:spacing w:line="360" w:lineRule="auto"/>
        <w:ind w:left="925" w:leftChars="200" w:hanging="505" w:hangingChars="250"/>
        <w:jc w:val="left"/>
        <w:rPr>
          <w:rFonts w:hAnsi="宋体" w:cs="宋体"/>
          <w:color w:val="auto"/>
          <w:sz w:val="21"/>
          <w:szCs w:val="21"/>
        </w:rPr>
      </w:pPr>
      <w:r>
        <w:rPr>
          <w:rFonts w:hint="eastAsia" w:hAnsi="宋体" w:cs="宋体"/>
          <w:color w:val="auto"/>
          <w:sz w:val="21"/>
          <w:szCs w:val="21"/>
        </w:rPr>
        <w:t>（2）本报价已经包含了所供服务应纳的税金及磋商文件规定的报价方式应包含的其它费用。本报价在报价有效期内固定不变，并在合同有效期内不受利率波动的影响。</w:t>
      </w:r>
    </w:p>
    <w:p>
      <w:pPr>
        <w:pStyle w:val="22"/>
        <w:widowControl/>
        <w:spacing w:line="360" w:lineRule="auto"/>
        <w:ind w:firstLine="404" w:firstLineChars="200"/>
        <w:jc w:val="left"/>
        <w:rPr>
          <w:rFonts w:hAnsi="宋体" w:cs="宋体"/>
          <w:color w:val="auto"/>
          <w:sz w:val="21"/>
          <w:szCs w:val="21"/>
        </w:rPr>
      </w:pPr>
      <w:r>
        <w:rPr>
          <w:rFonts w:hint="eastAsia" w:hAnsi="宋体" w:cs="宋体"/>
          <w:color w:val="auto"/>
          <w:sz w:val="21"/>
          <w:szCs w:val="21"/>
        </w:rPr>
        <w:t>（3）本磋商响应文件自接受磋商响应文件截止之日起</w:t>
      </w:r>
      <w:r>
        <w:rPr>
          <w:rFonts w:hint="eastAsia" w:hAnsi="宋体" w:cs="宋体"/>
          <w:color w:val="auto"/>
          <w:sz w:val="21"/>
          <w:szCs w:val="21"/>
          <w:u w:val="single"/>
        </w:rPr>
        <w:t xml:space="preserve">  90 </w:t>
      </w:r>
      <w:r>
        <w:rPr>
          <w:rFonts w:hint="eastAsia" w:hAnsi="宋体" w:cs="宋体"/>
          <w:color w:val="auto"/>
          <w:sz w:val="21"/>
          <w:szCs w:val="21"/>
        </w:rPr>
        <w:t>天内有效。</w:t>
      </w:r>
    </w:p>
    <w:p>
      <w:pPr>
        <w:pStyle w:val="22"/>
        <w:widowControl/>
        <w:spacing w:line="360" w:lineRule="auto"/>
        <w:ind w:left="925" w:leftChars="200" w:hanging="505" w:hangingChars="250"/>
        <w:jc w:val="left"/>
        <w:rPr>
          <w:rFonts w:hAnsi="宋体" w:cs="宋体"/>
          <w:color w:val="auto"/>
          <w:sz w:val="21"/>
          <w:szCs w:val="21"/>
        </w:rPr>
      </w:pPr>
      <w:r>
        <w:rPr>
          <w:rFonts w:hint="eastAsia" w:hAnsi="宋体" w:cs="宋体"/>
          <w:color w:val="auto"/>
          <w:sz w:val="21"/>
          <w:szCs w:val="21"/>
        </w:rPr>
        <w:t>（4）我们已详细审查全部磋商文件及有关的澄清/修改文件(若有的话)，我们完全理解并同意放弃对这方面提出任何异议的权利。保证遵守磋商文件有关条款规定。</w:t>
      </w:r>
    </w:p>
    <w:p>
      <w:pPr>
        <w:pStyle w:val="22"/>
        <w:widowControl/>
        <w:spacing w:line="360" w:lineRule="auto"/>
        <w:ind w:left="925" w:leftChars="200" w:hanging="505" w:hangingChars="250"/>
        <w:jc w:val="left"/>
        <w:rPr>
          <w:rFonts w:hAnsi="宋体" w:cs="宋体"/>
          <w:color w:val="auto"/>
          <w:sz w:val="21"/>
          <w:szCs w:val="21"/>
        </w:rPr>
      </w:pPr>
      <w:r>
        <w:rPr>
          <w:rFonts w:hint="eastAsia" w:hAnsi="宋体" w:cs="宋体"/>
          <w:color w:val="auto"/>
          <w:sz w:val="21"/>
          <w:szCs w:val="21"/>
        </w:rPr>
        <w:t>（5）保证在成交后忠实地执行与采购人所签署的合同，并承担合同规定的责任义务。保证在成交后按照磋商文件的规定支付中介服务费。</w:t>
      </w:r>
    </w:p>
    <w:p>
      <w:pPr>
        <w:pStyle w:val="22"/>
        <w:widowControl/>
        <w:spacing w:line="360" w:lineRule="auto"/>
        <w:ind w:firstLine="404" w:firstLineChars="200"/>
        <w:jc w:val="left"/>
        <w:rPr>
          <w:rFonts w:hAnsi="宋体" w:cs="宋体"/>
          <w:color w:val="auto"/>
          <w:sz w:val="21"/>
          <w:szCs w:val="21"/>
        </w:rPr>
      </w:pPr>
      <w:r>
        <w:rPr>
          <w:rFonts w:hint="eastAsia" w:hAnsi="宋体" w:cs="宋体"/>
          <w:color w:val="auto"/>
          <w:sz w:val="21"/>
          <w:szCs w:val="21"/>
        </w:rPr>
        <w:t>（6）承诺应贵方要求提供任何与该项目报价有关的数据、情况和技术资料。</w:t>
      </w:r>
    </w:p>
    <w:p>
      <w:pPr>
        <w:pStyle w:val="22"/>
        <w:widowControl/>
        <w:spacing w:line="360" w:lineRule="auto"/>
        <w:ind w:left="824" w:leftChars="200" w:hanging="404" w:hangingChars="200"/>
        <w:jc w:val="left"/>
        <w:rPr>
          <w:rFonts w:hAnsi="宋体" w:cs="宋体"/>
          <w:color w:val="auto"/>
          <w:sz w:val="21"/>
          <w:szCs w:val="21"/>
        </w:rPr>
      </w:pPr>
      <w:r>
        <w:rPr>
          <w:rFonts w:hint="eastAsia" w:hAnsi="宋体" w:cs="宋体"/>
          <w:color w:val="auto"/>
          <w:sz w:val="21"/>
          <w:szCs w:val="21"/>
        </w:rPr>
        <w:t>（7）我们承诺，与为采购人采购本次磋商的服务进行设计、编制规范和其他文件所委托的咨询公司或其附属机构无任何直接或间接的关联。</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3.我们郑重声明：</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我公司符合有关法律法规规定的参加采购活动应当具备的条件：具有健全的财务会计制度、依法缴纳税收和社会保障资金、参加本次采购活动之前的三年内，在经营活动中无重大违法活动。</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4.与本竞争性磋商有关的一切往来通讯请寄：</w:t>
      </w:r>
    </w:p>
    <w:p>
      <w:pPr>
        <w:pStyle w:val="22"/>
        <w:widowControl/>
        <w:spacing w:line="360" w:lineRule="auto"/>
        <w:ind w:firstLine="474"/>
        <w:jc w:val="left"/>
        <w:rPr>
          <w:rFonts w:hAnsi="宋体" w:cs="宋体"/>
          <w:color w:val="auto"/>
          <w:sz w:val="21"/>
          <w:szCs w:val="21"/>
        </w:rPr>
      </w:pPr>
      <w:r>
        <w:rPr>
          <w:rFonts w:hint="eastAsia" w:hAnsi="宋体" w:cs="宋体"/>
          <w:color w:val="auto"/>
          <w:sz w:val="21"/>
          <w:szCs w:val="21"/>
        </w:rPr>
        <w:t>地址：</w:t>
      </w:r>
      <w:r>
        <w:rPr>
          <w:rFonts w:hint="eastAsia" w:hAnsi="宋体" w:cs="宋体"/>
          <w:color w:val="auto"/>
          <w:sz w:val="21"/>
          <w:szCs w:val="21"/>
          <w:u w:val="single"/>
        </w:rPr>
        <w:t xml:space="preserve">                                                   </w:t>
      </w:r>
    </w:p>
    <w:p>
      <w:pPr>
        <w:pStyle w:val="22"/>
        <w:widowControl/>
        <w:spacing w:line="360" w:lineRule="auto"/>
        <w:ind w:firstLine="474"/>
        <w:jc w:val="left"/>
        <w:rPr>
          <w:rFonts w:hAnsi="宋体" w:cs="宋体"/>
          <w:color w:val="auto"/>
          <w:sz w:val="21"/>
          <w:szCs w:val="21"/>
          <w:u w:val="single"/>
        </w:rPr>
      </w:pPr>
      <w:r>
        <w:rPr>
          <w:rFonts w:hint="eastAsia" w:hAnsi="宋体" w:cs="宋体"/>
          <w:color w:val="auto"/>
          <w:sz w:val="21"/>
          <w:szCs w:val="21"/>
        </w:rPr>
        <w:t>邮编：</w:t>
      </w:r>
      <w:r>
        <w:rPr>
          <w:rFonts w:hint="eastAsia" w:hAnsi="宋体" w:cs="宋体"/>
          <w:color w:val="auto"/>
          <w:sz w:val="21"/>
          <w:szCs w:val="21"/>
          <w:u w:val="single"/>
        </w:rPr>
        <w:t xml:space="preserve">            </w:t>
      </w:r>
      <w:r>
        <w:rPr>
          <w:rFonts w:hint="eastAsia" w:hAnsi="宋体" w:cs="宋体"/>
          <w:color w:val="auto"/>
          <w:sz w:val="21"/>
          <w:szCs w:val="21"/>
        </w:rPr>
        <w:t>电话：</w:t>
      </w:r>
      <w:r>
        <w:rPr>
          <w:rFonts w:hint="eastAsia" w:hAnsi="宋体" w:cs="宋体"/>
          <w:color w:val="auto"/>
          <w:sz w:val="21"/>
          <w:szCs w:val="21"/>
          <w:u w:val="single"/>
        </w:rPr>
        <w:t xml:space="preserve">              </w:t>
      </w:r>
      <w:r>
        <w:rPr>
          <w:rFonts w:hint="eastAsia" w:hAnsi="宋体" w:cs="宋体"/>
          <w:color w:val="auto"/>
          <w:sz w:val="21"/>
          <w:szCs w:val="21"/>
        </w:rPr>
        <w:t>传真：</w:t>
      </w:r>
      <w:r>
        <w:rPr>
          <w:rFonts w:hint="eastAsia" w:hAnsi="宋体" w:cs="宋体"/>
          <w:color w:val="auto"/>
          <w:sz w:val="21"/>
          <w:szCs w:val="21"/>
          <w:u w:val="single"/>
        </w:rPr>
        <w:t xml:space="preserve">             </w:t>
      </w:r>
    </w:p>
    <w:p>
      <w:pPr>
        <w:widowControl/>
        <w:ind w:firstLine="4830" w:firstLineChars="2300"/>
        <w:jc w:val="left"/>
        <w:rPr>
          <w:rFonts w:ascii="宋体" w:hAnsi="宋体" w:cs="宋体"/>
          <w:bCs/>
          <w:color w:val="auto"/>
          <w:kern w:val="0"/>
          <w:szCs w:val="21"/>
        </w:rPr>
      </w:pPr>
      <w:bookmarkStart w:id="196" w:name="_Toc11500"/>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pStyle w:val="22"/>
        <w:widowControl/>
        <w:spacing w:line="360" w:lineRule="auto"/>
        <w:ind w:firstLine="422" w:firstLineChars="200"/>
        <w:jc w:val="left"/>
        <w:rPr>
          <w:rFonts w:hAnsi="宋体" w:cs="宋体"/>
          <w:b/>
          <w:color w:val="auto"/>
          <w:spacing w:val="0"/>
          <w:sz w:val="21"/>
          <w:szCs w:val="21"/>
        </w:rPr>
      </w:pPr>
    </w:p>
    <w:p>
      <w:pPr>
        <w:pStyle w:val="22"/>
        <w:widowControl/>
        <w:spacing w:line="360" w:lineRule="auto"/>
        <w:ind w:firstLine="422" w:firstLineChars="200"/>
        <w:jc w:val="left"/>
        <w:outlineLvl w:val="2"/>
        <w:rPr>
          <w:rFonts w:hAnsi="宋体" w:cs="宋体"/>
          <w:b/>
          <w:color w:val="auto"/>
          <w:spacing w:val="0"/>
          <w:sz w:val="21"/>
          <w:szCs w:val="21"/>
        </w:rPr>
      </w:pPr>
      <w:r>
        <w:rPr>
          <w:rFonts w:hint="eastAsia" w:hAnsi="宋体" w:cs="宋体"/>
          <w:b/>
          <w:color w:val="auto"/>
          <w:spacing w:val="0"/>
          <w:sz w:val="21"/>
          <w:szCs w:val="21"/>
        </w:rPr>
        <w:t>2.报价一览表</w:t>
      </w:r>
      <w:bookmarkEnd w:id="196"/>
    </w:p>
    <w:p>
      <w:pPr>
        <w:rPr>
          <w:rFonts w:ascii="宋体" w:hAnsi="宋体" w:cs="宋体"/>
          <w:b/>
          <w:color w:val="auto"/>
          <w:szCs w:val="21"/>
        </w:rPr>
      </w:pPr>
    </w:p>
    <w:p>
      <w:pPr>
        <w:spacing w:line="360" w:lineRule="auto"/>
        <w:jc w:val="center"/>
        <w:rPr>
          <w:b/>
          <w:color w:val="auto"/>
          <w:sz w:val="32"/>
          <w:szCs w:val="32"/>
        </w:rPr>
      </w:pPr>
      <w:bookmarkStart w:id="197" w:name="_Toc9362"/>
      <w:r>
        <w:rPr>
          <w:rFonts w:hint="eastAsia"/>
          <w:b/>
          <w:color w:val="auto"/>
          <w:sz w:val="32"/>
          <w:szCs w:val="32"/>
        </w:rPr>
        <w:t>报价</w:t>
      </w:r>
      <w:r>
        <w:rPr>
          <w:b/>
          <w:color w:val="auto"/>
          <w:sz w:val="32"/>
          <w:szCs w:val="32"/>
        </w:rPr>
        <w:t>一览表</w:t>
      </w:r>
      <w:bookmarkEnd w:id="197"/>
    </w:p>
    <w:p>
      <w:pPr>
        <w:pStyle w:val="22"/>
        <w:spacing w:line="360" w:lineRule="auto"/>
        <w:ind w:left="-178" w:leftChars="-85" w:firstLine="525" w:firstLineChars="250"/>
        <w:rPr>
          <w:rFonts w:ascii="Times New Roman"/>
          <w:color w:val="auto"/>
          <w:spacing w:val="0"/>
          <w:sz w:val="21"/>
          <w:szCs w:val="21"/>
        </w:rPr>
      </w:pPr>
      <w:r>
        <w:rPr>
          <w:rFonts w:ascii="Times New Roman"/>
          <w:color w:val="auto"/>
          <w:spacing w:val="0"/>
          <w:sz w:val="21"/>
          <w:szCs w:val="21"/>
        </w:rPr>
        <w:t>项目</w:t>
      </w:r>
      <w:r>
        <w:rPr>
          <w:rFonts w:hint="eastAsia" w:ascii="Times New Roman"/>
          <w:color w:val="auto"/>
          <w:spacing w:val="0"/>
          <w:sz w:val="21"/>
          <w:szCs w:val="21"/>
        </w:rPr>
        <w:t>名称</w:t>
      </w:r>
      <w:r>
        <w:rPr>
          <w:rFonts w:ascii="Times New Roman"/>
          <w:color w:val="auto"/>
          <w:spacing w:val="0"/>
          <w:sz w:val="21"/>
          <w:szCs w:val="21"/>
        </w:rPr>
        <w:t>：                  项目</w:t>
      </w:r>
      <w:r>
        <w:rPr>
          <w:rFonts w:hint="eastAsia" w:ascii="Times New Roman"/>
          <w:color w:val="auto"/>
          <w:spacing w:val="0"/>
          <w:sz w:val="21"/>
          <w:szCs w:val="21"/>
        </w:rPr>
        <w:t>编号</w:t>
      </w:r>
      <w:r>
        <w:rPr>
          <w:rFonts w:ascii="Times New Roman"/>
          <w:color w:val="auto"/>
          <w:spacing w:val="0"/>
          <w:sz w:val="21"/>
          <w:szCs w:val="21"/>
        </w:rPr>
        <w:t>：                       单位：元</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148"/>
        <w:gridCol w:w="357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pStyle w:val="44"/>
              <w:widowControl w:val="0"/>
              <w:snapToGrid w:val="0"/>
              <w:spacing w:before="0" w:beforeAutospacing="0" w:after="120" w:afterAutospacing="0" w:line="360" w:lineRule="auto"/>
              <w:jc w:val="both"/>
              <w:rPr>
                <w:color w:val="auto"/>
                <w:sz w:val="21"/>
                <w:szCs w:val="21"/>
              </w:rPr>
            </w:pPr>
            <w:r>
              <w:rPr>
                <w:rFonts w:hint="eastAsia"/>
                <w:color w:val="auto"/>
                <w:spacing w:val="-4"/>
                <w:kern w:val="2"/>
                <w:sz w:val="21"/>
                <w:szCs w:val="21"/>
                <w:lang w:bidi="ar"/>
              </w:rPr>
              <w:t>序号</w:t>
            </w:r>
          </w:p>
        </w:tc>
        <w:tc>
          <w:tcPr>
            <w:tcW w:w="2148" w:type="dxa"/>
            <w:tcBorders>
              <w:top w:val="single" w:color="auto" w:sz="4" w:space="0"/>
              <w:left w:val="single" w:color="auto" w:sz="4" w:space="0"/>
              <w:bottom w:val="single" w:color="auto" w:sz="4" w:space="0"/>
              <w:right w:val="single" w:color="auto" w:sz="4" w:space="0"/>
            </w:tcBorders>
            <w:vAlign w:val="center"/>
          </w:tcPr>
          <w:p>
            <w:pPr>
              <w:pStyle w:val="44"/>
              <w:widowControl w:val="0"/>
              <w:snapToGrid w:val="0"/>
              <w:spacing w:before="0" w:beforeAutospacing="0" w:after="120" w:afterAutospacing="0" w:line="360" w:lineRule="auto"/>
              <w:jc w:val="both"/>
              <w:rPr>
                <w:color w:val="auto"/>
                <w:spacing w:val="-4"/>
                <w:kern w:val="2"/>
                <w:sz w:val="21"/>
                <w:szCs w:val="21"/>
                <w:lang w:bidi="ar"/>
              </w:rPr>
            </w:pPr>
            <w:r>
              <w:rPr>
                <w:color w:val="auto"/>
                <w:spacing w:val="-4"/>
                <w:kern w:val="2"/>
                <w:sz w:val="21"/>
                <w:szCs w:val="21"/>
                <w:lang w:bidi="ar"/>
              </w:rPr>
              <w:t>采购内容</w:t>
            </w:r>
          </w:p>
        </w:tc>
        <w:tc>
          <w:tcPr>
            <w:tcW w:w="3573" w:type="dxa"/>
            <w:tcBorders>
              <w:top w:val="single" w:color="auto" w:sz="4" w:space="0"/>
              <w:left w:val="single" w:color="auto" w:sz="4" w:space="0"/>
              <w:right w:val="single" w:color="auto" w:sz="4" w:space="0"/>
            </w:tcBorders>
            <w:vAlign w:val="center"/>
          </w:tcPr>
          <w:p>
            <w:pPr>
              <w:pStyle w:val="44"/>
              <w:widowControl w:val="0"/>
              <w:snapToGrid w:val="0"/>
              <w:spacing w:before="0" w:beforeAutospacing="0" w:after="120" w:afterAutospacing="0" w:line="360" w:lineRule="auto"/>
              <w:jc w:val="both"/>
              <w:rPr>
                <w:color w:val="auto"/>
                <w:spacing w:val="-4"/>
                <w:kern w:val="2"/>
                <w:sz w:val="21"/>
                <w:szCs w:val="21"/>
                <w:lang w:bidi="ar"/>
              </w:rPr>
            </w:pPr>
            <w:r>
              <w:rPr>
                <w:color w:val="auto"/>
                <w:spacing w:val="-4"/>
                <w:kern w:val="2"/>
                <w:sz w:val="21"/>
                <w:szCs w:val="21"/>
                <w:lang w:bidi="ar"/>
              </w:rPr>
              <w:t>投标报价</w:t>
            </w:r>
          </w:p>
        </w:tc>
        <w:tc>
          <w:tcPr>
            <w:tcW w:w="2348" w:type="dxa"/>
            <w:tcBorders>
              <w:top w:val="single" w:color="auto" w:sz="4" w:space="0"/>
              <w:left w:val="single" w:color="auto" w:sz="4" w:space="0"/>
              <w:bottom w:val="single" w:color="auto" w:sz="4" w:space="0"/>
              <w:right w:val="single" w:color="auto" w:sz="4" w:space="0"/>
            </w:tcBorders>
            <w:vAlign w:val="center"/>
          </w:tcPr>
          <w:p>
            <w:pPr>
              <w:pStyle w:val="44"/>
              <w:widowControl w:val="0"/>
              <w:snapToGrid w:val="0"/>
              <w:spacing w:before="0" w:beforeAutospacing="0" w:after="120" w:afterAutospacing="0" w:line="360" w:lineRule="auto"/>
              <w:jc w:val="both"/>
              <w:rPr>
                <w:color w:val="auto"/>
                <w:spacing w:val="-4"/>
                <w:sz w:val="21"/>
                <w:szCs w:val="21"/>
              </w:rPr>
            </w:pPr>
            <w:r>
              <w:rPr>
                <w:color w:val="auto"/>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pStyle w:val="44"/>
              <w:widowControl w:val="0"/>
              <w:snapToGrid w:val="0"/>
              <w:spacing w:before="0" w:beforeAutospacing="0" w:after="120" w:afterAutospacing="0" w:line="360" w:lineRule="auto"/>
              <w:ind w:firstLine="420"/>
              <w:jc w:val="both"/>
              <w:rPr>
                <w:color w:val="auto"/>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pStyle w:val="44"/>
              <w:widowControl w:val="0"/>
              <w:spacing w:before="0" w:beforeAutospacing="0" w:after="120" w:afterAutospacing="0" w:line="360" w:lineRule="auto"/>
              <w:jc w:val="both"/>
              <w:rPr>
                <w:color w:val="auto"/>
                <w:sz w:val="21"/>
                <w:szCs w:val="21"/>
              </w:rPr>
            </w:pPr>
          </w:p>
        </w:tc>
        <w:tc>
          <w:tcPr>
            <w:tcW w:w="3573" w:type="dxa"/>
            <w:tcBorders>
              <w:left w:val="single" w:color="auto" w:sz="4" w:space="0"/>
              <w:bottom w:val="single" w:color="auto" w:sz="4" w:space="0"/>
              <w:right w:val="single" w:color="auto" w:sz="4" w:space="0"/>
            </w:tcBorders>
            <w:vAlign w:val="center"/>
          </w:tcPr>
          <w:p>
            <w:pPr>
              <w:pStyle w:val="44"/>
              <w:widowControl w:val="0"/>
              <w:spacing w:before="0" w:beforeAutospacing="0" w:after="120" w:afterAutospacing="0" w:line="360" w:lineRule="auto"/>
              <w:jc w:val="both"/>
              <w:rPr>
                <w:color w:val="auto"/>
                <w:sz w:val="21"/>
                <w:szCs w:val="21"/>
              </w:rPr>
            </w:pPr>
            <w:r>
              <w:rPr>
                <w:color w:val="auto"/>
                <w:sz w:val="21"/>
                <w:szCs w:val="21"/>
              </w:rPr>
              <w:t>小写:</w:t>
            </w:r>
          </w:p>
          <w:p>
            <w:pPr>
              <w:pStyle w:val="44"/>
              <w:widowControl w:val="0"/>
              <w:spacing w:before="0" w:beforeAutospacing="0" w:after="120" w:afterAutospacing="0" w:line="360" w:lineRule="auto"/>
              <w:jc w:val="both"/>
              <w:rPr>
                <w:color w:val="auto"/>
                <w:sz w:val="21"/>
                <w:szCs w:val="21"/>
              </w:rPr>
            </w:pPr>
          </w:p>
          <w:p>
            <w:pPr>
              <w:pStyle w:val="44"/>
              <w:widowControl w:val="0"/>
              <w:spacing w:before="0" w:beforeAutospacing="0" w:after="120" w:afterAutospacing="0" w:line="360" w:lineRule="auto"/>
              <w:jc w:val="both"/>
              <w:rPr>
                <w:color w:val="auto"/>
                <w:sz w:val="21"/>
                <w:szCs w:val="21"/>
              </w:rPr>
            </w:pPr>
            <w:r>
              <w:rPr>
                <w:color w:val="auto"/>
                <w:sz w:val="21"/>
                <w:szCs w:val="21"/>
              </w:rPr>
              <w:t>大写：</w:t>
            </w:r>
          </w:p>
        </w:tc>
        <w:tc>
          <w:tcPr>
            <w:tcW w:w="2348" w:type="dxa"/>
            <w:tcBorders>
              <w:top w:val="single" w:color="auto" w:sz="4" w:space="0"/>
              <w:left w:val="single" w:color="auto" w:sz="4" w:space="0"/>
              <w:bottom w:val="single" w:color="auto" w:sz="4" w:space="0"/>
              <w:right w:val="single" w:color="auto" w:sz="4" w:space="0"/>
            </w:tcBorders>
            <w:vAlign w:val="center"/>
          </w:tcPr>
          <w:p>
            <w:pPr>
              <w:pStyle w:val="44"/>
              <w:widowControl w:val="0"/>
              <w:spacing w:before="0" w:beforeAutospacing="0" w:after="120" w:afterAutospacing="0" w:line="360" w:lineRule="auto"/>
              <w:jc w:val="both"/>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427" w:type="dxa"/>
            <w:gridSpan w:val="2"/>
            <w:tcBorders>
              <w:top w:val="single" w:color="auto" w:sz="4" w:space="0"/>
              <w:left w:val="single" w:color="auto" w:sz="4" w:space="0"/>
              <w:bottom w:val="single" w:color="auto" w:sz="4" w:space="0"/>
              <w:right w:val="single" w:color="auto" w:sz="4" w:space="0"/>
            </w:tcBorders>
            <w:vAlign w:val="center"/>
          </w:tcPr>
          <w:p>
            <w:pPr>
              <w:pStyle w:val="44"/>
              <w:widowControl w:val="0"/>
              <w:snapToGrid w:val="0"/>
              <w:spacing w:before="0" w:beforeAutospacing="0" w:after="120" w:afterAutospacing="0" w:line="360" w:lineRule="auto"/>
              <w:ind w:firstLine="404"/>
              <w:jc w:val="center"/>
              <w:rPr>
                <w:color w:val="auto"/>
                <w:spacing w:val="-4"/>
                <w:kern w:val="2"/>
                <w:sz w:val="21"/>
                <w:szCs w:val="21"/>
                <w:lang w:bidi="ar"/>
              </w:rPr>
            </w:pPr>
            <w:r>
              <w:rPr>
                <w:color w:val="auto"/>
                <w:spacing w:val="-4"/>
                <w:kern w:val="2"/>
                <w:sz w:val="21"/>
                <w:szCs w:val="21"/>
                <w:lang w:bidi="ar"/>
              </w:rPr>
              <w:t>投标声明</w:t>
            </w:r>
          </w:p>
        </w:tc>
        <w:tc>
          <w:tcPr>
            <w:tcW w:w="5921" w:type="dxa"/>
            <w:gridSpan w:val="2"/>
            <w:tcBorders>
              <w:top w:val="single" w:color="auto" w:sz="4" w:space="0"/>
              <w:left w:val="single" w:color="auto" w:sz="4" w:space="0"/>
              <w:bottom w:val="single" w:color="auto" w:sz="4" w:space="0"/>
              <w:right w:val="single" w:color="auto" w:sz="4" w:space="0"/>
            </w:tcBorders>
            <w:vAlign w:val="center"/>
          </w:tcPr>
          <w:p>
            <w:pPr>
              <w:pStyle w:val="44"/>
              <w:widowControl w:val="0"/>
              <w:spacing w:before="0" w:beforeAutospacing="0" w:after="120" w:afterAutospacing="0" w:line="360" w:lineRule="auto"/>
              <w:ind w:firstLine="404"/>
              <w:rPr>
                <w:color w:val="auto"/>
                <w:spacing w:val="-4"/>
                <w:kern w:val="2"/>
                <w:sz w:val="21"/>
                <w:szCs w:val="21"/>
                <w:lang w:bidi="ar"/>
              </w:rPr>
            </w:pPr>
          </w:p>
        </w:tc>
      </w:tr>
    </w:tbl>
    <w:p>
      <w:pPr>
        <w:snapToGrid w:val="0"/>
        <w:spacing w:before="50" w:after="50"/>
        <w:jc w:val="left"/>
        <w:rPr>
          <w:color w:val="auto"/>
          <w:szCs w:val="21"/>
        </w:rPr>
      </w:pPr>
      <w:r>
        <w:rPr>
          <w:color w:val="auto"/>
          <w:szCs w:val="21"/>
        </w:rPr>
        <w:t>注: 1、报价一经涂改，应在涂改处加盖单位公章或者由法定代表人或授权委托人签字或盖章，否则其投标作无效标处理。</w:t>
      </w:r>
    </w:p>
    <w:p>
      <w:pPr>
        <w:pStyle w:val="22"/>
        <w:snapToGrid w:val="0"/>
        <w:spacing w:line="360" w:lineRule="auto"/>
        <w:ind w:firstLine="542"/>
        <w:rPr>
          <w:rFonts w:hAnsi="宋体" w:cs="宋体"/>
          <w:color w:val="auto"/>
          <w:sz w:val="21"/>
          <w:szCs w:val="21"/>
        </w:rPr>
      </w:pPr>
      <w:r>
        <w:rPr>
          <w:color w:val="auto"/>
          <w:szCs w:val="21"/>
        </w:rPr>
        <w:t>2、以上报价合计应与“投标分项报价表”中的“投标总价”相一致。</w:t>
      </w:r>
    </w:p>
    <w:p>
      <w:pPr>
        <w:widowControl/>
        <w:ind w:firstLine="4830" w:firstLineChars="2300"/>
        <w:jc w:val="left"/>
        <w:rPr>
          <w:rFonts w:ascii="宋体" w:hAnsi="宋体" w:cs="宋体"/>
          <w:bCs/>
          <w:color w:val="auto"/>
          <w:kern w:val="0"/>
          <w:szCs w:val="21"/>
        </w:rPr>
      </w:pPr>
      <w:bookmarkStart w:id="198" w:name="_Toc28503"/>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snapToGrid w:val="0"/>
        <w:spacing w:line="360" w:lineRule="auto"/>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b/>
          <w:color w:val="auto"/>
          <w:szCs w:val="21"/>
        </w:rPr>
        <w:br w:type="page"/>
      </w:r>
      <w:r>
        <w:rPr>
          <w:rFonts w:hint="eastAsia" w:ascii="宋体" w:hAnsi="宋体" w:cs="宋体"/>
          <w:b/>
          <w:color w:val="auto"/>
          <w:szCs w:val="21"/>
        </w:rPr>
        <w:t>3.报价明细表</w:t>
      </w:r>
      <w:bookmarkEnd w:id="198"/>
    </w:p>
    <w:p>
      <w:pPr>
        <w:spacing w:line="360" w:lineRule="auto"/>
        <w:rPr>
          <w:rFonts w:ascii="宋体" w:hAnsi="宋体" w:cs="宋体"/>
          <w:color w:val="auto"/>
          <w:szCs w:val="21"/>
        </w:rPr>
      </w:pPr>
    </w:p>
    <w:p>
      <w:pPr>
        <w:widowControl/>
        <w:spacing w:line="400" w:lineRule="exact"/>
        <w:jc w:val="center"/>
        <w:rPr>
          <w:rFonts w:ascii="宋体" w:hAnsi="宋体" w:cs="宋体"/>
          <w:b/>
          <w:color w:val="auto"/>
          <w:sz w:val="32"/>
          <w:szCs w:val="32"/>
        </w:rPr>
      </w:pPr>
      <w:r>
        <w:rPr>
          <w:rFonts w:hint="eastAsia" w:ascii="宋体" w:hAnsi="宋体" w:cs="宋体"/>
          <w:b/>
          <w:color w:val="auto"/>
          <w:sz w:val="32"/>
          <w:szCs w:val="32"/>
        </w:rPr>
        <w:t>报价明细表</w:t>
      </w:r>
    </w:p>
    <w:p>
      <w:pPr>
        <w:rPr>
          <w:b/>
          <w:color w:val="auto"/>
          <w:sz w:val="24"/>
          <w:szCs w:val="21"/>
        </w:rPr>
      </w:pPr>
    </w:p>
    <w:p>
      <w:pPr>
        <w:snapToGrid w:val="0"/>
        <w:spacing w:before="50" w:after="50"/>
        <w:rPr>
          <w:color w:val="auto"/>
          <w:szCs w:val="21"/>
        </w:rPr>
      </w:pPr>
      <w:r>
        <w:rPr>
          <w:color w:val="auto"/>
          <w:szCs w:val="21"/>
        </w:rPr>
        <w:t>项目</w:t>
      </w:r>
      <w:r>
        <w:rPr>
          <w:rFonts w:hint="eastAsia"/>
          <w:color w:val="auto"/>
          <w:szCs w:val="21"/>
        </w:rPr>
        <w:t>名称</w:t>
      </w:r>
      <w:r>
        <w:rPr>
          <w:color w:val="auto"/>
          <w:szCs w:val="21"/>
        </w:rPr>
        <w:t xml:space="preserve">：                  </w:t>
      </w:r>
      <w:r>
        <w:rPr>
          <w:rFonts w:hint="eastAsia"/>
          <w:color w:val="auto"/>
          <w:szCs w:val="21"/>
        </w:rPr>
        <w:t xml:space="preserve">                       </w:t>
      </w:r>
      <w:r>
        <w:rPr>
          <w:bCs/>
          <w:color w:val="auto"/>
          <w:szCs w:val="21"/>
        </w:rPr>
        <w:t>项目</w:t>
      </w:r>
      <w:r>
        <w:rPr>
          <w:rFonts w:hint="eastAsia"/>
          <w:bCs/>
          <w:color w:val="auto"/>
          <w:szCs w:val="21"/>
        </w:rPr>
        <w:t>编号</w:t>
      </w:r>
      <w:r>
        <w:rPr>
          <w:color w:val="auto"/>
          <w:szCs w:val="21"/>
        </w:rPr>
        <w:t>：</w:t>
      </w:r>
      <w:r>
        <w:rPr>
          <w:color w:val="auto"/>
          <w:szCs w:val="21"/>
          <w:u w:val="single"/>
        </w:rPr>
        <w:t xml:space="preserve">                    </w:t>
      </w:r>
      <w:r>
        <w:rPr>
          <w:color w:val="auto"/>
          <w:szCs w:val="21"/>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425"/>
        <w:gridCol w:w="294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b/>
                <w:color w:val="auto"/>
              </w:rPr>
            </w:pPr>
            <w:r>
              <w:rPr>
                <w:b/>
                <w:color w:val="auto"/>
              </w:rPr>
              <w:t>序号</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b/>
                <w:color w:val="auto"/>
              </w:rPr>
            </w:pPr>
            <w:r>
              <w:rPr>
                <w:b/>
                <w:color w:val="auto"/>
              </w:rPr>
              <w:t>内 容</w:t>
            </w: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b/>
                <w:color w:val="auto"/>
              </w:rPr>
            </w:pPr>
            <w:r>
              <w:rPr>
                <w:b/>
                <w:color w:val="auto"/>
              </w:rPr>
              <w:t>报  价（元）</w:t>
            </w: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b/>
                <w:color w:val="auto"/>
              </w:rPr>
            </w:pPr>
            <w:r>
              <w:rPr>
                <w:b/>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color w:val="auto"/>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color w:val="auto"/>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3</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color w:val="auto"/>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4</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color w:val="auto"/>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5</w:t>
            </w:r>
          </w:p>
        </w:tc>
        <w:tc>
          <w:tcPr>
            <w:tcW w:w="3425" w:type="dxa"/>
            <w:tcBorders>
              <w:top w:val="single" w:color="auto" w:sz="4" w:space="0"/>
              <w:left w:val="single" w:color="auto" w:sz="4" w:space="0"/>
              <w:bottom w:val="single" w:color="auto" w:sz="4" w:space="0"/>
              <w:right w:val="single" w:color="auto" w:sz="4" w:space="0"/>
            </w:tcBorders>
            <w:vAlign w:val="center"/>
          </w:tcPr>
          <w:p>
            <w:pPr>
              <w:widowControl/>
              <w:rPr>
                <w:color w:val="auto"/>
                <w:kern w:val="0"/>
                <w:szCs w:val="21"/>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7</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8</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9</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32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合计</w:t>
            </w: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74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合计（大写）：                               元整</w:t>
            </w:r>
          </w:p>
        </w:tc>
      </w:tr>
    </w:tbl>
    <w:p>
      <w:pPr>
        <w:ind w:firstLine="210" w:firstLineChars="100"/>
        <w:rPr>
          <w:color w:val="auto"/>
          <w:szCs w:val="21"/>
        </w:rPr>
      </w:pPr>
      <w:r>
        <w:rPr>
          <w:color w:val="auto"/>
          <w:szCs w:val="21"/>
        </w:rPr>
        <w:t>备注：此表可根据实际情况调整。</w:t>
      </w:r>
    </w:p>
    <w:p>
      <w:pPr>
        <w:spacing w:line="360" w:lineRule="auto"/>
        <w:rPr>
          <w:rFonts w:ascii="宋体" w:hAnsi="宋体" w:cs="宋体"/>
          <w:color w:val="auto"/>
          <w:szCs w:val="21"/>
        </w:rPr>
      </w:pPr>
    </w:p>
    <w:p>
      <w:pPr>
        <w:pStyle w:val="22"/>
        <w:snapToGrid w:val="0"/>
        <w:spacing w:line="360" w:lineRule="auto"/>
        <w:ind w:firstLine="542"/>
        <w:rPr>
          <w:rFonts w:hAnsi="宋体" w:cs="宋体"/>
          <w:color w:val="auto"/>
          <w:spacing w:val="0"/>
          <w:sz w:val="21"/>
          <w:szCs w:val="21"/>
        </w:rPr>
      </w:pPr>
    </w:p>
    <w:p>
      <w:pPr>
        <w:widowControl/>
        <w:ind w:firstLine="4830" w:firstLineChars="2300"/>
        <w:jc w:val="left"/>
        <w:rPr>
          <w:rFonts w:ascii="宋体" w:hAnsi="宋体" w:cs="宋体"/>
          <w:bCs/>
          <w:color w:val="auto"/>
          <w:kern w:val="0"/>
          <w:szCs w:val="21"/>
        </w:rPr>
      </w:pPr>
      <w:bookmarkStart w:id="199" w:name="_Toc460857950"/>
      <w:bookmarkStart w:id="200" w:name="_Toc30143"/>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snapToGrid w:val="0"/>
        <w:spacing w:line="360" w:lineRule="auto"/>
        <w:outlineLvl w:val="2"/>
        <w:rPr>
          <w:rFonts w:ascii="宋体" w:hAnsi="宋体" w:cs="宋体"/>
          <w:b/>
          <w:color w:val="auto"/>
          <w:szCs w:val="21"/>
        </w:rPr>
      </w:pPr>
      <w:r>
        <w:rPr>
          <w:rFonts w:hint="eastAsia" w:ascii="宋体" w:hAnsi="宋体" w:cs="宋体"/>
          <w:b/>
          <w:color w:val="auto"/>
          <w:szCs w:val="21"/>
        </w:rPr>
        <w:br w:type="page"/>
      </w:r>
      <w:r>
        <w:rPr>
          <w:rFonts w:hint="eastAsia" w:ascii="宋体" w:hAnsi="宋体" w:cs="宋体"/>
          <w:b/>
          <w:color w:val="auto"/>
          <w:szCs w:val="21"/>
        </w:rPr>
        <w:t>4.中小企业声明函</w:t>
      </w:r>
      <w:bookmarkEnd w:id="199"/>
      <w:bookmarkEnd w:id="200"/>
    </w:p>
    <w:p>
      <w:pPr>
        <w:widowControl/>
        <w:spacing w:line="400" w:lineRule="exact"/>
        <w:jc w:val="center"/>
        <w:rPr>
          <w:rFonts w:ascii="宋体" w:hAnsi="宋体" w:cs="宋体"/>
          <w:b/>
          <w:color w:val="auto"/>
          <w:sz w:val="32"/>
          <w:szCs w:val="32"/>
        </w:rPr>
      </w:pPr>
      <w:r>
        <w:rPr>
          <w:rFonts w:hint="eastAsia" w:ascii="宋体" w:hAnsi="宋体" w:cs="宋体"/>
          <w:b/>
          <w:color w:val="auto"/>
          <w:sz w:val="32"/>
          <w:szCs w:val="32"/>
        </w:rPr>
        <w:t>中小企业声明函</w:t>
      </w:r>
    </w:p>
    <w:p>
      <w:pPr>
        <w:pStyle w:val="22"/>
        <w:spacing w:line="520" w:lineRule="exact"/>
        <w:jc w:val="center"/>
        <w:rPr>
          <w:rFonts w:hAnsi="宋体" w:cs="宋体"/>
          <w:b/>
          <w:color w:val="auto"/>
          <w:sz w:val="21"/>
          <w:szCs w:val="21"/>
        </w:rPr>
      </w:pPr>
    </w:p>
    <w:p>
      <w:pPr>
        <w:snapToGrid w:val="0"/>
        <w:spacing w:before="120" w:beforeLines="50" w:after="50"/>
        <w:ind w:firstLine="480"/>
        <w:rPr>
          <w:rFonts w:ascii="宋体" w:hAnsi="宋体" w:cs="宋体"/>
          <w:color w:val="auto"/>
          <w:szCs w:val="21"/>
        </w:rPr>
      </w:pPr>
      <w:r>
        <w:rPr>
          <w:rFonts w:hint="eastAsia" w:ascii="宋体" w:hAnsi="宋体" w:cs="宋体"/>
          <w:color w:val="auto"/>
          <w:szCs w:val="21"/>
        </w:rPr>
        <w:t>本公司（联合体）郑重声明，根据《政府采购促进中小企业发展管理办法》（财库〔2020 ） 46号）的规定，本公司 （联合体）参加</w:t>
      </w:r>
      <w:r>
        <w:rPr>
          <w:rFonts w:hint="eastAsia" w:ascii="宋体" w:hAnsi="宋体" w:cs="宋体"/>
          <w:color w:val="auto"/>
          <w:szCs w:val="21"/>
          <w:u w:val="single"/>
        </w:rPr>
        <w:t>（单位名称）</w:t>
      </w:r>
      <w:r>
        <w:rPr>
          <w:rFonts w:hint="eastAsia" w:ascii="宋体" w:hAnsi="宋体" w:cs="宋体"/>
          <w:color w:val="auto"/>
          <w:szCs w:val="21"/>
        </w:rPr>
        <w:t>的</w:t>
      </w:r>
      <w:r>
        <w:rPr>
          <w:rFonts w:hint="eastAsia" w:ascii="宋体" w:hAnsi="宋体" w:cs="宋体"/>
          <w:color w:val="auto"/>
          <w:szCs w:val="21"/>
          <w:u w:val="single"/>
        </w:rPr>
        <w:t>（项目名称）</w:t>
      </w:r>
      <w:r>
        <w:rPr>
          <w:rFonts w:hint="eastAsia" w:ascii="宋体" w:hAnsi="宋体" w:cs="宋体"/>
          <w:color w:val="auto"/>
          <w:szCs w:val="21"/>
        </w:rPr>
        <w:t>采购活动,提 供的货物全部由符合政策要求的中小企业制造。相关企业 （含联合体中的中小企业、签订分包意向协议的中小企业） 的具体情况如下：</w:t>
      </w:r>
    </w:p>
    <w:p>
      <w:pPr>
        <w:snapToGrid w:val="0"/>
        <w:spacing w:before="120" w:beforeLines="50" w:after="50"/>
        <w:ind w:firstLine="480"/>
        <w:rPr>
          <w:rFonts w:ascii="宋体" w:hAnsi="宋体" w:cs="宋体"/>
          <w:color w:val="auto"/>
          <w:szCs w:val="21"/>
        </w:rPr>
      </w:pPr>
      <w:bookmarkStart w:id="201" w:name="bookmark30"/>
      <w:bookmarkEnd w:id="201"/>
      <w:r>
        <w:rPr>
          <w:rFonts w:hint="eastAsia" w:ascii="宋体" w:hAnsi="宋体" w:cs="宋体"/>
          <w:color w:val="auto"/>
          <w:szCs w:val="21"/>
          <w:u w:val="single"/>
        </w:rPr>
        <w:t>1.（标的名称）</w:t>
      </w:r>
      <w:r>
        <w:rPr>
          <w:rFonts w:hint="eastAsia" w:ascii="宋体" w:hAnsi="宋体" w:cs="宋体"/>
          <w:color w:val="auto"/>
          <w:szCs w:val="21"/>
        </w:rPr>
        <w:t>,属于</w:t>
      </w:r>
      <w:r>
        <w:rPr>
          <w:rFonts w:hint="eastAsia" w:ascii="宋体" w:hAnsi="宋体" w:cs="宋体"/>
          <w:color w:val="auto"/>
          <w:szCs w:val="21"/>
          <w:u w:val="single"/>
        </w:rPr>
        <w:t xml:space="preserve">（  ） </w:t>
      </w:r>
      <w:r>
        <w:rPr>
          <w:rFonts w:hint="eastAsia" w:ascii="宋体" w:hAnsi="宋体" w:cs="宋体"/>
          <w:color w:val="auto"/>
          <w:szCs w:val="21"/>
        </w:rPr>
        <w:t>行业;制造商为</w:t>
      </w:r>
      <w:r>
        <w:rPr>
          <w:rFonts w:hint="eastAsia" w:ascii="宋体" w:hAnsi="宋体" w:cs="宋体"/>
          <w:color w:val="auto"/>
          <w:szCs w:val="21"/>
          <w:u w:val="single"/>
        </w:rPr>
        <w:t xml:space="preserve">（企业名称） </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rPr>
        <w:t xml:space="preserve"> 人，营业收入为</w:t>
      </w:r>
      <w:r>
        <w:rPr>
          <w:rFonts w:hint="eastAsia" w:ascii="宋体" w:hAnsi="宋体" w:cs="宋体"/>
          <w:color w:val="auto"/>
          <w:szCs w:val="21"/>
          <w:u w:val="single"/>
          <w:lang w:bidi="zh-CN"/>
        </w:rPr>
        <w:t xml:space="preserve">    </w:t>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万元\属于</w:t>
      </w:r>
      <w:r>
        <w:rPr>
          <w:rFonts w:hint="eastAsia" w:ascii="宋体" w:hAnsi="宋体" w:cs="宋体"/>
          <w:color w:val="auto"/>
          <w:szCs w:val="21"/>
          <w:u w:val="single"/>
        </w:rPr>
        <w:t>（中型企业、小 型企业、微型企业）</w:t>
      </w:r>
      <w:r>
        <w:rPr>
          <w:rFonts w:hint="eastAsia" w:ascii="宋体" w:hAnsi="宋体" w:cs="宋体"/>
          <w:color w:val="auto"/>
          <w:szCs w:val="21"/>
        </w:rPr>
        <w:t>；</w:t>
      </w:r>
    </w:p>
    <w:p>
      <w:pPr>
        <w:snapToGrid w:val="0"/>
        <w:spacing w:before="120" w:beforeLines="50" w:after="50"/>
        <w:ind w:firstLine="480"/>
        <w:rPr>
          <w:rFonts w:ascii="宋体" w:hAnsi="宋体" w:cs="宋体"/>
          <w:color w:val="auto"/>
          <w:szCs w:val="21"/>
        </w:rPr>
      </w:pPr>
      <w:bookmarkStart w:id="202" w:name="bookmark31"/>
      <w:bookmarkEnd w:id="202"/>
      <w:r>
        <w:rPr>
          <w:rFonts w:hint="eastAsia" w:ascii="宋体" w:hAnsi="宋体" w:cs="宋体"/>
          <w:color w:val="auto"/>
          <w:szCs w:val="21"/>
          <w:u w:val="single"/>
        </w:rPr>
        <w:t>2.（标的名称）</w:t>
      </w:r>
      <w:r>
        <w:rPr>
          <w:rFonts w:hint="eastAsia" w:ascii="宋体" w:hAnsi="宋体" w:cs="宋体"/>
          <w:color w:val="auto"/>
          <w:szCs w:val="21"/>
        </w:rPr>
        <w:t>,属于</w:t>
      </w:r>
      <w:r>
        <w:rPr>
          <w:rFonts w:hint="eastAsia" w:ascii="宋体" w:hAnsi="宋体" w:cs="宋体"/>
          <w:color w:val="auto"/>
          <w:szCs w:val="21"/>
          <w:u w:val="single"/>
        </w:rPr>
        <w:t xml:space="preserve">（  ） </w:t>
      </w:r>
      <w:r>
        <w:rPr>
          <w:rFonts w:hint="eastAsia" w:ascii="宋体" w:hAnsi="宋体" w:cs="宋体"/>
          <w:color w:val="auto"/>
          <w:szCs w:val="21"/>
        </w:rPr>
        <w:t>行业;制造商为</w:t>
      </w:r>
      <w:r>
        <w:rPr>
          <w:rFonts w:hint="eastAsia" w:ascii="宋体" w:hAnsi="宋体" w:cs="宋体"/>
          <w:color w:val="auto"/>
          <w:szCs w:val="21"/>
          <w:u w:val="single"/>
        </w:rPr>
        <w:t xml:space="preserve">（企业名称） </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rPr>
        <w:t xml:space="preserve"> 人，营业收入为</w:t>
      </w:r>
      <w:r>
        <w:rPr>
          <w:rFonts w:hint="eastAsia" w:ascii="宋体" w:hAnsi="宋体" w:cs="宋体"/>
          <w:color w:val="auto"/>
          <w:szCs w:val="21"/>
          <w:u w:val="single"/>
          <w:lang w:bidi="zh-CN"/>
        </w:rPr>
        <w:t xml:space="preserve">    </w:t>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万元\属于</w:t>
      </w:r>
      <w:r>
        <w:rPr>
          <w:rFonts w:hint="eastAsia" w:ascii="宋体" w:hAnsi="宋体" w:cs="宋体"/>
          <w:color w:val="auto"/>
          <w:szCs w:val="21"/>
          <w:u w:val="single"/>
        </w:rPr>
        <w:t>（中型企业、小 型企业、微型企业）</w:t>
      </w:r>
      <w:r>
        <w:rPr>
          <w:rFonts w:hint="eastAsia" w:ascii="宋体" w:hAnsi="宋体" w:cs="宋体"/>
          <w:color w:val="auto"/>
          <w:szCs w:val="21"/>
        </w:rPr>
        <w:t>；</w:t>
      </w:r>
    </w:p>
    <w:p>
      <w:pPr>
        <w:snapToGrid w:val="0"/>
        <w:spacing w:before="120" w:beforeLines="50" w:after="50"/>
        <w:ind w:firstLine="480"/>
        <w:rPr>
          <w:rFonts w:ascii="宋体" w:hAnsi="宋体" w:cs="宋体"/>
          <w:color w:val="auto"/>
          <w:szCs w:val="21"/>
        </w:rPr>
      </w:pPr>
      <w:r>
        <w:rPr>
          <w:rFonts w:hint="eastAsia" w:ascii="宋体" w:hAnsi="宋体" w:cs="宋体"/>
          <w:color w:val="auto"/>
          <w:szCs w:val="21"/>
        </w:rPr>
        <w:t>……</w:t>
      </w:r>
    </w:p>
    <w:p>
      <w:pPr>
        <w:snapToGrid w:val="0"/>
        <w:spacing w:before="120" w:beforeLines="50" w:after="50"/>
        <w:ind w:firstLine="480"/>
        <w:rPr>
          <w:rFonts w:ascii="宋体" w:hAnsi="宋体" w:cs="宋体"/>
          <w:color w:val="auto"/>
          <w:szCs w:val="21"/>
        </w:rPr>
      </w:pPr>
      <w:r>
        <w:rPr>
          <w:rFonts w:hint="eastAsia" w:ascii="宋体" w:hAnsi="宋体" w:cs="宋体"/>
          <w:color w:val="auto"/>
          <w:szCs w:val="21"/>
        </w:rPr>
        <w:t>以上企业，不属于大企业的分支机构，不存在控股股东 为大企业的情形，也不存在与大企业的负责人为同一人的情 形。</w:t>
      </w:r>
    </w:p>
    <w:p>
      <w:pPr>
        <w:snapToGrid w:val="0"/>
        <w:spacing w:before="120" w:beforeLines="50" w:after="50"/>
        <w:ind w:firstLine="480"/>
        <w:rPr>
          <w:rFonts w:ascii="宋体" w:hAnsi="宋体" w:cs="宋体"/>
          <w:color w:val="auto"/>
          <w:szCs w:val="21"/>
        </w:rPr>
      </w:pPr>
      <w:r>
        <w:rPr>
          <w:rFonts w:hint="eastAsia" w:ascii="宋体" w:hAnsi="宋体" w:cs="宋体"/>
          <w:color w:val="auto"/>
          <w:szCs w:val="21"/>
        </w:rPr>
        <w:t>本企业对上述声明内容的真实性负责。如有虚假，将依 法承担相应责任。</w:t>
      </w:r>
    </w:p>
    <w:p>
      <w:pPr>
        <w:snapToGrid w:val="0"/>
        <w:spacing w:before="120" w:beforeLines="50" w:after="50"/>
        <w:ind w:firstLine="480"/>
        <w:rPr>
          <w:rFonts w:ascii="宋体" w:hAnsi="宋体" w:cs="宋体"/>
          <w:color w:val="auto"/>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color w:val="auto"/>
          <w:szCs w:val="21"/>
        </w:rPr>
      </w:pPr>
      <w:r>
        <w:rPr>
          <w:rFonts w:hint="eastAsia"/>
          <w:color w:val="auto"/>
        </w:rPr>
        <w:t xml:space="preserve">                   日期：</w:t>
      </w:r>
    </w:p>
    <w:p>
      <w:pPr>
        <w:spacing w:line="20" w:lineRule="exact"/>
        <w:rPr>
          <w:rFonts w:ascii="宋体" w:hAnsi="宋体" w:cs="宋体"/>
          <w:color w:val="auto"/>
          <w:szCs w:val="21"/>
        </w:rPr>
      </w:pPr>
      <w:r>
        <w:rPr>
          <w:rFonts w:hint="eastAsia" w:ascii="宋体" w:hAnsi="宋体" w:cs="宋体"/>
          <w:color w:val="auto"/>
          <w:szCs w:val="21"/>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310515</wp:posOffset>
            </wp:positionV>
            <wp:extent cx="1828800" cy="12700"/>
            <wp:effectExtent l="0" t="0" r="0"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0" cy="12700"/>
                    </a:xfrm>
                    <a:prstGeom prst="rect">
                      <a:avLst/>
                    </a:prstGeom>
                    <a:noFill/>
                    <a:ln>
                      <a:noFill/>
                    </a:ln>
                  </pic:spPr>
                </pic:pic>
              </a:graphicData>
            </a:graphic>
          </wp:anchor>
        </w:drawing>
      </w:r>
    </w:p>
    <w:p>
      <w:pPr>
        <w:spacing w:line="200" w:lineRule="exact"/>
        <w:rPr>
          <w:rFonts w:ascii="宋体" w:hAnsi="宋体" w:cs="宋体"/>
          <w:color w:val="auto"/>
          <w:szCs w:val="21"/>
        </w:rPr>
      </w:pPr>
    </w:p>
    <w:p>
      <w:pPr>
        <w:snapToGrid w:val="0"/>
        <w:spacing w:line="360" w:lineRule="auto"/>
        <w:rPr>
          <w:rFonts w:ascii="宋体" w:hAnsi="宋体" w:cs="宋体"/>
          <w:b/>
          <w:color w:val="auto"/>
          <w:szCs w:val="21"/>
        </w:rPr>
      </w:pPr>
      <w:bookmarkStart w:id="203" w:name="OLE_LINK13"/>
      <w:bookmarkStart w:id="204" w:name="OLE_LINK14"/>
    </w:p>
    <w:p>
      <w:pPr>
        <w:snapToGrid w:val="0"/>
        <w:spacing w:line="360" w:lineRule="auto"/>
        <w:rPr>
          <w:rFonts w:ascii="宋体" w:hAnsi="宋体" w:cs="宋体"/>
          <w:b/>
          <w:color w:val="auto"/>
          <w:szCs w:val="21"/>
        </w:rPr>
      </w:pPr>
      <w:r>
        <w:rPr>
          <w:rFonts w:hint="eastAsia" w:ascii="宋体" w:hAnsi="宋体" w:cs="宋体"/>
          <w:b/>
          <w:color w:val="auto"/>
          <w:szCs w:val="21"/>
        </w:rPr>
        <w:t>填写注意事项：</w:t>
      </w:r>
    </w:p>
    <w:p>
      <w:pPr>
        <w:snapToGrid w:val="0"/>
        <w:spacing w:line="360" w:lineRule="auto"/>
        <w:rPr>
          <w:rFonts w:ascii="宋体" w:hAnsi="宋体" w:cs="宋体"/>
          <w:b/>
          <w:color w:val="auto"/>
          <w:szCs w:val="21"/>
        </w:rPr>
      </w:pPr>
      <w:r>
        <w:rPr>
          <w:rFonts w:hint="eastAsia" w:ascii="宋体" w:hAnsi="宋体" w:cs="宋体"/>
          <w:b/>
          <w:color w:val="auto"/>
          <w:szCs w:val="21"/>
        </w:rPr>
        <w:t>1.从业人员、营业收入、资产总额填报上一年度数据，无上一年度数据的新成立企业可不填报。</w:t>
      </w:r>
    </w:p>
    <w:p>
      <w:pPr>
        <w:snapToGrid w:val="0"/>
        <w:spacing w:line="360" w:lineRule="auto"/>
        <w:rPr>
          <w:rFonts w:ascii="宋体" w:hAnsi="宋体" w:cs="宋体"/>
          <w:b/>
          <w:color w:val="auto"/>
          <w:szCs w:val="21"/>
        </w:rPr>
      </w:pPr>
      <w:r>
        <w:rPr>
          <w:rFonts w:hint="eastAsia" w:ascii="宋体" w:hAnsi="宋体" w:cs="宋体"/>
          <w:b/>
          <w:color w:val="auto"/>
          <w:szCs w:val="21"/>
        </w:rPr>
        <w:t>2.标的物请按报价明细表中的产品逐行填写，可增行。</w:t>
      </w:r>
    </w:p>
    <w:p>
      <w:pPr>
        <w:snapToGrid w:val="0"/>
        <w:spacing w:line="360" w:lineRule="auto"/>
        <w:rPr>
          <w:rFonts w:ascii="宋体" w:hAnsi="宋体" w:cs="宋体"/>
          <w:b/>
          <w:color w:val="auto"/>
          <w:szCs w:val="21"/>
        </w:rPr>
      </w:pPr>
      <w:r>
        <w:rPr>
          <w:rFonts w:hint="eastAsia" w:ascii="宋体" w:hAnsi="宋体" w:cs="宋体"/>
          <w:b/>
          <w:color w:val="auto"/>
          <w:szCs w:val="21"/>
        </w:rPr>
        <w:t>3.中型企业、小型企业、微型企业请根据《关于印发中小企业划型标准规定的通知》工信部联企业〔2011〕300号文件标准填写。</w:t>
      </w:r>
    </w:p>
    <w:p>
      <w:pPr>
        <w:snapToGrid w:val="0"/>
        <w:spacing w:line="360" w:lineRule="auto"/>
        <w:rPr>
          <w:rFonts w:ascii="宋体" w:hAnsi="宋体" w:cs="宋体"/>
          <w:b/>
          <w:color w:val="auto"/>
          <w:szCs w:val="21"/>
        </w:rPr>
      </w:pPr>
      <w:r>
        <w:rPr>
          <w:rFonts w:hint="eastAsia" w:ascii="宋体" w:hAnsi="宋体" w:cs="宋体"/>
          <w:b/>
          <w:color w:val="auto"/>
          <w:szCs w:val="21"/>
        </w:rPr>
        <w:t>4.供应商提供的声明函与事实不符的，依据《政府采购法》第七十七条第一款的规定追究法律责任,如若中标本声明函随中标结果予以公示。</w:t>
      </w:r>
    </w:p>
    <w:p>
      <w:pPr>
        <w:snapToGrid w:val="0"/>
        <w:spacing w:line="360" w:lineRule="auto"/>
        <w:rPr>
          <w:rFonts w:ascii="宋体" w:hAnsi="宋体" w:cs="宋体"/>
          <w:b/>
          <w:color w:val="auto"/>
          <w:szCs w:val="21"/>
        </w:rPr>
        <w:sectPr>
          <w:pgSz w:w="11906" w:h="16838"/>
          <w:pgMar w:top="1474" w:right="1797" w:bottom="1247" w:left="1797" w:header="851" w:footer="851" w:gutter="0"/>
          <w:cols w:space="720" w:num="1"/>
          <w:titlePg/>
          <w:docGrid w:linePitch="312" w:charSpace="0"/>
        </w:sectPr>
      </w:pPr>
    </w:p>
    <w:p>
      <w:pPr>
        <w:widowControl/>
        <w:spacing w:line="400" w:lineRule="exact"/>
        <w:jc w:val="center"/>
        <w:rPr>
          <w:rFonts w:ascii="宋体" w:hAnsi="宋体" w:cs="宋体"/>
          <w:b/>
          <w:color w:val="auto"/>
          <w:sz w:val="32"/>
          <w:szCs w:val="32"/>
        </w:rPr>
      </w:pPr>
      <w:r>
        <w:rPr>
          <w:rFonts w:hint="eastAsia" w:ascii="宋体" w:hAnsi="宋体" w:cs="宋体"/>
          <w:b/>
          <w:color w:val="auto"/>
          <w:sz w:val="32"/>
          <w:szCs w:val="32"/>
        </w:rPr>
        <w:t>中小企业划型标准规定（工信部联企业[2011]300号）</w:t>
      </w:r>
    </w:p>
    <w:p>
      <w:pPr>
        <w:pStyle w:val="97"/>
        <w:snapToGrid w:val="0"/>
        <w:spacing w:line="440" w:lineRule="exact"/>
        <w:rPr>
          <w:rFonts w:hAnsi="宋体" w:cs="宋体"/>
          <w:b/>
          <w:color w:val="auto"/>
          <w:szCs w:val="21"/>
          <w:shd w:val="clear" w:color="FFFFFF" w:fill="D9D9D9"/>
        </w:rPr>
      </w:pPr>
      <w:r>
        <w:rPr>
          <w:rFonts w:hint="eastAsia" w:hAnsi="宋体" w:cs="宋体"/>
          <w:color w:val="auto"/>
          <w:szCs w:val="21"/>
          <w:shd w:val="clear" w:color="FFFFFF" w:fill="D9D9D9"/>
        </w:rPr>
        <w:drawing>
          <wp:anchor distT="0" distB="0" distL="114300" distR="114300" simplePos="0" relativeHeight="251664384" behindDoc="1" locked="0" layoutInCell="1" allowOverlap="1">
            <wp:simplePos x="0" y="0"/>
            <wp:positionH relativeFrom="column">
              <wp:posOffset>102870</wp:posOffset>
            </wp:positionH>
            <wp:positionV relativeFrom="page">
              <wp:posOffset>1408430</wp:posOffset>
            </wp:positionV>
            <wp:extent cx="8780145" cy="5311140"/>
            <wp:effectExtent l="0" t="0" r="0" b="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80145" cy="5311140"/>
                    </a:xfrm>
                    <a:prstGeom prst="rect">
                      <a:avLst/>
                    </a:prstGeom>
                    <a:noFill/>
                    <a:ln>
                      <a:noFill/>
                    </a:ln>
                    <a:effectLst/>
                  </pic:spPr>
                </pic:pic>
              </a:graphicData>
            </a:graphic>
          </wp:anchor>
        </w:drawing>
      </w:r>
    </w:p>
    <w:p>
      <w:pPr>
        <w:snapToGrid w:val="0"/>
        <w:spacing w:line="360" w:lineRule="auto"/>
        <w:rPr>
          <w:rFonts w:ascii="宋体" w:hAnsi="宋体" w:cs="宋体"/>
          <w:b/>
          <w:color w:val="auto"/>
          <w:szCs w:val="21"/>
        </w:rPr>
        <w:sectPr>
          <w:pgSz w:w="16838" w:h="11906" w:orient="landscape"/>
          <w:pgMar w:top="1797" w:right="1474" w:bottom="1797" w:left="1247" w:header="851" w:footer="851" w:gutter="0"/>
          <w:cols w:space="720" w:num="1"/>
          <w:titlePg/>
          <w:docGrid w:linePitch="312" w:charSpace="0"/>
        </w:sectPr>
      </w:pPr>
    </w:p>
    <w:p>
      <w:pPr>
        <w:snapToGrid w:val="0"/>
        <w:spacing w:line="360" w:lineRule="auto"/>
        <w:outlineLvl w:val="2"/>
        <w:rPr>
          <w:rFonts w:ascii="宋体" w:hAnsi="宋体" w:cs="宋体"/>
          <w:b/>
          <w:color w:val="auto"/>
          <w:szCs w:val="21"/>
        </w:rPr>
      </w:pPr>
      <w:bookmarkStart w:id="205" w:name="_Toc1911"/>
      <w:r>
        <w:rPr>
          <w:rFonts w:hint="eastAsia" w:ascii="宋体" w:hAnsi="宋体" w:cs="宋体"/>
          <w:b/>
          <w:color w:val="auto"/>
          <w:szCs w:val="21"/>
        </w:rPr>
        <w:t>5.残疾人福利性单位声明函</w:t>
      </w:r>
      <w:bookmarkEnd w:id="205"/>
    </w:p>
    <w:p>
      <w:pPr>
        <w:pStyle w:val="22"/>
        <w:spacing w:line="520" w:lineRule="exact"/>
        <w:ind w:firstLine="473"/>
        <w:jc w:val="center"/>
        <w:rPr>
          <w:rFonts w:hAnsi="宋体" w:cs="宋体"/>
          <w:b/>
          <w:color w:val="auto"/>
          <w:sz w:val="21"/>
          <w:szCs w:val="21"/>
        </w:rPr>
      </w:pPr>
    </w:p>
    <w:p>
      <w:pPr>
        <w:widowControl/>
        <w:spacing w:line="400" w:lineRule="exact"/>
        <w:jc w:val="center"/>
        <w:rPr>
          <w:rFonts w:ascii="宋体" w:hAnsi="宋体" w:cs="宋体"/>
          <w:b/>
          <w:color w:val="auto"/>
          <w:sz w:val="32"/>
          <w:szCs w:val="32"/>
        </w:rPr>
      </w:pPr>
      <w:r>
        <w:rPr>
          <w:rFonts w:hint="eastAsia" w:ascii="宋体" w:hAnsi="宋体" w:cs="宋体"/>
          <w:b/>
          <w:color w:val="auto"/>
          <w:sz w:val="32"/>
          <w:szCs w:val="32"/>
        </w:rPr>
        <w:t>残疾人福利性单位声明函</w:t>
      </w:r>
    </w:p>
    <w:bookmarkEnd w:id="203"/>
    <w:bookmarkEnd w:id="204"/>
    <w:p>
      <w:pPr>
        <w:spacing w:line="588" w:lineRule="exact"/>
        <w:rPr>
          <w:rFonts w:ascii="宋体" w:hAnsi="宋体" w:cs="宋体"/>
          <w:b/>
          <w:color w:val="auto"/>
          <w:spacing w:val="6"/>
          <w:szCs w:val="21"/>
        </w:rPr>
      </w:pP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588" w:lineRule="exact"/>
        <w:ind w:firstLine="444" w:firstLineChars="200"/>
        <w:rPr>
          <w:rFonts w:ascii="宋体" w:hAnsi="宋体" w:cs="宋体"/>
          <w:color w:val="auto"/>
          <w:spacing w:val="6"/>
          <w:szCs w:val="21"/>
        </w:rPr>
      </w:pPr>
    </w:p>
    <w:p>
      <w:pPr>
        <w:spacing w:line="588" w:lineRule="exact"/>
        <w:ind w:firstLine="444" w:firstLineChars="200"/>
        <w:rPr>
          <w:rFonts w:ascii="宋体" w:hAnsi="宋体" w:cs="宋体"/>
          <w:color w:val="auto"/>
          <w:spacing w:val="6"/>
          <w:szCs w:val="21"/>
        </w:rPr>
      </w:pPr>
    </w:p>
    <w:p>
      <w:pPr>
        <w:widowControl/>
        <w:ind w:firstLine="4830" w:firstLineChars="2300"/>
        <w:jc w:val="left"/>
        <w:rPr>
          <w:rFonts w:ascii="宋体" w:hAnsi="宋体" w:cs="宋体"/>
          <w:bCs/>
          <w:color w:val="auto"/>
          <w:kern w:val="0"/>
          <w:szCs w:val="21"/>
        </w:rPr>
      </w:pPr>
      <w:r>
        <w:rPr>
          <w:color w:val="auto"/>
          <w:szCs w:val="21"/>
        </w:rPr>
        <w:t>投 标 人（盖章）</w:t>
      </w:r>
      <w:r>
        <w:rPr>
          <w:rFonts w:hint="eastAsia" w:ascii="宋体" w:hAnsi="宋体" w:cs="宋体"/>
          <w:bCs/>
          <w:color w:val="auto"/>
          <w:kern w:val="0"/>
          <w:szCs w:val="21"/>
        </w:rPr>
        <w:t>：</w:t>
      </w:r>
    </w:p>
    <w:p>
      <w:pPr>
        <w:widowControl/>
        <w:jc w:val="left"/>
        <w:rPr>
          <w:rFonts w:ascii="宋体" w:hAnsi="宋体" w:cs="宋体"/>
          <w:bCs/>
          <w:color w:val="auto"/>
          <w:kern w:val="0"/>
          <w:szCs w:val="21"/>
        </w:rPr>
      </w:pPr>
    </w:p>
    <w:p>
      <w:pPr>
        <w:widowControl/>
        <w:spacing w:line="400" w:lineRule="exact"/>
        <w:jc w:val="center"/>
        <w:rPr>
          <w:rFonts w:ascii="宋体" w:hAnsi="宋体" w:cs="宋体"/>
          <w:bCs/>
          <w:color w:val="auto"/>
          <w:kern w:val="0"/>
          <w:szCs w:val="21"/>
        </w:rPr>
      </w:pPr>
      <w:r>
        <w:rPr>
          <w:rFonts w:hint="eastAsia"/>
          <w:color w:val="auto"/>
        </w:rPr>
        <w:t xml:space="preserve">                   日期：</w:t>
      </w:r>
    </w:p>
    <w:p>
      <w:pPr>
        <w:tabs>
          <w:tab w:val="left" w:pos="4860"/>
        </w:tabs>
        <w:spacing w:line="588" w:lineRule="exact"/>
        <w:ind w:right="1560" w:firstLine="444" w:firstLineChars="200"/>
        <w:jc w:val="center"/>
        <w:rPr>
          <w:rFonts w:ascii="宋体" w:hAnsi="宋体" w:cs="宋体"/>
          <w:color w:val="auto"/>
          <w:spacing w:val="6"/>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pPr>
    </w:p>
    <w:p>
      <w:pPr>
        <w:snapToGrid w:val="0"/>
        <w:spacing w:line="360" w:lineRule="auto"/>
        <w:rPr>
          <w:rFonts w:ascii="宋体" w:hAnsi="宋体" w:cs="宋体"/>
          <w:b/>
          <w:color w:val="auto"/>
          <w:szCs w:val="21"/>
        </w:rPr>
        <w:sectPr>
          <w:pgSz w:w="11906" w:h="16838"/>
          <w:pgMar w:top="1474" w:right="1797" w:bottom="1247" w:left="1797" w:header="851" w:footer="851" w:gutter="0"/>
          <w:cols w:space="720" w:num="1"/>
          <w:titlePg/>
          <w:docGrid w:linePitch="312" w:charSpace="0"/>
        </w:sectPr>
      </w:pPr>
      <w:bookmarkStart w:id="206" w:name="_Toc31153"/>
    </w:p>
    <w:p>
      <w:pPr>
        <w:snapToGrid w:val="0"/>
        <w:spacing w:line="360" w:lineRule="auto"/>
        <w:outlineLvl w:val="2"/>
        <w:rPr>
          <w:rFonts w:ascii="宋体" w:hAnsi="宋体" w:cs="宋体"/>
          <w:b/>
          <w:color w:val="auto"/>
          <w:szCs w:val="21"/>
        </w:rPr>
      </w:pPr>
      <w:r>
        <w:rPr>
          <w:rFonts w:hint="eastAsia" w:ascii="宋体" w:hAnsi="宋体" w:cs="宋体"/>
          <w:b/>
          <w:color w:val="auto"/>
          <w:szCs w:val="21"/>
        </w:rPr>
        <w:t>6.供应商针对报价需要说明的其他文件和说明</w:t>
      </w:r>
      <w:bookmarkEnd w:id="206"/>
    </w:p>
    <w:p>
      <w:pPr>
        <w:pStyle w:val="28"/>
        <w:spacing w:before="120" w:after="120"/>
        <w:jc w:val="center"/>
        <w:rPr>
          <w:rFonts w:hAnsi="宋体" w:cs="宋体"/>
          <w:color w:val="auto"/>
        </w:rPr>
      </w:pPr>
    </w:p>
    <w:p>
      <w:pPr>
        <w:pStyle w:val="28"/>
        <w:spacing w:before="120" w:after="120"/>
        <w:jc w:val="center"/>
        <w:rPr>
          <w:rFonts w:hAnsi="宋体" w:cs="宋体"/>
          <w:color w:val="auto"/>
        </w:rPr>
      </w:pPr>
      <w:r>
        <w:rPr>
          <w:rFonts w:hint="eastAsia" w:hAnsi="宋体" w:cs="宋体"/>
          <w:color w:val="auto"/>
        </w:rPr>
        <w:t>若有，自拟</w:t>
      </w:r>
    </w:p>
    <w:p>
      <w:pPr>
        <w:rPr>
          <w:rFonts w:ascii="宋体" w:hAnsi="宋体" w:cs="宋体"/>
          <w:color w:val="auto"/>
          <w:szCs w:val="21"/>
        </w:rPr>
      </w:pPr>
    </w:p>
    <w:p>
      <w:pPr>
        <w:spacing w:line="360" w:lineRule="auto"/>
        <w:rPr>
          <w:rFonts w:ascii="宋体" w:hAnsi="宋体" w:cs="宋体"/>
          <w:color w:val="auto"/>
          <w:szCs w:val="21"/>
        </w:rPr>
      </w:pPr>
    </w:p>
    <w:sectPr>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汉鼎简细圆">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swiss"/>
    <w:pitch w:val="default"/>
    <w:sig w:usb0="00000007" w:usb1="00000000" w:usb2="00000000" w:usb3="00000000" w:csb0="00000093" w:csb1="00000000"/>
  </w:font>
  <w:font w:name="ヒラギノ角ゴ Pro W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428"/>
        <w:tab w:val="clear" w:pos="4153"/>
      </w:tabs>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14935" cy="284480"/>
              <wp:effectExtent l="3175" t="0" r="0" b="0"/>
              <wp:wrapNone/>
              <wp:docPr id="6"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wps:spPr>
                    <wps:txbx>
                      <w:txbxContent>
                        <w:p>
                          <w:pPr>
                            <w:pStyle w:val="34"/>
                          </w:pPr>
                        </w:p>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22.4pt;width:9.05pt;mso-position-horizontal:left;mso-position-horizontal-relative:margin;mso-wrap-style:none;z-index:251659264;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nTGy0AAAAAMBAAAPAAAAAAAAAAEAIAAAACIAAABkcnMv&#10;ZG93bnJldi54bWxQSwECFAAUAAAACACHTuJA6I+vnAsCAAADBAAADgAAAAAAAAABACAAAAAfAQAA&#10;ZHJzL2Uyb0RvYy54bWxQSwUGAAAAAAYABgBZAQAAnAUAAAAA&#10;">
              <v:fill on="f" focussize="0,0"/>
              <v:stroke on="f"/>
              <v:imagedata o:title=""/>
              <o:lock v:ext="edit" aspectratio="f"/>
              <v:textbox inset="0mm,0mm,0mm,0mm" style="mso-fit-shape-to-text:t;">
                <w:txbxContent>
                  <w:p>
                    <w:pPr>
                      <w:pStyle w:val="34"/>
                    </w:pPr>
                  </w:p>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905" b="1905"/>
              <wp:wrapNone/>
              <wp:docPr id="5"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4"/>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29X5MKAgAAAwQAAA4AAABkcnMvZTJvRG9jLnhtbK1TzY7TMBC+I/EO&#10;lu80zba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fySMysMNfz4/dvxx6/j&#10;z68sn0V/OucLSrtzlBj6V9DT1CSt3t2C/OyZhZtG2K26RoSuUaIifnl8md17OuD4CLLp3kJFhcQu&#10;QALqazTRPLKDETr15nDujeoDk7FkPn85I46SrvJZPp9fpgqiGB879OG1AsNiUHKk1idwsb/1IZIR&#10;xZgSa1lY67ZN7W/tXweUGE8S+ch3YB76TX8yYwPVgWQgDNNEf4mCBvALZx1NUsktfRzO2jeWjIhD&#10;NwY4BpsxEFbSw5IHzobwJgzDuXOotw3hjlZfk1lrnYREVwcOJ5Y0G0nfaY7j8N3fp6w/f3f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NvV+TCgIAAAMEAAAOAAAAAAAAAAEAIAAAAB8BAABk&#10;cnMvZTJvRG9jLnhtbFBLBQYAAAAABgAGAFkBAACb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428"/>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14935" cy="284480"/>
              <wp:effectExtent l="3175" t="0" r="0" b="0"/>
              <wp:wrapNone/>
              <wp:docPr id="3"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wps:spPr>
                    <wps:txbx>
                      <w:txbxContent>
                        <w:p>
                          <w:pPr>
                            <w:pStyle w:val="34"/>
                          </w:pPr>
                        </w:p>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22.4pt;width:9.05pt;mso-position-horizontal:left;mso-position-horizontal-relative:margin;mso-wrap-style:none;z-index:251661312;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p0xstAAAAADAQAADwAAAAAAAAABACAAAAAiAAAAZHJz&#10;L2Rvd25yZXYueG1sUEsBAhQAFAAAAAgAh07iQAb+VTwMAgAAAwQAAA4AAAAAAAAAAQAgAAAAHwEA&#10;AGRycy9lMm9Eb2MueG1sUEsFBgAAAAAGAAYAWQEAAJ0FAAAAAA==&#10;">
              <v:fill on="f" focussize="0,0"/>
              <v:stroke on="f"/>
              <v:imagedata o:title=""/>
              <o:lock v:ext="edit" aspectratio="f"/>
              <v:textbox inset="0mm,0mm,0mm,0mm" style="mso-fit-shape-to-text:t;">
                <w:txbxContent>
                  <w:p>
                    <w:pPr>
                      <w:pStyle w:val="34"/>
                    </w:pPr>
                  </w:p>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D94CA"/>
    <w:multiLevelType w:val="singleLevel"/>
    <w:tmpl w:val="8A7D94CA"/>
    <w:lvl w:ilvl="0" w:tentative="0">
      <w:start w:val="1"/>
      <w:numFmt w:val="decimal"/>
      <w:lvlText w:val="%1."/>
      <w:lvlJc w:val="left"/>
      <w:pPr>
        <w:ind w:left="425" w:hanging="425"/>
      </w:pPr>
      <w:rPr>
        <w:rFonts w:hint="default"/>
      </w:rPr>
    </w:lvl>
  </w:abstractNum>
  <w:abstractNum w:abstractNumId="1">
    <w:nsid w:val="8AACCD17"/>
    <w:multiLevelType w:val="singleLevel"/>
    <w:tmpl w:val="8AACCD17"/>
    <w:lvl w:ilvl="0" w:tentative="0">
      <w:start w:val="1"/>
      <w:numFmt w:val="decimal"/>
      <w:lvlText w:val="(%1)"/>
      <w:lvlJc w:val="left"/>
      <w:pPr>
        <w:ind w:left="425" w:hanging="425"/>
      </w:pPr>
      <w:rPr>
        <w:rFonts w:hint="default"/>
      </w:rPr>
    </w:lvl>
  </w:abstractNum>
  <w:abstractNum w:abstractNumId="2">
    <w:nsid w:val="98FC012A"/>
    <w:multiLevelType w:val="singleLevel"/>
    <w:tmpl w:val="98FC012A"/>
    <w:lvl w:ilvl="0" w:tentative="0">
      <w:start w:val="1"/>
      <w:numFmt w:val="decimal"/>
      <w:lvlText w:val="(%1)"/>
      <w:lvlJc w:val="left"/>
      <w:pPr>
        <w:ind w:left="425" w:hanging="425"/>
      </w:pPr>
      <w:rPr>
        <w:rFonts w:hint="default"/>
      </w:rPr>
    </w:lvl>
  </w:abstractNum>
  <w:abstractNum w:abstractNumId="3">
    <w:nsid w:val="9C1FCD98"/>
    <w:multiLevelType w:val="singleLevel"/>
    <w:tmpl w:val="9C1FCD98"/>
    <w:lvl w:ilvl="0" w:tentative="0">
      <w:start w:val="1"/>
      <w:numFmt w:val="decimal"/>
      <w:lvlText w:val="%1."/>
      <w:lvlJc w:val="left"/>
      <w:pPr>
        <w:ind w:left="425" w:hanging="425"/>
      </w:pPr>
      <w:rPr>
        <w:rFonts w:hint="default"/>
      </w:rPr>
    </w:lvl>
  </w:abstractNum>
  <w:abstractNum w:abstractNumId="4">
    <w:nsid w:val="9DD2B3AE"/>
    <w:multiLevelType w:val="singleLevel"/>
    <w:tmpl w:val="9DD2B3AE"/>
    <w:lvl w:ilvl="0" w:tentative="0">
      <w:start w:val="1"/>
      <w:numFmt w:val="decimal"/>
      <w:lvlText w:val="%1."/>
      <w:lvlJc w:val="left"/>
      <w:pPr>
        <w:ind w:left="425" w:hanging="425"/>
      </w:pPr>
      <w:rPr>
        <w:rFonts w:hint="default"/>
      </w:rPr>
    </w:lvl>
  </w:abstractNum>
  <w:abstractNum w:abstractNumId="5">
    <w:nsid w:val="9F3ACDCE"/>
    <w:multiLevelType w:val="singleLevel"/>
    <w:tmpl w:val="9F3ACDCE"/>
    <w:lvl w:ilvl="0" w:tentative="0">
      <w:start w:val="1"/>
      <w:numFmt w:val="decimal"/>
      <w:lvlText w:val="%1."/>
      <w:lvlJc w:val="left"/>
      <w:pPr>
        <w:ind w:left="425" w:hanging="425"/>
      </w:pPr>
      <w:rPr>
        <w:rFonts w:hint="default"/>
      </w:rPr>
    </w:lvl>
  </w:abstractNum>
  <w:abstractNum w:abstractNumId="6">
    <w:nsid w:val="A00CF6B9"/>
    <w:multiLevelType w:val="singleLevel"/>
    <w:tmpl w:val="A00CF6B9"/>
    <w:lvl w:ilvl="0" w:tentative="0">
      <w:start w:val="1"/>
      <w:numFmt w:val="decimal"/>
      <w:lvlText w:val="%1."/>
      <w:lvlJc w:val="left"/>
      <w:pPr>
        <w:ind w:left="425" w:hanging="425"/>
      </w:pPr>
      <w:rPr>
        <w:rFonts w:hint="default"/>
      </w:rPr>
    </w:lvl>
  </w:abstractNum>
  <w:abstractNum w:abstractNumId="7">
    <w:nsid w:val="AC08CDFB"/>
    <w:multiLevelType w:val="singleLevel"/>
    <w:tmpl w:val="AC08CDFB"/>
    <w:lvl w:ilvl="0" w:tentative="0">
      <w:start w:val="1"/>
      <w:numFmt w:val="decimal"/>
      <w:lvlText w:val="%1."/>
      <w:lvlJc w:val="left"/>
      <w:pPr>
        <w:ind w:left="425" w:hanging="425"/>
      </w:pPr>
      <w:rPr>
        <w:rFonts w:hint="default"/>
      </w:rPr>
    </w:lvl>
  </w:abstractNum>
  <w:abstractNum w:abstractNumId="8">
    <w:nsid w:val="ACDEE945"/>
    <w:multiLevelType w:val="singleLevel"/>
    <w:tmpl w:val="ACDEE945"/>
    <w:lvl w:ilvl="0" w:tentative="0">
      <w:start w:val="1"/>
      <w:numFmt w:val="decimal"/>
      <w:lvlText w:val="%1."/>
      <w:lvlJc w:val="left"/>
      <w:pPr>
        <w:ind w:left="425" w:hanging="425"/>
      </w:pPr>
      <w:rPr>
        <w:rFonts w:hint="default"/>
        <w:sz w:val="20"/>
        <w:szCs w:val="20"/>
      </w:rPr>
    </w:lvl>
  </w:abstractNum>
  <w:abstractNum w:abstractNumId="9">
    <w:nsid w:val="B10900E2"/>
    <w:multiLevelType w:val="singleLevel"/>
    <w:tmpl w:val="B10900E2"/>
    <w:lvl w:ilvl="0" w:tentative="0">
      <w:start w:val="1"/>
      <w:numFmt w:val="decimal"/>
      <w:lvlText w:val="(%1)"/>
      <w:lvlJc w:val="left"/>
      <w:pPr>
        <w:ind w:left="425" w:hanging="425"/>
      </w:pPr>
      <w:rPr>
        <w:rFonts w:hint="default"/>
      </w:rPr>
    </w:lvl>
  </w:abstractNum>
  <w:abstractNum w:abstractNumId="10">
    <w:nsid w:val="B46BC954"/>
    <w:multiLevelType w:val="singleLevel"/>
    <w:tmpl w:val="B46BC954"/>
    <w:lvl w:ilvl="0" w:tentative="0">
      <w:start w:val="1"/>
      <w:numFmt w:val="decimal"/>
      <w:lvlText w:val="(%1)"/>
      <w:lvlJc w:val="left"/>
      <w:pPr>
        <w:ind w:left="425" w:hanging="425"/>
      </w:pPr>
      <w:rPr>
        <w:rFonts w:hint="default"/>
      </w:rPr>
    </w:lvl>
  </w:abstractNum>
  <w:abstractNum w:abstractNumId="11">
    <w:nsid w:val="BB01E537"/>
    <w:multiLevelType w:val="singleLevel"/>
    <w:tmpl w:val="BB01E537"/>
    <w:lvl w:ilvl="0" w:tentative="0">
      <w:start w:val="1"/>
      <w:numFmt w:val="decimal"/>
      <w:lvlText w:val="%1."/>
      <w:lvlJc w:val="left"/>
      <w:pPr>
        <w:ind w:left="425" w:hanging="425"/>
      </w:pPr>
      <w:rPr>
        <w:rFonts w:hint="default"/>
      </w:rPr>
    </w:lvl>
  </w:abstractNum>
  <w:abstractNum w:abstractNumId="12">
    <w:nsid w:val="BD306E9F"/>
    <w:multiLevelType w:val="singleLevel"/>
    <w:tmpl w:val="BD306E9F"/>
    <w:lvl w:ilvl="0" w:tentative="0">
      <w:start w:val="4"/>
      <w:numFmt w:val="chineseCounting"/>
      <w:suff w:val="nothing"/>
      <w:lvlText w:val="（%1）"/>
      <w:lvlJc w:val="left"/>
      <w:rPr>
        <w:rFonts w:hint="eastAsia"/>
      </w:rPr>
    </w:lvl>
  </w:abstractNum>
  <w:abstractNum w:abstractNumId="13">
    <w:nsid w:val="C762AB7E"/>
    <w:multiLevelType w:val="singleLevel"/>
    <w:tmpl w:val="C762AB7E"/>
    <w:lvl w:ilvl="0" w:tentative="0">
      <w:start w:val="1"/>
      <w:numFmt w:val="decimal"/>
      <w:lvlText w:val="%1."/>
      <w:lvlJc w:val="left"/>
      <w:pPr>
        <w:ind w:left="425" w:hanging="425"/>
      </w:pPr>
      <w:rPr>
        <w:rFonts w:hint="default"/>
      </w:rPr>
    </w:lvl>
  </w:abstractNum>
  <w:abstractNum w:abstractNumId="14">
    <w:nsid w:val="C9F5771D"/>
    <w:multiLevelType w:val="singleLevel"/>
    <w:tmpl w:val="C9F5771D"/>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15">
    <w:nsid w:val="D4C8BD27"/>
    <w:multiLevelType w:val="singleLevel"/>
    <w:tmpl w:val="D4C8BD27"/>
    <w:lvl w:ilvl="0" w:tentative="0">
      <w:start w:val="1"/>
      <w:numFmt w:val="decimal"/>
      <w:lvlText w:val="(%1)"/>
      <w:lvlJc w:val="left"/>
      <w:pPr>
        <w:ind w:left="425" w:hanging="425"/>
      </w:pPr>
      <w:rPr>
        <w:rFonts w:hint="default"/>
      </w:rPr>
    </w:lvl>
  </w:abstractNum>
  <w:abstractNum w:abstractNumId="16">
    <w:nsid w:val="D6DD690D"/>
    <w:multiLevelType w:val="singleLevel"/>
    <w:tmpl w:val="D6DD690D"/>
    <w:lvl w:ilvl="0" w:tentative="0">
      <w:start w:val="1"/>
      <w:numFmt w:val="decimal"/>
      <w:lvlText w:val="(%1)"/>
      <w:lvlJc w:val="left"/>
      <w:pPr>
        <w:ind w:left="425" w:hanging="425"/>
      </w:pPr>
      <w:rPr>
        <w:rFonts w:hint="default"/>
      </w:rPr>
    </w:lvl>
  </w:abstractNum>
  <w:abstractNum w:abstractNumId="17">
    <w:nsid w:val="D8247A9C"/>
    <w:multiLevelType w:val="singleLevel"/>
    <w:tmpl w:val="D8247A9C"/>
    <w:lvl w:ilvl="0" w:tentative="0">
      <w:start w:val="1"/>
      <w:numFmt w:val="decimal"/>
      <w:lvlText w:val="%1."/>
      <w:lvlJc w:val="left"/>
      <w:pPr>
        <w:ind w:left="425" w:hanging="425"/>
      </w:pPr>
      <w:rPr>
        <w:rFonts w:hint="default"/>
      </w:rPr>
    </w:lvl>
  </w:abstractNum>
  <w:abstractNum w:abstractNumId="18">
    <w:nsid w:val="DAD67792"/>
    <w:multiLevelType w:val="singleLevel"/>
    <w:tmpl w:val="DAD67792"/>
    <w:lvl w:ilvl="0" w:tentative="0">
      <w:start w:val="1"/>
      <w:numFmt w:val="decimal"/>
      <w:lvlText w:val="%1."/>
      <w:lvlJc w:val="left"/>
      <w:pPr>
        <w:ind w:left="425" w:hanging="425"/>
      </w:pPr>
      <w:rPr>
        <w:rFonts w:hint="default"/>
      </w:rPr>
    </w:lvl>
  </w:abstractNum>
  <w:abstractNum w:abstractNumId="19">
    <w:nsid w:val="E12748AA"/>
    <w:multiLevelType w:val="singleLevel"/>
    <w:tmpl w:val="E12748AA"/>
    <w:lvl w:ilvl="0" w:tentative="0">
      <w:start w:val="1"/>
      <w:numFmt w:val="decimal"/>
      <w:lvlText w:val="%1."/>
      <w:lvlJc w:val="left"/>
      <w:pPr>
        <w:ind w:left="425" w:hanging="425"/>
      </w:pPr>
      <w:rPr>
        <w:rFonts w:hint="default"/>
        <w:b w:val="0"/>
        <w:bCs w:val="0"/>
        <w:sz w:val="21"/>
        <w:szCs w:val="21"/>
      </w:rPr>
    </w:lvl>
  </w:abstractNum>
  <w:abstractNum w:abstractNumId="20">
    <w:nsid w:val="E2288551"/>
    <w:multiLevelType w:val="singleLevel"/>
    <w:tmpl w:val="E2288551"/>
    <w:lvl w:ilvl="0" w:tentative="0">
      <w:start w:val="1"/>
      <w:numFmt w:val="decimal"/>
      <w:lvlText w:val="%1."/>
      <w:lvlJc w:val="left"/>
      <w:pPr>
        <w:ind w:left="425" w:hanging="425"/>
      </w:pPr>
      <w:rPr>
        <w:rFonts w:hint="default"/>
      </w:rPr>
    </w:lvl>
  </w:abstractNum>
  <w:abstractNum w:abstractNumId="21">
    <w:nsid w:val="E964885E"/>
    <w:multiLevelType w:val="singleLevel"/>
    <w:tmpl w:val="E964885E"/>
    <w:lvl w:ilvl="0" w:tentative="0">
      <w:start w:val="1"/>
      <w:numFmt w:val="decimal"/>
      <w:lvlText w:val="%1."/>
      <w:lvlJc w:val="left"/>
      <w:pPr>
        <w:ind w:left="425" w:hanging="425"/>
      </w:pPr>
      <w:rPr>
        <w:rFonts w:hint="default"/>
      </w:rPr>
    </w:lvl>
  </w:abstractNum>
  <w:abstractNum w:abstractNumId="22">
    <w:nsid w:val="F870E9F3"/>
    <w:multiLevelType w:val="singleLevel"/>
    <w:tmpl w:val="F870E9F3"/>
    <w:lvl w:ilvl="0" w:tentative="0">
      <w:start w:val="1"/>
      <w:numFmt w:val="decimal"/>
      <w:lvlText w:val="(%1)"/>
      <w:lvlJc w:val="left"/>
      <w:pPr>
        <w:ind w:left="425" w:hanging="425"/>
      </w:pPr>
      <w:rPr>
        <w:rFonts w:hint="default"/>
      </w:rPr>
    </w:lvl>
  </w:abstractNum>
  <w:abstractNum w:abstractNumId="23">
    <w:nsid w:val="FDC80E14"/>
    <w:multiLevelType w:val="singleLevel"/>
    <w:tmpl w:val="FDC80E14"/>
    <w:lvl w:ilvl="0" w:tentative="0">
      <w:start w:val="1"/>
      <w:numFmt w:val="decimal"/>
      <w:lvlText w:val="%1."/>
      <w:lvlJc w:val="left"/>
      <w:pPr>
        <w:ind w:left="425" w:hanging="425"/>
      </w:pPr>
      <w:rPr>
        <w:rFonts w:hint="default"/>
      </w:rPr>
    </w:lvl>
  </w:abstractNum>
  <w:abstractNum w:abstractNumId="24">
    <w:nsid w:val="00000001"/>
    <w:multiLevelType w:val="singleLevel"/>
    <w:tmpl w:val="00000001"/>
    <w:lvl w:ilvl="0" w:tentative="0">
      <w:start w:val="1"/>
      <w:numFmt w:val="decimal"/>
      <w:pStyle w:val="24"/>
      <w:lvlText w:val="%1."/>
      <w:lvlJc w:val="left"/>
      <w:pPr>
        <w:tabs>
          <w:tab w:val="left" w:pos="1200"/>
        </w:tabs>
        <w:ind w:left="1200" w:hanging="360"/>
      </w:pPr>
    </w:lvl>
  </w:abstractNum>
  <w:abstractNum w:abstractNumId="25">
    <w:nsid w:val="00000003"/>
    <w:multiLevelType w:val="singleLevel"/>
    <w:tmpl w:val="00000003"/>
    <w:lvl w:ilvl="0" w:tentative="0">
      <w:start w:val="2"/>
      <w:numFmt w:val="decimal"/>
      <w:pStyle w:val="121"/>
      <w:suff w:val="nothing"/>
      <w:lvlText w:val="%1、"/>
      <w:lvlJc w:val="left"/>
      <w:pPr>
        <w:tabs>
          <w:tab w:val="left" w:pos="0"/>
        </w:tabs>
        <w:ind w:left="0" w:firstLine="0"/>
      </w:pPr>
    </w:lvl>
  </w:abstractNum>
  <w:abstractNum w:abstractNumId="26">
    <w:nsid w:val="0B99DCBC"/>
    <w:multiLevelType w:val="singleLevel"/>
    <w:tmpl w:val="0B99DCBC"/>
    <w:lvl w:ilvl="0" w:tentative="0">
      <w:start w:val="1"/>
      <w:numFmt w:val="decimal"/>
      <w:lvlText w:val="(%1)"/>
      <w:lvlJc w:val="left"/>
      <w:pPr>
        <w:ind w:left="425" w:hanging="425"/>
      </w:pPr>
      <w:rPr>
        <w:rFonts w:hint="default"/>
      </w:rPr>
    </w:lvl>
  </w:abstractNum>
  <w:abstractNum w:abstractNumId="27">
    <w:nsid w:val="0BD4C3D3"/>
    <w:multiLevelType w:val="singleLevel"/>
    <w:tmpl w:val="0BD4C3D3"/>
    <w:lvl w:ilvl="0" w:tentative="0">
      <w:start w:val="1"/>
      <w:numFmt w:val="decimal"/>
      <w:lvlText w:val="%1."/>
      <w:lvlJc w:val="left"/>
      <w:pPr>
        <w:ind w:left="425" w:hanging="425"/>
      </w:pPr>
      <w:rPr>
        <w:rFonts w:hint="default"/>
      </w:rPr>
    </w:lvl>
  </w:abstractNum>
  <w:abstractNum w:abstractNumId="28">
    <w:nsid w:val="150DCC05"/>
    <w:multiLevelType w:val="singleLevel"/>
    <w:tmpl w:val="150DCC05"/>
    <w:lvl w:ilvl="0" w:tentative="0">
      <w:start w:val="1"/>
      <w:numFmt w:val="decimal"/>
      <w:lvlText w:val="%1."/>
      <w:lvlJc w:val="left"/>
      <w:pPr>
        <w:ind w:left="425" w:hanging="425"/>
      </w:pPr>
      <w:rPr>
        <w:rFonts w:hint="default"/>
      </w:rPr>
    </w:lvl>
  </w:abstractNum>
  <w:abstractNum w:abstractNumId="29">
    <w:nsid w:val="153C2F99"/>
    <w:multiLevelType w:val="singleLevel"/>
    <w:tmpl w:val="153C2F99"/>
    <w:lvl w:ilvl="0" w:tentative="0">
      <w:start w:val="1"/>
      <w:numFmt w:val="decimal"/>
      <w:lvlText w:val="%1."/>
      <w:lvlJc w:val="left"/>
      <w:pPr>
        <w:ind w:left="425" w:hanging="425"/>
      </w:pPr>
      <w:rPr>
        <w:rFonts w:hint="default"/>
      </w:rPr>
    </w:lvl>
  </w:abstractNum>
  <w:abstractNum w:abstractNumId="30">
    <w:nsid w:val="287845B1"/>
    <w:multiLevelType w:val="singleLevel"/>
    <w:tmpl w:val="287845B1"/>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31">
    <w:nsid w:val="2F22F8F9"/>
    <w:multiLevelType w:val="singleLevel"/>
    <w:tmpl w:val="2F22F8F9"/>
    <w:lvl w:ilvl="0" w:tentative="0">
      <w:start w:val="1"/>
      <w:numFmt w:val="decimal"/>
      <w:lvlText w:val="(%1)"/>
      <w:lvlJc w:val="left"/>
      <w:pPr>
        <w:ind w:left="425" w:hanging="425"/>
      </w:pPr>
      <w:rPr>
        <w:rFonts w:hint="default"/>
      </w:rPr>
    </w:lvl>
  </w:abstractNum>
  <w:abstractNum w:abstractNumId="32">
    <w:nsid w:val="33A0179E"/>
    <w:multiLevelType w:val="singleLevel"/>
    <w:tmpl w:val="33A0179E"/>
    <w:lvl w:ilvl="0" w:tentative="0">
      <w:start w:val="1"/>
      <w:numFmt w:val="decimal"/>
      <w:lvlText w:val="%1."/>
      <w:lvlJc w:val="left"/>
      <w:pPr>
        <w:ind w:left="425" w:hanging="425"/>
      </w:pPr>
      <w:rPr>
        <w:rFonts w:hint="default"/>
      </w:rPr>
    </w:lvl>
  </w:abstractNum>
  <w:abstractNum w:abstractNumId="33">
    <w:nsid w:val="40272756"/>
    <w:multiLevelType w:val="singleLevel"/>
    <w:tmpl w:val="40272756"/>
    <w:lvl w:ilvl="0" w:tentative="0">
      <w:start w:val="1"/>
      <w:numFmt w:val="decimal"/>
      <w:lvlText w:val="%1."/>
      <w:lvlJc w:val="left"/>
      <w:pPr>
        <w:ind w:left="425" w:hanging="425"/>
      </w:pPr>
      <w:rPr>
        <w:rFonts w:hint="default"/>
      </w:rPr>
    </w:lvl>
  </w:abstractNum>
  <w:abstractNum w:abstractNumId="34">
    <w:nsid w:val="45846C56"/>
    <w:multiLevelType w:val="singleLevel"/>
    <w:tmpl w:val="45846C56"/>
    <w:lvl w:ilvl="0" w:tentative="0">
      <w:start w:val="1"/>
      <w:numFmt w:val="decimal"/>
      <w:lvlText w:val="(%1)"/>
      <w:lvlJc w:val="left"/>
      <w:pPr>
        <w:ind w:left="425" w:hanging="425"/>
      </w:pPr>
      <w:rPr>
        <w:rFonts w:hint="default"/>
      </w:rPr>
    </w:lvl>
  </w:abstractNum>
  <w:abstractNum w:abstractNumId="35">
    <w:nsid w:val="45ECCE83"/>
    <w:multiLevelType w:val="singleLevel"/>
    <w:tmpl w:val="45ECCE83"/>
    <w:lvl w:ilvl="0" w:tentative="0">
      <w:start w:val="1"/>
      <w:numFmt w:val="decimal"/>
      <w:lvlText w:val="%1."/>
      <w:lvlJc w:val="left"/>
      <w:pPr>
        <w:ind w:left="425" w:hanging="425"/>
      </w:pPr>
      <w:rPr>
        <w:rFonts w:hint="default"/>
      </w:rPr>
    </w:lvl>
  </w:abstractNum>
  <w:abstractNum w:abstractNumId="36">
    <w:nsid w:val="49AEFD55"/>
    <w:multiLevelType w:val="singleLevel"/>
    <w:tmpl w:val="49AEFD55"/>
    <w:lvl w:ilvl="0" w:tentative="0">
      <w:start w:val="1"/>
      <w:numFmt w:val="decimal"/>
      <w:lvlText w:val="%1."/>
      <w:lvlJc w:val="left"/>
      <w:pPr>
        <w:ind w:left="425" w:hanging="425"/>
      </w:pPr>
      <w:rPr>
        <w:rFonts w:hint="default"/>
      </w:rPr>
    </w:lvl>
  </w:abstractNum>
  <w:abstractNum w:abstractNumId="37">
    <w:nsid w:val="4B0B9868"/>
    <w:multiLevelType w:val="singleLevel"/>
    <w:tmpl w:val="4B0B9868"/>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38">
    <w:nsid w:val="68F54BEE"/>
    <w:multiLevelType w:val="singleLevel"/>
    <w:tmpl w:val="68F54BEE"/>
    <w:lvl w:ilvl="0" w:tentative="0">
      <w:start w:val="1"/>
      <w:numFmt w:val="decimal"/>
      <w:lvlText w:val="%1."/>
      <w:lvlJc w:val="left"/>
      <w:pPr>
        <w:ind w:left="425" w:hanging="425"/>
      </w:pPr>
      <w:rPr>
        <w:rFonts w:hint="default"/>
      </w:rPr>
    </w:lvl>
  </w:abstractNum>
  <w:abstractNum w:abstractNumId="39">
    <w:nsid w:val="6F9FC5C2"/>
    <w:multiLevelType w:val="singleLevel"/>
    <w:tmpl w:val="6F9FC5C2"/>
    <w:lvl w:ilvl="0" w:tentative="0">
      <w:start w:val="1"/>
      <w:numFmt w:val="decimal"/>
      <w:lvlText w:val="%1."/>
      <w:lvlJc w:val="left"/>
      <w:pPr>
        <w:ind w:left="425" w:hanging="425"/>
      </w:pPr>
      <w:rPr>
        <w:rFonts w:hint="default"/>
      </w:rPr>
    </w:lvl>
  </w:abstractNum>
  <w:num w:numId="1">
    <w:abstractNumId w:val="24"/>
  </w:num>
  <w:num w:numId="2">
    <w:abstractNumId w:val="25"/>
  </w:num>
  <w:num w:numId="3">
    <w:abstractNumId w:val="37"/>
  </w:num>
  <w:num w:numId="4">
    <w:abstractNumId w:val="11"/>
  </w:num>
  <w:num w:numId="5">
    <w:abstractNumId w:val="3"/>
  </w:num>
  <w:num w:numId="6">
    <w:abstractNumId w:val="36"/>
  </w:num>
  <w:num w:numId="7">
    <w:abstractNumId w:val="21"/>
  </w:num>
  <w:num w:numId="8">
    <w:abstractNumId w:val="30"/>
  </w:num>
  <w:num w:numId="9">
    <w:abstractNumId w:val="14"/>
  </w:num>
  <w:num w:numId="10">
    <w:abstractNumId w:val="29"/>
  </w:num>
  <w:num w:numId="11">
    <w:abstractNumId w:val="39"/>
  </w:num>
  <w:num w:numId="12">
    <w:abstractNumId w:val="18"/>
  </w:num>
  <w:num w:numId="13">
    <w:abstractNumId w:val="38"/>
  </w:num>
  <w:num w:numId="14">
    <w:abstractNumId w:val="8"/>
  </w:num>
  <w:num w:numId="15">
    <w:abstractNumId w:val="27"/>
  </w:num>
  <w:num w:numId="16">
    <w:abstractNumId w:val="23"/>
  </w:num>
  <w:num w:numId="17">
    <w:abstractNumId w:val="33"/>
  </w:num>
  <w:num w:numId="18">
    <w:abstractNumId w:val="34"/>
  </w:num>
  <w:num w:numId="19">
    <w:abstractNumId w:val="9"/>
  </w:num>
  <w:num w:numId="20">
    <w:abstractNumId w:val="5"/>
  </w:num>
  <w:num w:numId="21">
    <w:abstractNumId w:val="13"/>
  </w:num>
  <w:num w:numId="22">
    <w:abstractNumId w:val="32"/>
  </w:num>
  <w:num w:numId="23">
    <w:abstractNumId w:val="26"/>
  </w:num>
  <w:num w:numId="24">
    <w:abstractNumId w:val="35"/>
  </w:num>
  <w:num w:numId="25">
    <w:abstractNumId w:val="28"/>
  </w:num>
  <w:num w:numId="26">
    <w:abstractNumId w:val="15"/>
  </w:num>
  <w:num w:numId="27">
    <w:abstractNumId w:val="22"/>
  </w:num>
  <w:num w:numId="28">
    <w:abstractNumId w:val="2"/>
  </w:num>
  <w:num w:numId="29">
    <w:abstractNumId w:val="0"/>
  </w:num>
  <w:num w:numId="30">
    <w:abstractNumId w:val="1"/>
  </w:num>
  <w:num w:numId="31">
    <w:abstractNumId w:val="31"/>
  </w:num>
  <w:num w:numId="32">
    <w:abstractNumId w:val="20"/>
  </w:num>
  <w:num w:numId="33">
    <w:abstractNumId w:val="16"/>
  </w:num>
  <w:num w:numId="34">
    <w:abstractNumId w:val="6"/>
  </w:num>
  <w:num w:numId="35">
    <w:abstractNumId w:val="17"/>
  </w:num>
  <w:num w:numId="36">
    <w:abstractNumId w:val="4"/>
  </w:num>
  <w:num w:numId="37">
    <w:abstractNumId w:val="7"/>
  </w:num>
  <w:num w:numId="38">
    <w:abstractNumId w:val="19"/>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GU0ZjQ2MDZkMzQ4ODM0MzZkMGM0NTdiYzg4ODUifQ=="/>
  </w:docVars>
  <w:rsids>
    <w:rsidRoot w:val="00172A27"/>
    <w:rsid w:val="00003C84"/>
    <w:rsid w:val="000046F7"/>
    <w:rsid w:val="00004DAD"/>
    <w:rsid w:val="0000715C"/>
    <w:rsid w:val="00010EA9"/>
    <w:rsid w:val="00010EE5"/>
    <w:rsid w:val="000146C4"/>
    <w:rsid w:val="00020492"/>
    <w:rsid w:val="00021813"/>
    <w:rsid w:val="0002267C"/>
    <w:rsid w:val="00022EAC"/>
    <w:rsid w:val="00024732"/>
    <w:rsid w:val="00045CE8"/>
    <w:rsid w:val="00047E2F"/>
    <w:rsid w:val="00047F17"/>
    <w:rsid w:val="00050BCE"/>
    <w:rsid w:val="0005393E"/>
    <w:rsid w:val="00054AF2"/>
    <w:rsid w:val="00056325"/>
    <w:rsid w:val="000657C7"/>
    <w:rsid w:val="00065BE7"/>
    <w:rsid w:val="00066E18"/>
    <w:rsid w:val="00067097"/>
    <w:rsid w:val="00071633"/>
    <w:rsid w:val="00073E72"/>
    <w:rsid w:val="0007409C"/>
    <w:rsid w:val="00074388"/>
    <w:rsid w:val="00083CF4"/>
    <w:rsid w:val="000923A4"/>
    <w:rsid w:val="00092F55"/>
    <w:rsid w:val="000947C1"/>
    <w:rsid w:val="00095383"/>
    <w:rsid w:val="000A7488"/>
    <w:rsid w:val="000B0A91"/>
    <w:rsid w:val="000B1734"/>
    <w:rsid w:val="000B17A9"/>
    <w:rsid w:val="000B1FCD"/>
    <w:rsid w:val="000B6BB2"/>
    <w:rsid w:val="000C37C7"/>
    <w:rsid w:val="000C5428"/>
    <w:rsid w:val="000C58DC"/>
    <w:rsid w:val="000D35A5"/>
    <w:rsid w:val="000D6E35"/>
    <w:rsid w:val="000D74FA"/>
    <w:rsid w:val="000E1CC3"/>
    <w:rsid w:val="000E2FD3"/>
    <w:rsid w:val="000E61BB"/>
    <w:rsid w:val="000F2B54"/>
    <w:rsid w:val="000F364B"/>
    <w:rsid w:val="000F5E84"/>
    <w:rsid w:val="00103D22"/>
    <w:rsid w:val="00106050"/>
    <w:rsid w:val="0010609B"/>
    <w:rsid w:val="00107904"/>
    <w:rsid w:val="001101AD"/>
    <w:rsid w:val="001143D4"/>
    <w:rsid w:val="001143DA"/>
    <w:rsid w:val="00115360"/>
    <w:rsid w:val="00115E82"/>
    <w:rsid w:val="00116BDB"/>
    <w:rsid w:val="001218CA"/>
    <w:rsid w:val="00125AC1"/>
    <w:rsid w:val="00132400"/>
    <w:rsid w:val="001332E2"/>
    <w:rsid w:val="00133732"/>
    <w:rsid w:val="00134AEE"/>
    <w:rsid w:val="0013739C"/>
    <w:rsid w:val="001419F5"/>
    <w:rsid w:val="001511C5"/>
    <w:rsid w:val="0015306E"/>
    <w:rsid w:val="00160606"/>
    <w:rsid w:val="00170B6D"/>
    <w:rsid w:val="001724DF"/>
    <w:rsid w:val="00172A27"/>
    <w:rsid w:val="00172BDA"/>
    <w:rsid w:val="00172D19"/>
    <w:rsid w:val="001732A7"/>
    <w:rsid w:val="001752C4"/>
    <w:rsid w:val="001777F8"/>
    <w:rsid w:val="00183B0B"/>
    <w:rsid w:val="0018439A"/>
    <w:rsid w:val="00184837"/>
    <w:rsid w:val="00185EFC"/>
    <w:rsid w:val="00187F26"/>
    <w:rsid w:val="001917A8"/>
    <w:rsid w:val="00197DB5"/>
    <w:rsid w:val="001A26A1"/>
    <w:rsid w:val="001A2700"/>
    <w:rsid w:val="001B4399"/>
    <w:rsid w:val="001B623B"/>
    <w:rsid w:val="001B667C"/>
    <w:rsid w:val="001B7DF3"/>
    <w:rsid w:val="001C2CC5"/>
    <w:rsid w:val="001C583B"/>
    <w:rsid w:val="001C66F4"/>
    <w:rsid w:val="001D3DDA"/>
    <w:rsid w:val="001D7B3D"/>
    <w:rsid w:val="001E494B"/>
    <w:rsid w:val="001E6092"/>
    <w:rsid w:val="001E68D3"/>
    <w:rsid w:val="001E6990"/>
    <w:rsid w:val="001E72FC"/>
    <w:rsid w:val="001F20EA"/>
    <w:rsid w:val="001F404D"/>
    <w:rsid w:val="001F5D1A"/>
    <w:rsid w:val="001F7A32"/>
    <w:rsid w:val="00215668"/>
    <w:rsid w:val="00217CC4"/>
    <w:rsid w:val="00220AD2"/>
    <w:rsid w:val="00223627"/>
    <w:rsid w:val="00237C0F"/>
    <w:rsid w:val="00237C4B"/>
    <w:rsid w:val="002446EA"/>
    <w:rsid w:val="002448BA"/>
    <w:rsid w:val="0024561D"/>
    <w:rsid w:val="00247539"/>
    <w:rsid w:val="00251396"/>
    <w:rsid w:val="00253F34"/>
    <w:rsid w:val="002559DF"/>
    <w:rsid w:val="00256EB6"/>
    <w:rsid w:val="00277DAB"/>
    <w:rsid w:val="00285682"/>
    <w:rsid w:val="002921C6"/>
    <w:rsid w:val="00295D96"/>
    <w:rsid w:val="002A60BE"/>
    <w:rsid w:val="002A7C16"/>
    <w:rsid w:val="002B2441"/>
    <w:rsid w:val="002B4A32"/>
    <w:rsid w:val="002B5DB5"/>
    <w:rsid w:val="002C16CF"/>
    <w:rsid w:val="002C6733"/>
    <w:rsid w:val="002C7B9E"/>
    <w:rsid w:val="002D26B5"/>
    <w:rsid w:val="002E0C0C"/>
    <w:rsid w:val="002E23EB"/>
    <w:rsid w:val="002E2545"/>
    <w:rsid w:val="002E291F"/>
    <w:rsid w:val="002E485A"/>
    <w:rsid w:val="002E703C"/>
    <w:rsid w:val="002F02A8"/>
    <w:rsid w:val="002F2CDC"/>
    <w:rsid w:val="002F3DBF"/>
    <w:rsid w:val="002F7CE9"/>
    <w:rsid w:val="00300614"/>
    <w:rsid w:val="003045D6"/>
    <w:rsid w:val="00305CE7"/>
    <w:rsid w:val="00310740"/>
    <w:rsid w:val="0031198D"/>
    <w:rsid w:val="0031222E"/>
    <w:rsid w:val="00312A81"/>
    <w:rsid w:val="00316F3A"/>
    <w:rsid w:val="00321D5D"/>
    <w:rsid w:val="00324AE9"/>
    <w:rsid w:val="0033032B"/>
    <w:rsid w:val="0033211B"/>
    <w:rsid w:val="0033416F"/>
    <w:rsid w:val="00344DD5"/>
    <w:rsid w:val="00352BBC"/>
    <w:rsid w:val="0035518E"/>
    <w:rsid w:val="0036250E"/>
    <w:rsid w:val="00363640"/>
    <w:rsid w:val="00363724"/>
    <w:rsid w:val="00364608"/>
    <w:rsid w:val="0036493D"/>
    <w:rsid w:val="00372BEB"/>
    <w:rsid w:val="003775CA"/>
    <w:rsid w:val="00382F61"/>
    <w:rsid w:val="00386A7C"/>
    <w:rsid w:val="0038780F"/>
    <w:rsid w:val="003915A5"/>
    <w:rsid w:val="0039240D"/>
    <w:rsid w:val="003B148D"/>
    <w:rsid w:val="003B668D"/>
    <w:rsid w:val="003C2948"/>
    <w:rsid w:val="003C64B8"/>
    <w:rsid w:val="003C771B"/>
    <w:rsid w:val="003D31B1"/>
    <w:rsid w:val="003D6F4C"/>
    <w:rsid w:val="003E1325"/>
    <w:rsid w:val="003E1D65"/>
    <w:rsid w:val="003E20AC"/>
    <w:rsid w:val="003E297A"/>
    <w:rsid w:val="003E4EE3"/>
    <w:rsid w:val="003F4BE1"/>
    <w:rsid w:val="003F5776"/>
    <w:rsid w:val="003F6A87"/>
    <w:rsid w:val="003F732B"/>
    <w:rsid w:val="004011BB"/>
    <w:rsid w:val="0041468B"/>
    <w:rsid w:val="004161EB"/>
    <w:rsid w:val="00416852"/>
    <w:rsid w:val="004170FE"/>
    <w:rsid w:val="004200E9"/>
    <w:rsid w:val="00422079"/>
    <w:rsid w:val="00422D3C"/>
    <w:rsid w:val="004240B8"/>
    <w:rsid w:val="00425CD1"/>
    <w:rsid w:val="00431C5D"/>
    <w:rsid w:val="00434B44"/>
    <w:rsid w:val="00436E50"/>
    <w:rsid w:val="0044080A"/>
    <w:rsid w:val="004411EE"/>
    <w:rsid w:val="00442D97"/>
    <w:rsid w:val="00443954"/>
    <w:rsid w:val="004450B4"/>
    <w:rsid w:val="0044676A"/>
    <w:rsid w:val="00446E34"/>
    <w:rsid w:val="004540D4"/>
    <w:rsid w:val="00455FA2"/>
    <w:rsid w:val="00462D6F"/>
    <w:rsid w:val="004633FC"/>
    <w:rsid w:val="00466513"/>
    <w:rsid w:val="004720FD"/>
    <w:rsid w:val="004779D6"/>
    <w:rsid w:val="004913C5"/>
    <w:rsid w:val="004929E2"/>
    <w:rsid w:val="00497BEA"/>
    <w:rsid w:val="004A00AB"/>
    <w:rsid w:val="004A02F7"/>
    <w:rsid w:val="004A680A"/>
    <w:rsid w:val="004A70B4"/>
    <w:rsid w:val="004B1FCB"/>
    <w:rsid w:val="004B4D30"/>
    <w:rsid w:val="004B6905"/>
    <w:rsid w:val="004C08C4"/>
    <w:rsid w:val="004C500C"/>
    <w:rsid w:val="004C5913"/>
    <w:rsid w:val="004D1B8F"/>
    <w:rsid w:val="004D34F9"/>
    <w:rsid w:val="004D3A99"/>
    <w:rsid w:val="004D44AA"/>
    <w:rsid w:val="004D4AF6"/>
    <w:rsid w:val="004E481E"/>
    <w:rsid w:val="004E50EA"/>
    <w:rsid w:val="004E6CE1"/>
    <w:rsid w:val="004F172D"/>
    <w:rsid w:val="004F30A5"/>
    <w:rsid w:val="004F4985"/>
    <w:rsid w:val="0050231D"/>
    <w:rsid w:val="005035B1"/>
    <w:rsid w:val="00521A21"/>
    <w:rsid w:val="005246AE"/>
    <w:rsid w:val="005246E1"/>
    <w:rsid w:val="00525496"/>
    <w:rsid w:val="005271E6"/>
    <w:rsid w:val="00530FEB"/>
    <w:rsid w:val="0053249E"/>
    <w:rsid w:val="005332BF"/>
    <w:rsid w:val="005340E2"/>
    <w:rsid w:val="0053416D"/>
    <w:rsid w:val="00534CB1"/>
    <w:rsid w:val="00541690"/>
    <w:rsid w:val="00547274"/>
    <w:rsid w:val="00552E5F"/>
    <w:rsid w:val="0055346F"/>
    <w:rsid w:val="00557C5F"/>
    <w:rsid w:val="005649B6"/>
    <w:rsid w:val="00566108"/>
    <w:rsid w:val="00570134"/>
    <w:rsid w:val="005707E5"/>
    <w:rsid w:val="00571370"/>
    <w:rsid w:val="00575C53"/>
    <w:rsid w:val="005763A1"/>
    <w:rsid w:val="00580066"/>
    <w:rsid w:val="00580428"/>
    <w:rsid w:val="00586B97"/>
    <w:rsid w:val="0058768D"/>
    <w:rsid w:val="005910C3"/>
    <w:rsid w:val="00597C31"/>
    <w:rsid w:val="005A3A56"/>
    <w:rsid w:val="005B214D"/>
    <w:rsid w:val="005B66A5"/>
    <w:rsid w:val="005B7013"/>
    <w:rsid w:val="005C4515"/>
    <w:rsid w:val="005C4D2E"/>
    <w:rsid w:val="005C5FDA"/>
    <w:rsid w:val="005C6463"/>
    <w:rsid w:val="005C6F5D"/>
    <w:rsid w:val="005D3DE6"/>
    <w:rsid w:val="005D4BAB"/>
    <w:rsid w:val="005D6929"/>
    <w:rsid w:val="005D6FE4"/>
    <w:rsid w:val="005E47C2"/>
    <w:rsid w:val="005F0728"/>
    <w:rsid w:val="005F1C73"/>
    <w:rsid w:val="005F581D"/>
    <w:rsid w:val="005F66BA"/>
    <w:rsid w:val="00602A13"/>
    <w:rsid w:val="00604439"/>
    <w:rsid w:val="006046CC"/>
    <w:rsid w:val="00607F29"/>
    <w:rsid w:val="00612634"/>
    <w:rsid w:val="00614F0A"/>
    <w:rsid w:val="006156EB"/>
    <w:rsid w:val="006168E4"/>
    <w:rsid w:val="00621B91"/>
    <w:rsid w:val="00623063"/>
    <w:rsid w:val="00623854"/>
    <w:rsid w:val="0062389B"/>
    <w:rsid w:val="00625D44"/>
    <w:rsid w:val="00626F8A"/>
    <w:rsid w:val="00643539"/>
    <w:rsid w:val="0065211E"/>
    <w:rsid w:val="0065241A"/>
    <w:rsid w:val="0065309C"/>
    <w:rsid w:val="00656FB7"/>
    <w:rsid w:val="0066166E"/>
    <w:rsid w:val="00661885"/>
    <w:rsid w:val="00661DF2"/>
    <w:rsid w:val="00666E00"/>
    <w:rsid w:val="00666FCE"/>
    <w:rsid w:val="006700E0"/>
    <w:rsid w:val="006736C5"/>
    <w:rsid w:val="00674DB4"/>
    <w:rsid w:val="006757C2"/>
    <w:rsid w:val="0067744F"/>
    <w:rsid w:val="00680479"/>
    <w:rsid w:val="00680AE9"/>
    <w:rsid w:val="00683851"/>
    <w:rsid w:val="006839AB"/>
    <w:rsid w:val="006840B6"/>
    <w:rsid w:val="006845C1"/>
    <w:rsid w:val="006878FA"/>
    <w:rsid w:val="00687C03"/>
    <w:rsid w:val="006953E4"/>
    <w:rsid w:val="0069712B"/>
    <w:rsid w:val="006A3AB2"/>
    <w:rsid w:val="006A3F80"/>
    <w:rsid w:val="006A5B26"/>
    <w:rsid w:val="006B56F1"/>
    <w:rsid w:val="006C1579"/>
    <w:rsid w:val="006C244E"/>
    <w:rsid w:val="006C29B5"/>
    <w:rsid w:val="006C2AD2"/>
    <w:rsid w:val="006C47EF"/>
    <w:rsid w:val="006C5B33"/>
    <w:rsid w:val="006D09AA"/>
    <w:rsid w:val="006D61B4"/>
    <w:rsid w:val="006D7C82"/>
    <w:rsid w:val="006E36EB"/>
    <w:rsid w:val="006F2459"/>
    <w:rsid w:val="006F28AE"/>
    <w:rsid w:val="007058A5"/>
    <w:rsid w:val="00710C2C"/>
    <w:rsid w:val="00714EC6"/>
    <w:rsid w:val="00717037"/>
    <w:rsid w:val="00722CCE"/>
    <w:rsid w:val="00731EA7"/>
    <w:rsid w:val="00740894"/>
    <w:rsid w:val="00745760"/>
    <w:rsid w:val="00746E11"/>
    <w:rsid w:val="00752DBB"/>
    <w:rsid w:val="007534E4"/>
    <w:rsid w:val="00755E31"/>
    <w:rsid w:val="0076133A"/>
    <w:rsid w:val="00761BC5"/>
    <w:rsid w:val="00767871"/>
    <w:rsid w:val="00767974"/>
    <w:rsid w:val="007768A1"/>
    <w:rsid w:val="007815FC"/>
    <w:rsid w:val="007821FD"/>
    <w:rsid w:val="00784417"/>
    <w:rsid w:val="007859AE"/>
    <w:rsid w:val="007B48C4"/>
    <w:rsid w:val="007B5179"/>
    <w:rsid w:val="007C21C7"/>
    <w:rsid w:val="007D6684"/>
    <w:rsid w:val="007D79BE"/>
    <w:rsid w:val="007D7AA0"/>
    <w:rsid w:val="007D7BCD"/>
    <w:rsid w:val="007E0AD6"/>
    <w:rsid w:val="007E2A24"/>
    <w:rsid w:val="007E2FAF"/>
    <w:rsid w:val="007E4918"/>
    <w:rsid w:val="007E6663"/>
    <w:rsid w:val="007E7F19"/>
    <w:rsid w:val="007F09A3"/>
    <w:rsid w:val="007F0EA5"/>
    <w:rsid w:val="007F3C74"/>
    <w:rsid w:val="007F5218"/>
    <w:rsid w:val="007F65F3"/>
    <w:rsid w:val="007F7262"/>
    <w:rsid w:val="00801FC4"/>
    <w:rsid w:val="008035D3"/>
    <w:rsid w:val="00804709"/>
    <w:rsid w:val="00804AF4"/>
    <w:rsid w:val="00807368"/>
    <w:rsid w:val="008114F5"/>
    <w:rsid w:val="00813ED7"/>
    <w:rsid w:val="008140EB"/>
    <w:rsid w:val="00814BA8"/>
    <w:rsid w:val="00815F59"/>
    <w:rsid w:val="008206AE"/>
    <w:rsid w:val="008271B4"/>
    <w:rsid w:val="00835A9B"/>
    <w:rsid w:val="0083654B"/>
    <w:rsid w:val="00845571"/>
    <w:rsid w:val="00845F1B"/>
    <w:rsid w:val="00852F2F"/>
    <w:rsid w:val="00860D18"/>
    <w:rsid w:val="00867E96"/>
    <w:rsid w:val="008700A9"/>
    <w:rsid w:val="00871F60"/>
    <w:rsid w:val="00872DEC"/>
    <w:rsid w:val="0087311A"/>
    <w:rsid w:val="008732BC"/>
    <w:rsid w:val="00877242"/>
    <w:rsid w:val="00880D1D"/>
    <w:rsid w:val="00882987"/>
    <w:rsid w:val="0088415C"/>
    <w:rsid w:val="00886F1F"/>
    <w:rsid w:val="0089065A"/>
    <w:rsid w:val="00890D38"/>
    <w:rsid w:val="00894737"/>
    <w:rsid w:val="00895572"/>
    <w:rsid w:val="00897984"/>
    <w:rsid w:val="008A5DC1"/>
    <w:rsid w:val="008B0F6F"/>
    <w:rsid w:val="008B2A39"/>
    <w:rsid w:val="008B4B12"/>
    <w:rsid w:val="008B5496"/>
    <w:rsid w:val="008B57A1"/>
    <w:rsid w:val="008B62F1"/>
    <w:rsid w:val="008C1D46"/>
    <w:rsid w:val="008C45A9"/>
    <w:rsid w:val="008D1236"/>
    <w:rsid w:val="008D3AD0"/>
    <w:rsid w:val="008D6C31"/>
    <w:rsid w:val="008E4941"/>
    <w:rsid w:val="008E6740"/>
    <w:rsid w:val="008F202A"/>
    <w:rsid w:val="008F7037"/>
    <w:rsid w:val="008F72B5"/>
    <w:rsid w:val="008F79B2"/>
    <w:rsid w:val="00906B23"/>
    <w:rsid w:val="00906CB7"/>
    <w:rsid w:val="00910F42"/>
    <w:rsid w:val="00914E19"/>
    <w:rsid w:val="00914E76"/>
    <w:rsid w:val="00916538"/>
    <w:rsid w:val="00921A3D"/>
    <w:rsid w:val="00921B1A"/>
    <w:rsid w:val="0093095C"/>
    <w:rsid w:val="0093543A"/>
    <w:rsid w:val="0093661F"/>
    <w:rsid w:val="00944CEB"/>
    <w:rsid w:val="0094618B"/>
    <w:rsid w:val="00946D11"/>
    <w:rsid w:val="00951DE6"/>
    <w:rsid w:val="00956E59"/>
    <w:rsid w:val="00960C0A"/>
    <w:rsid w:val="0096119E"/>
    <w:rsid w:val="009642CD"/>
    <w:rsid w:val="00964AA2"/>
    <w:rsid w:val="0097079B"/>
    <w:rsid w:val="00974BDE"/>
    <w:rsid w:val="00975AA4"/>
    <w:rsid w:val="00980DA0"/>
    <w:rsid w:val="0098161E"/>
    <w:rsid w:val="00983912"/>
    <w:rsid w:val="0099018E"/>
    <w:rsid w:val="00991CEB"/>
    <w:rsid w:val="009920BB"/>
    <w:rsid w:val="00992DCF"/>
    <w:rsid w:val="00997604"/>
    <w:rsid w:val="009977B1"/>
    <w:rsid w:val="009A2B27"/>
    <w:rsid w:val="009A2C82"/>
    <w:rsid w:val="009B011C"/>
    <w:rsid w:val="009B0E0D"/>
    <w:rsid w:val="009B1CE8"/>
    <w:rsid w:val="009B553B"/>
    <w:rsid w:val="009B56C2"/>
    <w:rsid w:val="009C2808"/>
    <w:rsid w:val="009C45C3"/>
    <w:rsid w:val="009C72A7"/>
    <w:rsid w:val="009C7713"/>
    <w:rsid w:val="009E4CFD"/>
    <w:rsid w:val="009E50B5"/>
    <w:rsid w:val="009E7044"/>
    <w:rsid w:val="009F0931"/>
    <w:rsid w:val="009F0F49"/>
    <w:rsid w:val="009F7D29"/>
    <w:rsid w:val="00A00418"/>
    <w:rsid w:val="00A011F0"/>
    <w:rsid w:val="00A055BE"/>
    <w:rsid w:val="00A0659C"/>
    <w:rsid w:val="00A1225C"/>
    <w:rsid w:val="00A17C89"/>
    <w:rsid w:val="00A20710"/>
    <w:rsid w:val="00A22667"/>
    <w:rsid w:val="00A23028"/>
    <w:rsid w:val="00A23717"/>
    <w:rsid w:val="00A2531E"/>
    <w:rsid w:val="00A25FD9"/>
    <w:rsid w:val="00A314C9"/>
    <w:rsid w:val="00A31986"/>
    <w:rsid w:val="00A41BCC"/>
    <w:rsid w:val="00A42C25"/>
    <w:rsid w:val="00A4528C"/>
    <w:rsid w:val="00A463E7"/>
    <w:rsid w:val="00A46B4A"/>
    <w:rsid w:val="00A50ABD"/>
    <w:rsid w:val="00A52D31"/>
    <w:rsid w:val="00A57BB3"/>
    <w:rsid w:val="00A6231A"/>
    <w:rsid w:val="00A63A48"/>
    <w:rsid w:val="00A64DDB"/>
    <w:rsid w:val="00A65DA1"/>
    <w:rsid w:val="00A6610B"/>
    <w:rsid w:val="00A71291"/>
    <w:rsid w:val="00A71606"/>
    <w:rsid w:val="00A72B5B"/>
    <w:rsid w:val="00A74BB3"/>
    <w:rsid w:val="00A77CE3"/>
    <w:rsid w:val="00A87602"/>
    <w:rsid w:val="00AA68D1"/>
    <w:rsid w:val="00AA6C8C"/>
    <w:rsid w:val="00AA6DD2"/>
    <w:rsid w:val="00AA749C"/>
    <w:rsid w:val="00AB1631"/>
    <w:rsid w:val="00AB166F"/>
    <w:rsid w:val="00AB2ACA"/>
    <w:rsid w:val="00AB7AF3"/>
    <w:rsid w:val="00AC1DF8"/>
    <w:rsid w:val="00AC2242"/>
    <w:rsid w:val="00AC36CA"/>
    <w:rsid w:val="00AC3A35"/>
    <w:rsid w:val="00AD0530"/>
    <w:rsid w:val="00AD1176"/>
    <w:rsid w:val="00AD3217"/>
    <w:rsid w:val="00AD4807"/>
    <w:rsid w:val="00AD5FB2"/>
    <w:rsid w:val="00AD7C6E"/>
    <w:rsid w:val="00AE4D25"/>
    <w:rsid w:val="00AE5BDA"/>
    <w:rsid w:val="00AF7501"/>
    <w:rsid w:val="00B03353"/>
    <w:rsid w:val="00B05C51"/>
    <w:rsid w:val="00B06CB4"/>
    <w:rsid w:val="00B176C1"/>
    <w:rsid w:val="00B21DAE"/>
    <w:rsid w:val="00B2423B"/>
    <w:rsid w:val="00B24840"/>
    <w:rsid w:val="00B30314"/>
    <w:rsid w:val="00B3175C"/>
    <w:rsid w:val="00B328A3"/>
    <w:rsid w:val="00B361E8"/>
    <w:rsid w:val="00B36CF1"/>
    <w:rsid w:val="00B370E9"/>
    <w:rsid w:val="00B40FF0"/>
    <w:rsid w:val="00B4174B"/>
    <w:rsid w:val="00B53C92"/>
    <w:rsid w:val="00B55619"/>
    <w:rsid w:val="00B55E84"/>
    <w:rsid w:val="00B56961"/>
    <w:rsid w:val="00B56CB5"/>
    <w:rsid w:val="00B57D43"/>
    <w:rsid w:val="00B62200"/>
    <w:rsid w:val="00B629B3"/>
    <w:rsid w:val="00B65E76"/>
    <w:rsid w:val="00B66605"/>
    <w:rsid w:val="00B676A7"/>
    <w:rsid w:val="00B72845"/>
    <w:rsid w:val="00B73EC0"/>
    <w:rsid w:val="00B74C66"/>
    <w:rsid w:val="00BA0C66"/>
    <w:rsid w:val="00BA2AA2"/>
    <w:rsid w:val="00BA5943"/>
    <w:rsid w:val="00BB0988"/>
    <w:rsid w:val="00BB1B89"/>
    <w:rsid w:val="00BB2374"/>
    <w:rsid w:val="00BB2D20"/>
    <w:rsid w:val="00BB7CF3"/>
    <w:rsid w:val="00BC0815"/>
    <w:rsid w:val="00BC1D3F"/>
    <w:rsid w:val="00BC3EB8"/>
    <w:rsid w:val="00BC4767"/>
    <w:rsid w:val="00BC6AB5"/>
    <w:rsid w:val="00BD3F96"/>
    <w:rsid w:val="00BD5738"/>
    <w:rsid w:val="00BE02A2"/>
    <w:rsid w:val="00BE16D6"/>
    <w:rsid w:val="00BE3305"/>
    <w:rsid w:val="00BE4376"/>
    <w:rsid w:val="00BE7F4B"/>
    <w:rsid w:val="00BF661F"/>
    <w:rsid w:val="00C025D3"/>
    <w:rsid w:val="00C02FA7"/>
    <w:rsid w:val="00C04277"/>
    <w:rsid w:val="00C14E5F"/>
    <w:rsid w:val="00C167AF"/>
    <w:rsid w:val="00C17B05"/>
    <w:rsid w:val="00C17C74"/>
    <w:rsid w:val="00C21D39"/>
    <w:rsid w:val="00C25530"/>
    <w:rsid w:val="00C2566C"/>
    <w:rsid w:val="00C30301"/>
    <w:rsid w:val="00C328C9"/>
    <w:rsid w:val="00C329FA"/>
    <w:rsid w:val="00C345CC"/>
    <w:rsid w:val="00C4083D"/>
    <w:rsid w:val="00C46032"/>
    <w:rsid w:val="00C47344"/>
    <w:rsid w:val="00C54017"/>
    <w:rsid w:val="00C5450C"/>
    <w:rsid w:val="00C55C4C"/>
    <w:rsid w:val="00C5733D"/>
    <w:rsid w:val="00C62FC3"/>
    <w:rsid w:val="00C6393E"/>
    <w:rsid w:val="00C7732D"/>
    <w:rsid w:val="00C775C8"/>
    <w:rsid w:val="00C813F4"/>
    <w:rsid w:val="00C84044"/>
    <w:rsid w:val="00C85342"/>
    <w:rsid w:val="00C85AA4"/>
    <w:rsid w:val="00C85DCD"/>
    <w:rsid w:val="00C86197"/>
    <w:rsid w:val="00C90458"/>
    <w:rsid w:val="00C9110D"/>
    <w:rsid w:val="00C95F88"/>
    <w:rsid w:val="00CA66D2"/>
    <w:rsid w:val="00CA6EFB"/>
    <w:rsid w:val="00CC0141"/>
    <w:rsid w:val="00CC0216"/>
    <w:rsid w:val="00CC148D"/>
    <w:rsid w:val="00CC3596"/>
    <w:rsid w:val="00CC402F"/>
    <w:rsid w:val="00CC5BC6"/>
    <w:rsid w:val="00CC5DD0"/>
    <w:rsid w:val="00CC60B4"/>
    <w:rsid w:val="00CC6813"/>
    <w:rsid w:val="00CE5553"/>
    <w:rsid w:val="00CE5D8F"/>
    <w:rsid w:val="00CF2E34"/>
    <w:rsid w:val="00CF2FBA"/>
    <w:rsid w:val="00CF3C4A"/>
    <w:rsid w:val="00CF4BE7"/>
    <w:rsid w:val="00CF68CC"/>
    <w:rsid w:val="00D053C3"/>
    <w:rsid w:val="00D054E8"/>
    <w:rsid w:val="00D07012"/>
    <w:rsid w:val="00D1282E"/>
    <w:rsid w:val="00D12BB9"/>
    <w:rsid w:val="00D13E6E"/>
    <w:rsid w:val="00D23AF5"/>
    <w:rsid w:val="00D276FE"/>
    <w:rsid w:val="00D30419"/>
    <w:rsid w:val="00D4306A"/>
    <w:rsid w:val="00D443D7"/>
    <w:rsid w:val="00D47966"/>
    <w:rsid w:val="00D53650"/>
    <w:rsid w:val="00D61E6E"/>
    <w:rsid w:val="00D63A95"/>
    <w:rsid w:val="00D64707"/>
    <w:rsid w:val="00D64AB3"/>
    <w:rsid w:val="00D65645"/>
    <w:rsid w:val="00D72EC0"/>
    <w:rsid w:val="00D7333D"/>
    <w:rsid w:val="00D7570A"/>
    <w:rsid w:val="00D777B9"/>
    <w:rsid w:val="00D77A44"/>
    <w:rsid w:val="00D8197E"/>
    <w:rsid w:val="00D93D4A"/>
    <w:rsid w:val="00D94796"/>
    <w:rsid w:val="00DA02E8"/>
    <w:rsid w:val="00DA079F"/>
    <w:rsid w:val="00DA19AA"/>
    <w:rsid w:val="00DA2709"/>
    <w:rsid w:val="00DA2810"/>
    <w:rsid w:val="00DA2A61"/>
    <w:rsid w:val="00DA661A"/>
    <w:rsid w:val="00DB1BA2"/>
    <w:rsid w:val="00DB788E"/>
    <w:rsid w:val="00DB7AC5"/>
    <w:rsid w:val="00DC04AB"/>
    <w:rsid w:val="00DC34AB"/>
    <w:rsid w:val="00DD1A2F"/>
    <w:rsid w:val="00DD25F6"/>
    <w:rsid w:val="00DD61A6"/>
    <w:rsid w:val="00DD61FA"/>
    <w:rsid w:val="00DD63E2"/>
    <w:rsid w:val="00DE09BE"/>
    <w:rsid w:val="00DE0B02"/>
    <w:rsid w:val="00DE1670"/>
    <w:rsid w:val="00DE4891"/>
    <w:rsid w:val="00DE5743"/>
    <w:rsid w:val="00DE583E"/>
    <w:rsid w:val="00DF1EBF"/>
    <w:rsid w:val="00DF561F"/>
    <w:rsid w:val="00E04E96"/>
    <w:rsid w:val="00E05B04"/>
    <w:rsid w:val="00E106F6"/>
    <w:rsid w:val="00E14CEE"/>
    <w:rsid w:val="00E20429"/>
    <w:rsid w:val="00E20E8F"/>
    <w:rsid w:val="00E221DD"/>
    <w:rsid w:val="00E23182"/>
    <w:rsid w:val="00E35ECE"/>
    <w:rsid w:val="00E35F6A"/>
    <w:rsid w:val="00E4152D"/>
    <w:rsid w:val="00E416D8"/>
    <w:rsid w:val="00E46D7C"/>
    <w:rsid w:val="00E52055"/>
    <w:rsid w:val="00E52650"/>
    <w:rsid w:val="00E5711A"/>
    <w:rsid w:val="00E6469D"/>
    <w:rsid w:val="00E65495"/>
    <w:rsid w:val="00E6723C"/>
    <w:rsid w:val="00E7167C"/>
    <w:rsid w:val="00E7789E"/>
    <w:rsid w:val="00E77C2C"/>
    <w:rsid w:val="00E93766"/>
    <w:rsid w:val="00E94268"/>
    <w:rsid w:val="00E94715"/>
    <w:rsid w:val="00E947E0"/>
    <w:rsid w:val="00E95261"/>
    <w:rsid w:val="00E95724"/>
    <w:rsid w:val="00E9738C"/>
    <w:rsid w:val="00EA0242"/>
    <w:rsid w:val="00EA1F2D"/>
    <w:rsid w:val="00EA38C9"/>
    <w:rsid w:val="00EA5889"/>
    <w:rsid w:val="00EA709F"/>
    <w:rsid w:val="00EB0BF6"/>
    <w:rsid w:val="00EB1384"/>
    <w:rsid w:val="00EB1E6A"/>
    <w:rsid w:val="00EB21E2"/>
    <w:rsid w:val="00EB3626"/>
    <w:rsid w:val="00EB52C8"/>
    <w:rsid w:val="00EB567D"/>
    <w:rsid w:val="00EB58E8"/>
    <w:rsid w:val="00EB64E7"/>
    <w:rsid w:val="00EC06CB"/>
    <w:rsid w:val="00EC0F69"/>
    <w:rsid w:val="00EC4247"/>
    <w:rsid w:val="00EC7034"/>
    <w:rsid w:val="00EC775E"/>
    <w:rsid w:val="00ED2111"/>
    <w:rsid w:val="00ED2A2A"/>
    <w:rsid w:val="00ED2D63"/>
    <w:rsid w:val="00ED454F"/>
    <w:rsid w:val="00EE610F"/>
    <w:rsid w:val="00EE706B"/>
    <w:rsid w:val="00EE763E"/>
    <w:rsid w:val="00EF1EE0"/>
    <w:rsid w:val="00EF66C0"/>
    <w:rsid w:val="00F00082"/>
    <w:rsid w:val="00F0366B"/>
    <w:rsid w:val="00F06855"/>
    <w:rsid w:val="00F07B34"/>
    <w:rsid w:val="00F14044"/>
    <w:rsid w:val="00F226CD"/>
    <w:rsid w:val="00F27B9D"/>
    <w:rsid w:val="00F30B4E"/>
    <w:rsid w:val="00F316AE"/>
    <w:rsid w:val="00F32E09"/>
    <w:rsid w:val="00F3584E"/>
    <w:rsid w:val="00F36EF7"/>
    <w:rsid w:val="00F36FAF"/>
    <w:rsid w:val="00F3790A"/>
    <w:rsid w:val="00F406BD"/>
    <w:rsid w:val="00F40AB0"/>
    <w:rsid w:val="00F53BE1"/>
    <w:rsid w:val="00F57638"/>
    <w:rsid w:val="00F57854"/>
    <w:rsid w:val="00F607F5"/>
    <w:rsid w:val="00F62555"/>
    <w:rsid w:val="00F64F3D"/>
    <w:rsid w:val="00F662DC"/>
    <w:rsid w:val="00F66B1E"/>
    <w:rsid w:val="00F67110"/>
    <w:rsid w:val="00F709A5"/>
    <w:rsid w:val="00F70F73"/>
    <w:rsid w:val="00F72EA8"/>
    <w:rsid w:val="00F80167"/>
    <w:rsid w:val="00F80585"/>
    <w:rsid w:val="00F848C6"/>
    <w:rsid w:val="00F86959"/>
    <w:rsid w:val="00F876D2"/>
    <w:rsid w:val="00F91F58"/>
    <w:rsid w:val="00F93F96"/>
    <w:rsid w:val="00FA31E5"/>
    <w:rsid w:val="00FC034C"/>
    <w:rsid w:val="00FC5EC7"/>
    <w:rsid w:val="00FC6AC0"/>
    <w:rsid w:val="00FC71E6"/>
    <w:rsid w:val="00FD0886"/>
    <w:rsid w:val="00FD2A65"/>
    <w:rsid w:val="00FE1459"/>
    <w:rsid w:val="00FE2573"/>
    <w:rsid w:val="00FE5222"/>
    <w:rsid w:val="00FE7A33"/>
    <w:rsid w:val="00FF1A5E"/>
    <w:rsid w:val="00FF2586"/>
    <w:rsid w:val="00FF5C5B"/>
    <w:rsid w:val="01297CA0"/>
    <w:rsid w:val="01385242"/>
    <w:rsid w:val="01540CB0"/>
    <w:rsid w:val="02D16A8C"/>
    <w:rsid w:val="02D8739A"/>
    <w:rsid w:val="02F65980"/>
    <w:rsid w:val="037C7BEE"/>
    <w:rsid w:val="0389774D"/>
    <w:rsid w:val="03B67578"/>
    <w:rsid w:val="045067B6"/>
    <w:rsid w:val="048B0398"/>
    <w:rsid w:val="04BC30B6"/>
    <w:rsid w:val="04D86DBD"/>
    <w:rsid w:val="059B686C"/>
    <w:rsid w:val="05A161A8"/>
    <w:rsid w:val="064C314F"/>
    <w:rsid w:val="06587500"/>
    <w:rsid w:val="06707EF5"/>
    <w:rsid w:val="07140BBB"/>
    <w:rsid w:val="073F1532"/>
    <w:rsid w:val="075A73E6"/>
    <w:rsid w:val="07776B20"/>
    <w:rsid w:val="08122E41"/>
    <w:rsid w:val="085E34E0"/>
    <w:rsid w:val="086C44B2"/>
    <w:rsid w:val="08B54F58"/>
    <w:rsid w:val="08B65FB2"/>
    <w:rsid w:val="094D0AA9"/>
    <w:rsid w:val="09831FA1"/>
    <w:rsid w:val="098437C4"/>
    <w:rsid w:val="0A3208AE"/>
    <w:rsid w:val="0A4466F5"/>
    <w:rsid w:val="0A93759F"/>
    <w:rsid w:val="0AB3379D"/>
    <w:rsid w:val="0BB63F03"/>
    <w:rsid w:val="0BC7588A"/>
    <w:rsid w:val="0BDA3A05"/>
    <w:rsid w:val="0BE17506"/>
    <w:rsid w:val="0BF84947"/>
    <w:rsid w:val="0C583B88"/>
    <w:rsid w:val="0C6D41E1"/>
    <w:rsid w:val="0CAB03BB"/>
    <w:rsid w:val="0D160B7F"/>
    <w:rsid w:val="0D51729D"/>
    <w:rsid w:val="0DBC5829"/>
    <w:rsid w:val="0DCC4BEE"/>
    <w:rsid w:val="0DE11824"/>
    <w:rsid w:val="0DEF1233"/>
    <w:rsid w:val="0E0E39C4"/>
    <w:rsid w:val="0E181383"/>
    <w:rsid w:val="0E2B1253"/>
    <w:rsid w:val="0E574D87"/>
    <w:rsid w:val="0E6B1CD4"/>
    <w:rsid w:val="0EA814FC"/>
    <w:rsid w:val="0EBC67A2"/>
    <w:rsid w:val="0F2435C0"/>
    <w:rsid w:val="0F4A1D0C"/>
    <w:rsid w:val="0FAB53D3"/>
    <w:rsid w:val="0FB863AE"/>
    <w:rsid w:val="0FD92D3F"/>
    <w:rsid w:val="0FF06A88"/>
    <w:rsid w:val="10147E0F"/>
    <w:rsid w:val="108E6668"/>
    <w:rsid w:val="11661B18"/>
    <w:rsid w:val="11724F9F"/>
    <w:rsid w:val="11A44115"/>
    <w:rsid w:val="1208346E"/>
    <w:rsid w:val="12A137EA"/>
    <w:rsid w:val="12AA544D"/>
    <w:rsid w:val="12C3374F"/>
    <w:rsid w:val="12CA6C69"/>
    <w:rsid w:val="12CC6533"/>
    <w:rsid w:val="12E115C0"/>
    <w:rsid w:val="131777A7"/>
    <w:rsid w:val="136715C8"/>
    <w:rsid w:val="136A2E67"/>
    <w:rsid w:val="137141F5"/>
    <w:rsid w:val="13A63FAD"/>
    <w:rsid w:val="13A75DAC"/>
    <w:rsid w:val="13B567D8"/>
    <w:rsid w:val="13CA09F7"/>
    <w:rsid w:val="13F76008"/>
    <w:rsid w:val="1409606C"/>
    <w:rsid w:val="14627066"/>
    <w:rsid w:val="14AB35FB"/>
    <w:rsid w:val="14AD2778"/>
    <w:rsid w:val="14AE6446"/>
    <w:rsid w:val="14BF0C39"/>
    <w:rsid w:val="14F71270"/>
    <w:rsid w:val="14FC0F5C"/>
    <w:rsid w:val="15515303"/>
    <w:rsid w:val="158137D0"/>
    <w:rsid w:val="15897414"/>
    <w:rsid w:val="15E236EA"/>
    <w:rsid w:val="160F0E53"/>
    <w:rsid w:val="161600DE"/>
    <w:rsid w:val="16555CAA"/>
    <w:rsid w:val="16FE3271"/>
    <w:rsid w:val="17887D5F"/>
    <w:rsid w:val="179D195D"/>
    <w:rsid w:val="17C34C9D"/>
    <w:rsid w:val="17D90FDF"/>
    <w:rsid w:val="18046AB6"/>
    <w:rsid w:val="18452ED7"/>
    <w:rsid w:val="187015C3"/>
    <w:rsid w:val="18AB63FB"/>
    <w:rsid w:val="190A1374"/>
    <w:rsid w:val="19220977"/>
    <w:rsid w:val="194D0E8D"/>
    <w:rsid w:val="199867C6"/>
    <w:rsid w:val="19DC500F"/>
    <w:rsid w:val="19F51193"/>
    <w:rsid w:val="1B610DB7"/>
    <w:rsid w:val="1BA3061C"/>
    <w:rsid w:val="1C7218DA"/>
    <w:rsid w:val="1C7B7E93"/>
    <w:rsid w:val="1CBF7C4D"/>
    <w:rsid w:val="1CFA16FF"/>
    <w:rsid w:val="1D8B0ABF"/>
    <w:rsid w:val="1DBC4BCA"/>
    <w:rsid w:val="1DD37D5E"/>
    <w:rsid w:val="1DF64E96"/>
    <w:rsid w:val="1DFC56CA"/>
    <w:rsid w:val="1E1159BB"/>
    <w:rsid w:val="1E294A9A"/>
    <w:rsid w:val="1E4B6404"/>
    <w:rsid w:val="1EAE4869"/>
    <w:rsid w:val="1ED34765"/>
    <w:rsid w:val="1F3D1604"/>
    <w:rsid w:val="1F787A0A"/>
    <w:rsid w:val="20224955"/>
    <w:rsid w:val="202B74F4"/>
    <w:rsid w:val="20505859"/>
    <w:rsid w:val="205816D2"/>
    <w:rsid w:val="20F97D6F"/>
    <w:rsid w:val="215A3F41"/>
    <w:rsid w:val="215A5858"/>
    <w:rsid w:val="21B93512"/>
    <w:rsid w:val="226D50AB"/>
    <w:rsid w:val="227C4A82"/>
    <w:rsid w:val="22851A6B"/>
    <w:rsid w:val="22BD166E"/>
    <w:rsid w:val="231F384F"/>
    <w:rsid w:val="233B0C0C"/>
    <w:rsid w:val="23461A44"/>
    <w:rsid w:val="237D711A"/>
    <w:rsid w:val="23A630FA"/>
    <w:rsid w:val="24140310"/>
    <w:rsid w:val="243F45ED"/>
    <w:rsid w:val="24577919"/>
    <w:rsid w:val="249852ED"/>
    <w:rsid w:val="24AA55D0"/>
    <w:rsid w:val="24D10F97"/>
    <w:rsid w:val="250B4D80"/>
    <w:rsid w:val="251702AA"/>
    <w:rsid w:val="252C1C31"/>
    <w:rsid w:val="25955CFE"/>
    <w:rsid w:val="259E75CE"/>
    <w:rsid w:val="25B37BD1"/>
    <w:rsid w:val="25C46DB6"/>
    <w:rsid w:val="266819E1"/>
    <w:rsid w:val="266C755E"/>
    <w:rsid w:val="26F0310B"/>
    <w:rsid w:val="27250EB0"/>
    <w:rsid w:val="27CE7FAB"/>
    <w:rsid w:val="28836A4D"/>
    <w:rsid w:val="289D28D8"/>
    <w:rsid w:val="289E33A4"/>
    <w:rsid w:val="28BE6D4A"/>
    <w:rsid w:val="28F737B3"/>
    <w:rsid w:val="297B7659"/>
    <w:rsid w:val="29A9603F"/>
    <w:rsid w:val="2A4F4C97"/>
    <w:rsid w:val="2A5E0991"/>
    <w:rsid w:val="2AA25D4B"/>
    <w:rsid w:val="2AA8256B"/>
    <w:rsid w:val="2B280C79"/>
    <w:rsid w:val="2B324AEE"/>
    <w:rsid w:val="2B830798"/>
    <w:rsid w:val="2B8418DF"/>
    <w:rsid w:val="2C2C2F57"/>
    <w:rsid w:val="2C3053CF"/>
    <w:rsid w:val="2C9D5579"/>
    <w:rsid w:val="2D1265F1"/>
    <w:rsid w:val="2D1E4204"/>
    <w:rsid w:val="2D2D3B5C"/>
    <w:rsid w:val="2D915F5C"/>
    <w:rsid w:val="2D974A4F"/>
    <w:rsid w:val="2DB60886"/>
    <w:rsid w:val="2DC44914"/>
    <w:rsid w:val="2DC546C2"/>
    <w:rsid w:val="2E1A3139"/>
    <w:rsid w:val="2EE76A63"/>
    <w:rsid w:val="2F111052"/>
    <w:rsid w:val="2F307202"/>
    <w:rsid w:val="2F5F5235"/>
    <w:rsid w:val="2F601D5C"/>
    <w:rsid w:val="2FD4467F"/>
    <w:rsid w:val="2FF3397D"/>
    <w:rsid w:val="30032E69"/>
    <w:rsid w:val="30493F27"/>
    <w:rsid w:val="305E5000"/>
    <w:rsid w:val="30612B73"/>
    <w:rsid w:val="30CE6CD3"/>
    <w:rsid w:val="31102E48"/>
    <w:rsid w:val="3151080C"/>
    <w:rsid w:val="31530A02"/>
    <w:rsid w:val="315D58D8"/>
    <w:rsid w:val="31680881"/>
    <w:rsid w:val="317058C7"/>
    <w:rsid w:val="3172112D"/>
    <w:rsid w:val="31BF3F71"/>
    <w:rsid w:val="31E51BC0"/>
    <w:rsid w:val="322542E5"/>
    <w:rsid w:val="32450B1F"/>
    <w:rsid w:val="326B586F"/>
    <w:rsid w:val="328F6795"/>
    <w:rsid w:val="32AB6ADD"/>
    <w:rsid w:val="32CD7638"/>
    <w:rsid w:val="332E42F9"/>
    <w:rsid w:val="33495B49"/>
    <w:rsid w:val="334F4643"/>
    <w:rsid w:val="33BA38D9"/>
    <w:rsid w:val="33E122F7"/>
    <w:rsid w:val="33EA3E4A"/>
    <w:rsid w:val="33F63519"/>
    <w:rsid w:val="340622E0"/>
    <w:rsid w:val="342832CA"/>
    <w:rsid w:val="34714607"/>
    <w:rsid w:val="34AF2ADE"/>
    <w:rsid w:val="35317B80"/>
    <w:rsid w:val="35541CA2"/>
    <w:rsid w:val="361F3F1F"/>
    <w:rsid w:val="3651018A"/>
    <w:rsid w:val="369E6216"/>
    <w:rsid w:val="371D1E33"/>
    <w:rsid w:val="37B07A7B"/>
    <w:rsid w:val="37E83220"/>
    <w:rsid w:val="381043B6"/>
    <w:rsid w:val="381F04E1"/>
    <w:rsid w:val="387B7A76"/>
    <w:rsid w:val="39026ACA"/>
    <w:rsid w:val="396D03BA"/>
    <w:rsid w:val="39AD5E6E"/>
    <w:rsid w:val="39D34841"/>
    <w:rsid w:val="3A0F3152"/>
    <w:rsid w:val="3A3E4582"/>
    <w:rsid w:val="3A5A3F52"/>
    <w:rsid w:val="3A745EF5"/>
    <w:rsid w:val="3AE41E5F"/>
    <w:rsid w:val="3AF047F0"/>
    <w:rsid w:val="3BB77FE4"/>
    <w:rsid w:val="3C0B5050"/>
    <w:rsid w:val="3C3D6A77"/>
    <w:rsid w:val="3C6E75DC"/>
    <w:rsid w:val="3C913724"/>
    <w:rsid w:val="3CAB62A2"/>
    <w:rsid w:val="3CAC611A"/>
    <w:rsid w:val="3D211F38"/>
    <w:rsid w:val="3D5A092F"/>
    <w:rsid w:val="3D89388A"/>
    <w:rsid w:val="3DAE2194"/>
    <w:rsid w:val="3DB40CAA"/>
    <w:rsid w:val="3DD82DE7"/>
    <w:rsid w:val="3DE90CA8"/>
    <w:rsid w:val="3E347F54"/>
    <w:rsid w:val="3E382578"/>
    <w:rsid w:val="3E4D659D"/>
    <w:rsid w:val="3E6B1947"/>
    <w:rsid w:val="3EBE09E1"/>
    <w:rsid w:val="3ED16E03"/>
    <w:rsid w:val="3F051B12"/>
    <w:rsid w:val="3F5C662C"/>
    <w:rsid w:val="3F8357E2"/>
    <w:rsid w:val="40096FEA"/>
    <w:rsid w:val="404F4734"/>
    <w:rsid w:val="409B0284"/>
    <w:rsid w:val="40FA4228"/>
    <w:rsid w:val="41DC429C"/>
    <w:rsid w:val="41EA1E83"/>
    <w:rsid w:val="421F6C11"/>
    <w:rsid w:val="422B5D33"/>
    <w:rsid w:val="424E5A0A"/>
    <w:rsid w:val="42814EDD"/>
    <w:rsid w:val="43CE400B"/>
    <w:rsid w:val="441B2E6A"/>
    <w:rsid w:val="459E681C"/>
    <w:rsid w:val="45E87FDD"/>
    <w:rsid w:val="45FB35EF"/>
    <w:rsid w:val="46896661"/>
    <w:rsid w:val="46CA6C6B"/>
    <w:rsid w:val="476745C6"/>
    <w:rsid w:val="478551BE"/>
    <w:rsid w:val="47907D9B"/>
    <w:rsid w:val="47B8315F"/>
    <w:rsid w:val="48064D8C"/>
    <w:rsid w:val="4885166B"/>
    <w:rsid w:val="489F7A97"/>
    <w:rsid w:val="49790378"/>
    <w:rsid w:val="49850E9D"/>
    <w:rsid w:val="49F577EC"/>
    <w:rsid w:val="4A050010"/>
    <w:rsid w:val="4A08238E"/>
    <w:rsid w:val="4A1B648B"/>
    <w:rsid w:val="4A7A61B7"/>
    <w:rsid w:val="4AD66A3D"/>
    <w:rsid w:val="4B006BE7"/>
    <w:rsid w:val="4B235362"/>
    <w:rsid w:val="4B3B0318"/>
    <w:rsid w:val="4BB47E8A"/>
    <w:rsid w:val="4BC02287"/>
    <w:rsid w:val="4BD1747D"/>
    <w:rsid w:val="4BE00294"/>
    <w:rsid w:val="4C407F82"/>
    <w:rsid w:val="4C795AA8"/>
    <w:rsid w:val="4C844F94"/>
    <w:rsid w:val="4C911968"/>
    <w:rsid w:val="4CF663FC"/>
    <w:rsid w:val="4CFC6AF0"/>
    <w:rsid w:val="4D00283E"/>
    <w:rsid w:val="4D3B2BA3"/>
    <w:rsid w:val="4D610B56"/>
    <w:rsid w:val="4D6E3B0D"/>
    <w:rsid w:val="4D7A0623"/>
    <w:rsid w:val="4E2142A7"/>
    <w:rsid w:val="4EB128E3"/>
    <w:rsid w:val="4EB53C30"/>
    <w:rsid w:val="4EDD6607"/>
    <w:rsid w:val="4F152548"/>
    <w:rsid w:val="4FDA0983"/>
    <w:rsid w:val="4FDF6432"/>
    <w:rsid w:val="4FF3428C"/>
    <w:rsid w:val="505847B3"/>
    <w:rsid w:val="50A7400A"/>
    <w:rsid w:val="5114569E"/>
    <w:rsid w:val="513D338D"/>
    <w:rsid w:val="514C3C03"/>
    <w:rsid w:val="5153495F"/>
    <w:rsid w:val="51711C9A"/>
    <w:rsid w:val="519B00B4"/>
    <w:rsid w:val="522105B9"/>
    <w:rsid w:val="52B72CCB"/>
    <w:rsid w:val="52D22443"/>
    <w:rsid w:val="531E79A2"/>
    <w:rsid w:val="53981303"/>
    <w:rsid w:val="53A41E9E"/>
    <w:rsid w:val="53A67EA5"/>
    <w:rsid w:val="53DF2889"/>
    <w:rsid w:val="53F15BBB"/>
    <w:rsid w:val="541633BA"/>
    <w:rsid w:val="54214E49"/>
    <w:rsid w:val="542D76B9"/>
    <w:rsid w:val="54570A8D"/>
    <w:rsid w:val="54FD1D2D"/>
    <w:rsid w:val="54FE6541"/>
    <w:rsid w:val="55110DB9"/>
    <w:rsid w:val="556A3161"/>
    <w:rsid w:val="559D64FD"/>
    <w:rsid w:val="562B40FC"/>
    <w:rsid w:val="56613FBE"/>
    <w:rsid w:val="56BD1F73"/>
    <w:rsid w:val="56BE23B5"/>
    <w:rsid w:val="56CE2A46"/>
    <w:rsid w:val="572321FF"/>
    <w:rsid w:val="57362F14"/>
    <w:rsid w:val="57A01E5D"/>
    <w:rsid w:val="57A255D6"/>
    <w:rsid w:val="57B53F80"/>
    <w:rsid w:val="57BF1EB9"/>
    <w:rsid w:val="57D940C8"/>
    <w:rsid w:val="57DB740C"/>
    <w:rsid w:val="57E91B16"/>
    <w:rsid w:val="58BC6D0C"/>
    <w:rsid w:val="59044790"/>
    <w:rsid w:val="59FB3A5A"/>
    <w:rsid w:val="5A136F0A"/>
    <w:rsid w:val="5A1D348D"/>
    <w:rsid w:val="5B235954"/>
    <w:rsid w:val="5B2833FB"/>
    <w:rsid w:val="5B3A77E0"/>
    <w:rsid w:val="5BEC1C38"/>
    <w:rsid w:val="5C0E5576"/>
    <w:rsid w:val="5CAA2609"/>
    <w:rsid w:val="5CDF4F50"/>
    <w:rsid w:val="5CE31AF3"/>
    <w:rsid w:val="5CE9365B"/>
    <w:rsid w:val="5D5932FD"/>
    <w:rsid w:val="5D9C227F"/>
    <w:rsid w:val="5DB76B04"/>
    <w:rsid w:val="5DDA257C"/>
    <w:rsid w:val="5DEC4171"/>
    <w:rsid w:val="5DF33533"/>
    <w:rsid w:val="5E4E3EED"/>
    <w:rsid w:val="5E6C563F"/>
    <w:rsid w:val="5EBC1FC9"/>
    <w:rsid w:val="5F2B2106"/>
    <w:rsid w:val="5F7C1598"/>
    <w:rsid w:val="5F9F2E27"/>
    <w:rsid w:val="5FA215CE"/>
    <w:rsid w:val="60307846"/>
    <w:rsid w:val="604E7CD6"/>
    <w:rsid w:val="60657600"/>
    <w:rsid w:val="607D4A53"/>
    <w:rsid w:val="60A70823"/>
    <w:rsid w:val="60BA6846"/>
    <w:rsid w:val="60E467FB"/>
    <w:rsid w:val="60E6759D"/>
    <w:rsid w:val="613F50B7"/>
    <w:rsid w:val="617C0E30"/>
    <w:rsid w:val="61817100"/>
    <w:rsid w:val="61827D3E"/>
    <w:rsid w:val="62150E02"/>
    <w:rsid w:val="62167FBB"/>
    <w:rsid w:val="623001C7"/>
    <w:rsid w:val="62540537"/>
    <w:rsid w:val="63300277"/>
    <w:rsid w:val="633F0D3B"/>
    <w:rsid w:val="635A112B"/>
    <w:rsid w:val="63D26FC0"/>
    <w:rsid w:val="63F87205"/>
    <w:rsid w:val="644358F4"/>
    <w:rsid w:val="645B266B"/>
    <w:rsid w:val="64822F02"/>
    <w:rsid w:val="65645EFA"/>
    <w:rsid w:val="65B52FC7"/>
    <w:rsid w:val="65C2552E"/>
    <w:rsid w:val="65F566EB"/>
    <w:rsid w:val="663C283C"/>
    <w:rsid w:val="66B0159D"/>
    <w:rsid w:val="66D5232B"/>
    <w:rsid w:val="66DB4D83"/>
    <w:rsid w:val="672B59FE"/>
    <w:rsid w:val="67482EAA"/>
    <w:rsid w:val="675E6CA0"/>
    <w:rsid w:val="6775664E"/>
    <w:rsid w:val="67A34A6C"/>
    <w:rsid w:val="67CD100E"/>
    <w:rsid w:val="68183DB4"/>
    <w:rsid w:val="687B5812"/>
    <w:rsid w:val="688E793E"/>
    <w:rsid w:val="68BF6E49"/>
    <w:rsid w:val="68CB0A5A"/>
    <w:rsid w:val="68E63FBB"/>
    <w:rsid w:val="68EC3537"/>
    <w:rsid w:val="69924486"/>
    <w:rsid w:val="69AC600C"/>
    <w:rsid w:val="69FB7911"/>
    <w:rsid w:val="6A135C95"/>
    <w:rsid w:val="6A976B34"/>
    <w:rsid w:val="6AE07862"/>
    <w:rsid w:val="6AF30D44"/>
    <w:rsid w:val="6AFB672F"/>
    <w:rsid w:val="6B7B4D86"/>
    <w:rsid w:val="6B872F04"/>
    <w:rsid w:val="6BBF7563"/>
    <w:rsid w:val="6BE033BB"/>
    <w:rsid w:val="6C490162"/>
    <w:rsid w:val="6C71773A"/>
    <w:rsid w:val="6CAC58B6"/>
    <w:rsid w:val="6D727590"/>
    <w:rsid w:val="6D987AF1"/>
    <w:rsid w:val="6DAC7BC2"/>
    <w:rsid w:val="6E3631E6"/>
    <w:rsid w:val="6E6B5723"/>
    <w:rsid w:val="6E903291"/>
    <w:rsid w:val="6E975E7E"/>
    <w:rsid w:val="6EBC2D9D"/>
    <w:rsid w:val="6EC14A45"/>
    <w:rsid w:val="6EE34143"/>
    <w:rsid w:val="6F0301AC"/>
    <w:rsid w:val="6F3B4F58"/>
    <w:rsid w:val="6F5F178C"/>
    <w:rsid w:val="6FC05DF0"/>
    <w:rsid w:val="6FE32EFA"/>
    <w:rsid w:val="70367D16"/>
    <w:rsid w:val="708B5A6B"/>
    <w:rsid w:val="70AF4583"/>
    <w:rsid w:val="70C97E1B"/>
    <w:rsid w:val="71183A57"/>
    <w:rsid w:val="71894CC1"/>
    <w:rsid w:val="71B00AA7"/>
    <w:rsid w:val="71C96227"/>
    <w:rsid w:val="71CA3737"/>
    <w:rsid w:val="71CF76E3"/>
    <w:rsid w:val="71D11E26"/>
    <w:rsid w:val="72B30178"/>
    <w:rsid w:val="72B65F26"/>
    <w:rsid w:val="72CA214F"/>
    <w:rsid w:val="72D60E68"/>
    <w:rsid w:val="72FE27E4"/>
    <w:rsid w:val="73512B07"/>
    <w:rsid w:val="73824DC8"/>
    <w:rsid w:val="74B96934"/>
    <w:rsid w:val="755B137B"/>
    <w:rsid w:val="762A53DF"/>
    <w:rsid w:val="76B37ACA"/>
    <w:rsid w:val="77391286"/>
    <w:rsid w:val="776328BA"/>
    <w:rsid w:val="77CE7FA8"/>
    <w:rsid w:val="77F0135D"/>
    <w:rsid w:val="787768D5"/>
    <w:rsid w:val="788D6A69"/>
    <w:rsid w:val="78960ABA"/>
    <w:rsid w:val="78EB4038"/>
    <w:rsid w:val="792D2178"/>
    <w:rsid w:val="796E798B"/>
    <w:rsid w:val="79A11E5C"/>
    <w:rsid w:val="79AC37A1"/>
    <w:rsid w:val="79E3742D"/>
    <w:rsid w:val="79F0686A"/>
    <w:rsid w:val="7A310AEC"/>
    <w:rsid w:val="7AB22BD0"/>
    <w:rsid w:val="7ABE21E5"/>
    <w:rsid w:val="7B181193"/>
    <w:rsid w:val="7B57638E"/>
    <w:rsid w:val="7B5A22A3"/>
    <w:rsid w:val="7B8E4EC0"/>
    <w:rsid w:val="7BD651AE"/>
    <w:rsid w:val="7BD73F57"/>
    <w:rsid w:val="7BD90DEE"/>
    <w:rsid w:val="7C6158D2"/>
    <w:rsid w:val="7CA61FB7"/>
    <w:rsid w:val="7CD853EA"/>
    <w:rsid w:val="7D3965CD"/>
    <w:rsid w:val="7DB67961"/>
    <w:rsid w:val="7DF81CD5"/>
    <w:rsid w:val="7E3037AE"/>
    <w:rsid w:val="7E4436FD"/>
    <w:rsid w:val="7E6D4A19"/>
    <w:rsid w:val="7E7E63AF"/>
    <w:rsid w:val="7ECD1D19"/>
    <w:rsid w:val="7ED228FE"/>
    <w:rsid w:val="7ED9629D"/>
    <w:rsid w:val="7EE937A8"/>
    <w:rsid w:val="7F20451A"/>
    <w:rsid w:val="7F643302"/>
    <w:rsid w:val="7F8C702D"/>
    <w:rsid w:val="7F9B1D66"/>
    <w:rsid w:val="7FA862BF"/>
    <w:rsid w:val="7FC44390"/>
    <w:rsid w:val="ECD9A012"/>
    <w:rsid w:val="FF7F8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spacing w:before="340" w:after="330" w:line="576" w:lineRule="auto"/>
      <w:jc w:val="center"/>
      <w:outlineLvl w:val="0"/>
    </w:pPr>
    <w:rPr>
      <w:b/>
      <w:bCs/>
      <w:kern w:val="44"/>
      <w:sz w:val="32"/>
      <w:szCs w:val="44"/>
    </w:rPr>
  </w:style>
  <w:style w:type="paragraph" w:styleId="4">
    <w:name w:val="heading 2"/>
    <w:basedOn w:val="1"/>
    <w:next w:val="5"/>
    <w:qFormat/>
    <w:uiPriority w:val="0"/>
    <w:pPr>
      <w:keepNext/>
      <w:keepLines/>
      <w:spacing w:before="260" w:after="260" w:line="412"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jc w:val="center"/>
      <w:outlineLvl w:val="2"/>
    </w:pPr>
    <w:rPr>
      <w:rFonts w:ascii="Calibri" w:hAnsi="Calibri"/>
      <w:b/>
      <w:bCs/>
      <w:sz w:val="28"/>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qFormat/>
    <w:uiPriority w:val="0"/>
    <w:pPr>
      <w:keepNext/>
      <w:keepLines/>
      <w:tabs>
        <w:tab w:val="left" w:pos="1800"/>
      </w:tabs>
      <w:spacing w:before="280" w:after="290" w:line="374" w:lineRule="auto"/>
      <w:ind w:left="1800" w:hanging="1800"/>
      <w:outlineLvl w:val="4"/>
    </w:pPr>
    <w:rPr>
      <w:b/>
      <w:bCs/>
      <w:sz w:val="28"/>
      <w:szCs w:val="28"/>
    </w:rPr>
  </w:style>
  <w:style w:type="paragraph" w:styleId="9">
    <w:name w:val="heading 6"/>
    <w:basedOn w:val="1"/>
    <w:next w:val="1"/>
    <w:qFormat/>
    <w:uiPriority w:val="0"/>
    <w:pPr>
      <w:keepNext/>
      <w:keepLines/>
      <w:adjustRightInd w:val="0"/>
      <w:spacing w:before="240" w:after="64" w:line="319" w:lineRule="auto"/>
      <w:textAlignment w:val="baseline"/>
      <w:outlineLvl w:val="5"/>
    </w:pPr>
    <w:rPr>
      <w:rFonts w:ascii="Arial" w:hAnsi="Arial" w:eastAsia="黑体"/>
      <w:b/>
      <w:szCs w:val="20"/>
    </w:rPr>
  </w:style>
  <w:style w:type="paragraph" w:styleId="10">
    <w:name w:val="heading 7"/>
    <w:basedOn w:val="1"/>
    <w:next w:val="1"/>
    <w:qFormat/>
    <w:uiPriority w:val="0"/>
    <w:pPr>
      <w:keepNext/>
      <w:keepLines/>
      <w:adjustRightInd w:val="0"/>
      <w:spacing w:before="240" w:after="64" w:line="319" w:lineRule="auto"/>
      <w:textAlignment w:val="baseline"/>
      <w:outlineLvl w:val="6"/>
    </w:pPr>
    <w:rPr>
      <w:b/>
      <w:szCs w:val="20"/>
    </w:rPr>
  </w:style>
  <w:style w:type="paragraph" w:styleId="11">
    <w:name w:val="heading 8"/>
    <w:basedOn w:val="1"/>
    <w:next w:val="1"/>
    <w:qFormat/>
    <w:uiPriority w:val="0"/>
    <w:pPr>
      <w:keepNext/>
      <w:keepLines/>
      <w:adjustRightInd w:val="0"/>
      <w:spacing w:before="240" w:after="64" w:line="319" w:lineRule="auto"/>
      <w:textAlignment w:val="baseline"/>
      <w:outlineLvl w:val="7"/>
    </w:pPr>
    <w:rPr>
      <w:rFonts w:ascii="Arial" w:hAnsi="Arial" w:eastAsia="黑体"/>
      <w:szCs w:val="20"/>
    </w:rPr>
  </w:style>
  <w:style w:type="paragraph" w:styleId="12">
    <w:name w:val="heading 9"/>
    <w:basedOn w:val="1"/>
    <w:next w:val="1"/>
    <w:qFormat/>
    <w:uiPriority w:val="0"/>
    <w:pPr>
      <w:keepNext/>
      <w:keepLines/>
      <w:adjustRightInd w:val="0"/>
      <w:spacing w:before="240" w:after="64" w:line="319" w:lineRule="auto"/>
      <w:textAlignment w:val="baseline"/>
      <w:outlineLvl w:val="8"/>
    </w:pPr>
    <w:rPr>
      <w:rFonts w:ascii="Arial" w:hAnsi="Arial" w:eastAsia="黑体"/>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600" w:after="600"/>
    </w:pPr>
    <w:rPr>
      <w:b/>
      <w:sz w:val="32"/>
    </w:rPr>
  </w:style>
  <w:style w:type="paragraph" w:styleId="5">
    <w:name w:val="Normal Indent"/>
    <w:basedOn w:val="1"/>
    <w:next w:val="1"/>
    <w:qFormat/>
    <w:uiPriority w:val="0"/>
    <w:pPr>
      <w:ind w:firstLine="420"/>
    </w:pPr>
    <w:rPr>
      <w:szCs w:val="20"/>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List Number"/>
    <w:basedOn w:val="1"/>
    <w:qFormat/>
    <w:uiPriority w:val="0"/>
    <w:pPr>
      <w:widowControl/>
      <w:tabs>
        <w:tab w:val="left" w:pos="454"/>
        <w:tab w:val="left" w:pos="720"/>
      </w:tabs>
      <w:spacing w:after="50"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qFormat/>
    <w:uiPriority w:val="0"/>
  </w:style>
  <w:style w:type="paragraph" w:styleId="18">
    <w:name w:val="Body Text 3"/>
    <w:basedOn w:val="1"/>
    <w:qFormat/>
    <w:uiPriority w:val="0"/>
    <w:pPr>
      <w:snapToGrid w:val="0"/>
      <w:spacing w:before="50" w:after="50"/>
    </w:pPr>
    <w:rPr>
      <w:rFonts w:eastAsia="仿宋_GB2312"/>
      <w:b/>
      <w:bCs/>
      <w:sz w:val="24"/>
      <w:szCs w:val="20"/>
    </w:rPr>
  </w:style>
  <w:style w:type="paragraph" w:styleId="19">
    <w:name w:val="Body Text"/>
    <w:basedOn w:val="1"/>
    <w:next w:val="20"/>
    <w:qFormat/>
    <w:uiPriority w:val="0"/>
    <w:pPr>
      <w:spacing w:after="120"/>
    </w:pPr>
    <w:rPr>
      <w:sz w:val="28"/>
    </w:rPr>
  </w:style>
  <w:style w:type="paragraph" w:styleId="20">
    <w:name w:val="Body Text First Indent"/>
    <w:basedOn w:val="19"/>
    <w:next w:val="21"/>
    <w:qFormat/>
    <w:uiPriority w:val="0"/>
    <w:pPr>
      <w:ind w:firstLine="420" w:firstLineChars="100"/>
    </w:pPr>
  </w:style>
  <w:style w:type="paragraph" w:styleId="21">
    <w:name w:val="toc 6"/>
    <w:basedOn w:val="1"/>
    <w:next w:val="1"/>
    <w:qFormat/>
    <w:uiPriority w:val="0"/>
    <w:pPr>
      <w:ind w:left="1050"/>
      <w:jc w:val="left"/>
    </w:pPr>
    <w:rPr>
      <w:rFonts w:ascii="Calibri" w:hAnsi="Calibri" w:cs="Calibri"/>
      <w:sz w:val="18"/>
      <w:szCs w:val="18"/>
    </w:rPr>
  </w:style>
  <w:style w:type="paragraph" w:styleId="22">
    <w:name w:val="Body Text Indent"/>
    <w:basedOn w:val="1"/>
    <w:next w:val="23"/>
    <w:qFormat/>
    <w:uiPriority w:val="0"/>
    <w:pPr>
      <w:spacing w:line="200" w:lineRule="exact"/>
      <w:ind w:firstLine="301"/>
    </w:pPr>
    <w:rPr>
      <w:rFonts w:ascii="宋体"/>
      <w:spacing w:val="-4"/>
      <w:sz w:val="18"/>
      <w:szCs w:val="20"/>
    </w:rPr>
  </w:style>
  <w:style w:type="paragraph" w:styleId="23">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24">
    <w:name w:val="List Number 3"/>
    <w:basedOn w:val="1"/>
    <w:qFormat/>
    <w:uiPriority w:val="0"/>
    <w:pPr>
      <w:numPr>
        <w:ilvl w:val="0"/>
        <w:numId w:val="1"/>
      </w:numPr>
    </w:pPr>
  </w:style>
  <w:style w:type="paragraph" w:styleId="25">
    <w:name w:val="List 2"/>
    <w:basedOn w:val="1"/>
    <w:qFormat/>
    <w:uiPriority w:val="0"/>
    <w:pPr>
      <w:ind w:left="400" w:leftChars="200" w:hanging="200" w:hangingChars="200"/>
    </w:pPr>
    <w:rPr>
      <w:sz w:val="28"/>
    </w:rPr>
  </w:style>
  <w:style w:type="paragraph" w:styleId="26">
    <w:name w:val="toc 5"/>
    <w:basedOn w:val="1"/>
    <w:next w:val="1"/>
    <w:qFormat/>
    <w:uiPriority w:val="0"/>
    <w:pPr>
      <w:ind w:left="840"/>
      <w:jc w:val="left"/>
    </w:pPr>
    <w:rPr>
      <w:rFonts w:ascii="Calibri" w:hAnsi="Calibri" w:cs="Calibri"/>
      <w:sz w:val="18"/>
      <w:szCs w:val="18"/>
    </w:rPr>
  </w:style>
  <w:style w:type="paragraph" w:styleId="27">
    <w:name w:val="toc 3"/>
    <w:basedOn w:val="1"/>
    <w:next w:val="1"/>
    <w:qFormat/>
    <w:uiPriority w:val="0"/>
    <w:pPr>
      <w:ind w:left="400" w:leftChars="400"/>
    </w:pPr>
  </w:style>
  <w:style w:type="paragraph" w:styleId="28">
    <w:name w:val="Plain Text"/>
    <w:basedOn w:val="1"/>
    <w:next w:val="1"/>
    <w:link w:val="59"/>
    <w:qFormat/>
    <w:uiPriority w:val="0"/>
    <w:pPr>
      <w:spacing w:before="50" w:beforeLines="50" w:after="50" w:afterLines="50" w:line="400" w:lineRule="exact"/>
    </w:pPr>
    <w:rPr>
      <w:rFonts w:ascii="宋体"/>
      <w:szCs w:val="21"/>
    </w:rPr>
  </w:style>
  <w:style w:type="paragraph" w:styleId="29">
    <w:name w:val="toc 8"/>
    <w:basedOn w:val="1"/>
    <w:next w:val="1"/>
    <w:qFormat/>
    <w:uiPriority w:val="0"/>
    <w:pPr>
      <w:ind w:left="1470"/>
      <w:jc w:val="left"/>
    </w:pPr>
    <w:rPr>
      <w:rFonts w:ascii="Calibri" w:hAnsi="Calibri" w:cs="Calibri"/>
      <w:sz w:val="18"/>
      <w:szCs w:val="18"/>
    </w:rPr>
  </w:style>
  <w:style w:type="paragraph" w:styleId="30">
    <w:name w:val="Date"/>
    <w:basedOn w:val="1"/>
    <w:next w:val="1"/>
    <w:qFormat/>
    <w:uiPriority w:val="0"/>
    <w:pPr>
      <w:ind w:left="2500" w:leftChars="2500"/>
    </w:pPr>
    <w:rPr>
      <w:rFonts w:eastAsia="楷体_GB2312"/>
      <w:sz w:val="32"/>
      <w:szCs w:val="20"/>
    </w:rPr>
  </w:style>
  <w:style w:type="paragraph" w:styleId="31">
    <w:name w:val="Body Text Indent 2"/>
    <w:basedOn w:val="1"/>
    <w:qFormat/>
    <w:uiPriority w:val="0"/>
    <w:pPr>
      <w:snapToGrid w:val="0"/>
      <w:ind w:firstLine="225" w:firstLineChars="225"/>
    </w:pPr>
    <w:rPr>
      <w:rFonts w:ascii="仿宋_GB2312" w:hAnsi="仿宋_GB2312"/>
      <w:b/>
      <w:bCs/>
      <w:color w:val="000000"/>
      <w:sz w:val="24"/>
    </w:rPr>
  </w:style>
  <w:style w:type="paragraph" w:styleId="32">
    <w:name w:val="endnote text"/>
    <w:basedOn w:val="1"/>
    <w:qFormat/>
    <w:uiPriority w:val="0"/>
    <w:pPr>
      <w:snapToGrid w:val="0"/>
      <w:jc w:val="left"/>
    </w:pPr>
  </w:style>
  <w:style w:type="paragraph" w:styleId="33">
    <w:name w:val="Balloon Text"/>
    <w:basedOn w:val="1"/>
    <w:qFormat/>
    <w:uiPriority w:val="0"/>
    <w:rPr>
      <w:sz w:val="18"/>
      <w:szCs w:val="18"/>
    </w:rPr>
  </w:style>
  <w:style w:type="paragraph" w:styleId="34">
    <w:name w:val="footer"/>
    <w:basedOn w:val="1"/>
    <w:link w:val="60"/>
    <w:qFormat/>
    <w:uiPriority w:val="0"/>
    <w:pPr>
      <w:tabs>
        <w:tab w:val="center" w:pos="4153"/>
        <w:tab w:val="right" w:pos="8306"/>
      </w:tabs>
      <w:snapToGrid w:val="0"/>
      <w:jc w:val="left"/>
    </w:pPr>
    <w:rPr>
      <w:rFonts w:eastAsia="黑体"/>
      <w:kern w:val="0"/>
      <w:sz w:val="18"/>
      <w:szCs w:val="18"/>
    </w:rPr>
  </w:style>
  <w:style w:type="paragraph" w:styleId="35">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6">
    <w:name w:val="toc 4"/>
    <w:basedOn w:val="1"/>
    <w:next w:val="1"/>
    <w:qFormat/>
    <w:uiPriority w:val="0"/>
    <w:pPr>
      <w:ind w:left="630"/>
      <w:jc w:val="left"/>
    </w:pPr>
    <w:rPr>
      <w:rFonts w:ascii="Calibri" w:hAnsi="Calibri" w:cs="Calibri"/>
      <w:sz w:val="18"/>
      <w:szCs w:val="18"/>
    </w:rPr>
  </w:style>
  <w:style w:type="paragraph" w:styleId="3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200" w:hanging="200" w:hangingChars="200"/>
    </w:pPr>
    <w:rPr>
      <w:sz w:val="28"/>
    </w:rPr>
  </w:style>
  <w:style w:type="paragraph" w:styleId="39">
    <w:name w:val="footnote text"/>
    <w:basedOn w:val="1"/>
    <w:qFormat/>
    <w:uiPriority w:val="0"/>
    <w:pPr>
      <w:snapToGrid w:val="0"/>
      <w:jc w:val="left"/>
    </w:pPr>
    <w:rPr>
      <w:sz w:val="18"/>
      <w:szCs w:val="18"/>
    </w:rPr>
  </w:style>
  <w:style w:type="paragraph" w:styleId="40">
    <w:name w:val="Body Text Indent 3"/>
    <w:basedOn w:val="1"/>
    <w:qFormat/>
    <w:uiPriority w:val="0"/>
    <w:pPr>
      <w:snapToGrid w:val="0"/>
      <w:ind w:firstLine="200" w:firstLineChars="200"/>
      <w:jc w:val="left"/>
    </w:pPr>
    <w:rPr>
      <w:sz w:val="16"/>
      <w:szCs w:val="16"/>
    </w:rPr>
  </w:style>
  <w:style w:type="paragraph" w:styleId="41">
    <w:name w:val="toc 2"/>
    <w:basedOn w:val="1"/>
    <w:next w:val="1"/>
    <w:qFormat/>
    <w:uiPriority w:val="39"/>
    <w:pPr>
      <w:ind w:left="200" w:leftChars="200"/>
    </w:pPr>
  </w:style>
  <w:style w:type="paragraph" w:styleId="42">
    <w:name w:val="toc 9"/>
    <w:basedOn w:val="1"/>
    <w:next w:val="1"/>
    <w:qFormat/>
    <w:uiPriority w:val="0"/>
    <w:pPr>
      <w:ind w:left="1680"/>
      <w:jc w:val="left"/>
    </w:pPr>
    <w:rPr>
      <w:rFonts w:ascii="Calibri" w:hAnsi="Calibri" w:cs="Calibri"/>
      <w:sz w:val="18"/>
      <w:szCs w:val="18"/>
    </w:rPr>
  </w:style>
  <w:style w:type="paragraph" w:styleId="43">
    <w:name w:val="Body Text 2"/>
    <w:basedOn w:val="1"/>
    <w:qFormat/>
    <w:uiPriority w:val="0"/>
    <w:pPr>
      <w:widowControl/>
      <w:snapToGrid w:val="0"/>
      <w:spacing w:before="50" w:after="50" w:afterLines="50" w:line="400" w:lineRule="exact"/>
      <w:jc w:val="left"/>
    </w:pPr>
    <w:rPr>
      <w:rFonts w:ascii="宋体"/>
      <w:color w:val="000000"/>
      <w:sz w:val="24"/>
    </w:rPr>
  </w:style>
  <w:style w:type="paragraph" w:styleId="44">
    <w:name w:val="Normal (Web)"/>
    <w:basedOn w:val="1"/>
    <w:qFormat/>
    <w:uiPriority w:val="0"/>
    <w:pPr>
      <w:widowControl/>
      <w:spacing w:before="100" w:beforeAutospacing="1" w:after="100" w:afterAutospacing="1"/>
      <w:jc w:val="left"/>
    </w:pPr>
    <w:rPr>
      <w:kern w:val="0"/>
      <w:sz w:val="24"/>
    </w:rPr>
  </w:style>
  <w:style w:type="paragraph" w:styleId="45">
    <w:name w:val="Title"/>
    <w:basedOn w:val="1"/>
    <w:next w:val="1"/>
    <w:qFormat/>
    <w:uiPriority w:val="0"/>
    <w:pPr>
      <w:spacing w:before="240" w:after="60"/>
      <w:jc w:val="center"/>
      <w:outlineLvl w:val="0"/>
    </w:pPr>
    <w:rPr>
      <w:rFonts w:ascii="Cambria" w:hAnsi="Cambria"/>
      <w:b/>
      <w:sz w:val="32"/>
    </w:rPr>
  </w:style>
  <w:style w:type="paragraph" w:styleId="46">
    <w:name w:val="annotation subject"/>
    <w:basedOn w:val="17"/>
    <w:next w:val="17"/>
    <w:qFormat/>
    <w:uiPriority w:val="0"/>
    <w:rPr>
      <w:b/>
      <w:bCs/>
    </w:rPr>
  </w:style>
  <w:style w:type="paragraph" w:styleId="47">
    <w:name w:val="Body Text First Indent 2"/>
    <w:basedOn w:val="22"/>
    <w:next w:val="1"/>
    <w:unhideWhenUsed/>
    <w:qFormat/>
    <w:uiPriority w:val="99"/>
    <w:pPr>
      <w:spacing w:after="120" w:line="240" w:lineRule="auto"/>
      <w:ind w:left="420" w:leftChars="200" w:firstLine="420" w:firstLineChars="200"/>
    </w:pPr>
    <w:rPr>
      <w:rFonts w:ascii="Calibri" w:hAnsi="Calibri"/>
      <w:sz w:val="21"/>
      <w:szCs w:val="22"/>
    </w:rPr>
  </w:style>
  <w:style w:type="table" w:styleId="49">
    <w:name w:val="Table Grid"/>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rPr>
  </w:style>
  <w:style w:type="character" w:styleId="52">
    <w:name w:val="page number"/>
    <w:qFormat/>
    <w:uiPriority w:val="99"/>
  </w:style>
  <w:style w:type="character" w:styleId="53">
    <w:name w:val="FollowedHyperlink"/>
    <w:qFormat/>
    <w:uiPriority w:val="0"/>
    <w:rPr>
      <w:color w:val="333333"/>
      <w:sz w:val="16"/>
      <w:szCs w:val="0"/>
      <w:u w:val="none"/>
    </w:rPr>
  </w:style>
  <w:style w:type="character" w:styleId="54">
    <w:name w:val="Emphasis"/>
    <w:qFormat/>
    <w:uiPriority w:val="20"/>
  </w:style>
  <w:style w:type="character" w:styleId="55">
    <w:name w:val="Hyperlink"/>
    <w:qFormat/>
    <w:uiPriority w:val="99"/>
    <w:rPr>
      <w:color w:val="333333"/>
      <w:u w:val="none"/>
    </w:rPr>
  </w:style>
  <w:style w:type="character" w:styleId="56">
    <w:name w:val="annotation reference"/>
    <w:qFormat/>
    <w:uiPriority w:val="0"/>
    <w:rPr>
      <w:sz w:val="21"/>
      <w:szCs w:val="21"/>
    </w:rPr>
  </w:style>
  <w:style w:type="paragraph" w:customStyle="1" w:styleId="57">
    <w:name w:val="_Style 3"/>
    <w:basedOn w:val="1"/>
    <w:qFormat/>
    <w:uiPriority w:val="0"/>
    <w:pPr>
      <w:ind w:firstLine="420" w:firstLineChars="200"/>
    </w:pPr>
    <w:rPr>
      <w:rFonts w:ascii="Calibri" w:hAnsi="Calibri"/>
      <w:szCs w:val="22"/>
    </w:rPr>
  </w:style>
  <w:style w:type="character" w:customStyle="1" w:styleId="58">
    <w:name w:val="标题 1 Char1"/>
    <w:link w:val="3"/>
    <w:qFormat/>
    <w:uiPriority w:val="0"/>
    <w:rPr>
      <w:rFonts w:ascii="Times New Roman" w:hAnsi="Times New Roman" w:eastAsia="宋体"/>
      <w:b/>
      <w:bCs/>
      <w:kern w:val="44"/>
      <w:sz w:val="32"/>
      <w:szCs w:val="44"/>
    </w:rPr>
  </w:style>
  <w:style w:type="character" w:customStyle="1" w:styleId="59">
    <w:name w:val="纯文本 Char1"/>
    <w:link w:val="28"/>
    <w:qFormat/>
    <w:uiPriority w:val="0"/>
    <w:rPr>
      <w:rFonts w:ascii="宋体"/>
      <w:kern w:val="2"/>
      <w:sz w:val="21"/>
      <w:szCs w:val="21"/>
    </w:rPr>
  </w:style>
  <w:style w:type="character" w:customStyle="1" w:styleId="60">
    <w:name w:val="页脚 Char"/>
    <w:link w:val="34"/>
    <w:qFormat/>
    <w:uiPriority w:val="0"/>
    <w:rPr>
      <w:rFonts w:eastAsia="黑体"/>
      <w:snapToGrid/>
      <w:sz w:val="18"/>
      <w:szCs w:val="18"/>
    </w:rPr>
  </w:style>
  <w:style w:type="character" w:customStyle="1" w:styleId="61">
    <w:name w:val="m_171"/>
    <w:qFormat/>
    <w:uiPriority w:val="0"/>
  </w:style>
  <w:style w:type="character" w:customStyle="1" w:styleId="62">
    <w:name w:val="hover"/>
    <w:qFormat/>
    <w:uiPriority w:val="0"/>
    <w:rPr>
      <w:color w:val="23527C"/>
      <w:shd w:val="clear" w:color="auto" w:fill="EEEEEE"/>
    </w:rPr>
  </w:style>
  <w:style w:type="character" w:customStyle="1" w:styleId="63">
    <w:name w:val="列出段落 Char"/>
    <w:link w:val="64"/>
    <w:qFormat/>
    <w:uiPriority w:val="0"/>
    <w:rPr>
      <w:rFonts w:ascii="Calibri" w:hAnsi="Calibri"/>
      <w:kern w:val="2"/>
      <w:sz w:val="21"/>
      <w:szCs w:val="22"/>
    </w:rPr>
  </w:style>
  <w:style w:type="paragraph" w:styleId="64">
    <w:name w:val="List Paragraph"/>
    <w:basedOn w:val="1"/>
    <w:link w:val="63"/>
    <w:qFormat/>
    <w:uiPriority w:val="0"/>
    <w:pPr>
      <w:ind w:firstLine="420" w:firstLineChars="200"/>
    </w:pPr>
    <w:rPr>
      <w:rFonts w:ascii="Calibri" w:hAnsi="Calibri"/>
      <w:szCs w:val="22"/>
    </w:rPr>
  </w:style>
  <w:style w:type="character" w:customStyle="1" w:styleId="65">
    <w:name w:val="m_461"/>
    <w:qFormat/>
    <w:uiPriority w:val="0"/>
  </w:style>
  <w:style w:type="character" w:customStyle="1" w:styleId="66">
    <w:name w:val="纯文本 Char"/>
    <w:qFormat/>
    <w:uiPriority w:val="0"/>
    <w:rPr>
      <w:rFonts w:ascii="宋体" w:eastAsia="宋体"/>
      <w:kern w:val="2"/>
      <w:sz w:val="24"/>
      <w:szCs w:val="24"/>
      <w:lang w:val="en-US" w:eastAsia="zh-CN" w:bidi="ar-SA"/>
    </w:rPr>
  </w:style>
  <w:style w:type="character" w:customStyle="1" w:styleId="67">
    <w:name w:val="focus1"/>
    <w:qFormat/>
    <w:uiPriority w:val="0"/>
    <w:rPr>
      <w:color w:val="23527C"/>
      <w:shd w:val="clear" w:color="auto" w:fill="EEEEEE"/>
    </w:rPr>
  </w:style>
  <w:style w:type="character" w:customStyle="1" w:styleId="68">
    <w:name w:val="second-line"/>
    <w:qFormat/>
    <w:uiPriority w:val="0"/>
    <w:rPr>
      <w:color w:val="727272"/>
    </w:rPr>
  </w:style>
  <w:style w:type="character" w:customStyle="1" w:styleId="69">
    <w:name w:val="m_391"/>
    <w:qFormat/>
    <w:uiPriority w:val="0"/>
  </w:style>
  <w:style w:type="character" w:customStyle="1" w:styleId="70">
    <w:name w:val="m_491"/>
    <w:qFormat/>
    <w:uiPriority w:val="0"/>
  </w:style>
  <w:style w:type="character" w:customStyle="1" w:styleId="71">
    <w:name w:val="focus"/>
    <w:qFormat/>
    <w:uiPriority w:val="0"/>
    <w:rPr>
      <w:color w:val="23527C"/>
      <w:shd w:val="clear" w:color="auto" w:fill="EEEEEE"/>
    </w:rPr>
  </w:style>
  <w:style w:type="character" w:customStyle="1" w:styleId="72">
    <w:name w:val="标题 1 Char"/>
    <w:qFormat/>
    <w:uiPriority w:val="0"/>
    <w:rPr>
      <w:rFonts w:ascii="Times New Roman" w:hAnsi="Times New Roman" w:eastAsia="宋体" w:cs="Times New Roman"/>
      <w:b/>
      <w:bCs/>
      <w:kern w:val="44"/>
      <w:sz w:val="44"/>
      <w:szCs w:val="44"/>
    </w:rPr>
  </w:style>
  <w:style w:type="character" w:customStyle="1" w:styleId="73">
    <w:name w:val="hover9"/>
    <w:qFormat/>
    <w:uiPriority w:val="0"/>
    <w:rPr>
      <w:color w:val="23527C"/>
      <w:shd w:val="clear" w:color="auto" w:fill="EEEEEE"/>
    </w:rPr>
  </w:style>
  <w:style w:type="character" w:customStyle="1" w:styleId="74">
    <w:name w:val="m_01"/>
    <w:qFormat/>
    <w:uiPriority w:val="0"/>
  </w:style>
  <w:style w:type="character" w:customStyle="1" w:styleId="75">
    <w:name w:val="正文文本缩进 3 Char"/>
    <w:qFormat/>
    <w:uiPriority w:val="0"/>
    <w:rPr>
      <w:rFonts w:ascii="仿宋_GB2312" w:eastAsia="仿宋_GB2312"/>
      <w:color w:val="000000"/>
      <w:kern w:val="2"/>
      <w:sz w:val="24"/>
      <w:szCs w:val="24"/>
    </w:rPr>
  </w:style>
  <w:style w:type="character" w:customStyle="1" w:styleId="76">
    <w:name w:val="text-overflow"/>
    <w:qFormat/>
    <w:uiPriority w:val="0"/>
    <w:rPr>
      <w:sz w:val="21"/>
      <w:szCs w:val="21"/>
    </w:rPr>
  </w:style>
  <w:style w:type="character" w:customStyle="1" w:styleId="77">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78">
    <w:name w:val="m_51"/>
    <w:qFormat/>
    <w:uiPriority w:val="0"/>
  </w:style>
  <w:style w:type="character" w:customStyle="1" w:styleId="79">
    <w:name w:val="font14zd"/>
    <w:qFormat/>
    <w:uiPriority w:val="0"/>
  </w:style>
  <w:style w:type="character" w:customStyle="1" w:styleId="80">
    <w:name w:val="批注文字 Char"/>
    <w:qFormat/>
    <w:uiPriority w:val="0"/>
    <w:rPr>
      <w:kern w:val="2"/>
      <w:sz w:val="21"/>
      <w:szCs w:val="24"/>
    </w:rPr>
  </w:style>
  <w:style w:type="character" w:customStyle="1" w:styleId="81">
    <w:name w:val="正文缩进 Char"/>
    <w:qFormat/>
    <w:uiPriority w:val="0"/>
    <w:rPr>
      <w:kern w:val="2"/>
      <w:sz w:val="21"/>
    </w:rPr>
  </w:style>
  <w:style w:type="character" w:customStyle="1" w:styleId="82">
    <w:name w:val="bold"/>
    <w:qFormat/>
    <w:uiPriority w:val="0"/>
    <w:rPr>
      <w:b/>
    </w:rPr>
  </w:style>
  <w:style w:type="character" w:customStyle="1" w:styleId="83">
    <w:name w:val="publishtime"/>
    <w:qFormat/>
    <w:uiPriority w:val="0"/>
    <w:rPr>
      <w:color w:val="666666"/>
    </w:rPr>
  </w:style>
  <w:style w:type="paragraph" w:customStyle="1" w:styleId="84">
    <w:name w:val="Char"/>
    <w:basedOn w:val="1"/>
    <w:qFormat/>
    <w:uiPriority w:val="0"/>
    <w:pPr>
      <w:widowControl/>
      <w:spacing w:after="160" w:line="240" w:lineRule="exact"/>
      <w:jc w:val="left"/>
    </w:pPr>
    <w:rPr>
      <w:szCs w:val="20"/>
    </w:rPr>
  </w:style>
  <w:style w:type="paragraph" w:customStyle="1" w:styleId="85">
    <w:name w:val="样式 样式 标题 2 + 两端对齐 段前: 18 磅 + 首行缩进:  2 字符"/>
    <w:basedOn w:val="86"/>
    <w:qFormat/>
    <w:uiPriority w:val="0"/>
    <w:pPr>
      <w:ind w:firstLine="562"/>
    </w:pPr>
    <w:rPr>
      <w:b/>
      <w:sz w:val="24"/>
    </w:rPr>
  </w:style>
  <w:style w:type="paragraph" w:customStyle="1" w:styleId="86">
    <w:name w:val="标准正文"/>
    <w:basedOn w:val="1"/>
    <w:qFormat/>
    <w:uiPriority w:val="0"/>
    <w:pPr>
      <w:spacing w:line="360" w:lineRule="auto"/>
      <w:ind w:firstLine="200" w:firstLineChars="200"/>
    </w:pPr>
    <w:rPr>
      <w:rFonts w:ascii="仿宋" w:eastAsia="仿宋"/>
      <w:sz w:val="28"/>
      <w:szCs w:val="21"/>
    </w:rPr>
  </w:style>
  <w:style w:type="paragraph" w:customStyle="1" w:styleId="87">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88">
    <w:name w:val="样式 标题 1 + 两端对齐"/>
    <w:basedOn w:val="4"/>
    <w:next w:val="4"/>
    <w:qFormat/>
    <w:uiPriority w:val="0"/>
    <w:pPr>
      <w:autoSpaceDE w:val="0"/>
      <w:autoSpaceDN w:val="0"/>
      <w:adjustRightInd w:val="0"/>
      <w:spacing w:before="340" w:after="330" w:line="240" w:lineRule="auto"/>
      <w:jc w:val="center"/>
    </w:pPr>
    <w:rPr>
      <w:rFonts w:ascii="汉鼎简细圆" w:hAnsi="汉鼎简细圆" w:eastAsia="宋体" w:cs="宋体"/>
      <w:kern w:val="44"/>
      <w:sz w:val="28"/>
      <w:szCs w:val="20"/>
    </w:rPr>
  </w:style>
  <w:style w:type="paragraph" w:customStyle="1" w:styleId="89">
    <w:name w:val="正文首行缩进2字符"/>
    <w:basedOn w:val="1"/>
    <w:qFormat/>
    <w:uiPriority w:val="0"/>
    <w:pPr>
      <w:spacing w:line="360" w:lineRule="auto"/>
      <w:ind w:firstLine="200" w:firstLineChars="200"/>
    </w:pPr>
    <w:rPr>
      <w:rFonts w:eastAsia="仿宋"/>
      <w:sz w:val="28"/>
      <w:szCs w:val="20"/>
    </w:rPr>
  </w:style>
  <w:style w:type="paragraph" w:customStyle="1" w:styleId="90">
    <w:name w:val="此正文"/>
    <w:basedOn w:val="1"/>
    <w:qFormat/>
    <w:uiPriority w:val="0"/>
    <w:pPr>
      <w:spacing w:line="360" w:lineRule="auto"/>
      <w:ind w:firstLine="200" w:firstLineChars="200"/>
    </w:pPr>
    <w:rPr>
      <w:sz w:val="24"/>
    </w:rPr>
  </w:style>
  <w:style w:type="paragraph" w:customStyle="1" w:styleId="91">
    <w:name w:val="Char1 Char Char Char"/>
    <w:basedOn w:val="1"/>
    <w:qFormat/>
    <w:uiPriority w:val="0"/>
    <w:pPr>
      <w:tabs>
        <w:tab w:val="left" w:pos="840"/>
      </w:tabs>
      <w:ind w:left="840" w:hanging="420"/>
    </w:pPr>
    <w:rPr>
      <w:sz w:val="24"/>
    </w:rPr>
  </w:style>
  <w:style w:type="paragraph" w:customStyle="1" w:styleId="92">
    <w:name w:val="地址内"/>
    <w:basedOn w:val="1"/>
    <w:qFormat/>
    <w:uiPriority w:val="0"/>
    <w:rPr>
      <w:szCs w:val="20"/>
    </w:rPr>
  </w:style>
  <w:style w:type="paragraph" w:customStyle="1" w:styleId="93">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kern w:val="0"/>
      <w:sz w:val="24"/>
    </w:rPr>
  </w:style>
  <w:style w:type="paragraph" w:customStyle="1" w:styleId="94">
    <w:name w:val="Body Text First Indent 21"/>
    <w:basedOn w:val="95"/>
    <w:qFormat/>
    <w:uiPriority w:val="0"/>
    <w:pPr>
      <w:ind w:firstLine="420"/>
    </w:pPr>
    <w:rPr>
      <w:szCs w:val="21"/>
    </w:rPr>
  </w:style>
  <w:style w:type="paragraph" w:customStyle="1" w:styleId="95">
    <w:name w:val="Body Text Indent1"/>
    <w:basedOn w:val="1"/>
    <w:qFormat/>
    <w:uiPriority w:val="0"/>
    <w:pPr>
      <w:ind w:left="420" w:leftChars="200"/>
    </w:pPr>
  </w:style>
  <w:style w:type="paragraph" w:customStyle="1" w:styleId="96">
    <w:name w:val="正文空2格  1."/>
    <w:basedOn w:val="1"/>
    <w:qFormat/>
    <w:uiPriority w:val="0"/>
    <w:pPr>
      <w:adjustRightInd w:val="0"/>
      <w:spacing w:line="360" w:lineRule="auto"/>
      <w:ind w:firstLine="200" w:firstLineChars="200"/>
      <w:textAlignment w:val="baseline"/>
    </w:pPr>
    <w:rPr>
      <w:rFonts w:ascii="宋体" w:hAnsi="宋体" w:eastAsia="仿宋" w:cs="宋体"/>
      <w:kern w:val="0"/>
      <w:sz w:val="28"/>
      <w:szCs w:val="20"/>
    </w:rPr>
  </w:style>
  <w:style w:type="paragraph" w:customStyle="1" w:styleId="97">
    <w:name w:val="纯文本1"/>
    <w:basedOn w:val="1"/>
    <w:qFormat/>
    <w:uiPriority w:val="0"/>
    <w:pPr>
      <w:adjustRightInd w:val="0"/>
      <w:textAlignment w:val="baseline"/>
    </w:pPr>
    <w:rPr>
      <w:rFonts w:ascii="宋体"/>
      <w:kern w:val="0"/>
      <w:szCs w:val="20"/>
    </w:rPr>
  </w:style>
  <w:style w:type="paragraph" w:customStyle="1" w:styleId="98">
    <w:name w:val="_Style 1"/>
    <w:basedOn w:val="1"/>
    <w:qFormat/>
    <w:uiPriority w:val="34"/>
    <w:pPr>
      <w:ind w:firstLine="420" w:firstLineChars="200"/>
    </w:pPr>
    <w:rPr>
      <w:rFonts w:ascii="Calibri" w:hAnsi="Calibri"/>
    </w:rPr>
  </w:style>
  <w:style w:type="paragraph" w:customStyle="1" w:styleId="99">
    <w:name w:val="列出段落1"/>
    <w:basedOn w:val="1"/>
    <w:qFormat/>
    <w:uiPriority w:val="0"/>
    <w:pPr>
      <w:ind w:firstLine="200" w:firstLineChars="200"/>
    </w:pPr>
    <w:rPr>
      <w:rFonts w:ascii="Calibri" w:hAnsi="Calibri"/>
      <w:szCs w:val="22"/>
    </w:rPr>
  </w:style>
  <w:style w:type="paragraph" w:customStyle="1" w:styleId="100">
    <w:name w:val="Char Char Char Char Char Char Char Char Char Char Char Char1 Char"/>
    <w:basedOn w:val="16"/>
    <w:qFormat/>
    <w:uiPriority w:val="0"/>
    <w:rPr>
      <w:rFonts w:ascii="Tahoma" w:hAnsi="Tahoma"/>
      <w:sz w:val="24"/>
    </w:rPr>
  </w:style>
  <w:style w:type="paragraph" w:customStyle="1" w:styleId="101">
    <w:name w:val="Normal Indent1"/>
    <w:basedOn w:val="1"/>
    <w:qFormat/>
    <w:uiPriority w:val="0"/>
    <w:pPr>
      <w:ind w:firstLine="420" w:firstLineChars="200"/>
    </w:pPr>
  </w:style>
  <w:style w:type="paragraph" w:customStyle="1" w:styleId="102">
    <w:name w:val="样式 样式 样式 标题 2 + 两端对齐 段前: 18 磅 + 首行缩进:  2 字符 + 首行缩进:  2 字符 段后: 0..."/>
    <w:basedOn w:val="85"/>
    <w:qFormat/>
    <w:uiPriority w:val="0"/>
    <w:pPr>
      <w:spacing w:after="50"/>
    </w:pPr>
    <w:rPr>
      <w:rFonts w:ascii="宋体" w:hAnsi="宋体" w:cs="宋体"/>
      <w:b w:val="0"/>
      <w:bCs/>
    </w:rPr>
  </w:style>
  <w:style w:type="paragraph" w:customStyle="1" w:styleId="103">
    <w:name w:val="Char1"/>
    <w:basedOn w:val="1"/>
    <w:qFormat/>
    <w:uiPriority w:val="0"/>
    <w:rPr>
      <w:rFonts w:ascii="Tahoma" w:hAnsi="Tahoma"/>
      <w:sz w:val="24"/>
      <w:szCs w:val="20"/>
    </w:rPr>
  </w:style>
  <w:style w:type="paragraph" w:customStyle="1" w:styleId="10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5">
    <w:name w:val="0- 正文"/>
    <w:basedOn w:val="1"/>
    <w:qFormat/>
    <w:uiPriority w:val="0"/>
    <w:pPr>
      <w:spacing w:line="360" w:lineRule="auto"/>
      <w:ind w:firstLine="482"/>
    </w:pPr>
    <w:rPr>
      <w:sz w:val="24"/>
      <w:szCs w:val="20"/>
      <w:lang w:val="zh-CN"/>
    </w:rPr>
  </w:style>
  <w:style w:type="paragraph" w:customStyle="1" w:styleId="106">
    <w:name w:val="首行缩进2字符"/>
    <w:basedOn w:val="1"/>
    <w:qFormat/>
    <w:uiPriority w:val="0"/>
    <w:pPr>
      <w:spacing w:line="360" w:lineRule="auto"/>
      <w:ind w:firstLine="200" w:firstLineChars="200"/>
    </w:pPr>
    <w:rPr>
      <w:rFonts w:ascii="Calibri" w:hAnsi="Calibri"/>
      <w:sz w:val="24"/>
      <w:szCs w:val="21"/>
    </w:rPr>
  </w:style>
  <w:style w:type="paragraph" w:customStyle="1" w:styleId="107">
    <w:name w:val="Char11"/>
    <w:basedOn w:val="1"/>
    <w:qFormat/>
    <w:uiPriority w:val="0"/>
    <w:rPr>
      <w:rFonts w:ascii="Tahoma" w:hAnsi="Tahoma"/>
      <w:sz w:val="24"/>
      <w:szCs w:val="20"/>
    </w:rPr>
  </w:style>
  <w:style w:type="paragraph" w:customStyle="1" w:styleId="108">
    <w:name w:val="默认段落字体 Para Char Char Char Char Char Char Char Char Char1 Char Char Char Char"/>
    <w:basedOn w:val="1"/>
    <w:qFormat/>
    <w:uiPriority w:val="0"/>
    <w:rPr>
      <w:rFonts w:ascii="Tahoma" w:hAnsi="Tahoma"/>
      <w:sz w:val="24"/>
      <w:szCs w:val="20"/>
    </w:rPr>
  </w:style>
  <w:style w:type="paragraph" w:customStyle="1" w:styleId="10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
    <w:name w:val="彩色列表 - 强调文字颜色 11"/>
    <w:basedOn w:val="1"/>
    <w:qFormat/>
    <w:uiPriority w:val="0"/>
    <w:pPr>
      <w:ind w:firstLine="200" w:firstLineChars="200"/>
    </w:pPr>
    <w:rPr>
      <w:rFonts w:ascii="Calibri" w:hAnsi="Calibri"/>
      <w:szCs w:val="22"/>
    </w:rPr>
  </w:style>
  <w:style w:type="paragraph" w:customStyle="1" w:styleId="111">
    <w:name w:val="Char2"/>
    <w:basedOn w:val="1"/>
    <w:qFormat/>
    <w:uiPriority w:val="0"/>
    <w:rPr>
      <w:rFonts w:ascii="仿宋_GB2312" w:eastAsia="仿宋_GB2312"/>
      <w:b/>
      <w:sz w:val="32"/>
      <w:szCs w:val="32"/>
    </w:rPr>
  </w:style>
  <w:style w:type="paragraph" w:customStyle="1" w:styleId="112">
    <w:name w:val="样式 标题 3 +"/>
    <w:basedOn w:val="6"/>
    <w:qFormat/>
    <w:uiPriority w:val="0"/>
    <w:rPr>
      <w:kern w:val="0"/>
    </w:rPr>
  </w:style>
  <w:style w:type="paragraph" w:customStyle="1" w:styleId="113">
    <w:name w:val="xl53"/>
    <w:basedOn w:val="1"/>
    <w:next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kern w:val="0"/>
      <w:sz w:val="20"/>
      <w:szCs w:val="28"/>
    </w:rPr>
  </w:style>
  <w:style w:type="paragraph" w:customStyle="1" w:styleId="114">
    <w:name w:val="正文段"/>
    <w:basedOn w:val="1"/>
    <w:qFormat/>
    <w:uiPriority w:val="0"/>
    <w:pPr>
      <w:widowControl/>
      <w:snapToGrid w:val="0"/>
      <w:spacing w:after="50" w:afterLines="50"/>
      <w:ind w:firstLine="200" w:firstLineChars="200"/>
    </w:pPr>
    <w:rPr>
      <w:kern w:val="0"/>
      <w:sz w:val="24"/>
      <w:szCs w:val="20"/>
    </w:rPr>
  </w:style>
  <w:style w:type="paragraph" w:customStyle="1" w:styleId="115">
    <w:name w:val="p0"/>
    <w:basedOn w:val="1"/>
    <w:qFormat/>
    <w:uiPriority w:val="0"/>
    <w:pPr>
      <w:widowControl/>
    </w:pPr>
    <w:rPr>
      <w:kern w:val="0"/>
      <w:szCs w:val="21"/>
    </w:rPr>
  </w:style>
  <w:style w:type="paragraph" w:customStyle="1" w:styleId="11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7">
    <w:name w:val="big"/>
    <w:basedOn w:val="1"/>
    <w:qFormat/>
    <w:uiPriority w:val="0"/>
    <w:pPr>
      <w:widowControl/>
      <w:spacing w:before="100" w:beforeAutospacing="1" w:after="100" w:afterAutospacing="1"/>
      <w:jc w:val="left"/>
    </w:pPr>
    <w:rPr>
      <w:rFonts w:ascii="宋体"/>
      <w:kern w:val="0"/>
      <w:sz w:val="24"/>
    </w:rPr>
  </w:style>
  <w:style w:type="paragraph" w:customStyle="1" w:styleId="118">
    <w:name w:val="证文"/>
    <w:basedOn w:val="1"/>
    <w:qFormat/>
    <w:uiPriority w:val="0"/>
    <w:pPr>
      <w:spacing w:line="360" w:lineRule="auto"/>
    </w:pPr>
    <w:rPr>
      <w:sz w:val="24"/>
      <w:szCs w:val="20"/>
    </w:rPr>
  </w:style>
  <w:style w:type="paragraph" w:customStyle="1" w:styleId="119">
    <w:name w:val="样式1"/>
    <w:basedOn w:val="7"/>
    <w:qFormat/>
    <w:uiPriority w:val="0"/>
  </w:style>
  <w:style w:type="paragraph" w:customStyle="1" w:styleId="120">
    <w:name w:val="样式 标题 3 +1"/>
    <w:basedOn w:val="6"/>
    <w:qFormat/>
    <w:uiPriority w:val="0"/>
    <w:rPr>
      <w:kern w:val="0"/>
    </w:rPr>
  </w:style>
  <w:style w:type="paragraph" w:customStyle="1" w:styleId="121">
    <w:name w:val="_Style 113"/>
    <w:basedOn w:val="1"/>
    <w:next w:val="64"/>
    <w:qFormat/>
    <w:uiPriority w:val="34"/>
    <w:pPr>
      <w:numPr>
        <w:ilvl w:val="0"/>
        <w:numId w:val="2"/>
      </w:numPr>
      <w:tabs>
        <w:tab w:val="left" w:pos="360"/>
      </w:tabs>
    </w:pPr>
    <w:rPr>
      <w:rFonts w:ascii="Calibri" w:hAnsi="Calibri"/>
      <w:szCs w:val="22"/>
    </w:rPr>
  </w:style>
  <w:style w:type="paragraph" w:customStyle="1" w:styleId="122">
    <w:name w:val="正文文字"/>
    <w:basedOn w:val="1"/>
    <w:qFormat/>
    <w:uiPriority w:val="0"/>
    <w:pPr>
      <w:widowControl/>
      <w:spacing w:line="952" w:lineRule="atLeast"/>
      <w:ind w:firstLine="419"/>
      <w:textAlignment w:val="baseline"/>
    </w:pPr>
    <w:rPr>
      <w:b/>
      <w:color w:val="000000"/>
      <w:sz w:val="44"/>
      <w:u w:color="000000"/>
    </w:rPr>
  </w:style>
  <w:style w:type="paragraph" w:customStyle="1" w:styleId="123">
    <w:name w:val="msolistparagraph"/>
    <w:basedOn w:val="1"/>
    <w:qFormat/>
    <w:uiPriority w:val="0"/>
    <w:pPr>
      <w:ind w:firstLine="200" w:firstLineChars="200"/>
    </w:pPr>
    <w:rPr>
      <w:rFonts w:ascii="Calibri" w:hAnsi="Calibri"/>
      <w:szCs w:val="22"/>
    </w:rPr>
  </w:style>
  <w:style w:type="paragraph" w:customStyle="1" w:styleId="124">
    <w:name w:val="xl24"/>
    <w:basedOn w:val="1"/>
    <w:qFormat/>
    <w:uiPriority w:val="0"/>
    <w:pPr>
      <w:widowControl/>
      <w:spacing w:before="100" w:beforeAutospacing="1" w:after="100" w:afterAutospacing="1"/>
      <w:jc w:val="center"/>
      <w:textAlignment w:val="center"/>
    </w:pPr>
    <w:rPr>
      <w:rFonts w:ascii="宋体"/>
      <w:kern w:val="0"/>
      <w:sz w:val="24"/>
    </w:rPr>
  </w:style>
  <w:style w:type="paragraph" w:customStyle="1" w:styleId="125">
    <w:name w:val="自由格式 A"/>
    <w:qFormat/>
    <w:uiPriority w:val="0"/>
    <w:rPr>
      <w:rFonts w:ascii="Helvetica" w:hAnsi="Helvetica" w:eastAsia="ヒラギノ角ゴ Pro W3" w:cs="Times New Roman"/>
      <w:color w:val="000000"/>
      <w:sz w:val="24"/>
      <w:lang w:val="en-US" w:eastAsia="zh-CN" w:bidi="ar-SA"/>
    </w:rPr>
  </w:style>
  <w:style w:type="paragraph" w:customStyle="1" w:styleId="12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27">
    <w:name w:val="列出段落2"/>
    <w:basedOn w:val="1"/>
    <w:qFormat/>
    <w:uiPriority w:val="0"/>
    <w:pPr>
      <w:ind w:firstLine="200" w:firstLineChars="200"/>
    </w:pPr>
    <w:rPr>
      <w:rFonts w:ascii="Calibri" w:hAnsi="Calibri" w:cs="Calibri"/>
    </w:rPr>
  </w:style>
  <w:style w:type="character" w:customStyle="1" w:styleId="128">
    <w:name w:val="font41"/>
    <w:qFormat/>
    <w:uiPriority w:val="0"/>
    <w:rPr>
      <w:rFonts w:hint="eastAsia" w:ascii="宋体" w:hAnsi="宋体" w:eastAsia="宋体" w:cs="宋体"/>
      <w:color w:val="FF0000"/>
      <w:sz w:val="22"/>
      <w:szCs w:val="22"/>
      <w:u w:val="none"/>
    </w:rPr>
  </w:style>
  <w:style w:type="character" w:customStyle="1" w:styleId="129">
    <w:name w:val="font01"/>
    <w:qFormat/>
    <w:uiPriority w:val="0"/>
    <w:rPr>
      <w:rFonts w:hint="eastAsia" w:ascii="宋体" w:hAnsi="宋体" w:eastAsia="宋体" w:cs="宋体"/>
      <w:color w:val="000000"/>
      <w:sz w:val="22"/>
      <w:szCs w:val="22"/>
      <w:u w:val="none"/>
    </w:rPr>
  </w:style>
  <w:style w:type="paragraph" w:customStyle="1" w:styleId="13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3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32">
    <w:name w:val="WPSOffice手动目录 1"/>
    <w:qFormat/>
    <w:uiPriority w:val="0"/>
    <w:rPr>
      <w:rFonts w:ascii="Times New Roman" w:hAnsi="Times New Roman" w:eastAsia="宋体" w:cs="Times New Roman"/>
      <w:lang w:val="en-US" w:eastAsia="zh-CN" w:bidi="ar-SA"/>
    </w:rPr>
  </w:style>
  <w:style w:type="paragraph" w:customStyle="1" w:styleId="133">
    <w:name w:val="正文 1.1.1"/>
    <w:basedOn w:val="1"/>
    <w:next w:val="1"/>
    <w:qFormat/>
    <w:uiPriority w:val="0"/>
    <w:pPr>
      <w:tabs>
        <w:tab w:val="left" w:pos="851"/>
      </w:tabs>
      <w:outlineLvl w:val="2"/>
    </w:pPr>
    <w:rPr>
      <w:rFonts w:hAnsi="宋体"/>
      <w:color w:val="FF0000"/>
    </w:rPr>
  </w:style>
  <w:style w:type="paragraph" w:customStyle="1" w:styleId="134">
    <w:name w:val="首行缩进"/>
    <w:basedOn w:val="1"/>
    <w:qFormat/>
    <w:uiPriority w:val="0"/>
    <w:pPr>
      <w:spacing w:line="360" w:lineRule="auto"/>
      <w:ind w:firstLine="480" w:firstLineChars="200"/>
    </w:pPr>
    <w:rPr>
      <w:rFonts w:hAnsi="宋体" w:cs="宋体"/>
      <w:sz w:val="24"/>
    </w:rPr>
  </w:style>
  <w:style w:type="paragraph" w:customStyle="1" w:styleId="135">
    <w:name w:val="公文"/>
    <w:basedOn w:val="1"/>
    <w:qFormat/>
    <w:uiPriority w:val="0"/>
    <w:pPr>
      <w:ind w:firstLine="640" w:firstLineChars="200"/>
    </w:pPr>
    <w:rPr>
      <w:rFonts w:ascii="仿宋_GB2312" w:hAnsi="仿宋_GB2312" w:eastAsia="仿宋_GB2312"/>
      <w:sz w:val="32"/>
    </w:rPr>
  </w:style>
  <w:style w:type="paragraph" w:customStyle="1" w:styleId="136">
    <w:name w:val="表格文字"/>
    <w:basedOn w:val="1"/>
    <w:next w:val="19"/>
    <w:qFormat/>
    <w:uiPriority w:val="0"/>
    <w:pPr>
      <w:adjustRightInd w:val="0"/>
      <w:spacing w:line="420" w:lineRule="atLeast"/>
      <w:jc w:val="left"/>
      <w:textAlignment w:val="baseline"/>
    </w:pPr>
    <w:rPr>
      <w:kern w:val="0"/>
    </w:rPr>
  </w:style>
  <w:style w:type="character" w:customStyle="1" w:styleId="13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41</Pages>
  <Words>21148</Words>
  <Characters>22108</Characters>
  <Lines>180</Lines>
  <Paragraphs>50</Paragraphs>
  <TotalTime>122</TotalTime>
  <ScaleCrop>false</ScaleCrop>
  <LinksUpToDate>false</LinksUpToDate>
  <CharactersWithSpaces>23968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2022-06-01T15:11:00Z</dcterms:created>
  <dc:creator>黄旭明</dc:creator>
  <cp:lastModifiedBy>浮生若梦</cp:lastModifiedBy>
  <cp:lastPrinted>2022-09-05T09:47:00Z</cp:lastPrinted>
  <dcterms:modified xsi:type="dcterms:W3CDTF">2023-01-05T00:55:45Z</dcterms:modified>
  <dc:title>宁波市鄞州区城区内河管理处工程项目设计单位年度资格入围</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FAE1B45ED7804977BE4E4F49E9D9CD13</vt:lpwstr>
  </property>
</Properties>
</file>