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sz w:val="32"/>
          <w:szCs w:val="32"/>
        </w:rPr>
      </w:pPr>
      <w:r>
        <w:rPr>
          <w:sz w:val="32"/>
          <w:szCs w:val="32"/>
        </w:rPr>
        <w:t xml:space="preserve"> </w:t>
      </w:r>
    </w:p>
    <w:p>
      <w:pPr>
        <w:spacing w:before="120" w:beforeLines="50"/>
        <w:rPr>
          <w:b/>
          <w:sz w:val="52"/>
          <w:szCs w:val="52"/>
        </w:rPr>
      </w:pPr>
    </w:p>
    <w:p>
      <w:pPr>
        <w:spacing w:before="120" w:beforeLines="50"/>
        <w:rPr>
          <w:b/>
          <w:sz w:val="52"/>
          <w:szCs w:val="52"/>
        </w:rPr>
      </w:pPr>
    </w:p>
    <w:p>
      <w:pPr>
        <w:spacing w:before="120" w:beforeLines="50"/>
        <w:jc w:val="center"/>
        <w:rPr>
          <w:b/>
          <w:color w:val="auto"/>
          <w:sz w:val="72"/>
          <w:szCs w:val="72"/>
        </w:rPr>
      </w:pPr>
      <w:r>
        <w:rPr>
          <w:b/>
          <w:color w:val="auto"/>
          <w:sz w:val="72"/>
          <w:szCs w:val="72"/>
        </w:rPr>
        <w:t>公</w:t>
      </w:r>
      <w:r>
        <w:rPr>
          <w:rFonts w:hint="eastAsia"/>
          <w:b/>
          <w:color w:val="auto"/>
          <w:sz w:val="72"/>
          <w:szCs w:val="72"/>
        </w:rPr>
        <w:t xml:space="preserve"> </w:t>
      </w:r>
      <w:r>
        <w:rPr>
          <w:b/>
          <w:color w:val="auto"/>
          <w:sz w:val="72"/>
          <w:szCs w:val="72"/>
        </w:rPr>
        <w:t>开</w:t>
      </w:r>
      <w:r>
        <w:rPr>
          <w:rFonts w:hint="eastAsia"/>
          <w:b/>
          <w:color w:val="auto"/>
          <w:sz w:val="72"/>
          <w:szCs w:val="72"/>
        </w:rPr>
        <w:t xml:space="preserve"> </w:t>
      </w:r>
      <w:r>
        <w:rPr>
          <w:b/>
          <w:color w:val="auto"/>
          <w:sz w:val="72"/>
          <w:szCs w:val="72"/>
        </w:rPr>
        <w:t>招</w:t>
      </w:r>
      <w:r>
        <w:rPr>
          <w:rFonts w:hint="eastAsia"/>
          <w:b/>
          <w:color w:val="auto"/>
          <w:sz w:val="72"/>
          <w:szCs w:val="72"/>
        </w:rPr>
        <w:t xml:space="preserve"> </w:t>
      </w:r>
      <w:r>
        <w:rPr>
          <w:b/>
          <w:color w:val="auto"/>
          <w:sz w:val="72"/>
          <w:szCs w:val="72"/>
        </w:rPr>
        <w:t>标</w:t>
      </w:r>
      <w:r>
        <w:rPr>
          <w:rFonts w:hint="eastAsia"/>
          <w:b/>
          <w:color w:val="auto"/>
          <w:sz w:val="72"/>
          <w:szCs w:val="72"/>
        </w:rPr>
        <w:t xml:space="preserve"> </w:t>
      </w:r>
      <w:r>
        <w:rPr>
          <w:b/>
          <w:color w:val="auto"/>
          <w:sz w:val="72"/>
          <w:szCs w:val="72"/>
        </w:rPr>
        <w:t>文</w:t>
      </w:r>
      <w:r>
        <w:rPr>
          <w:rFonts w:hint="eastAsia"/>
          <w:b/>
          <w:color w:val="auto"/>
          <w:sz w:val="72"/>
          <w:szCs w:val="72"/>
        </w:rPr>
        <w:t xml:space="preserve"> </w:t>
      </w:r>
      <w:r>
        <w:rPr>
          <w:b/>
          <w:color w:val="auto"/>
          <w:sz w:val="72"/>
          <w:szCs w:val="72"/>
        </w:rPr>
        <w:t>件</w:t>
      </w:r>
    </w:p>
    <w:p>
      <w:pPr>
        <w:pStyle w:val="72"/>
        <w:rPr>
          <w:color w:val="auto"/>
        </w:rPr>
      </w:pPr>
    </w:p>
    <w:p>
      <w:pPr>
        <w:widowControl/>
        <w:jc w:val="center"/>
        <w:rPr>
          <w:rFonts w:ascii="宋体" w:hAnsi="宋体" w:cs="宋体"/>
          <w:color w:val="auto"/>
          <w:kern w:val="0"/>
          <w:sz w:val="31"/>
          <w:szCs w:val="31"/>
          <w:lang w:bidi="ar"/>
        </w:rPr>
      </w:pPr>
    </w:p>
    <w:p>
      <w:pPr>
        <w:widowControl/>
        <w:jc w:val="center"/>
        <w:rPr>
          <w:color w:val="auto"/>
        </w:rPr>
      </w:pPr>
      <w:r>
        <w:rPr>
          <w:rFonts w:hint="eastAsia" w:ascii="宋体" w:hAnsi="宋体" w:cs="宋体"/>
          <w:color w:val="auto"/>
          <w:kern w:val="0"/>
          <w:sz w:val="31"/>
          <w:szCs w:val="31"/>
          <w:lang w:bidi="ar"/>
        </w:rPr>
        <w:t>（政府采购电子交易项目）</w:t>
      </w:r>
    </w:p>
    <w:p>
      <w:pPr>
        <w:snapToGrid w:val="0"/>
        <w:spacing w:before="120" w:beforeLines="50" w:line="360" w:lineRule="auto"/>
        <w:rPr>
          <w:color w:val="auto"/>
          <w:sz w:val="30"/>
          <w:szCs w:val="72"/>
        </w:rPr>
      </w:pPr>
    </w:p>
    <w:p>
      <w:pPr>
        <w:snapToGrid w:val="0"/>
        <w:spacing w:before="120" w:beforeLines="50" w:line="360" w:lineRule="auto"/>
        <w:rPr>
          <w:color w:val="auto"/>
          <w:sz w:val="30"/>
          <w:szCs w:val="72"/>
        </w:rPr>
      </w:pPr>
    </w:p>
    <w:p>
      <w:pPr>
        <w:snapToGrid w:val="0"/>
        <w:spacing w:before="120" w:beforeLines="50" w:line="360" w:lineRule="auto"/>
        <w:rPr>
          <w:color w:val="auto"/>
          <w:sz w:val="30"/>
          <w:szCs w:val="72"/>
        </w:rPr>
      </w:pPr>
    </w:p>
    <w:p>
      <w:pPr>
        <w:snapToGrid w:val="0"/>
        <w:spacing w:before="120" w:beforeLines="50" w:line="360" w:lineRule="auto"/>
        <w:rPr>
          <w:color w:val="auto"/>
          <w:sz w:val="30"/>
          <w:szCs w:val="72"/>
        </w:rPr>
      </w:pPr>
    </w:p>
    <w:tbl>
      <w:tblPr>
        <w:tblStyle w:val="38"/>
        <w:tblW w:w="9231" w:type="dxa"/>
        <w:tblInd w:w="0" w:type="dxa"/>
        <w:tblLayout w:type="fixed"/>
        <w:tblCellMar>
          <w:top w:w="0" w:type="dxa"/>
          <w:left w:w="108" w:type="dxa"/>
          <w:bottom w:w="0" w:type="dxa"/>
          <w:right w:w="108" w:type="dxa"/>
        </w:tblCellMar>
      </w:tblPr>
      <w:tblGrid>
        <w:gridCol w:w="2134"/>
        <w:gridCol w:w="7097"/>
      </w:tblGrid>
      <w:tr>
        <w:tblPrEx>
          <w:tblCellMar>
            <w:top w:w="0" w:type="dxa"/>
            <w:left w:w="108" w:type="dxa"/>
            <w:bottom w:w="0" w:type="dxa"/>
            <w:right w:w="108" w:type="dxa"/>
          </w:tblCellMar>
        </w:tblPrEx>
        <w:trPr>
          <w:trHeight w:val="810" w:hRule="atLeast"/>
        </w:trPr>
        <w:tc>
          <w:tcPr>
            <w:tcW w:w="2134" w:type="dxa"/>
            <w:tcBorders>
              <w:top w:val="nil"/>
              <w:left w:val="nil"/>
              <w:bottom w:val="nil"/>
              <w:right w:val="nil"/>
            </w:tcBorders>
            <w:vAlign w:val="center"/>
          </w:tcPr>
          <w:p>
            <w:pPr>
              <w:snapToGrid w:val="0"/>
              <w:jc w:val="distribute"/>
              <w:rPr>
                <w:b/>
                <w:color w:val="auto"/>
                <w:sz w:val="34"/>
                <w:szCs w:val="32"/>
              </w:rPr>
            </w:pPr>
            <w:r>
              <w:rPr>
                <w:b/>
                <w:color w:val="auto"/>
                <w:sz w:val="34"/>
                <w:szCs w:val="32"/>
              </w:rPr>
              <w:t>项目编号：</w:t>
            </w:r>
          </w:p>
        </w:tc>
        <w:tc>
          <w:tcPr>
            <w:tcW w:w="7097" w:type="dxa"/>
            <w:tcBorders>
              <w:top w:val="nil"/>
              <w:left w:val="nil"/>
              <w:bottom w:val="nil"/>
              <w:right w:val="nil"/>
            </w:tcBorders>
            <w:vAlign w:val="center"/>
          </w:tcPr>
          <w:p>
            <w:pPr>
              <w:pStyle w:val="20"/>
              <w:snapToGrid w:val="0"/>
              <w:spacing w:beforeLines="0" w:afterLines="0" w:line="240" w:lineRule="auto"/>
              <w:rPr>
                <w:rFonts w:hint="eastAsia" w:ascii="Times New Roman" w:eastAsia="宋体"/>
                <w:b/>
                <w:color w:val="auto"/>
                <w:kern w:val="2"/>
                <w:sz w:val="34"/>
                <w:szCs w:val="32"/>
                <w:u w:val="single"/>
                <w:lang w:eastAsia="zh-CN"/>
              </w:rPr>
            </w:pPr>
            <w:r>
              <w:rPr>
                <w:rFonts w:hint="eastAsia" w:ascii="Times New Roman"/>
                <w:b/>
                <w:color w:val="auto"/>
                <w:sz w:val="34"/>
                <w:szCs w:val="32"/>
                <w:lang w:eastAsia="zh-CN"/>
              </w:rPr>
              <w:t>NBZS-202206345G</w:t>
            </w:r>
          </w:p>
        </w:tc>
      </w:tr>
      <w:tr>
        <w:tblPrEx>
          <w:tblCellMar>
            <w:top w:w="0" w:type="dxa"/>
            <w:left w:w="108" w:type="dxa"/>
            <w:bottom w:w="0" w:type="dxa"/>
            <w:right w:w="108" w:type="dxa"/>
          </w:tblCellMar>
        </w:tblPrEx>
        <w:trPr>
          <w:trHeight w:val="1435" w:hRule="atLeast"/>
        </w:trPr>
        <w:tc>
          <w:tcPr>
            <w:tcW w:w="2134" w:type="dxa"/>
            <w:tcBorders>
              <w:top w:val="nil"/>
              <w:left w:val="nil"/>
              <w:bottom w:val="nil"/>
              <w:right w:val="nil"/>
            </w:tcBorders>
            <w:vAlign w:val="center"/>
          </w:tcPr>
          <w:p>
            <w:pPr>
              <w:snapToGrid w:val="0"/>
              <w:jc w:val="distribute"/>
              <w:rPr>
                <w:b/>
                <w:color w:val="auto"/>
                <w:sz w:val="34"/>
                <w:szCs w:val="32"/>
              </w:rPr>
            </w:pPr>
            <w:r>
              <w:rPr>
                <w:b/>
                <w:color w:val="auto"/>
                <w:sz w:val="34"/>
                <w:szCs w:val="32"/>
              </w:rPr>
              <w:t>项目名称：</w:t>
            </w:r>
          </w:p>
        </w:tc>
        <w:tc>
          <w:tcPr>
            <w:tcW w:w="7097" w:type="dxa"/>
            <w:tcBorders>
              <w:top w:val="nil"/>
              <w:left w:val="nil"/>
              <w:bottom w:val="nil"/>
              <w:right w:val="nil"/>
            </w:tcBorders>
            <w:vAlign w:val="center"/>
          </w:tcPr>
          <w:p>
            <w:pPr>
              <w:spacing w:line="400" w:lineRule="exact"/>
              <w:jc w:val="left"/>
              <w:rPr>
                <w:rFonts w:hint="eastAsia" w:eastAsia="宋体"/>
                <w:b/>
                <w:color w:val="auto"/>
                <w:sz w:val="34"/>
                <w:szCs w:val="32"/>
                <w:u w:val="single"/>
                <w:lang w:eastAsia="zh-CN"/>
              </w:rPr>
            </w:pPr>
            <w:r>
              <w:rPr>
                <w:rFonts w:hint="eastAsia"/>
                <w:b/>
                <w:color w:val="auto"/>
                <w:sz w:val="34"/>
                <w:szCs w:val="32"/>
                <w:lang w:eastAsia="zh-CN"/>
              </w:rPr>
              <w:t>宁波市地面沉降风险评估与区划</w:t>
            </w:r>
          </w:p>
        </w:tc>
      </w:tr>
      <w:tr>
        <w:tblPrEx>
          <w:tblCellMar>
            <w:top w:w="0" w:type="dxa"/>
            <w:left w:w="108" w:type="dxa"/>
            <w:bottom w:w="0" w:type="dxa"/>
            <w:right w:w="108" w:type="dxa"/>
          </w:tblCellMar>
        </w:tblPrEx>
        <w:trPr>
          <w:trHeight w:val="1435" w:hRule="atLeast"/>
        </w:trPr>
        <w:tc>
          <w:tcPr>
            <w:tcW w:w="2134" w:type="dxa"/>
            <w:tcBorders>
              <w:top w:val="nil"/>
              <w:left w:val="nil"/>
              <w:bottom w:val="nil"/>
              <w:right w:val="nil"/>
            </w:tcBorders>
            <w:vAlign w:val="center"/>
          </w:tcPr>
          <w:p>
            <w:pPr>
              <w:snapToGrid w:val="0"/>
              <w:jc w:val="distribute"/>
              <w:rPr>
                <w:b/>
                <w:color w:val="auto"/>
                <w:sz w:val="34"/>
                <w:szCs w:val="32"/>
              </w:rPr>
            </w:pPr>
            <w:r>
              <w:rPr>
                <w:rFonts w:hint="eastAsia"/>
                <w:b/>
                <w:color w:val="auto"/>
                <w:sz w:val="34"/>
                <w:szCs w:val="32"/>
              </w:rPr>
              <w:t>采购人：</w:t>
            </w:r>
          </w:p>
        </w:tc>
        <w:tc>
          <w:tcPr>
            <w:tcW w:w="7097" w:type="dxa"/>
            <w:tcBorders>
              <w:top w:val="nil"/>
              <w:left w:val="nil"/>
              <w:bottom w:val="nil"/>
              <w:right w:val="nil"/>
            </w:tcBorders>
            <w:vAlign w:val="center"/>
          </w:tcPr>
          <w:p>
            <w:pPr>
              <w:spacing w:line="400" w:lineRule="exact"/>
              <w:jc w:val="left"/>
              <w:rPr>
                <w:rFonts w:hint="eastAsia" w:eastAsia="宋体"/>
                <w:b/>
                <w:color w:val="auto"/>
                <w:sz w:val="34"/>
                <w:szCs w:val="32"/>
                <w:lang w:eastAsia="zh-CN"/>
              </w:rPr>
            </w:pPr>
            <w:r>
              <w:rPr>
                <w:rFonts w:hint="eastAsia"/>
                <w:b/>
                <w:color w:val="auto"/>
                <w:sz w:val="34"/>
                <w:szCs w:val="32"/>
                <w:lang w:eastAsia="zh-CN"/>
              </w:rPr>
              <w:t>宁波市自然资源和规划局</w:t>
            </w:r>
          </w:p>
        </w:tc>
      </w:tr>
    </w:tbl>
    <w:p>
      <w:pPr>
        <w:spacing w:before="120" w:beforeLines="50"/>
        <w:rPr>
          <w:b/>
          <w:color w:val="auto"/>
          <w:sz w:val="30"/>
          <w:szCs w:val="72"/>
        </w:rPr>
      </w:pPr>
    </w:p>
    <w:p>
      <w:pPr>
        <w:pStyle w:val="20"/>
        <w:snapToGrid w:val="0"/>
        <w:spacing w:beforeLines="0" w:afterLines="0" w:line="360" w:lineRule="auto"/>
        <w:rPr>
          <w:rFonts w:ascii="Times New Roman"/>
          <w:b/>
          <w:color w:val="auto"/>
          <w:sz w:val="30"/>
          <w:szCs w:val="72"/>
        </w:rPr>
      </w:pPr>
    </w:p>
    <w:p>
      <w:pPr>
        <w:pStyle w:val="20"/>
        <w:snapToGrid w:val="0"/>
        <w:spacing w:beforeLines="0" w:afterLines="0" w:line="360" w:lineRule="auto"/>
        <w:rPr>
          <w:rFonts w:ascii="Times New Roman"/>
          <w:b/>
          <w:color w:val="auto"/>
          <w:sz w:val="30"/>
          <w:szCs w:val="72"/>
        </w:rPr>
      </w:pPr>
    </w:p>
    <w:p>
      <w:pPr>
        <w:snapToGrid w:val="0"/>
        <w:spacing w:before="120" w:beforeLines="50" w:line="360" w:lineRule="auto"/>
        <w:rPr>
          <w:b/>
          <w:bCs/>
          <w:color w:val="auto"/>
          <w:sz w:val="30"/>
          <w:szCs w:val="30"/>
        </w:rPr>
      </w:pPr>
    </w:p>
    <w:p>
      <w:pPr>
        <w:snapToGrid w:val="0"/>
        <w:spacing w:before="120" w:beforeLines="50" w:line="360" w:lineRule="auto"/>
        <w:jc w:val="center"/>
        <w:rPr>
          <w:b/>
          <w:color w:val="auto"/>
          <w:sz w:val="36"/>
          <w:szCs w:val="36"/>
        </w:rPr>
      </w:pPr>
      <w:r>
        <w:rPr>
          <w:rFonts w:hint="eastAsia"/>
          <w:b/>
          <w:color w:val="auto"/>
          <w:sz w:val="36"/>
          <w:szCs w:val="36"/>
        </w:rPr>
        <w:t>宁波中穗招标有限公司</w:t>
      </w:r>
    </w:p>
    <w:p>
      <w:pPr>
        <w:snapToGrid w:val="0"/>
        <w:spacing w:before="120" w:beforeLines="50" w:line="360" w:lineRule="auto"/>
        <w:jc w:val="center"/>
        <w:rPr>
          <w:b/>
          <w:bCs/>
          <w:color w:val="auto"/>
          <w:sz w:val="30"/>
          <w:szCs w:val="30"/>
        </w:rPr>
        <w:sectPr>
          <w:footerReference r:id="rId5" w:type="first"/>
          <w:headerReference r:id="rId3" w:type="default"/>
          <w:footerReference r:id="rId4" w:type="default"/>
          <w:pgSz w:w="11907" w:h="16840"/>
          <w:pgMar w:top="1276" w:right="1474" w:bottom="1242" w:left="1474" w:header="720" w:footer="720" w:gutter="0"/>
          <w:cols w:space="720" w:num="1"/>
          <w:docGrid w:linePitch="285" w:charSpace="0"/>
        </w:sectPr>
      </w:pPr>
      <w:r>
        <w:rPr>
          <w:b/>
          <w:bCs/>
          <w:color w:val="auto"/>
          <w:sz w:val="30"/>
          <w:szCs w:val="30"/>
        </w:rPr>
        <w:t>二〇二</w:t>
      </w:r>
      <w:r>
        <w:rPr>
          <w:rFonts w:hint="eastAsia"/>
          <w:b/>
          <w:bCs/>
          <w:color w:val="auto"/>
          <w:sz w:val="30"/>
          <w:szCs w:val="30"/>
        </w:rPr>
        <w:t>二</w:t>
      </w:r>
      <w:r>
        <w:rPr>
          <w:b/>
          <w:bCs/>
          <w:color w:val="auto"/>
          <w:sz w:val="30"/>
          <w:szCs w:val="30"/>
        </w:rPr>
        <w:t>年</w:t>
      </w:r>
      <w:r>
        <w:rPr>
          <w:rFonts w:hint="eastAsia"/>
          <w:b/>
          <w:bCs/>
          <w:color w:val="auto"/>
          <w:sz w:val="30"/>
          <w:szCs w:val="30"/>
          <w:lang w:val="en-US" w:eastAsia="zh-CN"/>
        </w:rPr>
        <w:t>八</w:t>
      </w:r>
      <w:r>
        <w:rPr>
          <w:b/>
          <w:bCs/>
          <w:color w:val="auto"/>
          <w:sz w:val="30"/>
          <w:szCs w:val="30"/>
        </w:rPr>
        <w:t>月</w:t>
      </w:r>
    </w:p>
    <w:p>
      <w:pPr>
        <w:jc w:val="center"/>
        <w:outlineLvl w:val="0"/>
        <w:rPr>
          <w:b/>
          <w:bCs/>
          <w:color w:val="auto"/>
          <w:sz w:val="40"/>
          <w:szCs w:val="40"/>
        </w:rPr>
      </w:pPr>
      <w:r>
        <w:rPr>
          <w:b/>
          <w:bCs/>
          <w:color w:val="auto"/>
          <w:sz w:val="40"/>
          <w:szCs w:val="40"/>
        </w:rPr>
        <w:t>目  录</w:t>
      </w:r>
    </w:p>
    <w:p>
      <w:pPr>
        <w:pStyle w:val="72"/>
        <w:rPr>
          <w:color w:val="auto"/>
        </w:rPr>
      </w:pPr>
    </w:p>
    <w:p>
      <w:pPr>
        <w:pStyle w:val="72"/>
        <w:rPr>
          <w:color w:val="auto"/>
        </w:rPr>
      </w:pPr>
    </w:p>
    <w:p>
      <w:pPr>
        <w:pStyle w:val="26"/>
        <w:tabs>
          <w:tab w:val="right" w:leader="dot" w:pos="8959"/>
        </w:tabs>
        <w:spacing w:line="480" w:lineRule="auto"/>
        <w:rPr>
          <w:color w:val="auto"/>
          <w:sz w:val="28"/>
          <w:szCs w:val="28"/>
        </w:rPr>
      </w:pPr>
      <w:r>
        <w:rPr>
          <w:b/>
          <w:color w:val="auto"/>
          <w:sz w:val="28"/>
          <w:szCs w:val="28"/>
        </w:rPr>
        <w:fldChar w:fldCharType="begin"/>
      </w:r>
      <w:r>
        <w:rPr>
          <w:b/>
          <w:color w:val="auto"/>
          <w:sz w:val="28"/>
          <w:szCs w:val="28"/>
        </w:rPr>
        <w:instrText xml:space="preserve">TOC \o "1-2" \h \u </w:instrText>
      </w:r>
      <w:r>
        <w:rPr>
          <w:b/>
          <w:color w:val="auto"/>
          <w:sz w:val="28"/>
          <w:szCs w:val="28"/>
        </w:rPr>
        <w:fldChar w:fldCharType="separate"/>
      </w:r>
      <w:r>
        <w:rPr>
          <w:color w:val="auto"/>
        </w:rPr>
        <w:fldChar w:fldCharType="begin"/>
      </w:r>
      <w:r>
        <w:rPr>
          <w:color w:val="auto"/>
        </w:rPr>
        <w:instrText xml:space="preserve"> HYPERLINK \l "_Toc573" </w:instrText>
      </w:r>
      <w:r>
        <w:rPr>
          <w:color w:val="auto"/>
        </w:rPr>
        <w:fldChar w:fldCharType="separate"/>
      </w:r>
      <w:r>
        <w:rPr>
          <w:color w:val="auto"/>
          <w:sz w:val="28"/>
          <w:szCs w:val="28"/>
        </w:rPr>
        <w:t>第一章  公开招标采购公告</w:t>
      </w:r>
      <w:r>
        <w:rPr>
          <w:color w:val="auto"/>
          <w:sz w:val="28"/>
          <w:szCs w:val="28"/>
        </w:rPr>
        <w:tab/>
      </w:r>
      <w:r>
        <w:rPr>
          <w:color w:val="auto"/>
          <w:sz w:val="28"/>
          <w:szCs w:val="28"/>
        </w:rPr>
        <w:fldChar w:fldCharType="begin"/>
      </w:r>
      <w:r>
        <w:rPr>
          <w:color w:val="auto"/>
          <w:sz w:val="28"/>
          <w:szCs w:val="28"/>
        </w:rPr>
        <w:instrText xml:space="preserve"> PAGEREF _Toc573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26"/>
        <w:tabs>
          <w:tab w:val="right" w:leader="dot" w:pos="8959"/>
        </w:tabs>
        <w:spacing w:line="480" w:lineRule="auto"/>
        <w:rPr>
          <w:color w:val="auto"/>
          <w:sz w:val="28"/>
          <w:szCs w:val="28"/>
        </w:rPr>
      </w:pPr>
      <w:r>
        <w:rPr>
          <w:color w:val="auto"/>
        </w:rPr>
        <w:fldChar w:fldCharType="begin"/>
      </w:r>
      <w:r>
        <w:rPr>
          <w:color w:val="auto"/>
        </w:rPr>
        <w:instrText xml:space="preserve"> HYPERLINK \l "_Toc19221" </w:instrText>
      </w:r>
      <w:r>
        <w:rPr>
          <w:color w:val="auto"/>
        </w:rPr>
        <w:fldChar w:fldCharType="separate"/>
      </w:r>
      <w:r>
        <w:rPr>
          <w:color w:val="auto"/>
          <w:sz w:val="28"/>
          <w:szCs w:val="28"/>
        </w:rPr>
        <w:t>第二章  采购需求</w:t>
      </w:r>
      <w:r>
        <w:rPr>
          <w:color w:val="auto"/>
          <w:sz w:val="28"/>
          <w:szCs w:val="28"/>
        </w:rPr>
        <w:tab/>
      </w:r>
      <w:r>
        <w:rPr>
          <w:color w:val="auto"/>
          <w:sz w:val="28"/>
          <w:szCs w:val="28"/>
        </w:rPr>
        <w:fldChar w:fldCharType="begin"/>
      </w:r>
      <w:r>
        <w:rPr>
          <w:color w:val="auto"/>
          <w:sz w:val="28"/>
          <w:szCs w:val="28"/>
        </w:rPr>
        <w:instrText xml:space="preserve"> PAGEREF _Toc19221 \h </w:instrText>
      </w:r>
      <w:r>
        <w:rPr>
          <w:color w:val="auto"/>
          <w:sz w:val="28"/>
          <w:szCs w:val="28"/>
        </w:rPr>
        <w:fldChar w:fldCharType="separate"/>
      </w:r>
      <w:r>
        <w:rPr>
          <w:color w:val="auto"/>
          <w:sz w:val="28"/>
          <w:szCs w:val="28"/>
        </w:rPr>
        <w:t>4</w:t>
      </w:r>
      <w:r>
        <w:rPr>
          <w:color w:val="auto"/>
          <w:sz w:val="28"/>
          <w:szCs w:val="28"/>
        </w:rPr>
        <w:fldChar w:fldCharType="end"/>
      </w:r>
      <w:r>
        <w:rPr>
          <w:color w:val="auto"/>
          <w:sz w:val="28"/>
          <w:szCs w:val="28"/>
        </w:rPr>
        <w:fldChar w:fldCharType="end"/>
      </w:r>
    </w:p>
    <w:p>
      <w:pPr>
        <w:pStyle w:val="26"/>
        <w:tabs>
          <w:tab w:val="right" w:leader="dot" w:pos="8959"/>
        </w:tabs>
        <w:spacing w:line="480" w:lineRule="auto"/>
        <w:rPr>
          <w:color w:val="auto"/>
          <w:sz w:val="28"/>
          <w:szCs w:val="28"/>
        </w:rPr>
      </w:pPr>
      <w:r>
        <w:rPr>
          <w:color w:val="auto"/>
        </w:rPr>
        <w:fldChar w:fldCharType="begin"/>
      </w:r>
      <w:r>
        <w:rPr>
          <w:color w:val="auto"/>
        </w:rPr>
        <w:instrText xml:space="preserve"> HYPERLINK \l "_Toc10729" </w:instrText>
      </w:r>
      <w:r>
        <w:rPr>
          <w:color w:val="auto"/>
        </w:rPr>
        <w:fldChar w:fldCharType="separate"/>
      </w:r>
      <w:r>
        <w:rPr>
          <w:color w:val="auto"/>
          <w:sz w:val="28"/>
          <w:szCs w:val="28"/>
        </w:rPr>
        <w:t>第三章  投标人须知</w:t>
      </w:r>
      <w:r>
        <w:rPr>
          <w:color w:val="auto"/>
          <w:sz w:val="28"/>
          <w:szCs w:val="28"/>
        </w:rPr>
        <w:tab/>
      </w:r>
      <w:r>
        <w:rPr>
          <w:rFonts w:hint="eastAsia"/>
          <w:color w:val="auto"/>
          <w:sz w:val="28"/>
          <w:szCs w:val="28"/>
        </w:rPr>
        <w:t>6</w:t>
      </w:r>
      <w:r>
        <w:rPr>
          <w:rFonts w:hint="eastAsia"/>
          <w:color w:val="auto"/>
          <w:sz w:val="28"/>
          <w:szCs w:val="28"/>
        </w:rPr>
        <w:fldChar w:fldCharType="end"/>
      </w:r>
    </w:p>
    <w:p>
      <w:pPr>
        <w:pStyle w:val="26"/>
        <w:tabs>
          <w:tab w:val="right" w:leader="dot" w:pos="8959"/>
        </w:tabs>
        <w:spacing w:line="480" w:lineRule="auto"/>
        <w:rPr>
          <w:color w:val="auto"/>
          <w:sz w:val="28"/>
          <w:szCs w:val="28"/>
        </w:rPr>
      </w:pPr>
      <w:r>
        <w:rPr>
          <w:color w:val="auto"/>
        </w:rPr>
        <w:fldChar w:fldCharType="begin"/>
      </w:r>
      <w:r>
        <w:rPr>
          <w:color w:val="auto"/>
        </w:rPr>
        <w:instrText xml:space="preserve"> HYPERLINK \l "_Toc14879" </w:instrText>
      </w:r>
      <w:r>
        <w:rPr>
          <w:color w:val="auto"/>
        </w:rPr>
        <w:fldChar w:fldCharType="separate"/>
      </w:r>
      <w:r>
        <w:rPr>
          <w:color w:val="auto"/>
          <w:sz w:val="28"/>
          <w:szCs w:val="28"/>
        </w:rPr>
        <w:t>第四章  评标办法及评分标准</w:t>
      </w:r>
      <w:r>
        <w:rPr>
          <w:color w:val="auto"/>
          <w:sz w:val="28"/>
          <w:szCs w:val="28"/>
        </w:rPr>
        <w:tab/>
      </w:r>
      <w:r>
        <w:rPr>
          <w:color w:val="auto"/>
          <w:sz w:val="28"/>
          <w:szCs w:val="28"/>
        </w:rPr>
        <w:fldChar w:fldCharType="begin"/>
      </w:r>
      <w:r>
        <w:rPr>
          <w:color w:val="auto"/>
          <w:sz w:val="28"/>
          <w:szCs w:val="28"/>
        </w:rPr>
        <w:instrText xml:space="preserve"> PAGEREF _Toc14879 \h </w:instrText>
      </w:r>
      <w:r>
        <w:rPr>
          <w:color w:val="auto"/>
          <w:sz w:val="28"/>
          <w:szCs w:val="28"/>
        </w:rPr>
        <w:fldChar w:fldCharType="separate"/>
      </w:r>
      <w:r>
        <w:rPr>
          <w:color w:val="auto"/>
          <w:sz w:val="28"/>
          <w:szCs w:val="28"/>
        </w:rPr>
        <w:t>17</w:t>
      </w:r>
      <w:r>
        <w:rPr>
          <w:color w:val="auto"/>
          <w:sz w:val="28"/>
          <w:szCs w:val="28"/>
        </w:rPr>
        <w:fldChar w:fldCharType="end"/>
      </w:r>
      <w:r>
        <w:rPr>
          <w:color w:val="auto"/>
          <w:sz w:val="28"/>
          <w:szCs w:val="28"/>
        </w:rPr>
        <w:fldChar w:fldCharType="end"/>
      </w:r>
    </w:p>
    <w:p>
      <w:pPr>
        <w:pStyle w:val="26"/>
        <w:tabs>
          <w:tab w:val="right" w:leader="dot" w:pos="8959"/>
        </w:tabs>
        <w:spacing w:line="480" w:lineRule="auto"/>
        <w:rPr>
          <w:rFonts w:hint="eastAsia" w:eastAsia="宋体"/>
          <w:color w:val="auto"/>
          <w:sz w:val="28"/>
          <w:szCs w:val="28"/>
          <w:lang w:eastAsia="zh-CN"/>
        </w:rPr>
      </w:pPr>
      <w:r>
        <w:rPr>
          <w:color w:val="auto"/>
        </w:rPr>
        <w:fldChar w:fldCharType="begin"/>
      </w:r>
      <w:r>
        <w:rPr>
          <w:color w:val="auto"/>
        </w:rPr>
        <w:instrText xml:space="preserve"> HYPERLINK \l "_Toc26178" </w:instrText>
      </w:r>
      <w:r>
        <w:rPr>
          <w:color w:val="auto"/>
        </w:rPr>
        <w:fldChar w:fldCharType="separate"/>
      </w:r>
      <w:r>
        <w:rPr>
          <w:color w:val="auto"/>
          <w:sz w:val="28"/>
          <w:szCs w:val="28"/>
        </w:rPr>
        <w:t>第五章  采购合同主要条款</w:t>
      </w:r>
      <w:r>
        <w:rPr>
          <w:color w:val="auto"/>
          <w:sz w:val="28"/>
          <w:szCs w:val="28"/>
        </w:rPr>
        <w:tab/>
      </w:r>
      <w:r>
        <w:rPr>
          <w:rFonts w:hint="eastAsia"/>
          <w:color w:val="auto"/>
          <w:sz w:val="28"/>
          <w:szCs w:val="28"/>
        </w:rPr>
        <w:t>2</w:t>
      </w:r>
      <w:r>
        <w:rPr>
          <w:rFonts w:hint="eastAsia"/>
          <w:color w:val="auto"/>
          <w:sz w:val="28"/>
          <w:szCs w:val="28"/>
        </w:rPr>
        <w:fldChar w:fldCharType="end"/>
      </w:r>
      <w:r>
        <w:rPr>
          <w:rFonts w:hint="eastAsia"/>
          <w:color w:val="auto"/>
          <w:sz w:val="28"/>
          <w:szCs w:val="28"/>
          <w:lang w:val="en-US" w:eastAsia="zh-CN"/>
        </w:rPr>
        <w:t>5</w:t>
      </w:r>
    </w:p>
    <w:p>
      <w:pPr>
        <w:pStyle w:val="26"/>
        <w:tabs>
          <w:tab w:val="right" w:leader="dot" w:pos="8959"/>
        </w:tabs>
        <w:spacing w:line="480" w:lineRule="auto"/>
        <w:rPr>
          <w:color w:val="auto"/>
          <w:sz w:val="28"/>
          <w:szCs w:val="28"/>
        </w:rPr>
      </w:pPr>
      <w:r>
        <w:rPr>
          <w:color w:val="auto"/>
        </w:rPr>
        <w:fldChar w:fldCharType="begin"/>
      </w:r>
      <w:r>
        <w:rPr>
          <w:color w:val="auto"/>
        </w:rPr>
        <w:instrText xml:space="preserve"> HYPERLINK \l "_Toc7729" </w:instrText>
      </w:r>
      <w:r>
        <w:rPr>
          <w:color w:val="auto"/>
        </w:rPr>
        <w:fldChar w:fldCharType="separate"/>
      </w:r>
      <w:r>
        <w:rPr>
          <w:color w:val="auto"/>
          <w:sz w:val="28"/>
          <w:szCs w:val="28"/>
        </w:rPr>
        <w:t>第六章</w:t>
      </w:r>
      <w:r>
        <w:rPr>
          <w:rFonts w:hint="eastAsia"/>
          <w:color w:val="auto"/>
          <w:sz w:val="28"/>
          <w:szCs w:val="28"/>
        </w:rPr>
        <w:t xml:space="preserve">  </w:t>
      </w:r>
      <w:r>
        <w:rPr>
          <w:color w:val="auto"/>
          <w:sz w:val="28"/>
          <w:szCs w:val="28"/>
        </w:rPr>
        <w:t>投标文件格式</w:t>
      </w:r>
      <w:r>
        <w:rPr>
          <w:color w:val="auto"/>
          <w:sz w:val="28"/>
          <w:szCs w:val="28"/>
        </w:rPr>
        <w:tab/>
      </w:r>
      <w:r>
        <w:rPr>
          <w:color w:val="auto"/>
          <w:sz w:val="28"/>
          <w:szCs w:val="28"/>
        </w:rPr>
        <w:fldChar w:fldCharType="begin"/>
      </w:r>
      <w:r>
        <w:rPr>
          <w:color w:val="auto"/>
          <w:sz w:val="28"/>
          <w:szCs w:val="28"/>
        </w:rPr>
        <w:instrText xml:space="preserve"> PAGEREF _Toc7729 \h </w:instrText>
      </w:r>
      <w:r>
        <w:rPr>
          <w:color w:val="auto"/>
          <w:sz w:val="28"/>
          <w:szCs w:val="28"/>
        </w:rPr>
        <w:fldChar w:fldCharType="separate"/>
      </w:r>
      <w:r>
        <w:rPr>
          <w:color w:val="auto"/>
          <w:sz w:val="28"/>
          <w:szCs w:val="28"/>
        </w:rPr>
        <w:t>28</w:t>
      </w:r>
      <w:r>
        <w:rPr>
          <w:color w:val="auto"/>
          <w:sz w:val="28"/>
          <w:szCs w:val="28"/>
        </w:rPr>
        <w:fldChar w:fldCharType="end"/>
      </w:r>
      <w:r>
        <w:rPr>
          <w:color w:val="auto"/>
          <w:sz w:val="28"/>
          <w:szCs w:val="28"/>
        </w:rPr>
        <w:fldChar w:fldCharType="end"/>
      </w:r>
    </w:p>
    <w:p>
      <w:pPr>
        <w:pStyle w:val="31"/>
        <w:tabs>
          <w:tab w:val="right" w:leader="dot" w:pos="8959"/>
        </w:tabs>
        <w:spacing w:line="480" w:lineRule="auto"/>
        <w:ind w:left="420"/>
        <w:rPr>
          <w:color w:val="auto"/>
          <w:sz w:val="28"/>
          <w:szCs w:val="28"/>
        </w:rPr>
      </w:pPr>
    </w:p>
    <w:p>
      <w:pPr>
        <w:pStyle w:val="26"/>
        <w:tabs>
          <w:tab w:val="right" w:leader="dot" w:pos="8311"/>
        </w:tabs>
        <w:spacing w:line="480" w:lineRule="auto"/>
        <w:rPr>
          <w:b/>
          <w:color w:val="auto"/>
          <w:szCs w:val="21"/>
        </w:rPr>
      </w:pPr>
      <w:r>
        <w:rPr>
          <w:color w:val="auto"/>
          <w:sz w:val="28"/>
          <w:szCs w:val="28"/>
        </w:rPr>
        <w:fldChar w:fldCharType="end"/>
      </w:r>
    </w:p>
    <w:p>
      <w:pPr>
        <w:pStyle w:val="5"/>
        <w:spacing w:before="0" w:after="0" w:line="480" w:lineRule="auto"/>
        <w:jc w:val="center"/>
        <w:rPr>
          <w:color w:val="auto"/>
          <w:sz w:val="30"/>
        </w:rPr>
        <w:sectPr>
          <w:footerReference r:id="rId6" w:type="default"/>
          <w:pgSz w:w="11907" w:h="16840"/>
          <w:pgMar w:top="1276" w:right="1134" w:bottom="1242" w:left="1134" w:header="720" w:footer="720" w:gutter="0"/>
          <w:pgNumType w:start="1"/>
          <w:cols w:space="720" w:num="1"/>
          <w:docGrid w:linePitch="285" w:charSpace="0"/>
        </w:sectPr>
      </w:pPr>
      <w:bookmarkStart w:id="0" w:name="_Toc17057"/>
      <w:bookmarkStart w:id="1" w:name="_Toc13450"/>
      <w:bookmarkStart w:id="2" w:name="_Toc573"/>
      <w:bookmarkStart w:id="3" w:name="_Toc79395432"/>
      <w:bookmarkStart w:id="4" w:name="_Toc460857890"/>
      <w:bookmarkStart w:id="352" w:name="_GoBack"/>
      <w:bookmarkEnd w:id="352"/>
    </w:p>
    <w:p>
      <w:pPr>
        <w:pStyle w:val="5"/>
        <w:spacing w:before="0" w:after="0" w:line="360" w:lineRule="auto"/>
        <w:jc w:val="center"/>
        <w:rPr>
          <w:color w:val="auto"/>
          <w:sz w:val="30"/>
        </w:rPr>
      </w:pPr>
      <w:r>
        <w:rPr>
          <w:color w:val="auto"/>
          <w:sz w:val="30"/>
        </w:rPr>
        <w:t>第一章  公开招标采购公告</w:t>
      </w:r>
      <w:bookmarkEnd w:id="0"/>
      <w:bookmarkEnd w:id="1"/>
      <w:bookmarkEnd w:id="2"/>
      <w:bookmarkEnd w:id="3"/>
      <w:bookmarkEnd w:id="4"/>
    </w:p>
    <w:p>
      <w:pPr>
        <w:jc w:val="center"/>
        <w:rPr>
          <w:color w:val="auto"/>
          <w:sz w:val="28"/>
          <w:szCs w:val="28"/>
        </w:rPr>
      </w:pPr>
    </w:p>
    <w:p>
      <w:pPr>
        <w:widowControl/>
        <w:pBdr>
          <w:top w:val="single" w:color="auto" w:sz="4" w:space="1"/>
          <w:left w:val="single" w:color="auto" w:sz="4" w:space="4"/>
          <w:bottom w:val="single" w:color="auto" w:sz="4" w:space="1"/>
          <w:right w:val="single" w:color="auto" w:sz="4" w:space="4"/>
        </w:pBdr>
        <w:spacing w:before="75" w:after="75"/>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项目概况</w:t>
      </w:r>
    </w:p>
    <w:p>
      <w:pPr>
        <w:widowControl/>
        <w:pBdr>
          <w:top w:val="single" w:color="auto" w:sz="4" w:space="1"/>
          <w:left w:val="single" w:color="auto" w:sz="4" w:space="4"/>
          <w:bottom w:val="single" w:color="auto" w:sz="4" w:space="1"/>
          <w:right w:val="single" w:color="auto" w:sz="4" w:space="4"/>
        </w:pBdr>
        <w:spacing w:before="75" w:after="75"/>
        <w:ind w:firstLine="440" w:firstLineChars="200"/>
        <w:jc w:val="left"/>
        <w:rPr>
          <w:rFonts w:hint="eastAsia" w:ascii="宋体" w:hAnsi="宋体" w:eastAsia="宋体" w:cs="宋体"/>
          <w:color w:val="auto"/>
          <w:kern w:val="0"/>
          <w:sz w:val="22"/>
          <w:szCs w:val="22"/>
        </w:rPr>
      </w:pPr>
      <w:r>
        <w:rPr>
          <w:rFonts w:hint="eastAsia" w:ascii="宋体" w:hAnsi="宋体" w:cs="宋体"/>
          <w:color w:val="auto"/>
          <w:kern w:val="0"/>
          <w:sz w:val="22"/>
          <w:szCs w:val="22"/>
          <w:u w:val="single"/>
          <w:lang w:eastAsia="zh-CN"/>
        </w:rPr>
        <w:t>宁波市地面沉降风险评估与区划</w:t>
      </w:r>
      <w:r>
        <w:rPr>
          <w:rFonts w:hint="eastAsia" w:ascii="宋体" w:hAnsi="宋体" w:eastAsia="宋体" w:cs="宋体"/>
          <w:color w:val="auto"/>
          <w:kern w:val="0"/>
          <w:sz w:val="22"/>
          <w:szCs w:val="22"/>
        </w:rPr>
        <w:t>项目的潜在供应商应在（http://zfcg.czt.zj.gov.cn）浙江政府采购网政采云平台注册登记，获取（下载）招标文件，并于2022年</w:t>
      </w:r>
      <w:r>
        <w:rPr>
          <w:rFonts w:hint="eastAsia" w:ascii="宋体" w:hAnsi="宋体" w:cs="宋体"/>
          <w:color w:val="auto"/>
          <w:kern w:val="0"/>
          <w:sz w:val="22"/>
          <w:szCs w:val="22"/>
          <w:lang w:val="en-US" w:eastAsia="zh-CN"/>
        </w:rPr>
        <w:t>9</w:t>
      </w:r>
      <w:r>
        <w:rPr>
          <w:rFonts w:hint="eastAsia" w:ascii="宋体" w:hAnsi="宋体" w:eastAsia="宋体" w:cs="宋体"/>
          <w:color w:val="auto"/>
          <w:kern w:val="0"/>
          <w:sz w:val="22"/>
          <w:szCs w:val="22"/>
        </w:rPr>
        <w:t>月</w:t>
      </w:r>
      <w:r>
        <w:rPr>
          <w:rFonts w:hint="eastAsia" w:ascii="宋体" w:hAnsi="宋体" w:cs="宋体"/>
          <w:color w:val="auto"/>
          <w:kern w:val="0"/>
          <w:sz w:val="22"/>
          <w:szCs w:val="22"/>
          <w:lang w:val="en-US" w:eastAsia="zh-CN"/>
        </w:rPr>
        <w:t>13</w:t>
      </w:r>
      <w:r>
        <w:rPr>
          <w:rFonts w:hint="eastAsia" w:ascii="宋体" w:hAnsi="宋体" w:eastAsia="宋体" w:cs="宋体"/>
          <w:color w:val="auto"/>
          <w:kern w:val="0"/>
          <w:sz w:val="22"/>
          <w:szCs w:val="22"/>
        </w:rPr>
        <w:t>日14 :00（北京时间）前递交（上传）投标文件。</w:t>
      </w:r>
    </w:p>
    <w:p>
      <w:pPr>
        <w:widowControl/>
        <w:spacing w:before="255" w:after="255" w:line="300" w:lineRule="atLeast"/>
        <w:ind w:firstLine="422" w:firstLineChars="200"/>
        <w:rPr>
          <w:rFonts w:ascii="宋体" w:hAnsi="宋体" w:cs="宋体"/>
          <w:color w:val="auto"/>
          <w:kern w:val="0"/>
          <w:szCs w:val="21"/>
        </w:rPr>
      </w:pPr>
      <w:r>
        <w:rPr>
          <w:rFonts w:hint="eastAsia" w:ascii="宋体" w:hAnsi="宋体" w:cs="宋体"/>
          <w:b/>
          <w:bCs/>
          <w:color w:val="auto"/>
          <w:kern w:val="0"/>
          <w:szCs w:val="21"/>
        </w:rPr>
        <w:t>一、项目基本情况</w:t>
      </w:r>
    </w:p>
    <w:p>
      <w:pPr>
        <w:widowControl/>
        <w:spacing w:before="75" w:after="75" w:line="300" w:lineRule="atLeast"/>
        <w:ind w:firstLine="440" w:firstLineChars="20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1.项目编号：</w:t>
      </w:r>
      <w:r>
        <w:rPr>
          <w:rFonts w:hint="eastAsia" w:ascii="宋体" w:hAnsi="宋体" w:cs="宋体"/>
          <w:color w:val="auto"/>
          <w:kern w:val="0"/>
          <w:sz w:val="22"/>
          <w:szCs w:val="22"/>
          <w:lang w:eastAsia="zh-CN"/>
        </w:rPr>
        <w:t>NBZS-202206345G</w:t>
      </w:r>
    </w:p>
    <w:p>
      <w:pPr>
        <w:widowControl/>
        <w:spacing w:before="75" w:after="75" w:line="300" w:lineRule="atLeast"/>
        <w:ind w:firstLine="440" w:firstLineChars="20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2.项目名称：</w:t>
      </w:r>
      <w:r>
        <w:rPr>
          <w:rFonts w:hint="eastAsia" w:ascii="宋体" w:hAnsi="宋体" w:cs="宋体"/>
          <w:color w:val="auto"/>
          <w:kern w:val="0"/>
          <w:sz w:val="22"/>
          <w:szCs w:val="22"/>
          <w:lang w:eastAsia="zh-CN"/>
        </w:rPr>
        <w:t>宁波市地面沉降风险评估与区划</w:t>
      </w:r>
    </w:p>
    <w:p>
      <w:pPr>
        <w:widowControl/>
        <w:spacing w:before="75" w:after="75" w:line="30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3.预算金额：</w:t>
      </w:r>
      <w:r>
        <w:rPr>
          <w:rFonts w:hint="eastAsia" w:ascii="宋体" w:hAnsi="宋体" w:cs="宋体"/>
          <w:color w:val="auto"/>
          <w:kern w:val="0"/>
          <w:sz w:val="22"/>
          <w:szCs w:val="22"/>
          <w:lang w:eastAsia="zh-CN"/>
        </w:rPr>
        <w:t>90万</w:t>
      </w:r>
      <w:r>
        <w:rPr>
          <w:rFonts w:hint="eastAsia" w:ascii="宋体" w:hAnsi="宋体" w:eastAsia="宋体" w:cs="宋体"/>
          <w:color w:val="auto"/>
          <w:kern w:val="0"/>
          <w:sz w:val="22"/>
          <w:szCs w:val="22"/>
        </w:rPr>
        <w:t>元</w:t>
      </w:r>
    </w:p>
    <w:p>
      <w:pPr>
        <w:widowControl/>
        <w:spacing w:before="75" w:after="75" w:line="30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4.最高限价：</w:t>
      </w:r>
      <w:r>
        <w:rPr>
          <w:rFonts w:hint="eastAsia" w:ascii="宋体" w:hAnsi="宋体" w:cs="宋体"/>
          <w:color w:val="auto"/>
          <w:kern w:val="0"/>
          <w:sz w:val="22"/>
          <w:szCs w:val="22"/>
          <w:lang w:eastAsia="zh-CN"/>
        </w:rPr>
        <w:t>90万</w:t>
      </w:r>
      <w:r>
        <w:rPr>
          <w:rFonts w:hint="eastAsia" w:ascii="宋体" w:hAnsi="宋体" w:eastAsia="宋体" w:cs="宋体"/>
          <w:color w:val="auto"/>
          <w:kern w:val="0"/>
          <w:sz w:val="22"/>
          <w:szCs w:val="22"/>
        </w:rPr>
        <w:t>元</w:t>
      </w:r>
    </w:p>
    <w:p>
      <w:pPr>
        <w:widowControl/>
        <w:spacing w:before="75" w:after="75" w:line="300" w:lineRule="atLeast"/>
        <w:ind w:left="420"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5.采购需求：</w:t>
      </w:r>
    </w:p>
    <w:p>
      <w:pPr>
        <w:widowControl/>
        <w:spacing w:before="75" w:after="75" w:line="300" w:lineRule="atLeast"/>
        <w:ind w:firstLine="660" w:firstLineChars="30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 xml:space="preserve">标项名称: </w:t>
      </w:r>
      <w:r>
        <w:rPr>
          <w:rFonts w:hint="eastAsia" w:ascii="宋体" w:hAnsi="宋体" w:cs="宋体"/>
          <w:color w:val="auto"/>
          <w:kern w:val="0"/>
          <w:sz w:val="22"/>
          <w:szCs w:val="22"/>
          <w:lang w:eastAsia="zh-CN"/>
        </w:rPr>
        <w:t>宁波市地面沉降风险评估与区划</w:t>
      </w:r>
    </w:p>
    <w:p>
      <w:pPr>
        <w:widowControl/>
        <w:spacing w:before="75" w:after="75" w:line="300" w:lineRule="atLeast"/>
        <w:ind w:left="420" w:leftChars="200" w:firstLine="220" w:firstLineChars="1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数量:</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1项</w:t>
      </w:r>
    </w:p>
    <w:p>
      <w:pPr>
        <w:widowControl/>
        <w:spacing w:before="75" w:after="75" w:line="300" w:lineRule="atLeast"/>
        <w:ind w:left="420" w:leftChars="200" w:firstLine="220" w:firstLineChars="1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项目基本概况介绍：</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具体内容见采购需求</w:t>
      </w:r>
    </w:p>
    <w:p>
      <w:pPr>
        <w:widowControl/>
        <w:spacing w:before="75" w:after="75" w:line="300" w:lineRule="atLeast"/>
        <w:ind w:left="420"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6.合同履约期限：</w:t>
      </w:r>
      <w:r>
        <w:rPr>
          <w:rFonts w:hint="eastAsia" w:ascii="宋体" w:hAnsi="宋体" w:eastAsia="宋体" w:cs="宋体"/>
          <w:bCs/>
          <w:color w:val="auto"/>
          <w:kern w:val="2"/>
          <w:sz w:val="22"/>
          <w:szCs w:val="22"/>
          <w:lang w:val="en-US" w:eastAsia="zh-CN" w:bidi="ar-SA"/>
        </w:rPr>
        <w:t>合同签订后至2022年</w:t>
      </w:r>
      <w:r>
        <w:rPr>
          <w:rFonts w:hint="eastAsia" w:ascii="宋体" w:hAnsi="宋体" w:cs="宋体"/>
          <w:bCs/>
          <w:color w:val="auto"/>
          <w:kern w:val="2"/>
          <w:sz w:val="22"/>
          <w:szCs w:val="22"/>
          <w:lang w:val="en-US" w:eastAsia="zh-CN" w:bidi="ar-SA"/>
        </w:rPr>
        <w:t>11</w:t>
      </w:r>
      <w:r>
        <w:rPr>
          <w:rFonts w:hint="eastAsia" w:ascii="宋体" w:hAnsi="宋体" w:eastAsia="宋体" w:cs="宋体"/>
          <w:bCs/>
          <w:color w:val="auto"/>
          <w:kern w:val="2"/>
          <w:sz w:val="22"/>
          <w:szCs w:val="22"/>
          <w:lang w:val="en-US" w:eastAsia="zh-CN" w:bidi="ar-SA"/>
        </w:rPr>
        <w:t>月底前提交最终项目成果</w:t>
      </w:r>
    </w:p>
    <w:p>
      <w:pPr>
        <w:widowControl/>
        <w:spacing w:before="75" w:after="75" w:line="30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7.本项目</w:t>
      </w:r>
      <w:r>
        <w:rPr>
          <w:rFonts w:hint="eastAsia" w:ascii="宋体" w:hAnsi="宋体" w:eastAsia="宋体" w:cs="宋体"/>
          <w:color w:val="auto"/>
          <w:kern w:val="0"/>
          <w:sz w:val="22"/>
          <w:szCs w:val="22"/>
          <w:u w:val="single"/>
        </w:rPr>
        <w:t>不接受</w:t>
      </w:r>
      <w:r>
        <w:rPr>
          <w:rFonts w:hint="eastAsia" w:ascii="宋体" w:hAnsi="宋体" w:eastAsia="宋体" w:cs="宋体"/>
          <w:color w:val="auto"/>
          <w:kern w:val="0"/>
          <w:sz w:val="22"/>
          <w:szCs w:val="22"/>
        </w:rPr>
        <w:t>联合体投标。</w:t>
      </w:r>
    </w:p>
    <w:p>
      <w:pPr>
        <w:widowControl/>
        <w:spacing w:before="225" w:after="225" w:line="300" w:lineRule="atLeast"/>
        <w:ind w:firstLine="422" w:firstLineChars="200"/>
        <w:jc w:val="left"/>
        <w:rPr>
          <w:rFonts w:ascii="宋体" w:hAnsi="宋体" w:cs="宋体"/>
          <w:color w:val="auto"/>
          <w:kern w:val="0"/>
          <w:szCs w:val="21"/>
        </w:rPr>
      </w:pPr>
      <w:r>
        <w:rPr>
          <w:rFonts w:hint="eastAsia" w:ascii="宋体" w:hAnsi="宋体" w:cs="宋体"/>
          <w:b/>
          <w:bCs/>
          <w:color w:val="auto"/>
          <w:kern w:val="0"/>
          <w:szCs w:val="21"/>
        </w:rPr>
        <w:t>二、申请人的资格要求</w:t>
      </w:r>
    </w:p>
    <w:p>
      <w:pPr>
        <w:widowControl/>
        <w:spacing w:before="75" w:after="75" w:line="30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满足《中华人民共和国政府采购法》第二十二条规定；未被（www.creditchina.gov.cn)“信用中国”、（www.ccgp.gov.cn）中国政府采购网列入失信被执行人、重大税收违法案件当事人名单、政府采购严重违法失信行为记录名单。</w:t>
      </w:r>
    </w:p>
    <w:p>
      <w:pPr>
        <w:widowControl/>
        <w:spacing w:before="75" w:after="75" w:line="30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2.落实政府采购政策需满足的资格要求：无</w:t>
      </w:r>
    </w:p>
    <w:p>
      <w:pPr>
        <w:widowControl/>
        <w:spacing w:before="75" w:after="75" w:line="300" w:lineRule="atLeast"/>
        <w:ind w:firstLine="440" w:firstLineChars="200"/>
        <w:jc w:val="left"/>
        <w:rPr>
          <w:rFonts w:hint="eastAsia" w:ascii="宋体" w:hAnsi="宋体" w:eastAsia="宋体" w:cs="宋体"/>
          <w:color w:val="auto"/>
          <w:kern w:val="0"/>
          <w:sz w:val="22"/>
          <w:szCs w:val="22"/>
          <w:highlight w:val="yellow"/>
        </w:rPr>
      </w:pPr>
      <w:r>
        <w:rPr>
          <w:rFonts w:hint="eastAsia" w:ascii="宋体" w:hAnsi="宋体" w:eastAsia="宋体" w:cs="宋体"/>
          <w:color w:val="auto"/>
          <w:kern w:val="0"/>
          <w:sz w:val="22"/>
          <w:szCs w:val="22"/>
        </w:rPr>
        <w:t>3.本项目的特定资格要求：</w:t>
      </w:r>
      <w:r>
        <w:rPr>
          <w:rFonts w:hint="eastAsia" w:ascii="宋体" w:hAnsi="宋体" w:eastAsia="宋体" w:cs="宋体"/>
          <w:b/>
          <w:bCs/>
          <w:color w:val="auto"/>
          <w:sz w:val="22"/>
          <w:szCs w:val="22"/>
          <w:highlight w:val="none"/>
        </w:rPr>
        <w:t>具备地质灾害</w:t>
      </w:r>
      <w:r>
        <w:rPr>
          <w:rFonts w:hint="eastAsia" w:ascii="宋体" w:hAnsi="宋体" w:eastAsia="宋体" w:cs="宋体"/>
          <w:b/>
          <w:bCs/>
          <w:color w:val="auto"/>
          <w:sz w:val="22"/>
          <w:szCs w:val="22"/>
          <w:highlight w:val="none"/>
          <w:lang w:val="en-US" w:eastAsia="zh-CN"/>
        </w:rPr>
        <w:t>防治</w:t>
      </w:r>
      <w:r>
        <w:rPr>
          <w:rFonts w:hint="eastAsia" w:ascii="宋体" w:hAnsi="宋体" w:eastAsia="宋体" w:cs="宋体"/>
          <w:b/>
          <w:bCs/>
          <w:color w:val="auto"/>
          <w:sz w:val="22"/>
          <w:szCs w:val="22"/>
          <w:highlight w:val="none"/>
        </w:rPr>
        <w:t>勘查甲级与地质灾害危险性评估甲级资质</w:t>
      </w:r>
      <w:r>
        <w:rPr>
          <w:rFonts w:hint="eastAsia" w:ascii="宋体" w:hAnsi="宋体" w:eastAsia="宋体" w:cs="宋体"/>
          <w:b/>
          <w:bCs/>
          <w:color w:val="auto"/>
          <w:sz w:val="22"/>
          <w:szCs w:val="22"/>
          <w:highlight w:val="none"/>
          <w:lang w:eastAsia="zh-CN"/>
        </w:rPr>
        <w:t>。</w:t>
      </w:r>
    </w:p>
    <w:p>
      <w:pPr>
        <w:widowControl/>
        <w:spacing w:before="255" w:after="255" w:line="300" w:lineRule="atLeast"/>
        <w:ind w:firstLine="422" w:firstLineChars="200"/>
        <w:rPr>
          <w:rFonts w:ascii="黑体" w:hAnsi="黑体" w:eastAsia="黑体" w:cs="宋体"/>
          <w:color w:val="auto"/>
          <w:kern w:val="0"/>
          <w:szCs w:val="21"/>
        </w:rPr>
      </w:pPr>
      <w:r>
        <w:rPr>
          <w:rFonts w:hint="eastAsia" w:ascii="宋体" w:hAnsi="宋体" w:cs="宋体"/>
          <w:b/>
          <w:bCs/>
          <w:color w:val="auto"/>
          <w:kern w:val="0"/>
          <w:szCs w:val="21"/>
        </w:rPr>
        <w:t>三、获取招标文件</w:t>
      </w:r>
    </w:p>
    <w:p>
      <w:pPr>
        <w:widowControl/>
        <w:spacing w:before="75" w:after="75" w:line="30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1.时间：公告发布之日起至2022年</w:t>
      </w:r>
      <w:r>
        <w:rPr>
          <w:rFonts w:hint="eastAsia" w:ascii="宋体" w:hAnsi="宋体" w:cs="宋体"/>
          <w:color w:val="auto"/>
          <w:kern w:val="0"/>
          <w:sz w:val="22"/>
          <w:szCs w:val="22"/>
          <w:lang w:val="en-US" w:eastAsia="zh-CN"/>
        </w:rPr>
        <w:t>8</w:t>
      </w:r>
      <w:r>
        <w:rPr>
          <w:rFonts w:hint="eastAsia" w:ascii="宋体" w:hAnsi="宋体" w:eastAsia="宋体" w:cs="宋体"/>
          <w:color w:val="auto"/>
          <w:kern w:val="0"/>
          <w:sz w:val="22"/>
          <w:szCs w:val="22"/>
        </w:rPr>
        <w:t>月</w:t>
      </w:r>
      <w:r>
        <w:rPr>
          <w:rFonts w:hint="eastAsia" w:ascii="宋体" w:hAnsi="宋体" w:cs="宋体"/>
          <w:color w:val="auto"/>
          <w:kern w:val="0"/>
          <w:sz w:val="22"/>
          <w:szCs w:val="22"/>
          <w:lang w:val="en-US" w:eastAsia="zh-CN"/>
        </w:rPr>
        <w:t>29</w:t>
      </w:r>
      <w:r>
        <w:rPr>
          <w:rFonts w:hint="eastAsia" w:ascii="宋体" w:hAnsi="宋体" w:eastAsia="宋体" w:cs="宋体"/>
          <w:color w:val="auto"/>
          <w:kern w:val="0"/>
          <w:sz w:val="22"/>
          <w:szCs w:val="22"/>
        </w:rPr>
        <w:t>日，每天上午00:00至12:00，下午12:00至23:59（北京时间，线上获取法定节假日均可，线下获取文件法定节假日除外）。</w:t>
      </w:r>
    </w:p>
    <w:p>
      <w:pPr>
        <w:widowControl/>
        <w:spacing w:before="75" w:after="75" w:line="30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2.地点（网址）：浙江政府采购云平台（www.zcygov.cn）。</w:t>
      </w:r>
    </w:p>
    <w:p>
      <w:pPr>
        <w:widowControl/>
        <w:spacing w:before="75" w:after="75" w:line="30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3.方式：潜在供应商需在政采云平台注册登记，登录政采云平台www.zcygov.cn/在线申请获取采购文件（进入“项目采购”应用，在获取采购文件菜单中选择项目，申请获取采购文件）。</w:t>
      </w:r>
    </w:p>
    <w:p>
      <w:pPr>
        <w:widowControl/>
        <w:spacing w:before="75" w:after="75" w:line="30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4.售价（元）：0</w:t>
      </w:r>
    </w:p>
    <w:p>
      <w:pPr>
        <w:widowControl/>
        <w:spacing w:before="255" w:after="255" w:line="300" w:lineRule="atLeast"/>
        <w:ind w:firstLine="422" w:firstLineChars="200"/>
        <w:rPr>
          <w:rFonts w:ascii="宋体" w:hAnsi="宋体" w:cs="宋体"/>
          <w:color w:val="auto"/>
          <w:kern w:val="0"/>
          <w:szCs w:val="21"/>
        </w:rPr>
      </w:pPr>
      <w:r>
        <w:rPr>
          <w:rFonts w:hint="eastAsia" w:ascii="宋体" w:hAnsi="宋体" w:cs="宋体"/>
          <w:b/>
          <w:bCs/>
          <w:color w:val="auto"/>
          <w:kern w:val="0"/>
          <w:szCs w:val="21"/>
        </w:rPr>
        <w:t>四、提交投标文件截止时间、开标时间和地点</w:t>
      </w:r>
    </w:p>
    <w:p>
      <w:pPr>
        <w:widowControl/>
        <w:spacing w:before="75" w:after="75" w:line="30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提交投标文件截止时间：2022年</w:t>
      </w:r>
      <w:r>
        <w:rPr>
          <w:rFonts w:hint="eastAsia" w:ascii="宋体" w:hAnsi="宋体" w:cs="宋体"/>
          <w:color w:val="auto"/>
          <w:kern w:val="0"/>
          <w:sz w:val="22"/>
          <w:szCs w:val="22"/>
          <w:lang w:val="en-US" w:eastAsia="zh-CN"/>
        </w:rPr>
        <w:t>9</w:t>
      </w:r>
      <w:r>
        <w:rPr>
          <w:rFonts w:hint="eastAsia" w:ascii="宋体" w:hAnsi="宋体" w:eastAsia="宋体" w:cs="宋体"/>
          <w:color w:val="auto"/>
          <w:kern w:val="0"/>
          <w:sz w:val="22"/>
          <w:szCs w:val="22"/>
        </w:rPr>
        <w:t>月</w:t>
      </w:r>
      <w:r>
        <w:rPr>
          <w:rFonts w:hint="eastAsia" w:ascii="宋体" w:hAnsi="宋体" w:cs="宋体"/>
          <w:color w:val="auto"/>
          <w:kern w:val="0"/>
          <w:sz w:val="22"/>
          <w:szCs w:val="22"/>
          <w:lang w:val="en-US" w:eastAsia="zh-CN"/>
        </w:rPr>
        <w:t>13</w:t>
      </w:r>
      <w:r>
        <w:rPr>
          <w:rFonts w:hint="eastAsia" w:ascii="宋体" w:hAnsi="宋体" w:eastAsia="宋体" w:cs="宋体"/>
          <w:color w:val="auto"/>
          <w:kern w:val="0"/>
          <w:sz w:val="22"/>
          <w:szCs w:val="22"/>
        </w:rPr>
        <w:t>日14:00（北京时间）。</w:t>
      </w:r>
    </w:p>
    <w:p>
      <w:pPr>
        <w:widowControl/>
        <w:spacing w:before="75" w:after="75" w:line="30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投标地点（网址）：</w:t>
      </w:r>
      <w:r>
        <w:rPr>
          <w:rFonts w:hint="eastAsia" w:ascii="宋体" w:hAnsi="宋体" w:eastAsia="宋体" w:cs="宋体"/>
          <w:color w:val="auto"/>
          <w:sz w:val="22"/>
          <w:szCs w:val="22"/>
        </w:rPr>
        <w:t>登录政府采购云平台（www.zcygov.cn）在线投标，并进行解密（解密时间为提交投标文件截止时间后30分钟内）。</w:t>
      </w:r>
    </w:p>
    <w:p>
      <w:pPr>
        <w:widowControl/>
        <w:spacing w:before="75" w:after="75" w:line="30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开标时间：2022年</w:t>
      </w:r>
      <w:r>
        <w:rPr>
          <w:rFonts w:hint="eastAsia" w:ascii="宋体" w:hAnsi="宋体" w:cs="宋体"/>
          <w:color w:val="auto"/>
          <w:kern w:val="0"/>
          <w:sz w:val="22"/>
          <w:szCs w:val="22"/>
          <w:lang w:val="en-US" w:eastAsia="zh-CN"/>
        </w:rPr>
        <w:t>9</w:t>
      </w:r>
      <w:r>
        <w:rPr>
          <w:rFonts w:hint="eastAsia" w:ascii="宋体" w:hAnsi="宋体" w:eastAsia="宋体" w:cs="宋体"/>
          <w:color w:val="auto"/>
          <w:kern w:val="0"/>
          <w:sz w:val="22"/>
          <w:szCs w:val="22"/>
        </w:rPr>
        <w:t>月</w:t>
      </w:r>
      <w:r>
        <w:rPr>
          <w:rFonts w:hint="eastAsia" w:ascii="宋体" w:hAnsi="宋体" w:cs="宋体"/>
          <w:color w:val="auto"/>
          <w:kern w:val="0"/>
          <w:sz w:val="22"/>
          <w:szCs w:val="22"/>
          <w:lang w:val="en-US" w:eastAsia="zh-CN"/>
        </w:rPr>
        <w:t>13</w:t>
      </w:r>
      <w:r>
        <w:rPr>
          <w:rFonts w:hint="eastAsia" w:ascii="宋体" w:hAnsi="宋体" w:eastAsia="宋体" w:cs="宋体"/>
          <w:color w:val="auto"/>
          <w:kern w:val="0"/>
          <w:sz w:val="22"/>
          <w:szCs w:val="22"/>
        </w:rPr>
        <w:t>日14:00（北京时间）。</w:t>
      </w:r>
    </w:p>
    <w:p>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kern w:val="0"/>
          <w:sz w:val="22"/>
          <w:szCs w:val="22"/>
        </w:rPr>
        <w:t>开标地点（网址）：</w:t>
      </w:r>
      <w:r>
        <w:rPr>
          <w:rFonts w:hint="eastAsia" w:ascii="宋体" w:hAnsi="宋体" w:eastAsia="宋体" w:cs="宋体"/>
          <w:color w:val="auto"/>
          <w:sz w:val="22"/>
          <w:szCs w:val="22"/>
        </w:rPr>
        <w:t>宁波市翠柏路89号宁波工程学院公共培训平台大楼A座1107室。本项目通过“政府采购云平台”实行在线电子投标，供应商应在线参加开标。</w:t>
      </w:r>
    </w:p>
    <w:p>
      <w:pPr>
        <w:widowControl/>
        <w:spacing w:before="255" w:after="255" w:line="300" w:lineRule="atLeast"/>
        <w:ind w:firstLine="422" w:firstLineChars="200"/>
        <w:rPr>
          <w:rFonts w:ascii="宋体" w:hAnsi="宋体" w:cs="宋体"/>
          <w:color w:val="auto"/>
          <w:kern w:val="0"/>
          <w:szCs w:val="21"/>
        </w:rPr>
      </w:pPr>
      <w:r>
        <w:rPr>
          <w:rFonts w:hint="eastAsia" w:ascii="宋体" w:hAnsi="宋体" w:cs="宋体"/>
          <w:b/>
          <w:bCs/>
          <w:color w:val="auto"/>
          <w:kern w:val="0"/>
          <w:szCs w:val="21"/>
        </w:rPr>
        <w:t>五、公告期限</w:t>
      </w:r>
    </w:p>
    <w:p>
      <w:pPr>
        <w:widowControl/>
        <w:spacing w:before="75" w:after="75"/>
        <w:ind w:firstLine="440" w:firstLineChars="200"/>
        <w:jc w:val="left"/>
        <w:rPr>
          <w:rFonts w:ascii="宋体" w:hAnsi="宋体" w:cs="宋体"/>
          <w:color w:val="auto"/>
          <w:kern w:val="0"/>
          <w:sz w:val="22"/>
          <w:szCs w:val="22"/>
        </w:rPr>
      </w:pPr>
      <w:r>
        <w:rPr>
          <w:rFonts w:ascii="仿宋" w:hAnsi="仿宋" w:cs="宋体"/>
          <w:color w:val="auto"/>
          <w:kern w:val="0"/>
          <w:sz w:val="22"/>
          <w:szCs w:val="22"/>
        </w:rPr>
        <w:t>自本公告发布之日起</w:t>
      </w:r>
      <w:r>
        <w:rPr>
          <w:rFonts w:hint="eastAsia" w:ascii="宋体" w:hAnsi="宋体" w:cs="宋体"/>
          <w:color w:val="auto"/>
          <w:kern w:val="0"/>
          <w:sz w:val="22"/>
          <w:szCs w:val="22"/>
        </w:rPr>
        <w:t>5</w:t>
      </w:r>
      <w:r>
        <w:rPr>
          <w:rFonts w:ascii="仿宋" w:hAnsi="仿宋" w:cs="宋体"/>
          <w:color w:val="auto"/>
          <w:kern w:val="0"/>
          <w:sz w:val="22"/>
          <w:szCs w:val="22"/>
        </w:rPr>
        <w:t>个工作日。</w:t>
      </w:r>
    </w:p>
    <w:p>
      <w:pPr>
        <w:widowControl/>
        <w:spacing w:before="255" w:after="255" w:line="300" w:lineRule="atLeast"/>
        <w:ind w:firstLine="422" w:firstLineChars="200"/>
        <w:rPr>
          <w:rFonts w:ascii="宋体" w:hAnsi="宋体" w:cs="宋体"/>
          <w:color w:val="auto"/>
          <w:kern w:val="0"/>
          <w:szCs w:val="21"/>
        </w:rPr>
      </w:pPr>
      <w:r>
        <w:rPr>
          <w:rFonts w:hint="eastAsia" w:ascii="宋体" w:hAnsi="宋体" w:cs="宋体"/>
          <w:b/>
          <w:bCs/>
          <w:color w:val="auto"/>
          <w:kern w:val="0"/>
          <w:szCs w:val="21"/>
        </w:rPr>
        <w:t>六、其他补充事宜</w:t>
      </w:r>
    </w:p>
    <w:p>
      <w:pPr>
        <w:widowControl/>
        <w:spacing w:before="75" w:after="75" w:line="36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before="75" w:after="75" w:line="36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落实的政策：《关于促进残疾人就业政府采购政策的通知》（财库[2017]141号）、《政府采购促进中小企业发展管理办法》（财库〔2020〕46号）、《关于政府采购支持监狱企业发展有关问题的通知》(财库[2014]68号)、《浙江省财政厅关于进一步加大政府采购支持中小企业力度助力扎实稳住经济的通知》（浙财采监〔2022〕8号）。</w:t>
      </w:r>
    </w:p>
    <w:p>
      <w:pPr>
        <w:widowControl/>
        <w:spacing w:line="336"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3.投标与开标注意事项：</w:t>
      </w:r>
    </w:p>
    <w:p>
      <w:pPr>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3.1供应商需按照《浙江省政府采购供应商注册及诚信管理暂行办法》（浙财采监字{2009}28号）的规定在“浙江政府采购网”政采云平台注册登记的，成为浙江省政府采购注册供应商。并完成CA数字证书办理。因未注册入库、未办理CA数字证书等原因造成无法投标或投标失败等后果由供应商自行承担。</w:t>
      </w:r>
    </w:p>
    <w:p>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kern w:val="0"/>
          <w:sz w:val="22"/>
          <w:szCs w:val="22"/>
        </w:rPr>
        <w:t>3.2</w:t>
      </w:r>
      <w:r>
        <w:rPr>
          <w:rFonts w:hint="eastAsia" w:ascii="宋体" w:hAnsi="宋体" w:eastAsia="宋体" w:cs="宋体"/>
          <w:color w:val="auto"/>
          <w:sz w:val="22"/>
          <w:szCs w:val="22"/>
        </w:rPr>
        <w:t>单位负责人为同一人或者存在直接控股、管理关系的不同供应商，不得参加同一标项的投标。除单一来源采购项目外，为本项目提供整体设计、规范编制或者项目管理、监理、检测等服务的供应商，不得再参加本项目的投标；供应商不得为该整体项目或其中分项目前期工作提供过设计、编制、管理等服务的法人及附属单位。</w:t>
      </w:r>
    </w:p>
    <w:p>
      <w:pPr>
        <w:widowControl/>
        <w:spacing w:line="336"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3.3不同投标文件上传的为同一网卡地址，或同一IP地址的为无效投标文件，并作为供应商之间串通响应处理。</w:t>
      </w:r>
    </w:p>
    <w:p>
      <w:pPr>
        <w:widowControl/>
        <w:spacing w:before="75" w:after="75" w:line="36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3.4供应商上传平台的是后缀为.jmbs的加密文件，递交给招标代理公司的是后缀为.bfbs的备份文件，未及时解密的责任自负。</w:t>
      </w:r>
    </w:p>
    <w:p>
      <w:pPr>
        <w:widowControl/>
        <w:spacing w:before="75" w:after="75" w:line="360"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3.5本项目实行网上投标，采用电子投标文件。若供应商参与投标，自行承担投保过程中的一切费用。</w:t>
      </w:r>
    </w:p>
    <w:p>
      <w:pPr>
        <w:widowControl/>
        <w:spacing w:before="255" w:after="255" w:line="480" w:lineRule="atLeast"/>
        <w:ind w:firstLine="422" w:firstLineChars="200"/>
        <w:rPr>
          <w:rFonts w:ascii="宋体" w:hAnsi="宋体" w:cs="宋体"/>
          <w:b/>
          <w:bCs/>
          <w:color w:val="auto"/>
          <w:kern w:val="0"/>
          <w:szCs w:val="21"/>
        </w:rPr>
      </w:pPr>
      <w:r>
        <w:rPr>
          <w:rFonts w:hint="eastAsia" w:ascii="宋体" w:hAnsi="宋体" w:cs="宋体"/>
          <w:b/>
          <w:bCs/>
          <w:color w:val="auto"/>
          <w:kern w:val="0"/>
          <w:szCs w:val="21"/>
        </w:rPr>
        <w:t>七、对本次采购提出询问、质疑、投诉，请按以下方式联系</w:t>
      </w:r>
    </w:p>
    <w:p>
      <w:pPr>
        <w:snapToGrid w:val="0"/>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（一）采购人信息</w:t>
      </w:r>
    </w:p>
    <w:p>
      <w:pPr>
        <w:snapToGrid w:val="0"/>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  名    称：</w:t>
      </w:r>
      <w:r>
        <w:rPr>
          <w:rFonts w:hint="eastAsia" w:ascii="宋体" w:hAnsi="宋体" w:cs="宋体"/>
          <w:color w:val="auto"/>
          <w:sz w:val="22"/>
          <w:szCs w:val="22"/>
          <w:lang w:eastAsia="zh-CN"/>
        </w:rPr>
        <w:t>宁波市自然资源和规划局</w:t>
      </w:r>
      <w:r>
        <w:rPr>
          <w:rFonts w:hint="eastAsia" w:ascii="宋体" w:hAnsi="宋体" w:cs="宋体"/>
          <w:color w:val="auto"/>
          <w:sz w:val="22"/>
          <w:szCs w:val="22"/>
        </w:rPr>
        <w:t> </w:t>
      </w:r>
    </w:p>
    <w:p>
      <w:pPr>
        <w:snapToGrid w:val="0"/>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  地    址：宁波市鄞州区和济街9号 </w:t>
      </w:r>
    </w:p>
    <w:p>
      <w:pPr>
        <w:spacing w:line="360" w:lineRule="auto"/>
        <w:ind w:firstLine="0"/>
        <w:rPr>
          <w:rFonts w:hint="default" w:ascii="宋体" w:hAnsi="宋体" w:eastAsia="宋体" w:cs="宋体"/>
          <w:color w:val="auto"/>
          <w:sz w:val="22"/>
          <w:szCs w:val="22"/>
          <w:lang w:val="en-US"/>
        </w:rPr>
      </w:pPr>
      <w:r>
        <w:rPr>
          <w:rFonts w:hint="eastAsia" w:ascii="宋体" w:hAnsi="宋体" w:cs="宋体"/>
          <w:color w:val="auto"/>
          <w:sz w:val="22"/>
          <w:szCs w:val="22"/>
        </w:rPr>
        <w:t>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项目联系人：</w:t>
      </w:r>
      <w:r>
        <w:rPr>
          <w:rFonts w:hint="eastAsia" w:ascii="宋体" w:hAnsi="宋体" w:eastAsia="宋体" w:cs="宋体"/>
          <w:color w:val="auto"/>
          <w:sz w:val="22"/>
          <w:szCs w:val="22"/>
          <w:lang w:val="en-US" w:eastAsia="zh-CN"/>
        </w:rPr>
        <w:t>朱老师</w:t>
      </w:r>
    </w:p>
    <w:p>
      <w:pPr>
        <w:snapToGrid w:val="0"/>
        <w:spacing w:line="360" w:lineRule="auto"/>
        <w:ind w:firstLine="431" w:firstLineChars="196"/>
        <w:rPr>
          <w:rFonts w:ascii="宋体" w:hAnsi="宋体" w:cs="Arial"/>
          <w:color w:val="auto"/>
          <w:sz w:val="22"/>
          <w:szCs w:val="22"/>
        </w:rPr>
      </w:pPr>
      <w:r>
        <w:rPr>
          <w:rFonts w:hint="eastAsia" w:ascii="宋体" w:hAnsi="宋体" w:cs="宋体"/>
          <w:color w:val="auto"/>
          <w:sz w:val="22"/>
          <w:szCs w:val="22"/>
        </w:rPr>
        <w:t> 项目联系方式：</w:t>
      </w:r>
      <w:r>
        <w:rPr>
          <w:rFonts w:hint="eastAsia" w:ascii="宋体" w:hAnsi="宋体" w:eastAsia="宋体" w:cs="宋体"/>
          <w:color w:val="auto"/>
          <w:sz w:val="22"/>
          <w:szCs w:val="22"/>
          <w:lang w:val="en-US" w:eastAsia="zh-CN"/>
        </w:rPr>
        <w:t>0574-89289917</w:t>
      </w:r>
    </w:p>
    <w:p>
      <w:pPr>
        <w:snapToGrid w:val="0"/>
        <w:spacing w:line="360" w:lineRule="auto"/>
        <w:ind w:firstLine="651" w:firstLineChars="296"/>
        <w:rPr>
          <w:rFonts w:ascii="宋体" w:hAnsi="宋体" w:cs="Arial"/>
          <w:color w:val="auto"/>
          <w:sz w:val="22"/>
          <w:szCs w:val="22"/>
        </w:rPr>
      </w:pPr>
      <w:r>
        <w:rPr>
          <w:rFonts w:hint="eastAsia" w:ascii="宋体" w:hAnsi="宋体" w:cs="Arial"/>
          <w:color w:val="auto"/>
          <w:sz w:val="22"/>
          <w:szCs w:val="22"/>
        </w:rPr>
        <w:t>质疑联系人：</w:t>
      </w:r>
      <w:r>
        <w:rPr>
          <w:rFonts w:hint="eastAsia" w:ascii="宋体" w:hAnsi="宋体" w:cs="Arial"/>
          <w:color w:val="auto"/>
          <w:sz w:val="22"/>
          <w:szCs w:val="22"/>
          <w:lang w:val="en-US" w:eastAsia="zh-CN"/>
        </w:rPr>
        <w:t>康</w:t>
      </w:r>
      <w:r>
        <w:rPr>
          <w:rFonts w:hint="eastAsia" w:ascii="宋体" w:hAnsi="宋体" w:cs="Arial"/>
          <w:color w:val="auto"/>
          <w:sz w:val="22"/>
          <w:szCs w:val="22"/>
        </w:rPr>
        <w:t>老师</w:t>
      </w:r>
    </w:p>
    <w:p>
      <w:pPr>
        <w:snapToGrid w:val="0"/>
        <w:spacing w:line="360" w:lineRule="auto"/>
        <w:ind w:firstLine="651" w:firstLineChars="296"/>
        <w:rPr>
          <w:rFonts w:ascii="宋体" w:hAnsi="宋体" w:cs="Arial"/>
          <w:color w:val="auto"/>
          <w:sz w:val="22"/>
          <w:szCs w:val="22"/>
        </w:rPr>
      </w:pPr>
      <w:r>
        <w:rPr>
          <w:rFonts w:hint="eastAsia" w:ascii="宋体" w:hAnsi="宋体" w:cs="Arial"/>
          <w:color w:val="auto"/>
          <w:sz w:val="22"/>
          <w:szCs w:val="22"/>
        </w:rPr>
        <w:t>质疑联系方式：0574-</w:t>
      </w:r>
      <w:r>
        <w:rPr>
          <w:rFonts w:hint="eastAsia" w:ascii="宋体" w:hAnsi="宋体" w:eastAsia="宋体" w:cs="宋体"/>
          <w:color w:val="auto"/>
          <w:sz w:val="22"/>
          <w:szCs w:val="22"/>
          <w:lang w:val="en-US" w:eastAsia="zh-CN"/>
        </w:rPr>
        <w:t>89289917</w:t>
      </w:r>
    </w:p>
    <w:p>
      <w:pPr>
        <w:snapToGrid w:val="0"/>
        <w:spacing w:line="360" w:lineRule="auto"/>
        <w:ind w:firstLine="411" w:firstLineChars="196"/>
        <w:rPr>
          <w:rFonts w:ascii="宋体" w:hAnsi="宋体" w:cs="宋体"/>
          <w:color w:val="auto"/>
          <w:szCs w:val="21"/>
        </w:rPr>
      </w:pPr>
    </w:p>
    <w:p>
      <w:pPr>
        <w:snapToGrid w:val="0"/>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（二）采购代理机构信息</w:t>
      </w:r>
    </w:p>
    <w:p>
      <w:pPr>
        <w:snapToGrid w:val="0"/>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 名    称：宁波中穗招标有限公司 </w:t>
      </w:r>
    </w:p>
    <w:p>
      <w:pPr>
        <w:snapToGrid w:val="0"/>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 地    址：宁波市翠柏路89号宁波工程学院公共培训平台大楼A座1109室 </w:t>
      </w:r>
    </w:p>
    <w:p>
      <w:pPr>
        <w:snapToGrid w:val="0"/>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 项目联系人（询问）：马倩倩 求华勇  庞港腾  孟凤英 李东港 </w:t>
      </w:r>
    </w:p>
    <w:p>
      <w:pPr>
        <w:snapToGrid w:val="0"/>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 项目联系方式（询问）：0574-87400706 </w:t>
      </w:r>
    </w:p>
    <w:p>
      <w:pPr>
        <w:snapToGrid w:val="0"/>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 质疑联系人：俞力甩</w:t>
      </w:r>
    </w:p>
    <w:p>
      <w:pPr>
        <w:snapToGrid w:val="0"/>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 质疑联系方式：0574-87151163 </w:t>
      </w:r>
    </w:p>
    <w:p>
      <w:pPr>
        <w:snapToGrid w:val="0"/>
        <w:spacing w:line="360" w:lineRule="auto"/>
        <w:ind w:firstLine="431" w:firstLineChars="196"/>
        <w:rPr>
          <w:rFonts w:ascii="宋体" w:hAnsi="宋体" w:cs="宋体"/>
          <w:color w:val="auto"/>
          <w:sz w:val="22"/>
          <w:szCs w:val="22"/>
        </w:rPr>
      </w:pPr>
    </w:p>
    <w:p>
      <w:pPr>
        <w:snapToGrid w:val="0"/>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（三）同级政府采购监督管理部门</w:t>
      </w:r>
    </w:p>
    <w:p>
      <w:pPr>
        <w:snapToGrid w:val="0"/>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 名    称：宁波市政府采购管理办公室  </w:t>
      </w:r>
    </w:p>
    <w:p>
      <w:pPr>
        <w:snapToGrid w:val="0"/>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 联  系  人 ：徐老师 </w:t>
      </w:r>
    </w:p>
    <w:p>
      <w:pPr>
        <w:snapToGrid w:val="0"/>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 监督投诉电话：0574-89388441</w:t>
      </w:r>
    </w:p>
    <w:p>
      <w:pPr>
        <w:pStyle w:val="72"/>
        <w:rPr>
          <w:rFonts w:ascii="宋体" w:hAnsi="宋体" w:cs="宋体"/>
          <w:color w:val="auto"/>
          <w:sz w:val="24"/>
          <w:szCs w:val="24"/>
        </w:rPr>
      </w:pPr>
    </w:p>
    <w:p>
      <w:pPr>
        <w:pStyle w:val="72"/>
        <w:rPr>
          <w:rFonts w:ascii="宋体" w:hAnsi="宋体" w:cs="宋体"/>
          <w:color w:val="auto"/>
          <w:sz w:val="24"/>
          <w:szCs w:val="24"/>
        </w:rPr>
      </w:pPr>
    </w:p>
    <w:p>
      <w:pPr>
        <w:ind w:firstLine="442" w:firstLineChars="200"/>
        <w:rPr>
          <w:rFonts w:ascii="宋体" w:hAnsi="宋体" w:cs="宋体"/>
          <w:b/>
          <w:bCs/>
          <w:color w:val="auto"/>
          <w:sz w:val="22"/>
          <w:szCs w:val="22"/>
        </w:rPr>
      </w:pPr>
      <w:r>
        <w:rPr>
          <w:rFonts w:hint="eastAsia" w:ascii="宋体" w:hAnsi="宋体" w:cs="宋体"/>
          <w:b/>
          <w:bCs/>
          <w:color w:val="auto"/>
          <w:sz w:val="22"/>
          <w:szCs w:val="22"/>
        </w:rPr>
        <w:t>若对项目采购电子交易系统操作有疑问，可登录政采云（https://www.zcygov.cn/），点击右侧咨询小采，获取采小蜜智能服务管家帮助，或拨打政采云服务热线400-881-7190获取热线服务帮助。        </w:t>
      </w:r>
    </w:p>
    <w:p>
      <w:pPr>
        <w:ind w:firstLine="442" w:firstLineChars="200"/>
        <w:rPr>
          <w:rFonts w:ascii="宋体" w:hAnsi="宋体" w:cs="宋体"/>
          <w:b/>
          <w:bCs/>
          <w:color w:val="auto"/>
          <w:sz w:val="22"/>
          <w:szCs w:val="22"/>
        </w:rPr>
        <w:sectPr>
          <w:footerReference r:id="rId7" w:type="default"/>
          <w:pgSz w:w="11907" w:h="16840"/>
          <w:pgMar w:top="1276" w:right="1134" w:bottom="1242" w:left="1134" w:header="720" w:footer="720" w:gutter="0"/>
          <w:pgNumType w:start="1"/>
          <w:cols w:space="720" w:num="1"/>
          <w:docGrid w:linePitch="285" w:charSpace="0"/>
        </w:sectPr>
      </w:pPr>
      <w:r>
        <w:rPr>
          <w:rFonts w:hint="eastAsia" w:ascii="宋体" w:hAnsi="宋体" w:cs="宋体"/>
          <w:b/>
          <w:bCs/>
          <w:color w:val="auto"/>
          <w:sz w:val="22"/>
          <w:szCs w:val="22"/>
        </w:rPr>
        <w:t>CA问题服务电话（人工）：汇信CA 400-888-4636；天谷CA 400-087-8198</w:t>
      </w:r>
    </w:p>
    <w:p>
      <w:pPr>
        <w:pStyle w:val="5"/>
        <w:spacing w:before="0" w:after="0" w:line="360" w:lineRule="auto"/>
        <w:jc w:val="center"/>
        <w:rPr>
          <w:color w:val="auto"/>
          <w:sz w:val="30"/>
        </w:rPr>
      </w:pPr>
      <w:bookmarkStart w:id="5" w:name="_Toc79395433"/>
      <w:bookmarkStart w:id="6" w:name="_Toc27853"/>
      <w:bookmarkStart w:id="7" w:name="_Toc19221"/>
      <w:bookmarkStart w:id="8" w:name="_Toc460857891"/>
      <w:bookmarkStart w:id="9" w:name="_Toc13003"/>
      <w:bookmarkStart w:id="10" w:name="_Toc460416585"/>
      <w:r>
        <w:rPr>
          <w:color w:val="auto"/>
          <w:sz w:val="30"/>
        </w:rPr>
        <w:t>第二章  采购需求</w:t>
      </w:r>
      <w:bookmarkEnd w:id="5"/>
      <w:bookmarkEnd w:id="6"/>
      <w:bookmarkEnd w:id="7"/>
      <w:bookmarkEnd w:id="8"/>
      <w:bookmarkEnd w:id="9"/>
      <w:bookmarkEnd w:id="10"/>
    </w:p>
    <w:p>
      <w:pPr>
        <w:spacing w:after="0" w:line="360" w:lineRule="auto"/>
        <w:ind w:firstLine="442" w:firstLineChars="200"/>
        <w:rPr>
          <w:rFonts w:hint="eastAsia" w:ascii="宋体" w:hAnsi="宋体" w:eastAsia="宋体" w:cs="宋体"/>
          <w:b/>
          <w:bCs/>
          <w:color w:val="auto"/>
          <w:spacing w:val="3"/>
          <w:sz w:val="22"/>
          <w:szCs w:val="22"/>
        </w:rPr>
      </w:pPr>
      <w:bookmarkStart w:id="11" w:name="_Toc14945"/>
      <w:bookmarkStart w:id="12" w:name="_Toc4069"/>
      <w:bookmarkStart w:id="13" w:name="_Toc79395437"/>
      <w:bookmarkStart w:id="14" w:name="_Toc10729"/>
      <w:r>
        <w:rPr>
          <w:rFonts w:hint="eastAsia" w:ascii="宋体" w:hAnsi="宋体" w:eastAsia="宋体" w:cs="宋体"/>
          <w:b/>
          <w:bCs/>
          <w:color w:val="auto"/>
          <w:sz w:val="22"/>
          <w:szCs w:val="22"/>
        </w:rPr>
        <w:t>一、</w:t>
      </w:r>
      <w:r>
        <w:rPr>
          <w:rFonts w:hint="eastAsia" w:ascii="宋体" w:hAnsi="宋体" w:eastAsia="宋体" w:cs="宋体"/>
          <w:b/>
          <w:bCs/>
          <w:color w:val="auto"/>
          <w:spacing w:val="3"/>
          <w:sz w:val="22"/>
          <w:szCs w:val="22"/>
        </w:rPr>
        <w:t>项目背景及意义</w:t>
      </w:r>
    </w:p>
    <w:p>
      <w:pPr>
        <w:pStyle w:val="34"/>
        <w:shd w:val="clear" w:color="auto" w:fill="auto"/>
        <w:spacing w:before="0" w:beforeAutospacing="0" w:after="0" w:afterAutospacing="0" w:line="360" w:lineRule="auto"/>
        <w:ind w:firstLine="440" w:firstLineChars="200"/>
        <w:jc w:val="both"/>
        <w:outlineLvl w:val="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eastAsia="zh-CN"/>
        </w:rPr>
        <w:t>按照《自然资源部办公厅关于开展我国特大城市地面沉降风险评估与区划工作的通知》（自然资办函</w:t>
      </w:r>
      <w:r>
        <w:rPr>
          <w:rFonts w:hint="eastAsia" w:ascii="宋体" w:hAnsi="宋体" w:eastAsia="宋体" w:cs="宋体"/>
          <w:b w:val="0"/>
          <w:bCs/>
          <w:color w:val="auto"/>
          <w:sz w:val="22"/>
          <w:szCs w:val="22"/>
          <w:lang w:val="en-US" w:eastAsia="zh-CN"/>
        </w:rPr>
        <w:t>〔2021〕2054号</w:t>
      </w:r>
      <w:r>
        <w:rPr>
          <w:rFonts w:hint="eastAsia" w:ascii="宋体" w:hAnsi="宋体" w:eastAsia="宋体" w:cs="宋体"/>
          <w:b w:val="0"/>
          <w:bCs/>
          <w:color w:val="auto"/>
          <w:sz w:val="22"/>
          <w:szCs w:val="22"/>
          <w:lang w:eastAsia="zh-CN"/>
        </w:rPr>
        <w:t>）、《浙江省地质灾害应急与防治工作联席会议灾害防治办公室关于印发浙江省地面沉降风险区划与管控方案（</w:t>
      </w:r>
      <w:r>
        <w:rPr>
          <w:rFonts w:hint="eastAsia" w:ascii="宋体" w:hAnsi="宋体" w:eastAsia="宋体" w:cs="宋体"/>
          <w:b w:val="0"/>
          <w:bCs/>
          <w:color w:val="auto"/>
          <w:sz w:val="22"/>
          <w:szCs w:val="22"/>
          <w:lang w:val="en-US" w:eastAsia="zh-CN"/>
        </w:rPr>
        <w:t>2021-2025年</w:t>
      </w:r>
      <w:r>
        <w:rPr>
          <w:rFonts w:hint="eastAsia" w:ascii="宋体" w:hAnsi="宋体" w:eastAsia="宋体" w:cs="宋体"/>
          <w:b w:val="0"/>
          <w:bCs/>
          <w:color w:val="auto"/>
          <w:sz w:val="22"/>
          <w:szCs w:val="22"/>
          <w:lang w:eastAsia="zh-CN"/>
        </w:rPr>
        <w:t>）的通知》（浙地灾防联办</w:t>
      </w:r>
      <w:r>
        <w:rPr>
          <w:rFonts w:hint="eastAsia" w:ascii="宋体" w:hAnsi="宋体" w:eastAsia="宋体" w:cs="宋体"/>
          <w:b w:val="0"/>
          <w:bCs/>
          <w:color w:val="auto"/>
          <w:sz w:val="22"/>
          <w:szCs w:val="22"/>
          <w:lang w:val="en-US" w:eastAsia="zh-CN"/>
        </w:rPr>
        <w:t>〔2021〕2号</w:t>
      </w:r>
      <w:r>
        <w:rPr>
          <w:rFonts w:hint="eastAsia" w:ascii="宋体" w:hAnsi="宋体" w:eastAsia="宋体" w:cs="宋体"/>
          <w:b w:val="0"/>
          <w:bCs/>
          <w:color w:val="auto"/>
          <w:sz w:val="22"/>
          <w:szCs w:val="22"/>
          <w:lang w:eastAsia="zh-CN"/>
        </w:rPr>
        <w:t>）、《浙江省自然资源厅关于开展城市地面沉降风险评估和区划工作的通知》（浙自然资厅函</w:t>
      </w:r>
      <w:r>
        <w:rPr>
          <w:rFonts w:hint="eastAsia" w:ascii="宋体" w:hAnsi="宋体" w:eastAsia="宋体" w:cs="宋体"/>
          <w:b w:val="0"/>
          <w:bCs/>
          <w:color w:val="auto"/>
          <w:sz w:val="22"/>
          <w:szCs w:val="22"/>
          <w:lang w:val="en-US" w:eastAsia="zh-CN"/>
        </w:rPr>
        <w:t>〔2021〕990号</w:t>
      </w:r>
      <w:r>
        <w:rPr>
          <w:rFonts w:hint="eastAsia" w:ascii="宋体" w:hAnsi="宋体" w:eastAsia="宋体" w:cs="宋体"/>
          <w:b w:val="0"/>
          <w:bCs/>
          <w:color w:val="auto"/>
          <w:sz w:val="22"/>
          <w:szCs w:val="22"/>
          <w:lang w:eastAsia="zh-CN"/>
        </w:rPr>
        <w:t>）文件要求，需开展宁波市地面沉降风险评估和区划工作，进一步加强地面沉降风险管控，健全地面沉降防控长效机制，为开展地质灾害风险防控工作提供依据。</w:t>
      </w:r>
    </w:p>
    <w:p>
      <w:pPr>
        <w:pStyle w:val="34"/>
        <w:shd w:val="clear" w:color="auto" w:fill="auto"/>
        <w:spacing w:before="0" w:beforeAutospacing="0" w:after="0" w:afterAutospacing="0" w:line="360" w:lineRule="auto"/>
        <w:ind w:firstLine="442" w:firstLineChars="200"/>
        <w:jc w:val="both"/>
        <w:outlineLvl w:val="0"/>
        <w:rPr>
          <w:rFonts w:hint="eastAsia" w:ascii="宋体" w:hAnsi="宋体" w:eastAsia="宋体" w:cs="宋体"/>
          <w:b/>
          <w:color w:val="auto"/>
          <w:sz w:val="22"/>
          <w:szCs w:val="22"/>
          <w:lang w:eastAsia="zh-CN"/>
        </w:rPr>
      </w:pPr>
      <w:r>
        <w:rPr>
          <w:rFonts w:hint="eastAsia" w:ascii="宋体" w:hAnsi="宋体" w:eastAsia="宋体" w:cs="宋体"/>
          <w:b/>
          <w:color w:val="auto"/>
          <w:sz w:val="22"/>
          <w:szCs w:val="22"/>
        </w:rPr>
        <w:t>二、项目范围及</w:t>
      </w:r>
      <w:r>
        <w:rPr>
          <w:rFonts w:hint="eastAsia" w:ascii="宋体" w:hAnsi="宋体" w:eastAsia="宋体" w:cs="宋体"/>
          <w:b/>
          <w:color w:val="auto"/>
          <w:sz w:val="22"/>
          <w:szCs w:val="22"/>
          <w:lang w:eastAsia="zh-CN"/>
        </w:rPr>
        <w:t>实施时间</w:t>
      </w:r>
    </w:p>
    <w:p>
      <w:pPr>
        <w:shd w:val="clear" w:color="auto" w:fill="auto"/>
        <w:spacing w:after="0" w:line="360" w:lineRule="auto"/>
        <w:ind w:firstLine="452" w:firstLineChars="200"/>
        <w:rPr>
          <w:rFonts w:hint="eastAsia" w:ascii="宋体" w:hAnsi="宋体" w:eastAsia="宋体" w:cs="宋体"/>
          <w:color w:val="auto"/>
          <w:spacing w:val="3"/>
          <w:sz w:val="22"/>
          <w:szCs w:val="22"/>
        </w:rPr>
      </w:pPr>
      <w:r>
        <w:rPr>
          <w:rFonts w:hint="eastAsia" w:ascii="宋体" w:hAnsi="宋体" w:eastAsia="宋体" w:cs="宋体"/>
          <w:color w:val="auto"/>
          <w:spacing w:val="3"/>
          <w:sz w:val="22"/>
          <w:szCs w:val="22"/>
          <w:lang w:val="en-US" w:eastAsia="zh-CN"/>
        </w:rPr>
        <w:t>1.</w:t>
      </w:r>
      <w:r>
        <w:rPr>
          <w:rFonts w:hint="eastAsia" w:ascii="宋体" w:hAnsi="宋体" w:eastAsia="宋体" w:cs="宋体"/>
          <w:color w:val="auto"/>
          <w:spacing w:val="3"/>
          <w:sz w:val="22"/>
          <w:szCs w:val="22"/>
        </w:rPr>
        <w:t>项目范围:</w:t>
      </w:r>
      <w:r>
        <w:rPr>
          <w:rFonts w:hint="eastAsia" w:ascii="宋体" w:hAnsi="宋体" w:eastAsia="宋体" w:cs="宋体"/>
          <w:color w:val="auto"/>
          <w:spacing w:val="3"/>
          <w:sz w:val="22"/>
          <w:szCs w:val="22"/>
          <w:lang w:val="en-US" w:eastAsia="zh-CN"/>
        </w:rPr>
        <w:t>宁波市</w:t>
      </w:r>
      <w:r>
        <w:rPr>
          <w:rFonts w:hint="eastAsia" w:ascii="宋体" w:hAnsi="宋体" w:eastAsia="宋体" w:cs="宋体"/>
          <w:color w:val="auto"/>
          <w:spacing w:val="3"/>
          <w:sz w:val="22"/>
          <w:szCs w:val="22"/>
        </w:rPr>
        <w:t>。</w:t>
      </w:r>
    </w:p>
    <w:p>
      <w:pPr>
        <w:shd w:val="clear" w:color="auto" w:fill="auto"/>
        <w:spacing w:after="0" w:line="360" w:lineRule="auto"/>
        <w:ind w:firstLine="452" w:firstLineChars="200"/>
        <w:rPr>
          <w:rFonts w:hint="eastAsia" w:ascii="宋体" w:hAnsi="宋体" w:eastAsia="宋体" w:cs="宋体"/>
          <w:color w:val="auto"/>
          <w:spacing w:val="3"/>
          <w:sz w:val="22"/>
          <w:szCs w:val="22"/>
        </w:rPr>
      </w:pPr>
      <w:r>
        <w:rPr>
          <w:rFonts w:hint="eastAsia" w:ascii="宋体" w:hAnsi="宋体" w:eastAsia="宋体" w:cs="宋体"/>
          <w:color w:val="auto"/>
          <w:spacing w:val="3"/>
          <w:sz w:val="22"/>
          <w:szCs w:val="22"/>
          <w:lang w:val="en-US" w:eastAsia="zh-CN"/>
        </w:rPr>
        <w:t>2.</w:t>
      </w:r>
      <w:r>
        <w:rPr>
          <w:rFonts w:hint="eastAsia" w:ascii="宋体" w:hAnsi="宋体" w:eastAsia="宋体" w:cs="宋体"/>
          <w:color w:val="auto"/>
          <w:spacing w:val="3"/>
          <w:sz w:val="22"/>
          <w:szCs w:val="22"/>
          <w:lang w:eastAsia="zh-CN"/>
        </w:rPr>
        <w:t>实施时间</w:t>
      </w:r>
      <w:r>
        <w:rPr>
          <w:rFonts w:hint="eastAsia" w:ascii="宋体" w:hAnsi="宋体" w:eastAsia="宋体" w:cs="宋体"/>
          <w:color w:val="auto"/>
          <w:spacing w:val="3"/>
          <w:sz w:val="22"/>
          <w:szCs w:val="22"/>
        </w:rPr>
        <w:t>：合同签订后至2022年</w:t>
      </w:r>
      <w:r>
        <w:rPr>
          <w:rFonts w:hint="eastAsia" w:ascii="宋体" w:hAnsi="宋体" w:cs="宋体"/>
          <w:color w:val="auto"/>
          <w:spacing w:val="3"/>
          <w:sz w:val="22"/>
          <w:szCs w:val="22"/>
          <w:lang w:val="en-US" w:eastAsia="zh-CN"/>
        </w:rPr>
        <w:t>11</w:t>
      </w:r>
      <w:r>
        <w:rPr>
          <w:rFonts w:hint="eastAsia" w:ascii="宋体" w:hAnsi="宋体" w:eastAsia="宋体" w:cs="宋体"/>
          <w:color w:val="auto"/>
          <w:spacing w:val="3"/>
          <w:sz w:val="22"/>
          <w:szCs w:val="22"/>
        </w:rPr>
        <w:t>月底前提交最终项目成果</w:t>
      </w:r>
    </w:p>
    <w:p>
      <w:pPr>
        <w:pStyle w:val="34"/>
        <w:shd w:val="clear" w:color="auto" w:fill="auto"/>
        <w:spacing w:before="0" w:beforeAutospacing="0" w:after="0" w:afterAutospacing="0" w:line="360" w:lineRule="auto"/>
        <w:ind w:firstLine="442" w:firstLineChars="200"/>
        <w:jc w:val="both"/>
        <w:outlineLvl w:val="0"/>
        <w:rPr>
          <w:rFonts w:hint="eastAsia" w:ascii="宋体" w:hAnsi="宋体" w:eastAsia="宋体" w:cs="宋体"/>
          <w:b/>
          <w:color w:val="auto"/>
          <w:sz w:val="22"/>
          <w:szCs w:val="22"/>
        </w:rPr>
      </w:pPr>
      <w:r>
        <w:rPr>
          <w:rFonts w:hint="eastAsia" w:ascii="宋体" w:hAnsi="宋体" w:eastAsia="宋体" w:cs="宋体"/>
          <w:b/>
          <w:bCs/>
          <w:color w:val="auto"/>
          <w:sz w:val="22"/>
          <w:szCs w:val="22"/>
        </w:rPr>
        <w:t>三、</w:t>
      </w:r>
      <w:r>
        <w:rPr>
          <w:rFonts w:hint="eastAsia" w:ascii="宋体" w:hAnsi="宋体" w:eastAsia="宋体" w:cs="宋体"/>
          <w:b/>
          <w:color w:val="auto"/>
          <w:sz w:val="22"/>
          <w:szCs w:val="22"/>
        </w:rPr>
        <w:t>项目主要内容：</w:t>
      </w:r>
    </w:p>
    <w:p>
      <w:pPr>
        <w:pStyle w:val="34"/>
        <w:shd w:val="clear" w:color="auto" w:fill="auto"/>
        <w:spacing w:before="0" w:beforeAutospacing="0" w:after="0" w:afterAutospacing="0" w:line="360" w:lineRule="auto"/>
        <w:ind w:firstLine="440" w:firstLineChars="200"/>
        <w:jc w:val="both"/>
        <w:outlineLvl w:val="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1、以宁波城市主城区为重点，收集整理区域地面沉降相关资料，开展地面沉降危险性</w:t>
      </w:r>
      <w:r>
        <w:rPr>
          <w:rFonts w:hint="eastAsia" w:ascii="宋体" w:hAnsi="宋体" w:eastAsia="宋体" w:cs="宋体"/>
          <w:b w:val="0"/>
          <w:bCs/>
          <w:color w:val="auto"/>
          <w:sz w:val="22"/>
          <w:szCs w:val="22"/>
          <w:lang w:eastAsia="zh-CN"/>
        </w:rPr>
        <w:t>、</w:t>
      </w:r>
      <w:r>
        <w:rPr>
          <w:rFonts w:hint="eastAsia" w:ascii="宋体" w:hAnsi="宋体" w:eastAsia="宋体" w:cs="宋体"/>
          <w:b w:val="0"/>
          <w:bCs/>
          <w:color w:val="auto"/>
          <w:sz w:val="22"/>
          <w:szCs w:val="22"/>
        </w:rPr>
        <w:t>易损性研究评价。</w:t>
      </w:r>
    </w:p>
    <w:p>
      <w:pPr>
        <w:pStyle w:val="34"/>
        <w:shd w:val="clear" w:color="auto" w:fill="auto"/>
        <w:spacing w:before="0" w:beforeAutospacing="0" w:after="0" w:afterAutospacing="0" w:line="360" w:lineRule="auto"/>
        <w:ind w:firstLine="440" w:firstLineChars="200"/>
        <w:jc w:val="both"/>
        <w:outlineLvl w:val="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2</w:t>
      </w:r>
      <w:r>
        <w:rPr>
          <w:rFonts w:hint="eastAsia" w:ascii="宋体" w:hAnsi="宋体" w:eastAsia="宋体" w:cs="宋体"/>
          <w:b w:val="0"/>
          <w:bCs/>
          <w:color w:val="auto"/>
          <w:sz w:val="22"/>
          <w:szCs w:val="22"/>
        </w:rPr>
        <w:t>、根据危险性以及易损性研究成果，开展地面沉降风险评估与区划，</w:t>
      </w:r>
      <w:r>
        <w:rPr>
          <w:rFonts w:hint="eastAsia" w:ascii="宋体" w:hAnsi="宋体" w:eastAsia="宋体" w:cs="宋体"/>
          <w:b w:val="0"/>
          <w:bCs/>
          <w:color w:val="auto"/>
          <w:sz w:val="22"/>
          <w:szCs w:val="22"/>
          <w:lang w:eastAsia="zh-CN"/>
        </w:rPr>
        <w:t>并</w:t>
      </w:r>
      <w:r>
        <w:rPr>
          <w:rFonts w:hint="eastAsia" w:ascii="宋体" w:hAnsi="宋体" w:eastAsia="宋体" w:cs="宋体"/>
          <w:b w:val="0"/>
          <w:bCs/>
          <w:color w:val="auto"/>
          <w:sz w:val="22"/>
          <w:szCs w:val="22"/>
        </w:rPr>
        <w:t>提出防治建议。</w:t>
      </w:r>
    </w:p>
    <w:p>
      <w:pPr>
        <w:pStyle w:val="34"/>
        <w:shd w:val="clear" w:color="auto" w:fill="auto"/>
        <w:spacing w:before="0" w:beforeAutospacing="0" w:after="0" w:afterAutospacing="0" w:line="360" w:lineRule="auto"/>
        <w:ind w:firstLine="440" w:firstLineChars="200"/>
        <w:jc w:val="both"/>
        <w:outlineLvl w:val="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3、编制宁波主城区（海曙、江北、鄞州）地面沉降风险评估与区划报告和地面沉降地质灾害危险性分区评估成果更新报告。</w:t>
      </w:r>
    </w:p>
    <w:p>
      <w:pPr>
        <w:spacing w:line="360" w:lineRule="auto"/>
        <w:ind w:firstLine="440" w:firstLineChars="200"/>
        <w:outlineLvl w:val="0"/>
        <w:rPr>
          <w:rFonts w:hint="eastAsia" w:ascii="宋体" w:hAnsi="宋体" w:eastAsia="宋体" w:cs="宋体"/>
          <w:color w:val="auto"/>
          <w:spacing w:val="3"/>
          <w:sz w:val="22"/>
          <w:szCs w:val="22"/>
          <w:lang w:val="en-US" w:eastAsia="zh-CN" w:bidi="ar-SA"/>
        </w:rPr>
      </w:pPr>
      <w:r>
        <w:rPr>
          <w:rFonts w:hint="eastAsia" w:ascii="宋体" w:hAnsi="宋体" w:eastAsia="宋体" w:cs="宋体"/>
          <w:b w:val="0"/>
          <w:bCs/>
          <w:color w:val="auto"/>
          <w:sz w:val="22"/>
          <w:szCs w:val="22"/>
          <w:lang w:val="en-US" w:eastAsia="zh-CN"/>
        </w:rPr>
        <w:t>4</w:t>
      </w:r>
      <w:r>
        <w:rPr>
          <w:rFonts w:hint="eastAsia" w:ascii="宋体" w:hAnsi="宋体" w:eastAsia="宋体" w:cs="宋体"/>
          <w:b w:val="0"/>
          <w:bCs/>
          <w:color w:val="auto"/>
          <w:sz w:val="22"/>
          <w:szCs w:val="22"/>
        </w:rPr>
        <w:t>、</w:t>
      </w:r>
      <w:r>
        <w:rPr>
          <w:rFonts w:hint="eastAsia" w:ascii="宋体" w:hAnsi="宋体" w:eastAsia="宋体" w:cs="宋体"/>
          <w:b w:val="0"/>
          <w:bCs/>
          <w:color w:val="auto"/>
          <w:sz w:val="22"/>
          <w:szCs w:val="22"/>
          <w:lang w:eastAsia="zh-CN"/>
        </w:rPr>
        <w:t>项目成果</w:t>
      </w:r>
      <w:r>
        <w:rPr>
          <w:rFonts w:hint="eastAsia" w:ascii="宋体" w:hAnsi="宋体" w:eastAsia="宋体" w:cs="宋体"/>
          <w:b w:val="0"/>
          <w:bCs/>
          <w:color w:val="auto"/>
          <w:sz w:val="22"/>
          <w:szCs w:val="22"/>
        </w:rPr>
        <w:t>评审，</w:t>
      </w:r>
      <w:r>
        <w:rPr>
          <w:rFonts w:hint="eastAsia" w:ascii="宋体" w:hAnsi="宋体" w:eastAsia="宋体" w:cs="宋体"/>
          <w:b w:val="0"/>
          <w:bCs/>
          <w:color w:val="auto"/>
          <w:sz w:val="22"/>
          <w:szCs w:val="22"/>
          <w:lang w:eastAsia="zh-CN"/>
        </w:rPr>
        <w:t>成果</w:t>
      </w:r>
      <w:r>
        <w:rPr>
          <w:rFonts w:hint="eastAsia" w:ascii="宋体" w:hAnsi="宋体" w:eastAsia="宋体" w:cs="宋体"/>
          <w:b w:val="0"/>
          <w:bCs/>
          <w:color w:val="auto"/>
          <w:sz w:val="22"/>
          <w:szCs w:val="22"/>
        </w:rPr>
        <w:t>报告</w:t>
      </w:r>
      <w:r>
        <w:rPr>
          <w:rFonts w:hint="eastAsia" w:ascii="宋体" w:hAnsi="宋体" w:eastAsia="宋体" w:cs="宋体"/>
          <w:b w:val="0"/>
          <w:bCs/>
          <w:color w:val="auto"/>
          <w:sz w:val="22"/>
          <w:szCs w:val="22"/>
          <w:lang w:eastAsia="zh-CN"/>
        </w:rPr>
        <w:t>、图册印刷等</w:t>
      </w:r>
      <w:r>
        <w:rPr>
          <w:rFonts w:hint="eastAsia" w:ascii="宋体" w:hAnsi="宋体" w:eastAsia="宋体" w:cs="宋体"/>
          <w:b w:val="0"/>
          <w:bCs/>
          <w:color w:val="auto"/>
          <w:sz w:val="22"/>
          <w:szCs w:val="22"/>
        </w:rPr>
        <w:t>。</w:t>
      </w:r>
    </w:p>
    <w:p>
      <w:pPr>
        <w:spacing w:line="360" w:lineRule="auto"/>
        <w:ind w:firstLine="442" w:firstLineChars="200"/>
        <w:outlineLvl w:val="0"/>
        <w:rPr>
          <w:rFonts w:hint="eastAsia" w:ascii="宋体" w:hAnsi="宋体" w:eastAsia="宋体" w:cs="宋体"/>
          <w:b/>
          <w:color w:val="auto"/>
          <w:sz w:val="22"/>
          <w:szCs w:val="22"/>
        </w:rPr>
      </w:pPr>
      <w:r>
        <w:rPr>
          <w:rFonts w:hint="eastAsia" w:ascii="宋体" w:hAnsi="宋体" w:cs="宋体"/>
          <w:b/>
          <w:color w:val="auto"/>
          <w:sz w:val="22"/>
          <w:szCs w:val="22"/>
          <w:lang w:val="en-US" w:eastAsia="zh-CN"/>
        </w:rPr>
        <w:t>四</w:t>
      </w:r>
      <w:r>
        <w:rPr>
          <w:rFonts w:hint="eastAsia" w:ascii="宋体" w:hAnsi="宋体" w:eastAsia="宋体" w:cs="宋体"/>
          <w:b/>
          <w:color w:val="auto"/>
          <w:sz w:val="22"/>
          <w:szCs w:val="22"/>
        </w:rPr>
        <w:t>、项目质量要求</w:t>
      </w:r>
    </w:p>
    <w:p>
      <w:pPr>
        <w:pStyle w:val="34"/>
        <w:shd w:val="clear" w:color="auto" w:fill="auto"/>
        <w:spacing w:before="0" w:beforeAutospacing="0" w:after="0" w:afterAutospacing="0" w:line="360" w:lineRule="auto"/>
        <w:ind w:firstLine="440" w:firstLineChars="200"/>
        <w:jc w:val="both"/>
        <w:outlineLvl w:val="0"/>
        <w:rPr>
          <w:rFonts w:hint="eastAsia" w:ascii="宋体" w:hAnsi="宋体" w:eastAsia="宋体" w:cs="宋体"/>
          <w:color w:val="auto"/>
          <w:spacing w:val="3"/>
          <w:sz w:val="22"/>
          <w:szCs w:val="22"/>
          <w:lang w:eastAsia="zh-CN"/>
        </w:rPr>
      </w:pPr>
      <w:r>
        <w:rPr>
          <w:rFonts w:hint="eastAsia" w:ascii="宋体" w:hAnsi="宋体" w:eastAsia="宋体" w:cs="宋体"/>
          <w:b w:val="0"/>
          <w:bCs/>
          <w:color w:val="auto"/>
          <w:sz w:val="22"/>
          <w:szCs w:val="22"/>
        </w:rPr>
        <w:t>满足《特大城市地面沉降风险评估与区划技术要求（试行）》的相关要求</w:t>
      </w:r>
      <w:r>
        <w:rPr>
          <w:rFonts w:hint="eastAsia" w:ascii="宋体" w:hAnsi="宋体" w:eastAsia="宋体" w:cs="宋体"/>
          <w:b w:val="0"/>
          <w:bCs/>
          <w:color w:val="auto"/>
          <w:sz w:val="22"/>
          <w:szCs w:val="22"/>
          <w:lang w:eastAsia="zh-CN"/>
        </w:rPr>
        <w:t>。</w:t>
      </w:r>
    </w:p>
    <w:p>
      <w:pPr>
        <w:pStyle w:val="34"/>
        <w:shd w:val="clear" w:color="auto" w:fill="auto"/>
        <w:spacing w:before="0" w:beforeAutospacing="0" w:after="0" w:afterAutospacing="0" w:line="360" w:lineRule="auto"/>
        <w:ind w:firstLine="442" w:firstLineChars="200"/>
        <w:jc w:val="both"/>
        <w:outlineLvl w:val="0"/>
        <w:rPr>
          <w:rFonts w:hint="eastAsia" w:ascii="宋体" w:hAnsi="宋体" w:eastAsia="宋体" w:cs="宋体"/>
          <w:b/>
          <w:color w:val="auto"/>
          <w:sz w:val="22"/>
          <w:szCs w:val="22"/>
        </w:rPr>
      </w:pPr>
      <w:r>
        <w:rPr>
          <w:rFonts w:hint="eastAsia" w:ascii="宋体" w:hAnsi="宋体" w:cs="宋体"/>
          <w:b/>
          <w:bCs/>
          <w:color w:val="auto"/>
          <w:sz w:val="22"/>
          <w:szCs w:val="22"/>
          <w:lang w:val="en-US" w:eastAsia="zh-CN"/>
        </w:rPr>
        <w:t>五</w:t>
      </w:r>
      <w:r>
        <w:rPr>
          <w:rFonts w:hint="eastAsia" w:ascii="宋体" w:hAnsi="宋体" w:eastAsia="宋体" w:cs="宋体"/>
          <w:b/>
          <w:bCs/>
          <w:color w:val="auto"/>
          <w:sz w:val="22"/>
          <w:szCs w:val="22"/>
        </w:rPr>
        <w:t>、</w:t>
      </w:r>
      <w:r>
        <w:rPr>
          <w:rFonts w:hint="eastAsia" w:ascii="宋体" w:hAnsi="宋体" w:eastAsia="宋体" w:cs="宋体"/>
          <w:b/>
          <w:color w:val="auto"/>
          <w:sz w:val="22"/>
          <w:szCs w:val="22"/>
        </w:rPr>
        <w:t>项目成果</w:t>
      </w:r>
    </w:p>
    <w:p>
      <w:pPr>
        <w:spacing w:line="360" w:lineRule="auto"/>
        <w:ind w:firstLine="440" w:firstLineChars="200"/>
        <w:outlineLvl w:val="0"/>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1、宁波主城区（海曙、江北、鄞州）地面沉降风险评估与区划报告。</w:t>
      </w:r>
    </w:p>
    <w:p>
      <w:pPr>
        <w:spacing w:line="360" w:lineRule="auto"/>
        <w:ind w:firstLine="440" w:firstLineChars="200"/>
        <w:outlineLvl w:val="0"/>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    2、各评价因子图件以及危险性、易损性和风险评估与区划图件。</w:t>
      </w:r>
    </w:p>
    <w:p>
      <w:pPr>
        <w:spacing w:line="360" w:lineRule="auto"/>
        <w:ind w:firstLine="440" w:firstLineChars="200"/>
        <w:outlineLvl w:val="0"/>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    3、宁波主城区（海曙、江北、鄞州）地面沉降地质灾害危险性分区评估成果更新报告。</w:t>
      </w:r>
    </w:p>
    <w:p>
      <w:pPr>
        <w:spacing w:line="360" w:lineRule="auto"/>
        <w:ind w:firstLine="442" w:firstLineChars="200"/>
        <w:outlineLvl w:val="0"/>
        <w:rPr>
          <w:rFonts w:hint="eastAsia" w:ascii="宋体" w:hAnsi="宋体" w:eastAsia="宋体" w:cs="宋体"/>
          <w:b/>
          <w:color w:val="auto"/>
          <w:sz w:val="22"/>
          <w:szCs w:val="22"/>
        </w:rPr>
      </w:pPr>
      <w:r>
        <w:rPr>
          <w:rFonts w:hint="eastAsia" w:ascii="宋体" w:hAnsi="宋体" w:cs="宋体"/>
          <w:b/>
          <w:color w:val="auto"/>
          <w:sz w:val="22"/>
          <w:szCs w:val="22"/>
          <w:lang w:val="en-US" w:eastAsia="zh-CN"/>
        </w:rPr>
        <w:t>六</w:t>
      </w:r>
      <w:r>
        <w:rPr>
          <w:rFonts w:hint="eastAsia" w:ascii="宋体" w:hAnsi="宋体" w:eastAsia="宋体" w:cs="宋体"/>
          <w:b/>
          <w:color w:val="auto"/>
          <w:sz w:val="22"/>
          <w:szCs w:val="22"/>
        </w:rPr>
        <w:t>、付款方式</w:t>
      </w:r>
    </w:p>
    <w:p>
      <w:pPr>
        <w:spacing w:line="360" w:lineRule="auto"/>
        <w:ind w:firstLine="452" w:firstLineChars="200"/>
        <w:outlineLvl w:val="0"/>
        <w:rPr>
          <w:rFonts w:hint="eastAsia" w:ascii="宋体" w:hAnsi="宋体" w:eastAsia="宋体" w:cs="宋体"/>
          <w:color w:val="auto"/>
          <w:spacing w:val="3"/>
          <w:sz w:val="22"/>
          <w:szCs w:val="22"/>
          <w:lang w:val="en-US" w:eastAsia="zh-CN"/>
        </w:rPr>
      </w:pPr>
      <w:r>
        <w:rPr>
          <w:rFonts w:hint="eastAsia" w:ascii="宋体" w:hAnsi="宋体" w:eastAsia="宋体" w:cs="宋体"/>
          <w:color w:val="auto"/>
          <w:spacing w:val="3"/>
          <w:sz w:val="22"/>
          <w:szCs w:val="22"/>
          <w:lang w:val="en-US" w:eastAsia="zh-CN"/>
        </w:rPr>
        <w:t>合同签署后7个工作日内，采购人向成交供应商支付合同总价的40%作为项目</w:t>
      </w:r>
      <w:r>
        <w:rPr>
          <w:rFonts w:hint="eastAsia" w:ascii="宋体" w:hAnsi="宋体" w:cs="宋体"/>
          <w:color w:val="auto"/>
          <w:spacing w:val="3"/>
          <w:sz w:val="22"/>
          <w:szCs w:val="22"/>
          <w:lang w:val="en-US" w:eastAsia="zh-CN"/>
        </w:rPr>
        <w:t>预付款</w:t>
      </w:r>
      <w:r>
        <w:rPr>
          <w:rFonts w:hint="eastAsia" w:ascii="宋体" w:hAnsi="宋体" w:eastAsia="宋体" w:cs="宋体"/>
          <w:color w:val="auto"/>
          <w:spacing w:val="3"/>
          <w:sz w:val="22"/>
          <w:szCs w:val="22"/>
          <w:lang w:val="en-US" w:eastAsia="zh-CN"/>
        </w:rPr>
        <w:t>；项目通过评审并提交最终成果报告后15天内，采购人向成交供应商支付剩余的合同款。在合同签订时，成交供应商</w:t>
      </w:r>
      <w:r>
        <w:rPr>
          <w:rFonts w:hint="eastAsia" w:ascii="宋体" w:hAnsi="宋体" w:cs="宋体"/>
          <w:color w:val="auto"/>
          <w:spacing w:val="3"/>
          <w:sz w:val="22"/>
          <w:szCs w:val="22"/>
          <w:lang w:val="en-US" w:eastAsia="zh-CN"/>
        </w:rPr>
        <w:t>如</w:t>
      </w:r>
      <w:r>
        <w:rPr>
          <w:rFonts w:hint="eastAsia" w:ascii="宋体" w:hAnsi="宋体" w:eastAsia="宋体" w:cs="宋体"/>
          <w:color w:val="auto"/>
          <w:spacing w:val="3"/>
          <w:sz w:val="22"/>
          <w:szCs w:val="22"/>
          <w:lang w:val="en-US" w:eastAsia="zh-CN"/>
        </w:rPr>
        <w:t>明确表示无需预付款的，可按合同实际约定方式支付。</w:t>
      </w:r>
    </w:p>
    <w:p>
      <w:pPr>
        <w:spacing w:line="360" w:lineRule="auto"/>
        <w:ind w:firstLine="452" w:firstLineChars="200"/>
        <w:outlineLvl w:val="0"/>
        <w:rPr>
          <w:rFonts w:hint="eastAsia" w:ascii="宋体" w:hAnsi="宋体" w:eastAsia="宋体" w:cs="宋体"/>
          <w:color w:val="auto"/>
          <w:spacing w:val="3"/>
          <w:sz w:val="22"/>
          <w:szCs w:val="22"/>
          <w:lang w:val="en-US" w:eastAsia="zh-CN"/>
        </w:rPr>
      </w:pPr>
    </w:p>
    <w:p>
      <w:pPr>
        <w:pStyle w:val="135"/>
        <w:spacing w:line="360" w:lineRule="auto"/>
        <w:ind w:left="0" w:firstLine="0"/>
        <w:jc w:val="center"/>
        <w:outlineLvl w:val="0"/>
        <w:rPr>
          <w:b/>
          <w:bCs/>
          <w:color w:val="auto"/>
          <w:sz w:val="30"/>
          <w:szCs w:val="30"/>
        </w:rPr>
      </w:pPr>
      <w:r>
        <w:rPr>
          <w:rFonts w:hint="eastAsia" w:ascii="宋体" w:hAnsi="宋体" w:cs="宋体"/>
          <w:color w:val="auto"/>
          <w:kern w:val="0"/>
          <w:sz w:val="24"/>
          <w:szCs w:val="24"/>
        </w:rPr>
        <w:br w:type="page"/>
      </w:r>
      <w:r>
        <w:rPr>
          <w:rFonts w:hint="eastAsia" w:ascii="宋体" w:hAnsi="宋体" w:cs="宋体"/>
          <w:b/>
          <w:bCs/>
          <w:color w:val="auto"/>
          <w:kern w:val="0"/>
          <w:sz w:val="30"/>
          <w:szCs w:val="30"/>
        </w:rPr>
        <w:t xml:space="preserve">第三章 </w:t>
      </w:r>
      <w:r>
        <w:rPr>
          <w:b/>
          <w:bCs/>
          <w:color w:val="auto"/>
          <w:sz w:val="30"/>
          <w:szCs w:val="30"/>
        </w:rPr>
        <w:t>投标人须知</w:t>
      </w:r>
      <w:bookmarkEnd w:id="11"/>
      <w:bookmarkEnd w:id="12"/>
      <w:bookmarkEnd w:id="13"/>
      <w:bookmarkEnd w:id="14"/>
    </w:p>
    <w:p>
      <w:pPr>
        <w:pStyle w:val="135"/>
        <w:spacing w:line="360" w:lineRule="auto"/>
        <w:ind w:left="0" w:firstLine="0"/>
        <w:jc w:val="center"/>
        <w:outlineLvl w:val="1"/>
        <w:rPr>
          <w:b/>
          <w:bCs/>
          <w:color w:val="auto"/>
          <w:sz w:val="28"/>
          <w:szCs w:val="28"/>
        </w:rPr>
      </w:pPr>
      <w:r>
        <w:rPr>
          <w:rFonts w:hint="eastAsia"/>
          <w:b/>
          <w:bCs/>
          <w:color w:val="auto"/>
          <w:sz w:val="28"/>
          <w:szCs w:val="28"/>
        </w:rPr>
        <w:t>前附表</w:t>
      </w:r>
    </w:p>
    <w:tbl>
      <w:tblPr>
        <w:tblStyle w:val="38"/>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0"/>
        <w:gridCol w:w="81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9" w:hRule="atLeast"/>
          <w:tblHeader/>
        </w:trPr>
        <w:tc>
          <w:tcPr>
            <w:tcW w:w="850" w:type="dxa"/>
            <w:vAlign w:val="center"/>
          </w:tcPr>
          <w:p>
            <w:pPr>
              <w:snapToGrid w:val="0"/>
              <w:spacing w:line="400" w:lineRule="exact"/>
              <w:jc w:val="center"/>
              <w:rPr>
                <w:b/>
                <w:color w:val="auto"/>
                <w:szCs w:val="21"/>
              </w:rPr>
            </w:pPr>
            <w:bookmarkStart w:id="15" w:name="_Toc460857895"/>
            <w:bookmarkStart w:id="16" w:name="_Toc460416594"/>
            <w:r>
              <w:rPr>
                <w:b/>
                <w:color w:val="auto"/>
                <w:szCs w:val="21"/>
              </w:rPr>
              <w:t>序</w:t>
            </w:r>
            <w:r>
              <w:rPr>
                <w:rFonts w:hint="eastAsia"/>
                <w:b/>
                <w:color w:val="auto"/>
                <w:szCs w:val="21"/>
              </w:rPr>
              <w:t xml:space="preserve">  </w:t>
            </w:r>
            <w:r>
              <w:rPr>
                <w:b/>
                <w:color w:val="auto"/>
                <w:szCs w:val="21"/>
              </w:rPr>
              <w:t>号</w:t>
            </w:r>
          </w:p>
        </w:tc>
        <w:tc>
          <w:tcPr>
            <w:tcW w:w="8175" w:type="dxa"/>
            <w:vAlign w:val="center"/>
          </w:tcPr>
          <w:p>
            <w:pPr>
              <w:snapToGrid w:val="0"/>
              <w:spacing w:line="400" w:lineRule="exact"/>
              <w:jc w:val="center"/>
              <w:rPr>
                <w:b/>
                <w:color w:val="auto"/>
                <w:szCs w:val="21"/>
              </w:rPr>
            </w:pPr>
            <w:r>
              <w:rPr>
                <w:b/>
                <w:color w:val="auto"/>
                <w:szCs w:val="21"/>
              </w:rPr>
              <w:t>内容、要求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2" w:hRule="atLeast"/>
        </w:trPr>
        <w:tc>
          <w:tcPr>
            <w:tcW w:w="850" w:type="dxa"/>
            <w:vAlign w:val="center"/>
          </w:tcPr>
          <w:p>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8175" w:type="dxa"/>
            <w:vAlign w:val="center"/>
          </w:tcPr>
          <w:p>
            <w:pPr>
              <w:spacing w:line="40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项目名称：</w:t>
            </w:r>
            <w:r>
              <w:rPr>
                <w:rFonts w:hint="eastAsia" w:ascii="宋体" w:hAnsi="宋体" w:cs="宋体"/>
                <w:color w:val="auto"/>
                <w:sz w:val="22"/>
                <w:szCs w:val="22"/>
                <w:lang w:eastAsia="zh-CN"/>
              </w:rPr>
              <w:t>宁波市地面沉降风险评估与区划</w:t>
            </w:r>
          </w:p>
          <w:p>
            <w:pPr>
              <w:pStyle w:val="72"/>
              <w:rPr>
                <w:rFonts w:hint="eastAsia" w:ascii="宋体" w:hAnsi="宋体" w:eastAsia="宋体" w:cs="宋体"/>
                <w:color w:val="auto"/>
                <w:kern w:val="0"/>
                <w:sz w:val="22"/>
                <w:szCs w:val="22"/>
                <w:lang w:eastAsia="zh-CN"/>
              </w:rPr>
            </w:pPr>
            <w:r>
              <w:rPr>
                <w:rFonts w:hint="eastAsia" w:ascii="宋体" w:hAnsi="宋体" w:eastAsia="宋体" w:cs="宋体"/>
                <w:color w:val="auto"/>
                <w:sz w:val="22"/>
                <w:szCs w:val="22"/>
              </w:rPr>
              <w:t>项目编号：</w:t>
            </w:r>
            <w:r>
              <w:rPr>
                <w:rFonts w:hint="eastAsia" w:ascii="宋体" w:hAnsi="宋体" w:cs="宋体"/>
                <w:color w:val="auto"/>
                <w:sz w:val="22"/>
                <w:szCs w:val="22"/>
                <w:lang w:eastAsia="zh-CN"/>
              </w:rPr>
              <w:t>NBZS-202206345G</w:t>
            </w:r>
          </w:p>
          <w:p>
            <w:pPr>
              <w:pStyle w:val="72"/>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采购方式：公开招标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50" w:type="dxa"/>
            <w:vAlign w:val="center"/>
          </w:tcPr>
          <w:p>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8175" w:type="dxa"/>
            <w:vAlign w:val="center"/>
          </w:tcPr>
          <w:p>
            <w:pP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采购人名称：</w:t>
            </w:r>
            <w:r>
              <w:rPr>
                <w:rFonts w:hint="eastAsia" w:ascii="宋体" w:hAnsi="宋体" w:eastAsia="宋体" w:cs="宋体"/>
                <w:color w:val="auto"/>
                <w:sz w:val="22"/>
                <w:szCs w:val="22"/>
                <w:lang w:eastAsia="zh-CN"/>
              </w:rPr>
              <w:t>宁波市自然资源和规划局</w:t>
            </w:r>
          </w:p>
          <w:p>
            <w:pPr>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朱</w:t>
            </w:r>
            <w:r>
              <w:rPr>
                <w:rFonts w:hint="eastAsia" w:ascii="宋体" w:hAnsi="宋体" w:eastAsia="宋体" w:cs="宋体"/>
                <w:color w:val="auto"/>
                <w:sz w:val="22"/>
                <w:szCs w:val="22"/>
              </w:rPr>
              <w:t>老师</w:t>
            </w:r>
          </w:p>
          <w:p>
            <w:pPr>
              <w:rPr>
                <w:rFonts w:hint="eastAsia" w:ascii="宋体" w:hAnsi="宋体" w:eastAsia="宋体" w:cs="宋体"/>
                <w:color w:val="auto"/>
                <w:sz w:val="22"/>
                <w:szCs w:val="22"/>
              </w:rPr>
            </w:pPr>
            <w:r>
              <w:rPr>
                <w:rFonts w:hint="eastAsia" w:ascii="宋体" w:hAnsi="宋体" w:eastAsia="宋体" w:cs="宋体"/>
                <w:color w:val="auto"/>
                <w:sz w:val="22"/>
                <w:szCs w:val="22"/>
              </w:rPr>
              <w:t>项目联系方式：</w:t>
            </w:r>
            <w:r>
              <w:rPr>
                <w:rFonts w:hint="eastAsia" w:ascii="宋体" w:hAnsi="宋体" w:eastAsia="宋体" w:cs="宋体"/>
                <w:color w:val="auto"/>
                <w:sz w:val="22"/>
                <w:szCs w:val="22"/>
                <w:lang w:val="en-US" w:eastAsia="zh-CN"/>
              </w:rPr>
              <w:t>0574-89289917</w:t>
            </w:r>
          </w:p>
          <w:p>
            <w:pPr>
              <w:pStyle w:val="72"/>
              <w:rPr>
                <w:rFonts w:hint="eastAsia" w:ascii="宋体" w:hAnsi="宋体" w:eastAsia="宋体" w:cs="宋体"/>
                <w:color w:val="auto"/>
                <w:sz w:val="22"/>
                <w:szCs w:val="22"/>
              </w:rPr>
            </w:pPr>
          </w:p>
          <w:p>
            <w:pPr>
              <w:rPr>
                <w:rFonts w:hint="eastAsia" w:ascii="宋体" w:hAnsi="宋体" w:eastAsia="宋体" w:cs="宋体"/>
                <w:color w:val="auto"/>
                <w:sz w:val="22"/>
                <w:szCs w:val="22"/>
              </w:rPr>
            </w:pPr>
            <w:r>
              <w:rPr>
                <w:rFonts w:hint="eastAsia" w:ascii="宋体" w:hAnsi="宋体" w:eastAsia="宋体" w:cs="宋体"/>
                <w:color w:val="auto"/>
                <w:sz w:val="22"/>
                <w:szCs w:val="22"/>
              </w:rPr>
              <w:t>招标代理单位：宁波中穗招标有限公司</w:t>
            </w:r>
          </w:p>
          <w:p>
            <w:pPr>
              <w:rPr>
                <w:rFonts w:hint="eastAsia" w:ascii="宋体" w:hAnsi="宋体" w:eastAsia="宋体" w:cs="宋体"/>
                <w:color w:val="auto"/>
                <w:sz w:val="22"/>
                <w:szCs w:val="22"/>
              </w:rPr>
            </w:pPr>
            <w:r>
              <w:rPr>
                <w:rFonts w:hint="eastAsia" w:ascii="宋体" w:hAnsi="宋体" w:eastAsia="宋体" w:cs="宋体"/>
                <w:color w:val="auto"/>
                <w:sz w:val="22"/>
                <w:szCs w:val="22"/>
              </w:rPr>
              <w:t>地址：宁波市翠柏路89号宁波工程学院公共培训平台大楼A座1109室</w:t>
            </w:r>
          </w:p>
          <w:p>
            <w:pPr>
              <w:rPr>
                <w:rFonts w:hint="eastAsia" w:ascii="宋体" w:hAnsi="宋体" w:eastAsia="宋体" w:cs="宋体"/>
                <w:color w:val="auto"/>
                <w:sz w:val="22"/>
                <w:szCs w:val="22"/>
              </w:rPr>
            </w:pPr>
            <w:r>
              <w:rPr>
                <w:rFonts w:hint="eastAsia" w:ascii="宋体" w:hAnsi="宋体" w:eastAsia="宋体" w:cs="宋体"/>
                <w:color w:val="auto"/>
                <w:sz w:val="22"/>
                <w:szCs w:val="22"/>
              </w:rPr>
              <w:t xml:space="preserve">联系人：求华勇 马倩倩 李东港 庞港腾 </w:t>
            </w:r>
          </w:p>
          <w:p>
            <w:pPr>
              <w:rPr>
                <w:rFonts w:hint="eastAsia" w:ascii="宋体" w:hAnsi="宋体" w:eastAsia="宋体" w:cs="宋体"/>
                <w:color w:val="auto"/>
                <w:sz w:val="22"/>
                <w:szCs w:val="22"/>
              </w:rPr>
            </w:pPr>
            <w:r>
              <w:rPr>
                <w:rFonts w:hint="eastAsia" w:ascii="宋体" w:hAnsi="宋体" w:eastAsia="宋体" w:cs="宋体"/>
                <w:color w:val="auto"/>
                <w:sz w:val="22"/>
                <w:szCs w:val="22"/>
              </w:rPr>
              <w:t>联系方式：0574-87400706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70" w:hRule="atLeast"/>
        </w:trPr>
        <w:tc>
          <w:tcPr>
            <w:tcW w:w="850" w:type="dxa"/>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8175" w:type="dxa"/>
            <w:vAlign w:val="center"/>
          </w:tcPr>
          <w:p>
            <w:pPr>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投标报价及费用：</w:t>
            </w:r>
          </w:p>
          <w:p>
            <w:pPr>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1.本项目采购预算/最高限价：人民币</w:t>
            </w:r>
            <w:r>
              <w:rPr>
                <w:rFonts w:hint="eastAsia" w:ascii="宋体" w:hAnsi="宋体" w:cs="宋体"/>
                <w:color w:val="auto"/>
                <w:sz w:val="22"/>
                <w:szCs w:val="22"/>
                <w:lang w:eastAsia="zh-CN"/>
              </w:rPr>
              <w:t>90万</w:t>
            </w:r>
            <w:r>
              <w:rPr>
                <w:rFonts w:hint="eastAsia" w:ascii="宋体" w:hAnsi="宋体" w:eastAsia="宋体" w:cs="宋体"/>
                <w:color w:val="auto"/>
                <w:sz w:val="22"/>
                <w:szCs w:val="22"/>
              </w:rPr>
              <w:t>元，</w:t>
            </w:r>
            <w:r>
              <w:rPr>
                <w:rFonts w:hint="eastAsia" w:ascii="宋体" w:hAnsi="宋体" w:eastAsia="宋体" w:cs="宋体"/>
                <w:b/>
                <w:bCs/>
                <w:color w:val="auto"/>
                <w:sz w:val="22"/>
                <w:szCs w:val="22"/>
              </w:rPr>
              <w:t>投标报价超过预算金额或最高限价的作无效标处理。</w:t>
            </w:r>
          </w:p>
          <w:p>
            <w:pPr>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2.投标报价：报价应是招标文件确定的招标范围内的全部服务内容的价格体现，包含但不限于项目实施全过程的费用、人工费，以及管理费、利润、税金、招标代理服务费等与此有关的一切费用。</w:t>
            </w:r>
          </w:p>
          <w:p>
            <w:pPr>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3.不论投标结果如何，投标人均应自行承担所有与投标有关的全部费用。</w:t>
            </w:r>
          </w:p>
          <w:p>
            <w:pPr>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4.招标代理服务费的收取标准：</w:t>
            </w:r>
          </w:p>
          <w:p>
            <w:pPr>
              <w:tabs>
                <w:tab w:val="left" w:pos="625"/>
              </w:tabs>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本招标公司参照国家发改委发改办价格[2003]857号通知和原国家计委计价格[2002]1980号文件的规定的服务类招标费率标准，</w:t>
            </w:r>
            <w:r>
              <w:rPr>
                <w:rFonts w:hint="eastAsia" w:ascii="宋体" w:hAnsi="宋体" w:eastAsia="宋体" w:cs="宋体"/>
                <w:color w:val="auto"/>
                <w:sz w:val="22"/>
                <w:szCs w:val="22"/>
                <w:lang w:val="en-US" w:eastAsia="zh-CN"/>
              </w:rPr>
              <w:t>以中标通知书确认的中标总金额为基数计算，</w:t>
            </w:r>
            <w:r>
              <w:rPr>
                <w:rFonts w:hint="eastAsia" w:ascii="宋体" w:hAnsi="宋体" w:eastAsia="宋体" w:cs="宋体"/>
                <w:color w:val="auto"/>
                <w:sz w:val="22"/>
                <w:szCs w:val="22"/>
              </w:rPr>
              <w:t>由中标人在领取中标通知书前支付服务费。</w:t>
            </w:r>
          </w:p>
          <w:p>
            <w:pPr>
              <w:tabs>
                <w:tab w:val="left" w:pos="625"/>
              </w:tabs>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服务费汇入账户：</w:t>
            </w:r>
          </w:p>
          <w:p>
            <w:pPr>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帐户名称：宁波中穗招标有限公司</w:t>
            </w:r>
          </w:p>
          <w:p>
            <w:pPr>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开户银行：中国建设银行宁波市分行</w:t>
            </w:r>
          </w:p>
          <w:p>
            <w:pPr>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银行账号：33101983679050542195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850" w:type="dxa"/>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4</w:t>
            </w:r>
          </w:p>
        </w:tc>
        <w:tc>
          <w:tcPr>
            <w:tcW w:w="8175" w:type="dxa"/>
            <w:vAlign w:val="center"/>
          </w:tcPr>
          <w:p>
            <w:pPr>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工期要求：</w:t>
            </w:r>
            <w:r>
              <w:rPr>
                <w:rFonts w:hint="eastAsia" w:ascii="宋体" w:hAnsi="宋体" w:eastAsia="宋体" w:cs="宋体"/>
                <w:color w:val="auto"/>
                <w:kern w:val="0"/>
                <w:sz w:val="22"/>
                <w:szCs w:val="22"/>
              </w:rPr>
              <w:t>合同签订后至2022年</w:t>
            </w:r>
            <w:r>
              <w:rPr>
                <w:rFonts w:hint="eastAsia" w:ascii="宋体" w:hAnsi="宋体" w:cs="宋体"/>
                <w:color w:val="auto"/>
                <w:kern w:val="0"/>
                <w:sz w:val="22"/>
                <w:szCs w:val="22"/>
                <w:lang w:val="en-US" w:eastAsia="zh-CN"/>
              </w:rPr>
              <w:t>11</w:t>
            </w:r>
            <w:r>
              <w:rPr>
                <w:rFonts w:hint="eastAsia" w:ascii="宋体" w:hAnsi="宋体" w:eastAsia="宋体" w:cs="宋体"/>
                <w:color w:val="auto"/>
                <w:kern w:val="0"/>
                <w:sz w:val="22"/>
                <w:szCs w:val="22"/>
              </w:rPr>
              <w:t>月底前提交最终项目成果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850" w:type="dxa"/>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5</w:t>
            </w:r>
          </w:p>
        </w:tc>
        <w:tc>
          <w:tcPr>
            <w:tcW w:w="8175" w:type="dxa"/>
            <w:vAlign w:val="center"/>
          </w:tcPr>
          <w:p>
            <w:pPr>
              <w:numPr>
                <w:ilvl w:val="0"/>
                <w:numId w:val="9"/>
              </w:numPr>
              <w:spacing w:line="40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付款方式：</w:t>
            </w:r>
          </w:p>
          <w:p>
            <w:pPr>
              <w:spacing w:line="360" w:lineRule="auto"/>
              <w:ind w:firstLine="452" w:firstLineChars="200"/>
              <w:outlineLvl w:val="0"/>
              <w:rPr>
                <w:rFonts w:hint="eastAsia" w:ascii="宋体" w:hAnsi="宋体" w:eastAsia="宋体" w:cs="宋体"/>
                <w:color w:val="auto"/>
                <w:spacing w:val="3"/>
                <w:sz w:val="22"/>
                <w:szCs w:val="22"/>
                <w:lang w:val="en-US" w:eastAsia="zh-CN"/>
              </w:rPr>
            </w:pPr>
            <w:r>
              <w:rPr>
                <w:rFonts w:hint="eastAsia" w:ascii="宋体" w:hAnsi="宋体" w:eastAsia="宋体" w:cs="宋体"/>
                <w:color w:val="auto"/>
                <w:spacing w:val="3"/>
                <w:sz w:val="22"/>
                <w:szCs w:val="22"/>
                <w:lang w:val="en-US" w:eastAsia="zh-CN"/>
              </w:rPr>
              <w:t>合同签署后7个工作日内，采购人向成交供应商支付合同总价的40%作为项目</w:t>
            </w:r>
            <w:r>
              <w:rPr>
                <w:rFonts w:hint="eastAsia" w:ascii="宋体" w:hAnsi="宋体" w:cs="宋体"/>
                <w:color w:val="auto"/>
                <w:spacing w:val="3"/>
                <w:sz w:val="22"/>
                <w:szCs w:val="22"/>
                <w:lang w:val="en-US" w:eastAsia="zh-CN"/>
              </w:rPr>
              <w:t>预付款</w:t>
            </w:r>
            <w:r>
              <w:rPr>
                <w:rFonts w:hint="eastAsia" w:ascii="宋体" w:hAnsi="宋体" w:eastAsia="宋体" w:cs="宋体"/>
                <w:color w:val="auto"/>
                <w:spacing w:val="3"/>
                <w:sz w:val="22"/>
                <w:szCs w:val="22"/>
                <w:lang w:val="en-US" w:eastAsia="zh-CN"/>
              </w:rPr>
              <w:t>；项目通过评审并提交最终成果报告后15天内，采购人向成交供应商支付剩余的合同款。在合同签订时，成交供应商</w:t>
            </w:r>
            <w:r>
              <w:rPr>
                <w:rFonts w:hint="eastAsia" w:ascii="宋体" w:hAnsi="宋体" w:cs="宋体"/>
                <w:color w:val="auto"/>
                <w:spacing w:val="3"/>
                <w:sz w:val="22"/>
                <w:szCs w:val="22"/>
                <w:lang w:val="en-US" w:eastAsia="zh-CN"/>
              </w:rPr>
              <w:t>如</w:t>
            </w:r>
            <w:r>
              <w:rPr>
                <w:rFonts w:hint="eastAsia" w:ascii="宋体" w:hAnsi="宋体" w:eastAsia="宋体" w:cs="宋体"/>
                <w:color w:val="auto"/>
                <w:spacing w:val="3"/>
                <w:sz w:val="22"/>
                <w:szCs w:val="22"/>
                <w:lang w:val="en-US" w:eastAsia="zh-CN"/>
              </w:rPr>
              <w:t>明确表示无需预付款的，可按合同实际约定方式支付。</w:t>
            </w:r>
          </w:p>
          <w:p>
            <w:pPr>
              <w:spacing w:line="40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2.投标保证金：无</w:t>
            </w:r>
          </w:p>
          <w:p>
            <w:pPr>
              <w:pStyle w:val="72"/>
              <w:jc w:val="left"/>
              <w:rPr>
                <w:rFonts w:hint="eastAsia" w:ascii="宋体" w:hAnsi="宋体" w:eastAsia="宋体" w:cs="宋体"/>
                <w:color w:val="auto"/>
                <w:sz w:val="22"/>
                <w:szCs w:val="22"/>
              </w:rPr>
            </w:pPr>
            <w:r>
              <w:rPr>
                <w:rFonts w:hint="eastAsia" w:ascii="宋体" w:hAnsi="宋体" w:eastAsia="宋体" w:cs="宋体"/>
                <w:color w:val="auto"/>
                <w:sz w:val="22"/>
                <w:szCs w:val="22"/>
              </w:rPr>
              <w:t>3.履约保证金：无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850" w:type="dxa"/>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6</w:t>
            </w:r>
          </w:p>
        </w:tc>
        <w:tc>
          <w:tcPr>
            <w:tcW w:w="8175" w:type="dxa"/>
            <w:vAlign w:val="center"/>
          </w:tcPr>
          <w:p>
            <w:pPr>
              <w:tabs>
                <w:tab w:val="left" w:pos="625"/>
              </w:tabs>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评标办法：综合评分法。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trPr>
        <w:tc>
          <w:tcPr>
            <w:tcW w:w="850" w:type="dxa"/>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7</w:t>
            </w:r>
          </w:p>
        </w:tc>
        <w:tc>
          <w:tcPr>
            <w:tcW w:w="8175" w:type="dxa"/>
            <w:vAlign w:val="center"/>
          </w:tcPr>
          <w:p>
            <w:pPr>
              <w:autoSpaceDE w:val="0"/>
              <w:autoSpaceDN w:val="0"/>
              <w:spacing w:line="400" w:lineRule="exact"/>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信息公告媒体：浙江政府采购网、宁波政府采购网。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850" w:type="dxa"/>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8</w:t>
            </w:r>
          </w:p>
        </w:tc>
        <w:tc>
          <w:tcPr>
            <w:tcW w:w="8175" w:type="dxa"/>
            <w:vAlign w:val="center"/>
          </w:tcPr>
          <w:p>
            <w:pPr>
              <w:autoSpaceDE w:val="0"/>
              <w:autoSpaceDN w:val="0"/>
              <w:spacing w:line="400" w:lineRule="exact"/>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签订合同时间：中标通知书发出后30日内。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7" w:hRule="atLeast"/>
        </w:trPr>
        <w:tc>
          <w:tcPr>
            <w:tcW w:w="850" w:type="dxa"/>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9</w:t>
            </w:r>
          </w:p>
        </w:tc>
        <w:tc>
          <w:tcPr>
            <w:tcW w:w="8175" w:type="dxa"/>
            <w:vAlign w:val="center"/>
          </w:tcPr>
          <w:p>
            <w:pPr>
              <w:autoSpaceDE w:val="0"/>
              <w:autoSpaceDN w:val="0"/>
              <w:spacing w:line="400" w:lineRule="exact"/>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采购资金来源：财政预算资金。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trPr>
        <w:tc>
          <w:tcPr>
            <w:tcW w:w="850" w:type="dxa"/>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10</w:t>
            </w:r>
          </w:p>
        </w:tc>
        <w:tc>
          <w:tcPr>
            <w:tcW w:w="8175" w:type="dxa"/>
            <w:vAlign w:val="center"/>
          </w:tcPr>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投标文件的上传和递交：</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（1）“电子加密投标文件”的上传、递交：</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a.投标供应商应在投标截止时间前将“电子加密投标文件”成功上传递交至“政府采购云平台”，否则投标无效。</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b.“电子加密投标文件”成功上传递交后，供应商可自行打印投标文件接收回执。</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（2）“备份投标文件”的密封包装、递交</w:t>
            </w:r>
            <w:r>
              <w:rPr>
                <w:rFonts w:hint="eastAsia" w:ascii="宋体" w:hAnsi="宋体" w:eastAsia="宋体" w:cs="宋体"/>
                <w:b/>
                <w:bCs/>
                <w:color w:val="auto"/>
                <w:sz w:val="22"/>
                <w:szCs w:val="22"/>
              </w:rPr>
              <w:t>（非强制项）</w:t>
            </w:r>
            <w:r>
              <w:rPr>
                <w:rFonts w:hint="eastAsia" w:ascii="宋体" w:hAnsi="宋体" w:eastAsia="宋体" w:cs="宋体"/>
                <w:color w:val="auto"/>
                <w:sz w:val="22"/>
                <w:szCs w:val="22"/>
              </w:rPr>
              <w:t>：</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a.投标供应商还可以采用邮寄方式或现场方式在投标截止时间前（2022年</w:t>
            </w:r>
            <w:r>
              <w:rPr>
                <w:rFonts w:hint="eastAsia" w:ascii="宋体" w:hAnsi="宋体" w:cs="宋体"/>
                <w:color w:val="auto"/>
                <w:sz w:val="22"/>
                <w:szCs w:val="22"/>
                <w:lang w:val="en-US" w:eastAsia="zh-CN"/>
              </w:rPr>
              <w:t>9</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7</w:t>
            </w:r>
            <w:r>
              <w:rPr>
                <w:rFonts w:hint="eastAsia" w:ascii="宋体" w:hAnsi="宋体" w:eastAsia="宋体" w:cs="宋体"/>
                <w:color w:val="auto"/>
                <w:sz w:val="22"/>
                <w:szCs w:val="22"/>
              </w:rPr>
              <w:t>日17点00分前）递交以U盘存储的 “备份投标文件”（一份）。</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邮寄地址：宁波市翠柏路89号宁波工程学院公共培训平台大楼A座1109室；</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收件人：马倩倩； 联系方式：13396671730。</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各供应商应自行考虑邮寄在途时间，邮寄过程中无论何种因素导致备份投标文件未按时递交的后果，均由供应商自行负责；</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b.“备份投标文件”应当密封包装，并在包装上标注投标项目名称、投标单位名称并加盖公章。没有密封包装或者逾期邮寄送达至投标地点的“备份投标文件”将不予接收；</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c.通过“政府采购云平台”成功上传递交的“电子加密投标文件”已按时解密的，“备份投标文件”自动失效。</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3）投标文件启用顺序和效力。投标文件的启用，按先后顺位分别为电子投标文件、以U盘存储的数据电文形式的备份投标文件。顺位在先的投标文件已按时解密的，备份投标文件自动失效。在下一顺位的投标文件启用时，前一顺位的投标文件自动失效。</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★未传输递交电子投标文件的，投标无效。</w:t>
            </w:r>
          </w:p>
          <w:p>
            <w:pPr>
              <w:autoSpaceDE w:val="0"/>
              <w:autoSpaceDN w:val="0"/>
              <w:spacing w:line="400" w:lineRule="exact"/>
              <w:jc w:val="left"/>
              <w:textAlignment w:val="bottom"/>
              <w:rPr>
                <w:rFonts w:hint="eastAsia" w:ascii="宋体" w:hAnsi="宋体" w:eastAsia="宋体" w:cs="宋体"/>
                <w:color w:val="auto"/>
                <w:sz w:val="22"/>
                <w:szCs w:val="22"/>
              </w:rPr>
            </w:pPr>
            <w:r>
              <w:rPr>
                <w:rFonts w:hint="eastAsia" w:ascii="宋体" w:hAnsi="宋体" w:eastAsia="宋体" w:cs="宋体"/>
                <w:b/>
                <w:bCs/>
                <w:color w:val="auto"/>
                <w:sz w:val="22"/>
                <w:szCs w:val="22"/>
              </w:rPr>
              <w:t>注：评标结束后，本项目的中标供应商仍需提供叁套与电子投标文件一致的纸质投标文件（一正二副），如不一致，以电子投标文件为准。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11</w:t>
            </w:r>
          </w:p>
        </w:tc>
        <w:tc>
          <w:tcPr>
            <w:tcW w:w="8175" w:type="dxa"/>
            <w:vAlign w:val="center"/>
          </w:tcPr>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电子加密投标文件的解密和异常情况处理：</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（1）开标后，采购组织机构将向各投标供应商发出“电子加密投标文件”的解密通知，各投标供应商代表应当在接到解密通知后30分钟内自行完成“电子加密投标文件”的在线解密（加密和解密需同一CA锁）。</w:t>
            </w:r>
          </w:p>
          <w:p>
            <w:pPr>
              <w:tabs>
                <w:tab w:val="left" w:pos="105"/>
                <w:tab w:val="left" w:pos="735"/>
                <w:tab w:val="left" w:pos="945"/>
                <w:tab w:val="left" w:pos="3360"/>
              </w:tabs>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spacing w:line="400" w:lineRule="exact"/>
              <w:jc w:val="left"/>
              <w:textAlignment w:val="bottom"/>
              <w:rPr>
                <w:rFonts w:hint="eastAsia" w:ascii="宋体" w:hAnsi="宋体" w:eastAsia="宋体" w:cs="宋体"/>
                <w:b/>
                <w:color w:val="auto"/>
                <w:sz w:val="22"/>
                <w:szCs w:val="22"/>
              </w:rPr>
            </w:pPr>
            <w:r>
              <w:rPr>
                <w:rFonts w:hint="eastAsia" w:ascii="宋体" w:hAnsi="宋体" w:eastAsia="宋体" w:cs="宋体"/>
                <w:color w:val="auto"/>
                <w:sz w:val="22"/>
                <w:szCs w:val="22"/>
              </w:rPr>
              <w:t>（3）投标截止时间前，投标供应商仅递交了“备份投标文件”而未将电子加密投标文件成功上传至“政府采购云平台”的，投标无效。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12</w:t>
            </w:r>
          </w:p>
        </w:tc>
        <w:tc>
          <w:tcPr>
            <w:tcW w:w="8175" w:type="dxa"/>
            <w:vAlign w:val="center"/>
          </w:tcPr>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在线电子投标说明：</w:t>
            </w:r>
          </w:p>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1）本项目通过政府采购云平台实行在线电子投标，投标人应先安装政采云电子交易客户端，并按照招标文件和政府采购云平台的要求，通过政采云电子交易客户端编制并加密投标文件，投标人未按规定加密的投标文件，政府采购云平台将予以拒收。</w:t>
            </w:r>
          </w:p>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2）标前准备：各供应商应在开标前应确保成为浙江省政府采购网正式注册入库供应商，并完成CA数字证书办理（供应商CA申领操作指南：为保证信息传输的保密性、数据交换的完整性、发送信息的不可否认性及对交易者身份的确认，政采云网上招投标实行CA登录，CA申领有关业务说明链接如下：</w:t>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"https://help.zcygov.cn/web/site_2/2018/11/07/2367.html"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https://help.zcygov.cn/web/site_2/2018/11/07/2367.html</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，完成CA数字证书办理预计一周左右，请供应商自行把握时间）。因未注册入库、未办理CA数字证书等原因造成无法获取采购文件、无法投标或投标失败等后果由供应商自行承担。</w:t>
            </w:r>
          </w:p>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（3）采购文件网上获取：</w:t>
            </w:r>
          </w:p>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已注册政采云平台账号的供应商登录后可免费下载采购文件，采购文件网上获取操作指南链接如下：https://service.zcygov.cn/#/knowledges/CW1EtGwBFdiHxlNd6I3m/6IMVAG0BFdiHxlNdQ8Na（电脑登录账号后浏览）</w:t>
            </w:r>
          </w:p>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（4）投标文件制作：</w:t>
            </w:r>
          </w:p>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a.应按照本项目招标文件和政采云平台的要求编制、加密并递交投标文件。供应商在使用系统进行投标的过程中遇到涉及平台使用的任何问题，可致电政采云平台技术支持热线400-881-7190或政采云服务专员电话0574-63917219。</w:t>
            </w:r>
          </w:p>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b.投标人通过政采云平台电子投标工具制作投标文件，电子投标工具链接如下：</w:t>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"http://zfcg.czt.zj.gov.cn/bidClientTemplate/2020-10-01/12975.html，"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http://zfcg.czt.zj.gov.cn/bidClientTemplate/2020-10-01/12975.html，</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政府采购项目电子交易管理操作指南链接如下：</w:t>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"https://service.zcygov.cn/#/knowledges/CW1EtGwBFdiHxlNd6I3m/7GyLXW0BXgMSmLUuYuPM、"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https://service.zcygov.cn/#/knowledges/CW1EtGwBFdiHxlNd6I3m/7GyLXW0BXgMSmLUuYuPM</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（电脑登录账号后观看）；https://service.zcygov.cn/#/knowledges/CW1EtGwBFdiHxlNd6I3m/6IMVAG0BFdiHxlNdQ8Na（电脑登录账号后浏览）。</w:t>
            </w:r>
          </w:p>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（5）业务相关联系人和联系电话</w:t>
            </w:r>
          </w:p>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CA咨询（天谷公司）客服热线: 400-087-8198    </w:t>
            </w:r>
          </w:p>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销售热线: 0571-85785223</w:t>
            </w:r>
          </w:p>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CA咨询(汇信公司)客服热线400-888-4636</w:t>
            </w:r>
          </w:p>
          <w:p>
            <w:pPr>
              <w:autoSpaceDE w:val="0"/>
              <w:autoSpaceDN w:val="0"/>
              <w:spacing w:line="400" w:lineRule="exact"/>
              <w:jc w:val="left"/>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政采云平台客服电话：4008817190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b/>
                <w:color w:val="auto"/>
                <w:sz w:val="22"/>
                <w:szCs w:val="22"/>
              </w:rPr>
              <w:t>*</w:t>
            </w:r>
            <w:r>
              <w:rPr>
                <w:rFonts w:hint="eastAsia" w:ascii="宋体" w:hAnsi="宋体" w:eastAsia="宋体" w:cs="宋体"/>
                <w:color w:val="auto"/>
                <w:sz w:val="22"/>
                <w:szCs w:val="22"/>
              </w:rPr>
              <w:t>13</w:t>
            </w:r>
          </w:p>
        </w:tc>
        <w:tc>
          <w:tcPr>
            <w:tcW w:w="8175" w:type="dxa"/>
            <w:vAlign w:val="center"/>
          </w:tcPr>
          <w:p>
            <w:pPr>
              <w:autoSpaceDE w:val="0"/>
              <w:autoSpaceDN w:val="0"/>
              <w:spacing w:line="400" w:lineRule="exact"/>
              <w:textAlignment w:val="bottom"/>
              <w:rPr>
                <w:rFonts w:hint="eastAsia" w:ascii="宋体" w:hAnsi="宋体" w:eastAsia="宋体" w:cs="宋体"/>
                <w:b/>
                <w:color w:val="auto"/>
                <w:sz w:val="22"/>
                <w:szCs w:val="22"/>
              </w:rPr>
            </w:pPr>
            <w:r>
              <w:rPr>
                <w:rFonts w:hint="eastAsia" w:ascii="宋体" w:hAnsi="宋体" w:eastAsia="宋体" w:cs="宋体"/>
                <w:b/>
                <w:color w:val="auto"/>
                <w:sz w:val="22"/>
                <w:szCs w:val="22"/>
              </w:rPr>
              <w:t>投标文件有效期：90天。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850" w:type="dxa"/>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b/>
                <w:color w:val="auto"/>
                <w:sz w:val="22"/>
                <w:szCs w:val="22"/>
              </w:rPr>
              <w:t>*</w:t>
            </w:r>
            <w:r>
              <w:rPr>
                <w:rFonts w:hint="eastAsia" w:ascii="宋体" w:hAnsi="宋体" w:eastAsia="宋体" w:cs="宋体"/>
                <w:color w:val="auto"/>
                <w:sz w:val="22"/>
                <w:szCs w:val="22"/>
              </w:rPr>
              <w:t>14</w:t>
            </w:r>
          </w:p>
        </w:tc>
        <w:tc>
          <w:tcPr>
            <w:tcW w:w="8175" w:type="dxa"/>
            <w:vAlign w:val="center"/>
          </w:tcPr>
          <w:p>
            <w:pPr>
              <w:autoSpaceDE w:val="0"/>
              <w:autoSpaceDN w:val="0"/>
              <w:spacing w:line="400" w:lineRule="exact"/>
              <w:textAlignment w:val="bottom"/>
              <w:rPr>
                <w:rFonts w:hint="eastAsia" w:ascii="宋体" w:hAnsi="宋体" w:eastAsia="宋体" w:cs="宋体"/>
                <w:b/>
                <w:color w:val="auto"/>
                <w:sz w:val="22"/>
                <w:szCs w:val="22"/>
              </w:rPr>
            </w:pPr>
            <w:r>
              <w:rPr>
                <w:rFonts w:hint="eastAsia" w:ascii="宋体" w:hAnsi="宋体" w:eastAsia="宋体" w:cs="宋体"/>
                <w:b/>
                <w:color w:val="auto"/>
                <w:sz w:val="22"/>
                <w:szCs w:val="22"/>
              </w:rPr>
              <w:t>针对同一采购程序环节的质疑次数：一次性提出。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850" w:type="dxa"/>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15</w:t>
            </w:r>
          </w:p>
        </w:tc>
        <w:tc>
          <w:tcPr>
            <w:tcW w:w="8175" w:type="dxa"/>
            <w:vAlign w:val="center"/>
          </w:tcPr>
          <w:p>
            <w:pPr>
              <w:autoSpaceDE w:val="0"/>
              <w:autoSpaceDN w:val="0"/>
              <w:spacing w:line="400" w:lineRule="exact"/>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解释：本招标文件的解释权属于招标采购人。</w:t>
            </w:r>
          </w:p>
        </w:tc>
      </w:tr>
      <w:bookmarkEnd w:id="15"/>
      <w:bookmarkEnd w:id="16"/>
    </w:tbl>
    <w:p>
      <w:pPr>
        <w:pStyle w:val="6"/>
        <w:numPr>
          <w:ilvl w:val="0"/>
          <w:numId w:val="0"/>
        </w:numPr>
        <w:spacing w:before="0" w:after="0" w:line="400" w:lineRule="exact"/>
        <w:jc w:val="center"/>
        <w:rPr>
          <w:color w:val="auto"/>
          <w:sz w:val="21"/>
          <w:szCs w:val="21"/>
        </w:rPr>
      </w:pPr>
      <w:bookmarkStart w:id="17" w:name="_Toc460857896"/>
      <w:bookmarkStart w:id="18" w:name="_Toc460416644"/>
      <w:bookmarkStart w:id="19" w:name="_Toc460416595"/>
      <w:bookmarkStart w:id="20" w:name="_Toc460416339"/>
      <w:r>
        <w:rPr>
          <w:color w:val="auto"/>
          <w:sz w:val="21"/>
          <w:szCs w:val="21"/>
        </w:rPr>
        <w:br w:type="page"/>
      </w:r>
      <w:bookmarkEnd w:id="17"/>
      <w:bookmarkEnd w:id="18"/>
      <w:bookmarkEnd w:id="19"/>
      <w:bookmarkEnd w:id="20"/>
      <w:bookmarkStart w:id="21" w:name="_Toc79395438"/>
      <w:bookmarkStart w:id="22" w:name="_Toc13183"/>
      <w:bookmarkStart w:id="23" w:name="_Toc17707910"/>
      <w:bookmarkStart w:id="24" w:name="_Toc15866"/>
      <w:bookmarkStart w:id="25" w:name="_Toc8008"/>
      <w:bookmarkStart w:id="26" w:name="_Toc460857897"/>
      <w:r>
        <w:rPr>
          <w:rFonts w:hint="eastAsia" w:ascii="宋体" w:hAnsi="宋体" w:cs="宋体"/>
          <w:color w:val="auto"/>
        </w:rPr>
        <w:t>一、总  则</w:t>
      </w:r>
      <w:bookmarkEnd w:id="21"/>
      <w:bookmarkEnd w:id="22"/>
      <w:bookmarkEnd w:id="23"/>
      <w:bookmarkEnd w:id="24"/>
      <w:bookmarkEnd w:id="25"/>
      <w:bookmarkEnd w:id="26"/>
    </w:p>
    <w:p>
      <w:pPr>
        <w:pStyle w:val="7"/>
        <w:numPr>
          <w:ilvl w:val="0"/>
          <w:numId w:val="0"/>
        </w:numPr>
        <w:tabs>
          <w:tab w:val="clear" w:pos="720"/>
        </w:tabs>
        <w:spacing w:before="0" w:after="0" w:line="400" w:lineRule="exact"/>
        <w:ind w:firstLine="442" w:firstLineChars="200"/>
        <w:rPr>
          <w:rFonts w:hint="eastAsia" w:ascii="宋体" w:hAnsi="宋体" w:eastAsia="宋体" w:cs="宋体"/>
          <w:color w:val="auto"/>
          <w:kern w:val="2"/>
          <w:sz w:val="22"/>
          <w:szCs w:val="22"/>
        </w:rPr>
      </w:pPr>
      <w:bookmarkStart w:id="27" w:name="_Toc96"/>
      <w:bookmarkStart w:id="28" w:name="_Toc460416340"/>
      <w:bookmarkStart w:id="29" w:name="_Toc460416645"/>
      <w:bookmarkStart w:id="30" w:name="_Toc19506"/>
      <w:bookmarkStart w:id="31" w:name="_Toc79395439"/>
      <w:bookmarkStart w:id="32" w:name="_Toc17707911"/>
      <w:bookmarkStart w:id="33" w:name="_Toc460416596"/>
      <w:bookmarkStart w:id="34" w:name="_Toc460857898"/>
      <w:r>
        <w:rPr>
          <w:rFonts w:hint="eastAsia" w:ascii="宋体" w:hAnsi="宋体" w:eastAsia="宋体" w:cs="宋体"/>
          <w:color w:val="auto"/>
          <w:kern w:val="2"/>
          <w:sz w:val="22"/>
          <w:szCs w:val="22"/>
        </w:rPr>
        <w:t>（一）适用范围</w:t>
      </w:r>
      <w:bookmarkEnd w:id="27"/>
      <w:bookmarkEnd w:id="28"/>
      <w:bookmarkEnd w:id="29"/>
      <w:bookmarkEnd w:id="30"/>
      <w:bookmarkEnd w:id="31"/>
      <w:bookmarkEnd w:id="32"/>
      <w:bookmarkEnd w:id="33"/>
      <w:bookmarkEnd w:id="34"/>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本采购文件适用于本采购项目的招标、投标、评标、定标、验收、合同履约、付款等行为（法律、法规另有规定的，从其规定）。</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35" w:name="_Toc460416597"/>
      <w:bookmarkStart w:id="36" w:name="_Toc460416646"/>
      <w:bookmarkStart w:id="37" w:name="_Toc79395440"/>
      <w:bookmarkStart w:id="38" w:name="_Toc18275"/>
      <w:bookmarkStart w:id="39" w:name="_Toc460416341"/>
      <w:bookmarkStart w:id="40" w:name="_Toc460857899"/>
      <w:bookmarkStart w:id="41" w:name="_Toc17707912"/>
      <w:bookmarkStart w:id="42" w:name="_Toc18164"/>
      <w:r>
        <w:rPr>
          <w:rFonts w:hint="eastAsia" w:ascii="宋体" w:hAnsi="宋体" w:eastAsia="宋体" w:cs="宋体"/>
          <w:color w:val="auto"/>
          <w:kern w:val="2"/>
          <w:sz w:val="22"/>
          <w:szCs w:val="22"/>
        </w:rPr>
        <w:t>（二）定义</w:t>
      </w:r>
      <w:bookmarkEnd w:id="35"/>
      <w:bookmarkEnd w:id="36"/>
      <w:bookmarkEnd w:id="37"/>
      <w:bookmarkEnd w:id="38"/>
      <w:bookmarkEnd w:id="39"/>
      <w:bookmarkEnd w:id="40"/>
      <w:bookmarkEnd w:id="41"/>
      <w:bookmarkEnd w:id="42"/>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1.“采购人”系指组织本次招标的采购单位。</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2.“供应商”系指向采购人提交投标文件的单位或个人。</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3.“产品”系指供方按采购文件规定，须向采购人提供的一切货物、保险、税金、工具、手册及其它有关技术资料和材料。</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4.“服务”系指招标文件规定供应商须承担的需完成本项目所需的服务的义务。</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5.“项目”系指投标人按采购文件规定向采购人提供的产品和服务。</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6.“书面形式”包括信函、传真、电报、电子邮件等。</w:t>
      </w:r>
    </w:p>
    <w:p>
      <w:pPr>
        <w:snapToGrid w:val="0"/>
        <w:spacing w:line="4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7.“*”系指实质性要求条款。</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43" w:name="_Toc11090"/>
      <w:bookmarkStart w:id="44" w:name="_Toc79395441"/>
      <w:bookmarkStart w:id="45" w:name="_Toc17707913"/>
      <w:bookmarkStart w:id="46" w:name="_Toc460416647"/>
      <w:bookmarkStart w:id="47" w:name="_Toc21787"/>
      <w:bookmarkStart w:id="48" w:name="_Toc460857900"/>
      <w:bookmarkStart w:id="49" w:name="_Toc460416342"/>
      <w:bookmarkStart w:id="50" w:name="_Toc460416598"/>
      <w:r>
        <w:rPr>
          <w:rFonts w:hint="eastAsia" w:ascii="宋体" w:hAnsi="宋体" w:eastAsia="宋体" w:cs="宋体"/>
          <w:color w:val="auto"/>
          <w:kern w:val="2"/>
          <w:sz w:val="22"/>
          <w:szCs w:val="22"/>
        </w:rPr>
        <w:t>（三）采购方式</w:t>
      </w:r>
      <w:bookmarkEnd w:id="43"/>
      <w:bookmarkEnd w:id="44"/>
      <w:bookmarkEnd w:id="45"/>
      <w:bookmarkEnd w:id="46"/>
      <w:bookmarkEnd w:id="47"/>
      <w:bookmarkEnd w:id="48"/>
      <w:bookmarkEnd w:id="49"/>
      <w:bookmarkEnd w:id="50"/>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本次采购采用公开招标方式进行。</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51" w:name="_Toc9042"/>
      <w:bookmarkStart w:id="52" w:name="_Toc17707914"/>
      <w:bookmarkStart w:id="53" w:name="_Toc79395442"/>
      <w:bookmarkStart w:id="54" w:name="_Toc460416343"/>
      <w:bookmarkStart w:id="55" w:name="_Toc460857901"/>
      <w:bookmarkStart w:id="56" w:name="_Toc460416648"/>
      <w:bookmarkStart w:id="57" w:name="_Toc460416599"/>
      <w:bookmarkStart w:id="58" w:name="_Toc20172"/>
      <w:r>
        <w:rPr>
          <w:rFonts w:hint="eastAsia" w:ascii="宋体" w:hAnsi="宋体" w:eastAsia="宋体" w:cs="宋体"/>
          <w:color w:val="auto"/>
          <w:kern w:val="2"/>
          <w:sz w:val="22"/>
          <w:szCs w:val="22"/>
        </w:rPr>
        <w:t>（四）投标委托</w:t>
      </w:r>
      <w:bookmarkEnd w:id="51"/>
      <w:bookmarkEnd w:id="52"/>
      <w:bookmarkEnd w:id="53"/>
      <w:bookmarkEnd w:id="54"/>
      <w:bookmarkEnd w:id="55"/>
      <w:bookmarkEnd w:id="56"/>
      <w:bookmarkEnd w:id="57"/>
      <w:bookmarkEnd w:id="58"/>
    </w:p>
    <w:p>
      <w:pPr>
        <w:pStyle w:val="16"/>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pacing w:val="0"/>
          <w:sz w:val="22"/>
          <w:szCs w:val="22"/>
        </w:rPr>
        <w:t>如供应商委派授权代表出席开标会议，授权代表须携带有效身份证件。如投标人代表不是法定代表人，须有法定代表人出具的授权委托书并在投标文件中提供投标人代表身份证正反面复印件（投标文件正本用原件，副本可用复印件，格式见第六部分）</w:t>
      </w:r>
      <w:r>
        <w:rPr>
          <w:rFonts w:hint="eastAsia" w:ascii="宋体" w:hAnsi="宋体" w:eastAsia="宋体" w:cs="宋体"/>
          <w:color w:val="auto"/>
          <w:sz w:val="22"/>
          <w:szCs w:val="22"/>
        </w:rPr>
        <w:t>。</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59" w:name="_Toc18429"/>
      <w:bookmarkStart w:id="60" w:name="_Toc13019"/>
      <w:bookmarkStart w:id="61" w:name="_Toc17707915"/>
      <w:bookmarkStart w:id="62" w:name="_Toc460416649"/>
      <w:bookmarkStart w:id="63" w:name="_Toc79395443"/>
      <w:bookmarkStart w:id="64" w:name="_Toc460416600"/>
      <w:bookmarkStart w:id="65" w:name="_Toc460857902"/>
      <w:bookmarkStart w:id="66" w:name="_Toc460416344"/>
      <w:r>
        <w:rPr>
          <w:rFonts w:hint="eastAsia" w:ascii="宋体" w:hAnsi="宋体" w:eastAsia="宋体" w:cs="宋体"/>
          <w:color w:val="auto"/>
          <w:kern w:val="2"/>
          <w:sz w:val="22"/>
          <w:szCs w:val="22"/>
        </w:rPr>
        <w:t>（五）投标费用</w:t>
      </w:r>
      <w:bookmarkEnd w:id="59"/>
      <w:bookmarkEnd w:id="60"/>
      <w:bookmarkEnd w:id="61"/>
      <w:bookmarkEnd w:id="62"/>
      <w:bookmarkEnd w:id="63"/>
      <w:bookmarkEnd w:id="64"/>
      <w:bookmarkEnd w:id="65"/>
      <w:bookmarkEnd w:id="66"/>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不论投标结果如何，投标人均应自行承担所有与投标有关的全部费用。</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67" w:name="_Toc32061"/>
      <w:bookmarkStart w:id="68" w:name="_Toc17707916"/>
      <w:bookmarkStart w:id="69" w:name="_Toc460857903"/>
      <w:bookmarkStart w:id="70" w:name="_Toc79395444"/>
      <w:bookmarkStart w:id="71" w:name="_Toc10534"/>
      <w:r>
        <w:rPr>
          <w:rFonts w:hint="eastAsia" w:ascii="宋体" w:hAnsi="宋体" w:eastAsia="宋体" w:cs="宋体"/>
          <w:color w:val="auto"/>
          <w:kern w:val="2"/>
          <w:sz w:val="22"/>
          <w:szCs w:val="22"/>
        </w:rPr>
        <w:t>（六）联合体投标</w:t>
      </w:r>
      <w:bookmarkEnd w:id="67"/>
      <w:bookmarkEnd w:id="68"/>
      <w:bookmarkEnd w:id="69"/>
      <w:bookmarkEnd w:id="70"/>
      <w:bookmarkEnd w:id="71"/>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本项目不接受联合体投标。</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72" w:name="_Toc460857904"/>
      <w:bookmarkStart w:id="73" w:name="_Toc79395445"/>
      <w:bookmarkStart w:id="74" w:name="_Toc23875"/>
      <w:bookmarkStart w:id="75" w:name="_Toc17707917"/>
      <w:bookmarkStart w:id="76" w:name="_Toc22517"/>
      <w:r>
        <w:rPr>
          <w:rFonts w:hint="eastAsia" w:ascii="宋体" w:hAnsi="宋体" w:eastAsia="宋体" w:cs="宋体"/>
          <w:color w:val="auto"/>
          <w:kern w:val="2"/>
          <w:sz w:val="22"/>
          <w:szCs w:val="22"/>
        </w:rPr>
        <w:t>（七）转包与分包</w:t>
      </w:r>
      <w:bookmarkEnd w:id="72"/>
      <w:bookmarkEnd w:id="73"/>
      <w:bookmarkEnd w:id="74"/>
      <w:bookmarkEnd w:id="75"/>
      <w:bookmarkEnd w:id="76"/>
    </w:p>
    <w:p>
      <w:pPr>
        <w:snapToGrid w:val="0"/>
        <w:spacing w:line="400" w:lineRule="exac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本项目不允许转包，未经采购人书面同意不得分包。</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77" w:name="_Toc460416650"/>
      <w:bookmarkStart w:id="78" w:name="_Toc460416601"/>
      <w:bookmarkStart w:id="79" w:name="_Toc460857905"/>
      <w:bookmarkStart w:id="80" w:name="_Toc10975"/>
      <w:bookmarkStart w:id="81" w:name="_Toc460416345"/>
      <w:bookmarkStart w:id="82" w:name="_Toc404"/>
      <w:bookmarkStart w:id="83" w:name="_Toc17707918"/>
      <w:bookmarkStart w:id="84" w:name="_Toc79395446"/>
      <w:r>
        <w:rPr>
          <w:rFonts w:hint="eastAsia" w:ascii="宋体" w:hAnsi="宋体" w:eastAsia="宋体" w:cs="宋体"/>
          <w:color w:val="auto"/>
          <w:kern w:val="2"/>
          <w:sz w:val="22"/>
          <w:szCs w:val="22"/>
        </w:rPr>
        <w:t>（八）特别说明</w:t>
      </w:r>
      <w:bookmarkEnd w:id="77"/>
      <w:bookmarkEnd w:id="78"/>
      <w:bookmarkEnd w:id="79"/>
      <w:bookmarkEnd w:id="80"/>
      <w:bookmarkEnd w:id="81"/>
      <w:bookmarkEnd w:id="82"/>
      <w:bookmarkEnd w:id="83"/>
      <w:bookmarkEnd w:id="84"/>
    </w:p>
    <w:p>
      <w:pPr>
        <w:pStyle w:val="20"/>
        <w:snapToGrid w:val="0"/>
        <w:spacing w:beforeLines="0" w:afterLines="0"/>
        <w:ind w:left="2" w:leftChars="1"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*1.投标人应仔细阅读采购文件的所有内容，按照采购文件的要求提交投标文件，并对所提供的全部资料的真实性承担法律责任。</w:t>
      </w:r>
    </w:p>
    <w:p>
      <w:pPr>
        <w:pStyle w:val="20"/>
        <w:snapToGrid w:val="0"/>
        <w:spacing w:beforeLines="0" w:afterLines="0"/>
        <w:ind w:left="2" w:leftChars="1" w:firstLine="442" w:firstLineChars="200"/>
        <w:jc w:val="left"/>
        <w:rPr>
          <w:rFonts w:hint="eastAsia" w:ascii="宋体" w:hAnsi="宋体" w:eastAsia="宋体" w:cs="宋体"/>
          <w:b/>
          <w:strike/>
          <w:color w:val="auto"/>
          <w:sz w:val="22"/>
          <w:szCs w:val="22"/>
        </w:rPr>
      </w:pPr>
      <w:r>
        <w:rPr>
          <w:rFonts w:hint="eastAsia" w:ascii="宋体" w:hAnsi="宋体" w:eastAsia="宋体" w:cs="宋体"/>
          <w:b/>
          <w:color w:val="auto"/>
          <w:sz w:val="22"/>
          <w:szCs w:val="22"/>
        </w:rPr>
        <w:t>*2.投标人在投标活动中提供任何虚假材料，其投标无效，并报监管部门查处。</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85" w:name="_Toc79395447"/>
      <w:bookmarkStart w:id="86" w:name="_Toc14177"/>
      <w:bookmarkStart w:id="87" w:name="_Toc7123"/>
      <w:bookmarkStart w:id="88" w:name="_Toc17707919"/>
      <w:r>
        <w:rPr>
          <w:rFonts w:hint="eastAsia" w:ascii="宋体" w:hAnsi="宋体" w:eastAsia="宋体" w:cs="宋体"/>
          <w:color w:val="auto"/>
          <w:kern w:val="2"/>
          <w:sz w:val="22"/>
          <w:szCs w:val="22"/>
        </w:rPr>
        <w:t>（九）关于分公司投标</w:t>
      </w:r>
      <w:bookmarkEnd w:id="85"/>
      <w:bookmarkEnd w:id="86"/>
      <w:bookmarkEnd w:id="87"/>
      <w:bookmarkEnd w:id="88"/>
    </w:p>
    <w:p>
      <w:pPr>
        <w:widowControl/>
        <w:spacing w:line="400" w:lineRule="exact"/>
        <w:ind w:firstLine="440" w:firstLineChars="200"/>
        <w:jc w:val="left"/>
        <w:rPr>
          <w:rFonts w:hint="eastAsia" w:ascii="宋体" w:hAnsi="宋体" w:eastAsia="宋体" w:cs="宋体"/>
          <w:bCs/>
          <w:color w:val="auto"/>
          <w:sz w:val="22"/>
          <w:szCs w:val="22"/>
        </w:rPr>
      </w:pPr>
      <w:r>
        <w:rPr>
          <w:rFonts w:hint="eastAsia" w:ascii="宋体" w:hAnsi="宋体" w:eastAsia="宋体" w:cs="宋体"/>
          <w:bCs/>
          <w:color w:val="auto"/>
          <w:sz w:val="22"/>
          <w:szCs w:val="22"/>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89" w:name="_Toc17707920"/>
      <w:bookmarkStart w:id="90" w:name="_Toc22599"/>
      <w:bookmarkStart w:id="91" w:name="_Toc79395448"/>
      <w:bookmarkStart w:id="92" w:name="_Toc31344"/>
      <w:r>
        <w:rPr>
          <w:rFonts w:hint="eastAsia" w:ascii="宋体" w:hAnsi="宋体" w:eastAsia="宋体" w:cs="宋体"/>
          <w:color w:val="auto"/>
          <w:kern w:val="2"/>
          <w:sz w:val="22"/>
          <w:szCs w:val="22"/>
        </w:rPr>
        <w:t>（十）关于知识产权</w:t>
      </w:r>
      <w:bookmarkEnd w:id="89"/>
      <w:bookmarkEnd w:id="90"/>
      <w:bookmarkEnd w:id="91"/>
      <w:bookmarkEnd w:id="92"/>
    </w:p>
    <w:p>
      <w:pPr>
        <w:widowControl/>
        <w:spacing w:line="400" w:lineRule="exact"/>
        <w:ind w:firstLine="440" w:firstLineChars="200"/>
        <w:jc w:val="left"/>
        <w:rPr>
          <w:rFonts w:hint="eastAsia" w:ascii="宋体" w:hAnsi="宋体" w:eastAsia="宋体" w:cs="宋体"/>
          <w:bCs/>
          <w:color w:val="auto"/>
          <w:sz w:val="22"/>
          <w:szCs w:val="22"/>
        </w:rPr>
      </w:pPr>
      <w:bookmarkStart w:id="93" w:name="_Toc460857906"/>
      <w:bookmarkStart w:id="94" w:name="_Toc28420"/>
      <w:bookmarkStart w:id="95" w:name="_Toc15997"/>
      <w:bookmarkStart w:id="96" w:name="_Toc460416602"/>
      <w:bookmarkStart w:id="97" w:name="_Toc460416651"/>
      <w:bookmarkStart w:id="98" w:name="_Toc460416346"/>
      <w:bookmarkStart w:id="99" w:name="_Toc79395449"/>
      <w:bookmarkStart w:id="100" w:name="_Toc17707921"/>
      <w:r>
        <w:rPr>
          <w:rFonts w:hint="eastAsia" w:ascii="宋体" w:hAnsi="宋体" w:eastAsia="宋体" w:cs="宋体"/>
          <w:bCs/>
          <w:color w:val="auto"/>
          <w:sz w:val="22"/>
          <w:szCs w:val="22"/>
        </w:rPr>
        <w:t>本项目所有相关资料知识产权归采购人所有。供应商应保证提供服务过程中不会侵犯任何第三方的知识产权。若发生第三方知识产权纠纷，采购人保留追究责任的权利。</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（十一）质疑和投诉</w:t>
      </w:r>
      <w:bookmarkEnd w:id="93"/>
      <w:bookmarkEnd w:id="94"/>
      <w:bookmarkEnd w:id="95"/>
      <w:bookmarkEnd w:id="96"/>
      <w:bookmarkEnd w:id="97"/>
      <w:bookmarkEnd w:id="98"/>
      <w:bookmarkEnd w:id="99"/>
      <w:bookmarkEnd w:id="100"/>
    </w:p>
    <w:p>
      <w:pPr>
        <w:pStyle w:val="3"/>
        <w:spacing w:after="0"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1.供应商认为采购文件、采购过程、中标或者成交结果使自己的权益受到损害的，须在应</w:t>
      </w:r>
      <w:r>
        <w:rPr>
          <w:rFonts w:hint="eastAsia" w:ascii="宋体" w:hAnsi="宋体" w:eastAsia="宋体" w:cs="宋体"/>
          <w:color w:val="auto"/>
          <w:spacing w:val="2"/>
          <w:sz w:val="22"/>
          <w:szCs w:val="22"/>
        </w:rPr>
        <w:t>知其利益受损之日起七个工作日内以书面形式向采购人、采购代理机构提出质疑。供应商应当在法定质疑期内一次性提出针对同一采购程序环节的质疑。</w:t>
      </w:r>
    </w:p>
    <w:p>
      <w:pPr>
        <w:tabs>
          <w:tab w:val="left" w:pos="518"/>
        </w:tabs>
        <w:adjustRightInd w:val="0"/>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2.提出质疑的供应商应当是参与所质疑项目采购活动的供应商。未依法获取采</w:t>
      </w:r>
      <w:r>
        <w:rPr>
          <w:rFonts w:hint="eastAsia" w:ascii="宋体" w:hAnsi="宋体" w:eastAsia="宋体" w:cs="宋体"/>
          <w:color w:val="auto"/>
          <w:spacing w:val="2"/>
          <w:sz w:val="22"/>
          <w:szCs w:val="22"/>
        </w:rPr>
        <w:t>购文件的，不得就采购文件提出质疑；未提交投标文件的供应商，视为与采购结</w:t>
      </w:r>
      <w:r>
        <w:rPr>
          <w:rFonts w:hint="eastAsia" w:ascii="宋体" w:hAnsi="宋体" w:eastAsia="宋体" w:cs="宋体"/>
          <w:color w:val="auto"/>
          <w:spacing w:val="-115"/>
          <w:sz w:val="22"/>
          <w:szCs w:val="22"/>
        </w:rPr>
        <w:t xml:space="preserve"> </w:t>
      </w:r>
      <w:r>
        <w:rPr>
          <w:rFonts w:hint="eastAsia" w:ascii="宋体" w:hAnsi="宋体" w:eastAsia="宋体" w:cs="宋体"/>
          <w:color w:val="auto"/>
          <w:sz w:val="22"/>
          <w:szCs w:val="22"/>
        </w:rPr>
        <w:t>果没有利害关系，不得就投标截止时间后的采购过程、采购结果提出质疑。</w:t>
      </w:r>
    </w:p>
    <w:p>
      <w:pPr>
        <w:tabs>
          <w:tab w:val="left" w:pos="518"/>
        </w:tabs>
        <w:adjustRightInd w:val="0"/>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3.供应商提出质疑应当提交质疑函和必要的证明材料，质疑函应当以书面形式（需符合财政部令第94号政府采购质疑和投诉办法要求）</w:t>
      </w:r>
      <w:r>
        <w:rPr>
          <w:rFonts w:hint="eastAsia" w:ascii="宋体" w:hAnsi="宋体" w:eastAsia="宋体" w:cs="宋体"/>
          <w:color w:val="auto"/>
          <w:spacing w:val="2"/>
          <w:sz w:val="22"/>
          <w:szCs w:val="22"/>
        </w:rPr>
        <w:t>提出</w:t>
      </w:r>
      <w:r>
        <w:rPr>
          <w:rFonts w:hint="eastAsia" w:ascii="宋体" w:hAnsi="宋体" w:eastAsia="宋体" w:cs="宋体"/>
          <w:color w:val="auto"/>
          <w:sz w:val="22"/>
          <w:szCs w:val="22"/>
        </w:rPr>
        <w:t>。</w:t>
      </w:r>
    </w:p>
    <w:p>
      <w:pPr>
        <w:tabs>
          <w:tab w:val="left" w:pos="518"/>
        </w:tabs>
        <w:adjustRightInd w:val="0"/>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接收书面质疑函的方式：质疑人可通过送达、邮寄、传真、邮件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pPr>
        <w:tabs>
          <w:tab w:val="left" w:pos="518"/>
        </w:tabs>
        <w:adjustRightInd w:val="0"/>
        <w:snapToGrid w:val="0"/>
        <w:spacing w:line="400" w:lineRule="exact"/>
        <w:ind w:firstLine="440" w:firstLineChars="200"/>
        <w:jc w:val="left"/>
        <w:rPr>
          <w:color w:val="auto"/>
          <w:szCs w:val="21"/>
        </w:rPr>
      </w:pPr>
      <w:r>
        <w:rPr>
          <w:rFonts w:hint="eastAsia" w:ascii="宋体" w:hAnsi="宋体" w:eastAsia="宋体" w:cs="宋体"/>
          <w:color w:val="auto"/>
          <w:sz w:val="22"/>
          <w:szCs w:val="22"/>
        </w:rPr>
        <w:t>5.供应商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pPr>
        <w:pStyle w:val="72"/>
        <w:rPr>
          <w:color w:val="auto"/>
        </w:rPr>
      </w:pPr>
    </w:p>
    <w:p>
      <w:pPr>
        <w:pStyle w:val="6"/>
        <w:numPr>
          <w:ilvl w:val="0"/>
          <w:numId w:val="0"/>
        </w:numPr>
        <w:tabs>
          <w:tab w:val="clear" w:pos="576"/>
        </w:tabs>
        <w:spacing w:before="0" w:after="0" w:line="400" w:lineRule="exact"/>
        <w:ind w:firstLine="643" w:firstLineChars="200"/>
        <w:jc w:val="center"/>
        <w:rPr>
          <w:rFonts w:ascii="Times New Roman" w:hAnsi="Times New Roman" w:eastAsia="宋体"/>
          <w:color w:val="auto"/>
        </w:rPr>
      </w:pPr>
      <w:bookmarkStart w:id="101" w:name="_Toc79395450"/>
      <w:bookmarkStart w:id="102" w:name="_Toc460857907"/>
      <w:bookmarkStart w:id="103" w:name="_Toc17707922"/>
      <w:bookmarkStart w:id="104" w:name="_Toc3049"/>
      <w:bookmarkStart w:id="105" w:name="_Toc23258"/>
      <w:bookmarkStart w:id="106" w:name="_Toc460416652"/>
      <w:bookmarkStart w:id="107" w:name="_Toc460416347"/>
      <w:bookmarkStart w:id="108" w:name="_Toc6260"/>
      <w:r>
        <w:rPr>
          <w:rFonts w:ascii="Times New Roman" w:hAnsi="Times New Roman" w:eastAsia="宋体"/>
          <w:color w:val="auto"/>
        </w:rPr>
        <w:t>二、采购文件</w:t>
      </w:r>
      <w:bookmarkEnd w:id="101"/>
      <w:bookmarkEnd w:id="102"/>
      <w:bookmarkEnd w:id="103"/>
      <w:bookmarkEnd w:id="104"/>
      <w:bookmarkEnd w:id="105"/>
      <w:bookmarkEnd w:id="106"/>
      <w:bookmarkEnd w:id="107"/>
      <w:bookmarkEnd w:id="108"/>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109" w:name="_Toc79395451"/>
      <w:bookmarkStart w:id="110" w:name="_Toc1374"/>
      <w:bookmarkStart w:id="111" w:name="_Toc29609"/>
      <w:bookmarkStart w:id="112" w:name="_Toc17707923"/>
      <w:bookmarkStart w:id="113" w:name="_Toc460857908"/>
      <w:r>
        <w:rPr>
          <w:rFonts w:hint="eastAsia" w:ascii="宋体" w:hAnsi="宋体" w:eastAsia="宋体" w:cs="宋体"/>
          <w:color w:val="auto"/>
          <w:kern w:val="2"/>
          <w:sz w:val="22"/>
          <w:szCs w:val="22"/>
        </w:rPr>
        <w:t>（一）采购文件的构成</w:t>
      </w:r>
      <w:bookmarkEnd w:id="109"/>
      <w:bookmarkEnd w:id="110"/>
      <w:bookmarkEnd w:id="111"/>
    </w:p>
    <w:p>
      <w:pPr>
        <w:spacing w:line="400" w:lineRule="exact"/>
        <w:ind w:firstLine="442" w:firstLineChars="201"/>
        <w:rPr>
          <w:rFonts w:hint="eastAsia" w:ascii="宋体" w:hAnsi="宋体" w:eastAsia="宋体" w:cs="宋体"/>
          <w:color w:val="auto"/>
          <w:sz w:val="22"/>
          <w:szCs w:val="22"/>
        </w:rPr>
      </w:pPr>
      <w:r>
        <w:rPr>
          <w:rFonts w:hint="eastAsia" w:ascii="宋体" w:hAnsi="宋体" w:eastAsia="宋体" w:cs="宋体"/>
          <w:color w:val="auto"/>
          <w:sz w:val="22"/>
          <w:szCs w:val="22"/>
        </w:rPr>
        <w:t>本采购文件由以下部份组成：</w:t>
      </w:r>
      <w:bookmarkEnd w:id="112"/>
      <w:bookmarkEnd w:id="113"/>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1.公开招标采购公告；</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2.采购需求；</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3.投标人须知；</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4.评标办法及评分标准；</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5.采购合同主要条款；</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6.投标文件格式；</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7.本项目采购文件的澄清、答复、修改、补充的内容。</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114" w:name="_Toc79395452"/>
      <w:bookmarkStart w:id="115" w:name="_Toc11357"/>
      <w:bookmarkStart w:id="116" w:name="_Toc460857909"/>
      <w:bookmarkStart w:id="117" w:name="_Toc10551"/>
      <w:bookmarkStart w:id="118" w:name="_Toc17707924"/>
      <w:r>
        <w:rPr>
          <w:rFonts w:hint="eastAsia" w:ascii="宋体" w:hAnsi="宋体" w:eastAsia="宋体" w:cs="宋体"/>
          <w:color w:val="auto"/>
          <w:kern w:val="2"/>
          <w:sz w:val="22"/>
          <w:szCs w:val="22"/>
        </w:rPr>
        <w:t>（二）投标人的风险</w:t>
      </w:r>
      <w:bookmarkEnd w:id="114"/>
      <w:bookmarkEnd w:id="115"/>
      <w:bookmarkEnd w:id="116"/>
      <w:bookmarkEnd w:id="117"/>
      <w:bookmarkEnd w:id="118"/>
    </w:p>
    <w:p>
      <w:pPr>
        <w:pStyle w:val="30"/>
        <w:numPr>
          <w:ilvl w:val="0"/>
          <w:numId w:val="0"/>
        </w:num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投标人没有按照采购文件要求提供全部资料，或者投标人没有对采购文件在各方面作出实质性响应是投标人的风险，并可能导致其投标被拒绝。</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119" w:name="_Toc79395453"/>
      <w:bookmarkStart w:id="120" w:name="_Toc12761"/>
      <w:bookmarkStart w:id="121" w:name="_Toc460857910"/>
      <w:bookmarkStart w:id="122" w:name="_Toc27530"/>
      <w:bookmarkStart w:id="123" w:name="_Toc17707925"/>
      <w:r>
        <w:rPr>
          <w:rFonts w:hint="eastAsia" w:ascii="宋体" w:hAnsi="宋体" w:eastAsia="宋体" w:cs="宋体"/>
          <w:color w:val="auto"/>
          <w:kern w:val="2"/>
          <w:sz w:val="22"/>
          <w:szCs w:val="22"/>
        </w:rPr>
        <w:t>（三）采购文件的澄清与修改</w:t>
      </w:r>
      <w:bookmarkEnd w:id="119"/>
      <w:bookmarkEnd w:id="120"/>
      <w:bookmarkEnd w:id="121"/>
      <w:bookmarkEnd w:id="122"/>
      <w:bookmarkEnd w:id="123"/>
      <w:r>
        <w:rPr>
          <w:rFonts w:hint="eastAsia" w:ascii="宋体" w:hAnsi="宋体" w:eastAsia="宋体" w:cs="宋体"/>
          <w:color w:val="auto"/>
          <w:kern w:val="2"/>
          <w:sz w:val="22"/>
          <w:szCs w:val="22"/>
        </w:rPr>
        <w:t xml:space="preserve"> </w:t>
      </w:r>
    </w:p>
    <w:p>
      <w:pPr>
        <w:pStyle w:val="3"/>
        <w:tabs>
          <w:tab w:val="left" w:pos="948"/>
        </w:tabs>
        <w:spacing w:after="0" w:line="400" w:lineRule="exact"/>
        <w:ind w:firstLine="440" w:firstLineChars="200"/>
        <w:rPr>
          <w:rFonts w:hint="eastAsia" w:ascii="宋体" w:hAnsi="宋体" w:eastAsia="宋体" w:cs="宋体"/>
          <w:color w:val="auto"/>
          <w:sz w:val="22"/>
          <w:szCs w:val="22"/>
        </w:rPr>
      </w:pPr>
      <w:bookmarkStart w:id="124" w:name="_Toc460416348"/>
      <w:bookmarkStart w:id="125" w:name="_Toc460416653"/>
      <w:bookmarkStart w:id="126" w:name="_Toc460857912"/>
      <w:r>
        <w:rPr>
          <w:rFonts w:hint="eastAsia" w:ascii="宋体" w:hAnsi="宋体" w:eastAsia="宋体" w:cs="宋体"/>
          <w:color w:val="auto"/>
          <w:sz w:val="22"/>
          <w:szCs w:val="22"/>
        </w:rPr>
        <w:t>1.采购人可主动地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15日前发出。不足15日的，顺延提交投标文件截止时间。</w:t>
      </w:r>
    </w:p>
    <w:p>
      <w:pPr>
        <w:pStyle w:val="3"/>
        <w:tabs>
          <w:tab w:val="left" w:pos="948"/>
        </w:tabs>
        <w:spacing w:after="0"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pPr>
        <w:pStyle w:val="3"/>
        <w:tabs>
          <w:tab w:val="left" w:pos="948"/>
        </w:tabs>
        <w:spacing w:after="0"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因潜在供应商原因或通讯线路故障导致通知逾期送达或无法送达，采购代理机构不因此承担任何责任，有关的招标采购活动可以继续有效进行。</w:t>
      </w:r>
    </w:p>
    <w:p>
      <w:pPr>
        <w:pStyle w:val="3"/>
        <w:tabs>
          <w:tab w:val="left" w:pos="948"/>
        </w:tabs>
        <w:spacing w:after="0"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3.如更正公告有重新发布电子采购文件的，潜在供应商应下载最新发布的电子采购文件制作投标文件。</w:t>
      </w:r>
    </w:p>
    <w:p>
      <w:pPr>
        <w:pStyle w:val="3"/>
        <w:tabs>
          <w:tab w:val="left" w:pos="948"/>
        </w:tabs>
        <w:spacing w:after="0"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4.潜在供应商在规定的时间内未对采购文件提出疑问、质疑或要求澄清的，将视其为无异议。对采购文件中描述有歧义或前后不一致的地方，评标委员会有权进行评判，但对同一条款的评判应适用于每个投标人。</w:t>
      </w:r>
    </w:p>
    <w:p>
      <w:pPr>
        <w:pStyle w:val="6"/>
        <w:numPr>
          <w:ilvl w:val="0"/>
          <w:numId w:val="0"/>
        </w:numPr>
        <w:tabs>
          <w:tab w:val="clear" w:pos="576"/>
        </w:tabs>
        <w:spacing w:before="0" w:after="0" w:line="400" w:lineRule="exact"/>
        <w:ind w:firstLine="643" w:firstLineChars="200"/>
        <w:jc w:val="center"/>
        <w:rPr>
          <w:rFonts w:ascii="Times New Roman" w:hAnsi="Times New Roman" w:eastAsia="宋体"/>
          <w:color w:val="auto"/>
        </w:rPr>
      </w:pPr>
      <w:bookmarkStart w:id="127" w:name="_Toc17144"/>
      <w:bookmarkStart w:id="128" w:name="_Toc9964"/>
      <w:bookmarkStart w:id="129" w:name="_Toc79395454"/>
      <w:bookmarkStart w:id="130" w:name="_Toc4812"/>
      <w:bookmarkStart w:id="131" w:name="_Toc17707926"/>
      <w:r>
        <w:rPr>
          <w:rFonts w:ascii="Times New Roman" w:hAnsi="Times New Roman" w:eastAsia="宋体"/>
          <w:color w:val="auto"/>
        </w:rPr>
        <w:t>三、投标文件的编制</w:t>
      </w:r>
      <w:bookmarkEnd w:id="124"/>
      <w:bookmarkEnd w:id="125"/>
      <w:bookmarkEnd w:id="126"/>
      <w:bookmarkEnd w:id="127"/>
      <w:bookmarkEnd w:id="128"/>
      <w:bookmarkEnd w:id="129"/>
      <w:bookmarkEnd w:id="130"/>
      <w:bookmarkEnd w:id="131"/>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132" w:name="_Toc460857913"/>
      <w:bookmarkStart w:id="133" w:name="_Toc17707927"/>
      <w:bookmarkStart w:id="134" w:name="_Toc19650"/>
      <w:bookmarkStart w:id="135" w:name="_Toc79395455"/>
      <w:bookmarkStart w:id="136" w:name="_Toc460416654"/>
      <w:bookmarkStart w:id="137" w:name="_Toc6222"/>
      <w:bookmarkStart w:id="138" w:name="_Toc460416349"/>
      <w:r>
        <w:rPr>
          <w:rFonts w:hint="eastAsia" w:ascii="宋体" w:hAnsi="宋体" w:eastAsia="宋体" w:cs="宋体"/>
          <w:color w:val="auto"/>
          <w:kern w:val="2"/>
          <w:sz w:val="22"/>
          <w:szCs w:val="22"/>
        </w:rPr>
        <w:t>（一）投标文件的组成</w:t>
      </w:r>
      <w:bookmarkEnd w:id="132"/>
      <w:bookmarkEnd w:id="133"/>
      <w:bookmarkEnd w:id="134"/>
      <w:bookmarkEnd w:id="135"/>
      <w:bookmarkEnd w:id="136"/>
      <w:bookmarkEnd w:id="137"/>
      <w:bookmarkEnd w:id="138"/>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投标文件由资格证明文件、商务技术文件和报价文件三部分组成。</w:t>
      </w:r>
    </w:p>
    <w:p>
      <w:pPr>
        <w:snapToGrid w:val="0"/>
        <w:spacing w:line="400" w:lineRule="exact"/>
        <w:ind w:firstLine="433" w:firstLineChars="196"/>
        <w:jc w:val="left"/>
        <w:rPr>
          <w:rFonts w:hint="eastAsia" w:ascii="宋体" w:hAnsi="宋体" w:eastAsia="宋体" w:cs="宋体"/>
          <w:b/>
          <w:color w:val="auto"/>
          <w:sz w:val="22"/>
          <w:szCs w:val="22"/>
        </w:rPr>
      </w:pPr>
      <w:r>
        <w:rPr>
          <w:rFonts w:hint="eastAsia" w:ascii="宋体" w:hAnsi="宋体" w:eastAsia="宋体" w:cs="宋体"/>
          <w:b/>
          <w:color w:val="auto"/>
          <w:sz w:val="22"/>
          <w:szCs w:val="22"/>
        </w:rPr>
        <w:t>1.资格证明文件包括以下内容：</w:t>
      </w:r>
    </w:p>
    <w:p>
      <w:pPr>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（1）资格证明材料承诺函（格式见附件）；</w:t>
      </w:r>
    </w:p>
    <w:p>
      <w:pPr>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有效营业执照(供应商为企业、个体工商户时提供)或有效的事业单位法人证书（供应商为事业单位时提供）或有效的执业许可证（供应商为非企业专业服务机构时提供，如律师事务所）或有效的自然人身份证明（供应商为自然人时提供）复印件；</w:t>
      </w:r>
    </w:p>
    <w:p>
      <w:pPr>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（3）供应商认为需要的其他资料（如有需提供）</w:t>
      </w:r>
    </w:p>
    <w:p>
      <w:pPr>
        <w:snapToGrid w:val="0"/>
        <w:spacing w:line="400" w:lineRule="exact"/>
        <w:ind w:firstLine="433" w:firstLineChars="196"/>
        <w:jc w:val="left"/>
        <w:rPr>
          <w:rFonts w:hint="eastAsia" w:ascii="宋体" w:hAnsi="宋体" w:eastAsia="宋体" w:cs="宋体"/>
          <w:b/>
          <w:color w:val="auto"/>
          <w:sz w:val="22"/>
          <w:szCs w:val="22"/>
        </w:rPr>
      </w:pPr>
      <w:r>
        <w:rPr>
          <w:rFonts w:hint="eastAsia" w:ascii="宋体" w:hAnsi="宋体" w:eastAsia="宋体" w:cs="宋体"/>
          <w:b/>
          <w:color w:val="auto"/>
          <w:sz w:val="22"/>
          <w:szCs w:val="22"/>
        </w:rPr>
        <w:t>2.商务技术文件包括以下内容：</w:t>
      </w:r>
    </w:p>
    <w:p>
      <w:pPr>
        <w:tabs>
          <w:tab w:val="left" w:pos="518"/>
        </w:tabs>
        <w:adjustRightInd w:val="0"/>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（1）评委打分索引表（格式见附件）；</w:t>
      </w:r>
    </w:p>
    <w:p>
      <w:pPr>
        <w:tabs>
          <w:tab w:val="left" w:pos="518"/>
        </w:tabs>
        <w:adjustRightInd w:val="0"/>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（2）法定代表人的身份证明或法定代表人授权书（格式见附件)；</w:t>
      </w:r>
    </w:p>
    <w:p>
      <w:pPr>
        <w:tabs>
          <w:tab w:val="left" w:pos="518"/>
        </w:tabs>
        <w:adjustRightInd w:val="0"/>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（3）投标人基本情况说明（格式见附件)；</w:t>
      </w:r>
    </w:p>
    <w:p>
      <w:pPr>
        <w:tabs>
          <w:tab w:val="left" w:pos="518"/>
        </w:tabs>
        <w:adjustRightInd w:val="0"/>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（4）类似项目业绩表（格式见附件）；</w:t>
      </w:r>
    </w:p>
    <w:p>
      <w:pPr>
        <w:tabs>
          <w:tab w:val="left" w:pos="518"/>
        </w:tabs>
        <w:adjustRightInd w:val="0"/>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（5）商务条款偏离表（格式见附件）；</w:t>
      </w:r>
    </w:p>
    <w:p>
      <w:pPr>
        <w:tabs>
          <w:tab w:val="left" w:pos="1030"/>
        </w:tabs>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（6）项目负责人简介（格式见附件）；</w:t>
      </w:r>
    </w:p>
    <w:p>
      <w:pPr>
        <w:tabs>
          <w:tab w:val="left" w:pos="1030"/>
        </w:tabs>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（7）项目人员配置（格式见附件）；</w:t>
      </w:r>
    </w:p>
    <w:p>
      <w:pPr>
        <w:spacing w:line="400" w:lineRule="exact"/>
        <w:ind w:left="420"/>
        <w:rPr>
          <w:rFonts w:hint="eastAsia" w:ascii="宋体" w:hAnsi="宋体" w:eastAsia="宋体" w:cs="宋体"/>
          <w:color w:val="auto"/>
          <w:sz w:val="22"/>
          <w:szCs w:val="22"/>
        </w:rPr>
      </w:pPr>
      <w:r>
        <w:rPr>
          <w:rFonts w:hint="eastAsia" w:ascii="宋体" w:hAnsi="宋体" w:eastAsia="宋体" w:cs="宋体"/>
          <w:color w:val="auto"/>
          <w:sz w:val="22"/>
          <w:szCs w:val="22"/>
        </w:rPr>
        <w:t>（8）技术条款偏离表（格式见附件）；</w:t>
      </w:r>
    </w:p>
    <w:p>
      <w:pPr>
        <w:pStyle w:val="135"/>
        <w:tabs>
          <w:tab w:val="left" w:pos="0"/>
        </w:tabs>
        <w:snapToGrid w:val="0"/>
        <w:spacing w:line="400" w:lineRule="exact"/>
        <w:ind w:left="420" w:firstLine="0"/>
        <w:jc w:val="left"/>
        <w:rPr>
          <w:rFonts w:hint="eastAsia" w:ascii="宋体" w:hAnsi="宋体" w:eastAsia="宋体" w:cs="宋体"/>
          <w:color w:val="auto"/>
          <w:sz w:val="22"/>
          <w:szCs w:val="22"/>
        </w:rPr>
      </w:pPr>
      <w:r>
        <w:rPr>
          <w:rFonts w:hint="eastAsia" w:ascii="宋体" w:hAnsi="宋体" w:eastAsia="宋体" w:cs="宋体"/>
          <w:color w:val="auto"/>
          <w:sz w:val="22"/>
          <w:szCs w:val="22"/>
        </w:rPr>
        <w:t>（9）评分标准或采购文件需要提供的证明材料（具体详见评分标准，格式自拟）；</w:t>
      </w:r>
    </w:p>
    <w:p>
      <w:pPr>
        <w:pStyle w:val="135"/>
        <w:tabs>
          <w:tab w:val="left" w:pos="0"/>
        </w:tabs>
        <w:snapToGrid w:val="0"/>
        <w:spacing w:line="400" w:lineRule="exact"/>
        <w:ind w:left="420" w:firstLine="0"/>
        <w:jc w:val="left"/>
        <w:rPr>
          <w:rFonts w:hint="eastAsia" w:ascii="宋体" w:hAnsi="宋体" w:eastAsia="宋体" w:cs="宋体"/>
          <w:color w:val="auto"/>
          <w:sz w:val="22"/>
          <w:szCs w:val="22"/>
        </w:rPr>
      </w:pPr>
      <w:r>
        <w:rPr>
          <w:rFonts w:hint="eastAsia" w:ascii="宋体" w:hAnsi="宋体" w:eastAsia="宋体" w:cs="宋体"/>
          <w:color w:val="auto"/>
          <w:sz w:val="22"/>
          <w:szCs w:val="22"/>
        </w:rPr>
        <w:t>（10）投标人认为有必要提交的其他商务技术说明文件和资料。</w:t>
      </w:r>
    </w:p>
    <w:p>
      <w:pPr>
        <w:snapToGrid w:val="0"/>
        <w:spacing w:line="400" w:lineRule="exact"/>
        <w:ind w:left="413"/>
        <w:jc w:val="left"/>
        <w:rPr>
          <w:rFonts w:hint="eastAsia" w:ascii="宋体" w:hAnsi="宋体" w:eastAsia="宋体" w:cs="宋体"/>
          <w:b/>
          <w:color w:val="auto"/>
          <w:sz w:val="22"/>
          <w:szCs w:val="22"/>
        </w:rPr>
      </w:pPr>
      <w:r>
        <w:rPr>
          <w:rFonts w:hint="eastAsia" w:ascii="宋体" w:hAnsi="宋体" w:eastAsia="宋体" w:cs="宋体"/>
          <w:b/>
          <w:color w:val="auto"/>
          <w:sz w:val="22"/>
          <w:szCs w:val="22"/>
        </w:rPr>
        <w:t>3.报价文件包括以下内容：</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（1）投标函(格式见附件)；</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（2）开标一览表(格式见附件)；</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（3）投标分项报价表(格式见附件)；</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（4）中小企业声明函（若有，格式见附件）；</w:t>
      </w:r>
    </w:p>
    <w:p>
      <w:pPr>
        <w:snapToGrid w:val="0"/>
        <w:spacing w:line="400" w:lineRule="exact"/>
        <w:ind w:firstLine="442" w:firstLineChars="200"/>
        <w:jc w:val="left"/>
        <w:rPr>
          <w:rFonts w:hint="eastAsia" w:ascii="宋体" w:hAnsi="宋体" w:eastAsia="宋体" w:cs="宋体"/>
          <w:b/>
          <w:bCs/>
          <w:color w:val="auto"/>
          <w:sz w:val="22"/>
          <w:szCs w:val="22"/>
        </w:rPr>
      </w:pPr>
      <w:r>
        <w:rPr>
          <w:rFonts w:hint="eastAsia" w:ascii="宋体" w:hAnsi="宋体" w:eastAsia="宋体" w:cs="宋体"/>
          <w:b/>
          <w:bCs/>
          <w:color w:val="auto"/>
          <w:sz w:val="22"/>
          <w:szCs w:val="22"/>
        </w:rPr>
        <w:t>本项目为非专门面向中小企业采购的项目，如果供应商和制造商均为小微企业，提供《中小企业声明函》。如未按照要求提供，将不得享受评标标准中注明的针对小微企业的价格扣除优惠。</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（5）残疾人福利性单位声明函（若有，格式见附件）；</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（6）投标人针对报价需要说明的其他文件和说明。</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4.上述组成投标文件的各项资料中本招标文件的有规定格式的，应统一按本招标文件的规定格式填写。未有规定格式的资料，投标人应自行编制，但至少要包含以上要求的内容。</w:t>
      </w:r>
    </w:p>
    <w:p>
      <w:pPr>
        <w:snapToGrid w:val="0"/>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5.投标文件在提供对投标产品技术条款响应表的应答时，对招标文件有技术数值要求的参数，应以投标货物的具体技术数值据实应答；对于招标文件无数值要求的参数的应答，应作出明确、直接、无导致两种理解可能的应答。</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139" w:name="_Toc24666"/>
      <w:bookmarkStart w:id="140" w:name="_Toc460857914"/>
      <w:bookmarkStart w:id="141" w:name="_Toc79395456"/>
      <w:bookmarkStart w:id="142" w:name="_Toc17707928"/>
      <w:bookmarkStart w:id="143" w:name="_Toc460416655"/>
      <w:bookmarkStart w:id="144" w:name="_Toc28355"/>
      <w:bookmarkStart w:id="145" w:name="_Toc460416350"/>
      <w:r>
        <w:rPr>
          <w:rFonts w:hint="eastAsia" w:ascii="宋体" w:hAnsi="宋体" w:eastAsia="宋体" w:cs="宋体"/>
          <w:color w:val="auto"/>
          <w:kern w:val="2"/>
          <w:sz w:val="22"/>
          <w:szCs w:val="22"/>
        </w:rPr>
        <w:t>（二）投标文件的语言及计量</w:t>
      </w:r>
      <w:bookmarkEnd w:id="139"/>
      <w:bookmarkEnd w:id="140"/>
      <w:bookmarkEnd w:id="141"/>
      <w:bookmarkEnd w:id="142"/>
      <w:bookmarkEnd w:id="143"/>
      <w:bookmarkEnd w:id="144"/>
      <w:bookmarkEnd w:id="145"/>
    </w:p>
    <w:p>
      <w:pPr>
        <w:snapToGrid w:val="0"/>
        <w:spacing w:line="4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1.投标文件以及投标人与采购人就有关投标事宜的所有来往函电，均应以中文汉语书写。除签名、盖章、专用名称等特殊情形外，以中文汉语以外的文字表述的投标文件视同未提供。</w:t>
      </w:r>
    </w:p>
    <w:p>
      <w:pPr>
        <w:snapToGrid w:val="0"/>
        <w:spacing w:line="4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2.投标计量单位，采购文件已有明确规定的，使用采购文件规定的计量单位；采购文件没有规定的，应采用中华人民共和国法定计量单位（货币单位：人民币元），否则视同未响应。</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146" w:name="_Toc460416656"/>
      <w:bookmarkStart w:id="147" w:name="_Toc79395457"/>
      <w:bookmarkStart w:id="148" w:name="_Toc22085"/>
      <w:bookmarkStart w:id="149" w:name="_Toc460857915"/>
      <w:bookmarkStart w:id="150" w:name="_Toc12050"/>
      <w:bookmarkStart w:id="151" w:name="_Toc460416351"/>
      <w:bookmarkStart w:id="152" w:name="_Toc17707929"/>
      <w:r>
        <w:rPr>
          <w:rFonts w:hint="eastAsia" w:ascii="宋体" w:hAnsi="宋体" w:eastAsia="宋体" w:cs="宋体"/>
          <w:color w:val="auto"/>
          <w:kern w:val="2"/>
          <w:sz w:val="22"/>
          <w:szCs w:val="22"/>
        </w:rPr>
        <w:t>（三）投标报价</w:t>
      </w:r>
      <w:bookmarkEnd w:id="146"/>
      <w:bookmarkEnd w:id="147"/>
      <w:bookmarkEnd w:id="148"/>
      <w:bookmarkEnd w:id="149"/>
      <w:bookmarkEnd w:id="150"/>
      <w:bookmarkEnd w:id="151"/>
      <w:bookmarkEnd w:id="152"/>
    </w:p>
    <w:p>
      <w:pPr>
        <w:pStyle w:val="20"/>
        <w:snapToGrid w:val="0"/>
        <w:spacing w:beforeLines="0" w:afterLines="0"/>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1.投标报价应按采购文件中相关附表格式填写。</w:t>
      </w:r>
    </w:p>
    <w:p>
      <w:pPr>
        <w:tabs>
          <w:tab w:val="left" w:pos="525"/>
        </w:tabs>
        <w:snapToGrid w:val="0"/>
        <w:spacing w:line="4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2.投标文件只允许有一个报价，有选择的或有条件的报价将不予接受。</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153" w:name="_Toc31899"/>
      <w:bookmarkStart w:id="154" w:name="_Toc24337"/>
      <w:bookmarkStart w:id="155" w:name="_Toc17707930"/>
      <w:bookmarkStart w:id="156" w:name="_Toc460857916"/>
      <w:bookmarkStart w:id="157" w:name="_Toc79395458"/>
      <w:r>
        <w:rPr>
          <w:rFonts w:hint="eastAsia" w:ascii="宋体" w:hAnsi="宋体" w:eastAsia="宋体" w:cs="宋体"/>
          <w:color w:val="auto"/>
          <w:kern w:val="2"/>
          <w:sz w:val="22"/>
          <w:szCs w:val="22"/>
        </w:rPr>
        <w:t>（四）投标文件的有效期</w:t>
      </w:r>
      <w:bookmarkEnd w:id="153"/>
      <w:bookmarkEnd w:id="154"/>
      <w:bookmarkEnd w:id="155"/>
      <w:bookmarkEnd w:id="156"/>
      <w:bookmarkEnd w:id="157"/>
    </w:p>
    <w:p>
      <w:pPr>
        <w:pStyle w:val="10"/>
        <w:widowControl w:val="0"/>
        <w:tabs>
          <w:tab w:val="clear" w:pos="454"/>
        </w:tabs>
        <w:snapToGrid w:val="0"/>
        <w:spacing w:afterLines="0" w:line="400" w:lineRule="exact"/>
        <w:ind w:left="0"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*1.自投标截止日起</w:t>
      </w:r>
      <w:r>
        <w:rPr>
          <w:rFonts w:hint="eastAsia" w:ascii="宋体" w:hAnsi="宋体" w:eastAsia="宋体" w:cs="宋体"/>
          <w:b/>
          <w:color w:val="auto"/>
          <w:sz w:val="22"/>
          <w:szCs w:val="22"/>
          <w:u w:val="single"/>
        </w:rPr>
        <w:t xml:space="preserve"> 90 </w:t>
      </w:r>
      <w:r>
        <w:rPr>
          <w:rFonts w:hint="eastAsia" w:ascii="宋体" w:hAnsi="宋体" w:eastAsia="宋体" w:cs="宋体"/>
          <w:b/>
          <w:color w:val="auto"/>
          <w:sz w:val="22"/>
          <w:szCs w:val="22"/>
        </w:rPr>
        <w:t>天投标文件应保持有效，有效期不足的投标文件将被拒绝。</w:t>
      </w:r>
    </w:p>
    <w:p>
      <w:pPr>
        <w:pStyle w:val="10"/>
        <w:widowControl w:val="0"/>
        <w:tabs>
          <w:tab w:val="clear" w:pos="454"/>
        </w:tabs>
        <w:snapToGrid w:val="0"/>
        <w:spacing w:afterLines="0" w:line="400" w:lineRule="exact"/>
        <w:ind w:left="0"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2.在特殊情况下，采购人可与投标人协商延长投标书的有效期，这种要求和答复均以书面形式进行。</w:t>
      </w:r>
    </w:p>
    <w:p>
      <w:pPr>
        <w:pStyle w:val="10"/>
        <w:widowControl w:val="0"/>
        <w:tabs>
          <w:tab w:val="clear" w:pos="454"/>
        </w:tabs>
        <w:snapToGrid w:val="0"/>
        <w:spacing w:afterLines="0" w:line="400" w:lineRule="exact"/>
        <w:ind w:left="0" w:firstLine="440" w:firstLineChars="200"/>
        <w:rPr>
          <w:rFonts w:hint="eastAsia" w:ascii="宋体" w:hAnsi="宋体" w:eastAsia="宋体" w:cs="宋体"/>
          <w:color w:val="auto"/>
          <w:sz w:val="22"/>
          <w:szCs w:val="22"/>
        </w:rPr>
      </w:pPr>
      <w:bookmarkStart w:id="158" w:name="_Toc460416352"/>
      <w:bookmarkStart w:id="159" w:name="_Toc460416657"/>
      <w:r>
        <w:rPr>
          <w:rFonts w:hint="eastAsia" w:ascii="宋体" w:hAnsi="宋体" w:eastAsia="宋体" w:cs="宋体"/>
          <w:color w:val="auto"/>
          <w:sz w:val="22"/>
          <w:szCs w:val="22"/>
        </w:rPr>
        <w:t>3.投标人可拒绝接受延期要求。同意延长有效期的投标人，不能修改投标文件。</w:t>
      </w:r>
      <w:bookmarkEnd w:id="158"/>
      <w:bookmarkEnd w:id="159"/>
      <w:r>
        <w:rPr>
          <w:rFonts w:hint="eastAsia" w:ascii="宋体" w:hAnsi="宋体" w:eastAsia="宋体" w:cs="宋体"/>
          <w:color w:val="auto"/>
          <w:sz w:val="22"/>
          <w:szCs w:val="22"/>
        </w:rPr>
        <w:t xml:space="preserve"> </w:t>
      </w:r>
    </w:p>
    <w:p>
      <w:pPr>
        <w:pStyle w:val="10"/>
        <w:widowControl w:val="0"/>
        <w:tabs>
          <w:tab w:val="clear" w:pos="454"/>
        </w:tabs>
        <w:snapToGrid w:val="0"/>
        <w:spacing w:afterLines="0" w:line="400" w:lineRule="exact"/>
        <w:ind w:left="0" w:firstLine="440" w:firstLineChars="200"/>
        <w:rPr>
          <w:rFonts w:hint="eastAsia" w:ascii="宋体" w:hAnsi="宋体" w:eastAsia="宋体" w:cs="宋体"/>
          <w:color w:val="auto"/>
          <w:sz w:val="22"/>
          <w:szCs w:val="22"/>
        </w:rPr>
      </w:pPr>
      <w:bookmarkStart w:id="160" w:name="_Toc460416353"/>
      <w:bookmarkStart w:id="161" w:name="_Toc460416658"/>
      <w:r>
        <w:rPr>
          <w:rFonts w:hint="eastAsia" w:ascii="宋体" w:hAnsi="宋体" w:eastAsia="宋体" w:cs="宋体"/>
          <w:color w:val="auto"/>
          <w:sz w:val="22"/>
          <w:szCs w:val="22"/>
        </w:rPr>
        <w:t>4.中标人的投标文件自开标之日起至合同履行完毕止均应保持有效。</w:t>
      </w:r>
      <w:bookmarkEnd w:id="160"/>
      <w:bookmarkEnd w:id="161"/>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162" w:name="_Toc460416355"/>
      <w:bookmarkStart w:id="163" w:name="_Toc460416660"/>
      <w:bookmarkStart w:id="164" w:name="_Toc17707932"/>
      <w:bookmarkStart w:id="165" w:name="_Toc460857918"/>
      <w:bookmarkStart w:id="166" w:name="_Toc9312"/>
      <w:bookmarkStart w:id="167" w:name="_Toc79395459"/>
      <w:bookmarkStart w:id="168" w:name="_Toc18151"/>
      <w:r>
        <w:rPr>
          <w:rFonts w:hint="eastAsia" w:ascii="宋体" w:hAnsi="宋体" w:eastAsia="宋体" w:cs="宋体"/>
          <w:color w:val="auto"/>
          <w:kern w:val="2"/>
          <w:sz w:val="22"/>
          <w:szCs w:val="22"/>
        </w:rPr>
        <w:t>（四）投标文件的盖章、签署、份数</w:t>
      </w:r>
      <w:bookmarkEnd w:id="162"/>
      <w:bookmarkEnd w:id="163"/>
      <w:bookmarkEnd w:id="164"/>
      <w:bookmarkEnd w:id="165"/>
      <w:r>
        <w:rPr>
          <w:rFonts w:hint="eastAsia" w:ascii="宋体" w:hAnsi="宋体" w:eastAsia="宋体" w:cs="宋体"/>
          <w:color w:val="auto"/>
          <w:kern w:val="2"/>
          <w:sz w:val="22"/>
          <w:szCs w:val="22"/>
        </w:rPr>
        <w:t>、要求及效力</w:t>
      </w:r>
      <w:bookmarkEnd w:id="166"/>
      <w:bookmarkEnd w:id="167"/>
      <w:bookmarkEnd w:id="168"/>
    </w:p>
    <w:p>
      <w:pPr>
        <w:spacing w:line="40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1.供应商应按本采购文件规定的格式和顺序编制、装订投标文件，投标文件要求有目录并标注页码，投标文件内容不完整、编排混乱导致投标文件被误读、漏读或者查找不到相关内容的，是供应商的责任。</w:t>
      </w:r>
    </w:p>
    <w:p>
      <w:pPr>
        <w:spacing w:line="400" w:lineRule="exact"/>
        <w:ind w:firstLine="442" w:firstLineChars="200"/>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2.投标文件的份数：</w:t>
      </w:r>
    </w:p>
    <w:p>
      <w:pPr>
        <w:spacing w:line="40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本项目供应商应准备以下投标文件：</w:t>
      </w:r>
    </w:p>
    <w:p>
      <w:pPr>
        <w:spacing w:line="40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（1）上传到政府采购云平台的电子投标文件（含资格证明文件、商务技术文件、报价文件）1份；</w:t>
      </w:r>
    </w:p>
    <w:p>
      <w:pPr>
        <w:spacing w:line="40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（2）以U盘存储的电子备份投标文件（含资格证明文件、商务技术文件、报价文件）1份</w:t>
      </w:r>
      <w:r>
        <w:rPr>
          <w:rFonts w:hint="eastAsia" w:ascii="宋体" w:hAnsi="宋体" w:eastAsia="宋体" w:cs="宋体"/>
          <w:b/>
          <w:bCs/>
          <w:color w:val="auto"/>
          <w:kern w:val="0"/>
          <w:sz w:val="22"/>
          <w:szCs w:val="22"/>
        </w:rPr>
        <w:t>（非强制项）</w:t>
      </w:r>
      <w:r>
        <w:rPr>
          <w:rFonts w:hint="eastAsia" w:ascii="宋体" w:hAnsi="宋体" w:eastAsia="宋体" w:cs="宋体"/>
          <w:color w:val="auto"/>
          <w:kern w:val="0"/>
          <w:sz w:val="22"/>
          <w:szCs w:val="22"/>
        </w:rPr>
        <w:t>；</w:t>
      </w:r>
    </w:p>
    <w:p>
      <w:pPr>
        <w:spacing w:line="40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（3）评标结束后，本项目的中标供应商仍需提供叁套与电子投标文件一致的纸质投标文件（一正二副），如不一致，以电子投标文件为准。 </w:t>
      </w:r>
    </w:p>
    <w:p>
      <w:pPr>
        <w:spacing w:line="400" w:lineRule="exact"/>
        <w:ind w:firstLine="442" w:firstLineChars="200"/>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3.电子投标文件：</w:t>
      </w:r>
    </w:p>
    <w:p>
      <w:pPr>
        <w:spacing w:line="40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供应商应根据</w:t>
      </w:r>
      <w:r>
        <w:rPr>
          <w:rFonts w:hint="eastAsia" w:ascii="宋体" w:hAnsi="宋体" w:eastAsia="宋体" w:cs="宋体"/>
          <w:color w:val="auto"/>
          <w:sz w:val="22"/>
          <w:szCs w:val="22"/>
        </w:rPr>
        <w:t>“政采云供应商项目采购-电子招投标操作指南”</w:t>
      </w:r>
      <w:r>
        <w:rPr>
          <w:rFonts w:hint="eastAsia" w:ascii="宋体" w:hAnsi="宋体" w:eastAsia="宋体" w:cs="宋体"/>
          <w:color w:val="auto"/>
          <w:kern w:val="0"/>
          <w:sz w:val="22"/>
          <w:szCs w:val="22"/>
        </w:rPr>
        <w:t>及本采购文件规定的格式和顺序编制电子投标文件并进行关联定位。</w:t>
      </w:r>
    </w:p>
    <w:p>
      <w:pPr>
        <w:spacing w:line="40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4.投标文件的效力：</w:t>
      </w:r>
    </w:p>
    <w:p>
      <w:pPr>
        <w:spacing w:line="40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投标文件的启用，按先后顺位分别为“电子加密投标文件”→“电子备份投标文件”→“纸质备份投标文件”。在下一顺位的投标文件启用时，前一顺位的投标文件自动失效。</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169" w:name="_Toc2089"/>
      <w:bookmarkStart w:id="170" w:name="_Toc460857919"/>
      <w:bookmarkStart w:id="171" w:name="_Toc17707933"/>
      <w:bookmarkStart w:id="172" w:name="_Toc79395460"/>
      <w:bookmarkStart w:id="173" w:name="_Toc934"/>
      <w:r>
        <w:rPr>
          <w:rFonts w:hint="eastAsia" w:ascii="宋体" w:hAnsi="宋体" w:eastAsia="宋体" w:cs="宋体"/>
          <w:color w:val="auto"/>
          <w:kern w:val="2"/>
          <w:sz w:val="22"/>
          <w:szCs w:val="22"/>
        </w:rPr>
        <w:t>（五）投标文件的包装、递交、修改和撤回</w:t>
      </w:r>
      <w:bookmarkEnd w:id="169"/>
      <w:bookmarkEnd w:id="170"/>
      <w:bookmarkEnd w:id="171"/>
      <w:bookmarkEnd w:id="172"/>
      <w:bookmarkEnd w:id="173"/>
    </w:p>
    <w:p>
      <w:pPr>
        <w:snapToGrid w:val="0"/>
        <w:spacing w:line="400" w:lineRule="exact"/>
        <w:ind w:firstLine="42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1.以U盘存储的电子备份投标文件用封袋密封后递交。</w:t>
      </w:r>
    </w:p>
    <w:p>
      <w:pPr>
        <w:snapToGrid w:val="0"/>
        <w:spacing w:line="400" w:lineRule="exact"/>
        <w:ind w:firstLine="42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2.投标文件的包装封面上应注明供应商名称、供应商地址、投标文件名称(电子备份投标文件)、投标项目名称、项目编号、子包号，并加盖供应商公章。</w:t>
      </w:r>
    </w:p>
    <w:p>
      <w:pPr>
        <w:snapToGrid w:val="0"/>
        <w:spacing w:line="400" w:lineRule="exact"/>
        <w:ind w:firstLine="42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3.未按规定密封或标记的投标文件将被拒绝，由此造成投标文件被误投或提前拆封的风险由供应商承担。</w:t>
      </w:r>
    </w:p>
    <w:p>
      <w:pPr>
        <w:snapToGrid w:val="0"/>
        <w:spacing w:line="400" w:lineRule="exact"/>
        <w:ind w:firstLine="42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pPr>
        <w:snapToGrid w:val="0"/>
        <w:spacing w:line="400" w:lineRule="exact"/>
        <w:ind w:firstLine="42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7"/>
        <w:numPr>
          <w:ilvl w:val="0"/>
          <w:numId w:val="0"/>
        </w:numPr>
        <w:spacing w:before="0" w:after="0" w:line="400" w:lineRule="exact"/>
        <w:ind w:firstLine="442" w:firstLineChars="200"/>
        <w:rPr>
          <w:rFonts w:hint="eastAsia" w:ascii="宋体" w:hAnsi="宋体" w:eastAsia="宋体" w:cs="宋体"/>
          <w:color w:val="auto"/>
          <w:kern w:val="2"/>
          <w:sz w:val="22"/>
          <w:szCs w:val="22"/>
        </w:rPr>
      </w:pPr>
      <w:bookmarkStart w:id="174" w:name="_Toc460857920"/>
      <w:bookmarkStart w:id="175" w:name="_Toc17707934"/>
      <w:bookmarkStart w:id="176" w:name="_Toc460416356"/>
      <w:bookmarkStart w:id="177" w:name="_Toc79395461"/>
      <w:bookmarkStart w:id="178" w:name="_Toc7109"/>
      <w:bookmarkStart w:id="179" w:name="_Toc2821"/>
      <w:bookmarkStart w:id="180" w:name="_Toc460416661"/>
      <w:r>
        <w:rPr>
          <w:rFonts w:hint="eastAsia" w:ascii="宋体" w:hAnsi="宋体" w:eastAsia="宋体" w:cs="宋体"/>
          <w:color w:val="auto"/>
          <w:kern w:val="2"/>
          <w:sz w:val="22"/>
          <w:szCs w:val="22"/>
        </w:rPr>
        <w:t>（六）投标无效的情形</w:t>
      </w:r>
      <w:bookmarkEnd w:id="174"/>
      <w:bookmarkEnd w:id="175"/>
      <w:bookmarkEnd w:id="176"/>
      <w:bookmarkEnd w:id="177"/>
      <w:bookmarkEnd w:id="178"/>
      <w:bookmarkEnd w:id="179"/>
      <w:bookmarkEnd w:id="180"/>
    </w:p>
    <w:p>
      <w:pPr>
        <w:snapToGrid w:val="0"/>
        <w:spacing w:line="40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实质上没有响应采购文件要求的投标将被视为无效投标，投标人不得通过修正或撤消不合要求的偏离或保留从而使其投标成为实质上响应的投标。投标无效情形详见第四章《评标办法及评分标准》。</w:t>
      </w:r>
    </w:p>
    <w:p>
      <w:pPr>
        <w:pStyle w:val="6"/>
        <w:numPr>
          <w:ilvl w:val="0"/>
          <w:numId w:val="0"/>
        </w:numPr>
        <w:tabs>
          <w:tab w:val="clear" w:pos="576"/>
        </w:tabs>
        <w:spacing w:before="0" w:after="0" w:line="400" w:lineRule="exact"/>
        <w:ind w:firstLine="442" w:firstLineChars="200"/>
        <w:jc w:val="left"/>
        <w:rPr>
          <w:rFonts w:hint="eastAsia" w:ascii="宋体" w:hAnsi="宋体" w:eastAsia="宋体" w:cs="宋体"/>
          <w:color w:val="auto"/>
          <w:sz w:val="22"/>
          <w:szCs w:val="22"/>
        </w:rPr>
      </w:pPr>
      <w:bookmarkStart w:id="181" w:name="_Toc79395474"/>
      <w:bookmarkStart w:id="182" w:name="_Toc3589"/>
      <w:bookmarkStart w:id="183" w:name="_Toc27233"/>
      <w:bookmarkStart w:id="184" w:name="_Toc17707951"/>
      <w:bookmarkStart w:id="185" w:name="_Toc460857937"/>
      <w:bookmarkStart w:id="186" w:name="_Toc14989"/>
      <w:r>
        <w:rPr>
          <w:rFonts w:hint="eastAsia" w:ascii="宋体" w:hAnsi="宋体" w:eastAsia="宋体" w:cs="宋体"/>
          <w:color w:val="auto"/>
          <w:sz w:val="22"/>
          <w:szCs w:val="22"/>
        </w:rPr>
        <w:t>特别说明</w:t>
      </w:r>
      <w:bookmarkEnd w:id="181"/>
      <w:bookmarkEnd w:id="182"/>
      <w:bookmarkEnd w:id="183"/>
      <w:bookmarkEnd w:id="184"/>
      <w:bookmarkEnd w:id="185"/>
      <w:bookmarkEnd w:id="186"/>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1.本项目</w:t>
      </w:r>
      <w:r>
        <w:rPr>
          <w:rFonts w:hint="eastAsia" w:ascii="宋体" w:hAnsi="宋体" w:eastAsia="宋体" w:cs="宋体"/>
          <w:color w:val="auto"/>
          <w:sz w:val="22"/>
          <w:szCs w:val="22"/>
          <w:u w:val="single"/>
        </w:rPr>
        <w:t xml:space="preserve"> 非 </w:t>
      </w:r>
      <w:r>
        <w:rPr>
          <w:rFonts w:hint="eastAsia" w:ascii="宋体" w:hAnsi="宋体" w:eastAsia="宋体" w:cs="宋体"/>
          <w:color w:val="auto"/>
          <w:sz w:val="22"/>
          <w:szCs w:val="22"/>
        </w:rPr>
        <w:t>专门面向中小企业采购。</w:t>
      </w:r>
    </w:p>
    <w:p>
      <w:pPr>
        <w:tabs>
          <w:tab w:val="left" w:pos="518"/>
        </w:tabs>
        <w:adjustRightInd w:val="0"/>
        <w:snapToGrid w:val="0"/>
        <w:spacing w:line="400" w:lineRule="exact"/>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2.本项目对应的中小企业划分标准所属行业：</w:t>
      </w:r>
      <w:r>
        <w:rPr>
          <w:rFonts w:hint="eastAsia" w:ascii="宋体" w:hAnsi="宋体" w:eastAsia="宋体" w:cs="宋体"/>
          <w:b/>
          <w:bCs/>
          <w:color w:val="auto"/>
          <w:sz w:val="22"/>
          <w:szCs w:val="22"/>
          <w:u w:val="single"/>
        </w:rPr>
        <w:t>其他未列明行业</w:t>
      </w:r>
      <w:r>
        <w:rPr>
          <w:rFonts w:hint="eastAsia" w:ascii="宋体" w:hAnsi="宋体" w:eastAsia="宋体" w:cs="宋体"/>
          <w:b/>
          <w:bCs/>
          <w:color w:val="auto"/>
          <w:sz w:val="22"/>
          <w:szCs w:val="22"/>
        </w:rPr>
        <w:t>。</w:t>
      </w:r>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3.中小企业是指中华人民共和国境内依法设立，依据国务院批准的中小企业划分标准确定的小型企业和微型企业，但与大企业的负责人为同一人，或者与大企业存在直接控股、管理关系的除外。</w:t>
      </w:r>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符合中小企业划分标准的个体工商户，在政府采购活动中视同中小企业。</w:t>
      </w:r>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国务院批准的中小企业划分标准：具体见工信部联企业[2011]300号。</w:t>
      </w:r>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4.在政府采购活动中，供应商提供的货物、工程或者服务符合下列情形的，可享受小型、微型企业（以下简称小微企业）的价格扣除：</w:t>
      </w:r>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（1）在货物采购项目中，货物由小微企业制造，即货物由小微企业生产且使用该小微企业商号或者注册商标；</w:t>
      </w:r>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（2）在工程采购项目中，工程由小微企业承建，即工程施工单位为小微企业；</w:t>
      </w:r>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（3）在服务采购项目中，服务由小微企业承接，即提供服务的人员为小微企业依照《中华人民共和国劳动合同法》订立劳动合同的从业人员。</w:t>
      </w:r>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以联合体形式参加政府采购活动，联合体各方均为小微企业的，联合体视同小微企业。</w:t>
      </w:r>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5.在货物采购项目中，供应商提供的货物既有中小企业制造货物，也有大型企业制造货物的，不享受的小微企业价格扣除。</w:t>
      </w:r>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6.对于非专门面向中小企业采购的采购项目，小微企业报价给予 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可给予联合体6％的价格扣除，用扣除后的价格参与评审。组成联合体或者接受分包的小微企业与联合体内其他企业、分包企业之间存在直接控股、管理关系的，不享受价格扣除优惠政策。</w:t>
      </w:r>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供应商提供声明函内容不实的，属于提供虚假材料谋取中标、成交，依照《中华人民共和国政府采购法》等国家有关规定追究相应责任。</w:t>
      </w:r>
    </w:p>
    <w:p>
      <w:pPr>
        <w:tabs>
          <w:tab w:val="left" w:pos="518"/>
        </w:tabs>
        <w:adjustRightInd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8.按规定享受扶持政策获得政府采购合同的，小微企业不得将合同分包给大中型企业，中型企业不得将合同分包给大型企业。</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根据《关于促进残疾人就业政府采购政策的通知》（财库[2017]141号）规定，在政府采购活动中，残疾人福利性单位视同小型、微型企业。残疾人福利性单位参加政府采购活动时，提供《残疾人福利性单位声明函》。</w:t>
      </w:r>
    </w:p>
    <w:p>
      <w:pPr>
        <w:spacing w:line="400" w:lineRule="exact"/>
        <w:ind w:firstLine="442" w:firstLineChars="200"/>
        <w:rPr>
          <w:rFonts w:hint="eastAsia" w:ascii="宋体" w:hAnsi="宋体" w:eastAsia="宋体" w:cs="宋体"/>
          <w:b/>
          <w:color w:val="auto"/>
          <w:sz w:val="22"/>
          <w:szCs w:val="22"/>
        </w:rPr>
      </w:pPr>
    </w:p>
    <w:p>
      <w:pPr>
        <w:rPr>
          <w:color w:val="auto"/>
        </w:rPr>
      </w:pPr>
      <w:bookmarkStart w:id="187" w:name="_Toc15374"/>
      <w:bookmarkStart w:id="188" w:name="_Toc17707952"/>
      <w:bookmarkStart w:id="189" w:name="_Toc79395475"/>
      <w:bookmarkStart w:id="190" w:name="_Toc25321"/>
      <w:bookmarkStart w:id="191" w:name="_Toc14879"/>
    </w:p>
    <w:p>
      <w:pPr>
        <w:rPr>
          <w:color w:val="auto"/>
          <w:sz w:val="30"/>
        </w:rPr>
      </w:pPr>
      <w:r>
        <w:rPr>
          <w:color w:val="auto"/>
          <w:sz w:val="30"/>
        </w:rPr>
        <w:br w:type="page"/>
      </w:r>
    </w:p>
    <w:p>
      <w:pPr>
        <w:pStyle w:val="5"/>
        <w:spacing w:before="0" w:after="0" w:line="360" w:lineRule="auto"/>
        <w:jc w:val="center"/>
        <w:rPr>
          <w:b w:val="0"/>
          <w:bCs w:val="0"/>
          <w:color w:val="auto"/>
          <w:sz w:val="28"/>
          <w:szCs w:val="28"/>
        </w:rPr>
      </w:pPr>
      <w:r>
        <w:rPr>
          <w:color w:val="auto"/>
          <w:sz w:val="30"/>
        </w:rPr>
        <w:t xml:space="preserve">第四章  </w:t>
      </w:r>
      <w:bookmarkStart w:id="192" w:name="_Hlk22492252"/>
      <w:r>
        <w:rPr>
          <w:color w:val="auto"/>
          <w:sz w:val="30"/>
        </w:rPr>
        <w:t>评标办法及评分标准</w:t>
      </w:r>
      <w:bookmarkEnd w:id="187"/>
      <w:bookmarkEnd w:id="188"/>
      <w:bookmarkEnd w:id="189"/>
      <w:bookmarkEnd w:id="190"/>
      <w:bookmarkEnd w:id="191"/>
      <w:bookmarkEnd w:id="192"/>
    </w:p>
    <w:p>
      <w:pPr>
        <w:pStyle w:val="27"/>
        <w:spacing w:before="156" w:beforeLines="50" w:after="156" w:afterLines="50" w:line="400" w:lineRule="exact"/>
        <w:ind w:firstLine="433" w:firstLineChars="196"/>
        <w:jc w:val="left"/>
        <w:rPr>
          <w:rFonts w:ascii="Times New Roman" w:hAnsi="Times New Roman"/>
          <w:color w:val="auto"/>
          <w:sz w:val="22"/>
          <w:szCs w:val="22"/>
        </w:rPr>
      </w:pPr>
      <w:bookmarkStart w:id="193" w:name="_Toc481567075"/>
      <w:bookmarkStart w:id="194" w:name="_Toc493058315"/>
      <w:bookmarkStart w:id="195" w:name="_Toc495957613"/>
      <w:bookmarkStart w:id="196" w:name="_Toc17707953"/>
      <w:bookmarkStart w:id="197" w:name="_Toc79395476"/>
      <w:bookmarkStart w:id="198" w:name="_Toc5227"/>
      <w:bookmarkStart w:id="199" w:name="_Toc51446753"/>
      <w:bookmarkStart w:id="200" w:name="_Toc2954"/>
      <w:bookmarkStart w:id="201" w:name="_Toc27629"/>
      <w:r>
        <w:rPr>
          <w:rFonts w:ascii="Times New Roman" w:hAnsi="Times New Roman"/>
          <w:color w:val="auto"/>
          <w:sz w:val="22"/>
          <w:szCs w:val="22"/>
        </w:rPr>
        <w:t>一、</w:t>
      </w:r>
      <w:bookmarkEnd w:id="193"/>
      <w:bookmarkEnd w:id="194"/>
      <w:bookmarkEnd w:id="195"/>
      <w:r>
        <w:rPr>
          <w:rFonts w:ascii="Times New Roman" w:hAnsi="Times New Roman"/>
          <w:color w:val="auto"/>
          <w:sz w:val="22"/>
          <w:szCs w:val="22"/>
        </w:rPr>
        <w:t>总则</w:t>
      </w:r>
      <w:bookmarkEnd w:id="196"/>
      <w:bookmarkEnd w:id="197"/>
      <w:bookmarkEnd w:id="198"/>
      <w:bookmarkEnd w:id="199"/>
      <w:bookmarkEnd w:id="200"/>
      <w:bookmarkEnd w:id="201"/>
    </w:p>
    <w:p>
      <w:pPr>
        <w:spacing w:line="400" w:lineRule="exact"/>
        <w:ind w:firstLine="440" w:firstLineChars="200"/>
        <w:rPr>
          <w:color w:val="auto"/>
          <w:sz w:val="22"/>
          <w:szCs w:val="22"/>
        </w:rPr>
      </w:pPr>
      <w:bookmarkStart w:id="202" w:name="_Toc495957614"/>
      <w:bookmarkStart w:id="203" w:name="_Toc493058316"/>
      <w:bookmarkStart w:id="204" w:name="_Toc249866769"/>
      <w:bookmarkStart w:id="205" w:name="_Toc259108326"/>
      <w:r>
        <w:rPr>
          <w:color w:val="auto"/>
          <w:sz w:val="22"/>
          <w:szCs w:val="22"/>
        </w:rPr>
        <w:t>招标活动遵循公平、公正、科学、择优的原则依法进行，招标活动及当事人接受依法实施的监督。</w:t>
      </w:r>
    </w:p>
    <w:p>
      <w:pPr>
        <w:pStyle w:val="27"/>
        <w:spacing w:before="156" w:beforeLines="50" w:after="156" w:afterLines="50" w:line="400" w:lineRule="exact"/>
        <w:ind w:firstLine="433" w:firstLineChars="196"/>
        <w:jc w:val="left"/>
        <w:rPr>
          <w:rFonts w:ascii="Times New Roman" w:hAnsi="Times New Roman"/>
          <w:color w:val="auto"/>
          <w:sz w:val="22"/>
          <w:szCs w:val="22"/>
        </w:rPr>
      </w:pPr>
      <w:bookmarkStart w:id="206" w:name="_Toc17707954"/>
      <w:bookmarkStart w:id="207" w:name="_Toc79395477"/>
      <w:bookmarkStart w:id="208" w:name="_Toc8408"/>
      <w:bookmarkStart w:id="209" w:name="_Toc51446755"/>
      <w:bookmarkStart w:id="210" w:name="_Toc16265"/>
      <w:bookmarkStart w:id="211" w:name="_Toc8849"/>
      <w:r>
        <w:rPr>
          <w:rFonts w:ascii="Times New Roman" w:hAnsi="Times New Roman"/>
          <w:color w:val="auto"/>
          <w:sz w:val="22"/>
          <w:szCs w:val="22"/>
        </w:rPr>
        <w:t>二、评标委员会</w:t>
      </w:r>
      <w:bookmarkEnd w:id="202"/>
      <w:bookmarkEnd w:id="203"/>
      <w:bookmarkEnd w:id="206"/>
      <w:bookmarkEnd w:id="207"/>
      <w:bookmarkEnd w:id="208"/>
      <w:bookmarkEnd w:id="209"/>
      <w:bookmarkEnd w:id="210"/>
      <w:bookmarkEnd w:id="211"/>
    </w:p>
    <w:p>
      <w:pPr>
        <w:spacing w:line="400" w:lineRule="exact"/>
        <w:ind w:firstLine="330" w:firstLineChars="150"/>
        <w:rPr>
          <w:i/>
          <w:iCs/>
          <w:color w:val="auto"/>
          <w:sz w:val="22"/>
          <w:szCs w:val="22"/>
        </w:rPr>
      </w:pPr>
      <w:r>
        <w:rPr>
          <w:color w:val="auto"/>
          <w:sz w:val="22"/>
          <w:szCs w:val="22"/>
        </w:rPr>
        <w:t>（一）本次招标依法组建评标委员会。评标委员会由招标人代表和评审专家组成或全部由评审专家组成，评审专家从专家库随机抽取。</w:t>
      </w:r>
    </w:p>
    <w:p>
      <w:pPr>
        <w:spacing w:line="400" w:lineRule="exact"/>
        <w:ind w:firstLine="330" w:firstLineChars="150"/>
        <w:rPr>
          <w:color w:val="auto"/>
          <w:sz w:val="22"/>
          <w:szCs w:val="22"/>
        </w:rPr>
      </w:pPr>
      <w:r>
        <w:rPr>
          <w:color w:val="auto"/>
          <w:sz w:val="22"/>
          <w:szCs w:val="22"/>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400" w:lineRule="exact"/>
        <w:ind w:firstLine="330" w:firstLineChars="150"/>
        <w:rPr>
          <w:color w:val="auto"/>
          <w:sz w:val="22"/>
          <w:szCs w:val="22"/>
        </w:rPr>
      </w:pPr>
      <w:r>
        <w:rPr>
          <w:color w:val="auto"/>
          <w:sz w:val="22"/>
          <w:szCs w:val="22"/>
        </w:rPr>
        <w:t>（三）评审专家有下列情形之一的，受到邀请应主动提出回避，采购当事人也可以要求该评审专家回避：</w:t>
      </w:r>
    </w:p>
    <w:p>
      <w:pPr>
        <w:spacing w:line="400" w:lineRule="exact"/>
        <w:ind w:firstLine="330" w:firstLineChars="150"/>
        <w:rPr>
          <w:color w:val="auto"/>
          <w:sz w:val="22"/>
          <w:szCs w:val="22"/>
        </w:rPr>
      </w:pPr>
      <w:r>
        <w:rPr>
          <w:rFonts w:hint="eastAsia"/>
          <w:color w:val="auto"/>
          <w:sz w:val="22"/>
          <w:szCs w:val="22"/>
        </w:rPr>
        <w:t>1.参加采购活动前三年内，与供应商存在劳动关系，或者担任过供应商的董事、监事，或者是供应商的控股股东或实际控制人；</w:t>
      </w:r>
    </w:p>
    <w:p>
      <w:pPr>
        <w:spacing w:line="400" w:lineRule="exact"/>
        <w:ind w:firstLine="330" w:firstLineChars="150"/>
        <w:rPr>
          <w:color w:val="auto"/>
          <w:sz w:val="22"/>
          <w:szCs w:val="22"/>
        </w:rPr>
      </w:pPr>
      <w:r>
        <w:rPr>
          <w:rFonts w:hint="eastAsia"/>
          <w:color w:val="auto"/>
          <w:sz w:val="22"/>
          <w:szCs w:val="22"/>
        </w:rPr>
        <w:t>2.与供应商的法定代表人或者负责人有夫妻、直系血亲、三代以内旁系血亲或者近姻亲关系；</w:t>
      </w:r>
    </w:p>
    <w:p>
      <w:pPr>
        <w:spacing w:line="400" w:lineRule="exact"/>
        <w:ind w:firstLine="330" w:firstLineChars="150"/>
        <w:rPr>
          <w:color w:val="auto"/>
          <w:sz w:val="22"/>
          <w:szCs w:val="22"/>
        </w:rPr>
      </w:pPr>
      <w:r>
        <w:rPr>
          <w:rFonts w:hint="eastAsia"/>
          <w:color w:val="auto"/>
          <w:sz w:val="22"/>
          <w:szCs w:val="22"/>
        </w:rPr>
        <w:t>3.</w:t>
      </w:r>
      <w:r>
        <w:rPr>
          <w:color w:val="auto"/>
          <w:sz w:val="22"/>
          <w:szCs w:val="22"/>
        </w:rPr>
        <w:t>曾经参加过该招标项目的进口产品的论证和咨询服务工作</w:t>
      </w:r>
      <w:r>
        <w:rPr>
          <w:rFonts w:hint="eastAsia"/>
          <w:color w:val="auto"/>
          <w:sz w:val="22"/>
          <w:szCs w:val="22"/>
        </w:rPr>
        <w:t>。</w:t>
      </w:r>
    </w:p>
    <w:p>
      <w:pPr>
        <w:spacing w:line="400" w:lineRule="exact"/>
        <w:ind w:firstLine="330" w:firstLineChars="150"/>
        <w:rPr>
          <w:color w:val="auto"/>
          <w:sz w:val="22"/>
          <w:szCs w:val="22"/>
        </w:rPr>
      </w:pPr>
      <w:r>
        <w:rPr>
          <w:rFonts w:hint="eastAsia"/>
          <w:color w:val="auto"/>
          <w:sz w:val="22"/>
          <w:szCs w:val="22"/>
        </w:rPr>
        <w:t>4.与供应商有其他可能影响政府采购活动公平、公正进行的关系。</w:t>
      </w:r>
    </w:p>
    <w:p>
      <w:pPr>
        <w:spacing w:line="400" w:lineRule="exact"/>
        <w:ind w:firstLine="330" w:firstLineChars="150"/>
        <w:rPr>
          <w:color w:val="auto"/>
          <w:sz w:val="22"/>
          <w:szCs w:val="22"/>
        </w:rPr>
      </w:pPr>
      <w:r>
        <w:rPr>
          <w:rFonts w:hint="eastAsia"/>
          <w:color w:val="auto"/>
          <w:sz w:val="22"/>
          <w:szCs w:val="22"/>
        </w:rPr>
        <w:t>5.</w:t>
      </w:r>
      <w:r>
        <w:rPr>
          <w:color w:val="auto"/>
          <w:sz w:val="22"/>
          <w:szCs w:val="22"/>
        </w:rPr>
        <w:t>法律、法规、规章规定应当回避以及其他可能影响公正评审的。</w:t>
      </w:r>
    </w:p>
    <w:p>
      <w:pPr>
        <w:spacing w:line="400" w:lineRule="exact"/>
        <w:ind w:firstLine="330" w:firstLineChars="150"/>
        <w:rPr>
          <w:color w:val="auto"/>
          <w:sz w:val="22"/>
          <w:szCs w:val="22"/>
        </w:rPr>
      </w:pPr>
      <w:r>
        <w:rPr>
          <w:color w:val="auto"/>
          <w:sz w:val="22"/>
          <w:szCs w:val="22"/>
        </w:rPr>
        <w:t>（四）评标委员会判断投标文件的有效性、合格性和响应情况，仅依据投标人所递交一切文件的真实表述，不受与本项目无直接关联的外部信息、传言而影响自身的专业判断。</w:t>
      </w:r>
    </w:p>
    <w:p>
      <w:pPr>
        <w:spacing w:line="400" w:lineRule="exact"/>
        <w:ind w:firstLine="330" w:firstLineChars="150"/>
        <w:rPr>
          <w:color w:val="auto"/>
          <w:sz w:val="22"/>
          <w:szCs w:val="22"/>
        </w:rPr>
      </w:pPr>
      <w:r>
        <w:rPr>
          <w:color w:val="auto"/>
          <w:sz w:val="22"/>
          <w:szCs w:val="22"/>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27"/>
        <w:spacing w:before="156" w:beforeLines="50" w:after="156" w:afterLines="50" w:line="400" w:lineRule="exact"/>
        <w:ind w:firstLine="433" w:firstLineChars="196"/>
        <w:jc w:val="left"/>
        <w:rPr>
          <w:rFonts w:ascii="Times New Roman" w:hAnsi="Times New Roman"/>
          <w:color w:val="auto"/>
          <w:sz w:val="22"/>
          <w:szCs w:val="22"/>
        </w:rPr>
      </w:pPr>
      <w:bookmarkStart w:id="212" w:name="_Toc493058317"/>
      <w:bookmarkStart w:id="213" w:name="_Toc481567076"/>
      <w:bookmarkStart w:id="214" w:name="_Toc495957615"/>
      <w:bookmarkStart w:id="215" w:name="_Toc23025"/>
      <w:bookmarkStart w:id="216" w:name="_Toc79395478"/>
      <w:bookmarkStart w:id="217" w:name="_Toc498"/>
      <w:bookmarkStart w:id="218" w:name="_Toc17707956"/>
      <w:bookmarkStart w:id="219" w:name="_Toc51446757"/>
      <w:bookmarkStart w:id="220" w:name="_Toc22102"/>
      <w:r>
        <w:rPr>
          <w:rFonts w:ascii="Times New Roman" w:hAnsi="Times New Roman"/>
          <w:color w:val="auto"/>
          <w:sz w:val="22"/>
          <w:szCs w:val="22"/>
        </w:rPr>
        <w:t>三、评标方法</w:t>
      </w:r>
      <w:bookmarkEnd w:id="212"/>
      <w:bookmarkEnd w:id="213"/>
      <w:bookmarkEnd w:id="214"/>
      <w:bookmarkEnd w:id="215"/>
      <w:bookmarkEnd w:id="216"/>
      <w:bookmarkEnd w:id="217"/>
      <w:bookmarkEnd w:id="218"/>
      <w:bookmarkEnd w:id="219"/>
      <w:bookmarkEnd w:id="220"/>
    </w:p>
    <w:p>
      <w:pPr>
        <w:spacing w:line="400" w:lineRule="exact"/>
        <w:ind w:firstLine="440" w:firstLineChars="200"/>
        <w:rPr>
          <w:color w:val="auto"/>
          <w:sz w:val="22"/>
          <w:szCs w:val="22"/>
        </w:rPr>
      </w:pPr>
      <w:r>
        <w:rPr>
          <w:color w:val="auto"/>
          <w:sz w:val="22"/>
          <w:szCs w:val="22"/>
        </w:rPr>
        <w:t>（一）本次招标项目的评标方法为：综合评分法。</w:t>
      </w:r>
    </w:p>
    <w:p>
      <w:pPr>
        <w:spacing w:line="400" w:lineRule="exact"/>
        <w:ind w:firstLine="440" w:firstLineChars="200"/>
        <w:rPr>
          <w:color w:val="auto"/>
          <w:sz w:val="22"/>
          <w:szCs w:val="22"/>
        </w:rPr>
      </w:pPr>
      <w:r>
        <w:rPr>
          <w:color w:val="auto"/>
          <w:sz w:val="22"/>
          <w:szCs w:val="22"/>
        </w:rPr>
        <w:t>（二）评分</w:t>
      </w:r>
      <w:r>
        <w:rPr>
          <w:rFonts w:hint="eastAsia"/>
          <w:color w:val="auto"/>
          <w:sz w:val="22"/>
          <w:szCs w:val="22"/>
        </w:rPr>
        <w:t>细则</w:t>
      </w:r>
    </w:p>
    <w:p>
      <w:pPr>
        <w:spacing w:line="400" w:lineRule="exact"/>
        <w:ind w:firstLine="440" w:firstLineChars="200"/>
        <w:rPr>
          <w:color w:val="auto"/>
          <w:sz w:val="22"/>
          <w:szCs w:val="22"/>
        </w:rPr>
      </w:pPr>
      <w:r>
        <w:rPr>
          <w:color w:val="auto"/>
          <w:sz w:val="22"/>
          <w:szCs w:val="22"/>
        </w:rPr>
        <w:t>1</w:t>
      </w:r>
      <w:r>
        <w:rPr>
          <w:rFonts w:hint="eastAsia"/>
          <w:color w:val="auto"/>
          <w:sz w:val="22"/>
          <w:szCs w:val="22"/>
        </w:rPr>
        <w:t>.</w:t>
      </w:r>
      <w:r>
        <w:rPr>
          <w:color w:val="auto"/>
          <w:sz w:val="22"/>
          <w:szCs w:val="22"/>
        </w:rPr>
        <w:t>价格分采用低价优先法计算，即满足招标文件要求且参与评审价格最低为评标基准价，其价格分为满分。其他投标人的价格分按照下列公式计算：</w:t>
      </w:r>
    </w:p>
    <w:p>
      <w:pPr>
        <w:spacing w:line="400" w:lineRule="exact"/>
        <w:ind w:firstLine="440" w:firstLineChars="200"/>
        <w:rPr>
          <w:color w:val="auto"/>
          <w:sz w:val="22"/>
          <w:szCs w:val="22"/>
        </w:rPr>
      </w:pPr>
      <w:r>
        <w:rPr>
          <w:color w:val="auto"/>
          <w:sz w:val="22"/>
          <w:szCs w:val="22"/>
        </w:rPr>
        <w:t>参与评审价格=投标价格-小微企业价格扣除优惠值</w:t>
      </w:r>
      <w:r>
        <w:rPr>
          <w:rFonts w:hint="eastAsia"/>
          <w:color w:val="auto"/>
          <w:sz w:val="22"/>
          <w:szCs w:val="22"/>
        </w:rPr>
        <w:t>20</w:t>
      </w:r>
      <w:r>
        <w:rPr>
          <w:color w:val="auto"/>
          <w:sz w:val="22"/>
          <w:szCs w:val="22"/>
        </w:rPr>
        <w:t>%</w:t>
      </w:r>
    </w:p>
    <w:p>
      <w:pPr>
        <w:spacing w:line="400" w:lineRule="exact"/>
        <w:ind w:firstLine="440" w:firstLineChars="200"/>
        <w:rPr>
          <w:color w:val="auto"/>
          <w:sz w:val="22"/>
          <w:szCs w:val="22"/>
        </w:rPr>
      </w:pPr>
      <w:r>
        <w:rPr>
          <w:color w:val="auto"/>
          <w:sz w:val="22"/>
          <w:szCs w:val="22"/>
        </w:rPr>
        <w:t>价格分=（评标基准价/参与评审的价格）×价格权值×100</w:t>
      </w:r>
    </w:p>
    <w:p>
      <w:pPr>
        <w:spacing w:line="400" w:lineRule="exact"/>
        <w:ind w:firstLine="440" w:firstLineChars="200"/>
        <w:rPr>
          <w:color w:val="auto"/>
          <w:sz w:val="22"/>
          <w:szCs w:val="22"/>
        </w:rPr>
      </w:pPr>
      <w:r>
        <w:rPr>
          <w:color w:val="auto"/>
          <w:sz w:val="22"/>
          <w:szCs w:val="22"/>
        </w:rPr>
        <w:t>2</w:t>
      </w:r>
      <w:r>
        <w:rPr>
          <w:rFonts w:hint="eastAsia"/>
          <w:color w:val="auto"/>
          <w:sz w:val="22"/>
          <w:szCs w:val="22"/>
        </w:rPr>
        <w:t>.</w:t>
      </w:r>
      <w:r>
        <w:rPr>
          <w:color w:val="auto"/>
          <w:sz w:val="22"/>
          <w:szCs w:val="22"/>
        </w:rPr>
        <w:t>合格投标人评标综合得分=价格分+商务技术分。</w:t>
      </w:r>
    </w:p>
    <w:p>
      <w:pPr>
        <w:spacing w:line="400" w:lineRule="exact"/>
        <w:ind w:firstLine="440" w:firstLineChars="200"/>
        <w:rPr>
          <w:color w:val="auto"/>
          <w:sz w:val="22"/>
          <w:szCs w:val="22"/>
        </w:rPr>
      </w:pPr>
      <w:r>
        <w:rPr>
          <w:color w:val="auto"/>
          <w:sz w:val="22"/>
          <w:szCs w:val="22"/>
        </w:rPr>
        <w:t>3</w:t>
      </w:r>
      <w:r>
        <w:rPr>
          <w:rFonts w:hint="eastAsia"/>
          <w:color w:val="auto"/>
          <w:sz w:val="22"/>
          <w:szCs w:val="22"/>
        </w:rPr>
        <w:t>.</w:t>
      </w:r>
      <w:r>
        <w:rPr>
          <w:color w:val="auto"/>
          <w:sz w:val="22"/>
          <w:szCs w:val="22"/>
        </w:rPr>
        <w:t>报价要求：本次招标设有预算价(或最高限价)，投标人报价超出预算价(或最高限价)的投标文件作无效处理。</w:t>
      </w:r>
    </w:p>
    <w:p>
      <w:pPr>
        <w:spacing w:line="400" w:lineRule="exact"/>
        <w:ind w:firstLine="330" w:firstLineChars="150"/>
        <w:rPr>
          <w:color w:val="auto"/>
          <w:sz w:val="22"/>
          <w:szCs w:val="22"/>
        </w:rPr>
      </w:pPr>
      <w:r>
        <w:rPr>
          <w:color w:val="auto"/>
          <w:sz w:val="22"/>
          <w:szCs w:val="22"/>
        </w:rPr>
        <w:t>（三）</w:t>
      </w:r>
      <w:bookmarkStart w:id="221" w:name="_Toc481567079"/>
      <w:r>
        <w:rPr>
          <w:color w:val="auto"/>
          <w:sz w:val="22"/>
          <w:szCs w:val="22"/>
        </w:rPr>
        <w:t>投标文件的澄清</w:t>
      </w:r>
      <w:bookmarkEnd w:id="221"/>
    </w:p>
    <w:p>
      <w:pPr>
        <w:widowControl/>
        <w:spacing w:line="400" w:lineRule="exact"/>
        <w:ind w:firstLine="440" w:firstLineChars="200"/>
        <w:jc w:val="left"/>
        <w:rPr>
          <w:color w:val="auto"/>
          <w:kern w:val="0"/>
          <w:sz w:val="22"/>
          <w:szCs w:val="22"/>
        </w:rPr>
      </w:pPr>
      <w:r>
        <w:rPr>
          <w:color w:val="auto"/>
          <w:sz w:val="22"/>
          <w:szCs w:val="22"/>
        </w:rPr>
        <w:t>1</w:t>
      </w:r>
      <w:r>
        <w:rPr>
          <w:rFonts w:hint="eastAsia"/>
          <w:color w:val="auto"/>
          <w:sz w:val="22"/>
          <w:szCs w:val="22"/>
        </w:rPr>
        <w:t>.</w:t>
      </w:r>
      <w:r>
        <w:rPr>
          <w:color w:val="auto"/>
          <w:kern w:val="0"/>
          <w:sz w:val="22"/>
          <w:szCs w:val="22"/>
        </w:rPr>
        <w:t>对于投标文件中含义不明确、同类问题表述不一致或者有明显文字和计算错误的内容，评标委员会应当以书面形式要求投标人作出必要的澄清、说明或者补正。</w:t>
      </w:r>
    </w:p>
    <w:p>
      <w:pPr>
        <w:spacing w:line="400" w:lineRule="exact"/>
        <w:ind w:firstLine="440" w:firstLineChars="200"/>
        <w:rPr>
          <w:color w:val="auto"/>
          <w:kern w:val="0"/>
          <w:sz w:val="22"/>
          <w:szCs w:val="22"/>
        </w:rPr>
      </w:pPr>
      <w:r>
        <w:rPr>
          <w:color w:val="auto"/>
          <w:sz w:val="22"/>
          <w:szCs w:val="22"/>
        </w:rPr>
        <w:t>2</w:t>
      </w:r>
      <w:r>
        <w:rPr>
          <w:rFonts w:hint="eastAsia"/>
          <w:color w:val="auto"/>
          <w:sz w:val="22"/>
          <w:szCs w:val="22"/>
        </w:rPr>
        <w:t>.</w:t>
      </w:r>
      <w:r>
        <w:rPr>
          <w:color w:val="auto"/>
          <w:kern w:val="0"/>
          <w:sz w:val="22"/>
          <w:szCs w:val="22"/>
        </w:rPr>
        <w:t>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ind w:firstLine="440" w:firstLineChars="200"/>
        <w:rPr>
          <w:color w:val="auto"/>
          <w:sz w:val="22"/>
          <w:szCs w:val="22"/>
        </w:rPr>
      </w:pPr>
      <w:r>
        <w:rPr>
          <w:color w:val="auto"/>
          <w:sz w:val="22"/>
          <w:szCs w:val="22"/>
        </w:rPr>
        <w:t>（四）投标文件错误修正原则</w:t>
      </w:r>
    </w:p>
    <w:p>
      <w:pPr>
        <w:pStyle w:val="170"/>
        <w:widowControl/>
        <w:spacing w:beforeLines="0" w:afterLines="0"/>
        <w:ind w:left="699" w:leftChars="228" w:hanging="220" w:hangingChars="100"/>
        <w:jc w:val="left"/>
        <w:rPr>
          <w:rFonts w:ascii="Times New Roman" w:hAnsi="Times New Roman"/>
          <w:color w:val="auto"/>
          <w:sz w:val="22"/>
          <w:szCs w:val="22"/>
        </w:rPr>
      </w:pPr>
      <w:r>
        <w:rPr>
          <w:rFonts w:ascii="Times New Roman" w:hAnsi="Times New Roman"/>
          <w:color w:val="auto"/>
          <w:sz w:val="22"/>
          <w:szCs w:val="22"/>
        </w:rPr>
        <w:t>投标文件报价出现前后不一致的，除招标文件另有规定外，按照下列规定修正：</w:t>
      </w:r>
    </w:p>
    <w:p>
      <w:pPr>
        <w:widowControl/>
        <w:spacing w:line="400" w:lineRule="exact"/>
        <w:ind w:firstLine="440" w:firstLineChars="200"/>
        <w:jc w:val="left"/>
        <w:rPr>
          <w:color w:val="auto"/>
          <w:sz w:val="22"/>
          <w:szCs w:val="22"/>
        </w:rPr>
      </w:pPr>
      <w:r>
        <w:rPr>
          <w:rFonts w:hint="eastAsia"/>
          <w:color w:val="auto"/>
          <w:sz w:val="22"/>
          <w:szCs w:val="22"/>
        </w:rPr>
        <w:t>1.</w:t>
      </w:r>
      <w:r>
        <w:rPr>
          <w:color w:val="auto"/>
          <w:sz w:val="22"/>
          <w:szCs w:val="22"/>
        </w:rPr>
        <w:t>投标文件中开标一览表（报价表）内容与投标文件中相应内容不一致的，以开标一览表（报价表）为准</w:t>
      </w:r>
      <w:r>
        <w:rPr>
          <w:rFonts w:hint="eastAsia"/>
          <w:color w:val="auto"/>
          <w:sz w:val="22"/>
          <w:szCs w:val="22"/>
        </w:rPr>
        <w:t>。</w:t>
      </w:r>
    </w:p>
    <w:p>
      <w:pPr>
        <w:widowControl/>
        <w:spacing w:line="400" w:lineRule="exact"/>
        <w:ind w:firstLine="440" w:firstLineChars="200"/>
        <w:jc w:val="left"/>
        <w:rPr>
          <w:color w:val="auto"/>
          <w:sz w:val="22"/>
          <w:szCs w:val="22"/>
        </w:rPr>
      </w:pPr>
      <w:r>
        <w:rPr>
          <w:rFonts w:hint="eastAsia"/>
          <w:color w:val="auto"/>
          <w:sz w:val="22"/>
          <w:szCs w:val="22"/>
        </w:rPr>
        <w:t>2.</w:t>
      </w:r>
      <w:r>
        <w:rPr>
          <w:color w:val="auto"/>
          <w:sz w:val="22"/>
          <w:szCs w:val="22"/>
        </w:rPr>
        <w:t>大写金额和小写金额不一致的，以大写金额为准</w:t>
      </w:r>
      <w:r>
        <w:rPr>
          <w:rFonts w:hint="eastAsia"/>
          <w:color w:val="auto"/>
          <w:sz w:val="22"/>
          <w:szCs w:val="22"/>
        </w:rPr>
        <w:t>。</w:t>
      </w:r>
    </w:p>
    <w:p>
      <w:pPr>
        <w:widowControl/>
        <w:spacing w:line="400" w:lineRule="exact"/>
        <w:ind w:firstLine="440" w:firstLineChars="200"/>
        <w:jc w:val="left"/>
        <w:rPr>
          <w:color w:val="auto"/>
          <w:sz w:val="22"/>
          <w:szCs w:val="22"/>
        </w:rPr>
      </w:pPr>
      <w:r>
        <w:rPr>
          <w:rFonts w:hint="eastAsia"/>
          <w:color w:val="auto"/>
          <w:sz w:val="22"/>
          <w:szCs w:val="22"/>
        </w:rPr>
        <w:t>3.</w:t>
      </w:r>
      <w:r>
        <w:rPr>
          <w:color w:val="auto"/>
          <w:sz w:val="22"/>
          <w:szCs w:val="22"/>
        </w:rPr>
        <w:t>单价金额小数点或者百分比有明显错位的，以开标一览表的总价为准，并修改单价</w:t>
      </w:r>
      <w:r>
        <w:rPr>
          <w:rFonts w:hint="eastAsia"/>
          <w:color w:val="auto"/>
          <w:sz w:val="22"/>
          <w:szCs w:val="22"/>
        </w:rPr>
        <w:t>。</w:t>
      </w:r>
    </w:p>
    <w:p>
      <w:pPr>
        <w:widowControl/>
        <w:spacing w:line="400" w:lineRule="exact"/>
        <w:ind w:firstLine="440" w:firstLineChars="200"/>
        <w:jc w:val="left"/>
        <w:rPr>
          <w:color w:val="auto"/>
          <w:sz w:val="22"/>
          <w:szCs w:val="22"/>
        </w:rPr>
      </w:pPr>
      <w:r>
        <w:rPr>
          <w:rFonts w:hint="eastAsia"/>
          <w:color w:val="auto"/>
          <w:sz w:val="22"/>
          <w:szCs w:val="22"/>
        </w:rPr>
        <w:t>4.</w:t>
      </w:r>
      <w:r>
        <w:rPr>
          <w:color w:val="auto"/>
          <w:sz w:val="22"/>
          <w:szCs w:val="22"/>
        </w:rPr>
        <w:t>总价金额与按单价汇总金额不一致的，以单价金额计算结果为准</w:t>
      </w:r>
      <w:r>
        <w:rPr>
          <w:rFonts w:hint="eastAsia"/>
          <w:color w:val="auto"/>
          <w:sz w:val="22"/>
          <w:szCs w:val="22"/>
        </w:rPr>
        <w:t>。</w:t>
      </w:r>
    </w:p>
    <w:p>
      <w:pPr>
        <w:pStyle w:val="170"/>
        <w:widowControl/>
        <w:spacing w:beforeLines="0" w:afterLines="0"/>
        <w:ind w:firstLine="442" w:firstLineChars="200"/>
        <w:jc w:val="left"/>
        <w:rPr>
          <w:rFonts w:ascii="Times New Roman" w:hAnsi="Times New Roman"/>
          <w:color w:val="auto"/>
          <w:sz w:val="22"/>
          <w:szCs w:val="22"/>
        </w:rPr>
      </w:pPr>
      <w:r>
        <w:rPr>
          <w:rFonts w:ascii="Times New Roman" w:hAnsi="Times New Roman"/>
          <w:b/>
          <w:bCs/>
          <w:color w:val="auto"/>
          <w:sz w:val="22"/>
          <w:szCs w:val="22"/>
        </w:rPr>
        <w:t>同时出现两种以上不一致的，按照前款规定的顺序修正。修正后的报价经投标人确认后具有约束力，若投标人不确认的，则其投标无效。</w:t>
      </w:r>
    </w:p>
    <w:p>
      <w:pPr>
        <w:pStyle w:val="27"/>
        <w:spacing w:before="156" w:beforeLines="50" w:after="156" w:afterLines="50" w:line="400" w:lineRule="exact"/>
        <w:ind w:firstLine="433" w:firstLineChars="196"/>
        <w:jc w:val="left"/>
        <w:rPr>
          <w:rFonts w:ascii="Times New Roman" w:hAnsi="Times New Roman"/>
          <w:color w:val="auto"/>
          <w:sz w:val="22"/>
          <w:szCs w:val="22"/>
        </w:rPr>
      </w:pPr>
      <w:bookmarkStart w:id="222" w:name="_Toc493058318"/>
      <w:bookmarkStart w:id="223" w:name="_Toc495957616"/>
      <w:bookmarkStart w:id="224" w:name="_Toc481567077"/>
      <w:bookmarkStart w:id="225" w:name="_Toc14002"/>
      <w:bookmarkStart w:id="226" w:name="_Toc79395479"/>
      <w:bookmarkStart w:id="227" w:name="_Toc17707957"/>
      <w:bookmarkStart w:id="228" w:name="_Toc51446758"/>
      <w:bookmarkStart w:id="229" w:name="_Toc16487"/>
      <w:bookmarkStart w:id="230" w:name="_Toc26483"/>
      <w:r>
        <w:rPr>
          <w:rFonts w:ascii="Times New Roman" w:hAnsi="Times New Roman"/>
          <w:color w:val="auto"/>
          <w:sz w:val="22"/>
          <w:szCs w:val="22"/>
        </w:rPr>
        <w:t>四、评标</w:t>
      </w:r>
      <w:bookmarkEnd w:id="204"/>
      <w:bookmarkEnd w:id="205"/>
      <w:bookmarkEnd w:id="222"/>
      <w:bookmarkEnd w:id="223"/>
      <w:bookmarkEnd w:id="224"/>
      <w:r>
        <w:rPr>
          <w:rFonts w:ascii="Times New Roman" w:hAnsi="Times New Roman"/>
          <w:color w:val="auto"/>
          <w:sz w:val="22"/>
          <w:szCs w:val="22"/>
        </w:rPr>
        <w:t>过程</w:t>
      </w:r>
      <w:bookmarkEnd w:id="225"/>
      <w:bookmarkEnd w:id="226"/>
      <w:bookmarkEnd w:id="227"/>
      <w:bookmarkEnd w:id="228"/>
      <w:bookmarkEnd w:id="229"/>
      <w:bookmarkEnd w:id="230"/>
    </w:p>
    <w:p>
      <w:pPr>
        <w:pStyle w:val="21"/>
        <w:spacing w:line="400" w:lineRule="exact"/>
        <w:ind w:firstLine="440" w:firstLineChars="200"/>
        <w:rPr>
          <w:rFonts w:ascii="Times New Roman" w:hAnsi="Times New Roman"/>
          <w:b w:val="0"/>
          <w:bCs w:val="0"/>
          <w:color w:val="auto"/>
          <w:sz w:val="22"/>
          <w:szCs w:val="22"/>
        </w:rPr>
      </w:pPr>
      <w:r>
        <w:rPr>
          <w:rFonts w:hint="eastAsia" w:ascii="Times New Roman" w:hAnsi="Times New Roman"/>
          <w:b w:val="0"/>
          <w:bCs w:val="0"/>
          <w:color w:val="auto"/>
          <w:sz w:val="22"/>
          <w:szCs w:val="22"/>
        </w:rPr>
        <w:t>（一）</w:t>
      </w:r>
      <w:r>
        <w:rPr>
          <w:rFonts w:ascii="Times New Roman" w:hAnsi="Times New Roman"/>
          <w:b w:val="0"/>
          <w:bCs w:val="0"/>
          <w:color w:val="auto"/>
          <w:sz w:val="22"/>
          <w:szCs w:val="22"/>
        </w:rPr>
        <w:t>资格审查</w:t>
      </w:r>
    </w:p>
    <w:p>
      <w:pPr>
        <w:pStyle w:val="21"/>
        <w:spacing w:line="400" w:lineRule="exact"/>
        <w:ind w:firstLine="440" w:firstLineChars="200"/>
        <w:rPr>
          <w:rFonts w:ascii="Times New Roman" w:hAnsi="Times New Roman"/>
          <w:b w:val="0"/>
          <w:bCs w:val="0"/>
          <w:color w:val="auto"/>
          <w:sz w:val="22"/>
          <w:szCs w:val="22"/>
        </w:rPr>
      </w:pPr>
      <w:r>
        <w:rPr>
          <w:rFonts w:ascii="Times New Roman" w:hAnsi="Times New Roman"/>
          <w:b w:val="0"/>
          <w:bCs w:val="0"/>
          <w:color w:val="auto"/>
          <w:sz w:val="22"/>
          <w:szCs w:val="22"/>
        </w:rPr>
        <w:t>采购代理机构对投标人的资格进行审查。依据法律法规和招标文件的规定，对投标文件中的资格证明进行审查，以确定投标人是否具备投标资格。</w:t>
      </w:r>
    </w:p>
    <w:tbl>
      <w:tblPr>
        <w:tblStyle w:val="38"/>
        <w:tblpPr w:leftFromText="180" w:rightFromText="180" w:vertAnchor="text" w:horzAnchor="page" w:tblpX="1624" w:tblpY="357"/>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1" w:type="dxa"/>
            <w:vAlign w:val="center"/>
          </w:tcPr>
          <w:p>
            <w:pPr>
              <w:spacing w:line="400" w:lineRule="exact"/>
              <w:jc w:val="center"/>
              <w:rPr>
                <w:color w:val="auto"/>
                <w:sz w:val="22"/>
                <w:szCs w:val="22"/>
              </w:rPr>
            </w:pPr>
            <w:r>
              <w:rPr>
                <w:color w:val="auto"/>
                <w:sz w:val="22"/>
                <w:szCs w:val="22"/>
              </w:rPr>
              <w:t>审查类别</w:t>
            </w:r>
          </w:p>
        </w:tc>
        <w:tc>
          <w:tcPr>
            <w:tcW w:w="7584" w:type="dxa"/>
            <w:vAlign w:val="center"/>
          </w:tcPr>
          <w:p>
            <w:pPr>
              <w:spacing w:line="400" w:lineRule="exact"/>
              <w:jc w:val="center"/>
              <w:rPr>
                <w:color w:val="auto"/>
                <w:sz w:val="22"/>
                <w:szCs w:val="22"/>
              </w:rPr>
            </w:pPr>
            <w:r>
              <w:rPr>
                <w:color w:val="auto"/>
                <w:sz w:val="22"/>
                <w:szCs w:val="22"/>
              </w:rPr>
              <w:t>审查内容</w:t>
            </w:r>
            <w:r>
              <w:rPr>
                <w:rFonts w:hint="eastAsia"/>
                <w:color w:val="auto"/>
                <w:sz w:val="22"/>
                <w:szCs w:val="22"/>
              </w:rPr>
              <w:t>（详见资格条件自查表）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1" w:type="dxa"/>
            <w:vMerge w:val="restart"/>
            <w:vAlign w:val="center"/>
          </w:tcPr>
          <w:p>
            <w:pPr>
              <w:spacing w:line="400" w:lineRule="exact"/>
              <w:jc w:val="center"/>
              <w:rPr>
                <w:color w:val="auto"/>
                <w:sz w:val="22"/>
                <w:szCs w:val="22"/>
              </w:rPr>
            </w:pPr>
            <w:r>
              <w:rPr>
                <w:color w:val="auto"/>
                <w:sz w:val="22"/>
                <w:szCs w:val="22"/>
              </w:rPr>
              <w:t>资格条件审查</w:t>
            </w:r>
          </w:p>
        </w:tc>
        <w:tc>
          <w:tcPr>
            <w:tcW w:w="7584" w:type="dxa"/>
            <w:vAlign w:val="center"/>
          </w:tcPr>
          <w:p>
            <w:pPr>
              <w:spacing w:line="400" w:lineRule="exact"/>
              <w:jc w:val="left"/>
              <w:rPr>
                <w:color w:val="auto"/>
                <w:sz w:val="22"/>
                <w:szCs w:val="22"/>
              </w:rPr>
            </w:pPr>
            <w:r>
              <w:rPr>
                <w:color w:val="auto"/>
                <w:sz w:val="22"/>
                <w:szCs w:val="22"/>
              </w:rPr>
              <w:t>（一）符合《中华人民共和国政府采购法》第二十二条规定的投标人资格条件</w:t>
            </w:r>
            <w:r>
              <w:rPr>
                <w:rFonts w:hint="eastAsia"/>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1" w:type="dxa"/>
            <w:vMerge w:val="continue"/>
            <w:vAlign w:val="center"/>
          </w:tcPr>
          <w:p>
            <w:pPr>
              <w:spacing w:line="400" w:lineRule="exact"/>
              <w:jc w:val="center"/>
              <w:rPr>
                <w:color w:val="auto"/>
                <w:sz w:val="22"/>
                <w:szCs w:val="22"/>
              </w:rPr>
            </w:pPr>
          </w:p>
        </w:tc>
        <w:tc>
          <w:tcPr>
            <w:tcW w:w="7584" w:type="dxa"/>
            <w:vAlign w:val="center"/>
          </w:tcPr>
          <w:p>
            <w:pPr>
              <w:spacing w:line="400" w:lineRule="exact"/>
              <w:jc w:val="left"/>
              <w:rPr>
                <w:color w:val="auto"/>
                <w:sz w:val="22"/>
                <w:szCs w:val="22"/>
              </w:rPr>
            </w:pPr>
            <w:r>
              <w:rPr>
                <w:color w:val="auto"/>
                <w:sz w:val="22"/>
                <w:szCs w:val="22"/>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521" w:type="dxa"/>
            <w:vMerge w:val="continue"/>
            <w:vAlign w:val="center"/>
          </w:tcPr>
          <w:p>
            <w:pPr>
              <w:spacing w:line="400" w:lineRule="exact"/>
              <w:jc w:val="center"/>
              <w:rPr>
                <w:color w:val="auto"/>
                <w:szCs w:val="21"/>
              </w:rPr>
            </w:pPr>
          </w:p>
        </w:tc>
        <w:tc>
          <w:tcPr>
            <w:tcW w:w="7584" w:type="dxa"/>
            <w:vAlign w:val="center"/>
          </w:tcPr>
          <w:p>
            <w:pPr>
              <w:spacing w:line="400" w:lineRule="exact"/>
              <w:jc w:val="left"/>
              <w:rPr>
                <w:color w:val="auto"/>
                <w:sz w:val="22"/>
                <w:szCs w:val="22"/>
              </w:rPr>
            </w:pPr>
            <w:r>
              <w:rPr>
                <w:color w:val="auto"/>
                <w:sz w:val="22"/>
                <w:szCs w:val="22"/>
              </w:rPr>
              <w:t>（三）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spacing w:line="400" w:lineRule="exact"/>
              <w:jc w:val="center"/>
              <w:rPr>
                <w:color w:val="auto"/>
                <w:szCs w:val="21"/>
              </w:rPr>
            </w:pPr>
          </w:p>
        </w:tc>
        <w:tc>
          <w:tcPr>
            <w:tcW w:w="7584" w:type="dxa"/>
            <w:vAlign w:val="center"/>
          </w:tcPr>
          <w:p>
            <w:pPr>
              <w:spacing w:line="400" w:lineRule="exact"/>
              <w:jc w:val="left"/>
              <w:rPr>
                <w:color w:val="auto"/>
                <w:sz w:val="22"/>
                <w:szCs w:val="22"/>
              </w:rPr>
            </w:pPr>
            <w:r>
              <w:rPr>
                <w:color w:val="auto"/>
                <w:sz w:val="22"/>
                <w:szCs w:val="22"/>
              </w:rPr>
              <w:t>（四）特定的资格条件</w:t>
            </w:r>
            <w:r>
              <w:rPr>
                <w:rFonts w:hint="eastAsia"/>
                <w:color w:val="auto"/>
                <w:sz w:val="22"/>
                <w:szCs w:val="22"/>
              </w:rPr>
              <w:t>：</w:t>
            </w:r>
            <w:r>
              <w:rPr>
                <w:rFonts w:hint="eastAsia"/>
                <w:b/>
                <w:bCs/>
                <w:color w:val="auto"/>
                <w:sz w:val="22"/>
                <w:szCs w:val="22"/>
              </w:rPr>
              <w:t>具备地质灾害</w:t>
            </w:r>
            <w:r>
              <w:rPr>
                <w:rFonts w:hint="eastAsia"/>
                <w:b/>
                <w:bCs/>
                <w:color w:val="auto"/>
                <w:sz w:val="22"/>
                <w:szCs w:val="22"/>
                <w:lang w:val="en-US" w:eastAsia="zh-CN"/>
              </w:rPr>
              <w:t>防治</w:t>
            </w:r>
            <w:r>
              <w:rPr>
                <w:rFonts w:hint="eastAsia"/>
                <w:b/>
                <w:bCs/>
                <w:color w:val="auto"/>
                <w:sz w:val="22"/>
                <w:szCs w:val="22"/>
              </w:rPr>
              <w:t>勘查甲级与地质灾害危险性评估甲级资质</w:t>
            </w:r>
            <w:r>
              <w:rPr>
                <w:rFonts w:hint="eastAsia"/>
                <w:b/>
                <w:bCs/>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spacing w:line="400" w:lineRule="exact"/>
              <w:jc w:val="center"/>
              <w:rPr>
                <w:color w:val="auto"/>
                <w:szCs w:val="21"/>
              </w:rPr>
            </w:pPr>
          </w:p>
        </w:tc>
        <w:tc>
          <w:tcPr>
            <w:tcW w:w="7584" w:type="dxa"/>
            <w:vAlign w:val="center"/>
          </w:tcPr>
          <w:p>
            <w:pPr>
              <w:spacing w:line="400" w:lineRule="exact"/>
              <w:jc w:val="left"/>
              <w:rPr>
                <w:color w:val="auto"/>
                <w:sz w:val="22"/>
                <w:szCs w:val="22"/>
              </w:rPr>
            </w:pPr>
            <w:r>
              <w:rPr>
                <w:color w:val="auto"/>
                <w:sz w:val="22"/>
                <w:szCs w:val="22"/>
              </w:rPr>
              <w:t>（五）本项目不接受联合体投标。</w:t>
            </w:r>
          </w:p>
        </w:tc>
      </w:tr>
    </w:tbl>
    <w:p>
      <w:pPr>
        <w:pStyle w:val="21"/>
        <w:spacing w:line="400" w:lineRule="exact"/>
        <w:ind w:firstLine="420" w:firstLineChars="200"/>
        <w:rPr>
          <w:rFonts w:ascii="Times New Roman" w:hAnsi="Times New Roman"/>
          <w:b w:val="0"/>
          <w:bCs w:val="0"/>
          <w:color w:val="auto"/>
          <w:sz w:val="21"/>
          <w:szCs w:val="21"/>
        </w:rPr>
      </w:pPr>
    </w:p>
    <w:p>
      <w:pPr>
        <w:pStyle w:val="21"/>
        <w:spacing w:line="400" w:lineRule="exact"/>
        <w:ind w:firstLine="440" w:firstLineChars="200"/>
        <w:rPr>
          <w:rFonts w:ascii="Times New Roman" w:hAnsi="Times New Roman"/>
          <w:b w:val="0"/>
          <w:bCs w:val="0"/>
          <w:color w:val="auto"/>
          <w:sz w:val="22"/>
          <w:szCs w:val="22"/>
        </w:rPr>
      </w:pPr>
      <w:r>
        <w:rPr>
          <w:rFonts w:hint="eastAsia" w:ascii="Times New Roman" w:hAnsi="Times New Roman"/>
          <w:b w:val="0"/>
          <w:bCs w:val="0"/>
          <w:color w:val="auto"/>
          <w:sz w:val="22"/>
          <w:szCs w:val="22"/>
        </w:rPr>
        <w:t>（二）</w:t>
      </w:r>
      <w:r>
        <w:rPr>
          <w:rFonts w:ascii="Times New Roman" w:hAnsi="Times New Roman"/>
          <w:b w:val="0"/>
          <w:bCs w:val="0"/>
          <w:color w:val="auto"/>
          <w:sz w:val="22"/>
          <w:szCs w:val="22"/>
        </w:rPr>
        <w:t>符合性审查</w:t>
      </w:r>
    </w:p>
    <w:p>
      <w:pPr>
        <w:spacing w:line="400" w:lineRule="exact"/>
        <w:ind w:firstLine="440" w:firstLineChars="200"/>
        <w:rPr>
          <w:color w:val="auto"/>
          <w:sz w:val="22"/>
          <w:szCs w:val="22"/>
        </w:rPr>
      </w:pPr>
      <w:r>
        <w:rPr>
          <w:color w:val="auto"/>
          <w:sz w:val="22"/>
          <w:szCs w:val="22"/>
        </w:rPr>
        <w:t>依据招标文件的规定，从投标人投标文件的有效性、完整性和对招标文件的响应程度进行审查，以确定是否对招标文件的实质性要求作出响应。</w:t>
      </w:r>
    </w:p>
    <w:p>
      <w:pPr>
        <w:pStyle w:val="11"/>
        <w:numPr>
          <w:ilvl w:val="0"/>
          <w:numId w:val="0"/>
        </w:numPr>
        <w:rPr>
          <w:color w:val="auto"/>
          <w:szCs w:val="21"/>
        </w:rPr>
      </w:pPr>
    </w:p>
    <w:tbl>
      <w:tblPr>
        <w:tblStyle w:val="38"/>
        <w:tblpPr w:leftFromText="180" w:rightFromText="180" w:vertAnchor="text" w:horzAnchor="page" w:tblpX="1709" w:tblpY="177"/>
        <w:tblOverlap w:val="never"/>
        <w:tblW w:w="90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1"/>
        <w:gridCol w:w="75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1551" w:type="dxa"/>
            <w:vAlign w:val="center"/>
          </w:tcPr>
          <w:p>
            <w:pPr>
              <w:spacing w:line="400" w:lineRule="exact"/>
              <w:jc w:val="center"/>
              <w:rPr>
                <w:b/>
                <w:bCs/>
                <w:color w:val="auto"/>
                <w:sz w:val="22"/>
                <w:szCs w:val="22"/>
              </w:rPr>
            </w:pPr>
            <w:r>
              <w:rPr>
                <w:b/>
                <w:bCs/>
                <w:color w:val="auto"/>
                <w:sz w:val="22"/>
                <w:szCs w:val="22"/>
              </w:rPr>
              <w:t>审查类别</w:t>
            </w:r>
          </w:p>
        </w:tc>
        <w:tc>
          <w:tcPr>
            <w:tcW w:w="7548" w:type="dxa"/>
            <w:vAlign w:val="center"/>
          </w:tcPr>
          <w:p>
            <w:pPr>
              <w:spacing w:line="400" w:lineRule="exact"/>
              <w:jc w:val="center"/>
              <w:rPr>
                <w:b/>
                <w:bCs/>
                <w:color w:val="auto"/>
                <w:sz w:val="22"/>
                <w:szCs w:val="22"/>
              </w:rPr>
            </w:pPr>
            <w:r>
              <w:rPr>
                <w:b/>
                <w:bCs/>
                <w:color w:val="auto"/>
                <w:sz w:val="22"/>
                <w:szCs w:val="22"/>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restart"/>
            <w:vAlign w:val="center"/>
          </w:tcPr>
          <w:p>
            <w:pPr>
              <w:spacing w:line="400" w:lineRule="exact"/>
              <w:jc w:val="center"/>
              <w:rPr>
                <w:color w:val="auto"/>
                <w:sz w:val="22"/>
                <w:szCs w:val="22"/>
              </w:rPr>
            </w:pPr>
            <w:r>
              <w:rPr>
                <w:color w:val="auto"/>
                <w:sz w:val="22"/>
                <w:szCs w:val="22"/>
              </w:rPr>
              <w:t>符合性审查</w:t>
            </w:r>
          </w:p>
        </w:tc>
        <w:tc>
          <w:tcPr>
            <w:tcW w:w="7548" w:type="dxa"/>
          </w:tcPr>
          <w:p>
            <w:pPr>
              <w:spacing w:line="400" w:lineRule="exact"/>
              <w:rPr>
                <w:color w:val="auto"/>
                <w:sz w:val="22"/>
                <w:szCs w:val="22"/>
              </w:rPr>
            </w:pPr>
            <w:r>
              <w:rPr>
                <w:color w:val="auto"/>
                <w:sz w:val="22"/>
                <w:szCs w:val="22"/>
              </w:rPr>
              <w:t>按招标文件要求签署、签章。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color w:val="auto"/>
                <w:sz w:val="22"/>
                <w:szCs w:val="22"/>
              </w:rPr>
            </w:pPr>
          </w:p>
        </w:tc>
        <w:tc>
          <w:tcPr>
            <w:tcW w:w="7548" w:type="dxa"/>
          </w:tcPr>
          <w:p>
            <w:pPr>
              <w:spacing w:line="400" w:lineRule="exact"/>
              <w:rPr>
                <w:color w:val="auto"/>
                <w:sz w:val="22"/>
                <w:szCs w:val="22"/>
              </w:rPr>
            </w:pPr>
            <w:r>
              <w:rPr>
                <w:color w:val="auto"/>
                <w:sz w:val="22"/>
                <w:szCs w:val="22"/>
              </w:rPr>
              <w:t>投标有效期满足招标文件要求。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color w:val="auto"/>
                <w:sz w:val="22"/>
                <w:szCs w:val="22"/>
              </w:rPr>
            </w:pPr>
          </w:p>
        </w:tc>
        <w:tc>
          <w:tcPr>
            <w:tcW w:w="7548" w:type="dxa"/>
          </w:tcPr>
          <w:p>
            <w:pPr>
              <w:spacing w:line="400" w:lineRule="exact"/>
              <w:rPr>
                <w:color w:val="auto"/>
                <w:sz w:val="22"/>
                <w:szCs w:val="22"/>
              </w:rPr>
            </w:pPr>
            <w:r>
              <w:rPr>
                <w:color w:val="auto"/>
                <w:sz w:val="22"/>
                <w:szCs w:val="22"/>
              </w:rPr>
              <w:t>符合招标文件要求的，未发生与招标文件中标注“*”的条款实质性偏离的。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color w:val="auto"/>
                <w:sz w:val="22"/>
                <w:szCs w:val="22"/>
              </w:rPr>
            </w:pPr>
          </w:p>
        </w:tc>
        <w:tc>
          <w:tcPr>
            <w:tcW w:w="7548" w:type="dxa"/>
          </w:tcPr>
          <w:p>
            <w:pPr>
              <w:spacing w:line="400" w:lineRule="exact"/>
              <w:rPr>
                <w:color w:val="auto"/>
                <w:sz w:val="22"/>
                <w:szCs w:val="22"/>
              </w:rPr>
            </w:pPr>
            <w:r>
              <w:rPr>
                <w:color w:val="auto"/>
                <w:sz w:val="22"/>
                <w:szCs w:val="22"/>
              </w:rPr>
              <w:t>不含有采购人不能接受的附加条件。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color w:val="auto"/>
                <w:sz w:val="22"/>
                <w:szCs w:val="22"/>
              </w:rPr>
            </w:pPr>
          </w:p>
        </w:tc>
        <w:tc>
          <w:tcPr>
            <w:tcW w:w="7548" w:type="dxa"/>
          </w:tcPr>
          <w:p>
            <w:pPr>
              <w:spacing w:line="400" w:lineRule="exact"/>
              <w:rPr>
                <w:color w:val="auto"/>
                <w:sz w:val="22"/>
                <w:szCs w:val="22"/>
              </w:rPr>
            </w:pPr>
            <w:r>
              <w:rPr>
                <w:color w:val="auto"/>
                <w:sz w:val="22"/>
                <w:szCs w:val="22"/>
              </w:rPr>
              <w:t>委托人提供法定代表人授权委托书或</w:t>
            </w:r>
            <w:r>
              <w:rPr>
                <w:rFonts w:hint="eastAsia"/>
                <w:color w:val="auto"/>
                <w:sz w:val="22"/>
                <w:szCs w:val="22"/>
              </w:rPr>
              <w:t>及签署、盖章</w:t>
            </w:r>
            <w:r>
              <w:rPr>
                <w:color w:val="auto"/>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color w:val="auto"/>
                <w:sz w:val="22"/>
                <w:szCs w:val="22"/>
              </w:rPr>
            </w:pPr>
          </w:p>
        </w:tc>
        <w:tc>
          <w:tcPr>
            <w:tcW w:w="7548" w:type="dxa"/>
          </w:tcPr>
          <w:p>
            <w:pPr>
              <w:spacing w:line="400" w:lineRule="exact"/>
              <w:rPr>
                <w:color w:val="auto"/>
                <w:sz w:val="22"/>
                <w:szCs w:val="22"/>
              </w:rPr>
            </w:pPr>
            <w:r>
              <w:rPr>
                <w:color w:val="auto"/>
                <w:sz w:val="22"/>
                <w:szCs w:val="22"/>
              </w:rPr>
              <w:t>投标文件格式规范、提供资料齐全或者未提供虚假内容。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color w:val="auto"/>
                <w:sz w:val="22"/>
                <w:szCs w:val="22"/>
              </w:rPr>
            </w:pPr>
          </w:p>
        </w:tc>
        <w:tc>
          <w:tcPr>
            <w:tcW w:w="7548" w:type="dxa"/>
          </w:tcPr>
          <w:p>
            <w:pPr>
              <w:spacing w:line="400" w:lineRule="exact"/>
              <w:rPr>
                <w:color w:val="auto"/>
                <w:sz w:val="22"/>
                <w:szCs w:val="22"/>
              </w:rPr>
            </w:pPr>
            <w:r>
              <w:rPr>
                <w:color w:val="auto"/>
                <w:sz w:val="22"/>
                <w:szCs w:val="22"/>
              </w:rPr>
              <w:t>投标文件的实质性内容使用中文表述、表述明确、前后不矛盾或者使用计量单位符合招标文件要求的（经评标委员会认定并允许其当场更正的笔误除外）。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color w:val="auto"/>
                <w:sz w:val="22"/>
                <w:szCs w:val="22"/>
              </w:rPr>
            </w:pPr>
          </w:p>
        </w:tc>
        <w:tc>
          <w:tcPr>
            <w:tcW w:w="7548" w:type="dxa"/>
          </w:tcPr>
          <w:p>
            <w:pPr>
              <w:spacing w:line="400" w:lineRule="exact"/>
              <w:rPr>
                <w:color w:val="auto"/>
                <w:sz w:val="22"/>
                <w:szCs w:val="22"/>
              </w:rPr>
            </w:pPr>
            <w:r>
              <w:rPr>
                <w:color w:val="auto"/>
                <w:sz w:val="22"/>
                <w:szCs w:val="22"/>
              </w:rPr>
              <w:t>投标文件的关键内容字迹清晰、易辨认的，或者投标文件中经修正的内容字迹易辩认或者修改处按规定签署、盖章。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color w:val="auto"/>
                <w:sz w:val="22"/>
                <w:szCs w:val="22"/>
              </w:rPr>
            </w:pPr>
          </w:p>
        </w:tc>
        <w:tc>
          <w:tcPr>
            <w:tcW w:w="7548" w:type="dxa"/>
          </w:tcPr>
          <w:p>
            <w:pPr>
              <w:spacing w:line="400" w:lineRule="exact"/>
              <w:rPr>
                <w:color w:val="auto"/>
                <w:sz w:val="22"/>
                <w:szCs w:val="22"/>
              </w:rPr>
            </w:pPr>
            <w:r>
              <w:rPr>
                <w:color w:val="auto"/>
                <w:sz w:val="22"/>
                <w:szCs w:val="22"/>
              </w:rPr>
              <w:t>未发现法律、法规和招标文件规定的其他无效情形。</w:t>
            </w:r>
          </w:p>
        </w:tc>
      </w:tr>
    </w:tbl>
    <w:p>
      <w:pPr>
        <w:pStyle w:val="11"/>
        <w:numPr>
          <w:ilvl w:val="0"/>
          <w:numId w:val="0"/>
        </w:numPr>
        <w:ind w:left="420"/>
        <w:rPr>
          <w:color w:val="auto"/>
        </w:rPr>
      </w:pPr>
    </w:p>
    <w:p>
      <w:pPr>
        <w:pStyle w:val="21"/>
        <w:spacing w:line="400" w:lineRule="exact"/>
        <w:ind w:left="473" w:firstLine="0" w:firstLineChars="0"/>
        <w:rPr>
          <w:rFonts w:ascii="Times New Roman" w:hAnsi="Times New Roman"/>
          <w:b w:val="0"/>
          <w:bCs w:val="0"/>
          <w:color w:val="auto"/>
          <w:sz w:val="22"/>
          <w:szCs w:val="22"/>
        </w:rPr>
      </w:pPr>
      <w:r>
        <w:rPr>
          <w:rFonts w:hint="eastAsia" w:ascii="Times New Roman" w:hAnsi="Times New Roman"/>
          <w:b w:val="0"/>
          <w:bCs w:val="0"/>
          <w:color w:val="auto"/>
          <w:sz w:val="22"/>
          <w:szCs w:val="22"/>
        </w:rPr>
        <w:t>（三）</w:t>
      </w:r>
      <w:r>
        <w:rPr>
          <w:rFonts w:ascii="Times New Roman" w:hAnsi="Times New Roman"/>
          <w:b w:val="0"/>
          <w:bCs w:val="0"/>
          <w:color w:val="auto"/>
          <w:sz w:val="22"/>
          <w:szCs w:val="22"/>
        </w:rPr>
        <w:t>澄清问题</w:t>
      </w:r>
    </w:p>
    <w:p>
      <w:pPr>
        <w:pStyle w:val="21"/>
        <w:spacing w:line="400" w:lineRule="exact"/>
        <w:ind w:firstLine="440" w:firstLineChars="200"/>
        <w:rPr>
          <w:rFonts w:ascii="Times New Roman" w:hAnsi="Times New Roman"/>
          <w:b w:val="0"/>
          <w:bCs w:val="0"/>
          <w:color w:val="auto"/>
          <w:sz w:val="22"/>
          <w:szCs w:val="22"/>
        </w:rPr>
      </w:pPr>
      <w:r>
        <w:rPr>
          <w:rFonts w:ascii="Times New Roman" w:hAnsi="Times New Roman"/>
          <w:b w:val="0"/>
          <w:bCs w:val="0"/>
          <w:color w:val="auto"/>
          <w:sz w:val="22"/>
          <w:szCs w:val="22"/>
        </w:rPr>
        <w:t>对于投标文件中含义不明确、同类问题表述不一致或者有明显文字和计算错误的内容，评标委员会可要求投标人以书面形式作出必要的澄清、说明或者补正。</w:t>
      </w:r>
    </w:p>
    <w:p>
      <w:pPr>
        <w:pStyle w:val="21"/>
        <w:spacing w:line="400" w:lineRule="exact"/>
        <w:ind w:firstLine="440" w:firstLineChars="200"/>
        <w:rPr>
          <w:rFonts w:ascii="Times New Roman" w:hAnsi="Times New Roman"/>
          <w:b w:val="0"/>
          <w:bCs w:val="0"/>
          <w:color w:val="auto"/>
          <w:sz w:val="22"/>
          <w:szCs w:val="22"/>
        </w:rPr>
      </w:pPr>
      <w:r>
        <w:rPr>
          <w:rFonts w:ascii="Times New Roman" w:hAnsi="Times New Roman"/>
          <w:b w:val="0"/>
          <w:bCs w:val="0"/>
          <w:color w:val="auto"/>
          <w:sz w:val="22"/>
          <w:szCs w:val="22"/>
        </w:rPr>
        <w:t>投标人的澄清、说明或者补正应当采用书面形式，并加盖公章，或者由法定代表人或其授权代表签字确认，投标人的澄清、说明或者补正不得超出投标文件的范围或者改变投标文件的实质性内容。</w:t>
      </w:r>
    </w:p>
    <w:p>
      <w:pPr>
        <w:pStyle w:val="21"/>
        <w:spacing w:line="400" w:lineRule="exact"/>
        <w:ind w:left="473" w:firstLine="0" w:firstLineChars="0"/>
        <w:rPr>
          <w:rFonts w:ascii="Times New Roman" w:hAnsi="Times New Roman"/>
          <w:b w:val="0"/>
          <w:bCs w:val="0"/>
          <w:color w:val="auto"/>
          <w:sz w:val="22"/>
          <w:szCs w:val="22"/>
        </w:rPr>
      </w:pPr>
      <w:r>
        <w:rPr>
          <w:rFonts w:hint="eastAsia" w:ascii="Times New Roman" w:hAnsi="Times New Roman"/>
          <w:b w:val="0"/>
          <w:bCs w:val="0"/>
          <w:color w:val="auto"/>
          <w:sz w:val="22"/>
          <w:szCs w:val="22"/>
        </w:rPr>
        <w:t>（四）</w:t>
      </w:r>
      <w:r>
        <w:rPr>
          <w:rFonts w:ascii="Times New Roman" w:hAnsi="Times New Roman"/>
          <w:b w:val="0"/>
          <w:bCs w:val="0"/>
          <w:color w:val="auto"/>
          <w:sz w:val="22"/>
          <w:szCs w:val="22"/>
        </w:rPr>
        <w:t>详细评审</w:t>
      </w:r>
    </w:p>
    <w:p>
      <w:pPr>
        <w:pStyle w:val="21"/>
        <w:spacing w:line="400" w:lineRule="exact"/>
        <w:ind w:firstLine="440" w:firstLineChars="200"/>
        <w:rPr>
          <w:rFonts w:ascii="Times New Roman" w:hAnsi="Times New Roman"/>
          <w:b w:val="0"/>
          <w:bCs w:val="0"/>
          <w:color w:val="auto"/>
          <w:sz w:val="22"/>
          <w:szCs w:val="22"/>
        </w:rPr>
      </w:pPr>
      <w:r>
        <w:rPr>
          <w:rFonts w:ascii="Times New Roman" w:hAnsi="Times New Roman"/>
          <w:b w:val="0"/>
          <w:bCs w:val="0"/>
          <w:color w:val="auto"/>
          <w:sz w:val="22"/>
          <w:szCs w:val="22"/>
        </w:rPr>
        <w:t>评标委员会对通过符合性审查的投标文件，依照本办法对技术、商务内容作进一步评审、比较。评标委员会成员经过阅标、审标和询标，对各投标人进行综合打分。</w:t>
      </w:r>
    </w:p>
    <w:p>
      <w:pPr>
        <w:widowControl/>
        <w:spacing w:line="400" w:lineRule="exact"/>
        <w:ind w:firstLine="440" w:firstLineChars="200"/>
        <w:jc w:val="left"/>
        <w:rPr>
          <w:color w:val="auto"/>
          <w:sz w:val="22"/>
          <w:szCs w:val="22"/>
        </w:rPr>
      </w:pPr>
      <w:r>
        <w:rPr>
          <w:color w:val="auto"/>
          <w:sz w:val="22"/>
          <w:szCs w:val="22"/>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400" w:lineRule="exact"/>
        <w:ind w:firstLine="440" w:firstLineChars="200"/>
        <w:jc w:val="left"/>
        <w:rPr>
          <w:color w:val="auto"/>
          <w:sz w:val="22"/>
          <w:szCs w:val="22"/>
        </w:rPr>
      </w:pPr>
      <w:r>
        <w:rPr>
          <w:color w:val="auto"/>
          <w:sz w:val="22"/>
          <w:szCs w:val="22"/>
        </w:rPr>
        <w:t>注：评标委员会认为投标文件无效的，应组织相关投标人代表进行陈述、澄清或申辩。</w:t>
      </w:r>
    </w:p>
    <w:p>
      <w:pPr>
        <w:widowControl/>
        <w:spacing w:line="400" w:lineRule="exact"/>
        <w:ind w:firstLine="442" w:firstLineChars="200"/>
        <w:jc w:val="left"/>
        <w:rPr>
          <w:b/>
          <w:bCs/>
          <w:color w:val="auto"/>
          <w:sz w:val="22"/>
          <w:szCs w:val="22"/>
        </w:rPr>
      </w:pPr>
      <w:r>
        <w:rPr>
          <w:b/>
          <w:bCs/>
          <w:color w:val="auto"/>
          <w:sz w:val="22"/>
          <w:szCs w:val="22"/>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widowControl/>
        <w:spacing w:line="400" w:lineRule="exact"/>
        <w:ind w:firstLine="440" w:firstLineChars="200"/>
        <w:jc w:val="left"/>
        <w:rPr>
          <w:color w:val="auto"/>
          <w:sz w:val="22"/>
          <w:szCs w:val="22"/>
        </w:rPr>
      </w:pPr>
      <w:r>
        <w:rPr>
          <w:color w:val="auto"/>
          <w:sz w:val="22"/>
          <w:szCs w:val="22"/>
        </w:rPr>
        <w:t>采购代理机构可协助评标委员会主任评委对打分结果进行校对、核对并汇总统计</w:t>
      </w:r>
      <w:r>
        <w:rPr>
          <w:rFonts w:hint="eastAsia"/>
          <w:color w:val="auto"/>
          <w:sz w:val="22"/>
          <w:szCs w:val="22"/>
        </w:rPr>
        <w:t>。</w:t>
      </w:r>
      <w:r>
        <w:rPr>
          <w:color w:val="auto"/>
          <w:sz w:val="22"/>
          <w:szCs w:val="22"/>
        </w:rPr>
        <w:t>对明显畸高、畸低的评分（其总评分偏离平均分30%以上的），评标委员会主任评委应提醒相关评标委员会成员进行复核或书面说明理由，评标委员会成员拒绝说明的，由现场监督员据实记录</w:t>
      </w:r>
      <w:r>
        <w:rPr>
          <w:rFonts w:hint="eastAsia"/>
          <w:color w:val="auto"/>
          <w:sz w:val="22"/>
          <w:szCs w:val="22"/>
        </w:rPr>
        <w:t>。</w:t>
      </w:r>
      <w:r>
        <w:rPr>
          <w:color w:val="auto"/>
          <w:sz w:val="22"/>
          <w:szCs w:val="22"/>
        </w:rPr>
        <w:t>评标委员会成员的评审、修改记录应保留原件，随项目其他资料一并存档。</w:t>
      </w:r>
    </w:p>
    <w:p>
      <w:pPr>
        <w:pStyle w:val="27"/>
        <w:spacing w:before="156" w:beforeLines="50" w:after="156" w:afterLines="50" w:line="400" w:lineRule="exact"/>
        <w:ind w:firstLine="433" w:firstLineChars="196"/>
        <w:jc w:val="left"/>
        <w:rPr>
          <w:rFonts w:ascii="Times New Roman" w:hAnsi="Times New Roman"/>
          <w:color w:val="auto"/>
          <w:sz w:val="22"/>
          <w:szCs w:val="22"/>
        </w:rPr>
      </w:pPr>
      <w:bookmarkStart w:id="231" w:name="_Toc20275"/>
      <w:bookmarkStart w:id="232" w:name="_Toc10171"/>
      <w:bookmarkStart w:id="233" w:name="_Toc17707960"/>
      <w:bookmarkStart w:id="234" w:name="_Toc249866767"/>
      <w:bookmarkStart w:id="235" w:name="_Toc51446761"/>
      <w:bookmarkStart w:id="236" w:name="_Toc4938"/>
      <w:bookmarkStart w:id="237" w:name="_Toc259108323"/>
      <w:bookmarkStart w:id="238" w:name="_Toc79395482"/>
      <w:r>
        <w:rPr>
          <w:rFonts w:hint="eastAsia" w:ascii="Times New Roman" w:hAnsi="Times New Roman"/>
          <w:color w:val="auto"/>
          <w:sz w:val="22"/>
          <w:szCs w:val="22"/>
        </w:rPr>
        <w:t>五</w:t>
      </w:r>
      <w:r>
        <w:rPr>
          <w:rFonts w:ascii="Times New Roman" w:hAnsi="Times New Roman"/>
          <w:color w:val="auto"/>
          <w:sz w:val="22"/>
          <w:szCs w:val="22"/>
        </w:rPr>
        <w:t>、投标无效的情形</w:t>
      </w:r>
      <w:bookmarkEnd w:id="231"/>
      <w:bookmarkEnd w:id="232"/>
      <w:bookmarkEnd w:id="233"/>
      <w:bookmarkEnd w:id="234"/>
      <w:bookmarkEnd w:id="235"/>
      <w:bookmarkEnd w:id="236"/>
      <w:bookmarkEnd w:id="237"/>
      <w:bookmarkEnd w:id="238"/>
    </w:p>
    <w:p>
      <w:pPr>
        <w:spacing w:line="400" w:lineRule="exact"/>
        <w:ind w:firstLine="440" w:firstLineChars="200"/>
        <w:rPr>
          <w:bCs/>
          <w:color w:val="auto"/>
          <w:sz w:val="22"/>
          <w:szCs w:val="22"/>
        </w:rPr>
      </w:pPr>
      <w:r>
        <w:rPr>
          <w:bCs/>
          <w:color w:val="auto"/>
          <w:sz w:val="22"/>
          <w:szCs w:val="22"/>
        </w:rPr>
        <w:t>没有响应招标文件实质性要求的投标将被视为无效投标。投标人不得通过修正或撤消不合要求的偏离或保留从而使其投标成为实质上响应的投标。</w:t>
      </w:r>
    </w:p>
    <w:p>
      <w:pPr>
        <w:pStyle w:val="16"/>
        <w:widowControl/>
        <w:spacing w:line="400" w:lineRule="exact"/>
        <w:ind w:firstLine="415" w:firstLineChars="196"/>
        <w:jc w:val="left"/>
        <w:rPr>
          <w:rFonts w:ascii="Times New Roman"/>
          <w:bCs/>
          <w:color w:val="auto"/>
          <w:sz w:val="22"/>
          <w:szCs w:val="22"/>
        </w:rPr>
      </w:pPr>
      <w:r>
        <w:rPr>
          <w:rFonts w:hint="eastAsia" w:ascii="Times New Roman"/>
          <w:bCs/>
          <w:color w:val="auto"/>
          <w:sz w:val="22"/>
          <w:szCs w:val="22"/>
        </w:rPr>
        <w:t>（一）</w:t>
      </w:r>
      <w:r>
        <w:rPr>
          <w:rFonts w:ascii="Times New Roman"/>
          <w:bCs/>
          <w:color w:val="auto"/>
          <w:sz w:val="22"/>
          <w:szCs w:val="22"/>
        </w:rPr>
        <w:t>在资格审查时，不具备招标文件中规定的资格要求的，或者资格证明文件不全的，投标文件将被视为无效</w:t>
      </w:r>
      <w:r>
        <w:rPr>
          <w:rFonts w:hint="eastAsia" w:ascii="Times New Roman"/>
          <w:bCs/>
          <w:color w:val="auto"/>
          <w:sz w:val="22"/>
          <w:szCs w:val="22"/>
        </w:rPr>
        <w:t>。</w:t>
      </w:r>
    </w:p>
    <w:p>
      <w:pPr>
        <w:pStyle w:val="16"/>
        <w:widowControl/>
        <w:spacing w:line="400" w:lineRule="exact"/>
        <w:ind w:firstLine="415" w:firstLineChars="196"/>
        <w:jc w:val="left"/>
        <w:rPr>
          <w:rFonts w:ascii="Times New Roman"/>
          <w:bCs/>
          <w:color w:val="auto"/>
          <w:sz w:val="22"/>
          <w:szCs w:val="22"/>
        </w:rPr>
      </w:pPr>
      <w:r>
        <w:rPr>
          <w:rFonts w:hint="eastAsia" w:ascii="Times New Roman"/>
          <w:bCs/>
          <w:color w:val="auto"/>
          <w:sz w:val="22"/>
          <w:szCs w:val="22"/>
        </w:rPr>
        <w:t>（二）</w:t>
      </w:r>
      <w:r>
        <w:rPr>
          <w:rFonts w:ascii="Times New Roman"/>
          <w:bCs/>
          <w:color w:val="auto"/>
          <w:sz w:val="22"/>
          <w:szCs w:val="22"/>
        </w:rPr>
        <w:t>在符合性审查时，如发现下列情形之一的，投标文件将被视为无效：</w:t>
      </w:r>
    </w:p>
    <w:p>
      <w:pPr>
        <w:pStyle w:val="16"/>
        <w:widowControl/>
        <w:spacing w:line="400" w:lineRule="exact"/>
        <w:ind w:left="400" w:firstLine="0"/>
        <w:jc w:val="left"/>
        <w:rPr>
          <w:rFonts w:hAnsi="宋体"/>
          <w:color w:val="auto"/>
          <w:sz w:val="22"/>
          <w:szCs w:val="22"/>
        </w:rPr>
      </w:pPr>
      <w:r>
        <w:rPr>
          <w:rFonts w:hint="eastAsia" w:ascii="Times New Roman"/>
          <w:bCs/>
          <w:color w:val="auto"/>
          <w:sz w:val="22"/>
          <w:szCs w:val="22"/>
        </w:rPr>
        <w:t>1.投标文件未按招标文件要求签署、盖章影响投标文件效力的；</w:t>
      </w:r>
    </w:p>
    <w:p>
      <w:pPr>
        <w:pStyle w:val="16"/>
        <w:widowControl/>
        <w:spacing w:line="400" w:lineRule="exact"/>
        <w:ind w:left="400" w:firstLine="0"/>
        <w:jc w:val="left"/>
        <w:rPr>
          <w:rFonts w:ascii="Times New Roman"/>
          <w:bCs/>
          <w:color w:val="auto"/>
          <w:sz w:val="22"/>
          <w:szCs w:val="22"/>
        </w:rPr>
      </w:pPr>
      <w:r>
        <w:rPr>
          <w:rFonts w:hint="eastAsia" w:ascii="Times New Roman"/>
          <w:bCs/>
          <w:color w:val="auto"/>
          <w:sz w:val="22"/>
          <w:szCs w:val="22"/>
        </w:rPr>
        <w:t>2.</w:t>
      </w:r>
      <w:r>
        <w:rPr>
          <w:rFonts w:ascii="Times New Roman"/>
          <w:bCs/>
          <w:color w:val="auto"/>
          <w:sz w:val="22"/>
          <w:szCs w:val="22"/>
        </w:rPr>
        <w:t>投标有效期不满足招标文件要求的</w:t>
      </w:r>
      <w:r>
        <w:rPr>
          <w:rFonts w:hint="eastAsia" w:ascii="Times New Roman"/>
          <w:bCs/>
          <w:color w:val="auto"/>
          <w:sz w:val="22"/>
          <w:szCs w:val="22"/>
        </w:rPr>
        <w:t>；</w:t>
      </w:r>
    </w:p>
    <w:p>
      <w:pPr>
        <w:pStyle w:val="16"/>
        <w:widowControl/>
        <w:spacing w:line="400" w:lineRule="exact"/>
        <w:ind w:left="400" w:firstLine="0"/>
        <w:jc w:val="left"/>
        <w:rPr>
          <w:rFonts w:ascii="Times New Roman"/>
          <w:bCs/>
          <w:color w:val="auto"/>
          <w:sz w:val="22"/>
          <w:szCs w:val="22"/>
        </w:rPr>
      </w:pPr>
      <w:r>
        <w:rPr>
          <w:rFonts w:hint="eastAsia" w:ascii="Times New Roman"/>
          <w:bCs/>
          <w:snapToGrid w:val="0"/>
          <w:color w:val="auto"/>
          <w:sz w:val="22"/>
          <w:szCs w:val="22"/>
        </w:rPr>
        <w:t>3.</w:t>
      </w:r>
      <w:r>
        <w:rPr>
          <w:rFonts w:ascii="Times New Roman"/>
          <w:bCs/>
          <w:snapToGrid w:val="0"/>
          <w:color w:val="auto"/>
          <w:sz w:val="22"/>
          <w:szCs w:val="22"/>
        </w:rPr>
        <w:t>明显不符合招标文件要求的，或者与</w:t>
      </w:r>
      <w:r>
        <w:rPr>
          <w:rFonts w:ascii="Times New Roman"/>
          <w:bCs/>
          <w:color w:val="auto"/>
          <w:sz w:val="22"/>
          <w:szCs w:val="22"/>
        </w:rPr>
        <w:t>招标文件中标注“*”的条款发生实质性负偏离的</w:t>
      </w:r>
      <w:r>
        <w:rPr>
          <w:rFonts w:hint="eastAsia" w:ascii="Times New Roman"/>
          <w:bCs/>
          <w:color w:val="auto"/>
          <w:sz w:val="22"/>
          <w:szCs w:val="22"/>
        </w:rPr>
        <w:t>；</w:t>
      </w:r>
    </w:p>
    <w:p>
      <w:pPr>
        <w:pStyle w:val="16"/>
        <w:widowControl/>
        <w:spacing w:line="400" w:lineRule="exact"/>
        <w:ind w:left="400" w:firstLine="0"/>
        <w:jc w:val="left"/>
        <w:rPr>
          <w:rFonts w:ascii="Times New Roman"/>
          <w:bCs/>
          <w:color w:val="auto"/>
          <w:sz w:val="22"/>
          <w:szCs w:val="22"/>
        </w:rPr>
      </w:pPr>
      <w:r>
        <w:rPr>
          <w:rFonts w:hint="eastAsia" w:ascii="Times New Roman"/>
          <w:bCs/>
          <w:color w:val="auto"/>
          <w:sz w:val="22"/>
          <w:szCs w:val="22"/>
        </w:rPr>
        <w:t>4.</w:t>
      </w:r>
      <w:r>
        <w:rPr>
          <w:rFonts w:ascii="Times New Roman"/>
          <w:bCs/>
          <w:color w:val="auto"/>
          <w:sz w:val="22"/>
          <w:szCs w:val="22"/>
        </w:rPr>
        <w:t>投标文件中含有采购人不能接受的附加条件的</w:t>
      </w:r>
      <w:r>
        <w:rPr>
          <w:rFonts w:hint="eastAsia" w:ascii="Times New Roman"/>
          <w:bCs/>
          <w:color w:val="auto"/>
          <w:sz w:val="22"/>
          <w:szCs w:val="22"/>
        </w:rPr>
        <w:t>；</w:t>
      </w:r>
    </w:p>
    <w:p>
      <w:pPr>
        <w:pStyle w:val="16"/>
        <w:widowControl/>
        <w:spacing w:line="400" w:lineRule="exact"/>
        <w:ind w:left="400" w:firstLine="0"/>
        <w:jc w:val="left"/>
        <w:rPr>
          <w:rFonts w:ascii="Times New Roman"/>
          <w:bCs/>
          <w:color w:val="auto"/>
          <w:sz w:val="22"/>
          <w:szCs w:val="22"/>
        </w:rPr>
      </w:pPr>
      <w:r>
        <w:rPr>
          <w:rFonts w:hint="eastAsia" w:ascii="Times New Roman"/>
          <w:bCs/>
          <w:color w:val="auto"/>
          <w:sz w:val="22"/>
          <w:szCs w:val="22"/>
        </w:rPr>
        <w:t>5.</w:t>
      </w:r>
      <w:r>
        <w:rPr>
          <w:rFonts w:ascii="Times New Roman"/>
          <w:bCs/>
          <w:color w:val="auto"/>
          <w:sz w:val="22"/>
          <w:szCs w:val="22"/>
        </w:rPr>
        <w:t>法律、法规和招标文件规定的其他无效情形</w:t>
      </w:r>
      <w:r>
        <w:rPr>
          <w:rFonts w:hint="eastAsia" w:ascii="Times New Roman"/>
          <w:bCs/>
          <w:color w:val="auto"/>
          <w:sz w:val="22"/>
          <w:szCs w:val="22"/>
        </w:rPr>
        <w:t>。</w:t>
      </w:r>
    </w:p>
    <w:p>
      <w:pPr>
        <w:pStyle w:val="16"/>
        <w:widowControl/>
        <w:spacing w:line="400" w:lineRule="exact"/>
        <w:ind w:firstLine="415" w:firstLineChars="196"/>
        <w:jc w:val="left"/>
        <w:rPr>
          <w:rFonts w:ascii="Times New Roman"/>
          <w:bCs/>
          <w:color w:val="auto"/>
          <w:sz w:val="22"/>
          <w:szCs w:val="22"/>
        </w:rPr>
      </w:pPr>
      <w:r>
        <w:rPr>
          <w:rFonts w:hint="eastAsia" w:ascii="Times New Roman"/>
          <w:bCs/>
          <w:color w:val="auto"/>
          <w:sz w:val="22"/>
          <w:szCs w:val="22"/>
        </w:rPr>
        <w:t>（三）</w:t>
      </w:r>
      <w:r>
        <w:rPr>
          <w:rFonts w:ascii="Times New Roman"/>
          <w:bCs/>
          <w:color w:val="auto"/>
          <w:sz w:val="22"/>
          <w:szCs w:val="22"/>
        </w:rPr>
        <w:t>在技术商务评审时，如发现下列情形之一的，投标文件将被视为无效：</w:t>
      </w:r>
    </w:p>
    <w:p>
      <w:pPr>
        <w:pStyle w:val="16"/>
        <w:widowControl/>
        <w:spacing w:line="400" w:lineRule="exact"/>
        <w:ind w:firstLine="424" w:firstLineChars="200"/>
        <w:jc w:val="left"/>
        <w:rPr>
          <w:rFonts w:ascii="Times New Roman"/>
          <w:bCs/>
          <w:color w:val="auto"/>
          <w:sz w:val="22"/>
          <w:szCs w:val="22"/>
        </w:rPr>
      </w:pPr>
      <w:r>
        <w:rPr>
          <w:rFonts w:hint="eastAsia" w:ascii="Times New Roman"/>
          <w:bCs/>
          <w:color w:val="auto"/>
          <w:sz w:val="22"/>
          <w:szCs w:val="22"/>
        </w:rPr>
        <w:t>1.</w:t>
      </w:r>
      <w:r>
        <w:rPr>
          <w:rFonts w:ascii="Times New Roman"/>
          <w:bCs/>
          <w:color w:val="auto"/>
          <w:sz w:val="22"/>
          <w:szCs w:val="22"/>
        </w:rPr>
        <w:t>未提供或未如实提供投标服务需求，或者投标文件标明的响应或偏离与事实不符或虚假投标的</w:t>
      </w:r>
      <w:r>
        <w:rPr>
          <w:rFonts w:hint="eastAsia" w:ascii="Times New Roman"/>
          <w:bCs/>
          <w:color w:val="auto"/>
          <w:sz w:val="22"/>
          <w:szCs w:val="22"/>
        </w:rPr>
        <w:t>；</w:t>
      </w:r>
    </w:p>
    <w:p>
      <w:pPr>
        <w:pStyle w:val="16"/>
        <w:widowControl/>
        <w:spacing w:line="400" w:lineRule="exact"/>
        <w:ind w:firstLine="419" w:firstLineChars="198"/>
        <w:jc w:val="left"/>
        <w:rPr>
          <w:rFonts w:ascii="Times New Roman"/>
          <w:bCs/>
          <w:color w:val="auto"/>
          <w:sz w:val="22"/>
          <w:szCs w:val="22"/>
        </w:rPr>
      </w:pPr>
      <w:r>
        <w:rPr>
          <w:rFonts w:hint="eastAsia" w:ascii="Times New Roman"/>
          <w:bCs/>
          <w:color w:val="auto"/>
          <w:sz w:val="22"/>
          <w:szCs w:val="22"/>
        </w:rPr>
        <w:t>2.</w:t>
      </w:r>
      <w:r>
        <w:rPr>
          <w:rFonts w:ascii="Times New Roman"/>
          <w:bCs/>
          <w:color w:val="auto"/>
          <w:sz w:val="22"/>
          <w:szCs w:val="22"/>
        </w:rPr>
        <w:t>投标技术方案不明确，存在一个或一个以上备选（替代）投标方案的</w:t>
      </w:r>
      <w:r>
        <w:rPr>
          <w:rFonts w:hint="eastAsia" w:ascii="Times New Roman"/>
          <w:bCs/>
          <w:color w:val="auto"/>
          <w:sz w:val="22"/>
          <w:szCs w:val="22"/>
        </w:rPr>
        <w:t>（招标文件允许有备选方案参加投标的除外）。</w:t>
      </w:r>
    </w:p>
    <w:p>
      <w:pPr>
        <w:pStyle w:val="16"/>
        <w:widowControl/>
        <w:spacing w:line="400" w:lineRule="exact"/>
        <w:ind w:firstLine="415" w:firstLineChars="196"/>
        <w:jc w:val="left"/>
        <w:rPr>
          <w:rFonts w:ascii="Times New Roman"/>
          <w:bCs/>
          <w:color w:val="auto"/>
          <w:sz w:val="22"/>
          <w:szCs w:val="22"/>
        </w:rPr>
      </w:pPr>
      <w:r>
        <w:rPr>
          <w:rFonts w:hint="eastAsia" w:ascii="Times New Roman"/>
          <w:bCs/>
          <w:color w:val="auto"/>
          <w:sz w:val="22"/>
          <w:szCs w:val="22"/>
        </w:rPr>
        <w:t>（四）</w:t>
      </w:r>
      <w:r>
        <w:rPr>
          <w:rFonts w:ascii="Times New Roman"/>
          <w:bCs/>
          <w:color w:val="auto"/>
          <w:sz w:val="22"/>
          <w:szCs w:val="22"/>
        </w:rPr>
        <w:t>在报价评审时，如发现下列情形之一的，投标文件将被视为无效：</w:t>
      </w:r>
    </w:p>
    <w:p>
      <w:pPr>
        <w:pStyle w:val="16"/>
        <w:widowControl/>
        <w:spacing w:line="400" w:lineRule="exact"/>
        <w:ind w:left="400" w:firstLine="0"/>
        <w:jc w:val="left"/>
        <w:rPr>
          <w:rFonts w:ascii="Times New Roman"/>
          <w:bCs/>
          <w:color w:val="auto"/>
          <w:sz w:val="22"/>
          <w:szCs w:val="22"/>
        </w:rPr>
      </w:pPr>
      <w:r>
        <w:rPr>
          <w:rFonts w:hint="eastAsia" w:ascii="Times New Roman"/>
          <w:bCs/>
          <w:color w:val="auto"/>
          <w:sz w:val="22"/>
          <w:szCs w:val="22"/>
        </w:rPr>
        <w:t>1.</w:t>
      </w:r>
      <w:r>
        <w:rPr>
          <w:rFonts w:ascii="Times New Roman"/>
          <w:bCs/>
          <w:color w:val="auto"/>
          <w:sz w:val="22"/>
          <w:szCs w:val="22"/>
        </w:rPr>
        <w:t>报价超过招标文件中规定的预算金额或者最高限价的</w:t>
      </w:r>
      <w:r>
        <w:rPr>
          <w:rFonts w:hint="eastAsia" w:ascii="Times New Roman"/>
          <w:bCs/>
          <w:color w:val="auto"/>
          <w:sz w:val="22"/>
          <w:szCs w:val="22"/>
        </w:rPr>
        <w:t>；</w:t>
      </w:r>
    </w:p>
    <w:p>
      <w:pPr>
        <w:pStyle w:val="16"/>
        <w:widowControl/>
        <w:spacing w:line="400" w:lineRule="exact"/>
        <w:ind w:firstLine="424" w:firstLineChars="200"/>
        <w:jc w:val="left"/>
        <w:rPr>
          <w:rFonts w:ascii="Times New Roman"/>
          <w:bCs/>
          <w:color w:val="auto"/>
          <w:sz w:val="22"/>
          <w:szCs w:val="22"/>
        </w:rPr>
      </w:pPr>
      <w:r>
        <w:rPr>
          <w:rFonts w:hint="eastAsia" w:ascii="Times New Roman"/>
          <w:bCs/>
          <w:color w:val="auto"/>
          <w:sz w:val="22"/>
          <w:szCs w:val="22"/>
        </w:rPr>
        <w:t>2.</w:t>
      </w:r>
      <w:r>
        <w:rPr>
          <w:rFonts w:ascii="Times New Roman"/>
          <w:bCs/>
          <w:color w:val="auto"/>
          <w:sz w:val="22"/>
          <w:szCs w:val="22"/>
        </w:rPr>
        <w:t>未采用招标文件要求的报价形式报价的</w:t>
      </w:r>
      <w:r>
        <w:rPr>
          <w:rFonts w:hint="eastAsia" w:ascii="Times New Roman"/>
          <w:bCs/>
          <w:color w:val="auto"/>
          <w:sz w:val="22"/>
          <w:szCs w:val="22"/>
        </w:rPr>
        <w:t>；</w:t>
      </w:r>
    </w:p>
    <w:p>
      <w:pPr>
        <w:pStyle w:val="16"/>
        <w:widowControl/>
        <w:spacing w:line="400" w:lineRule="exact"/>
        <w:ind w:left="400" w:firstLine="0"/>
        <w:jc w:val="left"/>
        <w:rPr>
          <w:rFonts w:ascii="Times New Roman"/>
          <w:bCs/>
          <w:color w:val="auto"/>
          <w:sz w:val="22"/>
          <w:szCs w:val="22"/>
        </w:rPr>
      </w:pPr>
      <w:r>
        <w:rPr>
          <w:rFonts w:hint="eastAsia" w:ascii="Times New Roman"/>
          <w:bCs/>
          <w:color w:val="auto"/>
          <w:sz w:val="22"/>
          <w:szCs w:val="22"/>
        </w:rPr>
        <w:t>3.</w:t>
      </w:r>
      <w:r>
        <w:rPr>
          <w:rFonts w:ascii="Times New Roman"/>
          <w:bCs/>
          <w:color w:val="auto"/>
          <w:sz w:val="22"/>
          <w:szCs w:val="22"/>
        </w:rPr>
        <w:t>投标报价具有选择性</w:t>
      </w:r>
      <w:r>
        <w:rPr>
          <w:rFonts w:hint="eastAsia" w:ascii="Times New Roman"/>
          <w:bCs/>
          <w:color w:val="auto"/>
          <w:sz w:val="22"/>
          <w:szCs w:val="22"/>
        </w:rPr>
        <w:t>；</w:t>
      </w:r>
    </w:p>
    <w:p>
      <w:pPr>
        <w:pStyle w:val="16"/>
        <w:widowControl/>
        <w:spacing w:line="400" w:lineRule="exact"/>
        <w:ind w:firstLine="419" w:firstLineChars="198"/>
        <w:jc w:val="left"/>
        <w:rPr>
          <w:rFonts w:ascii="Times New Roman"/>
          <w:bCs/>
          <w:color w:val="auto"/>
          <w:sz w:val="22"/>
          <w:szCs w:val="22"/>
        </w:rPr>
      </w:pPr>
      <w:r>
        <w:rPr>
          <w:rFonts w:hint="eastAsia" w:ascii="Times New Roman"/>
          <w:bCs/>
          <w:color w:val="auto"/>
          <w:sz w:val="22"/>
          <w:szCs w:val="22"/>
        </w:rPr>
        <w:t>4.</w:t>
      </w:r>
      <w:r>
        <w:rPr>
          <w:rFonts w:ascii="Times New Roman"/>
          <w:bCs/>
          <w:color w:val="auto"/>
          <w:sz w:val="22"/>
          <w:szCs w:val="22"/>
        </w:rPr>
        <w:t>评标委员会认为投标人的报价明显低于其他通过符合性审查投标人的报价，有可能影响服务质量或者不能诚信履约的，且不能在评标现场合理时间内提供相关证明材料说明其报价的合理性的</w:t>
      </w:r>
      <w:r>
        <w:rPr>
          <w:rFonts w:hint="eastAsia" w:ascii="Times New Roman"/>
          <w:bCs/>
          <w:color w:val="auto"/>
          <w:sz w:val="22"/>
          <w:szCs w:val="22"/>
        </w:rPr>
        <w:t>；</w:t>
      </w:r>
    </w:p>
    <w:p>
      <w:pPr>
        <w:pStyle w:val="16"/>
        <w:widowControl/>
        <w:spacing w:line="400" w:lineRule="exact"/>
        <w:ind w:firstLine="419" w:firstLineChars="198"/>
        <w:jc w:val="left"/>
        <w:rPr>
          <w:rFonts w:ascii="Times New Roman"/>
          <w:bCs/>
          <w:color w:val="auto"/>
          <w:sz w:val="22"/>
          <w:szCs w:val="22"/>
        </w:rPr>
      </w:pPr>
      <w:r>
        <w:rPr>
          <w:rFonts w:hint="eastAsia" w:ascii="Times New Roman"/>
          <w:bCs/>
          <w:color w:val="auto"/>
          <w:sz w:val="22"/>
          <w:szCs w:val="22"/>
        </w:rPr>
        <w:t>5.</w:t>
      </w:r>
      <w:r>
        <w:rPr>
          <w:rFonts w:ascii="Times New Roman"/>
          <w:bCs/>
          <w:color w:val="auto"/>
          <w:sz w:val="22"/>
          <w:szCs w:val="22"/>
        </w:rPr>
        <w:t>招标文件规定的其他无效情形</w:t>
      </w:r>
      <w:r>
        <w:rPr>
          <w:rFonts w:hint="eastAsia" w:ascii="Times New Roman"/>
          <w:bCs/>
          <w:color w:val="auto"/>
          <w:sz w:val="22"/>
          <w:szCs w:val="22"/>
        </w:rPr>
        <w:t>。</w:t>
      </w:r>
    </w:p>
    <w:p>
      <w:pPr>
        <w:spacing w:line="400" w:lineRule="exact"/>
        <w:ind w:firstLine="440" w:firstLineChars="200"/>
        <w:rPr>
          <w:bCs/>
          <w:color w:val="auto"/>
          <w:sz w:val="22"/>
          <w:szCs w:val="22"/>
        </w:rPr>
      </w:pPr>
      <w:r>
        <w:rPr>
          <w:rFonts w:hint="eastAsia"/>
          <w:bCs/>
          <w:color w:val="auto"/>
          <w:sz w:val="22"/>
          <w:szCs w:val="22"/>
        </w:rPr>
        <w:t>（五）</w:t>
      </w:r>
      <w:r>
        <w:rPr>
          <w:bCs/>
          <w:color w:val="auto"/>
          <w:sz w:val="22"/>
          <w:szCs w:val="22"/>
        </w:rPr>
        <w:t>被拒绝的投标文件为无效。</w:t>
      </w:r>
    </w:p>
    <w:p>
      <w:pPr>
        <w:spacing w:line="400" w:lineRule="exact"/>
        <w:ind w:firstLine="440" w:firstLineChars="200"/>
        <w:rPr>
          <w:bCs/>
          <w:color w:val="auto"/>
          <w:sz w:val="22"/>
          <w:szCs w:val="22"/>
        </w:rPr>
      </w:pPr>
      <w:r>
        <w:rPr>
          <w:rFonts w:hint="eastAsia"/>
          <w:bCs/>
          <w:color w:val="auto"/>
          <w:sz w:val="22"/>
          <w:szCs w:val="22"/>
        </w:rPr>
        <w:t>（六）</w:t>
      </w:r>
      <w:r>
        <w:rPr>
          <w:bCs/>
          <w:color w:val="auto"/>
          <w:sz w:val="22"/>
          <w:szCs w:val="22"/>
        </w:rPr>
        <w:t>不同投标人的投标文件出自同一终端设备或在相同Internet主机分配地址（相同IP地址）网上报名投标或上传投标文件</w:t>
      </w:r>
      <w:r>
        <w:rPr>
          <w:rFonts w:hint="eastAsia"/>
          <w:bCs/>
          <w:color w:val="auto"/>
          <w:sz w:val="22"/>
          <w:szCs w:val="22"/>
        </w:rPr>
        <w:t>，其</w:t>
      </w:r>
      <w:r>
        <w:rPr>
          <w:bCs/>
          <w:color w:val="auto"/>
          <w:sz w:val="22"/>
          <w:szCs w:val="22"/>
        </w:rPr>
        <w:t>投标文件为无效。</w:t>
      </w:r>
    </w:p>
    <w:p>
      <w:pPr>
        <w:spacing w:line="360" w:lineRule="auto"/>
        <w:ind w:firstLine="422" w:firstLineChars="200"/>
        <w:rPr>
          <w:b/>
          <w:color w:val="auto"/>
          <w:szCs w:val="21"/>
        </w:rPr>
      </w:pPr>
    </w:p>
    <w:p>
      <w:pPr>
        <w:widowControl/>
        <w:jc w:val="left"/>
        <w:rPr>
          <w:b/>
          <w:bCs/>
          <w:color w:val="auto"/>
          <w:szCs w:val="21"/>
        </w:rPr>
      </w:pPr>
      <w:r>
        <w:rPr>
          <w:color w:val="auto"/>
          <w:szCs w:val="21"/>
        </w:rPr>
        <w:br w:type="page"/>
      </w:r>
      <w:bookmarkStart w:id="239" w:name="_Toc27740"/>
      <w:bookmarkStart w:id="240" w:name="_Toc7045"/>
      <w:bookmarkStart w:id="241" w:name="_Toc28345"/>
      <w:bookmarkStart w:id="242" w:name="_Toc79395483"/>
      <w:bookmarkStart w:id="243" w:name="_Toc17707961"/>
      <w:r>
        <w:rPr>
          <w:rFonts w:hint="eastAsia"/>
          <w:b/>
          <w:bCs/>
          <w:color w:val="auto"/>
          <w:szCs w:val="21"/>
        </w:rPr>
        <w:t>六</w:t>
      </w:r>
      <w:r>
        <w:rPr>
          <w:b/>
          <w:bCs/>
          <w:color w:val="auto"/>
          <w:szCs w:val="21"/>
        </w:rPr>
        <w:t>、评</w:t>
      </w:r>
      <w:r>
        <w:rPr>
          <w:rFonts w:hint="eastAsia"/>
          <w:b/>
          <w:bCs/>
          <w:color w:val="auto"/>
          <w:szCs w:val="21"/>
        </w:rPr>
        <w:t xml:space="preserve"> </w:t>
      </w:r>
      <w:r>
        <w:rPr>
          <w:b/>
          <w:bCs/>
          <w:color w:val="auto"/>
          <w:szCs w:val="21"/>
        </w:rPr>
        <w:t>分</w:t>
      </w:r>
      <w:r>
        <w:rPr>
          <w:rFonts w:hint="eastAsia"/>
          <w:b/>
          <w:bCs/>
          <w:color w:val="auto"/>
          <w:szCs w:val="21"/>
        </w:rPr>
        <w:t xml:space="preserve"> </w:t>
      </w:r>
      <w:r>
        <w:rPr>
          <w:b/>
          <w:bCs/>
          <w:color w:val="auto"/>
          <w:szCs w:val="21"/>
        </w:rPr>
        <w:t>标</w:t>
      </w:r>
      <w:r>
        <w:rPr>
          <w:rFonts w:hint="eastAsia"/>
          <w:b/>
          <w:bCs/>
          <w:color w:val="auto"/>
          <w:szCs w:val="21"/>
        </w:rPr>
        <w:t xml:space="preserve"> </w:t>
      </w:r>
      <w:r>
        <w:rPr>
          <w:b/>
          <w:bCs/>
          <w:color w:val="auto"/>
          <w:szCs w:val="21"/>
        </w:rPr>
        <w:t>准</w:t>
      </w:r>
      <w:r>
        <w:rPr>
          <w:rFonts w:hint="eastAsia"/>
          <w:b/>
          <w:bCs/>
          <w:color w:val="auto"/>
          <w:szCs w:val="21"/>
        </w:rPr>
        <w:t xml:space="preserve"> </w:t>
      </w:r>
      <w:bookmarkEnd w:id="239"/>
      <w:bookmarkEnd w:id="240"/>
      <w:bookmarkEnd w:id="241"/>
      <w:bookmarkEnd w:id="242"/>
      <w:bookmarkEnd w:id="243"/>
    </w:p>
    <w:tbl>
      <w:tblPr>
        <w:tblStyle w:val="38"/>
        <w:tblW w:w="9673" w:type="dxa"/>
        <w:tblInd w:w="0" w:type="dxa"/>
        <w:tblLayout w:type="fixed"/>
        <w:tblCellMar>
          <w:top w:w="0" w:type="dxa"/>
          <w:left w:w="108" w:type="dxa"/>
          <w:bottom w:w="0" w:type="dxa"/>
          <w:right w:w="108" w:type="dxa"/>
        </w:tblCellMar>
      </w:tblPr>
      <w:tblGrid>
        <w:gridCol w:w="817"/>
        <w:gridCol w:w="819"/>
        <w:gridCol w:w="650"/>
        <w:gridCol w:w="7387"/>
      </w:tblGrid>
      <w:tr>
        <w:tblPrEx>
          <w:tblCellMar>
            <w:top w:w="0" w:type="dxa"/>
            <w:left w:w="108" w:type="dxa"/>
            <w:bottom w:w="0" w:type="dxa"/>
            <w:right w:w="108" w:type="dxa"/>
          </w:tblCellMar>
        </w:tblPrEx>
        <w:trPr>
          <w:cantSplit/>
          <w:trHeight w:val="529" w:hRule="atLeast"/>
          <w:tblHeader/>
        </w:trPr>
        <w:tc>
          <w:tcPr>
            <w:tcW w:w="81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序号</w:t>
            </w:r>
          </w:p>
        </w:tc>
        <w:tc>
          <w:tcPr>
            <w:tcW w:w="819"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评分</w:t>
            </w:r>
          </w:p>
          <w:p>
            <w:pPr>
              <w:spacing w:line="360" w:lineRule="exact"/>
              <w:jc w:val="center"/>
              <w:rPr>
                <w:rFonts w:hint="eastAsia" w:ascii="宋体" w:hAnsi="宋体" w:eastAsia="宋体" w:cs="宋体"/>
                <w:color w:val="000000"/>
                <w:sz w:val="22"/>
                <w:szCs w:val="22"/>
              </w:rPr>
            </w:pPr>
            <w:r>
              <w:rPr>
                <w:rFonts w:hint="eastAsia" w:ascii="宋体" w:hAnsi="宋体" w:eastAsia="宋体" w:cs="宋体"/>
                <w:b/>
                <w:bCs/>
                <w:color w:val="000000"/>
                <w:sz w:val="22"/>
                <w:szCs w:val="22"/>
              </w:rPr>
              <w:t>因素</w:t>
            </w:r>
          </w:p>
        </w:tc>
        <w:tc>
          <w:tcPr>
            <w:tcW w:w="650" w:type="dxa"/>
            <w:tcBorders>
              <w:top w:val="single" w:color="auto" w:sz="8" w:space="0"/>
              <w:left w:val="nil"/>
              <w:bottom w:val="single" w:color="auto" w:sz="8" w:space="0"/>
              <w:right w:val="single" w:color="auto" w:sz="8" w:space="0"/>
            </w:tcBorders>
            <w:noWrap w:val="0"/>
            <w:vAlign w:val="center"/>
          </w:tcPr>
          <w:p>
            <w:pPr>
              <w:spacing w:line="360" w:lineRule="exact"/>
              <w:jc w:val="center"/>
              <w:rPr>
                <w:rFonts w:hint="eastAsia" w:ascii="宋体" w:hAnsi="宋体" w:eastAsia="宋体" w:cs="宋体"/>
                <w:color w:val="000000"/>
                <w:sz w:val="22"/>
                <w:szCs w:val="22"/>
              </w:rPr>
            </w:pPr>
            <w:r>
              <w:rPr>
                <w:rFonts w:hint="eastAsia" w:ascii="宋体" w:hAnsi="宋体" w:eastAsia="宋体" w:cs="宋体"/>
                <w:b/>
                <w:bCs/>
                <w:color w:val="000000"/>
                <w:sz w:val="22"/>
                <w:szCs w:val="22"/>
              </w:rPr>
              <w:t>分值</w:t>
            </w:r>
          </w:p>
        </w:tc>
        <w:tc>
          <w:tcPr>
            <w:tcW w:w="7387" w:type="dxa"/>
            <w:tcBorders>
              <w:top w:val="single" w:color="auto" w:sz="8" w:space="0"/>
              <w:left w:val="nil"/>
              <w:bottom w:val="single" w:color="auto" w:sz="8" w:space="0"/>
              <w:right w:val="single" w:color="auto" w:sz="8" w:space="0"/>
            </w:tcBorders>
            <w:noWrap w:val="0"/>
            <w:vAlign w:val="center"/>
          </w:tcPr>
          <w:p>
            <w:pPr>
              <w:spacing w:line="360" w:lineRule="exact"/>
              <w:jc w:val="center"/>
              <w:rPr>
                <w:rFonts w:hint="eastAsia" w:ascii="宋体" w:hAnsi="宋体" w:eastAsia="宋体" w:cs="宋体"/>
                <w:color w:val="000000"/>
                <w:sz w:val="22"/>
                <w:szCs w:val="22"/>
              </w:rPr>
            </w:pPr>
            <w:r>
              <w:rPr>
                <w:rFonts w:hint="eastAsia" w:ascii="宋体" w:hAnsi="宋体" w:eastAsia="宋体" w:cs="宋体"/>
                <w:b/>
                <w:bCs/>
                <w:color w:val="000000"/>
                <w:sz w:val="22"/>
                <w:szCs w:val="22"/>
              </w:rPr>
              <w:t>评分标准</w:t>
            </w:r>
          </w:p>
        </w:tc>
      </w:tr>
      <w:tr>
        <w:tblPrEx>
          <w:tblCellMar>
            <w:top w:w="0" w:type="dxa"/>
            <w:left w:w="108" w:type="dxa"/>
            <w:bottom w:w="0" w:type="dxa"/>
            <w:right w:w="108" w:type="dxa"/>
          </w:tblCellMar>
        </w:tblPrEx>
        <w:trPr>
          <w:trHeight w:val="580" w:hRule="atLeast"/>
        </w:trPr>
        <w:tc>
          <w:tcPr>
            <w:tcW w:w="9673"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一、报价部分（1</w:t>
            </w:r>
            <w:r>
              <w:rPr>
                <w:rFonts w:hint="eastAsia" w:ascii="宋体" w:hAnsi="宋体" w:cs="宋体"/>
                <w:color w:val="000000"/>
                <w:sz w:val="22"/>
                <w:szCs w:val="22"/>
                <w:lang w:val="en-US" w:eastAsia="zh-CN"/>
              </w:rPr>
              <w:t>5</w:t>
            </w:r>
            <w:r>
              <w:rPr>
                <w:rFonts w:hint="eastAsia" w:ascii="宋体" w:hAnsi="宋体" w:eastAsia="宋体" w:cs="宋体"/>
                <w:color w:val="000000"/>
                <w:sz w:val="22"/>
                <w:szCs w:val="22"/>
              </w:rPr>
              <w:t>分）</w:t>
            </w:r>
          </w:p>
        </w:tc>
      </w:tr>
      <w:tr>
        <w:tblPrEx>
          <w:tblCellMar>
            <w:top w:w="0" w:type="dxa"/>
            <w:left w:w="108" w:type="dxa"/>
            <w:bottom w:w="0" w:type="dxa"/>
            <w:right w:w="108" w:type="dxa"/>
          </w:tblCellMar>
        </w:tblPrEx>
        <w:trPr>
          <w:trHeight w:val="2319" w:hRule="atLeast"/>
        </w:trPr>
        <w:tc>
          <w:tcPr>
            <w:tcW w:w="81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819"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w:t>
            </w:r>
          </w:p>
          <w:p>
            <w:pPr>
              <w:spacing w:line="3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报价</w:t>
            </w:r>
          </w:p>
        </w:tc>
        <w:tc>
          <w:tcPr>
            <w:tcW w:w="650" w:type="dxa"/>
            <w:tcBorders>
              <w:top w:val="single" w:color="auto" w:sz="8" w:space="0"/>
              <w:left w:val="nil"/>
              <w:bottom w:val="single" w:color="auto" w:sz="8" w:space="0"/>
              <w:right w:val="single" w:color="auto" w:sz="8" w:space="0"/>
            </w:tcBorders>
            <w:noWrap w:val="0"/>
            <w:vAlign w:val="center"/>
          </w:tcPr>
          <w:p>
            <w:pPr>
              <w:spacing w:line="360" w:lineRule="exact"/>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15</w:t>
            </w:r>
          </w:p>
        </w:tc>
        <w:tc>
          <w:tcPr>
            <w:tcW w:w="7387"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eastAsia="宋体" w:cs="宋体"/>
                <w:color w:val="000000"/>
                <w:sz w:val="22"/>
                <w:szCs w:val="22"/>
              </w:rPr>
            </w:pPr>
            <w:r>
              <w:rPr>
                <w:rFonts w:hint="eastAsia" w:ascii="宋体" w:hAnsi="宋体" w:eastAsia="宋体" w:cs="宋体"/>
                <w:color w:val="000000"/>
                <w:sz w:val="22"/>
                <w:szCs w:val="22"/>
              </w:rPr>
              <w:t>评标基准价指的是满足招标文件要求且最低的参与评审的价格。</w:t>
            </w:r>
          </w:p>
          <w:p>
            <w:pPr>
              <w:spacing w:line="360" w:lineRule="exact"/>
              <w:rPr>
                <w:rFonts w:hint="eastAsia" w:ascii="宋体" w:hAnsi="宋体" w:eastAsia="宋体" w:cs="宋体"/>
                <w:color w:val="000000"/>
                <w:sz w:val="22"/>
                <w:szCs w:val="22"/>
              </w:rPr>
            </w:pPr>
            <w:r>
              <w:rPr>
                <w:rFonts w:hint="eastAsia" w:ascii="宋体" w:hAnsi="宋体" w:eastAsia="宋体" w:cs="宋体"/>
                <w:color w:val="000000"/>
                <w:sz w:val="22"/>
                <w:szCs w:val="22"/>
              </w:rPr>
              <w:t>参与评审的价格=投标报价-小微企业价格扣除优惠值</w:t>
            </w:r>
            <w:r>
              <w:rPr>
                <w:rFonts w:hint="eastAsia" w:ascii="宋体" w:hAnsi="宋体" w:cs="宋体"/>
                <w:color w:val="000000"/>
                <w:sz w:val="22"/>
                <w:szCs w:val="22"/>
                <w:lang w:val="en-US" w:eastAsia="zh-CN"/>
              </w:rPr>
              <w:t>2</w:t>
            </w:r>
            <w:r>
              <w:rPr>
                <w:rFonts w:hint="eastAsia" w:ascii="宋体" w:hAnsi="宋体" w:eastAsia="宋体" w:cs="宋体"/>
                <w:color w:val="000000"/>
                <w:sz w:val="22"/>
                <w:szCs w:val="22"/>
              </w:rPr>
              <w:t>0％（如有）。</w:t>
            </w:r>
          </w:p>
          <w:p>
            <w:pPr>
              <w:spacing w:line="360" w:lineRule="exact"/>
              <w:rPr>
                <w:rFonts w:hint="eastAsia" w:ascii="宋体" w:hAnsi="宋体" w:eastAsia="宋体" w:cs="宋体"/>
                <w:color w:val="000000"/>
                <w:sz w:val="22"/>
                <w:szCs w:val="22"/>
              </w:rPr>
            </w:pPr>
            <w:r>
              <w:rPr>
                <w:rFonts w:hint="eastAsia" w:ascii="宋体" w:hAnsi="宋体" w:eastAsia="宋体" w:cs="宋体"/>
                <w:color w:val="000000"/>
                <w:sz w:val="22"/>
                <w:szCs w:val="22"/>
              </w:rPr>
              <w:t>参与评审的价格为评标基准价的其价格得分为满分</w:t>
            </w:r>
            <w:r>
              <w:rPr>
                <w:rFonts w:hint="eastAsia" w:ascii="宋体" w:hAnsi="宋体" w:cs="宋体"/>
                <w:color w:val="000000"/>
                <w:sz w:val="22"/>
                <w:szCs w:val="22"/>
                <w:lang w:val="en-US" w:eastAsia="zh-CN"/>
              </w:rPr>
              <w:t>15</w:t>
            </w:r>
            <w:r>
              <w:rPr>
                <w:rFonts w:hint="eastAsia" w:ascii="宋体" w:hAnsi="宋体" w:eastAsia="宋体" w:cs="宋体"/>
                <w:color w:val="000000"/>
                <w:sz w:val="22"/>
                <w:szCs w:val="22"/>
              </w:rPr>
              <w:t>分。</w:t>
            </w:r>
          </w:p>
          <w:p>
            <w:pPr>
              <w:spacing w:line="360" w:lineRule="exact"/>
              <w:rPr>
                <w:rFonts w:hint="eastAsia" w:ascii="宋体" w:hAnsi="宋体" w:eastAsia="宋体" w:cs="宋体"/>
                <w:color w:val="000000"/>
                <w:sz w:val="22"/>
                <w:szCs w:val="22"/>
              </w:rPr>
            </w:pPr>
            <w:r>
              <w:rPr>
                <w:rFonts w:hint="eastAsia" w:ascii="宋体" w:hAnsi="宋体" w:eastAsia="宋体" w:cs="宋体"/>
                <w:color w:val="000000"/>
                <w:sz w:val="22"/>
                <w:szCs w:val="22"/>
              </w:rPr>
              <w:t>其他投标人价格得分按照下列公式计算：</w:t>
            </w:r>
          </w:p>
          <w:p>
            <w:pPr>
              <w:spacing w:line="360" w:lineRule="exact"/>
              <w:rPr>
                <w:rFonts w:hint="eastAsia" w:ascii="宋体" w:hAnsi="宋体" w:eastAsia="宋体" w:cs="宋体"/>
                <w:color w:val="000000"/>
                <w:sz w:val="22"/>
                <w:szCs w:val="22"/>
              </w:rPr>
            </w:pPr>
            <w:r>
              <w:rPr>
                <w:rFonts w:hint="eastAsia" w:ascii="宋体" w:hAnsi="宋体" w:eastAsia="宋体" w:cs="宋体"/>
                <w:color w:val="000000"/>
                <w:sz w:val="22"/>
                <w:szCs w:val="22"/>
              </w:rPr>
              <w:t>价格得分=（评标基准价/各投标人参与评审的价格）</w:t>
            </w:r>
            <w:r>
              <w:rPr>
                <w:rFonts w:hint="eastAsia" w:ascii="宋体" w:hAnsi="宋体" w:cs="宋体"/>
                <w:color w:val="000000"/>
                <w:sz w:val="22"/>
                <w:szCs w:val="22"/>
                <w:lang w:val="en-US" w:eastAsia="zh-CN"/>
              </w:rPr>
              <w:t>15</w:t>
            </w:r>
            <w:r>
              <w:rPr>
                <w:rFonts w:hint="eastAsia" w:ascii="宋体" w:hAnsi="宋体" w:eastAsia="宋体" w:cs="宋体"/>
                <w:color w:val="000000"/>
                <w:sz w:val="22"/>
                <w:szCs w:val="22"/>
              </w:rPr>
              <w:t>％×100。</w:t>
            </w:r>
          </w:p>
          <w:p>
            <w:pPr>
              <w:spacing w:line="36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本项目最高限价90万元，最终报价超过最高限价的作无效投标处理。</w:t>
            </w:r>
          </w:p>
        </w:tc>
      </w:tr>
      <w:tr>
        <w:tblPrEx>
          <w:tblCellMar>
            <w:top w:w="0" w:type="dxa"/>
            <w:left w:w="108" w:type="dxa"/>
            <w:bottom w:w="0" w:type="dxa"/>
            <w:right w:w="108" w:type="dxa"/>
          </w:tblCellMar>
        </w:tblPrEx>
        <w:trPr>
          <w:trHeight w:val="780" w:hRule="atLeast"/>
        </w:trPr>
        <w:tc>
          <w:tcPr>
            <w:tcW w:w="9673"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二、技术商务部分（</w:t>
            </w:r>
            <w:r>
              <w:rPr>
                <w:rFonts w:hint="eastAsia" w:ascii="宋体" w:hAnsi="宋体" w:cs="宋体"/>
                <w:color w:val="000000"/>
                <w:sz w:val="22"/>
                <w:szCs w:val="22"/>
                <w:lang w:val="en-US" w:eastAsia="zh-CN"/>
              </w:rPr>
              <w:t>85</w:t>
            </w:r>
            <w:r>
              <w:rPr>
                <w:rFonts w:hint="eastAsia" w:ascii="宋体" w:hAnsi="宋体" w:eastAsia="宋体" w:cs="宋体"/>
                <w:color w:val="000000"/>
                <w:sz w:val="22"/>
                <w:szCs w:val="22"/>
              </w:rPr>
              <w:t>分）</w:t>
            </w:r>
          </w:p>
        </w:tc>
      </w:tr>
      <w:tr>
        <w:tblPrEx>
          <w:tblCellMar>
            <w:top w:w="0" w:type="dxa"/>
            <w:left w:w="108" w:type="dxa"/>
            <w:bottom w:w="0" w:type="dxa"/>
            <w:right w:w="108" w:type="dxa"/>
          </w:tblCellMar>
        </w:tblPrEx>
        <w:trPr>
          <w:trHeight w:val="858" w:hRule="atLeast"/>
        </w:trPr>
        <w:tc>
          <w:tcPr>
            <w:tcW w:w="817" w:type="dxa"/>
            <w:tcBorders>
              <w:top w:val="nil"/>
              <w:left w:val="single" w:color="auto" w:sz="8" w:space="0"/>
              <w:bottom w:val="single" w:color="auto" w:sz="8" w:space="0"/>
              <w:right w:val="single" w:color="auto" w:sz="8" w:space="0"/>
            </w:tcBorders>
            <w:noWrap w:val="0"/>
            <w:vAlign w:val="center"/>
          </w:tcPr>
          <w:p>
            <w:pPr>
              <w:jc w:val="center"/>
              <w:rPr>
                <w:rStyle w:val="96"/>
                <w:rFonts w:hint="eastAsia" w:ascii="宋体" w:hAnsi="宋体" w:eastAsia="宋体" w:cs="宋体"/>
                <w:color w:val="000000"/>
                <w:kern w:val="2"/>
                <w:sz w:val="22"/>
                <w:szCs w:val="22"/>
              </w:rPr>
            </w:pPr>
            <w:r>
              <w:rPr>
                <w:rStyle w:val="96"/>
                <w:rFonts w:hint="eastAsia" w:ascii="宋体" w:hAnsi="宋体" w:cs="宋体"/>
                <w:color w:val="000000"/>
                <w:kern w:val="2"/>
                <w:sz w:val="22"/>
                <w:szCs w:val="22"/>
                <w:lang w:val="en-US"/>
              </w:rPr>
              <w:t>1</w:t>
            </w:r>
          </w:p>
        </w:tc>
        <w:tc>
          <w:tcPr>
            <w:tcW w:w="819" w:type="dxa"/>
            <w:tcBorders>
              <w:top w:val="nil"/>
              <w:left w:val="single" w:color="auto" w:sz="8" w:space="0"/>
              <w:bottom w:val="single" w:color="auto" w:sz="8" w:space="0"/>
              <w:right w:val="single" w:color="auto" w:sz="8" w:space="0"/>
            </w:tcBorders>
            <w:noWrap w:val="0"/>
            <w:vAlign w:val="center"/>
          </w:tcPr>
          <w:p>
            <w:pPr>
              <w:jc w:val="center"/>
              <w:rPr>
                <w:rFonts w:hint="default" w:ascii="宋体" w:hAnsi="宋体" w:eastAsia="宋体" w:cs="宋体"/>
                <w:color w:val="000000"/>
                <w:sz w:val="22"/>
                <w:szCs w:val="22"/>
                <w:lang w:val="en-US"/>
              </w:rPr>
            </w:pPr>
            <w:r>
              <w:rPr>
                <w:rStyle w:val="96"/>
                <w:rFonts w:hint="eastAsia" w:ascii="宋体" w:hAnsi="宋体" w:cs="宋体"/>
                <w:color w:val="000000"/>
                <w:kern w:val="2"/>
                <w:sz w:val="22"/>
                <w:szCs w:val="22"/>
                <w:lang w:val="en-US"/>
              </w:rPr>
              <w:t>项目方案</w:t>
            </w:r>
          </w:p>
        </w:tc>
        <w:tc>
          <w:tcPr>
            <w:tcW w:w="650" w:type="dxa"/>
            <w:tcBorders>
              <w:top w:val="nil"/>
              <w:left w:val="single" w:color="auto" w:sz="8" w:space="0"/>
              <w:bottom w:val="single" w:color="000000" w:sz="8" w:space="0"/>
              <w:right w:val="single" w:color="auto" w:sz="8" w:space="0"/>
            </w:tcBorders>
            <w:noWrap w:val="0"/>
            <w:vAlign w:val="center"/>
          </w:tcPr>
          <w:p>
            <w:pPr>
              <w:spacing w:line="360" w:lineRule="exact"/>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12</w:t>
            </w:r>
          </w:p>
        </w:tc>
        <w:tc>
          <w:tcPr>
            <w:tcW w:w="7387" w:type="dxa"/>
            <w:tcBorders>
              <w:top w:val="nil"/>
              <w:left w:val="nil"/>
              <w:bottom w:val="single" w:color="auto" w:sz="8" w:space="0"/>
              <w:right w:val="single" w:color="auto" w:sz="8" w:space="0"/>
            </w:tcBorders>
            <w:noWrap w:val="0"/>
            <w:vAlign w:val="center"/>
          </w:tcPr>
          <w:p>
            <w:pPr>
              <w:pStyle w:val="48"/>
              <w:ind w:left="0" w:leftChars="0" w:firstLine="0" w:firstLineChars="0"/>
              <w:rPr>
                <w:rFonts w:hint="eastAsia" w:ascii="宋体" w:hAnsi="宋体" w:eastAsia="宋体" w:cs="宋体"/>
                <w:sz w:val="22"/>
                <w:szCs w:val="22"/>
                <w:lang w:val="en-US"/>
              </w:rPr>
            </w:pPr>
            <w:r>
              <w:rPr>
                <w:rFonts w:hint="eastAsia" w:ascii="宋体" w:hAnsi="宋体" w:eastAsia="宋体" w:cs="宋体"/>
                <w:sz w:val="22"/>
                <w:szCs w:val="22"/>
                <w:lang w:val="en-US" w:eastAsia="zh-CN"/>
              </w:rPr>
              <w:t>根据</w:t>
            </w:r>
            <w:r>
              <w:rPr>
                <w:rFonts w:hint="eastAsia" w:ascii="宋体" w:hAnsi="宋体" w:eastAsia="宋体" w:cs="宋体"/>
                <w:sz w:val="22"/>
                <w:szCs w:val="22"/>
                <w:lang w:val="en-US"/>
              </w:rPr>
              <w:t>整体</w:t>
            </w:r>
            <w:r>
              <w:rPr>
                <w:rFonts w:hint="eastAsia" w:ascii="宋体" w:hAnsi="宋体" w:eastAsia="宋体" w:cs="宋体"/>
                <w:sz w:val="22"/>
                <w:szCs w:val="22"/>
                <w:lang w:val="en-US" w:eastAsia="zh-CN"/>
              </w:rPr>
              <w:t>项目</w:t>
            </w:r>
            <w:r>
              <w:rPr>
                <w:rFonts w:hint="eastAsia" w:ascii="宋体" w:hAnsi="宋体" w:eastAsia="宋体" w:cs="宋体"/>
                <w:sz w:val="22"/>
                <w:szCs w:val="22"/>
                <w:lang w:val="en-US"/>
              </w:rPr>
              <w:t>方案内容的完整程度，条理清晰程度，表述准确性进行综合评分。</w:t>
            </w:r>
          </w:p>
          <w:p>
            <w:pPr>
              <w:pStyle w:val="48"/>
              <w:ind w:left="0" w:leftChars="0" w:firstLine="0" w:firstLineChars="0"/>
              <w:rPr>
                <w:rFonts w:hint="eastAsia" w:ascii="宋体" w:hAnsi="宋体" w:eastAsia="宋体" w:cs="宋体"/>
                <w:sz w:val="22"/>
                <w:szCs w:val="22"/>
                <w:lang w:val="en-US"/>
              </w:rPr>
            </w:pPr>
            <w:r>
              <w:rPr>
                <w:rFonts w:hint="eastAsia" w:ascii="宋体" w:hAnsi="宋体" w:eastAsia="宋体" w:cs="宋体"/>
                <w:sz w:val="22"/>
                <w:szCs w:val="22"/>
                <w:lang w:val="en-US"/>
              </w:rPr>
              <w:t>1）针对本项目制定的整体方案内容完整，条理清晰，表述准确到位的得</w:t>
            </w:r>
            <w:r>
              <w:rPr>
                <w:rFonts w:hint="eastAsia" w:ascii="宋体" w:hAnsi="宋体" w:eastAsia="宋体" w:cs="宋体"/>
                <w:sz w:val="22"/>
                <w:szCs w:val="22"/>
                <w:lang w:val="en-US" w:eastAsia="zh-CN"/>
              </w:rPr>
              <w:t>12</w:t>
            </w:r>
            <w:r>
              <w:rPr>
                <w:rFonts w:hint="eastAsia" w:ascii="宋体" w:hAnsi="宋体" w:eastAsia="宋体" w:cs="宋体"/>
                <w:sz w:val="22"/>
                <w:szCs w:val="22"/>
                <w:lang w:val="en-US"/>
              </w:rPr>
              <w:t>分；</w:t>
            </w:r>
          </w:p>
          <w:p>
            <w:pPr>
              <w:pStyle w:val="48"/>
              <w:ind w:left="0" w:leftChars="0" w:firstLine="0" w:firstLineChars="0"/>
              <w:rPr>
                <w:rFonts w:hint="eastAsia" w:ascii="宋体" w:hAnsi="宋体" w:eastAsia="宋体" w:cs="宋体"/>
                <w:sz w:val="22"/>
                <w:szCs w:val="22"/>
                <w:lang w:val="en-US"/>
              </w:rPr>
            </w:pPr>
            <w:r>
              <w:rPr>
                <w:rFonts w:hint="eastAsia" w:ascii="宋体" w:hAnsi="宋体" w:eastAsia="宋体" w:cs="宋体"/>
                <w:sz w:val="22"/>
                <w:szCs w:val="22"/>
                <w:lang w:val="en-US"/>
              </w:rPr>
              <w:t>2）针对本项目制定的整体方案内容较完整，条理较清晰，表述基本到位的得 8分；</w:t>
            </w:r>
          </w:p>
          <w:p>
            <w:pPr>
              <w:pStyle w:val="48"/>
              <w:ind w:left="0" w:leftChars="0" w:firstLine="0" w:firstLineChars="0"/>
              <w:rPr>
                <w:rFonts w:hint="eastAsia" w:ascii="宋体" w:hAnsi="宋体" w:eastAsia="宋体" w:cs="宋体"/>
                <w:sz w:val="22"/>
                <w:szCs w:val="22"/>
                <w:lang w:val="en-US"/>
              </w:rPr>
            </w:pPr>
            <w:r>
              <w:rPr>
                <w:rFonts w:hint="eastAsia" w:ascii="宋体" w:hAnsi="宋体" w:eastAsia="宋体" w:cs="宋体"/>
                <w:sz w:val="22"/>
                <w:szCs w:val="22"/>
                <w:lang w:val="en-US"/>
              </w:rPr>
              <w:t>3）针对本项目制定的整体方案内容不完整，条理欠清晰，表述基本到位的得 5分；未提供的不得分。</w:t>
            </w:r>
          </w:p>
        </w:tc>
      </w:tr>
      <w:tr>
        <w:tblPrEx>
          <w:tblCellMar>
            <w:top w:w="0" w:type="dxa"/>
            <w:left w:w="108" w:type="dxa"/>
            <w:bottom w:w="0" w:type="dxa"/>
            <w:right w:w="108" w:type="dxa"/>
          </w:tblCellMar>
        </w:tblPrEx>
        <w:trPr>
          <w:trHeight w:val="2247" w:hRule="atLeast"/>
        </w:trPr>
        <w:tc>
          <w:tcPr>
            <w:tcW w:w="817" w:type="dxa"/>
            <w:tcBorders>
              <w:top w:val="nil"/>
              <w:left w:val="single" w:color="auto" w:sz="8" w:space="0"/>
              <w:bottom w:val="single" w:color="auto" w:sz="8" w:space="0"/>
              <w:right w:val="single" w:color="auto" w:sz="8" w:space="0"/>
            </w:tcBorders>
            <w:noWrap w:val="0"/>
            <w:vAlign w:val="center"/>
          </w:tcPr>
          <w:p>
            <w:pPr>
              <w:jc w:val="center"/>
              <w:rPr>
                <w:rStyle w:val="96"/>
                <w:rFonts w:hint="default" w:ascii="宋体" w:hAnsi="宋体" w:eastAsia="宋体" w:cs="宋体"/>
                <w:color w:val="000000"/>
                <w:kern w:val="2"/>
                <w:sz w:val="22"/>
                <w:szCs w:val="22"/>
                <w:lang w:val="en-US"/>
              </w:rPr>
            </w:pPr>
            <w:r>
              <w:rPr>
                <w:rStyle w:val="96"/>
                <w:rFonts w:hint="eastAsia" w:ascii="宋体" w:hAnsi="宋体" w:cs="宋体"/>
                <w:color w:val="000000"/>
                <w:kern w:val="2"/>
                <w:sz w:val="22"/>
                <w:szCs w:val="22"/>
                <w:lang w:val="en-US"/>
              </w:rPr>
              <w:t>2</w:t>
            </w:r>
          </w:p>
        </w:tc>
        <w:tc>
          <w:tcPr>
            <w:tcW w:w="819" w:type="dxa"/>
            <w:tcBorders>
              <w:top w:val="nil"/>
              <w:left w:val="single" w:color="auto" w:sz="8" w:space="0"/>
              <w:bottom w:val="single" w:color="auto" w:sz="8" w:space="0"/>
              <w:right w:val="single" w:color="auto" w:sz="8" w:space="0"/>
            </w:tcBorders>
            <w:noWrap w:val="0"/>
            <w:vAlign w:val="center"/>
          </w:tcPr>
          <w:p>
            <w:pPr>
              <w:numPr>
                <w:ilvl w:val="0"/>
                <w:numId w:val="0"/>
              </w:numPr>
              <w:spacing w:line="360" w:lineRule="exact"/>
              <w:ind w:leftChars="0"/>
              <w:jc w:val="left"/>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技术路线</w:t>
            </w:r>
          </w:p>
          <w:p>
            <w:pPr>
              <w:jc w:val="center"/>
              <w:rPr>
                <w:rStyle w:val="96"/>
                <w:rFonts w:hint="eastAsia" w:ascii="宋体" w:hAnsi="宋体" w:cs="宋体"/>
                <w:color w:val="000000"/>
                <w:kern w:val="2"/>
                <w:sz w:val="22"/>
                <w:szCs w:val="22"/>
                <w:lang w:val="en-US"/>
              </w:rPr>
            </w:pPr>
          </w:p>
        </w:tc>
        <w:tc>
          <w:tcPr>
            <w:tcW w:w="650" w:type="dxa"/>
            <w:tcBorders>
              <w:top w:val="nil"/>
              <w:left w:val="single" w:color="auto" w:sz="8" w:space="0"/>
              <w:bottom w:val="single" w:color="000000" w:sz="8" w:space="0"/>
              <w:right w:val="single" w:color="auto" w:sz="8" w:space="0"/>
            </w:tcBorders>
            <w:noWrap w:val="0"/>
            <w:vAlign w:val="center"/>
          </w:tcPr>
          <w:p>
            <w:pPr>
              <w:spacing w:line="360" w:lineRule="exact"/>
              <w:jc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12</w:t>
            </w:r>
          </w:p>
        </w:tc>
        <w:tc>
          <w:tcPr>
            <w:tcW w:w="7387" w:type="dxa"/>
            <w:tcBorders>
              <w:top w:val="nil"/>
              <w:left w:val="nil"/>
              <w:bottom w:val="single" w:color="auto" w:sz="8" w:space="0"/>
              <w:right w:val="single" w:color="auto" w:sz="8" w:space="0"/>
            </w:tcBorders>
            <w:noWrap w:val="0"/>
            <w:vAlign w:val="center"/>
          </w:tcPr>
          <w:p>
            <w:pPr>
              <w:numPr>
                <w:ilvl w:val="0"/>
                <w:numId w:val="0"/>
              </w:numPr>
              <w:spacing w:line="360" w:lineRule="exact"/>
              <w:ind w:leftChars="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根据供投标人针对本项目的研究思路清晰程度，任务分解合理性进行综合评分。</w:t>
            </w:r>
          </w:p>
          <w:p>
            <w:pPr>
              <w:numPr>
                <w:ilvl w:val="0"/>
                <w:numId w:val="0"/>
              </w:numPr>
              <w:spacing w:line="360" w:lineRule="exact"/>
              <w:ind w:leftChars="0"/>
              <w:rPr>
                <w:rFonts w:hint="eastAsia" w:ascii="宋体" w:hAnsi="宋体" w:eastAsia="宋体" w:cs="宋体"/>
                <w:color w:val="auto"/>
                <w:sz w:val="22"/>
                <w:szCs w:val="22"/>
              </w:rPr>
            </w:pPr>
            <w:r>
              <w:rPr>
                <w:rFonts w:hint="eastAsia" w:ascii="宋体" w:hAnsi="宋体" w:cs="宋体"/>
                <w:color w:val="auto"/>
                <w:sz w:val="22"/>
                <w:szCs w:val="22"/>
                <w:lang w:val="en-US" w:eastAsia="zh-CN"/>
              </w:rPr>
              <w:t>1）</w:t>
            </w:r>
            <w:r>
              <w:rPr>
                <w:rFonts w:hint="eastAsia" w:ascii="宋体" w:hAnsi="宋体" w:eastAsia="宋体" w:cs="宋体"/>
                <w:color w:val="auto"/>
                <w:sz w:val="22"/>
                <w:szCs w:val="22"/>
              </w:rPr>
              <w:t>调查工作技术路线清晰</w:t>
            </w:r>
            <w:r>
              <w:rPr>
                <w:rFonts w:hint="eastAsia" w:ascii="宋体" w:hAnsi="宋体" w:cs="宋体"/>
                <w:color w:val="auto"/>
                <w:sz w:val="22"/>
                <w:szCs w:val="22"/>
                <w:lang w:val="en-US" w:eastAsia="zh-CN"/>
              </w:rPr>
              <w:t>、任务分解合理且可行性强的得</w:t>
            </w:r>
            <w:r>
              <w:rPr>
                <w:rFonts w:hint="eastAsia" w:ascii="宋体" w:hAnsi="宋体" w:eastAsia="宋体" w:cs="宋体"/>
                <w:color w:val="auto"/>
                <w:sz w:val="22"/>
                <w:szCs w:val="22"/>
                <w:lang w:eastAsia="zh-CN"/>
              </w:rPr>
              <w:t>，</w:t>
            </w:r>
            <w:r>
              <w:rPr>
                <w:rFonts w:hint="eastAsia" w:ascii="宋体" w:hAnsi="宋体" w:cs="宋体"/>
                <w:color w:val="auto"/>
                <w:sz w:val="22"/>
                <w:szCs w:val="22"/>
                <w:lang w:val="en-US" w:eastAsia="zh-CN"/>
              </w:rPr>
              <w:t>得12分</w:t>
            </w:r>
            <w:r>
              <w:rPr>
                <w:rFonts w:hint="eastAsia" w:ascii="宋体" w:hAnsi="宋体" w:eastAsia="宋体" w:cs="宋体"/>
                <w:color w:val="auto"/>
                <w:sz w:val="22"/>
                <w:szCs w:val="22"/>
              </w:rPr>
              <w:t>；</w:t>
            </w:r>
          </w:p>
          <w:p>
            <w:pPr>
              <w:numPr>
                <w:ilvl w:val="0"/>
                <w:numId w:val="0"/>
              </w:numPr>
              <w:spacing w:line="360" w:lineRule="exact"/>
              <w:ind w:leftChars="0"/>
              <w:rPr>
                <w:rFonts w:hint="eastAsia" w:ascii="宋体" w:hAnsi="宋体" w:eastAsia="宋体" w:cs="宋体"/>
                <w:color w:val="auto"/>
                <w:sz w:val="22"/>
                <w:szCs w:val="22"/>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调查工作技术路线</w:t>
            </w:r>
            <w:r>
              <w:rPr>
                <w:rFonts w:hint="eastAsia" w:ascii="宋体" w:hAnsi="宋体" w:cs="宋体"/>
                <w:color w:val="auto"/>
                <w:sz w:val="22"/>
                <w:szCs w:val="22"/>
                <w:lang w:val="en-US" w:eastAsia="zh-CN"/>
              </w:rPr>
              <w:t>较</w:t>
            </w:r>
            <w:r>
              <w:rPr>
                <w:rFonts w:hint="eastAsia" w:ascii="宋体" w:hAnsi="宋体" w:eastAsia="宋体" w:cs="宋体"/>
                <w:color w:val="auto"/>
                <w:sz w:val="22"/>
                <w:szCs w:val="22"/>
              </w:rPr>
              <w:t>清晰</w:t>
            </w:r>
            <w:r>
              <w:rPr>
                <w:rFonts w:hint="eastAsia" w:ascii="宋体" w:hAnsi="宋体" w:cs="宋体"/>
                <w:color w:val="auto"/>
                <w:sz w:val="22"/>
                <w:szCs w:val="22"/>
                <w:lang w:val="en-US" w:eastAsia="zh-CN"/>
              </w:rPr>
              <w:t>、任务分解较合理且基本可行</w:t>
            </w:r>
            <w:r>
              <w:rPr>
                <w:rFonts w:hint="eastAsia" w:ascii="宋体" w:hAnsi="宋体" w:eastAsia="宋体" w:cs="宋体"/>
                <w:color w:val="auto"/>
                <w:sz w:val="22"/>
                <w:szCs w:val="22"/>
                <w:lang w:eastAsia="zh-CN"/>
              </w:rPr>
              <w:t>，</w:t>
            </w:r>
            <w:r>
              <w:rPr>
                <w:rFonts w:hint="eastAsia" w:ascii="宋体" w:hAnsi="宋体" w:cs="宋体"/>
                <w:color w:val="auto"/>
                <w:sz w:val="22"/>
                <w:szCs w:val="22"/>
                <w:lang w:val="en-US" w:eastAsia="zh-CN"/>
              </w:rPr>
              <w:t>得8分</w:t>
            </w:r>
            <w:r>
              <w:rPr>
                <w:rFonts w:hint="eastAsia" w:ascii="宋体" w:hAnsi="宋体" w:eastAsia="宋体" w:cs="宋体"/>
                <w:color w:val="auto"/>
                <w:sz w:val="22"/>
                <w:szCs w:val="22"/>
              </w:rPr>
              <w:t>；</w:t>
            </w:r>
          </w:p>
          <w:p>
            <w:pPr>
              <w:numPr>
                <w:ilvl w:val="0"/>
                <w:numId w:val="0"/>
              </w:numPr>
              <w:spacing w:line="360" w:lineRule="exact"/>
              <w:ind w:leftChars="0"/>
              <w:rPr>
                <w:rFonts w:hint="default"/>
                <w:sz w:val="22"/>
                <w:szCs w:val="22"/>
                <w:lang w:val="en-US"/>
              </w:rPr>
            </w:pP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调查工作技术路线</w:t>
            </w:r>
            <w:r>
              <w:rPr>
                <w:rFonts w:hint="eastAsia" w:ascii="宋体" w:hAnsi="宋体" w:cs="宋体"/>
                <w:color w:val="auto"/>
                <w:sz w:val="22"/>
                <w:szCs w:val="22"/>
                <w:lang w:val="en-US" w:eastAsia="zh-CN"/>
              </w:rPr>
              <w:t>模糊、任务分解欠合理，可行性不足的得5分</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不提供不得分。</w:t>
            </w:r>
          </w:p>
        </w:tc>
      </w:tr>
      <w:tr>
        <w:tblPrEx>
          <w:tblCellMar>
            <w:top w:w="0" w:type="dxa"/>
            <w:left w:w="108" w:type="dxa"/>
            <w:bottom w:w="0" w:type="dxa"/>
            <w:right w:w="108" w:type="dxa"/>
          </w:tblCellMar>
        </w:tblPrEx>
        <w:trPr>
          <w:trHeight w:val="626" w:hRule="atLeast"/>
        </w:trPr>
        <w:tc>
          <w:tcPr>
            <w:tcW w:w="817" w:type="dxa"/>
            <w:tcBorders>
              <w:top w:val="nil"/>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3</w:t>
            </w:r>
          </w:p>
        </w:tc>
        <w:tc>
          <w:tcPr>
            <w:tcW w:w="819" w:type="dxa"/>
            <w:tcBorders>
              <w:top w:val="nil"/>
              <w:left w:val="single" w:color="auto" w:sz="8" w:space="0"/>
              <w:bottom w:val="single" w:color="auto" w:sz="8" w:space="0"/>
              <w:right w:val="single" w:color="auto" w:sz="8" w:space="0"/>
            </w:tcBorders>
            <w:noWrap w:val="0"/>
            <w:vAlign w:val="center"/>
          </w:tcPr>
          <w:p>
            <w:pPr>
              <w:spacing w:line="360" w:lineRule="exact"/>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重难点分析及解决</w:t>
            </w:r>
          </w:p>
        </w:tc>
        <w:tc>
          <w:tcPr>
            <w:tcW w:w="650" w:type="dxa"/>
            <w:tcBorders>
              <w:top w:val="nil"/>
              <w:left w:val="single" w:color="auto" w:sz="8" w:space="0"/>
              <w:bottom w:val="single" w:color="000000" w:sz="8" w:space="0"/>
              <w:right w:val="single" w:color="auto" w:sz="8" w:space="0"/>
            </w:tcBorders>
            <w:noWrap w:val="0"/>
            <w:vAlign w:val="center"/>
          </w:tcPr>
          <w:p>
            <w:pPr>
              <w:spacing w:line="36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11</w:t>
            </w:r>
          </w:p>
        </w:tc>
        <w:tc>
          <w:tcPr>
            <w:tcW w:w="7387" w:type="dxa"/>
            <w:tcBorders>
              <w:top w:val="nil"/>
              <w:left w:val="nil"/>
              <w:bottom w:val="single" w:color="auto" w:sz="8" w:space="0"/>
              <w:right w:val="single" w:color="auto" w:sz="8" w:space="0"/>
            </w:tcBorders>
            <w:noWrap w:val="0"/>
            <w:vAlign w:val="center"/>
          </w:tcPr>
          <w:p>
            <w:pPr>
              <w:spacing w:line="360" w:lineRule="exact"/>
              <w:rPr>
                <w:rFonts w:hint="eastAsia" w:ascii="宋体" w:hAnsi="宋体" w:cs="宋体"/>
                <w:color w:val="0000FF"/>
                <w:sz w:val="22"/>
                <w:szCs w:val="22"/>
                <w:lang w:val="en-US" w:eastAsia="zh-CN"/>
              </w:rPr>
            </w:pPr>
            <w:r>
              <w:rPr>
                <w:rFonts w:hint="eastAsia" w:ascii="宋体" w:hAnsi="宋体" w:cs="宋体"/>
                <w:color w:val="0000FF"/>
                <w:sz w:val="22"/>
                <w:szCs w:val="22"/>
                <w:lang w:val="en-US" w:eastAsia="zh-CN"/>
              </w:rPr>
              <w:t>根据投标人针对本项目工作内容的理解提出的工作中涉及的重点和难点情况的分析及其解决方案进行综合评分。</w:t>
            </w:r>
          </w:p>
          <w:p>
            <w:pPr>
              <w:spacing w:line="360" w:lineRule="exact"/>
              <w:rPr>
                <w:rFonts w:hint="eastAsia" w:ascii="宋体" w:hAnsi="宋体" w:cs="宋体"/>
                <w:color w:val="0000FF"/>
                <w:sz w:val="22"/>
                <w:szCs w:val="22"/>
                <w:lang w:val="en-US" w:eastAsia="zh-CN"/>
              </w:rPr>
            </w:pPr>
            <w:r>
              <w:rPr>
                <w:rFonts w:hint="eastAsia" w:ascii="宋体" w:hAnsi="宋体" w:cs="宋体"/>
                <w:color w:val="0000FF"/>
                <w:sz w:val="22"/>
                <w:szCs w:val="22"/>
                <w:lang w:val="en-US" w:eastAsia="zh-CN"/>
              </w:rPr>
              <w:t>1）重点明晰，分析透彻，方案内容详细，措施有力的得  11分；</w:t>
            </w:r>
          </w:p>
          <w:p>
            <w:pPr>
              <w:spacing w:line="360" w:lineRule="exact"/>
              <w:rPr>
                <w:rFonts w:hint="eastAsia" w:ascii="宋体" w:hAnsi="宋体" w:cs="宋体"/>
                <w:color w:val="0000FF"/>
                <w:sz w:val="22"/>
                <w:szCs w:val="22"/>
                <w:lang w:val="en-US" w:eastAsia="zh-CN"/>
              </w:rPr>
            </w:pPr>
            <w:r>
              <w:rPr>
                <w:rFonts w:hint="eastAsia" w:ascii="宋体" w:hAnsi="宋体" w:cs="宋体"/>
                <w:color w:val="0000FF"/>
                <w:sz w:val="22"/>
                <w:szCs w:val="22"/>
                <w:lang w:val="en-US" w:eastAsia="zh-CN"/>
              </w:rPr>
              <w:t>2）重点明晰，分析较透彻，方案内容比较详细，措施有力的得 7分；</w:t>
            </w:r>
          </w:p>
          <w:p>
            <w:pPr>
              <w:spacing w:line="360" w:lineRule="exact"/>
              <w:rPr>
                <w:rFonts w:hint="default" w:ascii="宋体" w:hAnsi="宋体" w:eastAsia="宋体" w:cs="宋体"/>
                <w:color w:val="000000"/>
                <w:sz w:val="22"/>
                <w:szCs w:val="22"/>
                <w:lang w:val="en-US" w:eastAsia="zh-CN"/>
              </w:rPr>
            </w:pPr>
            <w:r>
              <w:rPr>
                <w:rFonts w:hint="eastAsia" w:ascii="宋体" w:hAnsi="宋体" w:cs="宋体"/>
                <w:color w:val="0000FF"/>
                <w:sz w:val="22"/>
                <w:szCs w:val="22"/>
                <w:lang w:val="en-US" w:eastAsia="zh-CN"/>
              </w:rPr>
              <w:t>3）重点和难点认识不够充分，方案笼统，措施不足的得 4分；不提供的不得分。</w:t>
            </w:r>
          </w:p>
        </w:tc>
      </w:tr>
      <w:tr>
        <w:tblPrEx>
          <w:tblCellMar>
            <w:top w:w="0" w:type="dxa"/>
            <w:left w:w="108" w:type="dxa"/>
            <w:bottom w:w="0" w:type="dxa"/>
            <w:right w:w="108" w:type="dxa"/>
          </w:tblCellMar>
        </w:tblPrEx>
        <w:trPr>
          <w:trHeight w:val="626" w:hRule="atLeast"/>
        </w:trPr>
        <w:tc>
          <w:tcPr>
            <w:tcW w:w="817" w:type="dxa"/>
            <w:tcBorders>
              <w:top w:val="nil"/>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819" w:type="dxa"/>
            <w:tcBorders>
              <w:top w:val="nil"/>
              <w:left w:val="single" w:color="auto" w:sz="8" w:space="0"/>
              <w:bottom w:val="single" w:color="auto" w:sz="8" w:space="0"/>
              <w:right w:val="single" w:color="auto" w:sz="8" w:space="0"/>
            </w:tcBorders>
            <w:noWrap w:val="0"/>
            <w:vAlign w:val="center"/>
          </w:tcPr>
          <w:p>
            <w:pPr>
              <w:spacing w:line="360" w:lineRule="exact"/>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质量控制</w:t>
            </w:r>
          </w:p>
        </w:tc>
        <w:tc>
          <w:tcPr>
            <w:tcW w:w="650" w:type="dxa"/>
            <w:tcBorders>
              <w:top w:val="nil"/>
              <w:left w:val="single" w:color="auto" w:sz="8" w:space="0"/>
              <w:bottom w:val="single" w:color="000000" w:sz="8" w:space="0"/>
              <w:right w:val="single" w:color="auto" w:sz="8" w:space="0"/>
            </w:tcBorders>
            <w:noWrap w:val="0"/>
            <w:vAlign w:val="center"/>
          </w:tcPr>
          <w:p>
            <w:pPr>
              <w:spacing w:line="360" w:lineRule="exact"/>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9</w:t>
            </w:r>
          </w:p>
        </w:tc>
        <w:tc>
          <w:tcPr>
            <w:tcW w:w="7387" w:type="dxa"/>
            <w:tcBorders>
              <w:top w:val="nil"/>
              <w:left w:val="nil"/>
              <w:bottom w:val="single" w:color="auto" w:sz="8" w:space="0"/>
              <w:right w:val="single" w:color="auto" w:sz="8" w:space="0"/>
            </w:tcBorders>
            <w:noWrap w:val="0"/>
            <w:vAlign w:val="center"/>
          </w:tcPr>
          <w:p>
            <w:pPr>
              <w:spacing w:line="360" w:lineRule="exact"/>
              <w:jc w:val="left"/>
              <w:rPr>
                <w:rFonts w:hint="eastAsia" w:ascii="宋体" w:hAnsi="宋体" w:cs="宋体"/>
                <w:color w:val="0000FF"/>
                <w:sz w:val="22"/>
                <w:szCs w:val="22"/>
                <w:lang w:val="en-US" w:eastAsia="zh-CN"/>
              </w:rPr>
            </w:pPr>
            <w:r>
              <w:rPr>
                <w:rFonts w:hint="eastAsia" w:ascii="宋体" w:hAnsi="宋体" w:cs="宋体"/>
                <w:color w:val="0000FF"/>
                <w:sz w:val="22"/>
                <w:szCs w:val="22"/>
                <w:lang w:val="en-US" w:eastAsia="zh-CN"/>
              </w:rPr>
              <w:t>根据投标人提供的成果质量保证措施进行综合评分。</w:t>
            </w:r>
          </w:p>
          <w:p>
            <w:pPr>
              <w:spacing w:line="360" w:lineRule="exact"/>
              <w:jc w:val="left"/>
              <w:rPr>
                <w:rFonts w:hint="eastAsia" w:ascii="宋体" w:hAnsi="宋体" w:cs="宋体"/>
                <w:color w:val="0000FF"/>
                <w:sz w:val="22"/>
                <w:szCs w:val="22"/>
                <w:lang w:val="en-US" w:eastAsia="zh-CN"/>
              </w:rPr>
            </w:pPr>
            <w:r>
              <w:rPr>
                <w:rFonts w:hint="eastAsia" w:ascii="宋体" w:hAnsi="宋体" w:cs="宋体"/>
                <w:color w:val="0000FF"/>
                <w:sz w:val="22"/>
                <w:szCs w:val="22"/>
                <w:lang w:val="en-US" w:eastAsia="zh-CN"/>
              </w:rPr>
              <w:t>1）供应商提供的服务成果质量保证方案内容完善、措施得力的得 9分；</w:t>
            </w:r>
          </w:p>
          <w:p>
            <w:pPr>
              <w:spacing w:line="360" w:lineRule="exact"/>
              <w:jc w:val="left"/>
              <w:rPr>
                <w:rFonts w:hint="eastAsia" w:ascii="宋体" w:hAnsi="宋体" w:cs="宋体"/>
                <w:color w:val="0000FF"/>
                <w:sz w:val="22"/>
                <w:szCs w:val="22"/>
                <w:lang w:val="en-US" w:eastAsia="zh-CN"/>
              </w:rPr>
            </w:pPr>
            <w:r>
              <w:rPr>
                <w:rFonts w:hint="eastAsia" w:ascii="宋体" w:hAnsi="宋体" w:cs="宋体"/>
                <w:color w:val="0000FF"/>
                <w:sz w:val="22"/>
                <w:szCs w:val="22"/>
                <w:lang w:val="en-US" w:eastAsia="zh-CN"/>
              </w:rPr>
              <w:t>2）供应商提供的服务成果质量保证方案内容较完善、措施适当的得 6分；</w:t>
            </w:r>
          </w:p>
          <w:p>
            <w:pPr>
              <w:spacing w:line="360" w:lineRule="exact"/>
              <w:jc w:val="left"/>
              <w:rPr>
                <w:rFonts w:hint="eastAsia" w:ascii="宋体" w:hAnsi="宋体" w:cs="宋体"/>
                <w:color w:val="0000FF"/>
                <w:sz w:val="22"/>
                <w:szCs w:val="22"/>
                <w:lang w:val="en-US" w:eastAsia="zh-CN"/>
              </w:rPr>
            </w:pPr>
            <w:r>
              <w:rPr>
                <w:rFonts w:hint="eastAsia" w:ascii="宋体" w:hAnsi="宋体" w:cs="宋体"/>
                <w:color w:val="0000FF"/>
                <w:sz w:val="22"/>
                <w:szCs w:val="22"/>
                <w:lang w:val="en-US" w:eastAsia="zh-CN"/>
              </w:rPr>
              <w:t xml:space="preserve">3）供应商提供的服务成果质量保证方案内容完善程度不高、措施不力的得3分；不提供的不得分。            </w:t>
            </w:r>
          </w:p>
        </w:tc>
      </w:tr>
      <w:tr>
        <w:tblPrEx>
          <w:tblCellMar>
            <w:top w:w="0" w:type="dxa"/>
            <w:left w:w="108" w:type="dxa"/>
            <w:bottom w:w="0" w:type="dxa"/>
            <w:right w:w="108" w:type="dxa"/>
          </w:tblCellMar>
        </w:tblPrEx>
        <w:trPr>
          <w:trHeight w:val="626" w:hRule="atLeast"/>
        </w:trPr>
        <w:tc>
          <w:tcPr>
            <w:tcW w:w="817" w:type="dxa"/>
            <w:tcBorders>
              <w:top w:val="nil"/>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5</w:t>
            </w:r>
          </w:p>
        </w:tc>
        <w:tc>
          <w:tcPr>
            <w:tcW w:w="819" w:type="dxa"/>
            <w:tcBorders>
              <w:top w:val="nil"/>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进度</w:t>
            </w:r>
          </w:p>
          <w:p>
            <w:pPr>
              <w:spacing w:line="3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控制</w:t>
            </w:r>
          </w:p>
        </w:tc>
        <w:tc>
          <w:tcPr>
            <w:tcW w:w="650" w:type="dxa"/>
            <w:tcBorders>
              <w:top w:val="nil"/>
              <w:left w:val="single" w:color="auto" w:sz="8" w:space="0"/>
              <w:bottom w:val="single" w:color="000000" w:sz="8" w:space="0"/>
              <w:right w:val="single" w:color="auto" w:sz="8" w:space="0"/>
            </w:tcBorders>
            <w:noWrap w:val="0"/>
            <w:vAlign w:val="center"/>
          </w:tcPr>
          <w:p>
            <w:pPr>
              <w:spacing w:line="36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9</w:t>
            </w:r>
          </w:p>
        </w:tc>
        <w:tc>
          <w:tcPr>
            <w:tcW w:w="7387" w:type="dxa"/>
            <w:tcBorders>
              <w:top w:val="nil"/>
              <w:left w:val="nil"/>
              <w:bottom w:val="single" w:color="auto" w:sz="8" w:space="0"/>
              <w:right w:val="single" w:color="auto" w:sz="8" w:space="0"/>
            </w:tcBorders>
            <w:noWrap w:val="0"/>
            <w:vAlign w:val="center"/>
          </w:tcPr>
          <w:p>
            <w:pPr>
              <w:spacing w:line="360" w:lineRule="exact"/>
              <w:rPr>
                <w:rFonts w:hint="eastAsia" w:ascii="宋体" w:hAnsi="宋体" w:cs="宋体"/>
                <w:color w:val="0000FF"/>
                <w:sz w:val="22"/>
                <w:szCs w:val="22"/>
                <w:lang w:eastAsia="zh-CN"/>
              </w:rPr>
            </w:pPr>
            <w:r>
              <w:rPr>
                <w:rFonts w:hint="eastAsia" w:ascii="宋体" w:hAnsi="宋体" w:eastAsia="宋体" w:cs="宋体"/>
                <w:color w:val="0000FF"/>
                <w:sz w:val="22"/>
                <w:szCs w:val="22"/>
              </w:rPr>
              <w:t>根据项目整体工作控制、阶段任务划分、关键节点把握进行综合评审</w:t>
            </w:r>
            <w:r>
              <w:rPr>
                <w:rFonts w:hint="eastAsia" w:ascii="宋体" w:hAnsi="宋体" w:cs="宋体"/>
                <w:color w:val="0000FF"/>
                <w:sz w:val="22"/>
                <w:szCs w:val="22"/>
                <w:lang w:eastAsia="zh-CN"/>
              </w:rPr>
              <w:t>。</w:t>
            </w:r>
          </w:p>
          <w:p>
            <w:pPr>
              <w:spacing w:line="360" w:lineRule="exact"/>
              <w:rPr>
                <w:rFonts w:hint="eastAsia" w:ascii="宋体" w:hAnsi="宋体" w:cs="宋体"/>
                <w:color w:val="0000FF"/>
                <w:sz w:val="22"/>
                <w:szCs w:val="22"/>
                <w:lang w:val="en-US" w:eastAsia="zh-CN"/>
              </w:rPr>
            </w:pPr>
            <w:r>
              <w:rPr>
                <w:rFonts w:hint="eastAsia" w:ascii="宋体" w:hAnsi="宋体" w:cs="宋体"/>
                <w:color w:val="0000FF"/>
                <w:sz w:val="22"/>
                <w:szCs w:val="22"/>
                <w:lang w:val="en-US" w:eastAsia="zh-CN"/>
              </w:rPr>
              <w:t>1）</w:t>
            </w:r>
            <w:r>
              <w:rPr>
                <w:rFonts w:hint="eastAsia" w:ascii="宋体" w:hAnsi="宋体" w:eastAsia="宋体" w:cs="宋体"/>
                <w:color w:val="0000FF"/>
                <w:sz w:val="22"/>
                <w:szCs w:val="22"/>
              </w:rPr>
              <w:t>项目整体工作控制、阶段任务划分</w:t>
            </w:r>
            <w:r>
              <w:rPr>
                <w:rFonts w:hint="eastAsia" w:ascii="宋体" w:hAnsi="宋体" w:cs="宋体"/>
                <w:color w:val="0000FF"/>
                <w:sz w:val="22"/>
                <w:szCs w:val="22"/>
                <w:lang w:val="en-US" w:eastAsia="zh-CN"/>
              </w:rPr>
              <w:t>合理</w:t>
            </w:r>
            <w:r>
              <w:rPr>
                <w:rFonts w:hint="eastAsia" w:ascii="宋体" w:hAnsi="宋体" w:cs="宋体"/>
                <w:color w:val="0000FF"/>
                <w:sz w:val="22"/>
                <w:szCs w:val="22"/>
                <w:lang w:eastAsia="zh-CN"/>
              </w:rPr>
              <w:t>，</w:t>
            </w:r>
            <w:r>
              <w:rPr>
                <w:rFonts w:hint="eastAsia" w:ascii="宋体" w:hAnsi="宋体" w:eastAsia="宋体" w:cs="宋体"/>
                <w:color w:val="0000FF"/>
                <w:sz w:val="22"/>
                <w:szCs w:val="22"/>
              </w:rPr>
              <w:t>关键节点</w:t>
            </w:r>
            <w:r>
              <w:rPr>
                <w:rFonts w:hint="eastAsia" w:ascii="宋体" w:hAnsi="宋体" w:cs="宋体"/>
                <w:color w:val="0000FF"/>
                <w:sz w:val="22"/>
                <w:szCs w:val="22"/>
                <w:lang w:val="en-US" w:eastAsia="zh-CN"/>
              </w:rPr>
              <w:t>把握精确的，得9分；</w:t>
            </w:r>
          </w:p>
          <w:p>
            <w:pPr>
              <w:spacing w:line="360" w:lineRule="exact"/>
              <w:rPr>
                <w:rFonts w:hint="eastAsia" w:ascii="宋体" w:hAnsi="宋体" w:cs="宋体"/>
                <w:color w:val="0000FF"/>
                <w:sz w:val="22"/>
                <w:szCs w:val="22"/>
                <w:lang w:val="en-US" w:eastAsia="zh-CN"/>
              </w:rPr>
            </w:pPr>
            <w:r>
              <w:rPr>
                <w:rFonts w:hint="eastAsia" w:ascii="宋体" w:hAnsi="宋体" w:cs="宋体"/>
                <w:color w:val="0000FF"/>
                <w:sz w:val="22"/>
                <w:szCs w:val="22"/>
                <w:lang w:val="en-US" w:eastAsia="zh-CN"/>
              </w:rPr>
              <w:t>2）</w:t>
            </w:r>
            <w:r>
              <w:rPr>
                <w:rFonts w:hint="eastAsia" w:ascii="宋体" w:hAnsi="宋体" w:eastAsia="宋体" w:cs="宋体"/>
                <w:color w:val="0000FF"/>
                <w:sz w:val="22"/>
                <w:szCs w:val="22"/>
              </w:rPr>
              <w:t>项目整体工作控制、阶段任务划分</w:t>
            </w:r>
            <w:r>
              <w:rPr>
                <w:rFonts w:hint="eastAsia" w:ascii="宋体" w:hAnsi="宋体" w:cs="宋体"/>
                <w:color w:val="0000FF"/>
                <w:sz w:val="22"/>
                <w:szCs w:val="22"/>
                <w:lang w:val="en-US" w:eastAsia="zh-CN"/>
              </w:rPr>
              <w:t>较为合理</w:t>
            </w:r>
            <w:r>
              <w:rPr>
                <w:rFonts w:hint="eastAsia" w:ascii="宋体" w:hAnsi="宋体" w:cs="宋体"/>
                <w:color w:val="0000FF"/>
                <w:sz w:val="22"/>
                <w:szCs w:val="22"/>
                <w:lang w:eastAsia="zh-CN"/>
              </w:rPr>
              <w:t>，</w:t>
            </w:r>
            <w:r>
              <w:rPr>
                <w:rFonts w:hint="eastAsia" w:ascii="宋体" w:hAnsi="宋体" w:eastAsia="宋体" w:cs="宋体"/>
                <w:color w:val="0000FF"/>
                <w:sz w:val="22"/>
                <w:szCs w:val="22"/>
              </w:rPr>
              <w:t>关键节点</w:t>
            </w:r>
            <w:r>
              <w:rPr>
                <w:rFonts w:hint="eastAsia" w:ascii="宋体" w:hAnsi="宋体" w:cs="宋体"/>
                <w:color w:val="0000FF"/>
                <w:sz w:val="22"/>
                <w:szCs w:val="22"/>
                <w:lang w:val="en-US" w:eastAsia="zh-CN"/>
              </w:rPr>
              <w:t>把握较为精确的，得6分；</w:t>
            </w:r>
          </w:p>
          <w:p>
            <w:pPr>
              <w:spacing w:line="360" w:lineRule="exact"/>
              <w:rPr>
                <w:rFonts w:hint="default" w:ascii="宋体" w:hAnsi="宋体" w:eastAsia="宋体" w:cs="宋体"/>
                <w:color w:val="000000"/>
                <w:sz w:val="22"/>
                <w:szCs w:val="22"/>
                <w:lang w:val="en-US" w:eastAsia="zh-CN"/>
              </w:rPr>
            </w:pPr>
            <w:r>
              <w:rPr>
                <w:rFonts w:hint="eastAsia" w:ascii="宋体" w:hAnsi="宋体" w:cs="宋体"/>
                <w:color w:val="0000FF"/>
                <w:sz w:val="22"/>
                <w:szCs w:val="22"/>
                <w:lang w:val="en-US" w:eastAsia="zh-CN"/>
              </w:rPr>
              <w:t>3）</w:t>
            </w:r>
            <w:r>
              <w:rPr>
                <w:rFonts w:hint="eastAsia" w:ascii="宋体" w:hAnsi="宋体" w:eastAsia="宋体" w:cs="宋体"/>
                <w:color w:val="0000FF"/>
                <w:sz w:val="22"/>
                <w:szCs w:val="22"/>
              </w:rPr>
              <w:t>项目整体工作控制、阶段任务划分</w:t>
            </w:r>
            <w:r>
              <w:rPr>
                <w:rFonts w:hint="eastAsia" w:ascii="宋体" w:hAnsi="宋体" w:cs="宋体"/>
                <w:color w:val="0000FF"/>
                <w:sz w:val="22"/>
                <w:szCs w:val="22"/>
                <w:lang w:val="en-US" w:eastAsia="zh-CN"/>
              </w:rPr>
              <w:t>有明显不足</w:t>
            </w:r>
            <w:r>
              <w:rPr>
                <w:rFonts w:hint="eastAsia" w:ascii="宋体" w:hAnsi="宋体" w:cs="宋体"/>
                <w:color w:val="0000FF"/>
                <w:sz w:val="22"/>
                <w:szCs w:val="22"/>
                <w:lang w:eastAsia="zh-CN"/>
              </w:rPr>
              <w:t>，</w:t>
            </w:r>
            <w:r>
              <w:rPr>
                <w:rFonts w:hint="eastAsia" w:ascii="宋体" w:hAnsi="宋体" w:eastAsia="宋体" w:cs="宋体"/>
                <w:color w:val="0000FF"/>
                <w:sz w:val="22"/>
                <w:szCs w:val="22"/>
              </w:rPr>
              <w:t>关键节点</w:t>
            </w:r>
            <w:r>
              <w:rPr>
                <w:rFonts w:hint="eastAsia" w:ascii="宋体" w:hAnsi="宋体" w:cs="宋体"/>
                <w:color w:val="0000FF"/>
                <w:sz w:val="22"/>
                <w:szCs w:val="22"/>
                <w:lang w:val="en-US" w:eastAsia="zh-CN"/>
              </w:rPr>
              <w:t>把握较为模糊的，得3分，不提供的不得分。</w:t>
            </w:r>
          </w:p>
        </w:tc>
      </w:tr>
      <w:tr>
        <w:tblPrEx>
          <w:tblCellMar>
            <w:top w:w="0" w:type="dxa"/>
            <w:left w:w="108" w:type="dxa"/>
            <w:bottom w:w="0" w:type="dxa"/>
            <w:right w:w="108" w:type="dxa"/>
          </w:tblCellMar>
        </w:tblPrEx>
        <w:trPr>
          <w:trHeight w:val="639" w:hRule="atLeast"/>
        </w:trPr>
        <w:tc>
          <w:tcPr>
            <w:tcW w:w="817"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2"/>
                <w:szCs w:val="22"/>
                <w:lang w:eastAsia="zh-CN"/>
              </w:rPr>
            </w:pPr>
            <w:r>
              <w:rPr>
                <w:rFonts w:hint="eastAsia" w:ascii="宋体" w:hAnsi="宋体" w:cs="宋体"/>
                <w:sz w:val="22"/>
                <w:szCs w:val="22"/>
                <w:lang w:val="en-US" w:eastAsia="zh-CN"/>
              </w:rPr>
              <w:t>6</w:t>
            </w:r>
          </w:p>
        </w:tc>
        <w:tc>
          <w:tcPr>
            <w:tcW w:w="819" w:type="dxa"/>
            <w:tcBorders>
              <w:top w:val="nil"/>
              <w:left w:val="single" w:color="auto" w:sz="8" w:space="0"/>
              <w:bottom w:val="single" w:color="auto" w:sz="8" w:space="0"/>
              <w:right w:val="single" w:color="auto" w:sz="8" w:space="0"/>
            </w:tcBorders>
            <w:noWrap w:val="0"/>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履约能力</w:t>
            </w:r>
          </w:p>
        </w:tc>
        <w:tc>
          <w:tcPr>
            <w:tcW w:w="650" w:type="dxa"/>
            <w:tcBorders>
              <w:top w:val="nil"/>
              <w:left w:val="single" w:color="auto" w:sz="8" w:space="0"/>
              <w:bottom w:val="single" w:color="000000" w:sz="8" w:space="0"/>
              <w:right w:val="single" w:color="auto" w:sz="8" w:space="0"/>
            </w:tcBorders>
            <w:noWrap w:val="0"/>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12</w:t>
            </w:r>
          </w:p>
        </w:tc>
        <w:tc>
          <w:tcPr>
            <w:tcW w:w="7387" w:type="dxa"/>
            <w:tcBorders>
              <w:top w:val="nil"/>
              <w:left w:val="nil"/>
              <w:bottom w:val="single" w:color="auto" w:sz="8" w:space="0"/>
              <w:right w:val="single" w:color="auto" w:sz="8" w:space="0"/>
            </w:tcBorders>
            <w:noWrap w:val="0"/>
            <w:vAlign w:val="center"/>
          </w:tcPr>
          <w:p>
            <w:pPr>
              <w:spacing w:line="360" w:lineRule="exact"/>
              <w:rPr>
                <w:rFonts w:hint="eastAsia" w:ascii="宋体" w:hAnsi="宋体" w:eastAsia="宋体" w:cs="宋体"/>
                <w:color w:val="0000FF"/>
                <w:sz w:val="22"/>
                <w:szCs w:val="22"/>
              </w:rPr>
            </w:pPr>
            <w:r>
              <w:rPr>
                <w:rFonts w:hint="eastAsia" w:ascii="宋体" w:hAnsi="宋体" w:eastAsia="宋体" w:cs="宋体"/>
                <w:color w:val="0000FF"/>
                <w:sz w:val="22"/>
                <w:szCs w:val="22"/>
              </w:rPr>
              <w:t>（1）项目负责人具有高级工程师职称的得3分</w:t>
            </w:r>
            <w:r>
              <w:rPr>
                <w:rFonts w:hint="eastAsia" w:ascii="宋体" w:hAnsi="宋体" w:cs="宋体"/>
                <w:color w:val="0000FF"/>
                <w:sz w:val="22"/>
                <w:szCs w:val="22"/>
                <w:lang w:eastAsia="zh-CN"/>
              </w:rPr>
              <w:t>，</w:t>
            </w:r>
            <w:r>
              <w:rPr>
                <w:rFonts w:hint="eastAsia" w:ascii="宋体" w:hAnsi="宋体" w:eastAsia="宋体" w:cs="宋体"/>
                <w:color w:val="0000FF"/>
                <w:sz w:val="22"/>
                <w:szCs w:val="22"/>
              </w:rPr>
              <w:t>具有</w:t>
            </w:r>
            <w:r>
              <w:rPr>
                <w:rFonts w:hint="eastAsia" w:ascii="宋体" w:hAnsi="宋体" w:cs="宋体"/>
                <w:color w:val="0000FF"/>
                <w:sz w:val="22"/>
                <w:szCs w:val="22"/>
                <w:lang w:val="en-US" w:eastAsia="zh-CN"/>
              </w:rPr>
              <w:t>中</w:t>
            </w:r>
            <w:r>
              <w:rPr>
                <w:rFonts w:hint="eastAsia" w:ascii="宋体" w:hAnsi="宋体" w:eastAsia="宋体" w:cs="宋体"/>
                <w:color w:val="0000FF"/>
                <w:sz w:val="22"/>
                <w:szCs w:val="22"/>
              </w:rPr>
              <w:t>级工程师职称的得</w:t>
            </w:r>
            <w:r>
              <w:rPr>
                <w:rFonts w:hint="eastAsia" w:ascii="宋体" w:hAnsi="宋体" w:cs="宋体"/>
                <w:color w:val="0000FF"/>
                <w:sz w:val="22"/>
                <w:szCs w:val="22"/>
                <w:lang w:val="en-US" w:eastAsia="zh-CN"/>
              </w:rPr>
              <w:t>1</w:t>
            </w:r>
            <w:r>
              <w:rPr>
                <w:rFonts w:hint="eastAsia" w:ascii="宋体" w:hAnsi="宋体" w:eastAsia="宋体" w:cs="宋体"/>
                <w:color w:val="0000FF"/>
                <w:sz w:val="22"/>
                <w:szCs w:val="22"/>
              </w:rPr>
              <w:t>分。（提供证明文件复印件并盖章，不提供不得分）。</w:t>
            </w:r>
          </w:p>
          <w:p>
            <w:pPr>
              <w:spacing w:line="360" w:lineRule="exact"/>
              <w:rPr>
                <w:rFonts w:hint="eastAsia" w:ascii="宋体" w:hAnsi="宋体" w:eastAsia="宋体" w:cs="宋体"/>
                <w:color w:val="0000FF"/>
                <w:sz w:val="22"/>
                <w:szCs w:val="22"/>
              </w:rPr>
            </w:pPr>
            <w:r>
              <w:rPr>
                <w:rFonts w:hint="eastAsia" w:ascii="宋体" w:hAnsi="宋体" w:eastAsia="宋体" w:cs="宋体"/>
                <w:color w:val="0000FF"/>
                <w:sz w:val="22"/>
                <w:szCs w:val="22"/>
              </w:rPr>
              <w:t>（2）项目负责人承担过地面沉降评价（评估）相关项目的得3分。（提供证明文件复印件并盖章，不提供不得分）。</w:t>
            </w:r>
          </w:p>
          <w:p>
            <w:pPr>
              <w:rPr>
                <w:rFonts w:hint="eastAsia" w:ascii="宋体" w:hAnsi="宋体" w:eastAsia="宋体" w:cs="宋体"/>
                <w:color w:val="0000FF"/>
                <w:sz w:val="22"/>
                <w:szCs w:val="22"/>
              </w:rPr>
            </w:pPr>
            <w:r>
              <w:rPr>
                <w:rFonts w:hint="eastAsia" w:ascii="宋体" w:hAnsi="宋体" w:eastAsia="宋体" w:cs="宋体"/>
                <w:color w:val="0000FF"/>
                <w:sz w:val="22"/>
                <w:szCs w:val="22"/>
              </w:rPr>
              <w:t>（3）项目组成员中获得过国家级荣誉称号的得3分，项目组成员（除项目负责外）具有高级工程师及以上（地质类或水工环专业）的每人1分，最高得6分。（提供相应职称证书与近三个月内出具的社保证明文件复印件盖公章，否则不得分）</w:t>
            </w:r>
          </w:p>
        </w:tc>
      </w:tr>
      <w:tr>
        <w:tblPrEx>
          <w:tblCellMar>
            <w:top w:w="0" w:type="dxa"/>
            <w:left w:w="108" w:type="dxa"/>
            <w:bottom w:w="0" w:type="dxa"/>
            <w:right w:w="108" w:type="dxa"/>
          </w:tblCellMar>
        </w:tblPrEx>
        <w:trPr>
          <w:trHeight w:val="705" w:hRule="atLeast"/>
        </w:trPr>
        <w:tc>
          <w:tcPr>
            <w:tcW w:w="817" w:type="dxa"/>
            <w:tcBorders>
              <w:top w:val="nil"/>
              <w:left w:val="single" w:color="auto" w:sz="8" w:space="0"/>
              <w:bottom w:val="single" w:color="auto" w:sz="4" w:space="0"/>
              <w:right w:val="single" w:color="auto" w:sz="8" w:space="0"/>
            </w:tcBorders>
            <w:noWrap w:val="0"/>
            <w:vAlign w:val="center"/>
          </w:tcPr>
          <w:p>
            <w:pPr>
              <w:spacing w:line="36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7</w:t>
            </w:r>
          </w:p>
        </w:tc>
        <w:tc>
          <w:tcPr>
            <w:tcW w:w="819" w:type="dxa"/>
            <w:tcBorders>
              <w:top w:val="nil"/>
              <w:left w:val="single" w:color="auto" w:sz="8" w:space="0"/>
              <w:bottom w:val="single" w:color="auto" w:sz="4" w:space="0"/>
              <w:right w:val="single" w:color="auto" w:sz="8" w:space="0"/>
            </w:tcBorders>
            <w:noWrap w:val="0"/>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仪器</w:t>
            </w:r>
          </w:p>
          <w:p>
            <w:pPr>
              <w:spacing w:line="360" w:lineRule="exact"/>
              <w:jc w:val="center"/>
              <w:rPr>
                <w:rFonts w:hint="eastAsia" w:ascii="宋体" w:hAnsi="宋体" w:eastAsia="宋体" w:cs="宋体"/>
                <w:kern w:val="2"/>
                <w:sz w:val="22"/>
                <w:szCs w:val="22"/>
              </w:rPr>
            </w:pPr>
            <w:r>
              <w:rPr>
                <w:rFonts w:hint="eastAsia" w:ascii="宋体" w:hAnsi="宋体" w:eastAsia="宋体" w:cs="宋体"/>
                <w:sz w:val="22"/>
                <w:szCs w:val="22"/>
              </w:rPr>
              <w:t>设备</w:t>
            </w:r>
          </w:p>
        </w:tc>
        <w:tc>
          <w:tcPr>
            <w:tcW w:w="650" w:type="dxa"/>
            <w:tcBorders>
              <w:top w:val="nil"/>
              <w:left w:val="single" w:color="auto" w:sz="8" w:space="0"/>
              <w:bottom w:val="single" w:color="auto" w:sz="4" w:space="0"/>
              <w:right w:val="single" w:color="auto" w:sz="8" w:space="0"/>
            </w:tcBorders>
            <w:noWrap w:val="0"/>
            <w:vAlign w:val="center"/>
          </w:tcPr>
          <w:p>
            <w:pPr>
              <w:spacing w:line="360" w:lineRule="exact"/>
              <w:jc w:val="center"/>
              <w:rPr>
                <w:rFonts w:hint="eastAsia" w:ascii="宋体" w:hAnsi="宋体" w:eastAsia="宋体" w:cs="宋体"/>
                <w:kern w:val="2"/>
                <w:sz w:val="22"/>
                <w:szCs w:val="22"/>
              </w:rPr>
            </w:pPr>
            <w:r>
              <w:rPr>
                <w:rFonts w:hint="eastAsia" w:ascii="宋体" w:hAnsi="宋体" w:eastAsia="宋体" w:cs="宋体"/>
                <w:sz w:val="22"/>
                <w:szCs w:val="22"/>
              </w:rPr>
              <w:t>6</w:t>
            </w:r>
          </w:p>
        </w:tc>
        <w:tc>
          <w:tcPr>
            <w:tcW w:w="7387" w:type="dxa"/>
            <w:tcBorders>
              <w:top w:val="nil"/>
              <w:left w:val="nil"/>
              <w:bottom w:val="single" w:color="auto" w:sz="4" w:space="0"/>
              <w:right w:val="single" w:color="auto" w:sz="8" w:space="0"/>
            </w:tcBorders>
            <w:noWrap w:val="0"/>
            <w:vAlign w:val="center"/>
          </w:tcPr>
          <w:p>
            <w:pPr>
              <w:spacing w:line="360" w:lineRule="exact"/>
              <w:rPr>
                <w:rFonts w:hint="eastAsia" w:ascii="宋体" w:hAnsi="宋体" w:eastAsia="宋体" w:cs="宋体"/>
                <w:snapToGrid w:val="0"/>
                <w:color w:val="000000"/>
                <w:sz w:val="22"/>
                <w:szCs w:val="22"/>
              </w:rPr>
            </w:pPr>
            <w:r>
              <w:rPr>
                <w:rFonts w:hint="eastAsia" w:ascii="宋体" w:hAnsi="宋体" w:eastAsia="宋体" w:cs="宋体"/>
                <w:bCs/>
                <w:color w:val="auto"/>
                <w:sz w:val="22"/>
                <w:szCs w:val="22"/>
                <w:lang w:val="zh-CN" w:bidi="zh-CN"/>
              </w:rPr>
              <w:t>根据供</w:t>
            </w:r>
            <w:r>
              <w:rPr>
                <w:rFonts w:hint="eastAsia" w:ascii="宋体" w:hAnsi="宋体" w:eastAsia="宋体" w:cs="宋体"/>
                <w:bCs/>
                <w:color w:val="auto"/>
                <w:sz w:val="22"/>
                <w:szCs w:val="22"/>
                <w:lang w:val="en-US" w:bidi="zh-CN"/>
              </w:rPr>
              <w:t>投标人</w:t>
            </w:r>
            <w:r>
              <w:rPr>
                <w:rFonts w:hint="eastAsia" w:ascii="宋体" w:hAnsi="宋体" w:eastAsia="宋体" w:cs="宋体"/>
                <w:bCs/>
                <w:color w:val="auto"/>
                <w:sz w:val="22"/>
                <w:szCs w:val="22"/>
                <w:lang w:val="zh-CN" w:bidi="zh-CN"/>
              </w:rPr>
              <w:t>为完成本项目拟投入的设备</w:t>
            </w:r>
            <w:r>
              <w:rPr>
                <w:rFonts w:hint="eastAsia" w:ascii="宋体" w:hAnsi="宋体" w:eastAsia="宋体" w:cs="宋体"/>
                <w:bCs/>
                <w:color w:val="auto"/>
                <w:sz w:val="22"/>
                <w:szCs w:val="22"/>
                <w:lang w:val="en-US" w:bidi="zh-CN"/>
              </w:rPr>
              <w:t>的完整性、先进性</w:t>
            </w:r>
            <w:r>
              <w:rPr>
                <w:rFonts w:hint="eastAsia" w:ascii="宋体" w:hAnsi="宋体" w:eastAsia="宋体" w:cs="宋体"/>
                <w:bCs/>
                <w:color w:val="auto"/>
                <w:sz w:val="22"/>
                <w:szCs w:val="22"/>
                <w:lang w:val="zh-CN" w:bidi="zh-CN"/>
              </w:rPr>
              <w:t>进行</w:t>
            </w:r>
            <w:r>
              <w:rPr>
                <w:rFonts w:hint="eastAsia" w:ascii="宋体" w:hAnsi="宋体" w:cs="宋体"/>
                <w:bCs/>
                <w:color w:val="auto"/>
                <w:sz w:val="22"/>
                <w:szCs w:val="22"/>
                <w:lang w:val="en-US" w:bidi="zh-CN"/>
              </w:rPr>
              <w:t>横向比较</w:t>
            </w:r>
            <w:r>
              <w:rPr>
                <w:rFonts w:hint="eastAsia" w:ascii="宋体" w:hAnsi="宋体" w:eastAsia="宋体" w:cs="宋体"/>
                <w:bCs/>
                <w:color w:val="auto"/>
                <w:sz w:val="22"/>
                <w:szCs w:val="22"/>
                <w:lang w:val="zh-CN" w:bidi="zh-CN"/>
              </w:rPr>
              <w:t>评议，最高得</w:t>
            </w:r>
            <w:r>
              <w:rPr>
                <w:rFonts w:hint="eastAsia" w:ascii="宋体" w:hAnsi="宋体" w:eastAsia="宋体" w:cs="宋体"/>
                <w:bCs/>
                <w:color w:val="auto"/>
                <w:sz w:val="22"/>
                <w:szCs w:val="22"/>
                <w:lang w:val="en-US" w:bidi="zh-CN"/>
              </w:rPr>
              <w:t>6</w:t>
            </w:r>
            <w:r>
              <w:rPr>
                <w:rFonts w:hint="eastAsia" w:ascii="宋体" w:hAnsi="宋体" w:eastAsia="宋体" w:cs="宋体"/>
                <w:bCs/>
                <w:color w:val="auto"/>
                <w:sz w:val="22"/>
                <w:szCs w:val="22"/>
                <w:lang w:val="zh-CN" w:bidi="zh-CN"/>
              </w:rPr>
              <w:t>分。</w:t>
            </w:r>
          </w:p>
        </w:tc>
      </w:tr>
      <w:tr>
        <w:tblPrEx>
          <w:tblCellMar>
            <w:top w:w="0" w:type="dxa"/>
            <w:left w:w="108" w:type="dxa"/>
            <w:bottom w:w="0" w:type="dxa"/>
            <w:right w:w="108" w:type="dxa"/>
          </w:tblCellMar>
        </w:tblPrEx>
        <w:trPr>
          <w:trHeight w:val="897" w:hRule="atLeast"/>
        </w:trPr>
        <w:tc>
          <w:tcPr>
            <w:tcW w:w="817" w:type="dxa"/>
            <w:tcBorders>
              <w:top w:val="single" w:color="auto" w:sz="4" w:space="0"/>
              <w:left w:val="single" w:color="auto" w:sz="8" w:space="0"/>
              <w:bottom w:val="single" w:color="000000" w:sz="8" w:space="0"/>
              <w:right w:val="single" w:color="auto" w:sz="8" w:space="0"/>
            </w:tcBorders>
            <w:noWrap w:val="0"/>
            <w:vAlign w:val="center"/>
          </w:tcPr>
          <w:p>
            <w:pPr>
              <w:spacing w:line="36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8</w:t>
            </w:r>
          </w:p>
        </w:tc>
        <w:tc>
          <w:tcPr>
            <w:tcW w:w="819" w:type="dxa"/>
            <w:tcBorders>
              <w:top w:val="single" w:color="auto" w:sz="4" w:space="0"/>
              <w:left w:val="single" w:color="auto" w:sz="8" w:space="0"/>
              <w:bottom w:val="single" w:color="000000" w:sz="8" w:space="0"/>
              <w:right w:val="single" w:color="auto" w:sz="8" w:space="0"/>
            </w:tcBorders>
            <w:noWrap w:val="0"/>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荣誉</w:t>
            </w:r>
          </w:p>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奖项</w:t>
            </w:r>
          </w:p>
        </w:tc>
        <w:tc>
          <w:tcPr>
            <w:tcW w:w="650" w:type="dxa"/>
            <w:tcBorders>
              <w:top w:val="single" w:color="auto" w:sz="4" w:space="0"/>
              <w:left w:val="nil"/>
              <w:bottom w:val="single" w:color="auto" w:sz="8" w:space="0"/>
              <w:right w:val="single" w:color="auto" w:sz="8" w:space="0"/>
            </w:tcBorders>
            <w:noWrap w:val="0"/>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6</w:t>
            </w:r>
          </w:p>
        </w:tc>
        <w:tc>
          <w:tcPr>
            <w:tcW w:w="7387" w:type="dxa"/>
            <w:tcBorders>
              <w:top w:val="single" w:color="auto" w:sz="4" w:space="0"/>
              <w:left w:val="nil"/>
              <w:bottom w:val="single" w:color="auto" w:sz="8" w:space="0"/>
              <w:right w:val="single" w:color="auto" w:sz="8" w:space="0"/>
            </w:tcBorders>
            <w:noWrap w:val="0"/>
            <w:vAlign w:val="center"/>
          </w:tcPr>
          <w:p>
            <w:pPr>
              <w:spacing w:line="360" w:lineRule="exact"/>
              <w:rPr>
                <w:rFonts w:hint="eastAsia" w:ascii="宋体" w:hAnsi="宋体" w:eastAsia="宋体" w:cs="宋体"/>
                <w:sz w:val="22"/>
                <w:szCs w:val="22"/>
              </w:rPr>
            </w:pPr>
            <w:r>
              <w:rPr>
                <w:rFonts w:hint="eastAsia" w:ascii="宋体" w:hAnsi="宋体" w:cs="宋体"/>
                <w:sz w:val="22"/>
                <w:szCs w:val="22"/>
                <w:lang w:val="en-US" w:eastAsia="zh-CN"/>
              </w:rPr>
              <w:t>2018年1月1日以来，</w:t>
            </w:r>
            <w:r>
              <w:rPr>
                <w:rFonts w:hint="eastAsia" w:ascii="宋体" w:hAnsi="宋体" w:eastAsia="宋体" w:cs="宋体"/>
                <w:sz w:val="22"/>
                <w:szCs w:val="22"/>
              </w:rPr>
              <w:t>投标人获得国家级（学会、协会）相关业绩奖项</w:t>
            </w:r>
            <w:r>
              <w:rPr>
                <w:rFonts w:hint="eastAsia" w:ascii="宋体" w:hAnsi="宋体" w:cs="宋体"/>
                <w:sz w:val="22"/>
                <w:szCs w:val="22"/>
                <w:lang w:val="en-US" w:eastAsia="zh-CN"/>
              </w:rPr>
              <w:t>或</w:t>
            </w:r>
            <w:r>
              <w:rPr>
                <w:rFonts w:hint="eastAsia" w:ascii="宋体" w:hAnsi="宋体" w:eastAsia="宋体" w:cs="宋体"/>
                <w:sz w:val="22"/>
                <w:szCs w:val="22"/>
              </w:rPr>
              <w:t>国家级荣誉称号的，</w:t>
            </w:r>
            <w:r>
              <w:rPr>
                <w:rFonts w:hint="eastAsia" w:ascii="宋体" w:hAnsi="宋体" w:cs="宋体"/>
                <w:sz w:val="22"/>
                <w:szCs w:val="22"/>
                <w:lang w:val="en-US" w:eastAsia="zh-CN"/>
              </w:rPr>
              <w:t>每个得2</w:t>
            </w:r>
            <w:r>
              <w:rPr>
                <w:rFonts w:hint="eastAsia" w:ascii="宋体" w:hAnsi="宋体" w:eastAsia="宋体" w:cs="宋体"/>
                <w:sz w:val="22"/>
                <w:szCs w:val="22"/>
              </w:rPr>
              <w:t>分</w:t>
            </w:r>
            <w:r>
              <w:rPr>
                <w:rFonts w:hint="eastAsia" w:ascii="宋体" w:hAnsi="宋体" w:cs="宋体"/>
                <w:sz w:val="22"/>
                <w:szCs w:val="22"/>
                <w:lang w:eastAsia="zh-CN"/>
              </w:rPr>
              <w:t>；</w:t>
            </w:r>
            <w:r>
              <w:rPr>
                <w:rFonts w:hint="eastAsia" w:ascii="宋体" w:hAnsi="宋体" w:eastAsia="宋体" w:cs="宋体"/>
                <w:sz w:val="22"/>
                <w:szCs w:val="22"/>
              </w:rPr>
              <w:t>获得</w:t>
            </w:r>
            <w:r>
              <w:rPr>
                <w:rFonts w:hint="eastAsia" w:ascii="宋体" w:hAnsi="宋体" w:cs="宋体"/>
                <w:sz w:val="22"/>
                <w:szCs w:val="22"/>
                <w:lang w:val="en-US" w:eastAsia="zh-CN"/>
              </w:rPr>
              <w:t>省</w:t>
            </w:r>
            <w:r>
              <w:rPr>
                <w:rFonts w:hint="eastAsia" w:ascii="宋体" w:hAnsi="宋体" w:eastAsia="宋体" w:cs="宋体"/>
                <w:sz w:val="22"/>
                <w:szCs w:val="22"/>
              </w:rPr>
              <w:t>级（学会、协会）相关业绩奖项</w:t>
            </w:r>
            <w:r>
              <w:rPr>
                <w:rFonts w:hint="eastAsia" w:ascii="宋体" w:hAnsi="宋体" w:cs="宋体"/>
                <w:sz w:val="22"/>
                <w:szCs w:val="22"/>
                <w:lang w:val="en-US" w:eastAsia="zh-CN"/>
              </w:rPr>
              <w:t>或省级</w:t>
            </w:r>
            <w:r>
              <w:rPr>
                <w:rFonts w:hint="eastAsia" w:ascii="宋体" w:hAnsi="宋体" w:eastAsia="宋体" w:cs="宋体"/>
                <w:sz w:val="22"/>
                <w:szCs w:val="22"/>
              </w:rPr>
              <w:t>荣誉称号的，</w:t>
            </w:r>
            <w:r>
              <w:rPr>
                <w:rFonts w:hint="eastAsia" w:ascii="宋体" w:hAnsi="宋体" w:cs="宋体"/>
                <w:sz w:val="22"/>
                <w:szCs w:val="22"/>
                <w:lang w:val="en-US" w:eastAsia="zh-CN"/>
              </w:rPr>
              <w:t>每个得1</w:t>
            </w:r>
            <w:r>
              <w:rPr>
                <w:rFonts w:hint="eastAsia" w:ascii="宋体" w:hAnsi="宋体" w:eastAsia="宋体" w:cs="宋体"/>
                <w:sz w:val="22"/>
                <w:szCs w:val="22"/>
              </w:rPr>
              <w:t>分</w:t>
            </w:r>
            <w:r>
              <w:rPr>
                <w:rFonts w:hint="eastAsia" w:ascii="宋体" w:hAnsi="宋体" w:cs="宋体"/>
                <w:sz w:val="22"/>
                <w:szCs w:val="22"/>
                <w:lang w:eastAsia="zh-CN"/>
              </w:rPr>
              <w:t>，</w:t>
            </w:r>
            <w:r>
              <w:rPr>
                <w:rFonts w:hint="eastAsia" w:ascii="宋体" w:hAnsi="宋体" w:cs="宋体"/>
                <w:sz w:val="22"/>
                <w:szCs w:val="22"/>
                <w:lang w:val="en-US" w:eastAsia="zh-CN"/>
              </w:rPr>
              <w:t>其他不得分。</w:t>
            </w:r>
            <w:r>
              <w:rPr>
                <w:rFonts w:hint="eastAsia" w:ascii="宋体" w:hAnsi="宋体" w:eastAsia="宋体" w:cs="宋体"/>
                <w:sz w:val="22"/>
                <w:szCs w:val="22"/>
              </w:rPr>
              <w:t>最高得6分。(须提供相关证明材料，不提供不得分)。</w:t>
            </w:r>
          </w:p>
        </w:tc>
      </w:tr>
      <w:tr>
        <w:tblPrEx>
          <w:tblCellMar>
            <w:top w:w="0" w:type="dxa"/>
            <w:left w:w="108" w:type="dxa"/>
            <w:bottom w:w="0" w:type="dxa"/>
            <w:right w:w="108" w:type="dxa"/>
          </w:tblCellMar>
        </w:tblPrEx>
        <w:trPr>
          <w:trHeight w:val="897" w:hRule="atLeast"/>
        </w:trPr>
        <w:tc>
          <w:tcPr>
            <w:tcW w:w="817" w:type="dxa"/>
            <w:tcBorders>
              <w:top w:val="single" w:color="auto" w:sz="4" w:space="0"/>
              <w:left w:val="single" w:color="auto" w:sz="8" w:space="0"/>
              <w:bottom w:val="single" w:color="000000" w:sz="8" w:space="0"/>
              <w:right w:val="single" w:color="auto" w:sz="8"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9</w:t>
            </w:r>
          </w:p>
        </w:tc>
        <w:tc>
          <w:tcPr>
            <w:tcW w:w="819" w:type="dxa"/>
            <w:tcBorders>
              <w:top w:val="single" w:color="auto" w:sz="4" w:space="0"/>
              <w:left w:val="single" w:color="auto" w:sz="8" w:space="0"/>
              <w:bottom w:val="single" w:color="000000" w:sz="8" w:space="0"/>
              <w:right w:val="single" w:color="auto" w:sz="8" w:space="0"/>
            </w:tcBorders>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体系</w:t>
            </w:r>
          </w:p>
          <w:p>
            <w:pPr>
              <w:jc w:val="center"/>
              <w:rPr>
                <w:rFonts w:hint="eastAsia" w:ascii="宋体" w:hAnsi="宋体" w:eastAsia="宋体" w:cs="宋体"/>
                <w:sz w:val="22"/>
                <w:szCs w:val="22"/>
                <w:lang w:val="en-US" w:eastAsia="zh-CN" w:bidi="ar-SA"/>
              </w:rPr>
            </w:pPr>
            <w:r>
              <w:rPr>
                <w:rFonts w:hint="eastAsia" w:ascii="宋体" w:hAnsi="宋体" w:eastAsia="宋体" w:cs="宋体"/>
                <w:sz w:val="22"/>
                <w:szCs w:val="22"/>
              </w:rPr>
              <w:t>认证</w:t>
            </w:r>
          </w:p>
        </w:tc>
        <w:tc>
          <w:tcPr>
            <w:tcW w:w="650" w:type="dxa"/>
            <w:tcBorders>
              <w:top w:val="single" w:color="auto" w:sz="4" w:space="0"/>
              <w:left w:val="nil"/>
              <w:bottom w:val="single" w:color="auto" w:sz="8" w:space="0"/>
              <w:right w:val="single" w:color="auto" w:sz="8" w:space="0"/>
            </w:tcBorders>
            <w:noWrap w:val="0"/>
            <w:vAlign w:val="center"/>
          </w:tcPr>
          <w:p>
            <w:pPr>
              <w:spacing w:line="360" w:lineRule="exact"/>
              <w:jc w:val="center"/>
              <w:rPr>
                <w:rFonts w:hint="eastAsia" w:ascii="宋体" w:hAnsi="宋体" w:eastAsia="宋体" w:cs="宋体"/>
                <w:sz w:val="22"/>
                <w:szCs w:val="22"/>
                <w:lang w:val="en-US" w:eastAsia="zh-CN" w:bidi="ar-SA"/>
              </w:rPr>
            </w:pPr>
            <w:r>
              <w:rPr>
                <w:rFonts w:hint="eastAsia" w:ascii="宋体" w:hAnsi="宋体" w:eastAsia="宋体" w:cs="宋体"/>
                <w:sz w:val="22"/>
                <w:szCs w:val="22"/>
              </w:rPr>
              <w:t>6</w:t>
            </w:r>
          </w:p>
        </w:tc>
        <w:tc>
          <w:tcPr>
            <w:tcW w:w="7387" w:type="dxa"/>
            <w:tcBorders>
              <w:top w:val="single" w:color="auto" w:sz="4" w:space="0"/>
              <w:left w:val="nil"/>
              <w:bottom w:val="single" w:color="auto" w:sz="8" w:space="0"/>
              <w:right w:val="single" w:color="auto" w:sz="8" w:space="0"/>
            </w:tcBorders>
            <w:noWrap w:val="0"/>
            <w:vAlign w:val="center"/>
          </w:tcPr>
          <w:p>
            <w:pPr>
              <w:spacing w:line="360" w:lineRule="exact"/>
              <w:rPr>
                <w:rFonts w:hint="eastAsia" w:ascii="宋体" w:hAnsi="宋体" w:eastAsia="宋体" w:cs="宋体"/>
                <w:sz w:val="22"/>
                <w:szCs w:val="22"/>
                <w:lang w:val="en-US" w:eastAsia="zh-CN" w:bidi="ar-SA"/>
              </w:rPr>
            </w:pPr>
            <w:r>
              <w:rPr>
                <w:rFonts w:hint="eastAsia" w:ascii="宋体" w:hAnsi="宋体" w:eastAsia="宋体" w:cs="宋体"/>
                <w:sz w:val="22"/>
                <w:szCs w:val="22"/>
              </w:rPr>
              <w:t>投标人具有有效的质量管理体系认证证书、环境管理体系认证证书、职业健康安全管理体系认证证书的，每个</w:t>
            </w:r>
            <w:r>
              <w:rPr>
                <w:rFonts w:hint="eastAsia" w:ascii="宋体" w:hAnsi="宋体" w:eastAsia="宋体" w:cs="宋体"/>
                <w:sz w:val="22"/>
                <w:szCs w:val="22"/>
                <w:lang w:val="en-US" w:eastAsia="zh-CN"/>
              </w:rPr>
              <w:t>2</w:t>
            </w:r>
            <w:r>
              <w:rPr>
                <w:rFonts w:hint="eastAsia" w:ascii="宋体" w:hAnsi="宋体" w:eastAsia="宋体" w:cs="宋体"/>
                <w:sz w:val="22"/>
                <w:szCs w:val="22"/>
              </w:rPr>
              <w:t>分，最多6分。（投标人需提供证书扫描件并加盖公章，否则不得分。）</w:t>
            </w:r>
          </w:p>
        </w:tc>
      </w:tr>
      <w:tr>
        <w:tblPrEx>
          <w:tblCellMar>
            <w:top w:w="0" w:type="dxa"/>
            <w:left w:w="108" w:type="dxa"/>
            <w:bottom w:w="0" w:type="dxa"/>
            <w:right w:w="108" w:type="dxa"/>
          </w:tblCellMar>
        </w:tblPrEx>
        <w:trPr>
          <w:trHeight w:val="715" w:hRule="atLeast"/>
        </w:trPr>
        <w:tc>
          <w:tcPr>
            <w:tcW w:w="817" w:type="dxa"/>
            <w:tcBorders>
              <w:top w:val="nil"/>
              <w:left w:val="single" w:color="auto" w:sz="8" w:space="0"/>
              <w:bottom w:val="single" w:color="000000" w:sz="8" w:space="0"/>
              <w:right w:val="single" w:color="auto" w:sz="8"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w:t>
            </w:r>
          </w:p>
        </w:tc>
        <w:tc>
          <w:tcPr>
            <w:tcW w:w="819" w:type="dxa"/>
            <w:tcBorders>
              <w:top w:val="nil"/>
              <w:left w:val="single" w:color="auto" w:sz="8" w:space="0"/>
              <w:bottom w:val="single" w:color="000000" w:sz="8" w:space="0"/>
              <w:right w:val="single" w:color="auto" w:sz="8" w:space="0"/>
            </w:tcBorders>
            <w:noWrap w:val="0"/>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业绩</w:t>
            </w:r>
          </w:p>
        </w:tc>
        <w:tc>
          <w:tcPr>
            <w:tcW w:w="650" w:type="dxa"/>
            <w:tcBorders>
              <w:top w:val="nil"/>
              <w:left w:val="nil"/>
              <w:bottom w:val="single" w:color="auto" w:sz="8" w:space="0"/>
              <w:right w:val="single" w:color="auto" w:sz="8" w:space="0"/>
            </w:tcBorders>
            <w:noWrap w:val="0"/>
            <w:vAlign w:val="center"/>
          </w:tcPr>
          <w:p>
            <w:pPr>
              <w:ind w:right="-65" w:rightChars="-31"/>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p>
        </w:tc>
        <w:tc>
          <w:tcPr>
            <w:tcW w:w="7387" w:type="dxa"/>
            <w:tcBorders>
              <w:top w:val="nil"/>
              <w:left w:val="nil"/>
              <w:bottom w:val="single" w:color="auto" w:sz="8" w:space="0"/>
              <w:right w:val="single" w:color="auto" w:sz="8" w:space="0"/>
            </w:tcBorders>
            <w:noWrap w:val="0"/>
            <w:vAlign w:val="center"/>
          </w:tcPr>
          <w:p>
            <w:pPr>
              <w:spacing w:line="360" w:lineRule="exact"/>
              <w:rPr>
                <w:rFonts w:hint="eastAsia" w:ascii="宋体" w:hAnsi="宋体" w:eastAsia="宋体" w:cs="宋体"/>
                <w:sz w:val="22"/>
                <w:szCs w:val="22"/>
              </w:rPr>
            </w:pPr>
            <w:r>
              <w:rPr>
                <w:rFonts w:hint="eastAsia" w:ascii="宋体" w:hAnsi="宋体" w:eastAsia="宋体" w:cs="宋体"/>
                <w:bCs/>
                <w:color w:val="auto"/>
                <w:sz w:val="22"/>
                <w:szCs w:val="22"/>
                <w:lang w:val="zh-CN" w:bidi="zh-CN"/>
              </w:rPr>
              <w:t>201</w:t>
            </w:r>
            <w:r>
              <w:rPr>
                <w:rFonts w:hint="eastAsia" w:ascii="宋体" w:hAnsi="宋体" w:eastAsia="宋体" w:cs="宋体"/>
                <w:bCs/>
                <w:color w:val="auto"/>
                <w:sz w:val="22"/>
                <w:szCs w:val="22"/>
                <w:lang w:val="zh-CN" w:eastAsia="zh-CN" w:bidi="zh-CN"/>
              </w:rPr>
              <w:t>8</w:t>
            </w:r>
            <w:r>
              <w:rPr>
                <w:rFonts w:hint="eastAsia" w:ascii="宋体" w:hAnsi="宋体" w:eastAsia="宋体" w:cs="宋体"/>
                <w:bCs/>
                <w:color w:val="auto"/>
                <w:sz w:val="22"/>
                <w:szCs w:val="22"/>
                <w:lang w:val="zh-CN" w:bidi="zh-CN"/>
              </w:rPr>
              <w:t>年以来</w:t>
            </w:r>
            <w:r>
              <w:rPr>
                <w:rFonts w:hint="eastAsia" w:ascii="宋体" w:hAnsi="宋体" w:eastAsia="宋体" w:cs="宋体"/>
                <w:sz w:val="22"/>
                <w:szCs w:val="22"/>
              </w:rPr>
              <w:t>投标人承担过地面沉降相关的项目及专题研究，每提供一项的</w:t>
            </w:r>
            <w:r>
              <w:rPr>
                <w:rFonts w:hint="eastAsia" w:ascii="宋体" w:hAnsi="宋体" w:eastAsia="宋体" w:cs="宋体"/>
                <w:sz w:val="22"/>
                <w:szCs w:val="22"/>
                <w:lang w:val="en-US" w:eastAsia="zh-CN"/>
              </w:rPr>
              <w:t>0.5</w:t>
            </w:r>
            <w:r>
              <w:rPr>
                <w:rFonts w:hint="eastAsia" w:ascii="宋体" w:hAnsi="宋体" w:eastAsia="宋体" w:cs="宋体"/>
                <w:sz w:val="22"/>
                <w:szCs w:val="22"/>
              </w:rPr>
              <w:t>分，最高得</w:t>
            </w:r>
            <w:r>
              <w:rPr>
                <w:rFonts w:hint="eastAsia" w:ascii="宋体" w:hAnsi="宋体" w:eastAsia="宋体" w:cs="宋体"/>
                <w:sz w:val="22"/>
                <w:szCs w:val="22"/>
                <w:lang w:val="en-US" w:eastAsia="zh-CN"/>
              </w:rPr>
              <w:t>1</w:t>
            </w:r>
            <w:r>
              <w:rPr>
                <w:rFonts w:hint="eastAsia" w:ascii="宋体" w:hAnsi="宋体" w:eastAsia="宋体" w:cs="宋体"/>
                <w:sz w:val="22"/>
                <w:szCs w:val="22"/>
              </w:rPr>
              <w:t>分。（</w:t>
            </w:r>
            <w:r>
              <w:rPr>
                <w:rFonts w:hint="eastAsia" w:ascii="宋体" w:hAnsi="宋体" w:eastAsia="宋体" w:cs="宋体"/>
                <w:bCs/>
                <w:color w:val="auto"/>
                <w:sz w:val="22"/>
                <w:szCs w:val="22"/>
                <w:lang w:val="zh-CN" w:eastAsia="zh-CN" w:bidi="zh-CN"/>
              </w:rPr>
              <w:t>投标文件中提供合同复印件，不</w:t>
            </w:r>
            <w:r>
              <w:rPr>
                <w:rFonts w:hint="eastAsia" w:ascii="宋体" w:hAnsi="宋体" w:eastAsia="宋体" w:cs="宋体"/>
                <w:bCs/>
                <w:color w:val="auto"/>
                <w:sz w:val="22"/>
                <w:szCs w:val="22"/>
                <w:lang w:val="zh-CN" w:bidi="zh-CN"/>
              </w:rPr>
              <w:t>提供不得分</w:t>
            </w:r>
            <w:r>
              <w:rPr>
                <w:rFonts w:hint="eastAsia" w:ascii="宋体" w:hAnsi="宋体" w:eastAsia="宋体" w:cs="宋体"/>
                <w:bCs/>
                <w:color w:val="auto"/>
                <w:sz w:val="22"/>
                <w:szCs w:val="22"/>
                <w:lang w:val="zh-CN" w:eastAsia="zh-CN" w:bidi="zh-CN"/>
              </w:rPr>
              <w:t>）</w:t>
            </w:r>
            <w:r>
              <w:rPr>
                <w:rFonts w:hint="eastAsia" w:ascii="宋体" w:hAnsi="宋体" w:eastAsia="宋体" w:cs="宋体"/>
                <w:bCs/>
                <w:color w:val="auto"/>
                <w:sz w:val="22"/>
                <w:szCs w:val="22"/>
                <w:lang w:val="zh-CN" w:bidi="zh-CN"/>
              </w:rPr>
              <w:t>。</w:t>
            </w:r>
          </w:p>
        </w:tc>
      </w:tr>
      <w:tr>
        <w:tblPrEx>
          <w:tblCellMar>
            <w:top w:w="0" w:type="dxa"/>
            <w:left w:w="108" w:type="dxa"/>
            <w:bottom w:w="0" w:type="dxa"/>
            <w:right w:w="108" w:type="dxa"/>
          </w:tblCellMar>
        </w:tblPrEx>
        <w:trPr>
          <w:trHeight w:val="604" w:hRule="atLeast"/>
        </w:trPr>
        <w:tc>
          <w:tcPr>
            <w:tcW w:w="817" w:type="dxa"/>
            <w:tcBorders>
              <w:top w:val="nil"/>
              <w:left w:val="single" w:color="auto" w:sz="8" w:space="0"/>
              <w:bottom w:val="single" w:color="auto" w:sz="4" w:space="0"/>
              <w:right w:val="single" w:color="auto" w:sz="8" w:space="0"/>
            </w:tcBorders>
            <w:noWrap w:val="0"/>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11</w:t>
            </w:r>
          </w:p>
        </w:tc>
        <w:tc>
          <w:tcPr>
            <w:tcW w:w="819" w:type="dxa"/>
            <w:tcBorders>
              <w:top w:val="nil"/>
              <w:left w:val="single" w:color="auto" w:sz="8" w:space="0"/>
              <w:bottom w:val="single" w:color="auto" w:sz="4" w:space="0"/>
              <w:right w:val="single" w:color="auto" w:sz="8" w:space="0"/>
            </w:tcBorders>
            <w:noWrap w:val="0"/>
            <w:vAlign w:val="center"/>
          </w:tcPr>
          <w:p>
            <w:pPr>
              <w:jc w:val="center"/>
              <w:rPr>
                <w:rFonts w:hint="eastAsia" w:ascii="宋体" w:hAnsi="宋体" w:eastAsia="宋体" w:cs="宋体"/>
                <w:sz w:val="22"/>
                <w:szCs w:val="22"/>
                <w:lang w:bidi="ar"/>
              </w:rPr>
            </w:pPr>
            <w:r>
              <w:rPr>
                <w:rFonts w:hint="eastAsia" w:ascii="宋体" w:hAnsi="宋体" w:eastAsia="宋体" w:cs="宋体"/>
                <w:sz w:val="22"/>
                <w:szCs w:val="22"/>
                <w:lang w:bidi="ar"/>
              </w:rPr>
              <w:t>政策</w:t>
            </w:r>
          </w:p>
          <w:p>
            <w:pPr>
              <w:jc w:val="center"/>
              <w:rPr>
                <w:rFonts w:hint="eastAsia" w:ascii="宋体" w:hAnsi="宋体" w:eastAsia="宋体" w:cs="宋体"/>
                <w:sz w:val="22"/>
                <w:szCs w:val="22"/>
              </w:rPr>
            </w:pPr>
            <w:r>
              <w:rPr>
                <w:rFonts w:hint="eastAsia" w:ascii="宋体" w:hAnsi="宋体" w:eastAsia="宋体" w:cs="宋体"/>
                <w:sz w:val="22"/>
                <w:szCs w:val="22"/>
                <w:lang w:bidi="ar"/>
              </w:rPr>
              <w:t>扶持</w:t>
            </w:r>
          </w:p>
        </w:tc>
        <w:tc>
          <w:tcPr>
            <w:tcW w:w="650" w:type="dxa"/>
            <w:tcBorders>
              <w:top w:val="nil"/>
              <w:left w:val="nil"/>
              <w:bottom w:val="single" w:color="auto" w:sz="4" w:space="0"/>
              <w:right w:val="single" w:color="auto" w:sz="8" w:space="0"/>
            </w:tcBorders>
            <w:noWrap w:val="0"/>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w:t>
            </w:r>
          </w:p>
        </w:tc>
        <w:tc>
          <w:tcPr>
            <w:tcW w:w="7387" w:type="dxa"/>
            <w:tcBorders>
              <w:top w:val="nil"/>
              <w:left w:val="nil"/>
              <w:bottom w:val="single" w:color="auto" w:sz="4" w:space="0"/>
              <w:right w:val="single" w:color="auto" w:sz="8" w:space="0"/>
            </w:tcBorders>
            <w:noWrap w:val="0"/>
            <w:vAlign w:val="center"/>
          </w:tcPr>
          <w:p>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bidi="ar"/>
              </w:rPr>
              <w:t>投标供应商是国家认定的不发达地区或少数民族地区企业的1分。</w:t>
            </w:r>
          </w:p>
        </w:tc>
      </w:tr>
    </w:tbl>
    <w:p>
      <w:pPr>
        <w:pStyle w:val="11"/>
        <w:numPr>
          <w:ilvl w:val="0"/>
          <w:numId w:val="0"/>
        </w:numPr>
      </w:pPr>
    </w:p>
    <w:p>
      <w:pPr>
        <w:pStyle w:val="6"/>
        <w:numPr>
          <w:ilvl w:val="0"/>
          <w:numId w:val="0"/>
        </w:numPr>
        <w:tabs>
          <w:tab w:val="clear" w:pos="576"/>
        </w:tabs>
        <w:spacing w:before="0" w:after="0" w:line="400" w:lineRule="exact"/>
        <w:jc w:val="left"/>
        <w:rPr>
          <w:rFonts w:ascii="Times New Roman" w:hAnsi="Times New Roman" w:eastAsia="宋体"/>
          <w:sz w:val="21"/>
          <w:szCs w:val="21"/>
        </w:rPr>
      </w:pPr>
      <w:bookmarkStart w:id="244" w:name="_Toc24648"/>
      <w:bookmarkStart w:id="245" w:name="_Toc460857932"/>
      <w:bookmarkStart w:id="246" w:name="_Toc13155"/>
      <w:bookmarkStart w:id="247" w:name="_Toc17707945"/>
      <w:bookmarkStart w:id="248" w:name="_Toc20559"/>
      <w:bookmarkStart w:id="249" w:name="_Toc79395468"/>
      <w:r>
        <w:rPr>
          <w:rFonts w:hint="eastAsia" w:ascii="Times New Roman" w:hAnsi="Times New Roman" w:eastAsia="宋体"/>
          <w:sz w:val="21"/>
          <w:szCs w:val="21"/>
        </w:rPr>
        <w:t>七、</w:t>
      </w:r>
      <w:r>
        <w:rPr>
          <w:rFonts w:ascii="Times New Roman" w:hAnsi="Times New Roman" w:eastAsia="宋体"/>
          <w:sz w:val="21"/>
          <w:szCs w:val="21"/>
        </w:rPr>
        <w:t>定标</w:t>
      </w:r>
      <w:bookmarkEnd w:id="244"/>
      <w:bookmarkEnd w:id="245"/>
      <w:bookmarkEnd w:id="246"/>
      <w:bookmarkEnd w:id="247"/>
      <w:bookmarkEnd w:id="248"/>
      <w:bookmarkEnd w:id="249"/>
    </w:p>
    <w:p>
      <w:pPr>
        <w:pStyle w:val="20"/>
        <w:widowControl/>
        <w:spacing w:beforeLines="0" w:afterLines="0"/>
        <w:ind w:firstLine="440" w:firstLineChars="200"/>
        <w:jc w:val="left"/>
        <w:rPr>
          <w:rFonts w:ascii="Times New Roman"/>
          <w:strike/>
          <w:sz w:val="22"/>
          <w:szCs w:val="22"/>
        </w:rPr>
      </w:pPr>
      <w:r>
        <w:rPr>
          <w:rFonts w:hint="eastAsia" w:ascii="Times New Roman"/>
          <w:sz w:val="22"/>
          <w:szCs w:val="22"/>
        </w:rPr>
        <w:t>（一）</w:t>
      </w:r>
      <w:r>
        <w:rPr>
          <w:sz w:val="22"/>
          <w:szCs w:val="22"/>
        </w:rPr>
        <w:t>评标委员会根据投标人的综合得分高低排定顺序，推荐综合得分排名第一的投标人为本项目的中标候选人。如投标人综合得分相同则价格低者优先中标；若技术商务得分</w:t>
      </w:r>
      <w:r>
        <w:rPr>
          <w:rFonts w:hint="eastAsia"/>
          <w:sz w:val="22"/>
          <w:szCs w:val="22"/>
        </w:rPr>
        <w:t>与报价分皆相同</w:t>
      </w:r>
      <w:r>
        <w:rPr>
          <w:sz w:val="22"/>
          <w:szCs w:val="22"/>
        </w:rPr>
        <w:t>，</w:t>
      </w:r>
      <w:r>
        <w:rPr>
          <w:rFonts w:hAnsi="宋体"/>
          <w:sz w:val="22"/>
          <w:szCs w:val="22"/>
          <w:shd w:val="clear" w:color="auto" w:fill="FFFFFF"/>
        </w:rPr>
        <w:t>投标文件满足招标文件全部实质性要求，且按照评审因素的量化指标评审得分最高的投标人为排名第一的中标候选人。</w:t>
      </w:r>
    </w:p>
    <w:p>
      <w:pPr>
        <w:pStyle w:val="20"/>
        <w:widowControl/>
        <w:spacing w:beforeLines="0" w:afterLines="0"/>
        <w:ind w:firstLine="440" w:firstLineChars="200"/>
        <w:jc w:val="left"/>
        <w:rPr>
          <w:rFonts w:ascii="Times New Roman"/>
          <w:sz w:val="22"/>
          <w:szCs w:val="22"/>
        </w:rPr>
      </w:pPr>
      <w:r>
        <w:rPr>
          <w:rFonts w:hint="eastAsia" w:ascii="Times New Roman"/>
          <w:sz w:val="22"/>
          <w:szCs w:val="22"/>
        </w:rPr>
        <w:t>（二）</w:t>
      </w:r>
      <w:r>
        <w:rPr>
          <w:rFonts w:ascii="Times New Roman"/>
          <w:sz w:val="22"/>
          <w:szCs w:val="22"/>
        </w:rPr>
        <w:t>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0"/>
        <w:widowControl/>
        <w:spacing w:beforeLines="0" w:afterLines="0"/>
        <w:ind w:firstLine="440" w:firstLineChars="200"/>
        <w:jc w:val="left"/>
        <w:rPr>
          <w:rFonts w:ascii="Times New Roman"/>
          <w:sz w:val="22"/>
          <w:szCs w:val="22"/>
        </w:rPr>
      </w:pPr>
      <w:r>
        <w:rPr>
          <w:rFonts w:hint="eastAsia" w:ascii="Times New Roman"/>
          <w:sz w:val="22"/>
          <w:szCs w:val="22"/>
        </w:rPr>
        <w:t>（三）</w:t>
      </w:r>
      <w:r>
        <w:rPr>
          <w:rFonts w:ascii="Times New Roman"/>
          <w:sz w:val="22"/>
          <w:szCs w:val="22"/>
        </w:rPr>
        <w:t>采购代理机构自中标人确定之日起2个工作日内，在发布招标公告的网站上对中标结果进行公示，中标结果公告期限为1个工作日</w:t>
      </w:r>
      <w:r>
        <w:rPr>
          <w:rFonts w:hint="eastAsia" w:ascii="Times New Roman"/>
          <w:sz w:val="22"/>
          <w:szCs w:val="22"/>
        </w:rPr>
        <w:t>，在公告中标结果的同时，向中标人发出中标通知书。</w:t>
      </w:r>
    </w:p>
    <w:p>
      <w:pPr>
        <w:pStyle w:val="20"/>
        <w:widowControl/>
        <w:spacing w:beforeLines="0" w:afterLines="0"/>
        <w:ind w:firstLine="440" w:firstLineChars="200"/>
        <w:jc w:val="left"/>
        <w:rPr>
          <w:rFonts w:ascii="Times New Roman"/>
          <w:sz w:val="22"/>
          <w:szCs w:val="22"/>
        </w:rPr>
      </w:pPr>
      <w:r>
        <w:rPr>
          <w:rFonts w:hint="eastAsia" w:ascii="Times New Roman"/>
          <w:sz w:val="22"/>
          <w:szCs w:val="22"/>
        </w:rPr>
        <w:t>（四）</w:t>
      </w:r>
      <w:r>
        <w:rPr>
          <w:rFonts w:ascii="Times New Roman"/>
          <w:sz w:val="22"/>
          <w:szCs w:val="22"/>
        </w:rPr>
        <w:t>凡发现中标人有下列行为之一的，将移交政府采购监督管理部门依法处理：</w:t>
      </w:r>
    </w:p>
    <w:p>
      <w:pPr>
        <w:spacing w:line="400" w:lineRule="exact"/>
        <w:ind w:left="420" w:firstLine="220" w:firstLineChars="100"/>
        <w:rPr>
          <w:sz w:val="22"/>
          <w:szCs w:val="22"/>
        </w:rPr>
      </w:pPr>
      <w:r>
        <w:rPr>
          <w:rFonts w:hint="eastAsia"/>
          <w:sz w:val="22"/>
          <w:szCs w:val="22"/>
        </w:rPr>
        <w:t>1.</w:t>
      </w:r>
      <w:r>
        <w:rPr>
          <w:sz w:val="22"/>
          <w:szCs w:val="22"/>
        </w:rPr>
        <w:t>提供虚假材料谋取中标的</w:t>
      </w:r>
      <w:r>
        <w:rPr>
          <w:rFonts w:hint="eastAsia"/>
          <w:sz w:val="22"/>
          <w:szCs w:val="22"/>
        </w:rPr>
        <w:t>；</w:t>
      </w:r>
    </w:p>
    <w:p>
      <w:pPr>
        <w:spacing w:line="400" w:lineRule="exact"/>
        <w:ind w:left="420" w:firstLine="220" w:firstLineChars="100"/>
        <w:rPr>
          <w:sz w:val="22"/>
          <w:szCs w:val="22"/>
        </w:rPr>
      </w:pPr>
      <w:r>
        <w:rPr>
          <w:rFonts w:hint="eastAsia"/>
          <w:sz w:val="22"/>
          <w:szCs w:val="22"/>
        </w:rPr>
        <w:t>2.</w:t>
      </w:r>
      <w:r>
        <w:rPr>
          <w:sz w:val="22"/>
          <w:szCs w:val="22"/>
        </w:rPr>
        <w:t>采取不正当手段诋毁、排挤其他投标人的</w:t>
      </w:r>
      <w:r>
        <w:rPr>
          <w:rFonts w:hint="eastAsia"/>
          <w:sz w:val="22"/>
          <w:szCs w:val="22"/>
        </w:rPr>
        <w:t>；</w:t>
      </w:r>
    </w:p>
    <w:p>
      <w:pPr>
        <w:spacing w:line="400" w:lineRule="exact"/>
        <w:ind w:left="420" w:firstLine="220" w:firstLineChars="100"/>
        <w:rPr>
          <w:sz w:val="22"/>
          <w:szCs w:val="22"/>
        </w:rPr>
      </w:pPr>
      <w:r>
        <w:rPr>
          <w:rFonts w:hint="eastAsia"/>
          <w:sz w:val="22"/>
          <w:szCs w:val="22"/>
        </w:rPr>
        <w:t>3.</w:t>
      </w:r>
      <w:r>
        <w:rPr>
          <w:sz w:val="22"/>
          <w:szCs w:val="22"/>
        </w:rPr>
        <w:t>与采购人、其他投标人或者采购代理机构工作人员恶意串通的</w:t>
      </w:r>
      <w:r>
        <w:rPr>
          <w:rFonts w:hint="eastAsia"/>
          <w:sz w:val="22"/>
          <w:szCs w:val="22"/>
        </w:rPr>
        <w:t>；</w:t>
      </w:r>
    </w:p>
    <w:p>
      <w:pPr>
        <w:spacing w:line="400" w:lineRule="exact"/>
        <w:ind w:left="420" w:firstLine="220" w:firstLineChars="100"/>
        <w:rPr>
          <w:sz w:val="22"/>
          <w:szCs w:val="22"/>
        </w:rPr>
      </w:pPr>
      <w:r>
        <w:rPr>
          <w:rFonts w:hint="eastAsia"/>
          <w:sz w:val="22"/>
          <w:szCs w:val="22"/>
        </w:rPr>
        <w:t>4.</w:t>
      </w:r>
      <w:r>
        <w:rPr>
          <w:sz w:val="22"/>
          <w:szCs w:val="22"/>
        </w:rPr>
        <w:t>向采购人或采购代理机构人员行贿或者提供其他不正当利益的</w:t>
      </w:r>
      <w:r>
        <w:rPr>
          <w:rFonts w:hint="eastAsia"/>
          <w:sz w:val="22"/>
          <w:szCs w:val="22"/>
        </w:rPr>
        <w:t>；</w:t>
      </w:r>
    </w:p>
    <w:p>
      <w:pPr>
        <w:spacing w:line="400" w:lineRule="exact"/>
        <w:ind w:left="420" w:firstLine="220" w:firstLineChars="100"/>
        <w:rPr>
          <w:sz w:val="22"/>
          <w:szCs w:val="22"/>
        </w:rPr>
      </w:pPr>
      <w:r>
        <w:rPr>
          <w:rFonts w:hint="eastAsia"/>
          <w:sz w:val="22"/>
          <w:szCs w:val="22"/>
        </w:rPr>
        <w:t>5.</w:t>
      </w:r>
      <w:r>
        <w:rPr>
          <w:sz w:val="22"/>
          <w:szCs w:val="22"/>
        </w:rPr>
        <w:t>拒绝有关部门监督检查或者提供虚假情况的</w:t>
      </w:r>
      <w:r>
        <w:rPr>
          <w:rFonts w:hint="eastAsia"/>
          <w:sz w:val="22"/>
          <w:szCs w:val="22"/>
        </w:rPr>
        <w:t>；</w:t>
      </w:r>
    </w:p>
    <w:p>
      <w:pPr>
        <w:spacing w:line="400" w:lineRule="exact"/>
        <w:ind w:left="420" w:firstLine="220" w:firstLineChars="100"/>
        <w:rPr>
          <w:sz w:val="22"/>
          <w:szCs w:val="22"/>
        </w:rPr>
      </w:pPr>
      <w:r>
        <w:rPr>
          <w:rFonts w:hint="eastAsia"/>
          <w:sz w:val="22"/>
          <w:szCs w:val="22"/>
        </w:rPr>
        <w:t>6.</w:t>
      </w:r>
      <w:r>
        <w:rPr>
          <w:sz w:val="22"/>
          <w:szCs w:val="22"/>
        </w:rPr>
        <w:t>有法律、法规规定的其他损害采购人利益和社会公共利益情形的。</w:t>
      </w:r>
    </w:p>
    <w:p>
      <w:pPr>
        <w:pStyle w:val="6"/>
        <w:numPr>
          <w:ilvl w:val="0"/>
          <w:numId w:val="0"/>
        </w:numPr>
        <w:tabs>
          <w:tab w:val="clear" w:pos="576"/>
        </w:tabs>
        <w:spacing w:before="0" w:after="0" w:line="400" w:lineRule="exact"/>
        <w:ind w:firstLine="442" w:firstLineChars="200"/>
        <w:jc w:val="left"/>
        <w:rPr>
          <w:rFonts w:ascii="Times New Roman" w:hAnsi="Times New Roman" w:eastAsia="宋体"/>
          <w:sz w:val="22"/>
          <w:szCs w:val="22"/>
        </w:rPr>
      </w:pPr>
      <w:bookmarkStart w:id="250" w:name="_Toc13586"/>
      <w:bookmarkStart w:id="251" w:name="_Toc28530"/>
      <w:bookmarkStart w:id="252" w:name="_Toc13820"/>
      <w:bookmarkStart w:id="253" w:name="_Toc79395470"/>
      <w:bookmarkStart w:id="254" w:name="_Toc17707947"/>
      <w:r>
        <w:rPr>
          <w:rFonts w:hint="eastAsia" w:ascii="Times New Roman" w:hAnsi="Times New Roman" w:eastAsia="宋体"/>
          <w:sz w:val="22"/>
          <w:szCs w:val="22"/>
        </w:rPr>
        <w:t>八</w:t>
      </w:r>
      <w:r>
        <w:rPr>
          <w:rFonts w:ascii="Times New Roman" w:hAnsi="Times New Roman" w:eastAsia="宋体"/>
          <w:sz w:val="22"/>
          <w:szCs w:val="22"/>
        </w:rPr>
        <w:t>、评标过程的监控</w:t>
      </w:r>
      <w:bookmarkEnd w:id="250"/>
      <w:bookmarkEnd w:id="251"/>
      <w:bookmarkEnd w:id="252"/>
      <w:bookmarkEnd w:id="253"/>
      <w:bookmarkEnd w:id="254"/>
    </w:p>
    <w:p>
      <w:pPr>
        <w:snapToGrid w:val="0"/>
        <w:spacing w:line="400" w:lineRule="exact"/>
        <w:ind w:firstLine="440" w:firstLineChars="200"/>
        <w:jc w:val="left"/>
        <w:rPr>
          <w:sz w:val="22"/>
          <w:szCs w:val="22"/>
          <w:highlight w:val="yellow"/>
        </w:rPr>
      </w:pPr>
      <w:r>
        <w:rPr>
          <w:bCs/>
          <w:sz w:val="22"/>
          <w:szCs w:val="22"/>
        </w:rPr>
        <w:t>本项目评标过程实行全程录音、录像监控，投标人在评标过程中所进行的试图影响评标结果的不公正活动，可能导致其投标被拒绝。</w:t>
      </w:r>
    </w:p>
    <w:p>
      <w:pPr>
        <w:pStyle w:val="6"/>
        <w:numPr>
          <w:ilvl w:val="0"/>
          <w:numId w:val="0"/>
        </w:numPr>
        <w:tabs>
          <w:tab w:val="clear" w:pos="576"/>
        </w:tabs>
        <w:spacing w:before="0" w:after="0" w:line="400" w:lineRule="exact"/>
        <w:ind w:firstLine="442" w:firstLineChars="200"/>
        <w:jc w:val="left"/>
        <w:rPr>
          <w:rFonts w:ascii="Times New Roman" w:hAnsi="Times New Roman" w:eastAsia="宋体"/>
          <w:sz w:val="22"/>
          <w:szCs w:val="22"/>
        </w:rPr>
      </w:pPr>
      <w:bookmarkStart w:id="255" w:name="_Toc27507"/>
      <w:bookmarkStart w:id="256" w:name="_Toc17707948"/>
      <w:bookmarkStart w:id="257" w:name="_Toc460416664"/>
      <w:bookmarkStart w:id="258" w:name="_Toc460416359"/>
      <w:bookmarkStart w:id="259" w:name="_Toc460857934"/>
      <w:bookmarkStart w:id="260" w:name="_Toc79395471"/>
      <w:bookmarkStart w:id="261" w:name="_Toc30381"/>
      <w:bookmarkStart w:id="262" w:name="_Toc8418"/>
      <w:r>
        <w:rPr>
          <w:rFonts w:hint="eastAsia" w:ascii="Times New Roman" w:hAnsi="Times New Roman" w:eastAsia="宋体"/>
          <w:sz w:val="22"/>
          <w:szCs w:val="22"/>
        </w:rPr>
        <w:t>九</w:t>
      </w:r>
      <w:r>
        <w:rPr>
          <w:rFonts w:ascii="Times New Roman" w:hAnsi="Times New Roman" w:eastAsia="宋体"/>
          <w:sz w:val="22"/>
          <w:szCs w:val="22"/>
        </w:rPr>
        <w:t>、合同授予</w:t>
      </w:r>
      <w:bookmarkEnd w:id="255"/>
      <w:bookmarkEnd w:id="256"/>
      <w:bookmarkEnd w:id="257"/>
      <w:bookmarkEnd w:id="258"/>
      <w:bookmarkEnd w:id="259"/>
      <w:bookmarkEnd w:id="260"/>
      <w:bookmarkEnd w:id="261"/>
      <w:bookmarkEnd w:id="262"/>
    </w:p>
    <w:p>
      <w:pPr>
        <w:snapToGrid w:val="0"/>
        <w:spacing w:line="400" w:lineRule="exact"/>
        <w:ind w:firstLine="440" w:firstLineChars="200"/>
        <w:rPr>
          <w:sz w:val="22"/>
          <w:szCs w:val="22"/>
        </w:rPr>
      </w:pPr>
      <w:r>
        <w:rPr>
          <w:sz w:val="22"/>
          <w:szCs w:val="22"/>
        </w:rPr>
        <w:t>1</w:t>
      </w:r>
      <w:r>
        <w:rPr>
          <w:rFonts w:hint="eastAsia"/>
          <w:sz w:val="22"/>
          <w:szCs w:val="22"/>
        </w:rPr>
        <w:t>、</w:t>
      </w:r>
      <w:r>
        <w:rPr>
          <w:sz w:val="22"/>
          <w:szCs w:val="22"/>
        </w:rPr>
        <w:t>采购人应当自中标通知书发出之日起30日内，按照采购文件和中标人投标文件的规定，与中标人签订书面合同。所签订的合同不得对采购文件确定的事项和中标人投标文件作实质性修改。</w:t>
      </w:r>
    </w:p>
    <w:p>
      <w:pPr>
        <w:snapToGrid w:val="0"/>
        <w:spacing w:line="400" w:lineRule="exact"/>
        <w:ind w:firstLine="440" w:firstLineChars="200"/>
        <w:rPr>
          <w:sz w:val="22"/>
          <w:szCs w:val="22"/>
        </w:rPr>
      </w:pPr>
      <w:r>
        <w:rPr>
          <w:sz w:val="22"/>
          <w:szCs w:val="22"/>
        </w:rPr>
        <w:t>采购人不得向中标人提出任何不合理的要求作为签订合同的条件。</w:t>
      </w:r>
    </w:p>
    <w:p>
      <w:pPr>
        <w:pStyle w:val="20"/>
        <w:snapToGrid w:val="0"/>
        <w:spacing w:beforeLines="0" w:afterLines="0"/>
        <w:ind w:firstLine="431" w:firstLineChars="196"/>
        <w:rPr>
          <w:rFonts w:ascii="Times New Roman"/>
          <w:kern w:val="2"/>
          <w:sz w:val="22"/>
          <w:szCs w:val="22"/>
        </w:rPr>
      </w:pPr>
      <w:r>
        <w:rPr>
          <w:rFonts w:ascii="Times New Roman"/>
          <w:kern w:val="2"/>
          <w:sz w:val="22"/>
          <w:szCs w:val="22"/>
        </w:rPr>
        <w:t>2</w:t>
      </w:r>
      <w:r>
        <w:rPr>
          <w:rFonts w:hint="eastAsia" w:ascii="Times New Roman"/>
          <w:kern w:val="2"/>
          <w:sz w:val="22"/>
          <w:szCs w:val="22"/>
        </w:rPr>
        <w:t>、</w:t>
      </w:r>
      <w:r>
        <w:rPr>
          <w:rFonts w:ascii="Times New Roman"/>
          <w:kern w:val="2"/>
          <w:sz w:val="22"/>
          <w:szCs w:val="22"/>
        </w:rPr>
        <w:t>采购人在签订合同时，在合同金额变更范围内，如需审批的办理相关审批手续。有权变更采购项目的数量和服务内容，但不能对单价或其他条款和条件作任何改变。</w:t>
      </w:r>
    </w:p>
    <w:p>
      <w:pPr>
        <w:pStyle w:val="20"/>
        <w:snapToGrid w:val="0"/>
        <w:spacing w:beforeLines="0" w:afterLines="0"/>
        <w:ind w:firstLine="431" w:firstLineChars="196"/>
        <w:rPr>
          <w:rFonts w:ascii="Times New Roman"/>
          <w:kern w:val="2"/>
          <w:sz w:val="22"/>
          <w:szCs w:val="22"/>
        </w:rPr>
      </w:pPr>
      <w:r>
        <w:rPr>
          <w:rFonts w:ascii="Times New Roman"/>
          <w:kern w:val="2"/>
          <w:sz w:val="22"/>
          <w:szCs w:val="22"/>
        </w:rPr>
        <w:t>3</w:t>
      </w:r>
      <w:r>
        <w:rPr>
          <w:rFonts w:hint="eastAsia" w:ascii="Times New Roman"/>
          <w:kern w:val="2"/>
          <w:sz w:val="22"/>
          <w:szCs w:val="22"/>
        </w:rPr>
        <w:t>、</w:t>
      </w:r>
      <w:r>
        <w:rPr>
          <w:rFonts w:ascii="Times New Roman"/>
          <w:kern w:val="2"/>
          <w:sz w:val="22"/>
          <w:szCs w:val="22"/>
        </w:rPr>
        <w:t>采购文件、中标供应商的投标文件及评标过程中有关的澄清文件均应作为合同签订的附件。</w:t>
      </w:r>
    </w:p>
    <w:p>
      <w:pPr>
        <w:pStyle w:val="20"/>
        <w:snapToGrid w:val="0"/>
        <w:spacing w:beforeLines="0" w:afterLines="0"/>
        <w:ind w:firstLine="431" w:firstLineChars="196"/>
        <w:rPr>
          <w:rFonts w:ascii="Times New Roman"/>
          <w:kern w:val="2"/>
          <w:sz w:val="22"/>
          <w:szCs w:val="22"/>
        </w:rPr>
      </w:pPr>
      <w:r>
        <w:rPr>
          <w:rFonts w:ascii="Times New Roman"/>
          <w:kern w:val="2"/>
          <w:sz w:val="22"/>
          <w:szCs w:val="22"/>
        </w:rPr>
        <w:t>4</w:t>
      </w:r>
      <w:r>
        <w:rPr>
          <w:rFonts w:hint="eastAsia" w:ascii="Times New Roman"/>
          <w:kern w:val="2"/>
          <w:sz w:val="22"/>
          <w:szCs w:val="22"/>
        </w:rPr>
        <w:t>、</w:t>
      </w:r>
      <w:r>
        <w:rPr>
          <w:rFonts w:ascii="Times New Roman"/>
          <w:kern w:val="2"/>
          <w:sz w:val="22"/>
          <w:szCs w:val="22"/>
        </w:rPr>
        <w:t>中标或者成交供应商拒绝与采购人签订合同的，</w:t>
      </w:r>
      <w:r>
        <w:rPr>
          <w:rFonts w:hint="eastAsia" w:ascii="Times New Roman"/>
          <w:kern w:val="2"/>
          <w:sz w:val="22"/>
          <w:szCs w:val="22"/>
        </w:rPr>
        <w:t>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pPr>
        <w:snapToGrid w:val="0"/>
        <w:spacing w:line="400" w:lineRule="exact"/>
        <w:ind w:firstLine="440" w:firstLineChars="200"/>
        <w:jc w:val="left"/>
        <w:rPr>
          <w:sz w:val="22"/>
          <w:szCs w:val="22"/>
        </w:rPr>
      </w:pPr>
      <w:r>
        <w:rPr>
          <w:sz w:val="22"/>
          <w:szCs w:val="22"/>
        </w:rPr>
        <w:t>5</w:t>
      </w:r>
      <w:r>
        <w:rPr>
          <w:rFonts w:hint="eastAsia"/>
          <w:sz w:val="22"/>
          <w:szCs w:val="22"/>
        </w:rPr>
        <w:t>、</w:t>
      </w:r>
      <w:r>
        <w:rPr>
          <w:sz w:val="22"/>
          <w:szCs w:val="22"/>
        </w:rPr>
        <w:t>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ind w:firstLine="433" w:firstLineChars="196"/>
        <w:rPr>
          <w:rFonts w:ascii="宋体" w:hAnsi="宋体" w:cs="宋体"/>
          <w:b/>
          <w:sz w:val="22"/>
          <w:szCs w:val="22"/>
        </w:rPr>
      </w:pPr>
      <w:r>
        <w:rPr>
          <w:rFonts w:hint="eastAsia"/>
          <w:b/>
          <w:bCs/>
          <w:sz w:val="22"/>
          <w:szCs w:val="22"/>
        </w:rPr>
        <w:t>十、</w:t>
      </w:r>
      <w:r>
        <w:rPr>
          <w:rFonts w:hint="eastAsia" w:ascii="宋体" w:hAnsi="宋体" w:cs="宋体"/>
          <w:b/>
          <w:bCs/>
          <w:sz w:val="22"/>
          <w:szCs w:val="22"/>
        </w:rPr>
        <w:t>履约验收</w:t>
      </w:r>
      <w:r>
        <w:rPr>
          <w:rFonts w:hint="eastAsia" w:ascii="宋体" w:hAnsi="宋体" w:cs="宋体"/>
          <w:b/>
          <w:sz w:val="22"/>
          <w:szCs w:val="22"/>
        </w:rPr>
        <w:t>：</w:t>
      </w:r>
    </w:p>
    <w:p>
      <w:pPr>
        <w:bidi w:val="0"/>
        <w:ind w:firstLine="420" w:firstLineChars="200"/>
      </w:pPr>
      <w:r>
        <w:rPr>
          <w:rFonts w:hint="eastAsia"/>
        </w:rPr>
        <w:t>采购人负责对中标人的履约行为进行验收。政府向社会公众提供的公共服务项目，验收时应当邀请服务对象参与并出具意见，验收结果应当向社会公告。</w:t>
      </w:r>
    </w:p>
    <w:p>
      <w:pPr>
        <w:pStyle w:val="164"/>
        <w:spacing w:line="360" w:lineRule="auto"/>
        <w:ind w:firstLine="480"/>
        <w:jc w:val="center"/>
        <w:rPr>
          <w:rFonts w:ascii="宋体" w:hAnsi="宋体" w:cs="宋体"/>
          <w:color w:val="auto"/>
          <w:sz w:val="28"/>
          <w:szCs w:val="28"/>
        </w:rPr>
        <w:sectPr>
          <w:pgSz w:w="11906" w:h="16838"/>
          <w:pgMar w:top="1440" w:right="1800" w:bottom="1440" w:left="1800" w:header="851" w:footer="992" w:gutter="0"/>
          <w:cols w:space="720" w:num="1"/>
          <w:docGrid w:type="lines" w:linePitch="312" w:charSpace="0"/>
        </w:sectPr>
      </w:pPr>
    </w:p>
    <w:p>
      <w:pPr>
        <w:pStyle w:val="5"/>
        <w:spacing w:before="0" w:after="0" w:line="360" w:lineRule="auto"/>
        <w:jc w:val="center"/>
        <w:rPr>
          <w:sz w:val="30"/>
        </w:rPr>
      </w:pPr>
      <w:bookmarkStart w:id="263" w:name="_Toc3258"/>
      <w:bookmarkStart w:id="264" w:name="_Toc22500"/>
      <w:bookmarkStart w:id="265" w:name="_Toc68086648"/>
      <w:bookmarkStart w:id="266" w:name="_Toc26178"/>
      <w:r>
        <w:rPr>
          <w:sz w:val="30"/>
        </w:rPr>
        <w:t>第五章  采购合同主要条款</w:t>
      </w:r>
      <w:bookmarkEnd w:id="263"/>
      <w:bookmarkEnd w:id="264"/>
      <w:bookmarkEnd w:id="265"/>
      <w:bookmarkEnd w:id="266"/>
    </w:p>
    <w:p/>
    <w:p>
      <w:pPr>
        <w:pStyle w:val="164"/>
        <w:spacing w:line="360" w:lineRule="auto"/>
        <w:ind w:firstLine="480"/>
        <w:jc w:val="center"/>
        <w:rPr>
          <w:rFonts w:ascii="宋体" w:hAnsi="宋体" w:cs="宋体"/>
          <w:color w:val="auto"/>
          <w:sz w:val="22"/>
          <w:szCs w:val="22"/>
        </w:rPr>
      </w:pPr>
      <w:r>
        <w:rPr>
          <w:rFonts w:hint="eastAsia" w:ascii="宋体" w:hAnsi="宋体" w:cs="宋体"/>
          <w:color w:val="auto"/>
          <w:sz w:val="22"/>
          <w:szCs w:val="22"/>
        </w:rPr>
        <w:t>（参考合同，具体细则以采购人及中标人双方签订为准。）</w:t>
      </w:r>
    </w:p>
    <w:p>
      <w:pPr>
        <w:pStyle w:val="165"/>
        <w:rPr>
          <w:rFonts w:ascii="宋体" w:hAnsi="宋体" w:cs="宋体"/>
          <w:sz w:val="22"/>
          <w:szCs w:val="22"/>
        </w:rPr>
      </w:pPr>
    </w:p>
    <w:p>
      <w:pPr>
        <w:pStyle w:val="20"/>
        <w:snapToGrid w:val="0"/>
        <w:spacing w:before="120" w:after="120" w:line="440" w:lineRule="exact"/>
        <w:ind w:firstLine="480"/>
        <w:jc w:val="center"/>
        <w:rPr>
          <w:rFonts w:ascii="仿宋_GB2312" w:hAnsi="仿宋_GB2312" w:eastAsia="仿宋_GB2312" w:cs="仿宋_GB2312"/>
          <w:bCs/>
          <w:sz w:val="22"/>
          <w:szCs w:val="22"/>
        </w:rPr>
      </w:pPr>
    </w:p>
    <w:p>
      <w:pPr>
        <w:pStyle w:val="27"/>
        <w:spacing w:before="0" w:after="0" w:line="240" w:lineRule="auto"/>
        <w:outlineLvl w:val="9"/>
        <w:rPr>
          <w:rFonts w:ascii="宋体" w:hAnsi="宋体" w:cs="宋体"/>
          <w:sz w:val="22"/>
          <w:szCs w:val="22"/>
        </w:rPr>
      </w:pPr>
      <w:bookmarkStart w:id="267" w:name="_Toc13055"/>
      <w:bookmarkStart w:id="268" w:name="_Toc22869"/>
      <w:r>
        <w:rPr>
          <w:rFonts w:hint="eastAsia" w:ascii="宋体" w:hAnsi="宋体" w:cs="宋体"/>
          <w:sz w:val="22"/>
          <w:szCs w:val="22"/>
        </w:rPr>
        <w:t>合同通用条款（服务）</w:t>
      </w:r>
      <w:bookmarkEnd w:id="267"/>
      <w:bookmarkEnd w:id="268"/>
    </w:p>
    <w:p>
      <w:pPr>
        <w:rPr>
          <w:sz w:val="22"/>
          <w:szCs w:val="22"/>
        </w:rPr>
      </w:pPr>
    </w:p>
    <w:p>
      <w:pPr>
        <w:rPr>
          <w:sz w:val="22"/>
          <w:szCs w:val="22"/>
        </w:rPr>
      </w:pPr>
    </w:p>
    <w:p>
      <w:pPr>
        <w:spacing w:line="400" w:lineRule="exact"/>
        <w:rPr>
          <w:rFonts w:ascii="宋体" w:hAnsi="宋体" w:cs="宋体"/>
          <w:b/>
          <w:sz w:val="22"/>
          <w:szCs w:val="22"/>
          <w:u w:val="single"/>
        </w:rPr>
      </w:pPr>
      <w:r>
        <w:rPr>
          <w:rFonts w:hint="eastAsia" w:ascii="宋体" w:hAnsi="宋体" w:cs="宋体"/>
          <w:b/>
          <w:sz w:val="22"/>
          <w:szCs w:val="22"/>
        </w:rPr>
        <w:t>甲    方</w:t>
      </w:r>
      <w:r>
        <w:rPr>
          <w:rFonts w:hint="eastAsia" w:ascii="宋体" w:hAnsi="宋体" w:cs="宋体"/>
          <w:sz w:val="22"/>
          <w:szCs w:val="22"/>
        </w:rPr>
        <w:t>（采购人）</w:t>
      </w:r>
      <w:r>
        <w:rPr>
          <w:rFonts w:hint="eastAsia" w:ascii="宋体" w:hAnsi="宋体" w:cs="宋体"/>
          <w:b/>
          <w:sz w:val="22"/>
          <w:szCs w:val="22"/>
        </w:rPr>
        <w:t>：</w:t>
      </w:r>
      <w:r>
        <w:rPr>
          <w:rFonts w:hint="eastAsia" w:ascii="宋体" w:hAnsi="宋体" w:cs="宋体"/>
          <w:b/>
          <w:sz w:val="22"/>
          <w:szCs w:val="22"/>
          <w:u w:val="single"/>
        </w:rPr>
        <w:t xml:space="preserve">                 </w:t>
      </w:r>
    </w:p>
    <w:p>
      <w:pPr>
        <w:pStyle w:val="3"/>
        <w:rPr>
          <w:sz w:val="22"/>
          <w:szCs w:val="22"/>
        </w:rPr>
      </w:pPr>
    </w:p>
    <w:p>
      <w:pPr>
        <w:spacing w:line="400" w:lineRule="exact"/>
        <w:rPr>
          <w:rFonts w:ascii="宋体" w:hAnsi="宋体" w:cs="宋体"/>
          <w:sz w:val="22"/>
          <w:szCs w:val="22"/>
        </w:rPr>
      </w:pPr>
      <w:r>
        <w:rPr>
          <w:rFonts w:hint="eastAsia" w:ascii="宋体" w:hAnsi="宋体" w:cs="宋体"/>
          <w:sz w:val="22"/>
          <w:szCs w:val="22"/>
        </w:rPr>
        <w:t>电    话：           　   传  真：           地  址：</w:t>
      </w:r>
    </w:p>
    <w:p>
      <w:pPr>
        <w:spacing w:line="400" w:lineRule="exact"/>
        <w:rPr>
          <w:rFonts w:ascii="宋体" w:hAnsi="宋体" w:cs="宋体"/>
          <w:b/>
          <w:sz w:val="22"/>
          <w:szCs w:val="22"/>
        </w:rPr>
      </w:pPr>
    </w:p>
    <w:p>
      <w:pPr>
        <w:spacing w:line="400" w:lineRule="exact"/>
        <w:rPr>
          <w:rFonts w:ascii="宋体" w:hAnsi="宋体" w:cs="宋体"/>
          <w:b/>
          <w:sz w:val="22"/>
          <w:szCs w:val="22"/>
          <w:u w:val="single"/>
        </w:rPr>
      </w:pPr>
      <w:r>
        <w:rPr>
          <w:rFonts w:hint="eastAsia" w:ascii="宋体" w:hAnsi="宋体" w:cs="宋体"/>
          <w:b/>
          <w:sz w:val="22"/>
          <w:szCs w:val="22"/>
        </w:rPr>
        <w:t>乙    方</w:t>
      </w:r>
      <w:r>
        <w:rPr>
          <w:rFonts w:hint="eastAsia" w:ascii="宋体" w:hAnsi="宋体" w:cs="宋体"/>
          <w:sz w:val="22"/>
          <w:szCs w:val="22"/>
        </w:rPr>
        <w:t>（中标人）</w:t>
      </w:r>
      <w:r>
        <w:rPr>
          <w:rFonts w:hint="eastAsia" w:ascii="宋体" w:hAnsi="宋体" w:cs="宋体"/>
          <w:b/>
          <w:sz w:val="22"/>
          <w:szCs w:val="22"/>
        </w:rPr>
        <w:t>：</w:t>
      </w:r>
      <w:r>
        <w:rPr>
          <w:rFonts w:hint="eastAsia" w:ascii="宋体" w:hAnsi="宋体" w:cs="宋体"/>
          <w:b/>
          <w:sz w:val="22"/>
          <w:szCs w:val="22"/>
          <w:u w:val="single"/>
        </w:rPr>
        <w:t xml:space="preserve">                  </w:t>
      </w:r>
    </w:p>
    <w:p>
      <w:pPr>
        <w:spacing w:line="400" w:lineRule="exact"/>
        <w:rPr>
          <w:rFonts w:hint="eastAsia" w:ascii="宋体" w:hAnsi="宋体" w:eastAsia="宋体" w:cs="宋体"/>
          <w:sz w:val="22"/>
          <w:szCs w:val="22"/>
          <w:lang w:eastAsia="zh-CN"/>
        </w:rPr>
      </w:pPr>
    </w:p>
    <w:p>
      <w:pPr>
        <w:spacing w:line="400" w:lineRule="exact"/>
        <w:rPr>
          <w:rFonts w:ascii="宋体" w:hAnsi="宋体" w:cs="宋体"/>
          <w:sz w:val="22"/>
          <w:szCs w:val="22"/>
        </w:rPr>
      </w:pPr>
      <w:r>
        <w:rPr>
          <w:rFonts w:hint="eastAsia" w:ascii="宋体" w:hAnsi="宋体" w:cs="宋体"/>
          <w:sz w:val="22"/>
          <w:szCs w:val="22"/>
        </w:rPr>
        <w:t xml:space="preserve">电    话：                传  真：           地  址：  </w:t>
      </w:r>
    </w:p>
    <w:p>
      <w:pPr>
        <w:spacing w:line="400" w:lineRule="exact"/>
        <w:rPr>
          <w:rFonts w:ascii="宋体" w:hAnsi="宋体" w:cs="宋体"/>
          <w:sz w:val="22"/>
          <w:szCs w:val="22"/>
        </w:rPr>
      </w:pPr>
      <w:r>
        <w:rPr>
          <w:rFonts w:hint="eastAsia" w:ascii="宋体" w:hAnsi="宋体" w:cs="宋体"/>
          <w:sz w:val="22"/>
          <w:szCs w:val="22"/>
        </w:rPr>
        <w:t xml:space="preserve"> </w:t>
      </w:r>
    </w:p>
    <w:p>
      <w:pPr>
        <w:spacing w:line="400" w:lineRule="exact"/>
        <w:ind w:firstLine="440" w:firstLineChars="200"/>
        <w:rPr>
          <w:rFonts w:ascii="宋体" w:hAnsi="宋体" w:cs="宋体"/>
          <w:sz w:val="22"/>
          <w:szCs w:val="22"/>
        </w:rPr>
      </w:pPr>
      <w:r>
        <w:rPr>
          <w:rFonts w:hint="eastAsia" w:ascii="宋体" w:hAnsi="宋体" w:cs="宋体"/>
          <w:sz w:val="22"/>
          <w:szCs w:val="22"/>
        </w:rPr>
        <w:t>根据</w:t>
      </w:r>
      <w:r>
        <w:rPr>
          <w:rFonts w:hint="eastAsia" w:ascii="宋体" w:hAnsi="宋体" w:cs="宋体"/>
          <w:sz w:val="22"/>
          <w:szCs w:val="22"/>
          <w:u w:val="single"/>
        </w:rPr>
        <w:t xml:space="preserve">  （项目名称）  </w:t>
      </w:r>
      <w:r>
        <w:rPr>
          <w:rFonts w:hint="eastAsia" w:ascii="宋体" w:hAnsi="宋体" w:cs="宋体"/>
          <w:sz w:val="22"/>
          <w:szCs w:val="22"/>
        </w:rPr>
        <w:t>（项目编号：（项目编号）的采购结果，按照</w:t>
      </w:r>
      <w:r>
        <w:rPr>
          <w:rFonts w:hint="eastAsia" w:ascii="宋体" w:hAnsi="宋体" w:cs="宋体"/>
          <w:kern w:val="28"/>
          <w:sz w:val="22"/>
          <w:szCs w:val="22"/>
        </w:rPr>
        <w:t>《中华人民共和国民法典》、《中华人民共和国政府采购法》、《中华人民共和国政府采购法实施条例》、《政府采购货物和服务招标投标管理办法》 (财政部87号令）的规定，经双方协商，本</w:t>
      </w:r>
      <w:r>
        <w:rPr>
          <w:rFonts w:hint="eastAsia" w:ascii="宋体" w:hAnsi="宋体" w:cs="宋体"/>
          <w:sz w:val="22"/>
          <w:szCs w:val="22"/>
        </w:rPr>
        <w:t>着平等互利和诚实信用的原则，</w:t>
      </w:r>
      <w:r>
        <w:rPr>
          <w:rFonts w:hint="eastAsia" w:ascii="宋体" w:hAnsi="宋体" w:cs="宋体"/>
          <w:kern w:val="28"/>
          <w:sz w:val="22"/>
          <w:szCs w:val="22"/>
        </w:rPr>
        <w:t>一致同意签订本合同如下</w:t>
      </w:r>
      <w:r>
        <w:rPr>
          <w:rFonts w:hint="eastAsia" w:ascii="宋体" w:hAnsi="宋体" w:cs="宋体"/>
          <w:sz w:val="22"/>
          <w:szCs w:val="22"/>
        </w:rPr>
        <w:t>。</w:t>
      </w:r>
    </w:p>
    <w:p>
      <w:pPr>
        <w:spacing w:line="400" w:lineRule="exact"/>
        <w:ind w:firstLine="440" w:firstLineChars="200"/>
        <w:rPr>
          <w:rFonts w:ascii="宋体" w:hAnsi="宋体" w:cs="宋体"/>
          <w:sz w:val="22"/>
          <w:szCs w:val="22"/>
        </w:rPr>
      </w:pPr>
      <w:r>
        <w:rPr>
          <w:rFonts w:hint="eastAsia" w:ascii="宋体" w:hAnsi="宋体" w:cs="宋体"/>
          <w:sz w:val="22"/>
          <w:szCs w:val="22"/>
        </w:rPr>
        <w:t>一、</w:t>
      </w:r>
      <w:bookmarkStart w:id="269" w:name="_Toc435540759"/>
      <w:r>
        <w:rPr>
          <w:rFonts w:hint="eastAsia" w:ascii="宋体" w:hAnsi="宋体" w:cs="宋体"/>
          <w:sz w:val="22"/>
          <w:szCs w:val="22"/>
        </w:rPr>
        <w:t>合同金额</w:t>
      </w:r>
      <w:bookmarkEnd w:id="269"/>
    </w:p>
    <w:p>
      <w:pPr>
        <w:pStyle w:val="20"/>
        <w:spacing w:beforeLines="0" w:afterLines="0"/>
        <w:ind w:firstLine="440" w:firstLineChars="200"/>
        <w:rPr>
          <w:rFonts w:hAnsi="宋体" w:cs="宋体"/>
          <w:sz w:val="22"/>
          <w:szCs w:val="22"/>
        </w:rPr>
      </w:pPr>
      <w:r>
        <w:rPr>
          <w:rFonts w:hint="eastAsia" w:hAnsi="宋体" w:cs="宋体"/>
          <w:sz w:val="22"/>
          <w:szCs w:val="22"/>
        </w:rPr>
        <w:t>合同金额为（大写）：_________________元（￥_______________元）。</w:t>
      </w:r>
    </w:p>
    <w:p>
      <w:pPr>
        <w:spacing w:line="400" w:lineRule="exact"/>
        <w:ind w:firstLine="440" w:firstLineChars="200"/>
        <w:rPr>
          <w:rFonts w:ascii="宋体" w:hAnsi="宋体" w:cs="宋体"/>
          <w:sz w:val="22"/>
          <w:szCs w:val="22"/>
        </w:rPr>
      </w:pPr>
      <w:bookmarkStart w:id="270" w:name="_Toc435540760"/>
      <w:r>
        <w:rPr>
          <w:rFonts w:hint="eastAsia" w:ascii="宋体" w:hAnsi="宋体" w:cs="宋体"/>
          <w:sz w:val="22"/>
          <w:szCs w:val="22"/>
        </w:rPr>
        <w:t>二、服务范围</w:t>
      </w:r>
      <w:bookmarkEnd w:id="270"/>
    </w:p>
    <w:p>
      <w:pPr>
        <w:spacing w:line="400" w:lineRule="exact"/>
        <w:rPr>
          <w:rFonts w:ascii="宋体" w:hAnsi="宋体" w:cs="宋体"/>
          <w:sz w:val="22"/>
          <w:szCs w:val="22"/>
          <w:u w:val="single"/>
        </w:rPr>
      </w:pPr>
      <w:r>
        <w:rPr>
          <w:rFonts w:hint="eastAsia" w:ascii="宋体" w:hAnsi="宋体" w:cs="宋体"/>
          <w:sz w:val="22"/>
          <w:szCs w:val="22"/>
        </w:rPr>
        <w:t>　　（一）本合同项下的服务指</w:t>
      </w:r>
      <w:r>
        <w:rPr>
          <w:rFonts w:hint="eastAsia" w:ascii="宋体" w:hAnsi="宋体" w:cs="宋体"/>
          <w:sz w:val="22"/>
          <w:szCs w:val="22"/>
          <w:u w:val="single"/>
        </w:rPr>
        <w:t xml:space="preserve">                            </w:t>
      </w:r>
      <w:r>
        <w:rPr>
          <w:rFonts w:hint="eastAsia" w:ascii="宋体" w:hAnsi="宋体" w:cs="宋体"/>
          <w:sz w:val="22"/>
          <w:szCs w:val="22"/>
        </w:rPr>
        <w:t>。</w:t>
      </w:r>
    </w:p>
    <w:p>
      <w:pPr>
        <w:spacing w:line="400" w:lineRule="exact"/>
        <w:rPr>
          <w:rFonts w:ascii="宋体" w:hAnsi="宋体" w:cs="宋体"/>
          <w:sz w:val="22"/>
          <w:szCs w:val="22"/>
        </w:rPr>
      </w:pPr>
      <w:r>
        <w:rPr>
          <w:rFonts w:hint="eastAsia" w:ascii="宋体" w:hAnsi="宋体" w:cs="宋体"/>
          <w:sz w:val="22"/>
          <w:szCs w:val="22"/>
        </w:rPr>
        <w:t>　　（二）……</w:t>
      </w:r>
    </w:p>
    <w:p>
      <w:pPr>
        <w:spacing w:line="400" w:lineRule="exact"/>
        <w:ind w:firstLine="440" w:firstLineChars="200"/>
        <w:rPr>
          <w:rFonts w:ascii="宋体" w:hAnsi="宋体" w:cs="宋体"/>
          <w:sz w:val="22"/>
          <w:szCs w:val="22"/>
        </w:rPr>
      </w:pPr>
      <w:r>
        <w:rPr>
          <w:rFonts w:hint="eastAsia" w:ascii="宋体" w:hAnsi="宋体" w:cs="宋体"/>
          <w:sz w:val="22"/>
          <w:szCs w:val="22"/>
        </w:rPr>
        <w:t>（三）……</w:t>
      </w:r>
    </w:p>
    <w:p>
      <w:pPr>
        <w:spacing w:line="400" w:lineRule="exact"/>
        <w:ind w:firstLine="440" w:firstLineChars="200"/>
        <w:rPr>
          <w:rFonts w:ascii="宋体" w:hAnsi="宋体" w:cs="宋体"/>
          <w:sz w:val="22"/>
          <w:szCs w:val="22"/>
        </w:rPr>
      </w:pPr>
      <w:r>
        <w:rPr>
          <w:rFonts w:hint="eastAsia" w:ascii="宋体" w:hAnsi="宋体" w:cs="宋体"/>
          <w:sz w:val="22"/>
          <w:szCs w:val="22"/>
        </w:rPr>
        <w:t>三、采购需求实质性条款：</w:t>
      </w:r>
    </w:p>
    <w:p>
      <w:pPr>
        <w:spacing w:line="400" w:lineRule="exact"/>
        <w:ind w:firstLine="440" w:firstLineChars="200"/>
        <w:rPr>
          <w:rFonts w:ascii="宋体" w:hAnsi="宋体" w:cs="宋体"/>
          <w:sz w:val="22"/>
          <w:szCs w:val="22"/>
        </w:rPr>
      </w:pPr>
      <w:r>
        <w:rPr>
          <w:rFonts w:hint="eastAsia" w:ascii="宋体" w:hAnsi="宋体" w:cs="宋体"/>
          <w:sz w:val="22"/>
          <w:szCs w:val="22"/>
        </w:rPr>
        <w:t>（一）…..</w:t>
      </w:r>
    </w:p>
    <w:p>
      <w:pPr>
        <w:spacing w:line="400" w:lineRule="exact"/>
        <w:ind w:firstLine="440" w:firstLineChars="200"/>
        <w:rPr>
          <w:rFonts w:ascii="宋体" w:hAnsi="宋体" w:cs="宋体"/>
          <w:sz w:val="22"/>
          <w:szCs w:val="22"/>
        </w:rPr>
      </w:pPr>
      <w:r>
        <w:rPr>
          <w:rFonts w:hint="eastAsia" w:ascii="宋体" w:hAnsi="宋体" w:cs="宋体"/>
          <w:sz w:val="22"/>
          <w:szCs w:val="22"/>
        </w:rPr>
        <w:t>（二）…..</w:t>
      </w:r>
    </w:p>
    <w:p>
      <w:pPr>
        <w:spacing w:line="400" w:lineRule="exact"/>
        <w:rPr>
          <w:rFonts w:ascii="宋体" w:hAnsi="宋体" w:cs="宋体"/>
          <w:sz w:val="22"/>
          <w:szCs w:val="22"/>
        </w:rPr>
      </w:pPr>
    </w:p>
    <w:p>
      <w:pPr>
        <w:spacing w:line="400" w:lineRule="exact"/>
        <w:ind w:firstLine="440" w:firstLineChars="200"/>
        <w:rPr>
          <w:rFonts w:ascii="宋体" w:hAnsi="宋体" w:cs="宋体"/>
          <w:sz w:val="22"/>
          <w:szCs w:val="22"/>
        </w:rPr>
      </w:pPr>
      <w:bookmarkStart w:id="271" w:name="_Toc435540761"/>
      <w:r>
        <w:rPr>
          <w:rFonts w:hint="eastAsia" w:ascii="宋体" w:hAnsi="宋体" w:cs="宋体"/>
          <w:sz w:val="22"/>
          <w:szCs w:val="22"/>
        </w:rPr>
        <w:t>四、甲方乙方的权利和义务</w:t>
      </w:r>
      <w:bookmarkEnd w:id="271"/>
    </w:p>
    <w:p>
      <w:pPr>
        <w:spacing w:line="400" w:lineRule="exact"/>
        <w:rPr>
          <w:rFonts w:ascii="宋体" w:hAnsi="宋体" w:cs="宋体"/>
          <w:sz w:val="22"/>
          <w:szCs w:val="22"/>
        </w:rPr>
      </w:pPr>
      <w:r>
        <w:rPr>
          <w:rFonts w:hint="eastAsia" w:ascii="宋体" w:hAnsi="宋体" w:cs="宋体"/>
          <w:sz w:val="22"/>
          <w:szCs w:val="22"/>
        </w:rPr>
        <w:t>　　（一）甲方的权利和义务</w:t>
      </w:r>
    </w:p>
    <w:p>
      <w:pPr>
        <w:spacing w:line="400" w:lineRule="exact"/>
        <w:rPr>
          <w:rFonts w:ascii="宋体" w:hAnsi="宋体" w:cs="宋体"/>
          <w:sz w:val="22"/>
          <w:szCs w:val="22"/>
        </w:rPr>
      </w:pPr>
    </w:p>
    <w:p>
      <w:pPr>
        <w:spacing w:line="400" w:lineRule="exact"/>
        <w:ind w:left="405"/>
        <w:rPr>
          <w:rFonts w:ascii="宋体" w:hAnsi="宋体" w:cs="宋体"/>
          <w:sz w:val="22"/>
          <w:szCs w:val="22"/>
        </w:rPr>
      </w:pPr>
      <w:r>
        <w:rPr>
          <w:rFonts w:hint="eastAsia" w:ascii="宋体" w:hAnsi="宋体" w:cs="宋体"/>
          <w:sz w:val="22"/>
          <w:szCs w:val="22"/>
        </w:rPr>
        <w:t>（二）乙方的权利和义务</w:t>
      </w:r>
    </w:p>
    <w:p>
      <w:pPr>
        <w:spacing w:line="400" w:lineRule="exact"/>
        <w:ind w:left="405"/>
        <w:rPr>
          <w:rFonts w:ascii="宋体" w:hAnsi="宋体" w:cs="宋体"/>
          <w:sz w:val="22"/>
          <w:szCs w:val="22"/>
        </w:rPr>
      </w:pPr>
    </w:p>
    <w:p>
      <w:pPr>
        <w:spacing w:line="400" w:lineRule="exact"/>
        <w:ind w:firstLine="440" w:firstLineChars="200"/>
        <w:rPr>
          <w:rFonts w:ascii="宋体" w:hAnsi="宋体" w:cs="宋体"/>
          <w:sz w:val="22"/>
          <w:szCs w:val="22"/>
        </w:rPr>
      </w:pPr>
      <w:bookmarkStart w:id="272" w:name="_Toc435540762"/>
      <w:r>
        <w:rPr>
          <w:rFonts w:hint="eastAsia" w:ascii="宋体" w:hAnsi="宋体" w:cs="宋体"/>
          <w:sz w:val="22"/>
          <w:szCs w:val="22"/>
        </w:rPr>
        <w:t>五、服务期间（项目完成期限）</w:t>
      </w:r>
      <w:bookmarkEnd w:id="272"/>
    </w:p>
    <w:p>
      <w:pPr>
        <w:spacing w:line="400" w:lineRule="exact"/>
        <w:ind w:firstLine="435"/>
        <w:rPr>
          <w:rFonts w:ascii="宋体" w:hAnsi="宋体" w:cs="宋体"/>
          <w:sz w:val="22"/>
          <w:szCs w:val="22"/>
        </w:rPr>
      </w:pPr>
      <w:r>
        <w:rPr>
          <w:rFonts w:hint="eastAsia" w:ascii="宋体" w:hAnsi="宋体" w:cs="宋体"/>
          <w:sz w:val="22"/>
          <w:szCs w:val="22"/>
        </w:rPr>
        <w:t>委托服务期间自______年______月至______年______月止。</w:t>
      </w:r>
    </w:p>
    <w:p>
      <w:pPr>
        <w:spacing w:line="400" w:lineRule="exact"/>
        <w:ind w:firstLine="440" w:firstLineChars="200"/>
        <w:rPr>
          <w:rFonts w:ascii="宋体" w:hAnsi="宋体" w:cs="宋体"/>
          <w:sz w:val="22"/>
          <w:szCs w:val="22"/>
        </w:rPr>
      </w:pPr>
      <w:r>
        <w:rPr>
          <w:rFonts w:hint="eastAsia" w:ascii="宋体" w:hAnsi="宋体" w:cs="宋体"/>
          <w:sz w:val="22"/>
          <w:szCs w:val="22"/>
        </w:rPr>
        <w:t>六、</w:t>
      </w:r>
      <w:bookmarkStart w:id="273" w:name="_Toc435540763"/>
      <w:r>
        <w:rPr>
          <w:rFonts w:hint="eastAsia" w:ascii="宋体" w:hAnsi="宋体" w:cs="宋体"/>
          <w:sz w:val="22"/>
          <w:szCs w:val="22"/>
        </w:rPr>
        <w:t>付款方式</w:t>
      </w:r>
      <w:bookmarkEnd w:id="273"/>
    </w:p>
    <w:p>
      <w:pPr>
        <w:spacing w:line="360" w:lineRule="auto"/>
        <w:ind w:firstLine="452" w:firstLineChars="200"/>
        <w:outlineLvl w:val="0"/>
        <w:rPr>
          <w:rFonts w:hint="eastAsia" w:ascii="宋体" w:hAnsi="宋体" w:eastAsia="宋体" w:cs="宋体"/>
          <w:color w:val="auto"/>
          <w:spacing w:val="3"/>
          <w:sz w:val="22"/>
          <w:szCs w:val="22"/>
          <w:lang w:val="en-US" w:eastAsia="zh-CN"/>
        </w:rPr>
      </w:pPr>
      <w:bookmarkStart w:id="274" w:name="_Toc435540764"/>
      <w:r>
        <w:rPr>
          <w:rFonts w:hint="eastAsia" w:ascii="宋体" w:hAnsi="宋体" w:eastAsia="宋体" w:cs="宋体"/>
          <w:color w:val="auto"/>
          <w:spacing w:val="3"/>
          <w:sz w:val="22"/>
          <w:szCs w:val="22"/>
          <w:lang w:val="en-US" w:eastAsia="zh-CN"/>
        </w:rPr>
        <w:t>合同签署后7个工作日内，采购人向成交供应商支付合同总价的40%作为项目</w:t>
      </w:r>
      <w:r>
        <w:rPr>
          <w:rFonts w:hint="eastAsia" w:ascii="宋体" w:hAnsi="宋体" w:cs="宋体"/>
          <w:color w:val="auto"/>
          <w:spacing w:val="3"/>
          <w:sz w:val="22"/>
          <w:szCs w:val="22"/>
          <w:lang w:val="en-US" w:eastAsia="zh-CN"/>
        </w:rPr>
        <w:t>预付款</w:t>
      </w:r>
      <w:r>
        <w:rPr>
          <w:rFonts w:hint="eastAsia" w:ascii="宋体" w:hAnsi="宋体" w:eastAsia="宋体" w:cs="宋体"/>
          <w:color w:val="auto"/>
          <w:spacing w:val="3"/>
          <w:sz w:val="22"/>
          <w:szCs w:val="22"/>
          <w:lang w:val="en-US" w:eastAsia="zh-CN"/>
        </w:rPr>
        <w:t>；项目通过评审并提交最终成果报告后15天内，采购人向成交供应商支付剩余的合同款。在合同签订时，成交供应商</w:t>
      </w:r>
      <w:r>
        <w:rPr>
          <w:rFonts w:hint="eastAsia" w:ascii="宋体" w:hAnsi="宋体" w:cs="宋体"/>
          <w:color w:val="auto"/>
          <w:spacing w:val="3"/>
          <w:sz w:val="22"/>
          <w:szCs w:val="22"/>
          <w:lang w:val="en-US" w:eastAsia="zh-CN"/>
        </w:rPr>
        <w:t>如</w:t>
      </w:r>
      <w:r>
        <w:rPr>
          <w:rFonts w:hint="eastAsia" w:ascii="宋体" w:hAnsi="宋体" w:eastAsia="宋体" w:cs="宋体"/>
          <w:color w:val="auto"/>
          <w:spacing w:val="3"/>
          <w:sz w:val="22"/>
          <w:szCs w:val="22"/>
          <w:lang w:val="en-US" w:eastAsia="zh-CN"/>
        </w:rPr>
        <w:t>明确表示无需预付款的，可按合同实际约定方式支付。</w:t>
      </w:r>
    </w:p>
    <w:p>
      <w:pPr>
        <w:tabs>
          <w:tab w:val="left" w:pos="420"/>
        </w:tabs>
        <w:spacing w:before="120" w:beforeLines="50" w:line="360" w:lineRule="auto"/>
        <w:rPr>
          <w:rFonts w:ascii="宋体" w:hAnsi="宋体" w:cs="宋体"/>
          <w:sz w:val="22"/>
          <w:szCs w:val="22"/>
        </w:rPr>
      </w:pPr>
      <w:r>
        <w:rPr>
          <w:rFonts w:hint="eastAsia" w:ascii="宋体" w:hAnsi="宋体" w:cs="宋体"/>
          <w:sz w:val="22"/>
          <w:szCs w:val="22"/>
        </w:rPr>
        <w:t>七、知识产权产权归属</w:t>
      </w:r>
      <w:bookmarkEnd w:id="274"/>
    </w:p>
    <w:p>
      <w:pPr>
        <w:widowControl/>
        <w:spacing w:line="400" w:lineRule="exact"/>
        <w:ind w:firstLine="440" w:firstLineChars="200"/>
        <w:jc w:val="left"/>
        <w:rPr>
          <w:bCs/>
          <w:sz w:val="22"/>
          <w:szCs w:val="22"/>
        </w:rPr>
      </w:pPr>
      <w:bookmarkStart w:id="275" w:name="_Toc435540765"/>
      <w:r>
        <w:rPr>
          <w:rFonts w:hint="eastAsia"/>
          <w:bCs/>
          <w:sz w:val="22"/>
          <w:szCs w:val="22"/>
        </w:rPr>
        <w:t>本项目所有相关资料知识产权归甲方所有。乙方应保证提供服务过程中不会侵犯任何第三方的知识产权。若发生第三方知识产权纠纷，甲方保留追究责任的权利。</w:t>
      </w:r>
    </w:p>
    <w:p>
      <w:pPr>
        <w:spacing w:line="400" w:lineRule="exact"/>
        <w:ind w:firstLine="440" w:firstLineChars="200"/>
        <w:rPr>
          <w:rFonts w:ascii="宋体" w:hAnsi="宋体" w:cs="宋体"/>
          <w:sz w:val="22"/>
          <w:szCs w:val="22"/>
        </w:rPr>
      </w:pPr>
      <w:r>
        <w:rPr>
          <w:rFonts w:hint="eastAsia" w:ascii="宋体" w:hAnsi="宋体" w:cs="宋体"/>
          <w:sz w:val="22"/>
          <w:szCs w:val="22"/>
        </w:rPr>
        <w:t>八、保密</w:t>
      </w:r>
      <w:bookmarkEnd w:id="275"/>
    </w:p>
    <w:p>
      <w:pPr>
        <w:spacing w:line="400" w:lineRule="exact"/>
        <w:ind w:firstLine="440" w:firstLineChars="200"/>
        <w:rPr>
          <w:rFonts w:ascii="宋体" w:hAnsi="宋体" w:cs="宋体"/>
          <w:sz w:val="22"/>
          <w:szCs w:val="22"/>
        </w:rPr>
      </w:pPr>
      <w:r>
        <w:rPr>
          <w:rFonts w:hint="eastAsia" w:ascii="宋体" w:hAnsi="宋体" w:cs="宋体"/>
          <w:sz w:val="22"/>
          <w:szCs w:val="22"/>
        </w:rPr>
        <w:t>乙方必须采取措施对本项目实施过程中的技术资料保密，否则，由于乙方过错导致的上述资料泄密的，乙方必须承担一切责任。项目完成后，甲、乙双方均有责任对本项目的技术保密承担责任。</w:t>
      </w:r>
    </w:p>
    <w:p>
      <w:pPr>
        <w:tabs>
          <w:tab w:val="left" w:pos="900"/>
        </w:tabs>
        <w:spacing w:line="400" w:lineRule="exact"/>
        <w:ind w:firstLine="440" w:firstLineChars="200"/>
        <w:rPr>
          <w:rFonts w:ascii="宋体" w:hAnsi="宋体" w:cs="宋体"/>
          <w:sz w:val="22"/>
          <w:szCs w:val="22"/>
        </w:rPr>
      </w:pPr>
      <w:r>
        <w:rPr>
          <w:rFonts w:hint="eastAsia" w:ascii="宋体" w:hAnsi="宋体" w:cs="宋体"/>
          <w:sz w:val="22"/>
          <w:szCs w:val="22"/>
        </w:rPr>
        <w:t>（一）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400" w:lineRule="exact"/>
        <w:ind w:firstLine="440" w:firstLineChars="200"/>
        <w:rPr>
          <w:rFonts w:ascii="宋体" w:hAnsi="宋体" w:cs="宋体"/>
          <w:sz w:val="22"/>
          <w:szCs w:val="22"/>
        </w:rPr>
      </w:pPr>
      <w:r>
        <w:rPr>
          <w:rFonts w:hint="eastAsia" w:ascii="宋体" w:hAnsi="宋体" w:cs="宋体"/>
          <w:sz w:val="22"/>
          <w:szCs w:val="22"/>
        </w:rPr>
        <w:t>（二）如果甲方有要求，乙方在完成合同后应将有关资料还给甲方。</w:t>
      </w:r>
    </w:p>
    <w:p>
      <w:pPr>
        <w:spacing w:line="400" w:lineRule="exact"/>
        <w:ind w:firstLine="440" w:firstLineChars="200"/>
        <w:rPr>
          <w:rFonts w:ascii="宋体" w:hAnsi="宋体" w:cs="宋体"/>
          <w:sz w:val="22"/>
          <w:szCs w:val="22"/>
        </w:rPr>
      </w:pPr>
      <w:bookmarkStart w:id="276" w:name="_Toc435540766"/>
      <w:r>
        <w:rPr>
          <w:rFonts w:hint="eastAsia" w:ascii="宋体" w:hAnsi="宋体" w:cs="宋体"/>
          <w:sz w:val="22"/>
          <w:szCs w:val="22"/>
        </w:rPr>
        <w:t>九、违约责任与赔偿损失</w:t>
      </w:r>
      <w:bookmarkEnd w:id="276"/>
    </w:p>
    <w:p>
      <w:pPr>
        <w:spacing w:line="400" w:lineRule="exact"/>
        <w:ind w:firstLine="440" w:firstLineChars="200"/>
        <w:rPr>
          <w:rFonts w:ascii="宋体" w:hAnsi="宋体" w:cs="宋体"/>
          <w:sz w:val="22"/>
          <w:szCs w:val="22"/>
        </w:rPr>
      </w:pPr>
      <w:r>
        <w:rPr>
          <w:rFonts w:hint="eastAsia" w:ascii="宋体" w:hAnsi="宋体" w:cs="宋体"/>
          <w:sz w:val="22"/>
          <w:szCs w:val="22"/>
        </w:rPr>
        <w:t>（一）乙方提供的服务不符合采购文件、投标文件或本合同规定的，甲方有权拒收，并且乙方须向甲方方支付本合同总价5%的违约金。</w:t>
      </w:r>
    </w:p>
    <w:p>
      <w:pPr>
        <w:tabs>
          <w:tab w:val="left" w:pos="720"/>
          <w:tab w:val="left" w:pos="900"/>
        </w:tabs>
        <w:spacing w:line="400" w:lineRule="exact"/>
        <w:ind w:right="51" w:firstLine="440" w:firstLineChars="200"/>
        <w:rPr>
          <w:rFonts w:ascii="宋体" w:hAnsi="宋体" w:cs="宋体"/>
          <w:sz w:val="22"/>
          <w:szCs w:val="22"/>
        </w:rPr>
      </w:pPr>
      <w:r>
        <w:rPr>
          <w:rFonts w:hint="eastAsia" w:ascii="宋体" w:hAnsi="宋体" w:cs="宋体"/>
          <w:sz w:val="22"/>
          <w:szCs w:val="22"/>
        </w:rPr>
        <w:t>（二）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400" w:lineRule="exact"/>
        <w:ind w:firstLine="440" w:firstLineChars="200"/>
        <w:rPr>
          <w:rFonts w:ascii="宋体" w:hAnsi="宋体" w:cs="宋体"/>
          <w:sz w:val="22"/>
          <w:szCs w:val="22"/>
        </w:rPr>
      </w:pPr>
      <w:r>
        <w:rPr>
          <w:rFonts w:hint="eastAsia" w:ascii="宋体" w:hAnsi="宋体" w:cs="宋体"/>
          <w:sz w:val="22"/>
          <w:szCs w:val="22"/>
        </w:rPr>
        <w:t>（三）甲方无正当理由拒收接受服务，到期拒付服务款项的，甲方向乙方偿付本合同总价5%的违约金。甲方逾期付款，则每日按本合同总价的3‰向乙方偿付违约金。</w:t>
      </w:r>
    </w:p>
    <w:p>
      <w:pPr>
        <w:spacing w:line="400" w:lineRule="exact"/>
        <w:ind w:firstLine="440" w:firstLineChars="200"/>
        <w:rPr>
          <w:rFonts w:ascii="宋体" w:hAnsi="宋体" w:cs="宋体"/>
          <w:bCs/>
          <w:sz w:val="22"/>
          <w:szCs w:val="22"/>
        </w:rPr>
      </w:pPr>
      <w:r>
        <w:rPr>
          <w:rFonts w:hint="eastAsia" w:ascii="宋体" w:hAnsi="宋体" w:cs="宋体"/>
          <w:bCs/>
          <w:sz w:val="22"/>
          <w:szCs w:val="22"/>
        </w:rPr>
        <w:t>（四）其它违约责任按《中华人民共和国民法典》处理。</w:t>
      </w:r>
    </w:p>
    <w:p>
      <w:pPr>
        <w:spacing w:line="400" w:lineRule="exact"/>
        <w:ind w:firstLine="440" w:firstLineChars="200"/>
        <w:rPr>
          <w:rFonts w:ascii="宋体" w:hAnsi="宋体" w:cs="宋体"/>
          <w:sz w:val="22"/>
          <w:szCs w:val="22"/>
        </w:rPr>
      </w:pPr>
      <w:bookmarkStart w:id="277" w:name="_Toc435540767"/>
      <w:r>
        <w:rPr>
          <w:rFonts w:hint="eastAsia" w:ascii="宋体" w:hAnsi="宋体" w:cs="宋体"/>
          <w:sz w:val="22"/>
          <w:szCs w:val="22"/>
        </w:rPr>
        <w:t>十、争端的解决</w:t>
      </w:r>
      <w:bookmarkEnd w:id="277"/>
    </w:p>
    <w:p>
      <w:pPr>
        <w:spacing w:line="400" w:lineRule="exact"/>
        <w:ind w:firstLine="440" w:firstLineChars="200"/>
        <w:rPr>
          <w:rFonts w:ascii="宋体" w:hAnsi="宋体" w:cs="宋体"/>
          <w:sz w:val="22"/>
          <w:szCs w:val="22"/>
        </w:rPr>
      </w:pPr>
      <w:r>
        <w:rPr>
          <w:rFonts w:hint="eastAsia" w:ascii="宋体" w:hAnsi="宋体" w:cs="宋体"/>
          <w:sz w:val="22"/>
          <w:szCs w:val="22"/>
        </w:rPr>
        <w:t>合同执行过程中发生的任何争议，如双方不能通过友好协商解决，甲、乙双方一致同意向甲方所在地人民法院提起诉讼。</w:t>
      </w:r>
    </w:p>
    <w:p>
      <w:pPr>
        <w:spacing w:line="400" w:lineRule="exact"/>
        <w:ind w:firstLine="440" w:firstLineChars="200"/>
        <w:rPr>
          <w:rFonts w:ascii="宋体" w:hAnsi="宋体" w:cs="宋体"/>
          <w:sz w:val="22"/>
          <w:szCs w:val="22"/>
        </w:rPr>
      </w:pPr>
      <w:bookmarkStart w:id="278" w:name="_Toc435540768"/>
      <w:r>
        <w:rPr>
          <w:rFonts w:hint="eastAsia" w:ascii="宋体" w:hAnsi="宋体" w:cs="宋体"/>
          <w:sz w:val="22"/>
          <w:szCs w:val="22"/>
        </w:rPr>
        <w:t>十一、不可抗力</w:t>
      </w:r>
      <w:bookmarkEnd w:id="278"/>
    </w:p>
    <w:p>
      <w:pPr>
        <w:spacing w:line="400" w:lineRule="exact"/>
        <w:ind w:firstLine="440" w:firstLineChars="200"/>
        <w:rPr>
          <w:rFonts w:ascii="宋体" w:hAnsi="宋体" w:cs="宋体"/>
          <w:sz w:val="22"/>
          <w:szCs w:val="22"/>
        </w:rPr>
      </w:pPr>
      <w:r>
        <w:rPr>
          <w:rFonts w:hint="eastAsia" w:ascii="宋体" w:hAnsi="宋体" w:cs="宋体"/>
          <w:sz w:val="22"/>
          <w:szCs w:val="22"/>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400" w:lineRule="exact"/>
        <w:ind w:firstLine="440" w:firstLineChars="200"/>
        <w:rPr>
          <w:rFonts w:ascii="宋体" w:hAnsi="宋体" w:cs="宋体"/>
          <w:sz w:val="22"/>
          <w:szCs w:val="22"/>
        </w:rPr>
      </w:pPr>
      <w:bookmarkStart w:id="279" w:name="_Toc435540769"/>
      <w:r>
        <w:rPr>
          <w:rFonts w:hint="eastAsia" w:ascii="宋体" w:hAnsi="宋体" w:cs="宋体"/>
          <w:sz w:val="22"/>
          <w:szCs w:val="22"/>
        </w:rPr>
        <w:t>十二、税费</w:t>
      </w:r>
      <w:bookmarkEnd w:id="279"/>
    </w:p>
    <w:p>
      <w:pPr>
        <w:spacing w:line="400" w:lineRule="exact"/>
        <w:ind w:firstLine="440" w:firstLineChars="200"/>
        <w:rPr>
          <w:rFonts w:ascii="宋体" w:hAnsi="宋体" w:cs="宋体"/>
          <w:sz w:val="22"/>
          <w:szCs w:val="22"/>
        </w:rPr>
      </w:pPr>
      <w:r>
        <w:rPr>
          <w:rFonts w:hint="eastAsia" w:ascii="宋体" w:hAnsi="宋体" w:cs="宋体"/>
          <w:sz w:val="22"/>
          <w:szCs w:val="22"/>
        </w:rPr>
        <w:t>在中国境内、外发生的与本合同执行有关的一切税费均由乙方负担。</w:t>
      </w:r>
    </w:p>
    <w:p>
      <w:pPr>
        <w:spacing w:line="400" w:lineRule="exact"/>
        <w:ind w:firstLine="440" w:firstLineChars="200"/>
        <w:rPr>
          <w:rFonts w:ascii="宋体" w:hAnsi="宋体" w:cs="宋体"/>
          <w:sz w:val="22"/>
          <w:szCs w:val="22"/>
        </w:rPr>
      </w:pPr>
      <w:bookmarkStart w:id="280" w:name="_Toc435540770"/>
      <w:r>
        <w:rPr>
          <w:rFonts w:hint="eastAsia" w:ascii="宋体" w:hAnsi="宋体" w:cs="宋体"/>
          <w:sz w:val="22"/>
          <w:szCs w:val="22"/>
        </w:rPr>
        <w:t>十三、其它</w:t>
      </w:r>
      <w:bookmarkEnd w:id="280"/>
    </w:p>
    <w:p>
      <w:pPr>
        <w:spacing w:line="400" w:lineRule="exact"/>
        <w:ind w:firstLine="440" w:firstLineChars="200"/>
        <w:rPr>
          <w:rFonts w:ascii="宋体" w:hAnsi="宋体" w:cs="宋体"/>
          <w:b/>
          <w:sz w:val="22"/>
          <w:szCs w:val="22"/>
        </w:rPr>
      </w:pPr>
      <w:r>
        <w:rPr>
          <w:rFonts w:hint="eastAsia" w:ascii="宋体" w:hAnsi="宋体" w:cs="宋体"/>
          <w:sz w:val="22"/>
          <w:szCs w:val="22"/>
        </w:rPr>
        <w:t>（一）本合同所有附件、采购文件、投标文件、中标通知书均为合同的有效组成部分，与本合同具有同等法律效力。</w:t>
      </w:r>
    </w:p>
    <w:p>
      <w:pPr>
        <w:spacing w:line="400" w:lineRule="exact"/>
        <w:ind w:firstLine="440" w:firstLineChars="200"/>
        <w:rPr>
          <w:rFonts w:ascii="宋体" w:hAnsi="宋体" w:cs="宋体"/>
          <w:sz w:val="22"/>
          <w:szCs w:val="22"/>
        </w:rPr>
      </w:pPr>
      <w:r>
        <w:rPr>
          <w:rFonts w:hint="eastAsia" w:ascii="宋体" w:hAnsi="宋体" w:cs="宋体"/>
          <w:sz w:val="22"/>
          <w:szCs w:val="22"/>
        </w:rPr>
        <w:t>（二）在执行本合同的过程中，所有经双方签署确认的文件（包括会议纪要、补充协议、往来信函）即成为本合同的有效组成部分。</w:t>
      </w:r>
    </w:p>
    <w:p>
      <w:pPr>
        <w:spacing w:line="400" w:lineRule="exact"/>
        <w:ind w:firstLine="440" w:firstLineChars="200"/>
        <w:rPr>
          <w:rFonts w:ascii="宋体" w:hAnsi="宋体" w:cs="宋体"/>
          <w:sz w:val="22"/>
          <w:szCs w:val="22"/>
        </w:rPr>
      </w:pPr>
      <w:r>
        <w:rPr>
          <w:rFonts w:hint="eastAsia" w:ascii="宋体" w:hAnsi="宋体" w:cs="宋体"/>
          <w:sz w:val="22"/>
          <w:szCs w:val="22"/>
        </w:rPr>
        <w:t xml:space="preserve">（三）如一方地址、电话、传真号码有变更，应在变更当日内书面通知对方，否则，应承担相应责任。 </w:t>
      </w:r>
    </w:p>
    <w:p>
      <w:pPr>
        <w:spacing w:line="400" w:lineRule="exact"/>
        <w:ind w:firstLine="440" w:firstLineChars="200"/>
        <w:rPr>
          <w:rFonts w:ascii="宋体" w:hAnsi="宋体" w:cs="宋体"/>
          <w:sz w:val="22"/>
          <w:szCs w:val="22"/>
        </w:rPr>
      </w:pPr>
      <w:r>
        <w:rPr>
          <w:rFonts w:hint="eastAsia" w:ascii="宋体" w:hAnsi="宋体" w:cs="宋体"/>
          <w:sz w:val="22"/>
          <w:szCs w:val="22"/>
        </w:rPr>
        <w:t>（四）除甲方事先书面同意外，乙方不得部分或全部转让其应履行的合同项下的义务。</w:t>
      </w:r>
    </w:p>
    <w:p>
      <w:pPr>
        <w:spacing w:line="400" w:lineRule="exact"/>
        <w:ind w:firstLine="440" w:firstLineChars="200"/>
        <w:rPr>
          <w:rFonts w:ascii="宋体" w:hAnsi="宋体" w:cs="宋体"/>
          <w:sz w:val="22"/>
          <w:szCs w:val="22"/>
        </w:rPr>
      </w:pPr>
      <w:bookmarkStart w:id="281" w:name="_Toc435540771"/>
      <w:r>
        <w:rPr>
          <w:rFonts w:hint="eastAsia" w:ascii="宋体" w:hAnsi="宋体" w:cs="宋体"/>
          <w:sz w:val="22"/>
          <w:szCs w:val="22"/>
        </w:rPr>
        <w:t>十四、合同生效</w:t>
      </w:r>
      <w:bookmarkEnd w:id="281"/>
    </w:p>
    <w:p>
      <w:pPr>
        <w:spacing w:line="400" w:lineRule="exact"/>
        <w:ind w:firstLine="440" w:firstLineChars="200"/>
        <w:rPr>
          <w:rFonts w:ascii="宋体" w:hAnsi="宋体" w:cs="宋体"/>
          <w:sz w:val="22"/>
          <w:szCs w:val="22"/>
        </w:rPr>
      </w:pPr>
      <w:r>
        <w:rPr>
          <w:rFonts w:hint="eastAsia" w:ascii="宋体" w:hAnsi="宋体" w:cs="宋体"/>
          <w:sz w:val="22"/>
          <w:szCs w:val="22"/>
        </w:rPr>
        <w:t>（一）合同自甲乙双方法人代表或其授权代表签字盖章之日起生效。</w:t>
      </w:r>
    </w:p>
    <w:p>
      <w:pPr>
        <w:spacing w:line="400" w:lineRule="exact"/>
        <w:ind w:firstLine="440" w:firstLineChars="200"/>
        <w:rPr>
          <w:rFonts w:ascii="宋体" w:hAnsi="宋体" w:cs="宋体"/>
          <w:sz w:val="22"/>
          <w:szCs w:val="22"/>
        </w:rPr>
      </w:pPr>
      <w:r>
        <w:rPr>
          <w:rFonts w:hint="eastAsia" w:ascii="宋体" w:hAnsi="宋体" w:cs="宋体"/>
          <w:sz w:val="22"/>
          <w:szCs w:val="22"/>
        </w:rPr>
        <w:t>（二）合同壹式</w:t>
      </w:r>
      <w:r>
        <w:rPr>
          <w:rFonts w:hint="eastAsia" w:ascii="宋体" w:hAnsi="宋体" w:cs="宋体"/>
          <w:sz w:val="22"/>
          <w:szCs w:val="22"/>
          <w:u w:val="single"/>
        </w:rPr>
        <w:t xml:space="preserve">    </w:t>
      </w:r>
      <w:r>
        <w:rPr>
          <w:rFonts w:hint="eastAsia" w:ascii="宋体" w:hAnsi="宋体" w:cs="宋体"/>
          <w:sz w:val="22"/>
          <w:szCs w:val="22"/>
        </w:rPr>
        <w:t>份，其中甲乙双方各执</w:t>
      </w:r>
      <w:r>
        <w:rPr>
          <w:rFonts w:hint="eastAsia" w:ascii="宋体" w:hAnsi="宋体" w:cs="宋体"/>
          <w:sz w:val="22"/>
          <w:szCs w:val="22"/>
          <w:u w:val="single"/>
        </w:rPr>
        <w:t xml:space="preserve">    </w:t>
      </w:r>
      <w:r>
        <w:rPr>
          <w:rFonts w:hint="eastAsia" w:ascii="宋体" w:hAnsi="宋体" w:cs="宋体"/>
          <w:sz w:val="22"/>
          <w:szCs w:val="22"/>
        </w:rPr>
        <w:t>份  。</w:t>
      </w:r>
    </w:p>
    <w:p>
      <w:pPr>
        <w:tabs>
          <w:tab w:val="left" w:pos="720"/>
        </w:tabs>
        <w:spacing w:line="400" w:lineRule="exact"/>
        <w:rPr>
          <w:rFonts w:ascii="宋体" w:hAnsi="宋体" w:cs="宋体"/>
          <w:sz w:val="22"/>
          <w:szCs w:val="22"/>
        </w:rPr>
      </w:pPr>
    </w:p>
    <w:p>
      <w:pPr>
        <w:snapToGrid w:val="0"/>
        <w:spacing w:line="400" w:lineRule="exact"/>
        <w:rPr>
          <w:rFonts w:ascii="宋体" w:hAnsi="宋体" w:cs="宋体"/>
          <w:sz w:val="22"/>
          <w:szCs w:val="22"/>
        </w:rPr>
      </w:pPr>
      <w:r>
        <w:rPr>
          <w:rFonts w:hint="eastAsia" w:ascii="宋体" w:hAnsi="宋体" w:cs="宋体"/>
          <w:sz w:val="22"/>
          <w:szCs w:val="22"/>
        </w:rPr>
        <w:t>甲方（盖章）：                          乙方（盖章）：</w:t>
      </w:r>
    </w:p>
    <w:p>
      <w:pPr>
        <w:snapToGrid w:val="0"/>
        <w:spacing w:line="400" w:lineRule="exact"/>
        <w:rPr>
          <w:rFonts w:ascii="宋体" w:hAnsi="宋体" w:cs="宋体"/>
          <w:sz w:val="22"/>
          <w:szCs w:val="22"/>
        </w:rPr>
      </w:pPr>
      <w:r>
        <w:rPr>
          <w:rFonts w:hint="eastAsia" w:ascii="宋体" w:hAnsi="宋体" w:cs="宋体"/>
          <w:sz w:val="22"/>
          <w:szCs w:val="22"/>
        </w:rPr>
        <w:t xml:space="preserve">代表：                                  代表： </w:t>
      </w:r>
    </w:p>
    <w:p>
      <w:pPr>
        <w:snapToGrid w:val="0"/>
        <w:spacing w:line="400" w:lineRule="exact"/>
        <w:rPr>
          <w:rFonts w:ascii="宋体" w:hAnsi="宋体" w:cs="宋体"/>
          <w:sz w:val="22"/>
          <w:szCs w:val="22"/>
        </w:rPr>
      </w:pPr>
      <w:r>
        <w:rPr>
          <w:rFonts w:hint="eastAsia" w:ascii="宋体" w:hAnsi="宋体" w:cs="宋体"/>
          <w:sz w:val="22"/>
          <w:szCs w:val="22"/>
        </w:rPr>
        <w:t>签定地点：</w:t>
      </w:r>
    </w:p>
    <w:p>
      <w:pPr>
        <w:snapToGrid w:val="0"/>
        <w:spacing w:line="400" w:lineRule="exact"/>
        <w:rPr>
          <w:rFonts w:ascii="宋体" w:hAnsi="宋体" w:cs="宋体"/>
          <w:sz w:val="22"/>
          <w:szCs w:val="22"/>
        </w:rPr>
      </w:pPr>
      <w:r>
        <w:rPr>
          <w:rFonts w:hint="eastAsia" w:ascii="宋体" w:hAnsi="宋体" w:cs="宋体"/>
          <w:sz w:val="22"/>
          <w:szCs w:val="22"/>
        </w:rPr>
        <w:t xml:space="preserve">签定日期：        年     月    日       签定日期：        年     月     日    </w:t>
      </w:r>
    </w:p>
    <w:p>
      <w:pPr>
        <w:snapToGrid w:val="0"/>
        <w:spacing w:line="400" w:lineRule="exact"/>
        <w:ind w:firstLine="4400" w:firstLineChars="2000"/>
        <w:rPr>
          <w:rFonts w:ascii="宋体" w:hAnsi="宋体" w:cs="宋体"/>
          <w:sz w:val="22"/>
          <w:szCs w:val="22"/>
        </w:rPr>
      </w:pPr>
    </w:p>
    <w:p>
      <w:pPr>
        <w:snapToGrid w:val="0"/>
        <w:spacing w:line="400" w:lineRule="exact"/>
        <w:ind w:firstLine="4400" w:firstLineChars="2000"/>
        <w:rPr>
          <w:rFonts w:ascii="宋体" w:hAnsi="宋体" w:cs="宋体"/>
          <w:sz w:val="22"/>
          <w:szCs w:val="22"/>
        </w:rPr>
      </w:pPr>
      <w:r>
        <w:rPr>
          <w:rFonts w:hint="eastAsia" w:ascii="宋体" w:hAnsi="宋体" w:cs="宋体"/>
          <w:sz w:val="22"/>
          <w:szCs w:val="22"/>
        </w:rPr>
        <w:t>开户名称：</w:t>
      </w:r>
    </w:p>
    <w:p>
      <w:pPr>
        <w:snapToGrid w:val="0"/>
        <w:spacing w:line="400" w:lineRule="exact"/>
        <w:ind w:firstLine="4400" w:firstLineChars="2000"/>
        <w:rPr>
          <w:rFonts w:ascii="宋体" w:hAnsi="宋体" w:cs="宋体"/>
          <w:sz w:val="22"/>
          <w:szCs w:val="22"/>
        </w:rPr>
      </w:pPr>
      <w:r>
        <w:rPr>
          <w:rFonts w:hint="eastAsia" w:ascii="宋体" w:hAnsi="宋体" w:cs="宋体"/>
          <w:sz w:val="22"/>
          <w:szCs w:val="22"/>
        </w:rPr>
        <w:t>银行账号：</w:t>
      </w:r>
    </w:p>
    <w:p>
      <w:pPr>
        <w:spacing w:line="560" w:lineRule="exact"/>
        <w:ind w:firstLine="4389" w:firstLineChars="1995"/>
        <w:rPr>
          <w:rFonts w:ascii="宋体" w:hAnsi="宋体" w:cs="宋体"/>
          <w:bCs/>
          <w:sz w:val="22"/>
          <w:szCs w:val="22"/>
        </w:rPr>
      </w:pPr>
      <w:r>
        <w:rPr>
          <w:rFonts w:hint="eastAsia" w:hAnsi="宋体" w:cs="宋体"/>
          <w:sz w:val="22"/>
          <w:szCs w:val="22"/>
        </w:rPr>
        <w:t>开 户 行：</w:t>
      </w:r>
    </w:p>
    <w:p>
      <w:pPr>
        <w:spacing w:line="560" w:lineRule="exact"/>
        <w:ind w:firstLine="440" w:firstLineChars="200"/>
        <w:rPr>
          <w:rFonts w:ascii="宋体" w:hAnsi="宋体" w:cs="宋体"/>
          <w:sz w:val="22"/>
          <w:szCs w:val="22"/>
        </w:rPr>
      </w:pPr>
    </w:p>
    <w:p>
      <w:pPr>
        <w:spacing w:line="560" w:lineRule="exact"/>
        <w:rPr>
          <w:rFonts w:ascii="宋体" w:hAnsi="宋体" w:cs="宋体"/>
          <w:sz w:val="22"/>
          <w:szCs w:val="22"/>
        </w:rPr>
      </w:pPr>
      <w:r>
        <w:rPr>
          <w:rFonts w:hint="eastAsia" w:ascii="宋体" w:hAnsi="宋体" w:cs="宋体"/>
          <w:sz w:val="22"/>
          <w:szCs w:val="22"/>
        </w:rPr>
        <w:t xml:space="preserve">委托单位（盖章） </w:t>
      </w:r>
    </w:p>
    <w:p>
      <w:pPr>
        <w:spacing w:line="560" w:lineRule="exact"/>
        <w:rPr>
          <w:rFonts w:ascii="宋体" w:hAnsi="宋体" w:cs="宋体"/>
          <w:sz w:val="22"/>
          <w:szCs w:val="22"/>
        </w:rPr>
      </w:pPr>
      <w:r>
        <w:rPr>
          <w:rFonts w:hint="eastAsia" w:ascii="宋体" w:hAnsi="宋体" w:cs="宋体"/>
          <w:sz w:val="22"/>
          <w:szCs w:val="22"/>
        </w:rPr>
        <w:t xml:space="preserve">               </w:t>
      </w:r>
    </w:p>
    <w:p>
      <w:pPr>
        <w:spacing w:line="560" w:lineRule="exact"/>
        <w:rPr>
          <w:rFonts w:ascii="宋体" w:hAnsi="宋体" w:cs="宋体"/>
          <w:sz w:val="22"/>
          <w:szCs w:val="22"/>
        </w:rPr>
      </w:pPr>
      <w:r>
        <w:rPr>
          <w:rFonts w:hint="eastAsia" w:ascii="宋体" w:hAnsi="宋体" w:cs="宋体"/>
          <w:sz w:val="22"/>
          <w:szCs w:val="22"/>
        </w:rPr>
        <w:t xml:space="preserve">法定代表人或授权代表（签字）      </w:t>
      </w:r>
    </w:p>
    <w:p>
      <w:pPr>
        <w:spacing w:line="560" w:lineRule="exact"/>
        <w:ind w:firstLine="440" w:firstLineChars="200"/>
        <w:rPr>
          <w:rFonts w:ascii="宋体" w:hAnsi="宋体" w:cs="宋体"/>
          <w:sz w:val="22"/>
          <w:szCs w:val="22"/>
        </w:rPr>
      </w:pPr>
    </w:p>
    <w:p>
      <w:pPr>
        <w:spacing w:line="560" w:lineRule="exact"/>
        <w:ind w:firstLine="440" w:firstLineChars="200"/>
        <w:rPr>
          <w:rFonts w:ascii="宋体" w:hAnsi="宋体" w:cs="宋体"/>
          <w:sz w:val="22"/>
          <w:szCs w:val="22"/>
        </w:rPr>
      </w:pPr>
      <w:r>
        <w:rPr>
          <w:rFonts w:hint="eastAsia" w:ascii="宋体" w:hAnsi="宋体" w:cs="宋体"/>
          <w:sz w:val="22"/>
          <w:szCs w:val="22"/>
        </w:rPr>
        <w:t xml:space="preserve">                          </w:t>
      </w:r>
    </w:p>
    <w:p>
      <w:pPr>
        <w:rPr>
          <w:rFonts w:ascii="宋体" w:hAnsi="宋体" w:cs="宋体"/>
          <w:sz w:val="22"/>
          <w:szCs w:val="22"/>
        </w:rPr>
      </w:pPr>
    </w:p>
    <w:p>
      <w:pPr>
        <w:rPr>
          <w:rFonts w:ascii="宋体" w:hAnsi="宋体" w:cs="宋体"/>
          <w:sz w:val="22"/>
          <w:szCs w:val="22"/>
        </w:rPr>
      </w:pPr>
    </w:p>
    <w:p>
      <w:pPr>
        <w:spacing w:line="560" w:lineRule="exact"/>
        <w:rPr>
          <w:rFonts w:ascii="宋体" w:hAnsi="宋体" w:cs="宋体"/>
          <w:sz w:val="22"/>
          <w:szCs w:val="22"/>
        </w:rPr>
      </w:pPr>
      <w:r>
        <w:rPr>
          <w:rFonts w:hint="eastAsia" w:ascii="宋体" w:hAnsi="宋体" w:cs="宋体"/>
          <w:sz w:val="22"/>
          <w:szCs w:val="22"/>
        </w:rPr>
        <w:t xml:space="preserve">设计单位（盖章）         </w:t>
      </w:r>
    </w:p>
    <w:p>
      <w:pPr>
        <w:spacing w:line="560" w:lineRule="exact"/>
        <w:rPr>
          <w:rFonts w:ascii="宋体" w:hAnsi="宋体" w:cs="宋体"/>
          <w:sz w:val="22"/>
          <w:szCs w:val="22"/>
        </w:rPr>
      </w:pPr>
    </w:p>
    <w:p>
      <w:pPr>
        <w:spacing w:line="500" w:lineRule="exact"/>
        <w:rPr>
          <w:rFonts w:ascii="宋体" w:hAnsi="宋体" w:cs="宋体"/>
          <w:sz w:val="22"/>
          <w:szCs w:val="22"/>
        </w:rPr>
      </w:pPr>
      <w:r>
        <w:rPr>
          <w:rFonts w:hint="eastAsia" w:ascii="宋体" w:hAnsi="宋体" w:cs="宋体"/>
          <w:sz w:val="22"/>
          <w:szCs w:val="22"/>
        </w:rPr>
        <w:t>法定代表人或授权代表（签字）</w:t>
      </w:r>
    </w:p>
    <w:p>
      <w:pPr>
        <w:pStyle w:val="20"/>
        <w:spacing w:before="120" w:after="120" w:line="360" w:lineRule="auto"/>
        <w:rPr>
          <w:rFonts w:ascii="Times New Roman"/>
          <w:b/>
          <w:bCs/>
          <w:sz w:val="22"/>
          <w:szCs w:val="22"/>
        </w:rPr>
      </w:pPr>
    </w:p>
    <w:p>
      <w:pPr>
        <w:rPr>
          <w:b/>
          <w:bCs/>
          <w:sz w:val="22"/>
          <w:szCs w:val="22"/>
        </w:rPr>
      </w:pPr>
    </w:p>
    <w:p>
      <w:pPr>
        <w:pStyle w:val="3"/>
        <w:rPr>
          <w:b/>
          <w:bCs/>
        </w:rPr>
      </w:pPr>
    </w:p>
    <w:p>
      <w:pPr>
        <w:pStyle w:val="5"/>
        <w:spacing w:before="0" w:after="0" w:line="360" w:lineRule="auto"/>
        <w:jc w:val="center"/>
        <w:rPr>
          <w:b w:val="0"/>
          <w:bCs w:val="0"/>
          <w:sz w:val="28"/>
          <w:szCs w:val="28"/>
        </w:rPr>
      </w:pPr>
      <w:bookmarkStart w:id="282" w:name="_Toc79395485"/>
      <w:bookmarkStart w:id="283" w:name="_Toc5495"/>
      <w:bookmarkStart w:id="284" w:name="_Toc7729"/>
      <w:bookmarkStart w:id="285" w:name="_Toc18229"/>
      <w:bookmarkStart w:id="286" w:name="_Toc76771840"/>
      <w:r>
        <w:rPr>
          <w:sz w:val="30"/>
        </w:rPr>
        <w:t>第六章</w:t>
      </w:r>
      <w:r>
        <w:rPr>
          <w:rFonts w:hint="eastAsia"/>
          <w:sz w:val="30"/>
        </w:rPr>
        <w:t xml:space="preserve">  </w:t>
      </w:r>
      <w:r>
        <w:rPr>
          <w:sz w:val="30"/>
        </w:rPr>
        <w:t>投标文件格式</w:t>
      </w:r>
      <w:bookmarkEnd w:id="282"/>
      <w:bookmarkEnd w:id="283"/>
      <w:bookmarkEnd w:id="284"/>
      <w:bookmarkEnd w:id="285"/>
      <w:bookmarkEnd w:id="286"/>
    </w:p>
    <w:p>
      <w:pPr>
        <w:adjustRightInd w:val="0"/>
        <w:snapToGrid w:val="0"/>
        <w:jc w:val="left"/>
        <w:outlineLvl w:val="1"/>
        <w:rPr>
          <w:b/>
          <w:szCs w:val="21"/>
        </w:rPr>
      </w:pPr>
      <w:bookmarkStart w:id="287" w:name="_Toc12981"/>
      <w:bookmarkStart w:id="288" w:name="_Toc9889"/>
      <w:bookmarkStart w:id="289" w:name="_Toc24563"/>
      <w:bookmarkStart w:id="290" w:name="_Toc460857946"/>
      <w:r>
        <w:rPr>
          <w:b/>
        </w:rPr>
        <w:t>格式一：</w:t>
      </w:r>
      <w:bookmarkEnd w:id="287"/>
      <w:bookmarkEnd w:id="288"/>
      <w:bookmarkEnd w:id="289"/>
    </w:p>
    <w:p>
      <w:pPr>
        <w:spacing w:line="600" w:lineRule="exact"/>
        <w:jc w:val="center"/>
        <w:rPr>
          <w:rFonts w:ascii="宋体" w:hAnsi="宋体"/>
          <w:b/>
          <w:bCs/>
          <w:sz w:val="24"/>
        </w:rPr>
      </w:pPr>
      <w:r>
        <w:rPr>
          <w:rFonts w:hint="eastAsia" w:ascii="宋体" w:hAnsi="宋体"/>
          <w:b/>
          <w:bCs/>
          <w:sz w:val="24"/>
        </w:rPr>
        <w:t>资格证明材料承诺函</w:t>
      </w:r>
    </w:p>
    <w:p>
      <w:pPr>
        <w:widowControl/>
        <w:adjustRightInd w:val="0"/>
        <w:snapToGrid w:val="0"/>
        <w:spacing w:line="48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（采购人）</w:t>
      </w:r>
    </w:p>
    <w:p>
      <w:pPr>
        <w:widowControl/>
        <w:adjustRightInd w:val="0"/>
        <w:snapToGrid w:val="0"/>
        <w:spacing w:line="480" w:lineRule="exact"/>
        <w:ind w:firstLine="420"/>
        <w:rPr>
          <w:rFonts w:ascii="宋体" w:hAnsi="宋体"/>
          <w:szCs w:val="21"/>
        </w:rPr>
      </w:pPr>
      <w:r>
        <w:rPr>
          <w:rFonts w:hint="eastAsia" w:ascii="宋体" w:hAnsi="宋体"/>
          <w:szCs w:val="21"/>
        </w:rPr>
        <w:t>我，</w:t>
      </w:r>
      <w:r>
        <w:rPr>
          <w:rFonts w:ascii="宋体" w:hAnsi="宋体"/>
          <w:szCs w:val="21"/>
          <w:u w:val="single"/>
        </w:rPr>
        <w:t xml:space="preserve">                       </w:t>
      </w:r>
      <w:r>
        <w:rPr>
          <w:rFonts w:hint="eastAsia" w:ascii="宋体" w:hAnsi="宋体"/>
          <w:szCs w:val="21"/>
        </w:rPr>
        <w:t>（供应商名称）已认真阅读</w:t>
      </w:r>
      <w:r>
        <w:rPr>
          <w:rFonts w:hint="eastAsia" w:ascii="宋体" w:hAnsi="宋体" w:cs="宋体"/>
          <w:kern w:val="0"/>
          <w:szCs w:val="21"/>
        </w:rPr>
        <w:t>《中华人民共和国政府采购法》及《采购</w:t>
      </w:r>
      <w:r>
        <w:rPr>
          <w:rFonts w:hint="eastAsia" w:ascii="宋体" w:hAnsi="宋体"/>
          <w:szCs w:val="21"/>
        </w:rPr>
        <w:t>文件</w:t>
      </w:r>
      <w:r>
        <w:rPr>
          <w:rFonts w:hint="eastAsia" w:ascii="宋体" w:hAnsi="宋体" w:cs="宋体"/>
          <w:kern w:val="0"/>
          <w:szCs w:val="21"/>
        </w:rPr>
        <w:t>》[</w:t>
      </w:r>
      <w:r>
        <w:rPr>
          <w:rFonts w:ascii="宋体" w:hAnsi="宋体"/>
          <w:szCs w:val="21"/>
          <w:u w:val="single"/>
        </w:rPr>
        <w:t xml:space="preserve">                       </w:t>
      </w:r>
      <w:r>
        <w:rPr>
          <w:rFonts w:hint="eastAsia" w:ascii="宋体" w:hAnsi="宋体"/>
          <w:szCs w:val="21"/>
        </w:rPr>
        <w:t>（项目名称），政府采购编号：</w:t>
      </w:r>
      <w:r>
        <w:rPr>
          <w:rFonts w:ascii="宋体" w:hAnsi="宋体"/>
          <w:szCs w:val="21"/>
          <w:u w:val="single"/>
        </w:rPr>
        <w:t xml:space="preserve">          </w:t>
      </w:r>
      <w:r>
        <w:rPr>
          <w:rFonts w:hint="eastAsia" w:ascii="宋体" w:hAnsi="宋体"/>
          <w:szCs w:val="21"/>
        </w:rPr>
        <w:t>]相关内容，知悉供应商参加政府采购活动应当具备的条件。此次按《采购文件》要求提交的供应商资格证明材料，已经认真核对和检查，全部内容真实、合法、准确和完整，我们对此负责，并愿承担由此引起的法律责任。</w:t>
      </w:r>
    </w:p>
    <w:p>
      <w:pPr>
        <w:adjustRightInd w:val="0"/>
        <w:snapToGrid w:val="0"/>
        <w:spacing w:line="480" w:lineRule="exact"/>
        <w:ind w:firstLine="420"/>
        <w:rPr>
          <w:rFonts w:ascii="宋体" w:hAnsi="宋体"/>
          <w:szCs w:val="21"/>
        </w:rPr>
      </w:pPr>
      <w:r>
        <w:rPr>
          <w:rFonts w:hint="eastAsia" w:ascii="宋体" w:hAnsi="宋体"/>
          <w:szCs w:val="21"/>
        </w:rPr>
        <w:t xml:space="preserve">一、我方在此声明： </w:t>
      </w:r>
    </w:p>
    <w:p>
      <w:pPr>
        <w:adjustRightInd w:val="0"/>
        <w:snapToGrid w:val="0"/>
        <w:spacing w:line="480" w:lineRule="exact"/>
        <w:ind w:firstLine="420"/>
        <w:rPr>
          <w:rFonts w:ascii="宋体" w:hAnsi="宋体"/>
          <w:szCs w:val="21"/>
        </w:rPr>
      </w:pPr>
      <w:r>
        <w:rPr>
          <w:rFonts w:hint="eastAsia" w:ascii="宋体" w:hAnsi="宋体"/>
          <w:szCs w:val="21"/>
        </w:rPr>
        <w:t>（一）我</w:t>
      </w:r>
      <w:r>
        <w:rPr>
          <w:rFonts w:ascii="宋体" w:hAnsi="宋体"/>
          <w:szCs w:val="21"/>
        </w:rPr>
        <w:t>方</w:t>
      </w:r>
      <w:r>
        <w:rPr>
          <w:rFonts w:hint="eastAsia" w:ascii="宋体" w:hAnsi="宋体"/>
          <w:szCs w:val="21"/>
        </w:rPr>
        <w:t>具有独立承担民事责任的能力；</w:t>
      </w:r>
    </w:p>
    <w:p>
      <w:pPr>
        <w:adjustRightInd w:val="0"/>
        <w:snapToGrid w:val="0"/>
        <w:spacing w:line="480" w:lineRule="exact"/>
        <w:ind w:firstLine="420"/>
        <w:rPr>
          <w:rFonts w:ascii="宋体" w:hAnsi="宋体"/>
          <w:szCs w:val="21"/>
        </w:rPr>
      </w:pPr>
      <w:r>
        <w:rPr>
          <w:rFonts w:hint="eastAsia" w:ascii="宋体" w:hAnsi="宋体"/>
          <w:szCs w:val="21"/>
        </w:rPr>
        <w:t>（二）我</w:t>
      </w:r>
      <w:r>
        <w:rPr>
          <w:rFonts w:ascii="宋体" w:hAnsi="宋体"/>
          <w:szCs w:val="21"/>
        </w:rPr>
        <w:t>方</w:t>
      </w:r>
      <w:r>
        <w:rPr>
          <w:rFonts w:hint="eastAsia" w:ascii="宋体" w:hAnsi="宋体"/>
          <w:szCs w:val="21"/>
        </w:rPr>
        <w:t>具有良好的商业信誉和健全的财务会计制度；</w:t>
      </w:r>
    </w:p>
    <w:p>
      <w:pPr>
        <w:adjustRightInd w:val="0"/>
        <w:snapToGrid w:val="0"/>
        <w:spacing w:line="480" w:lineRule="exact"/>
        <w:ind w:firstLine="420"/>
        <w:rPr>
          <w:rFonts w:ascii="宋体" w:hAnsi="宋体"/>
          <w:szCs w:val="21"/>
        </w:rPr>
      </w:pPr>
      <w:r>
        <w:rPr>
          <w:rFonts w:hint="eastAsia" w:ascii="宋体" w:hAnsi="宋体"/>
          <w:szCs w:val="21"/>
        </w:rPr>
        <w:t>（三）我</w:t>
      </w:r>
      <w:r>
        <w:rPr>
          <w:rFonts w:ascii="宋体" w:hAnsi="宋体"/>
          <w:szCs w:val="21"/>
        </w:rPr>
        <w:t>方</w:t>
      </w:r>
      <w:r>
        <w:rPr>
          <w:rFonts w:hint="eastAsia" w:ascii="宋体" w:hAnsi="宋体"/>
          <w:szCs w:val="21"/>
        </w:rPr>
        <w:t>具有履行合同所必需的设备和专业技术能力；</w:t>
      </w:r>
    </w:p>
    <w:p>
      <w:pPr>
        <w:adjustRightInd w:val="0"/>
        <w:snapToGrid w:val="0"/>
        <w:spacing w:line="480" w:lineRule="exact"/>
        <w:ind w:firstLine="420"/>
        <w:rPr>
          <w:rFonts w:ascii="宋体" w:hAnsi="宋体"/>
          <w:szCs w:val="21"/>
        </w:rPr>
      </w:pPr>
      <w:r>
        <w:rPr>
          <w:rFonts w:hint="eastAsia" w:ascii="宋体" w:hAnsi="宋体"/>
          <w:szCs w:val="21"/>
        </w:rPr>
        <w:t>（四）我方与采购人或采购代理机构不存在</w:t>
      </w:r>
      <w:r>
        <w:rPr>
          <w:rFonts w:hint="eastAsia" w:ascii="宋体" w:hAnsi="宋体"/>
          <w:bCs/>
          <w:szCs w:val="21"/>
        </w:rPr>
        <w:t>隶属关系或者其他利害关系</w:t>
      </w:r>
      <w:r>
        <w:rPr>
          <w:rFonts w:hint="eastAsia" w:ascii="宋体" w:hAnsi="宋体"/>
          <w:szCs w:val="21"/>
        </w:rPr>
        <w:t>。</w:t>
      </w:r>
    </w:p>
    <w:p>
      <w:pPr>
        <w:adjustRightInd w:val="0"/>
        <w:snapToGrid w:val="0"/>
        <w:spacing w:line="480" w:lineRule="exact"/>
        <w:ind w:firstLine="420"/>
        <w:rPr>
          <w:rFonts w:ascii="宋体" w:hAnsi="宋体"/>
          <w:szCs w:val="21"/>
        </w:rPr>
      </w:pPr>
      <w:r>
        <w:rPr>
          <w:rFonts w:hint="eastAsia" w:ascii="宋体" w:hAnsi="宋体"/>
          <w:szCs w:val="21"/>
        </w:rPr>
        <w:t>（五）我方与参加本项目的其他供应商不存在控股、关联关系，或者与其他供应商单位负责人（或者负责人）为同一人。</w:t>
      </w:r>
    </w:p>
    <w:p>
      <w:pPr>
        <w:adjustRightInd w:val="0"/>
        <w:snapToGrid w:val="0"/>
        <w:spacing w:line="480" w:lineRule="exact"/>
        <w:ind w:firstLine="420"/>
        <w:rPr>
          <w:rFonts w:ascii="宋体" w:hAnsi="宋体"/>
          <w:szCs w:val="21"/>
        </w:rPr>
      </w:pPr>
      <w:r>
        <w:rPr>
          <w:rFonts w:hint="eastAsia" w:ascii="宋体" w:hAnsi="宋体"/>
          <w:szCs w:val="21"/>
        </w:rPr>
        <w:t>（六）我方未为本项目前期准备提供设计或咨询服务。</w:t>
      </w:r>
    </w:p>
    <w:p>
      <w:pPr>
        <w:adjustRightInd w:val="0"/>
        <w:snapToGrid w:val="0"/>
        <w:spacing w:line="480" w:lineRule="exact"/>
        <w:ind w:firstLine="420"/>
        <w:rPr>
          <w:rFonts w:ascii="宋体" w:hAnsi="宋体" w:cs="Courier New"/>
          <w:szCs w:val="21"/>
        </w:rPr>
      </w:pPr>
      <w:r>
        <w:rPr>
          <w:rFonts w:hint="eastAsia" w:ascii="宋体" w:hAnsi="宋体" w:cs="Courier New"/>
          <w:szCs w:val="21"/>
        </w:rPr>
        <w:t>二、我方承诺：</w:t>
      </w:r>
    </w:p>
    <w:p>
      <w:pPr>
        <w:adjustRightInd w:val="0"/>
        <w:snapToGrid w:val="0"/>
        <w:spacing w:line="480" w:lineRule="exact"/>
        <w:ind w:left="1" w:firstLine="420"/>
        <w:rPr>
          <w:rFonts w:ascii="宋体" w:hAnsi="宋体"/>
          <w:szCs w:val="21"/>
        </w:rPr>
      </w:pPr>
      <w:r>
        <w:rPr>
          <w:rFonts w:hint="eastAsia" w:ascii="宋体" w:hAnsi="宋体"/>
          <w:bCs/>
          <w:szCs w:val="21"/>
        </w:rPr>
        <w:t>（一）我方</w:t>
      </w:r>
      <w:r>
        <w:rPr>
          <w:rFonts w:hint="eastAsia" w:ascii="宋体" w:hAnsi="宋体"/>
          <w:szCs w:val="21"/>
        </w:rPr>
        <w:t>依法缴纳了各项税费及各项社会保障资金，没有偷税、漏税及欠缴行为。</w:t>
      </w:r>
    </w:p>
    <w:p>
      <w:pPr>
        <w:adjustRightInd w:val="0"/>
        <w:snapToGrid w:val="0"/>
        <w:spacing w:line="480" w:lineRule="exact"/>
        <w:ind w:firstLine="420"/>
        <w:rPr>
          <w:rFonts w:ascii="宋体" w:hAnsi="宋体"/>
          <w:bCs/>
          <w:szCs w:val="21"/>
        </w:rPr>
      </w:pPr>
      <w:r>
        <w:rPr>
          <w:rFonts w:hint="eastAsia" w:ascii="宋体" w:hAnsi="宋体"/>
          <w:bCs/>
          <w:szCs w:val="21"/>
        </w:rPr>
        <w:t>（二）我方（承诺期：成立三年以上的，为提交投标文件截止时间前三年内；成立不足三年的，为实际时间）在经营活动中没有存在下列重大违法记录：</w:t>
      </w:r>
    </w:p>
    <w:p>
      <w:pPr>
        <w:adjustRightInd w:val="0"/>
        <w:snapToGrid w:val="0"/>
        <w:spacing w:line="480" w:lineRule="exact"/>
        <w:ind w:firstLine="420"/>
        <w:rPr>
          <w:rFonts w:ascii="宋体" w:hAnsi="宋体"/>
          <w:bCs/>
          <w:szCs w:val="21"/>
        </w:rPr>
      </w:pPr>
      <w:r>
        <w:rPr>
          <w:rFonts w:hint="eastAsia" w:ascii="宋体" w:hAnsi="宋体"/>
          <w:bCs/>
          <w:szCs w:val="21"/>
        </w:rPr>
        <w:t>1、受到刑事处罚；</w:t>
      </w:r>
    </w:p>
    <w:p>
      <w:pPr>
        <w:adjustRightInd w:val="0"/>
        <w:snapToGrid w:val="0"/>
        <w:spacing w:line="480" w:lineRule="exact"/>
        <w:ind w:left="1" w:firstLine="420"/>
        <w:rPr>
          <w:rFonts w:ascii="宋体" w:hAnsi="宋体"/>
          <w:szCs w:val="21"/>
        </w:rPr>
      </w:pPr>
      <w:r>
        <w:rPr>
          <w:rFonts w:hint="eastAsia" w:ascii="宋体" w:hAnsi="宋体"/>
          <w:szCs w:val="21"/>
        </w:rPr>
        <w:t>2、责令停产停业、吊销许可证或者执照、较大数额罚款等行政处罚。</w:t>
      </w:r>
    </w:p>
    <w:p>
      <w:pPr>
        <w:adjustRightInd w:val="0"/>
        <w:snapToGrid w:val="0"/>
        <w:spacing w:line="480" w:lineRule="exact"/>
        <w:ind w:left="1" w:firstLine="420"/>
        <w:rPr>
          <w:rFonts w:ascii="宋体" w:hAnsi="宋体"/>
        </w:rPr>
      </w:pPr>
      <w:r>
        <w:rPr>
          <w:rFonts w:hint="eastAsia" w:ascii="宋体" w:hAnsi="宋体"/>
          <w:szCs w:val="21"/>
        </w:rPr>
        <w:t>（三）我方未被列入</w:t>
      </w:r>
      <w:r>
        <w:rPr>
          <w:rFonts w:ascii="宋体" w:hAnsi="宋体"/>
          <w:szCs w:val="21"/>
        </w:rPr>
        <w:t>“信用中国”（www.creditchina.gov.cn）、中国政府采购网（www.ccgp.gov.cn）列入失信被执行人、重大税收违法案件当事人名单、政府采购严重违法失信行为记录名单</w:t>
      </w:r>
      <w:r>
        <w:rPr>
          <w:rFonts w:hint="eastAsia" w:ascii="宋体" w:hAnsi="宋体"/>
          <w:szCs w:val="21"/>
        </w:rPr>
        <w:t>；</w:t>
      </w:r>
    </w:p>
    <w:p>
      <w:pPr>
        <w:spacing w:line="480" w:lineRule="exact"/>
        <w:ind w:firstLine="4678" w:firstLineChars="2228"/>
        <w:rPr>
          <w:rFonts w:ascii="宋体" w:hAnsi="宋体"/>
          <w:u w:val="single"/>
        </w:rPr>
      </w:pPr>
      <w:r>
        <w:rPr>
          <w:rFonts w:hint="eastAsia" w:ascii="宋体" w:hAnsi="宋体"/>
          <w:szCs w:val="21"/>
        </w:rPr>
        <w:t>投标人名称（盖单位章）：</w:t>
      </w:r>
      <w:r>
        <w:rPr>
          <w:rFonts w:hint="eastAsia" w:ascii="宋体" w:hAnsi="宋体"/>
          <w:szCs w:val="21"/>
          <w:u w:val="single"/>
        </w:rPr>
        <w:t xml:space="preserve">                   </w:t>
      </w:r>
    </w:p>
    <w:p>
      <w:pPr>
        <w:spacing w:line="480" w:lineRule="exact"/>
        <w:ind w:firstLine="4678" w:firstLineChars="2228"/>
        <w:rPr>
          <w:rFonts w:ascii="宋体" w:hAnsi="宋体"/>
          <w:szCs w:val="21"/>
          <w:u w:val="single"/>
        </w:rPr>
      </w:pPr>
      <w:r>
        <w:rPr>
          <w:rFonts w:hint="eastAsia" w:ascii="宋体" w:hAnsi="宋体"/>
          <w:szCs w:val="21"/>
        </w:rPr>
        <w:t>单位负责人或授权代表（签名）：</w:t>
      </w:r>
      <w:r>
        <w:rPr>
          <w:rFonts w:hint="eastAsia" w:ascii="宋体" w:hAnsi="宋体"/>
          <w:szCs w:val="21"/>
          <w:u w:val="single"/>
        </w:rPr>
        <w:t xml:space="preserve">             </w:t>
      </w:r>
    </w:p>
    <w:p>
      <w:pPr>
        <w:spacing w:line="480" w:lineRule="exact"/>
        <w:ind w:firstLine="4676" w:firstLineChars="2227"/>
        <w:jc w:val="left"/>
        <w:rPr>
          <w:rFonts w:ascii="宋体" w:hAnsi="宋体"/>
          <w:szCs w:val="21"/>
        </w:rPr>
      </w:pPr>
      <w:r>
        <w:rPr>
          <w:rFonts w:hint="eastAsia" w:ascii="宋体" w:hAnsi="宋体"/>
        </w:rPr>
        <w:t>日期：</w:t>
      </w:r>
      <w:r>
        <w:rPr>
          <w:rFonts w:hint="eastAsia" w:ascii="宋体" w:hAnsi="宋体"/>
          <w:u w:val="single"/>
        </w:rPr>
        <w:t xml:space="preserve">       </w:t>
      </w:r>
      <w:r>
        <w:rPr>
          <w:rFonts w:hint="eastAsia" w:ascii="宋体" w:hAnsi="宋体"/>
        </w:rPr>
        <w:t xml:space="preserve">年 </w:t>
      </w:r>
      <w:r>
        <w:rPr>
          <w:rFonts w:hint="eastAsia" w:ascii="宋体" w:hAnsi="宋体"/>
          <w:u w:val="single"/>
        </w:rPr>
        <w:t xml:space="preserve">     </w:t>
      </w:r>
      <w:r>
        <w:rPr>
          <w:rFonts w:hint="eastAsia" w:ascii="宋体" w:hAnsi="宋体"/>
        </w:rPr>
        <w:t xml:space="preserve"> 月</w:t>
      </w:r>
      <w:r>
        <w:rPr>
          <w:rFonts w:hint="eastAsia" w:ascii="宋体" w:hAnsi="宋体"/>
          <w:u w:val="single"/>
        </w:rPr>
        <w:t xml:space="preserve">     </w:t>
      </w:r>
      <w:r>
        <w:rPr>
          <w:rFonts w:hint="eastAsia" w:ascii="宋体" w:hAnsi="宋体"/>
        </w:rPr>
        <w:t>日</w:t>
      </w:r>
    </w:p>
    <w:p>
      <w:pPr>
        <w:spacing w:line="360" w:lineRule="auto"/>
        <w:ind w:firstLine="720" w:firstLineChars="300"/>
      </w:pPr>
      <w:r>
        <w:rPr>
          <w:sz w:val="24"/>
          <w:szCs w:val="21"/>
        </w:rPr>
        <w:br w:type="page"/>
      </w:r>
    </w:p>
    <w:p>
      <w:pPr>
        <w:spacing w:line="360" w:lineRule="auto"/>
      </w:pPr>
    </w:p>
    <w:p>
      <w:pPr>
        <w:outlineLvl w:val="1"/>
        <w:rPr>
          <w:b/>
        </w:rPr>
      </w:pPr>
      <w:bookmarkStart w:id="291" w:name="_Toc5093"/>
      <w:bookmarkStart w:id="292" w:name="_Toc14066"/>
      <w:bookmarkStart w:id="293" w:name="_Toc8697"/>
      <w:r>
        <w:rPr>
          <w:b/>
        </w:rPr>
        <w:t>格式</w:t>
      </w:r>
      <w:r>
        <w:rPr>
          <w:rFonts w:hint="eastAsia"/>
          <w:b/>
        </w:rPr>
        <w:t>二</w:t>
      </w:r>
      <w:r>
        <w:rPr>
          <w:b/>
        </w:rPr>
        <w:t>：</w:t>
      </w:r>
      <w:bookmarkEnd w:id="291"/>
      <w:bookmarkEnd w:id="292"/>
      <w:bookmarkEnd w:id="293"/>
    </w:p>
    <w:p>
      <w:pPr>
        <w:jc w:val="center"/>
      </w:pPr>
    </w:p>
    <w:p>
      <w:pPr>
        <w:jc w:val="center"/>
        <w:rPr>
          <w:b/>
          <w:sz w:val="32"/>
          <w:szCs w:val="40"/>
        </w:rPr>
      </w:pPr>
      <w:r>
        <w:rPr>
          <w:rFonts w:hint="eastAsia"/>
          <w:b/>
          <w:sz w:val="32"/>
          <w:szCs w:val="40"/>
        </w:rPr>
        <w:t>评委打分索引表</w:t>
      </w:r>
    </w:p>
    <w:p>
      <w:pPr>
        <w:jc w:val="center"/>
        <w:rPr>
          <w:b/>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序号</w:t>
            </w:r>
          </w:p>
        </w:tc>
        <w:tc>
          <w:tcPr>
            <w:tcW w:w="3742" w:type="dxa"/>
            <w:vAlign w:val="center"/>
          </w:tcPr>
          <w:p>
            <w:pPr>
              <w:spacing w:line="300" w:lineRule="exact"/>
              <w:jc w:val="center"/>
              <w:rPr>
                <w:rFonts w:ascii="宋体" w:hAnsi="宋体"/>
                <w:szCs w:val="21"/>
              </w:rPr>
            </w:pPr>
            <w:r>
              <w:rPr>
                <w:rFonts w:hint="eastAsia" w:ascii="宋体" w:hAnsi="宋体"/>
                <w:szCs w:val="21"/>
              </w:rPr>
              <w:t>评分项目</w:t>
            </w:r>
          </w:p>
        </w:tc>
        <w:tc>
          <w:tcPr>
            <w:tcW w:w="1701" w:type="dxa"/>
            <w:vAlign w:val="center"/>
          </w:tcPr>
          <w:p>
            <w:pPr>
              <w:spacing w:line="300" w:lineRule="exact"/>
              <w:jc w:val="center"/>
              <w:rPr>
                <w:rFonts w:ascii="宋体" w:hAnsi="宋体"/>
                <w:szCs w:val="21"/>
              </w:rPr>
            </w:pPr>
            <w:r>
              <w:rPr>
                <w:rFonts w:hint="eastAsia" w:ascii="宋体" w:hAnsi="宋体"/>
                <w:szCs w:val="21"/>
              </w:rPr>
              <w:t>文件或证明材料所在页码区间</w:t>
            </w:r>
          </w:p>
        </w:tc>
        <w:tc>
          <w:tcPr>
            <w:tcW w:w="2693" w:type="dxa"/>
            <w:vAlign w:val="center"/>
          </w:tcPr>
          <w:p>
            <w:pPr>
              <w:spacing w:line="300" w:lineRule="exact"/>
              <w:jc w:val="center"/>
              <w:rPr>
                <w:rFonts w:ascii="宋体" w:hAnsi="宋体"/>
                <w:szCs w:val="21"/>
              </w:rPr>
            </w:pPr>
            <w:r>
              <w:rPr>
                <w:rFonts w:hint="eastAsia" w:ascii="宋体" w:hAnsi="宋体"/>
                <w:szCs w:val="21"/>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1</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2</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3</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4</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5</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bl>
    <w:p>
      <w:pPr>
        <w:pStyle w:val="16"/>
        <w:spacing w:before="120" w:beforeLines="50" w:line="360" w:lineRule="auto"/>
        <w:ind w:left="141" w:leftChars="67"/>
        <w:rPr>
          <w:rFonts w:hAnsi="宋体"/>
          <w:sz w:val="21"/>
          <w:szCs w:val="21"/>
        </w:rPr>
      </w:pPr>
      <w:r>
        <w:rPr>
          <w:rFonts w:hint="eastAsia" w:hAnsi="宋体"/>
          <w:sz w:val="21"/>
          <w:szCs w:val="21"/>
        </w:rPr>
        <w:t>注：（1）按照评委打分表内容逐项填写</w:t>
      </w:r>
      <w:r>
        <w:rPr>
          <w:rFonts w:hint="eastAsia" w:asciiTheme="minorEastAsia" w:hAnsiTheme="minorEastAsia" w:eastAsiaTheme="minorEastAsia"/>
          <w:sz w:val="21"/>
          <w:szCs w:val="21"/>
        </w:rPr>
        <w:t>，报价项无需列入</w:t>
      </w:r>
      <w:r>
        <w:rPr>
          <w:rFonts w:hint="eastAsia" w:hAnsi="宋体"/>
          <w:sz w:val="21"/>
          <w:szCs w:val="21"/>
        </w:rPr>
        <w:t>。</w:t>
      </w:r>
    </w:p>
    <w:p>
      <w:pPr>
        <w:pStyle w:val="16"/>
        <w:spacing w:before="120" w:beforeLines="50" w:line="360" w:lineRule="auto"/>
        <w:ind w:left="141" w:leftChars="67" w:firstLine="692" w:firstLineChars="343"/>
        <w:rPr>
          <w:rFonts w:hAnsi="宋体"/>
          <w:sz w:val="21"/>
          <w:szCs w:val="21"/>
        </w:rPr>
      </w:pPr>
      <w:r>
        <w:rPr>
          <w:rFonts w:hint="eastAsia" w:hAnsi="宋体"/>
          <w:sz w:val="21"/>
          <w:szCs w:val="21"/>
        </w:rPr>
        <w:t>（2）自评得分仅针对于客观分部分，主观分部分无需填写。</w:t>
      </w:r>
    </w:p>
    <w:p>
      <w:pPr>
        <w:widowControl/>
        <w:jc w:val="left"/>
        <w:rPr>
          <w:b/>
        </w:rPr>
      </w:pPr>
      <w:r>
        <w:br w:type="page"/>
      </w:r>
      <w:bookmarkEnd w:id="290"/>
    </w:p>
    <w:p>
      <w:pPr>
        <w:spacing w:line="360" w:lineRule="auto"/>
        <w:jc w:val="left"/>
        <w:outlineLvl w:val="1"/>
        <w:rPr>
          <w:szCs w:val="21"/>
        </w:rPr>
      </w:pPr>
      <w:bookmarkStart w:id="294" w:name="_Toc26487"/>
      <w:bookmarkStart w:id="295" w:name="_Toc2268"/>
      <w:bookmarkStart w:id="296" w:name="_Toc19451"/>
      <w:r>
        <w:rPr>
          <w:b/>
        </w:rPr>
        <w:t>格式</w:t>
      </w:r>
      <w:r>
        <w:rPr>
          <w:rFonts w:hint="eastAsia"/>
          <w:b/>
        </w:rPr>
        <w:t>三</w:t>
      </w:r>
      <w:r>
        <w:rPr>
          <w:b/>
        </w:rPr>
        <w:t>：</w:t>
      </w:r>
      <w:bookmarkEnd w:id="294"/>
      <w:bookmarkEnd w:id="295"/>
      <w:bookmarkEnd w:id="296"/>
    </w:p>
    <w:p>
      <w:pPr>
        <w:jc w:val="center"/>
        <w:rPr>
          <w:b/>
          <w:sz w:val="32"/>
          <w:szCs w:val="32"/>
        </w:rPr>
      </w:pPr>
    </w:p>
    <w:p>
      <w:pPr>
        <w:spacing w:line="320" w:lineRule="exact"/>
        <w:jc w:val="center"/>
        <w:rPr>
          <w:b/>
          <w:sz w:val="32"/>
          <w:szCs w:val="32"/>
        </w:rPr>
      </w:pPr>
      <w:r>
        <w:rPr>
          <w:b/>
          <w:sz w:val="32"/>
          <w:szCs w:val="32"/>
        </w:rPr>
        <w:t>法定代表人身份证明</w:t>
      </w:r>
    </w:p>
    <w:p>
      <w:pPr>
        <w:spacing w:line="480" w:lineRule="auto"/>
        <w:jc w:val="center"/>
        <w:rPr>
          <w:bCs/>
          <w:sz w:val="24"/>
        </w:rPr>
      </w:pPr>
    </w:p>
    <w:p>
      <w:pPr>
        <w:spacing w:line="480" w:lineRule="auto"/>
        <w:ind w:firstLine="420" w:firstLineChars="200"/>
        <w:rPr>
          <w:szCs w:val="21"/>
        </w:rPr>
      </w:pPr>
      <w:r>
        <w:rPr>
          <w:szCs w:val="21"/>
        </w:rPr>
        <w:t>供应商名称：</w:t>
      </w:r>
    </w:p>
    <w:p>
      <w:pPr>
        <w:spacing w:line="480" w:lineRule="auto"/>
        <w:ind w:firstLine="420" w:firstLineChars="200"/>
        <w:rPr>
          <w:szCs w:val="21"/>
        </w:rPr>
      </w:pPr>
      <w:r>
        <w:rPr>
          <w:szCs w:val="21"/>
        </w:rPr>
        <w:t>单位性质：</w:t>
      </w:r>
    </w:p>
    <w:p>
      <w:pPr>
        <w:spacing w:line="480" w:lineRule="auto"/>
        <w:ind w:firstLine="420" w:firstLineChars="200"/>
        <w:rPr>
          <w:szCs w:val="21"/>
        </w:rPr>
      </w:pPr>
      <w:r>
        <w:rPr>
          <w:szCs w:val="21"/>
        </w:rPr>
        <w:t>地址：</w:t>
      </w:r>
    </w:p>
    <w:p>
      <w:pPr>
        <w:spacing w:line="480" w:lineRule="auto"/>
        <w:ind w:firstLine="420" w:firstLineChars="200"/>
        <w:rPr>
          <w:szCs w:val="21"/>
        </w:rPr>
      </w:pPr>
      <w:r>
        <w:rPr>
          <w:szCs w:val="21"/>
        </w:rPr>
        <w:t>成立时间：</w:t>
      </w:r>
      <w:r>
        <w:rPr>
          <w:rFonts w:hint="eastAsia"/>
          <w:szCs w:val="21"/>
          <w:u w:val="single"/>
        </w:rPr>
        <w:t xml:space="preserve">   </w:t>
      </w:r>
      <w:r>
        <w:rPr>
          <w:szCs w:val="21"/>
        </w:rPr>
        <w:t>年</w:t>
      </w:r>
      <w:r>
        <w:rPr>
          <w:rFonts w:hint="eastAsia"/>
          <w:szCs w:val="21"/>
          <w:u w:val="single"/>
        </w:rPr>
        <w:t xml:space="preserve">   </w:t>
      </w:r>
      <w:r>
        <w:rPr>
          <w:szCs w:val="21"/>
        </w:rPr>
        <w:t>月＿日</w:t>
      </w:r>
    </w:p>
    <w:p>
      <w:pPr>
        <w:spacing w:line="480" w:lineRule="auto"/>
        <w:ind w:firstLine="420" w:firstLineChars="200"/>
        <w:rPr>
          <w:szCs w:val="21"/>
        </w:rPr>
      </w:pPr>
      <w:r>
        <w:rPr>
          <w:szCs w:val="21"/>
        </w:rPr>
        <w:t>经营期限：</w:t>
      </w:r>
    </w:p>
    <w:p>
      <w:pPr>
        <w:spacing w:line="480" w:lineRule="auto"/>
        <w:ind w:firstLine="420" w:firstLineChars="200"/>
        <w:rPr>
          <w:szCs w:val="21"/>
          <w:u w:val="single"/>
        </w:rPr>
      </w:pPr>
      <w:r>
        <w:rPr>
          <w:szCs w:val="21"/>
        </w:rPr>
        <w:t>姓名：</w:t>
      </w:r>
      <w:r>
        <w:rPr>
          <w:rFonts w:hint="eastAsia"/>
          <w:szCs w:val="21"/>
          <w:u w:val="single"/>
        </w:rPr>
        <w:t xml:space="preserve">     </w:t>
      </w:r>
      <w:r>
        <w:rPr>
          <w:szCs w:val="21"/>
        </w:rPr>
        <w:t>性别：</w:t>
      </w:r>
      <w:r>
        <w:rPr>
          <w:rFonts w:hint="eastAsia"/>
          <w:szCs w:val="21"/>
          <w:u w:val="single"/>
        </w:rPr>
        <w:t xml:space="preserve">     </w:t>
      </w:r>
      <w:r>
        <w:rPr>
          <w:szCs w:val="21"/>
        </w:rPr>
        <w:t>年龄：</w:t>
      </w:r>
      <w:r>
        <w:rPr>
          <w:rFonts w:hint="eastAsia"/>
          <w:szCs w:val="21"/>
          <w:u w:val="single"/>
        </w:rPr>
        <w:t xml:space="preserve">      </w:t>
      </w:r>
      <w:r>
        <w:rPr>
          <w:szCs w:val="21"/>
          <w:u w:val="single"/>
        </w:rPr>
        <w:t>周岁</w:t>
      </w:r>
      <w:r>
        <w:rPr>
          <w:rFonts w:hint="eastAsia"/>
          <w:szCs w:val="21"/>
        </w:rPr>
        <w:t xml:space="preserve"> </w:t>
      </w:r>
      <w:r>
        <w:rPr>
          <w:szCs w:val="21"/>
        </w:rPr>
        <w:t>职务：_</w:t>
      </w:r>
      <w:r>
        <w:rPr>
          <w:rFonts w:hint="eastAsia"/>
          <w:szCs w:val="21"/>
          <w:u w:val="single"/>
        </w:rPr>
        <w:t xml:space="preserve">    </w:t>
      </w:r>
    </w:p>
    <w:p>
      <w:pPr>
        <w:spacing w:line="480" w:lineRule="auto"/>
        <w:ind w:firstLine="420" w:firstLineChars="200"/>
        <w:rPr>
          <w:szCs w:val="21"/>
          <w:u w:val="single"/>
        </w:rPr>
      </w:pPr>
      <w:r>
        <w:rPr>
          <w:szCs w:val="21"/>
        </w:rPr>
        <w:t>身份证号码：</w:t>
      </w:r>
    </w:p>
    <w:p>
      <w:pPr>
        <w:spacing w:line="480" w:lineRule="auto"/>
        <w:ind w:firstLine="420" w:firstLineChars="200"/>
        <w:rPr>
          <w:szCs w:val="21"/>
        </w:rPr>
      </w:pPr>
      <w:r>
        <w:rPr>
          <w:szCs w:val="21"/>
        </w:rPr>
        <w:t>系（供应商名称）的法定代表人。</w:t>
      </w:r>
    </w:p>
    <w:p>
      <w:pPr>
        <w:spacing w:line="480" w:lineRule="auto"/>
        <w:ind w:firstLine="840" w:firstLineChars="400"/>
        <w:rPr>
          <w:szCs w:val="21"/>
        </w:rPr>
      </w:pPr>
      <w:r>
        <w:rPr>
          <w:szCs w:val="21"/>
        </w:rPr>
        <w:t>特此证明。</w:t>
      </w:r>
    </w:p>
    <w:p>
      <w:pPr>
        <w:spacing w:line="360" w:lineRule="auto"/>
        <w:ind w:firstLine="420" w:firstLineChars="200"/>
        <w:rPr>
          <w:szCs w:val="21"/>
        </w:rPr>
      </w:pPr>
    </w:p>
    <w:p>
      <w:pPr>
        <w:spacing w:line="360" w:lineRule="auto"/>
        <w:ind w:firstLine="420" w:firstLineChars="200"/>
        <w:rPr>
          <w:szCs w:val="21"/>
        </w:rPr>
      </w:pPr>
    </w:p>
    <w:p>
      <w:pPr>
        <w:wordWrap w:val="0"/>
        <w:spacing w:line="360" w:lineRule="auto"/>
        <w:ind w:right="420" w:firstLine="3045" w:firstLineChars="1450"/>
        <w:rPr>
          <w:szCs w:val="21"/>
        </w:rPr>
      </w:pPr>
      <w:r>
        <w:rPr>
          <w:szCs w:val="21"/>
        </w:rPr>
        <w:t>供应商：（盖单位公章）</w:t>
      </w:r>
    </w:p>
    <w:p>
      <w:pPr>
        <w:spacing w:line="360" w:lineRule="auto"/>
        <w:ind w:firstLine="4515" w:firstLineChars="2150"/>
        <w:rPr>
          <w:szCs w:val="21"/>
          <w:u w:val="single"/>
        </w:rPr>
      </w:pPr>
    </w:p>
    <w:p>
      <w:pPr>
        <w:spacing w:line="360" w:lineRule="auto"/>
        <w:ind w:firstLine="3675" w:firstLineChars="1750"/>
        <w:rPr>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p>
      <w:pPr>
        <w:spacing w:line="360" w:lineRule="auto"/>
        <w:ind w:firstLine="3689" w:firstLineChars="1750"/>
        <w:rPr>
          <w:b/>
          <w:szCs w:val="21"/>
        </w:rPr>
      </w:pPr>
    </w:p>
    <w:p>
      <w:pPr>
        <w:spacing w:line="360" w:lineRule="auto"/>
        <w:ind w:firstLine="3689" w:firstLineChars="1750"/>
        <w:rPr>
          <w:b/>
          <w:szCs w:val="21"/>
        </w:rPr>
      </w:pPr>
    </w:p>
    <w:p>
      <w:pPr>
        <w:spacing w:line="360" w:lineRule="auto"/>
        <w:jc w:val="left"/>
        <w:rPr>
          <w:b/>
          <w:szCs w:val="21"/>
        </w:rPr>
      </w:pPr>
      <w:r>
        <w:rPr>
          <w:b/>
          <w:szCs w:val="21"/>
        </w:rPr>
        <w:t>附法定代表人身份证复印件</w:t>
      </w:r>
      <w:r>
        <w:rPr>
          <w:rFonts w:hint="eastAsia"/>
          <w:b/>
          <w:szCs w:val="21"/>
        </w:rPr>
        <w:t>加盖公章</w:t>
      </w:r>
      <w:r>
        <w:rPr>
          <w:b/>
          <w:szCs w:val="21"/>
        </w:rPr>
        <w:t>（正反面）：</w:t>
      </w:r>
    </w:p>
    <w:p/>
    <w:p>
      <w:pPr>
        <w:jc w:val="left"/>
        <w:rPr>
          <w:b/>
          <w:sz w:val="32"/>
          <w:szCs w:val="32"/>
        </w:rPr>
      </w:pPr>
    </w:p>
    <w:p>
      <w:pPr>
        <w:jc w:val="left"/>
        <w:outlineLvl w:val="1"/>
        <w:rPr>
          <w:b/>
          <w:szCs w:val="21"/>
        </w:rPr>
      </w:pPr>
      <w:r>
        <w:rPr>
          <w:szCs w:val="21"/>
        </w:rPr>
        <w:br w:type="page"/>
      </w:r>
      <w:bookmarkStart w:id="297" w:name="_Toc14313"/>
      <w:bookmarkStart w:id="298" w:name="_Toc27525"/>
      <w:bookmarkStart w:id="299" w:name="_Toc31513"/>
      <w:r>
        <w:rPr>
          <w:b/>
          <w:szCs w:val="21"/>
        </w:rPr>
        <w:t>格式</w:t>
      </w:r>
      <w:r>
        <w:rPr>
          <w:rFonts w:hint="eastAsia"/>
          <w:b/>
          <w:szCs w:val="21"/>
        </w:rPr>
        <w:t>四</w:t>
      </w:r>
      <w:r>
        <w:rPr>
          <w:b/>
          <w:szCs w:val="21"/>
        </w:rPr>
        <w:t>：</w:t>
      </w:r>
      <w:bookmarkEnd w:id="297"/>
      <w:bookmarkEnd w:id="298"/>
      <w:bookmarkEnd w:id="299"/>
    </w:p>
    <w:p>
      <w:pPr>
        <w:pStyle w:val="72"/>
      </w:pPr>
    </w:p>
    <w:p>
      <w:pPr>
        <w:spacing w:line="340" w:lineRule="exact"/>
        <w:jc w:val="center"/>
        <w:rPr>
          <w:b/>
          <w:sz w:val="32"/>
          <w:szCs w:val="32"/>
        </w:rPr>
      </w:pPr>
      <w:r>
        <w:rPr>
          <w:b/>
          <w:sz w:val="32"/>
          <w:szCs w:val="32"/>
        </w:rPr>
        <w:t>法定代表人授权委托书</w:t>
      </w:r>
    </w:p>
    <w:p>
      <w:pPr>
        <w:jc w:val="center"/>
        <w:rPr>
          <w:bCs/>
          <w:sz w:val="24"/>
        </w:rPr>
      </w:pPr>
    </w:p>
    <w:p>
      <w:pPr>
        <w:jc w:val="center"/>
        <w:rPr>
          <w:b/>
          <w:sz w:val="32"/>
          <w:szCs w:val="32"/>
        </w:rPr>
      </w:pPr>
      <w:r>
        <w:rPr>
          <w:bCs/>
          <w:sz w:val="24"/>
        </w:rPr>
        <w:t>（</w:t>
      </w:r>
      <w:r>
        <w:rPr>
          <w:rFonts w:hint="eastAsia"/>
          <w:bCs/>
          <w:sz w:val="24"/>
        </w:rPr>
        <w:t>非法定代表人参与投标</w:t>
      </w:r>
      <w:r>
        <w:rPr>
          <w:bCs/>
          <w:sz w:val="24"/>
        </w:rPr>
        <w:t>用</w:t>
      </w:r>
      <w:r>
        <w:rPr>
          <w:rFonts w:hint="eastAsia"/>
          <w:bCs/>
          <w:sz w:val="24"/>
        </w:rPr>
        <w:t>此表</w:t>
      </w:r>
      <w:r>
        <w:rPr>
          <w:bCs/>
          <w:sz w:val="24"/>
        </w:rPr>
        <w:t>）</w:t>
      </w:r>
    </w:p>
    <w:p>
      <w:pPr>
        <w:snapToGrid w:val="0"/>
        <w:spacing w:line="360" w:lineRule="auto"/>
        <w:rPr>
          <w:bCs/>
          <w:szCs w:val="21"/>
        </w:rPr>
      </w:pPr>
    </w:p>
    <w:p>
      <w:pPr>
        <w:snapToGrid w:val="0"/>
        <w:spacing w:line="360" w:lineRule="auto"/>
        <w:rPr>
          <w:szCs w:val="21"/>
        </w:rPr>
      </w:pPr>
      <w:r>
        <w:rPr>
          <w:bCs/>
          <w:szCs w:val="21"/>
        </w:rPr>
        <w:t>致：</w:t>
      </w:r>
      <w:r>
        <w:rPr>
          <w:szCs w:val="21"/>
        </w:rPr>
        <w:t>（采购单位名称）：</w:t>
      </w:r>
    </w:p>
    <w:p>
      <w:pPr>
        <w:snapToGrid w:val="0"/>
        <w:spacing w:line="360" w:lineRule="auto"/>
        <w:ind w:firstLine="525" w:firstLineChars="250"/>
        <w:rPr>
          <w:szCs w:val="21"/>
          <w:u w:val="single"/>
        </w:rPr>
      </w:pPr>
      <w:r>
        <w:rPr>
          <w:szCs w:val="21"/>
        </w:rPr>
        <w:t>我（姓名）系（供应商名称）的法定代表人，现授权委托本单位在职职工（姓名）以我方的名义参加</w:t>
      </w:r>
      <w:r>
        <w:rPr>
          <w:rFonts w:hint="eastAsia"/>
          <w:szCs w:val="21"/>
          <w:u w:val="single"/>
        </w:rPr>
        <w:t xml:space="preserve">  项目名称、项目编号  </w:t>
      </w:r>
      <w:r>
        <w:rPr>
          <w:szCs w:val="21"/>
        </w:rPr>
        <w:t>的投标活动，并代表我方全权办理针对上述项目的投标、开标、评标、签约等具体事务和签署相关文件。</w:t>
      </w:r>
    </w:p>
    <w:p>
      <w:pPr>
        <w:snapToGrid w:val="0"/>
        <w:spacing w:line="360" w:lineRule="auto"/>
        <w:ind w:firstLine="420" w:firstLineChars="200"/>
        <w:rPr>
          <w:szCs w:val="21"/>
          <w:u w:val="single"/>
        </w:rPr>
      </w:pPr>
      <w:r>
        <w:rPr>
          <w:szCs w:val="21"/>
        </w:rPr>
        <w:t>我方对被授权人的签名事项负全部责任。</w:t>
      </w:r>
    </w:p>
    <w:p>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pPr>
        <w:snapToGrid w:val="0"/>
        <w:spacing w:line="360" w:lineRule="auto"/>
        <w:ind w:firstLine="480"/>
        <w:rPr>
          <w:szCs w:val="21"/>
        </w:rPr>
      </w:pPr>
      <w:r>
        <w:rPr>
          <w:szCs w:val="21"/>
        </w:rPr>
        <w:t>被授权人无转委托权，特此委托。</w:t>
      </w:r>
    </w:p>
    <w:p>
      <w:pPr>
        <w:snapToGrid w:val="0"/>
        <w:spacing w:line="360" w:lineRule="auto"/>
        <w:rPr>
          <w:szCs w:val="21"/>
        </w:rPr>
      </w:pPr>
    </w:p>
    <w:p>
      <w:pPr>
        <w:snapToGrid w:val="0"/>
        <w:spacing w:line="360" w:lineRule="auto"/>
        <w:rPr>
          <w:szCs w:val="21"/>
        </w:rPr>
      </w:pPr>
    </w:p>
    <w:p>
      <w:pPr>
        <w:snapToGrid w:val="0"/>
        <w:spacing w:line="360" w:lineRule="auto"/>
        <w:rPr>
          <w:szCs w:val="21"/>
          <w:u w:val="single"/>
        </w:rPr>
      </w:pPr>
      <w:r>
        <w:rPr>
          <w:szCs w:val="21"/>
        </w:rPr>
        <w:t>被授权人签名：</w:t>
      </w:r>
      <w:r>
        <w:rPr>
          <w:rFonts w:hint="eastAsia"/>
          <w:szCs w:val="21"/>
        </w:rPr>
        <w:t xml:space="preserve">                   </w:t>
      </w:r>
      <w:r>
        <w:rPr>
          <w:szCs w:val="21"/>
        </w:rPr>
        <w:t>法定代表人签名：</w:t>
      </w:r>
    </w:p>
    <w:p>
      <w:pPr>
        <w:snapToGrid w:val="0"/>
        <w:spacing w:line="360" w:lineRule="auto"/>
        <w:ind w:firstLine="840" w:firstLineChars="400"/>
        <w:rPr>
          <w:szCs w:val="21"/>
        </w:rPr>
      </w:pPr>
      <w:r>
        <w:rPr>
          <w:szCs w:val="21"/>
        </w:rPr>
        <w:t>职务：</w:t>
      </w:r>
      <w:r>
        <w:rPr>
          <w:rFonts w:hint="eastAsia"/>
          <w:szCs w:val="21"/>
        </w:rPr>
        <w:t xml:space="preserve">                   </w:t>
      </w:r>
      <w:r>
        <w:rPr>
          <w:szCs w:val="21"/>
        </w:rPr>
        <w:t>职务：</w:t>
      </w:r>
    </w:p>
    <w:p>
      <w:pPr>
        <w:snapToGrid w:val="0"/>
        <w:spacing w:line="360" w:lineRule="auto"/>
        <w:rPr>
          <w:szCs w:val="21"/>
        </w:rPr>
      </w:pPr>
      <w:r>
        <w:rPr>
          <w:szCs w:val="21"/>
        </w:rPr>
        <w:t>被授权人身份证号码：</w:t>
      </w:r>
    </w:p>
    <w:p>
      <w:pPr>
        <w:snapToGrid w:val="0"/>
        <w:spacing w:line="360" w:lineRule="auto"/>
        <w:ind w:firstLine="4830" w:firstLineChars="2300"/>
        <w:rPr>
          <w:szCs w:val="21"/>
        </w:rPr>
      </w:pPr>
    </w:p>
    <w:p>
      <w:pPr>
        <w:snapToGrid w:val="0"/>
        <w:spacing w:line="360" w:lineRule="auto"/>
        <w:ind w:firstLine="4830" w:firstLineChars="2300"/>
        <w:rPr>
          <w:szCs w:val="21"/>
        </w:rPr>
      </w:pPr>
      <w:r>
        <w:rPr>
          <w:szCs w:val="21"/>
        </w:rPr>
        <w:t>供应商公章：</w:t>
      </w:r>
    </w:p>
    <w:p>
      <w:pPr>
        <w:snapToGrid w:val="0"/>
        <w:spacing w:line="360" w:lineRule="auto"/>
        <w:ind w:firstLine="4830" w:firstLineChars="2300"/>
        <w:rPr>
          <w:szCs w:val="21"/>
        </w:rPr>
      </w:pPr>
    </w:p>
    <w:p>
      <w:pPr>
        <w:snapToGrid w:val="0"/>
        <w:spacing w:line="360" w:lineRule="auto"/>
        <w:jc w:val="center"/>
        <w:rPr>
          <w:szCs w:val="21"/>
        </w:rPr>
      </w:pP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pPr>
        <w:pStyle w:val="72"/>
        <w:rPr>
          <w:szCs w:val="21"/>
        </w:rPr>
      </w:pPr>
    </w:p>
    <w:p>
      <w:pPr>
        <w:pStyle w:val="72"/>
        <w:rPr>
          <w:szCs w:val="21"/>
        </w:rPr>
      </w:pPr>
    </w:p>
    <w:p>
      <w:pPr>
        <w:spacing w:line="360" w:lineRule="auto"/>
        <w:ind w:firstLine="103" w:firstLineChars="49"/>
        <w:rPr>
          <w:b/>
          <w:szCs w:val="21"/>
        </w:rPr>
      </w:pPr>
      <w:r>
        <w:rPr>
          <w:b/>
          <w:szCs w:val="21"/>
        </w:rPr>
        <w:t>附：授权代表身份证复印件</w:t>
      </w:r>
      <w:r>
        <w:rPr>
          <w:rFonts w:hint="eastAsia"/>
          <w:b/>
          <w:szCs w:val="21"/>
        </w:rPr>
        <w:t>加盖公章</w:t>
      </w:r>
      <w:r>
        <w:rPr>
          <w:b/>
          <w:szCs w:val="21"/>
        </w:rPr>
        <w:t>（正反面）</w:t>
      </w:r>
    </w:p>
    <w:p>
      <w:pPr>
        <w:widowControl/>
        <w:jc w:val="left"/>
        <w:rPr>
          <w:b/>
          <w:szCs w:val="21"/>
        </w:rPr>
      </w:pPr>
      <w:r>
        <w:rPr>
          <w:b/>
          <w:szCs w:val="21"/>
        </w:rPr>
        <w:br w:type="page"/>
      </w:r>
    </w:p>
    <w:p>
      <w:pPr>
        <w:outlineLvl w:val="1"/>
      </w:pPr>
      <w:bookmarkStart w:id="300" w:name="_Toc8242"/>
      <w:bookmarkStart w:id="301" w:name="_Toc5007"/>
      <w:bookmarkStart w:id="302" w:name="_Toc22094"/>
      <w:r>
        <w:rPr>
          <w:b/>
          <w:szCs w:val="21"/>
        </w:rPr>
        <w:t>格式</w:t>
      </w:r>
      <w:r>
        <w:rPr>
          <w:rFonts w:hint="eastAsia"/>
          <w:b/>
          <w:szCs w:val="21"/>
        </w:rPr>
        <w:t>五</w:t>
      </w:r>
      <w:r>
        <w:rPr>
          <w:b/>
          <w:szCs w:val="21"/>
        </w:rPr>
        <w:t>：</w:t>
      </w:r>
      <w:bookmarkEnd w:id="300"/>
      <w:bookmarkEnd w:id="301"/>
      <w:bookmarkEnd w:id="302"/>
    </w:p>
    <w:p>
      <w:pPr>
        <w:spacing w:line="360" w:lineRule="auto"/>
        <w:jc w:val="center"/>
        <w:rPr>
          <w:b/>
          <w:szCs w:val="21"/>
        </w:rPr>
      </w:pPr>
      <w:bookmarkStart w:id="303" w:name="_Toc225223761"/>
      <w:bookmarkStart w:id="304" w:name="_Toc14746861"/>
      <w:bookmarkStart w:id="305" w:name="_Toc483379796"/>
      <w:bookmarkStart w:id="306" w:name="_Toc479927873"/>
      <w:bookmarkStart w:id="307" w:name="_Toc110393361"/>
      <w:bookmarkStart w:id="308" w:name="_Toc488936100"/>
    </w:p>
    <w:p>
      <w:pPr>
        <w:spacing w:line="360" w:lineRule="auto"/>
        <w:jc w:val="center"/>
        <w:rPr>
          <w:b/>
          <w:sz w:val="32"/>
          <w:szCs w:val="32"/>
        </w:rPr>
      </w:pPr>
      <w:r>
        <w:rPr>
          <w:b/>
          <w:sz w:val="32"/>
          <w:szCs w:val="32"/>
        </w:rPr>
        <w:t>投标人基本情况说明</w:t>
      </w:r>
      <w:bookmarkEnd w:id="303"/>
      <w:bookmarkEnd w:id="304"/>
      <w:bookmarkEnd w:id="305"/>
      <w:bookmarkEnd w:id="306"/>
      <w:bookmarkEnd w:id="307"/>
      <w:bookmarkEnd w:id="308"/>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szCs w:val="21"/>
              </w:rPr>
            </w:pPr>
            <w:r>
              <w:rPr>
                <w:szCs w:val="21"/>
              </w:rPr>
              <w:t>单位名称</w:t>
            </w:r>
          </w:p>
        </w:tc>
        <w:tc>
          <w:tcPr>
            <w:tcW w:w="3675" w:type="dxa"/>
            <w:gridSpan w:val="3"/>
            <w:vAlign w:val="center"/>
          </w:tcPr>
          <w:p>
            <w:pPr>
              <w:spacing w:line="360" w:lineRule="auto"/>
              <w:jc w:val="center"/>
              <w:rPr>
                <w:szCs w:val="21"/>
              </w:rPr>
            </w:pPr>
          </w:p>
        </w:tc>
        <w:tc>
          <w:tcPr>
            <w:tcW w:w="1785" w:type="dxa"/>
            <w:vAlign w:val="center"/>
          </w:tcPr>
          <w:p>
            <w:pPr>
              <w:spacing w:line="360" w:lineRule="auto"/>
              <w:jc w:val="center"/>
              <w:rPr>
                <w:szCs w:val="21"/>
              </w:rPr>
            </w:pPr>
            <w:r>
              <w:rPr>
                <w:szCs w:val="21"/>
              </w:rPr>
              <w:t>组织机构代码</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szCs w:val="21"/>
              </w:rPr>
            </w:pPr>
            <w:r>
              <w:rPr>
                <w:szCs w:val="21"/>
              </w:rPr>
              <w:t>注册地址</w:t>
            </w:r>
          </w:p>
        </w:tc>
        <w:tc>
          <w:tcPr>
            <w:tcW w:w="3675" w:type="dxa"/>
            <w:gridSpan w:val="3"/>
            <w:vAlign w:val="center"/>
          </w:tcPr>
          <w:p>
            <w:pPr>
              <w:spacing w:line="360" w:lineRule="auto"/>
              <w:jc w:val="center"/>
              <w:rPr>
                <w:szCs w:val="21"/>
              </w:rPr>
            </w:pPr>
          </w:p>
        </w:tc>
        <w:tc>
          <w:tcPr>
            <w:tcW w:w="1785" w:type="dxa"/>
            <w:vAlign w:val="center"/>
          </w:tcPr>
          <w:p>
            <w:pPr>
              <w:spacing w:line="360" w:lineRule="auto"/>
              <w:jc w:val="center"/>
              <w:rPr>
                <w:szCs w:val="21"/>
              </w:rPr>
            </w:pPr>
            <w:r>
              <w:rPr>
                <w:szCs w:val="21"/>
              </w:rPr>
              <w:t>注册登记号</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szCs w:val="21"/>
              </w:rPr>
            </w:pPr>
            <w:r>
              <w:rPr>
                <w:szCs w:val="21"/>
              </w:rPr>
              <w:t>经营地址</w:t>
            </w:r>
          </w:p>
        </w:tc>
        <w:tc>
          <w:tcPr>
            <w:tcW w:w="3675" w:type="dxa"/>
            <w:gridSpan w:val="3"/>
            <w:vAlign w:val="center"/>
          </w:tcPr>
          <w:p>
            <w:pPr>
              <w:spacing w:line="360" w:lineRule="auto"/>
              <w:jc w:val="center"/>
              <w:rPr>
                <w:szCs w:val="21"/>
              </w:rPr>
            </w:pPr>
          </w:p>
        </w:tc>
        <w:tc>
          <w:tcPr>
            <w:tcW w:w="1785" w:type="dxa"/>
            <w:vAlign w:val="center"/>
          </w:tcPr>
          <w:p>
            <w:pPr>
              <w:spacing w:line="360" w:lineRule="auto"/>
              <w:jc w:val="center"/>
              <w:rPr>
                <w:spacing w:val="30"/>
                <w:szCs w:val="21"/>
              </w:rPr>
            </w:pPr>
            <w:r>
              <w:rPr>
                <w:szCs w:val="21"/>
              </w:rPr>
              <w:t>税务登记证号</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szCs w:val="21"/>
              </w:rPr>
            </w:pPr>
            <w:r>
              <w:rPr>
                <w:szCs w:val="21"/>
              </w:rPr>
              <w:t>单位性质</w:t>
            </w:r>
          </w:p>
        </w:tc>
        <w:tc>
          <w:tcPr>
            <w:tcW w:w="3675" w:type="dxa"/>
            <w:gridSpan w:val="3"/>
            <w:vAlign w:val="center"/>
          </w:tcPr>
          <w:p>
            <w:pPr>
              <w:pStyle w:val="181"/>
              <w:widowControl w:val="0"/>
              <w:spacing w:before="0" w:beforeAutospacing="0" w:after="0" w:afterAutospacing="0" w:line="360" w:lineRule="auto"/>
              <w:ind w:left="1320" w:firstLine="420"/>
              <w:rPr>
                <w:rFonts w:ascii="Times New Roman" w:hAnsi="Times New Roman" w:eastAsia="宋体"/>
                <w:kern w:val="2"/>
                <w:sz w:val="21"/>
                <w:szCs w:val="21"/>
              </w:rPr>
            </w:pPr>
          </w:p>
        </w:tc>
        <w:tc>
          <w:tcPr>
            <w:tcW w:w="1785" w:type="dxa"/>
            <w:vAlign w:val="center"/>
          </w:tcPr>
          <w:p>
            <w:pPr>
              <w:spacing w:line="360" w:lineRule="auto"/>
              <w:jc w:val="center"/>
              <w:rPr>
                <w:spacing w:val="34"/>
                <w:szCs w:val="21"/>
              </w:rPr>
            </w:pPr>
            <w:r>
              <w:rPr>
                <w:spacing w:val="34"/>
                <w:szCs w:val="21"/>
              </w:rPr>
              <w:t>注册资本</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szCs w:val="21"/>
              </w:rPr>
            </w:pPr>
            <w:r>
              <w:rPr>
                <w:szCs w:val="21"/>
              </w:rPr>
              <w:t>经营范围</w:t>
            </w:r>
          </w:p>
        </w:tc>
        <w:tc>
          <w:tcPr>
            <w:tcW w:w="3675" w:type="dxa"/>
            <w:gridSpan w:val="3"/>
            <w:vAlign w:val="center"/>
          </w:tcPr>
          <w:p>
            <w:pPr>
              <w:spacing w:line="360" w:lineRule="auto"/>
              <w:jc w:val="center"/>
              <w:rPr>
                <w:szCs w:val="21"/>
              </w:rPr>
            </w:pPr>
          </w:p>
        </w:tc>
        <w:tc>
          <w:tcPr>
            <w:tcW w:w="1785" w:type="dxa"/>
            <w:vAlign w:val="center"/>
          </w:tcPr>
          <w:p>
            <w:pPr>
              <w:spacing w:line="360" w:lineRule="auto"/>
              <w:jc w:val="center"/>
              <w:rPr>
                <w:szCs w:val="21"/>
              </w:rPr>
            </w:pPr>
            <w:r>
              <w:rPr>
                <w:szCs w:val="21"/>
              </w:rPr>
              <w:t>营业期限</w:t>
            </w:r>
          </w:p>
        </w:tc>
        <w:tc>
          <w:tcPr>
            <w:tcW w:w="2234" w:type="dxa"/>
            <w:vAlign w:val="center"/>
          </w:tcPr>
          <w:p>
            <w:pPr>
              <w:spacing w:line="360" w:lineRule="auto"/>
              <w:jc w:val="center"/>
              <w:rPr>
                <w:szCs w:val="21"/>
              </w:rPr>
            </w:pPr>
            <w:r>
              <w:rPr>
                <w:szCs w:val="21"/>
              </w:rPr>
              <w:t>年月-  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szCs w:val="21"/>
              </w:rPr>
            </w:pPr>
            <w:r>
              <w:rPr>
                <w:szCs w:val="21"/>
              </w:rPr>
              <w:t>资质情况</w:t>
            </w:r>
          </w:p>
        </w:tc>
        <w:tc>
          <w:tcPr>
            <w:tcW w:w="7694" w:type="dxa"/>
            <w:gridSpan w:val="5"/>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szCs w:val="21"/>
              </w:rPr>
            </w:pPr>
            <w:r>
              <w:rPr>
                <w:szCs w:val="21"/>
              </w:rPr>
              <w:t>员工数量</w:t>
            </w:r>
          </w:p>
        </w:tc>
        <w:tc>
          <w:tcPr>
            <w:tcW w:w="7694" w:type="dxa"/>
            <w:gridSpan w:val="5"/>
            <w:vAlign w:val="center"/>
          </w:tcPr>
          <w:p>
            <w:pPr>
              <w:spacing w:line="360" w:lineRule="auto"/>
              <w:rPr>
                <w:szCs w:val="21"/>
              </w:rPr>
            </w:pPr>
            <w:r>
              <w:rPr>
                <w:szCs w:val="21"/>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szCs w:val="21"/>
              </w:rPr>
            </w:pPr>
            <w:r>
              <w:rPr>
                <w:szCs w:val="21"/>
              </w:rPr>
              <w:t>联系电话</w:t>
            </w:r>
          </w:p>
        </w:tc>
        <w:tc>
          <w:tcPr>
            <w:tcW w:w="3675" w:type="dxa"/>
            <w:gridSpan w:val="3"/>
            <w:vAlign w:val="center"/>
          </w:tcPr>
          <w:p>
            <w:pPr>
              <w:spacing w:line="360" w:lineRule="auto"/>
              <w:jc w:val="center"/>
              <w:rPr>
                <w:szCs w:val="21"/>
              </w:rPr>
            </w:pPr>
          </w:p>
        </w:tc>
        <w:tc>
          <w:tcPr>
            <w:tcW w:w="1785" w:type="dxa"/>
            <w:vAlign w:val="center"/>
          </w:tcPr>
          <w:p>
            <w:pPr>
              <w:spacing w:line="360" w:lineRule="auto"/>
              <w:jc w:val="center"/>
              <w:rPr>
                <w:szCs w:val="21"/>
              </w:rPr>
            </w:pPr>
            <w:r>
              <w:rPr>
                <w:szCs w:val="21"/>
              </w:rPr>
              <w:t>传真</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70" w:type="dxa"/>
            <w:vAlign w:val="center"/>
          </w:tcPr>
          <w:p>
            <w:pPr>
              <w:spacing w:line="360" w:lineRule="auto"/>
              <w:jc w:val="center"/>
              <w:rPr>
                <w:szCs w:val="21"/>
              </w:rPr>
            </w:pPr>
            <w:r>
              <w:rPr>
                <w:szCs w:val="21"/>
              </w:rPr>
              <w:t>主要业绩</w:t>
            </w:r>
          </w:p>
        </w:tc>
        <w:tc>
          <w:tcPr>
            <w:tcW w:w="7694" w:type="dxa"/>
            <w:gridSpan w:val="5"/>
            <w:vAlign w:val="center"/>
          </w:tcPr>
          <w:p>
            <w:pPr>
              <w:spacing w:line="360" w:lineRule="auto"/>
              <w:rPr>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4" w:type="dxa"/>
            <w:gridSpan w:val="6"/>
            <w:vAlign w:val="center"/>
          </w:tcPr>
          <w:p>
            <w:pPr>
              <w:spacing w:line="360" w:lineRule="auto"/>
              <w:jc w:val="center"/>
              <w:rPr>
                <w:szCs w:val="21"/>
              </w:rPr>
            </w:pPr>
            <w:r>
              <w:rPr>
                <w:szCs w:val="21"/>
              </w:rPr>
              <w:t>法定代表人基本情况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szCs w:val="21"/>
              </w:rPr>
            </w:pPr>
            <w:r>
              <w:rPr>
                <w:szCs w:val="21"/>
              </w:rPr>
              <w:t>姓名</w:t>
            </w:r>
          </w:p>
        </w:tc>
        <w:tc>
          <w:tcPr>
            <w:tcW w:w="3675" w:type="dxa"/>
            <w:gridSpan w:val="3"/>
            <w:vAlign w:val="center"/>
          </w:tcPr>
          <w:p>
            <w:pPr>
              <w:spacing w:line="360" w:lineRule="auto"/>
              <w:jc w:val="center"/>
              <w:rPr>
                <w:szCs w:val="21"/>
              </w:rPr>
            </w:pPr>
          </w:p>
        </w:tc>
        <w:tc>
          <w:tcPr>
            <w:tcW w:w="1785" w:type="dxa"/>
            <w:vAlign w:val="center"/>
          </w:tcPr>
          <w:p>
            <w:pPr>
              <w:spacing w:line="360" w:lineRule="auto"/>
              <w:jc w:val="center"/>
              <w:rPr>
                <w:szCs w:val="21"/>
              </w:rPr>
            </w:pPr>
            <w:r>
              <w:rPr>
                <w:szCs w:val="21"/>
              </w:rPr>
              <w:t>身份证号码</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szCs w:val="21"/>
              </w:rPr>
            </w:pPr>
            <w:r>
              <w:rPr>
                <w:szCs w:val="21"/>
              </w:rPr>
              <w:t>职务</w:t>
            </w:r>
          </w:p>
        </w:tc>
        <w:tc>
          <w:tcPr>
            <w:tcW w:w="1680" w:type="dxa"/>
            <w:vAlign w:val="center"/>
          </w:tcPr>
          <w:p>
            <w:pPr>
              <w:spacing w:line="360" w:lineRule="auto"/>
              <w:jc w:val="center"/>
              <w:rPr>
                <w:szCs w:val="21"/>
              </w:rPr>
            </w:pPr>
          </w:p>
        </w:tc>
        <w:tc>
          <w:tcPr>
            <w:tcW w:w="1050" w:type="dxa"/>
            <w:vAlign w:val="center"/>
          </w:tcPr>
          <w:p>
            <w:pPr>
              <w:spacing w:line="360" w:lineRule="auto"/>
              <w:jc w:val="center"/>
              <w:rPr>
                <w:szCs w:val="21"/>
              </w:rPr>
            </w:pPr>
            <w:r>
              <w:rPr>
                <w:szCs w:val="21"/>
              </w:rPr>
              <w:t>职称</w:t>
            </w:r>
          </w:p>
        </w:tc>
        <w:tc>
          <w:tcPr>
            <w:tcW w:w="945" w:type="dxa"/>
            <w:vAlign w:val="center"/>
          </w:tcPr>
          <w:p>
            <w:pPr>
              <w:spacing w:line="360" w:lineRule="auto"/>
              <w:jc w:val="center"/>
              <w:rPr>
                <w:szCs w:val="21"/>
              </w:rPr>
            </w:pPr>
          </w:p>
        </w:tc>
        <w:tc>
          <w:tcPr>
            <w:tcW w:w="1785" w:type="dxa"/>
            <w:vAlign w:val="center"/>
          </w:tcPr>
          <w:p>
            <w:pPr>
              <w:spacing w:line="360" w:lineRule="auto"/>
              <w:jc w:val="center"/>
              <w:rPr>
                <w:szCs w:val="21"/>
              </w:rPr>
            </w:pPr>
            <w:r>
              <w:rPr>
                <w:szCs w:val="21"/>
              </w:rPr>
              <w:t>学历</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64" w:type="dxa"/>
            <w:gridSpan w:val="6"/>
          </w:tcPr>
          <w:p>
            <w:pPr>
              <w:spacing w:line="360" w:lineRule="auto"/>
              <w:rPr>
                <w:szCs w:val="21"/>
              </w:rPr>
            </w:pPr>
            <w:r>
              <w:rPr>
                <w:szCs w:val="21"/>
              </w:rPr>
              <w:t>备注:</w:t>
            </w:r>
          </w:p>
        </w:tc>
      </w:tr>
    </w:tbl>
    <w:p>
      <w:pPr>
        <w:spacing w:line="360" w:lineRule="auto"/>
        <w:rPr>
          <w:b/>
          <w:szCs w:val="21"/>
        </w:rPr>
      </w:pPr>
      <w:r>
        <w:rPr>
          <w:b/>
          <w:szCs w:val="21"/>
        </w:rPr>
        <w:t>兹证明上述声明是真实、正确的，并提供了全部能提供的资料和数据，我们同意遵照贵方要求出示有关证明文件。</w:t>
      </w:r>
    </w:p>
    <w:p>
      <w:pPr>
        <w:spacing w:line="360" w:lineRule="auto"/>
        <w:rPr>
          <w:b/>
        </w:rPr>
      </w:pPr>
    </w:p>
    <w:p>
      <w:pPr>
        <w:spacing w:line="360" w:lineRule="auto"/>
        <w:rPr>
          <w:b/>
        </w:rPr>
      </w:pPr>
    </w:p>
    <w:p/>
    <w:p>
      <w:pPr>
        <w:widowControl/>
        <w:spacing w:line="360" w:lineRule="auto"/>
        <w:ind w:firstLine="3360" w:firstLineChars="1400"/>
        <w:jc w:val="left"/>
        <w:rPr>
          <w:sz w:val="24"/>
        </w:rPr>
      </w:pPr>
      <w:r>
        <w:rPr>
          <w:sz w:val="24"/>
        </w:rPr>
        <w:t>投标人（盖章）：</w:t>
      </w:r>
    </w:p>
    <w:p>
      <w:pPr>
        <w:pStyle w:val="16"/>
        <w:widowControl/>
        <w:spacing w:line="360" w:lineRule="auto"/>
        <w:ind w:firstLine="3460" w:firstLineChars="1442"/>
        <w:jc w:val="left"/>
        <w:rPr>
          <w:rFonts w:ascii="Times New Roman"/>
          <w:spacing w:val="0"/>
          <w:sz w:val="24"/>
          <w:szCs w:val="24"/>
        </w:rPr>
      </w:pPr>
      <w:r>
        <w:rPr>
          <w:rFonts w:ascii="Times New Roman"/>
          <w:spacing w:val="0"/>
          <w:sz w:val="24"/>
          <w:szCs w:val="24"/>
        </w:rPr>
        <w:t>日</w:t>
      </w:r>
      <w:r>
        <w:rPr>
          <w:rFonts w:hint="eastAsia" w:ascii="Times New Roman"/>
          <w:spacing w:val="0"/>
          <w:sz w:val="24"/>
          <w:szCs w:val="24"/>
        </w:rPr>
        <w:t xml:space="preserve">   </w:t>
      </w:r>
      <w:r>
        <w:rPr>
          <w:rFonts w:ascii="Times New Roman"/>
          <w:spacing w:val="0"/>
          <w:sz w:val="24"/>
          <w:szCs w:val="24"/>
        </w:rPr>
        <w:t>期：</w:t>
      </w:r>
    </w:p>
    <w:p/>
    <w:p>
      <w:pPr>
        <w:spacing w:line="360" w:lineRule="auto"/>
        <w:ind w:firstLine="103" w:firstLineChars="49"/>
        <w:rPr>
          <w:b/>
          <w:szCs w:val="21"/>
        </w:rPr>
      </w:pPr>
    </w:p>
    <w:p>
      <w:pPr>
        <w:snapToGrid w:val="0"/>
        <w:spacing w:line="360" w:lineRule="auto"/>
        <w:rPr>
          <w:szCs w:val="21"/>
        </w:rPr>
      </w:pPr>
    </w:p>
    <w:p>
      <w:pPr>
        <w:spacing w:line="360" w:lineRule="auto"/>
        <w:rPr>
          <w:sz w:val="24"/>
          <w:szCs w:val="21"/>
        </w:rPr>
        <w:sectPr>
          <w:footerReference r:id="rId8" w:type="default"/>
          <w:pgSz w:w="11907" w:h="16840"/>
          <w:pgMar w:top="1276" w:right="1474" w:bottom="567" w:left="1474" w:header="720" w:footer="720" w:gutter="0"/>
          <w:cols w:space="720" w:num="1"/>
          <w:docGrid w:linePitch="285" w:charSpace="0"/>
        </w:sectPr>
      </w:pPr>
    </w:p>
    <w:p>
      <w:pPr>
        <w:pStyle w:val="16"/>
        <w:spacing w:line="400" w:lineRule="exact"/>
        <w:jc w:val="left"/>
        <w:outlineLvl w:val="1"/>
        <w:rPr>
          <w:rFonts w:ascii="Times New Roman"/>
          <w:b/>
          <w:sz w:val="21"/>
          <w:szCs w:val="21"/>
        </w:rPr>
      </w:pPr>
      <w:bookmarkStart w:id="309" w:name="_Toc5979"/>
      <w:bookmarkStart w:id="310" w:name="_Toc4362"/>
      <w:bookmarkStart w:id="311" w:name="_Toc7051"/>
      <w:r>
        <w:rPr>
          <w:rFonts w:ascii="Times New Roman"/>
          <w:b/>
          <w:sz w:val="21"/>
          <w:szCs w:val="21"/>
        </w:rPr>
        <w:t>格式</w:t>
      </w:r>
      <w:r>
        <w:rPr>
          <w:rFonts w:hint="eastAsia" w:ascii="Times New Roman"/>
          <w:b/>
          <w:sz w:val="21"/>
          <w:szCs w:val="21"/>
        </w:rPr>
        <w:t>六</w:t>
      </w:r>
      <w:r>
        <w:rPr>
          <w:rFonts w:ascii="Times New Roman"/>
          <w:b/>
          <w:sz w:val="21"/>
          <w:szCs w:val="21"/>
        </w:rPr>
        <w:t>：</w:t>
      </w:r>
      <w:bookmarkEnd w:id="309"/>
      <w:bookmarkEnd w:id="310"/>
      <w:bookmarkEnd w:id="311"/>
    </w:p>
    <w:p>
      <w:pPr>
        <w:snapToGrid w:val="0"/>
        <w:spacing w:before="120" w:beforeLines="50" w:after="50"/>
        <w:rPr>
          <w:sz w:val="24"/>
          <w:szCs w:val="21"/>
        </w:rPr>
      </w:pPr>
    </w:p>
    <w:p>
      <w:pPr>
        <w:spacing w:before="120" w:after="120"/>
        <w:jc w:val="center"/>
        <w:rPr>
          <w:b/>
          <w:bCs/>
          <w:spacing w:val="20"/>
          <w:sz w:val="32"/>
          <w:szCs w:val="32"/>
        </w:rPr>
      </w:pPr>
      <w:r>
        <w:rPr>
          <w:b/>
          <w:bCs/>
          <w:spacing w:val="20"/>
          <w:sz w:val="32"/>
          <w:szCs w:val="32"/>
        </w:rPr>
        <w:t>类似项目业绩表</w:t>
      </w:r>
    </w:p>
    <w:p>
      <w:pPr>
        <w:rPr>
          <w:rFonts w:eastAsia="华文细黑"/>
          <w:sz w:val="28"/>
        </w:rPr>
      </w:pPr>
    </w:p>
    <w:p>
      <w:pPr>
        <w:spacing w:line="360" w:lineRule="auto"/>
        <w:rPr>
          <w:szCs w:val="21"/>
        </w:rPr>
      </w:pPr>
      <w:r>
        <w:rPr>
          <w:szCs w:val="21"/>
        </w:rPr>
        <w:t>项目名称：</w:t>
      </w:r>
      <w:r>
        <w:rPr>
          <w:szCs w:val="21"/>
          <w:u w:val="single"/>
        </w:rPr>
        <w:t xml:space="preserve">              </w:t>
      </w:r>
      <w:r>
        <w:rPr>
          <w:szCs w:val="21"/>
        </w:rPr>
        <w:t xml:space="preserve"> 招标编号：</w:t>
      </w:r>
      <w:r>
        <w:rPr>
          <w:szCs w:val="21"/>
          <w:u w:val="single"/>
        </w:rPr>
        <w:t xml:space="preserve">             </w:t>
      </w:r>
      <w:r>
        <w:rPr>
          <w:szCs w:val="21"/>
        </w:rPr>
        <w:t xml:space="preserve"> </w:t>
      </w:r>
    </w:p>
    <w:tbl>
      <w:tblPr>
        <w:tblStyle w:val="38"/>
        <w:tblW w:w="0" w:type="auto"/>
        <w:tblInd w:w="-29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6"/>
        <w:gridCol w:w="193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716" w:type="dxa"/>
            <w:tcBorders>
              <w:top w:val="single" w:color="auto" w:sz="4" w:space="0"/>
              <w:bottom w:val="single" w:color="auto" w:sz="4" w:space="0"/>
            </w:tcBorders>
            <w:tcMar>
              <w:left w:w="0" w:type="dxa"/>
              <w:right w:w="0" w:type="dxa"/>
            </w:tcMar>
            <w:vAlign w:val="center"/>
          </w:tcPr>
          <w:p>
            <w:pPr>
              <w:spacing w:line="0" w:lineRule="atLeast"/>
              <w:ind w:left="-115" w:right="-107"/>
              <w:jc w:val="center"/>
              <w:rPr>
                <w:szCs w:val="21"/>
              </w:rPr>
            </w:pPr>
            <w:r>
              <w:rPr>
                <w:szCs w:val="21"/>
              </w:rPr>
              <w:t>序号</w:t>
            </w:r>
          </w:p>
        </w:tc>
        <w:tc>
          <w:tcPr>
            <w:tcW w:w="1932" w:type="dxa"/>
            <w:tcBorders>
              <w:top w:val="single" w:color="auto" w:sz="4" w:space="0"/>
              <w:bottom w:val="single" w:color="auto" w:sz="4" w:space="0"/>
            </w:tcBorders>
            <w:tcMar>
              <w:left w:w="0" w:type="dxa"/>
              <w:right w:w="0" w:type="dxa"/>
            </w:tcMar>
            <w:vAlign w:val="center"/>
          </w:tcPr>
          <w:p>
            <w:pPr>
              <w:spacing w:line="0" w:lineRule="atLeast"/>
              <w:jc w:val="center"/>
              <w:rPr>
                <w:szCs w:val="21"/>
              </w:rPr>
            </w:pPr>
            <w:r>
              <w:rPr>
                <w:szCs w:val="21"/>
              </w:rPr>
              <w:t>项目名称</w:t>
            </w:r>
          </w:p>
        </w:tc>
        <w:tc>
          <w:tcPr>
            <w:tcW w:w="2028" w:type="dxa"/>
            <w:tcBorders>
              <w:top w:val="single" w:color="auto" w:sz="4" w:space="0"/>
              <w:bottom w:val="single" w:color="auto" w:sz="4" w:space="0"/>
            </w:tcBorders>
            <w:tcMar>
              <w:left w:w="0" w:type="dxa"/>
              <w:right w:w="0" w:type="dxa"/>
            </w:tcMar>
            <w:vAlign w:val="center"/>
          </w:tcPr>
          <w:p>
            <w:pPr>
              <w:spacing w:line="0" w:lineRule="atLeast"/>
              <w:ind w:left="-115" w:right="-107"/>
              <w:jc w:val="center"/>
              <w:rPr>
                <w:szCs w:val="21"/>
              </w:rPr>
            </w:pPr>
            <w:r>
              <w:rPr>
                <w:szCs w:val="21"/>
              </w:rPr>
              <w:t>用户名称</w:t>
            </w:r>
          </w:p>
        </w:tc>
        <w:tc>
          <w:tcPr>
            <w:tcW w:w="1143" w:type="dxa"/>
            <w:tcBorders>
              <w:top w:val="single" w:color="auto" w:sz="4" w:space="0"/>
              <w:bottom w:val="single" w:color="auto" w:sz="4" w:space="0"/>
            </w:tcBorders>
            <w:tcMar>
              <w:left w:w="0" w:type="dxa"/>
              <w:right w:w="0" w:type="dxa"/>
            </w:tcMar>
            <w:vAlign w:val="center"/>
          </w:tcPr>
          <w:p>
            <w:pPr>
              <w:spacing w:line="0" w:lineRule="atLeast"/>
              <w:ind w:left="-115" w:right="-107"/>
              <w:jc w:val="center"/>
              <w:rPr>
                <w:szCs w:val="21"/>
              </w:rPr>
            </w:pPr>
            <w:r>
              <w:rPr>
                <w:szCs w:val="21"/>
              </w:rPr>
              <w:t>合同金额</w:t>
            </w:r>
          </w:p>
        </w:tc>
        <w:tc>
          <w:tcPr>
            <w:tcW w:w="1260" w:type="dxa"/>
            <w:tcBorders>
              <w:top w:val="single" w:color="auto" w:sz="4" w:space="0"/>
              <w:bottom w:val="single" w:color="auto" w:sz="4" w:space="0"/>
            </w:tcBorders>
            <w:tcMar>
              <w:left w:w="0" w:type="dxa"/>
              <w:right w:w="0" w:type="dxa"/>
            </w:tcMar>
            <w:vAlign w:val="center"/>
          </w:tcPr>
          <w:p>
            <w:pPr>
              <w:spacing w:line="0" w:lineRule="atLeast"/>
              <w:ind w:left="-115" w:right="-107"/>
              <w:jc w:val="center"/>
              <w:rPr>
                <w:szCs w:val="21"/>
              </w:rPr>
            </w:pPr>
            <w:r>
              <w:rPr>
                <w:szCs w:val="21"/>
              </w:rPr>
              <w:t>合同签订时间</w:t>
            </w:r>
          </w:p>
        </w:tc>
        <w:tc>
          <w:tcPr>
            <w:tcW w:w="2052" w:type="dxa"/>
            <w:tcBorders>
              <w:top w:val="single" w:color="auto" w:sz="4" w:space="0"/>
              <w:bottom w:val="single" w:color="auto" w:sz="4" w:space="0"/>
            </w:tcBorders>
            <w:tcMar>
              <w:left w:w="0" w:type="dxa"/>
              <w:right w:w="0" w:type="dxa"/>
            </w:tcMar>
            <w:vAlign w:val="center"/>
          </w:tcPr>
          <w:p>
            <w:pPr>
              <w:spacing w:line="0" w:lineRule="atLeast"/>
              <w:ind w:left="-115" w:right="-107"/>
              <w:jc w:val="center"/>
              <w:rPr>
                <w:szCs w:val="21"/>
              </w:rPr>
            </w:pPr>
            <w:r>
              <w:rPr>
                <w:szCs w:val="21"/>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Borders>
              <w:top w:val="single" w:color="auto" w:sz="4" w:space="0"/>
            </w:tcBorders>
            <w:tcMar>
              <w:left w:w="0" w:type="dxa"/>
              <w:right w:w="0" w:type="dxa"/>
            </w:tcMar>
            <w:vAlign w:val="center"/>
          </w:tcPr>
          <w:p>
            <w:pPr>
              <w:spacing w:line="0" w:lineRule="atLeast"/>
              <w:jc w:val="center"/>
              <w:rPr>
                <w:rFonts w:eastAsia="仿宋_GB2312"/>
                <w:szCs w:val="21"/>
              </w:rPr>
            </w:pPr>
          </w:p>
        </w:tc>
        <w:tc>
          <w:tcPr>
            <w:tcW w:w="1932" w:type="dxa"/>
            <w:tcBorders>
              <w:top w:val="single" w:color="auto" w:sz="4" w:space="0"/>
            </w:tcBorders>
            <w:tcMar>
              <w:left w:w="0" w:type="dxa"/>
              <w:right w:w="0" w:type="dxa"/>
            </w:tcMar>
            <w:vAlign w:val="center"/>
          </w:tcPr>
          <w:p>
            <w:pPr>
              <w:spacing w:line="0" w:lineRule="atLeast"/>
              <w:jc w:val="center"/>
              <w:rPr>
                <w:rFonts w:eastAsia="仿宋_GB2312"/>
                <w:szCs w:val="21"/>
              </w:rPr>
            </w:pPr>
          </w:p>
        </w:tc>
        <w:tc>
          <w:tcPr>
            <w:tcW w:w="2028" w:type="dxa"/>
            <w:tcBorders>
              <w:top w:val="single" w:color="auto" w:sz="4" w:space="0"/>
            </w:tcBorders>
            <w:tcMar>
              <w:left w:w="0" w:type="dxa"/>
              <w:right w:w="0" w:type="dxa"/>
            </w:tcMar>
            <w:vAlign w:val="center"/>
          </w:tcPr>
          <w:p>
            <w:pPr>
              <w:spacing w:line="0" w:lineRule="atLeast"/>
              <w:jc w:val="center"/>
              <w:rPr>
                <w:rFonts w:eastAsia="仿宋_GB2312"/>
                <w:szCs w:val="21"/>
              </w:rPr>
            </w:pPr>
          </w:p>
        </w:tc>
        <w:tc>
          <w:tcPr>
            <w:tcW w:w="1143" w:type="dxa"/>
            <w:tcBorders>
              <w:top w:val="single" w:color="auto" w:sz="4" w:space="0"/>
            </w:tcBorders>
            <w:tcMar>
              <w:left w:w="0" w:type="dxa"/>
              <w:right w:w="0" w:type="dxa"/>
            </w:tcMar>
            <w:vAlign w:val="center"/>
          </w:tcPr>
          <w:p>
            <w:pPr>
              <w:spacing w:line="0" w:lineRule="atLeast"/>
              <w:jc w:val="center"/>
              <w:rPr>
                <w:rFonts w:eastAsia="仿宋_GB2312"/>
                <w:szCs w:val="21"/>
              </w:rPr>
            </w:pPr>
          </w:p>
        </w:tc>
        <w:tc>
          <w:tcPr>
            <w:tcW w:w="1260" w:type="dxa"/>
            <w:tcBorders>
              <w:top w:val="single" w:color="auto" w:sz="4" w:space="0"/>
            </w:tcBorders>
            <w:tcMar>
              <w:left w:w="0" w:type="dxa"/>
              <w:right w:w="0" w:type="dxa"/>
            </w:tcMar>
            <w:vAlign w:val="center"/>
          </w:tcPr>
          <w:p>
            <w:pPr>
              <w:spacing w:line="0" w:lineRule="atLeast"/>
              <w:jc w:val="center"/>
              <w:rPr>
                <w:rFonts w:eastAsia="仿宋_GB2312"/>
                <w:szCs w:val="21"/>
              </w:rPr>
            </w:pPr>
          </w:p>
        </w:tc>
        <w:tc>
          <w:tcPr>
            <w:tcW w:w="2052" w:type="dxa"/>
            <w:tcBorders>
              <w:top w:val="single" w:color="auto" w:sz="4" w:space="0"/>
            </w:tcBorders>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0" w:lineRule="atLeast"/>
              <w:jc w:val="center"/>
              <w:rPr>
                <w:rFonts w:eastAsia="仿宋_GB2312"/>
                <w:szCs w:val="21"/>
              </w:rPr>
            </w:pPr>
          </w:p>
        </w:tc>
        <w:tc>
          <w:tcPr>
            <w:tcW w:w="193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0" w:lineRule="atLeast"/>
              <w:jc w:val="center"/>
              <w:rPr>
                <w:rFonts w:eastAsia="仿宋_GB2312"/>
                <w:szCs w:val="21"/>
              </w:rPr>
            </w:pPr>
          </w:p>
        </w:tc>
        <w:tc>
          <w:tcPr>
            <w:tcW w:w="193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0" w:lineRule="atLeast"/>
              <w:jc w:val="center"/>
              <w:rPr>
                <w:rFonts w:eastAsia="仿宋_GB2312"/>
                <w:szCs w:val="21"/>
              </w:rPr>
            </w:pPr>
          </w:p>
        </w:tc>
        <w:tc>
          <w:tcPr>
            <w:tcW w:w="193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0" w:lineRule="atLeast"/>
              <w:jc w:val="center"/>
              <w:rPr>
                <w:rFonts w:eastAsia="仿宋_GB2312"/>
                <w:szCs w:val="21"/>
              </w:rPr>
            </w:pPr>
          </w:p>
        </w:tc>
        <w:tc>
          <w:tcPr>
            <w:tcW w:w="193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0" w:lineRule="atLeast"/>
              <w:jc w:val="center"/>
              <w:rPr>
                <w:rFonts w:eastAsia="仿宋_GB2312"/>
                <w:szCs w:val="21"/>
              </w:rPr>
            </w:pPr>
          </w:p>
        </w:tc>
        <w:tc>
          <w:tcPr>
            <w:tcW w:w="193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0" w:lineRule="atLeast"/>
              <w:jc w:val="center"/>
              <w:rPr>
                <w:rFonts w:eastAsia="仿宋_GB2312"/>
                <w:szCs w:val="21"/>
              </w:rPr>
            </w:pPr>
          </w:p>
        </w:tc>
        <w:tc>
          <w:tcPr>
            <w:tcW w:w="193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0" w:lineRule="atLeast"/>
              <w:jc w:val="center"/>
              <w:rPr>
                <w:rFonts w:eastAsia="仿宋_GB2312"/>
                <w:szCs w:val="21"/>
              </w:rPr>
            </w:pPr>
          </w:p>
        </w:tc>
        <w:tc>
          <w:tcPr>
            <w:tcW w:w="193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0" w:lineRule="atLeast"/>
              <w:jc w:val="center"/>
              <w:rPr>
                <w:rFonts w:eastAsia="仿宋_GB2312"/>
                <w:szCs w:val="21"/>
              </w:rPr>
            </w:pPr>
          </w:p>
        </w:tc>
        <w:tc>
          <w:tcPr>
            <w:tcW w:w="193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0" w:lineRule="atLeast"/>
              <w:jc w:val="center"/>
              <w:rPr>
                <w:rFonts w:eastAsia="仿宋_GB2312"/>
                <w:szCs w:val="21"/>
              </w:rPr>
            </w:pPr>
          </w:p>
        </w:tc>
        <w:tc>
          <w:tcPr>
            <w:tcW w:w="193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0" w:lineRule="atLeast"/>
              <w:jc w:val="center"/>
              <w:rPr>
                <w:rFonts w:eastAsia="仿宋_GB2312"/>
                <w:szCs w:val="21"/>
              </w:rPr>
            </w:pPr>
          </w:p>
        </w:tc>
        <w:tc>
          <w:tcPr>
            <w:tcW w:w="193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bl>
    <w:p>
      <w:pPr>
        <w:spacing w:line="0" w:lineRule="atLeast"/>
        <w:rPr>
          <w:rFonts w:eastAsia="仿宋_GB2312"/>
          <w:sz w:val="24"/>
        </w:rPr>
      </w:pPr>
    </w:p>
    <w:p>
      <w:pPr>
        <w:spacing w:line="0" w:lineRule="atLeast"/>
        <w:rPr>
          <w:rFonts w:eastAsia="仿宋_GB2312"/>
          <w:sz w:val="24"/>
        </w:rPr>
      </w:pPr>
    </w:p>
    <w:p>
      <w:pPr>
        <w:widowControl/>
        <w:spacing w:line="360" w:lineRule="auto"/>
        <w:ind w:firstLine="3600" w:firstLineChars="1500"/>
        <w:jc w:val="left"/>
        <w:rPr>
          <w:sz w:val="24"/>
        </w:rPr>
      </w:pPr>
      <w:r>
        <w:rPr>
          <w:sz w:val="24"/>
        </w:rPr>
        <w:t>投 标 人（盖章）：</w:t>
      </w:r>
    </w:p>
    <w:p>
      <w:pPr>
        <w:snapToGrid w:val="0"/>
        <w:spacing w:before="120" w:beforeLines="50" w:after="120" w:afterLines="50" w:line="360" w:lineRule="auto"/>
        <w:ind w:firstLine="3600" w:firstLineChars="1500"/>
        <w:jc w:val="left"/>
        <w:rPr>
          <w:sz w:val="24"/>
        </w:rPr>
      </w:pPr>
      <w:r>
        <w:rPr>
          <w:sz w:val="24"/>
        </w:rPr>
        <w:t>日    期：</w:t>
      </w:r>
    </w:p>
    <w:p>
      <w:pPr>
        <w:pStyle w:val="37"/>
        <w:ind w:firstLine="404"/>
      </w:pPr>
      <w:r>
        <w:br w:type="page"/>
      </w:r>
    </w:p>
    <w:p>
      <w:pPr>
        <w:outlineLvl w:val="1"/>
        <w:rPr>
          <w:b/>
          <w:sz w:val="24"/>
          <w:szCs w:val="21"/>
        </w:rPr>
      </w:pPr>
      <w:bookmarkStart w:id="312" w:name="_Toc460857952"/>
      <w:bookmarkStart w:id="313" w:name="_Toc16688"/>
      <w:bookmarkStart w:id="314" w:name="_Toc25323"/>
      <w:bookmarkStart w:id="315" w:name="_Toc9104"/>
      <w:r>
        <w:rPr>
          <w:b/>
        </w:rPr>
        <w:t>格式</w:t>
      </w:r>
      <w:bookmarkEnd w:id="312"/>
      <w:r>
        <w:rPr>
          <w:rFonts w:hint="eastAsia"/>
          <w:b/>
        </w:rPr>
        <w:t>七</w:t>
      </w:r>
      <w:r>
        <w:rPr>
          <w:b/>
        </w:rPr>
        <w:t>：</w:t>
      </w:r>
      <w:bookmarkEnd w:id="313"/>
      <w:bookmarkEnd w:id="314"/>
      <w:bookmarkEnd w:id="315"/>
    </w:p>
    <w:p>
      <w:pPr>
        <w:pStyle w:val="16"/>
        <w:spacing w:line="400" w:lineRule="exact"/>
        <w:ind w:left="711" w:leftChars="228" w:hanging="232" w:hangingChars="100"/>
        <w:rPr>
          <w:rFonts w:ascii="Times New Roman"/>
          <w:sz w:val="24"/>
          <w:szCs w:val="21"/>
        </w:rPr>
      </w:pPr>
    </w:p>
    <w:p>
      <w:pPr>
        <w:spacing w:line="360" w:lineRule="auto"/>
        <w:jc w:val="center"/>
        <w:rPr>
          <w:b/>
          <w:sz w:val="32"/>
          <w:szCs w:val="32"/>
        </w:rPr>
      </w:pPr>
      <w:r>
        <w:rPr>
          <w:b/>
          <w:sz w:val="32"/>
          <w:szCs w:val="32"/>
        </w:rPr>
        <w:t>商务条款偏离表</w:t>
      </w:r>
    </w:p>
    <w:p>
      <w:pPr>
        <w:spacing w:line="360" w:lineRule="auto"/>
        <w:ind w:firstLine="3089"/>
        <w:rPr>
          <w:b/>
          <w:sz w:val="24"/>
          <w:szCs w:val="21"/>
        </w:rPr>
      </w:pPr>
    </w:p>
    <w:p>
      <w:pPr>
        <w:spacing w:after="120" w:afterLines="50" w:line="360" w:lineRule="auto"/>
        <w:rPr>
          <w:sz w:val="24"/>
        </w:rPr>
      </w:pPr>
      <w:r>
        <w:rPr>
          <w:sz w:val="24"/>
        </w:rPr>
        <w:t>项目名称：</w:t>
      </w:r>
      <w:r>
        <w:rPr>
          <w:sz w:val="24"/>
          <w:u w:val="single"/>
        </w:rPr>
        <w:t xml:space="preserve">                </w:t>
      </w:r>
      <w:r>
        <w:rPr>
          <w:sz w:val="24"/>
        </w:rPr>
        <w:t>招标编号：</w:t>
      </w:r>
      <w:r>
        <w:rPr>
          <w:sz w:val="24"/>
          <w:u w:val="single"/>
        </w:rPr>
        <w:t xml:space="preserve">                </w:t>
      </w:r>
      <w:r>
        <w:rPr>
          <w:sz w:val="24"/>
        </w:rPr>
        <w:t xml:space="preserve"> </w:t>
      </w:r>
    </w:p>
    <w:tbl>
      <w:tblPr>
        <w:tblStyle w:val="38"/>
        <w:tblW w:w="9213"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098"/>
        <w:gridCol w:w="2694"/>
        <w:gridCol w:w="25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vAlign w:val="center"/>
          </w:tcPr>
          <w:p>
            <w:pPr>
              <w:pStyle w:val="20"/>
              <w:spacing w:beforeLines="0" w:afterLines="0"/>
              <w:rPr>
                <w:rFonts w:ascii="Times New Roman"/>
                <w:sz w:val="21"/>
              </w:rPr>
            </w:pPr>
            <w:r>
              <w:rPr>
                <w:rFonts w:ascii="Times New Roman"/>
                <w:sz w:val="21"/>
              </w:rPr>
              <w:t>序号</w:t>
            </w:r>
          </w:p>
        </w:tc>
        <w:tc>
          <w:tcPr>
            <w:tcW w:w="3098" w:type="dxa"/>
            <w:vAlign w:val="center"/>
          </w:tcPr>
          <w:p>
            <w:pPr>
              <w:pStyle w:val="20"/>
              <w:spacing w:beforeLines="0" w:afterLines="0"/>
              <w:rPr>
                <w:rFonts w:ascii="Times New Roman"/>
                <w:sz w:val="21"/>
              </w:rPr>
            </w:pPr>
            <w:r>
              <w:rPr>
                <w:rFonts w:ascii="Times New Roman"/>
                <w:sz w:val="21"/>
              </w:rPr>
              <w:t>招标文件的商务条款</w:t>
            </w:r>
          </w:p>
        </w:tc>
        <w:tc>
          <w:tcPr>
            <w:tcW w:w="2694" w:type="dxa"/>
            <w:vAlign w:val="center"/>
          </w:tcPr>
          <w:p>
            <w:pPr>
              <w:pStyle w:val="20"/>
              <w:spacing w:beforeLines="0" w:afterLines="0"/>
              <w:rPr>
                <w:rFonts w:ascii="Times New Roman"/>
                <w:sz w:val="21"/>
              </w:rPr>
            </w:pPr>
            <w:r>
              <w:rPr>
                <w:rFonts w:ascii="Times New Roman"/>
                <w:sz w:val="21"/>
              </w:rPr>
              <w:t>投标文件的商务条款</w:t>
            </w:r>
          </w:p>
        </w:tc>
        <w:tc>
          <w:tcPr>
            <w:tcW w:w="2551" w:type="dxa"/>
            <w:vAlign w:val="center"/>
          </w:tcPr>
          <w:p>
            <w:pPr>
              <w:pStyle w:val="20"/>
              <w:spacing w:beforeLines="0" w:afterLines="0"/>
              <w:rPr>
                <w:rFonts w:ascii="Times New Roman"/>
                <w:sz w:val="21"/>
              </w:rPr>
            </w:pPr>
            <w:r>
              <w:rPr>
                <w:rFonts w:ascii="Times New Roman"/>
                <w:sz w:val="21"/>
              </w:rPr>
              <w:t>说明（填写：正偏离/负偏离/响应）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ind w:firstLine="542"/>
              <w:rPr>
                <w:rFonts w:ascii="Times New Roman"/>
                <w:u w:val="single"/>
              </w:rPr>
            </w:pPr>
          </w:p>
        </w:tc>
        <w:tc>
          <w:tcPr>
            <w:tcW w:w="3098" w:type="dxa"/>
          </w:tcPr>
          <w:p>
            <w:pPr>
              <w:pStyle w:val="20"/>
              <w:snapToGrid w:val="0"/>
              <w:spacing w:before="120" w:beforeLines="0" w:after="120" w:afterLines="0"/>
              <w:ind w:firstLine="542"/>
              <w:rPr>
                <w:rFonts w:ascii="Times New Roman"/>
                <w:u w:val="single"/>
              </w:rPr>
            </w:pPr>
          </w:p>
        </w:tc>
        <w:tc>
          <w:tcPr>
            <w:tcW w:w="2694" w:type="dxa"/>
          </w:tcPr>
          <w:p>
            <w:pPr>
              <w:pStyle w:val="20"/>
              <w:snapToGrid w:val="0"/>
              <w:spacing w:before="120" w:beforeLines="0" w:after="120" w:afterLines="0"/>
              <w:ind w:firstLine="542"/>
              <w:rPr>
                <w:rFonts w:ascii="Times New Roman"/>
                <w:u w:val="single"/>
              </w:rPr>
            </w:pPr>
          </w:p>
        </w:tc>
        <w:tc>
          <w:tcPr>
            <w:tcW w:w="2551" w:type="dxa"/>
          </w:tcPr>
          <w:p>
            <w:pPr>
              <w:pStyle w:val="20"/>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ind w:firstLine="542"/>
              <w:rPr>
                <w:rFonts w:ascii="Times New Roman"/>
                <w:u w:val="single"/>
              </w:rPr>
            </w:pPr>
          </w:p>
        </w:tc>
        <w:tc>
          <w:tcPr>
            <w:tcW w:w="3098" w:type="dxa"/>
          </w:tcPr>
          <w:p>
            <w:pPr>
              <w:pStyle w:val="20"/>
              <w:snapToGrid w:val="0"/>
              <w:spacing w:before="120" w:beforeLines="0" w:after="120" w:afterLines="0"/>
              <w:ind w:firstLine="542"/>
              <w:rPr>
                <w:rFonts w:ascii="Times New Roman"/>
                <w:u w:val="single"/>
              </w:rPr>
            </w:pPr>
          </w:p>
        </w:tc>
        <w:tc>
          <w:tcPr>
            <w:tcW w:w="2694" w:type="dxa"/>
          </w:tcPr>
          <w:p>
            <w:pPr>
              <w:pStyle w:val="20"/>
              <w:snapToGrid w:val="0"/>
              <w:spacing w:before="120" w:beforeLines="0" w:after="120" w:afterLines="0"/>
              <w:ind w:firstLine="542"/>
              <w:rPr>
                <w:rFonts w:ascii="Times New Roman"/>
                <w:u w:val="single"/>
              </w:rPr>
            </w:pPr>
          </w:p>
        </w:tc>
        <w:tc>
          <w:tcPr>
            <w:tcW w:w="2551" w:type="dxa"/>
          </w:tcPr>
          <w:p>
            <w:pPr>
              <w:pStyle w:val="20"/>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ind w:firstLine="542"/>
              <w:rPr>
                <w:rFonts w:ascii="Times New Roman"/>
                <w:u w:val="single"/>
              </w:rPr>
            </w:pPr>
          </w:p>
        </w:tc>
        <w:tc>
          <w:tcPr>
            <w:tcW w:w="3098" w:type="dxa"/>
          </w:tcPr>
          <w:p>
            <w:pPr>
              <w:pStyle w:val="20"/>
              <w:snapToGrid w:val="0"/>
              <w:spacing w:before="120" w:beforeLines="0" w:after="120" w:afterLines="0"/>
              <w:ind w:firstLine="542"/>
              <w:rPr>
                <w:rFonts w:ascii="Times New Roman"/>
                <w:u w:val="single"/>
              </w:rPr>
            </w:pPr>
          </w:p>
        </w:tc>
        <w:tc>
          <w:tcPr>
            <w:tcW w:w="2694" w:type="dxa"/>
          </w:tcPr>
          <w:p>
            <w:pPr>
              <w:pStyle w:val="20"/>
              <w:snapToGrid w:val="0"/>
              <w:spacing w:before="120" w:beforeLines="0" w:after="120" w:afterLines="0"/>
              <w:ind w:firstLine="542"/>
              <w:rPr>
                <w:rFonts w:ascii="Times New Roman"/>
                <w:u w:val="single"/>
              </w:rPr>
            </w:pPr>
          </w:p>
        </w:tc>
        <w:tc>
          <w:tcPr>
            <w:tcW w:w="2551" w:type="dxa"/>
          </w:tcPr>
          <w:p>
            <w:pPr>
              <w:pStyle w:val="20"/>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ind w:firstLine="542"/>
              <w:rPr>
                <w:rFonts w:ascii="Times New Roman"/>
                <w:u w:val="single"/>
              </w:rPr>
            </w:pPr>
          </w:p>
        </w:tc>
        <w:tc>
          <w:tcPr>
            <w:tcW w:w="3098" w:type="dxa"/>
          </w:tcPr>
          <w:p>
            <w:pPr>
              <w:pStyle w:val="20"/>
              <w:snapToGrid w:val="0"/>
              <w:spacing w:before="120" w:beforeLines="0" w:after="120" w:afterLines="0"/>
              <w:ind w:firstLine="542"/>
              <w:rPr>
                <w:rFonts w:ascii="Times New Roman"/>
                <w:u w:val="single"/>
              </w:rPr>
            </w:pPr>
          </w:p>
        </w:tc>
        <w:tc>
          <w:tcPr>
            <w:tcW w:w="2694" w:type="dxa"/>
          </w:tcPr>
          <w:p>
            <w:pPr>
              <w:pStyle w:val="20"/>
              <w:snapToGrid w:val="0"/>
              <w:spacing w:before="120" w:beforeLines="0" w:after="120" w:afterLines="0"/>
              <w:ind w:firstLine="542"/>
              <w:rPr>
                <w:rFonts w:ascii="Times New Roman"/>
                <w:u w:val="single"/>
              </w:rPr>
            </w:pPr>
          </w:p>
        </w:tc>
        <w:tc>
          <w:tcPr>
            <w:tcW w:w="2551" w:type="dxa"/>
          </w:tcPr>
          <w:p>
            <w:pPr>
              <w:pStyle w:val="20"/>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ind w:firstLine="542"/>
              <w:rPr>
                <w:rFonts w:ascii="Times New Roman"/>
                <w:u w:val="single"/>
              </w:rPr>
            </w:pPr>
          </w:p>
        </w:tc>
        <w:tc>
          <w:tcPr>
            <w:tcW w:w="3098" w:type="dxa"/>
          </w:tcPr>
          <w:p>
            <w:pPr>
              <w:pStyle w:val="20"/>
              <w:snapToGrid w:val="0"/>
              <w:spacing w:before="120" w:beforeLines="0" w:after="120" w:afterLines="0"/>
              <w:ind w:firstLine="542"/>
              <w:rPr>
                <w:rFonts w:ascii="Times New Roman"/>
                <w:u w:val="single"/>
              </w:rPr>
            </w:pPr>
          </w:p>
        </w:tc>
        <w:tc>
          <w:tcPr>
            <w:tcW w:w="2694" w:type="dxa"/>
          </w:tcPr>
          <w:p>
            <w:pPr>
              <w:pStyle w:val="20"/>
              <w:snapToGrid w:val="0"/>
              <w:spacing w:before="120" w:beforeLines="0" w:after="120" w:afterLines="0"/>
              <w:ind w:firstLine="542"/>
              <w:rPr>
                <w:rFonts w:ascii="Times New Roman"/>
                <w:u w:val="single"/>
              </w:rPr>
            </w:pPr>
          </w:p>
        </w:tc>
        <w:tc>
          <w:tcPr>
            <w:tcW w:w="2551" w:type="dxa"/>
          </w:tcPr>
          <w:p>
            <w:pPr>
              <w:pStyle w:val="20"/>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ind w:firstLine="542"/>
              <w:rPr>
                <w:rFonts w:ascii="Times New Roman"/>
                <w:u w:val="single"/>
              </w:rPr>
            </w:pPr>
          </w:p>
        </w:tc>
        <w:tc>
          <w:tcPr>
            <w:tcW w:w="3098" w:type="dxa"/>
          </w:tcPr>
          <w:p>
            <w:pPr>
              <w:pStyle w:val="20"/>
              <w:snapToGrid w:val="0"/>
              <w:spacing w:before="120" w:beforeLines="0" w:after="120" w:afterLines="0"/>
              <w:ind w:firstLine="542"/>
              <w:rPr>
                <w:rFonts w:ascii="Times New Roman"/>
                <w:u w:val="single"/>
              </w:rPr>
            </w:pPr>
          </w:p>
        </w:tc>
        <w:tc>
          <w:tcPr>
            <w:tcW w:w="2694" w:type="dxa"/>
          </w:tcPr>
          <w:p>
            <w:pPr>
              <w:pStyle w:val="20"/>
              <w:snapToGrid w:val="0"/>
              <w:spacing w:before="120" w:beforeLines="0" w:after="120" w:afterLines="0"/>
              <w:ind w:firstLine="542"/>
              <w:rPr>
                <w:rFonts w:ascii="Times New Roman"/>
                <w:u w:val="single"/>
              </w:rPr>
            </w:pPr>
          </w:p>
        </w:tc>
        <w:tc>
          <w:tcPr>
            <w:tcW w:w="2551" w:type="dxa"/>
          </w:tcPr>
          <w:p>
            <w:pPr>
              <w:pStyle w:val="20"/>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ind w:firstLine="542"/>
              <w:rPr>
                <w:rFonts w:ascii="Times New Roman"/>
                <w:u w:val="single"/>
              </w:rPr>
            </w:pPr>
          </w:p>
        </w:tc>
        <w:tc>
          <w:tcPr>
            <w:tcW w:w="3098" w:type="dxa"/>
          </w:tcPr>
          <w:p>
            <w:pPr>
              <w:pStyle w:val="20"/>
              <w:snapToGrid w:val="0"/>
              <w:spacing w:before="120" w:beforeLines="0" w:after="120" w:afterLines="0"/>
              <w:ind w:firstLine="542"/>
              <w:rPr>
                <w:rFonts w:ascii="Times New Roman"/>
                <w:u w:val="single"/>
              </w:rPr>
            </w:pPr>
          </w:p>
        </w:tc>
        <w:tc>
          <w:tcPr>
            <w:tcW w:w="2694" w:type="dxa"/>
          </w:tcPr>
          <w:p>
            <w:pPr>
              <w:pStyle w:val="20"/>
              <w:snapToGrid w:val="0"/>
              <w:spacing w:before="120" w:beforeLines="0" w:after="120" w:afterLines="0"/>
              <w:ind w:firstLine="542"/>
              <w:rPr>
                <w:rFonts w:ascii="Times New Roman"/>
                <w:u w:val="single"/>
              </w:rPr>
            </w:pPr>
          </w:p>
        </w:tc>
        <w:tc>
          <w:tcPr>
            <w:tcW w:w="2551" w:type="dxa"/>
          </w:tcPr>
          <w:p>
            <w:pPr>
              <w:pStyle w:val="20"/>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ind w:firstLine="542"/>
              <w:rPr>
                <w:rFonts w:ascii="Times New Roman"/>
                <w:u w:val="single"/>
              </w:rPr>
            </w:pPr>
          </w:p>
        </w:tc>
        <w:tc>
          <w:tcPr>
            <w:tcW w:w="3098" w:type="dxa"/>
          </w:tcPr>
          <w:p>
            <w:pPr>
              <w:pStyle w:val="20"/>
              <w:snapToGrid w:val="0"/>
              <w:spacing w:before="120" w:beforeLines="0" w:after="120" w:afterLines="0"/>
              <w:ind w:firstLine="542"/>
              <w:rPr>
                <w:rFonts w:ascii="Times New Roman"/>
                <w:u w:val="single"/>
              </w:rPr>
            </w:pPr>
          </w:p>
        </w:tc>
        <w:tc>
          <w:tcPr>
            <w:tcW w:w="2694" w:type="dxa"/>
          </w:tcPr>
          <w:p>
            <w:pPr>
              <w:pStyle w:val="20"/>
              <w:snapToGrid w:val="0"/>
              <w:spacing w:before="120" w:beforeLines="0" w:after="120" w:afterLines="0"/>
              <w:ind w:firstLine="542"/>
              <w:rPr>
                <w:rFonts w:ascii="Times New Roman"/>
                <w:u w:val="single"/>
              </w:rPr>
            </w:pPr>
          </w:p>
        </w:tc>
        <w:tc>
          <w:tcPr>
            <w:tcW w:w="2551" w:type="dxa"/>
          </w:tcPr>
          <w:p>
            <w:pPr>
              <w:pStyle w:val="20"/>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ind w:firstLine="542"/>
              <w:rPr>
                <w:rFonts w:ascii="Times New Roman"/>
                <w:u w:val="single"/>
              </w:rPr>
            </w:pPr>
          </w:p>
        </w:tc>
        <w:tc>
          <w:tcPr>
            <w:tcW w:w="3098" w:type="dxa"/>
          </w:tcPr>
          <w:p>
            <w:pPr>
              <w:pStyle w:val="20"/>
              <w:snapToGrid w:val="0"/>
              <w:spacing w:before="120" w:beforeLines="0" w:after="120" w:afterLines="0"/>
              <w:ind w:firstLine="542"/>
              <w:rPr>
                <w:rFonts w:ascii="Times New Roman"/>
                <w:u w:val="single"/>
              </w:rPr>
            </w:pPr>
          </w:p>
        </w:tc>
        <w:tc>
          <w:tcPr>
            <w:tcW w:w="2694" w:type="dxa"/>
          </w:tcPr>
          <w:p>
            <w:pPr>
              <w:pStyle w:val="20"/>
              <w:snapToGrid w:val="0"/>
              <w:spacing w:before="120" w:beforeLines="0" w:after="120" w:afterLines="0"/>
              <w:ind w:firstLine="542"/>
              <w:rPr>
                <w:rFonts w:ascii="Times New Roman"/>
                <w:u w:val="single"/>
              </w:rPr>
            </w:pPr>
          </w:p>
        </w:tc>
        <w:tc>
          <w:tcPr>
            <w:tcW w:w="2551" w:type="dxa"/>
          </w:tcPr>
          <w:p>
            <w:pPr>
              <w:pStyle w:val="20"/>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ind w:firstLine="542"/>
              <w:rPr>
                <w:rFonts w:ascii="Times New Roman"/>
                <w:u w:val="single"/>
              </w:rPr>
            </w:pPr>
          </w:p>
        </w:tc>
        <w:tc>
          <w:tcPr>
            <w:tcW w:w="3098" w:type="dxa"/>
          </w:tcPr>
          <w:p>
            <w:pPr>
              <w:pStyle w:val="20"/>
              <w:snapToGrid w:val="0"/>
              <w:spacing w:before="120" w:beforeLines="0" w:after="120" w:afterLines="0"/>
              <w:ind w:firstLine="542"/>
              <w:rPr>
                <w:rFonts w:ascii="Times New Roman"/>
                <w:u w:val="single"/>
              </w:rPr>
            </w:pPr>
          </w:p>
        </w:tc>
        <w:tc>
          <w:tcPr>
            <w:tcW w:w="2694" w:type="dxa"/>
          </w:tcPr>
          <w:p>
            <w:pPr>
              <w:pStyle w:val="20"/>
              <w:snapToGrid w:val="0"/>
              <w:spacing w:before="120" w:beforeLines="0" w:after="120" w:afterLines="0"/>
              <w:ind w:firstLine="542"/>
              <w:rPr>
                <w:rFonts w:ascii="Times New Roman"/>
                <w:u w:val="single"/>
              </w:rPr>
            </w:pPr>
          </w:p>
        </w:tc>
        <w:tc>
          <w:tcPr>
            <w:tcW w:w="2551" w:type="dxa"/>
          </w:tcPr>
          <w:p>
            <w:pPr>
              <w:pStyle w:val="20"/>
              <w:snapToGrid w:val="0"/>
              <w:spacing w:before="120" w:beforeLines="0" w:after="120" w:afterLines="0"/>
              <w:ind w:firstLine="542"/>
              <w:rPr>
                <w:rFonts w:ascii="Times New Roman"/>
                <w:u w:val="single"/>
              </w:rPr>
            </w:pPr>
          </w:p>
        </w:tc>
      </w:tr>
    </w:tbl>
    <w:p>
      <w:pPr>
        <w:snapToGrid w:val="0"/>
        <w:spacing w:line="360" w:lineRule="auto"/>
        <w:rPr>
          <w:b/>
          <w:szCs w:val="21"/>
        </w:rPr>
      </w:pPr>
      <w:r>
        <w:rPr>
          <w:b/>
          <w:szCs w:val="21"/>
        </w:rPr>
        <w:t>注：对照招标文件第二章招标需求</w:t>
      </w:r>
      <w:r>
        <w:rPr>
          <w:rFonts w:hint="eastAsia"/>
          <w:b/>
          <w:szCs w:val="21"/>
        </w:rPr>
        <w:t>中</w:t>
      </w:r>
      <w:r>
        <w:rPr>
          <w:b/>
          <w:szCs w:val="21"/>
        </w:rPr>
        <w:t>“商务需求”要求逐条填写，并在“偏离情况”栏注明“正偏离”、“负偏离”或“无偏离”。</w:t>
      </w:r>
    </w:p>
    <w:p>
      <w:pPr>
        <w:pStyle w:val="16"/>
        <w:spacing w:line="360" w:lineRule="auto"/>
        <w:ind w:left="404" w:hanging="404" w:hangingChars="200"/>
        <w:rPr>
          <w:rFonts w:ascii="Times New Roman"/>
          <w:sz w:val="21"/>
          <w:szCs w:val="21"/>
        </w:rPr>
      </w:pPr>
    </w:p>
    <w:p>
      <w:pPr>
        <w:widowControl/>
        <w:spacing w:line="360" w:lineRule="auto"/>
        <w:jc w:val="left"/>
        <w:rPr>
          <w:sz w:val="24"/>
        </w:rPr>
      </w:pPr>
    </w:p>
    <w:p>
      <w:pPr>
        <w:widowControl/>
        <w:spacing w:line="360" w:lineRule="auto"/>
        <w:ind w:firstLine="3360" w:firstLineChars="1400"/>
        <w:jc w:val="left"/>
        <w:rPr>
          <w:sz w:val="24"/>
        </w:rPr>
      </w:pPr>
      <w:r>
        <w:rPr>
          <w:sz w:val="24"/>
        </w:rPr>
        <w:t>投 标 人（盖章）：</w:t>
      </w:r>
    </w:p>
    <w:p>
      <w:pPr>
        <w:pStyle w:val="16"/>
        <w:spacing w:line="360" w:lineRule="auto"/>
        <w:ind w:left="479" w:leftChars="228" w:firstLine="2880" w:firstLineChars="1200"/>
        <w:rPr>
          <w:rFonts w:ascii="Times New Roman"/>
          <w:sz w:val="21"/>
          <w:szCs w:val="21"/>
        </w:rPr>
      </w:pPr>
      <w:r>
        <w:rPr>
          <w:rFonts w:ascii="Times New Roman"/>
          <w:spacing w:val="0"/>
          <w:sz w:val="24"/>
          <w:szCs w:val="24"/>
        </w:rPr>
        <w:t>日    期：</w:t>
      </w:r>
    </w:p>
    <w:p>
      <w:pPr>
        <w:widowControl/>
        <w:spacing w:line="360" w:lineRule="auto"/>
        <w:jc w:val="left"/>
        <w:rPr>
          <w:sz w:val="24"/>
        </w:rPr>
      </w:pPr>
    </w:p>
    <w:p>
      <w:pPr>
        <w:widowControl/>
        <w:jc w:val="left"/>
        <w:outlineLvl w:val="1"/>
        <w:rPr>
          <w:b/>
        </w:rPr>
      </w:pPr>
      <w:r>
        <w:rPr>
          <w:sz w:val="24"/>
        </w:rPr>
        <w:br w:type="page"/>
      </w:r>
      <w:bookmarkStart w:id="316" w:name="_Toc460857953"/>
      <w:bookmarkStart w:id="317" w:name="_Toc32616"/>
      <w:bookmarkStart w:id="318" w:name="_Toc23363"/>
      <w:bookmarkStart w:id="319" w:name="_Toc6470"/>
      <w:r>
        <w:rPr>
          <w:b/>
        </w:rPr>
        <w:t>格式</w:t>
      </w:r>
      <w:r>
        <w:rPr>
          <w:rFonts w:hint="eastAsia"/>
          <w:b/>
        </w:rPr>
        <w:t>八</w:t>
      </w:r>
      <w:r>
        <w:rPr>
          <w:b/>
        </w:rPr>
        <w:t>：</w:t>
      </w:r>
      <w:bookmarkEnd w:id="316"/>
      <w:bookmarkEnd w:id="317"/>
      <w:bookmarkEnd w:id="318"/>
      <w:bookmarkEnd w:id="319"/>
    </w:p>
    <w:p>
      <w:pPr>
        <w:snapToGrid w:val="0"/>
        <w:spacing w:before="120" w:beforeLines="50" w:after="50"/>
        <w:rPr>
          <w:szCs w:val="21"/>
        </w:rPr>
      </w:pPr>
    </w:p>
    <w:p>
      <w:pPr>
        <w:spacing w:before="120" w:after="120"/>
        <w:jc w:val="center"/>
        <w:rPr>
          <w:b/>
          <w:bCs/>
          <w:spacing w:val="20"/>
          <w:sz w:val="32"/>
          <w:szCs w:val="32"/>
        </w:rPr>
      </w:pPr>
      <w:r>
        <w:rPr>
          <w:b/>
          <w:bCs/>
          <w:spacing w:val="20"/>
          <w:sz w:val="32"/>
          <w:szCs w:val="32"/>
        </w:rPr>
        <w:t>项目负责人简历表</w:t>
      </w:r>
    </w:p>
    <w:p>
      <w:pPr>
        <w:spacing w:before="120" w:after="120"/>
        <w:jc w:val="center"/>
        <w:rPr>
          <w:b/>
          <w:bCs/>
          <w:spacing w:val="20"/>
          <w:sz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508"/>
        <w:gridCol w:w="720"/>
        <w:gridCol w:w="193"/>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25" w:rightChars="12"/>
              <w:jc w:val="center"/>
              <w:rPr>
                <w:szCs w:val="21"/>
              </w:rPr>
            </w:pPr>
            <w:r>
              <w:rPr>
                <w:szCs w:val="21"/>
              </w:rPr>
              <w:t>姓    名</w:t>
            </w:r>
          </w:p>
        </w:tc>
        <w:tc>
          <w:tcPr>
            <w:tcW w:w="1420" w:type="dxa"/>
          </w:tcPr>
          <w:p>
            <w:pPr>
              <w:spacing w:line="500" w:lineRule="exact"/>
              <w:ind w:right="25" w:rightChars="12"/>
              <w:jc w:val="center"/>
              <w:rPr>
                <w:szCs w:val="21"/>
              </w:rPr>
            </w:pPr>
          </w:p>
        </w:tc>
        <w:tc>
          <w:tcPr>
            <w:tcW w:w="1421" w:type="dxa"/>
            <w:gridSpan w:val="3"/>
          </w:tcPr>
          <w:p>
            <w:pPr>
              <w:spacing w:line="500" w:lineRule="exact"/>
              <w:ind w:right="25" w:rightChars="12"/>
              <w:jc w:val="center"/>
              <w:rPr>
                <w:szCs w:val="21"/>
              </w:rPr>
            </w:pPr>
            <w:r>
              <w:rPr>
                <w:szCs w:val="21"/>
              </w:rPr>
              <w:t>性   别</w:t>
            </w:r>
          </w:p>
        </w:tc>
        <w:tc>
          <w:tcPr>
            <w:tcW w:w="1420" w:type="dxa"/>
          </w:tcPr>
          <w:p>
            <w:pPr>
              <w:spacing w:line="500" w:lineRule="exact"/>
              <w:ind w:right="25" w:rightChars="12"/>
              <w:jc w:val="center"/>
              <w:rPr>
                <w:szCs w:val="21"/>
              </w:rPr>
            </w:pPr>
          </w:p>
        </w:tc>
        <w:tc>
          <w:tcPr>
            <w:tcW w:w="1420" w:type="dxa"/>
          </w:tcPr>
          <w:p>
            <w:pPr>
              <w:spacing w:line="500" w:lineRule="exact"/>
              <w:ind w:right="25" w:rightChars="12"/>
              <w:jc w:val="center"/>
              <w:rPr>
                <w:szCs w:val="21"/>
              </w:rPr>
            </w:pPr>
            <w:r>
              <w:rPr>
                <w:szCs w:val="21"/>
              </w:rPr>
              <w:t>出生年月</w:t>
            </w:r>
          </w:p>
        </w:tc>
        <w:tc>
          <w:tcPr>
            <w:tcW w:w="1421" w:type="dxa"/>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25" w:rightChars="12"/>
              <w:jc w:val="center"/>
              <w:rPr>
                <w:szCs w:val="21"/>
              </w:rPr>
            </w:pPr>
            <w:r>
              <w:rPr>
                <w:szCs w:val="21"/>
              </w:rPr>
              <w:t>专    业</w:t>
            </w:r>
          </w:p>
        </w:tc>
        <w:tc>
          <w:tcPr>
            <w:tcW w:w="1420" w:type="dxa"/>
          </w:tcPr>
          <w:p>
            <w:pPr>
              <w:spacing w:line="500" w:lineRule="exact"/>
              <w:ind w:right="25" w:rightChars="12"/>
              <w:jc w:val="center"/>
              <w:rPr>
                <w:szCs w:val="21"/>
              </w:rPr>
            </w:pPr>
          </w:p>
        </w:tc>
        <w:tc>
          <w:tcPr>
            <w:tcW w:w="1421" w:type="dxa"/>
            <w:gridSpan w:val="3"/>
          </w:tcPr>
          <w:p>
            <w:pPr>
              <w:spacing w:line="500" w:lineRule="exact"/>
              <w:ind w:right="25" w:rightChars="12"/>
              <w:jc w:val="center"/>
              <w:rPr>
                <w:szCs w:val="21"/>
              </w:rPr>
            </w:pPr>
            <w:r>
              <w:rPr>
                <w:szCs w:val="21"/>
              </w:rPr>
              <w:t>学   历</w:t>
            </w:r>
          </w:p>
        </w:tc>
        <w:tc>
          <w:tcPr>
            <w:tcW w:w="1420" w:type="dxa"/>
          </w:tcPr>
          <w:p>
            <w:pPr>
              <w:spacing w:line="500" w:lineRule="exact"/>
              <w:ind w:right="25" w:rightChars="12"/>
              <w:jc w:val="center"/>
              <w:rPr>
                <w:szCs w:val="21"/>
              </w:rPr>
            </w:pPr>
          </w:p>
        </w:tc>
        <w:tc>
          <w:tcPr>
            <w:tcW w:w="1420" w:type="dxa"/>
          </w:tcPr>
          <w:p>
            <w:pPr>
              <w:spacing w:line="500" w:lineRule="exact"/>
              <w:ind w:right="25" w:rightChars="12"/>
              <w:jc w:val="center"/>
              <w:rPr>
                <w:szCs w:val="21"/>
              </w:rPr>
            </w:pPr>
            <w:r>
              <w:rPr>
                <w:szCs w:val="21"/>
              </w:rPr>
              <w:t>职     称</w:t>
            </w:r>
          </w:p>
        </w:tc>
        <w:tc>
          <w:tcPr>
            <w:tcW w:w="1421" w:type="dxa"/>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25" w:rightChars="12"/>
              <w:jc w:val="center"/>
              <w:rPr>
                <w:szCs w:val="21"/>
              </w:rPr>
            </w:pPr>
            <w:r>
              <w:rPr>
                <w:szCs w:val="21"/>
              </w:rPr>
              <w:t>何时参加工作</w:t>
            </w:r>
          </w:p>
        </w:tc>
        <w:tc>
          <w:tcPr>
            <w:tcW w:w="7102" w:type="dxa"/>
            <w:gridSpan w:val="7"/>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25" w:rightChars="12"/>
              <w:jc w:val="center"/>
              <w:rPr>
                <w:szCs w:val="21"/>
              </w:rPr>
            </w:pPr>
            <w:r>
              <w:rPr>
                <w:szCs w:val="21"/>
              </w:rPr>
              <w:t>何时进入公司</w:t>
            </w:r>
          </w:p>
        </w:tc>
        <w:tc>
          <w:tcPr>
            <w:tcW w:w="7102" w:type="dxa"/>
            <w:gridSpan w:val="7"/>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25" w:rightChars="12"/>
              <w:jc w:val="center"/>
              <w:rPr>
                <w:szCs w:val="21"/>
              </w:rPr>
            </w:pPr>
            <w:r>
              <w:rPr>
                <w:szCs w:val="21"/>
              </w:rPr>
              <w:t>从事项目年限</w:t>
            </w:r>
          </w:p>
        </w:tc>
        <w:tc>
          <w:tcPr>
            <w:tcW w:w="7102" w:type="dxa"/>
            <w:gridSpan w:val="7"/>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pPr>
              <w:spacing w:line="500" w:lineRule="exact"/>
              <w:ind w:right="25" w:rightChars="12"/>
              <w:jc w:val="center"/>
              <w:rPr>
                <w:b/>
                <w:szCs w:val="21"/>
              </w:rPr>
            </w:pPr>
            <w:r>
              <w:rPr>
                <w:szCs w:val="21"/>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25" w:rightChars="12"/>
              <w:jc w:val="center"/>
              <w:rPr>
                <w:szCs w:val="21"/>
              </w:rPr>
            </w:pPr>
            <w:r>
              <w:rPr>
                <w:szCs w:val="21"/>
              </w:rPr>
              <w:t>业主单位</w:t>
            </w:r>
          </w:p>
        </w:tc>
        <w:tc>
          <w:tcPr>
            <w:tcW w:w="1928" w:type="dxa"/>
            <w:gridSpan w:val="2"/>
          </w:tcPr>
          <w:p>
            <w:pPr>
              <w:spacing w:line="500" w:lineRule="exact"/>
              <w:ind w:right="25" w:rightChars="12"/>
              <w:jc w:val="center"/>
              <w:rPr>
                <w:szCs w:val="21"/>
              </w:rPr>
            </w:pPr>
            <w:r>
              <w:rPr>
                <w:szCs w:val="21"/>
              </w:rPr>
              <w:t>项目名称</w:t>
            </w:r>
          </w:p>
        </w:tc>
        <w:tc>
          <w:tcPr>
            <w:tcW w:w="720" w:type="dxa"/>
          </w:tcPr>
          <w:p>
            <w:pPr>
              <w:spacing w:line="500" w:lineRule="exact"/>
              <w:ind w:right="25" w:rightChars="12"/>
              <w:jc w:val="center"/>
              <w:rPr>
                <w:szCs w:val="21"/>
              </w:rPr>
            </w:pPr>
            <w:r>
              <w:rPr>
                <w:szCs w:val="21"/>
              </w:rPr>
              <w:t>规模</w:t>
            </w:r>
          </w:p>
        </w:tc>
        <w:tc>
          <w:tcPr>
            <w:tcW w:w="1613" w:type="dxa"/>
            <w:gridSpan w:val="2"/>
          </w:tcPr>
          <w:p>
            <w:pPr>
              <w:spacing w:line="500" w:lineRule="exact"/>
              <w:ind w:right="25" w:rightChars="12"/>
              <w:jc w:val="center"/>
              <w:rPr>
                <w:szCs w:val="21"/>
              </w:rPr>
            </w:pPr>
            <w:r>
              <w:rPr>
                <w:szCs w:val="21"/>
              </w:rPr>
              <w:t>合同时间</w:t>
            </w:r>
          </w:p>
        </w:tc>
        <w:tc>
          <w:tcPr>
            <w:tcW w:w="2841" w:type="dxa"/>
            <w:gridSpan w:val="2"/>
          </w:tcPr>
          <w:p>
            <w:pPr>
              <w:spacing w:line="500" w:lineRule="exact"/>
              <w:ind w:right="25" w:rightChars="12"/>
              <w:jc w:val="center"/>
              <w:rPr>
                <w:szCs w:val="21"/>
              </w:rPr>
            </w:pPr>
            <w:r>
              <w:rPr>
                <w:szCs w:val="21"/>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auto"/>
              <w:ind w:right="25" w:rightChars="12"/>
              <w:jc w:val="center"/>
              <w:rPr>
                <w:b/>
                <w:szCs w:val="21"/>
              </w:rPr>
            </w:pPr>
          </w:p>
        </w:tc>
        <w:tc>
          <w:tcPr>
            <w:tcW w:w="1928" w:type="dxa"/>
            <w:gridSpan w:val="2"/>
          </w:tcPr>
          <w:p>
            <w:pPr>
              <w:spacing w:line="360" w:lineRule="auto"/>
              <w:ind w:right="25" w:rightChars="12"/>
              <w:jc w:val="center"/>
              <w:rPr>
                <w:b/>
                <w:szCs w:val="21"/>
              </w:rPr>
            </w:pPr>
          </w:p>
        </w:tc>
        <w:tc>
          <w:tcPr>
            <w:tcW w:w="720" w:type="dxa"/>
          </w:tcPr>
          <w:p>
            <w:pPr>
              <w:spacing w:line="360" w:lineRule="auto"/>
              <w:ind w:right="25" w:rightChars="12"/>
              <w:jc w:val="center"/>
              <w:rPr>
                <w:b/>
                <w:szCs w:val="21"/>
              </w:rPr>
            </w:pPr>
          </w:p>
        </w:tc>
        <w:tc>
          <w:tcPr>
            <w:tcW w:w="1613" w:type="dxa"/>
            <w:gridSpan w:val="2"/>
          </w:tcPr>
          <w:p>
            <w:pPr>
              <w:spacing w:line="360" w:lineRule="auto"/>
              <w:ind w:right="25" w:rightChars="12"/>
              <w:jc w:val="center"/>
              <w:rPr>
                <w:b/>
                <w:szCs w:val="21"/>
              </w:rPr>
            </w:pPr>
          </w:p>
        </w:tc>
        <w:tc>
          <w:tcPr>
            <w:tcW w:w="2841" w:type="dxa"/>
            <w:gridSpan w:val="2"/>
          </w:tcPr>
          <w:p>
            <w:pPr>
              <w:spacing w:line="360" w:lineRule="auto"/>
              <w:ind w:right="25" w:rightChars="12"/>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25" w:rightChars="12"/>
              <w:jc w:val="center"/>
              <w:rPr>
                <w:b/>
                <w:szCs w:val="21"/>
              </w:rPr>
            </w:pPr>
          </w:p>
        </w:tc>
        <w:tc>
          <w:tcPr>
            <w:tcW w:w="1928" w:type="dxa"/>
            <w:gridSpan w:val="2"/>
          </w:tcPr>
          <w:p>
            <w:pPr>
              <w:spacing w:line="580" w:lineRule="exact"/>
              <w:ind w:right="25" w:rightChars="12"/>
              <w:jc w:val="center"/>
              <w:rPr>
                <w:b/>
                <w:szCs w:val="21"/>
              </w:rPr>
            </w:pPr>
          </w:p>
        </w:tc>
        <w:tc>
          <w:tcPr>
            <w:tcW w:w="720" w:type="dxa"/>
          </w:tcPr>
          <w:p>
            <w:pPr>
              <w:spacing w:line="580" w:lineRule="exact"/>
              <w:ind w:right="25" w:rightChars="12"/>
              <w:jc w:val="center"/>
              <w:rPr>
                <w:b/>
                <w:szCs w:val="21"/>
              </w:rPr>
            </w:pPr>
          </w:p>
        </w:tc>
        <w:tc>
          <w:tcPr>
            <w:tcW w:w="1613" w:type="dxa"/>
            <w:gridSpan w:val="2"/>
          </w:tcPr>
          <w:p>
            <w:pPr>
              <w:spacing w:line="580" w:lineRule="exact"/>
              <w:ind w:right="25" w:rightChars="12"/>
              <w:jc w:val="center"/>
              <w:rPr>
                <w:b/>
                <w:szCs w:val="21"/>
              </w:rPr>
            </w:pPr>
          </w:p>
        </w:tc>
        <w:tc>
          <w:tcPr>
            <w:tcW w:w="2841" w:type="dxa"/>
            <w:gridSpan w:val="2"/>
          </w:tcPr>
          <w:p>
            <w:pPr>
              <w:spacing w:line="580" w:lineRule="exact"/>
              <w:ind w:right="25" w:rightChars="12"/>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25" w:rightChars="12"/>
              <w:jc w:val="center"/>
              <w:rPr>
                <w:b/>
                <w:szCs w:val="21"/>
              </w:rPr>
            </w:pPr>
          </w:p>
        </w:tc>
        <w:tc>
          <w:tcPr>
            <w:tcW w:w="1928" w:type="dxa"/>
            <w:gridSpan w:val="2"/>
          </w:tcPr>
          <w:p>
            <w:pPr>
              <w:spacing w:line="580" w:lineRule="exact"/>
              <w:ind w:right="25" w:rightChars="12"/>
              <w:jc w:val="center"/>
              <w:rPr>
                <w:b/>
                <w:szCs w:val="21"/>
              </w:rPr>
            </w:pPr>
          </w:p>
        </w:tc>
        <w:tc>
          <w:tcPr>
            <w:tcW w:w="720" w:type="dxa"/>
          </w:tcPr>
          <w:p>
            <w:pPr>
              <w:spacing w:line="580" w:lineRule="exact"/>
              <w:ind w:right="25" w:rightChars="12"/>
              <w:jc w:val="center"/>
              <w:rPr>
                <w:b/>
                <w:szCs w:val="21"/>
              </w:rPr>
            </w:pPr>
          </w:p>
        </w:tc>
        <w:tc>
          <w:tcPr>
            <w:tcW w:w="1613" w:type="dxa"/>
            <w:gridSpan w:val="2"/>
          </w:tcPr>
          <w:p>
            <w:pPr>
              <w:spacing w:line="580" w:lineRule="exact"/>
              <w:ind w:right="25" w:rightChars="12"/>
              <w:jc w:val="center"/>
              <w:rPr>
                <w:b/>
                <w:szCs w:val="21"/>
              </w:rPr>
            </w:pPr>
          </w:p>
        </w:tc>
        <w:tc>
          <w:tcPr>
            <w:tcW w:w="2841" w:type="dxa"/>
            <w:gridSpan w:val="2"/>
          </w:tcPr>
          <w:p>
            <w:pPr>
              <w:spacing w:line="580" w:lineRule="exact"/>
              <w:ind w:right="25" w:rightChars="12"/>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25" w:rightChars="12"/>
              <w:jc w:val="center"/>
              <w:rPr>
                <w:b/>
                <w:szCs w:val="21"/>
              </w:rPr>
            </w:pPr>
          </w:p>
        </w:tc>
        <w:tc>
          <w:tcPr>
            <w:tcW w:w="1928" w:type="dxa"/>
            <w:gridSpan w:val="2"/>
          </w:tcPr>
          <w:p>
            <w:pPr>
              <w:spacing w:line="580" w:lineRule="exact"/>
              <w:ind w:right="25" w:rightChars="12"/>
              <w:jc w:val="center"/>
              <w:rPr>
                <w:b/>
                <w:szCs w:val="21"/>
              </w:rPr>
            </w:pPr>
          </w:p>
        </w:tc>
        <w:tc>
          <w:tcPr>
            <w:tcW w:w="720" w:type="dxa"/>
          </w:tcPr>
          <w:p>
            <w:pPr>
              <w:spacing w:line="580" w:lineRule="exact"/>
              <w:ind w:right="25" w:rightChars="12"/>
              <w:jc w:val="center"/>
              <w:rPr>
                <w:b/>
                <w:szCs w:val="21"/>
              </w:rPr>
            </w:pPr>
          </w:p>
        </w:tc>
        <w:tc>
          <w:tcPr>
            <w:tcW w:w="1613" w:type="dxa"/>
            <w:gridSpan w:val="2"/>
          </w:tcPr>
          <w:p>
            <w:pPr>
              <w:spacing w:line="580" w:lineRule="exact"/>
              <w:ind w:right="25" w:rightChars="12"/>
              <w:jc w:val="center"/>
              <w:rPr>
                <w:b/>
                <w:szCs w:val="21"/>
              </w:rPr>
            </w:pPr>
          </w:p>
        </w:tc>
        <w:tc>
          <w:tcPr>
            <w:tcW w:w="2841" w:type="dxa"/>
            <w:gridSpan w:val="2"/>
          </w:tcPr>
          <w:p>
            <w:pPr>
              <w:spacing w:line="580" w:lineRule="exact"/>
              <w:ind w:right="25" w:rightChars="12"/>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25" w:rightChars="12"/>
              <w:jc w:val="center"/>
              <w:rPr>
                <w:b/>
                <w:szCs w:val="21"/>
              </w:rPr>
            </w:pPr>
          </w:p>
        </w:tc>
        <w:tc>
          <w:tcPr>
            <w:tcW w:w="1928" w:type="dxa"/>
            <w:gridSpan w:val="2"/>
          </w:tcPr>
          <w:p>
            <w:pPr>
              <w:spacing w:line="580" w:lineRule="exact"/>
              <w:ind w:right="25" w:rightChars="12"/>
              <w:jc w:val="center"/>
              <w:rPr>
                <w:b/>
                <w:szCs w:val="21"/>
              </w:rPr>
            </w:pPr>
          </w:p>
        </w:tc>
        <w:tc>
          <w:tcPr>
            <w:tcW w:w="720" w:type="dxa"/>
          </w:tcPr>
          <w:p>
            <w:pPr>
              <w:spacing w:line="580" w:lineRule="exact"/>
              <w:ind w:right="25" w:rightChars="12"/>
              <w:jc w:val="center"/>
              <w:rPr>
                <w:b/>
                <w:szCs w:val="21"/>
              </w:rPr>
            </w:pPr>
          </w:p>
        </w:tc>
        <w:tc>
          <w:tcPr>
            <w:tcW w:w="1613" w:type="dxa"/>
            <w:gridSpan w:val="2"/>
          </w:tcPr>
          <w:p>
            <w:pPr>
              <w:spacing w:line="580" w:lineRule="exact"/>
              <w:ind w:right="25" w:rightChars="12"/>
              <w:jc w:val="center"/>
              <w:rPr>
                <w:b/>
                <w:szCs w:val="21"/>
              </w:rPr>
            </w:pPr>
          </w:p>
        </w:tc>
        <w:tc>
          <w:tcPr>
            <w:tcW w:w="2841" w:type="dxa"/>
            <w:gridSpan w:val="2"/>
          </w:tcPr>
          <w:p>
            <w:pPr>
              <w:spacing w:line="580" w:lineRule="exact"/>
              <w:ind w:right="25" w:rightChars="12"/>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25" w:rightChars="12"/>
              <w:jc w:val="center"/>
              <w:rPr>
                <w:b/>
                <w:szCs w:val="21"/>
              </w:rPr>
            </w:pPr>
          </w:p>
        </w:tc>
        <w:tc>
          <w:tcPr>
            <w:tcW w:w="1928" w:type="dxa"/>
            <w:gridSpan w:val="2"/>
          </w:tcPr>
          <w:p>
            <w:pPr>
              <w:spacing w:line="580" w:lineRule="exact"/>
              <w:ind w:right="25" w:rightChars="12"/>
              <w:jc w:val="center"/>
              <w:rPr>
                <w:b/>
                <w:szCs w:val="21"/>
              </w:rPr>
            </w:pPr>
          </w:p>
        </w:tc>
        <w:tc>
          <w:tcPr>
            <w:tcW w:w="720" w:type="dxa"/>
          </w:tcPr>
          <w:p>
            <w:pPr>
              <w:spacing w:line="580" w:lineRule="exact"/>
              <w:ind w:right="25" w:rightChars="12"/>
              <w:jc w:val="center"/>
              <w:rPr>
                <w:b/>
                <w:szCs w:val="21"/>
              </w:rPr>
            </w:pPr>
          </w:p>
        </w:tc>
        <w:tc>
          <w:tcPr>
            <w:tcW w:w="1613" w:type="dxa"/>
            <w:gridSpan w:val="2"/>
          </w:tcPr>
          <w:p>
            <w:pPr>
              <w:spacing w:line="580" w:lineRule="exact"/>
              <w:ind w:right="25" w:rightChars="12"/>
              <w:jc w:val="center"/>
              <w:rPr>
                <w:b/>
                <w:szCs w:val="21"/>
              </w:rPr>
            </w:pPr>
          </w:p>
        </w:tc>
        <w:tc>
          <w:tcPr>
            <w:tcW w:w="2841" w:type="dxa"/>
            <w:gridSpan w:val="2"/>
          </w:tcPr>
          <w:p>
            <w:pPr>
              <w:spacing w:line="580" w:lineRule="exact"/>
              <w:ind w:right="25" w:rightChars="12"/>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25" w:rightChars="12"/>
              <w:jc w:val="center"/>
              <w:rPr>
                <w:b/>
                <w:szCs w:val="21"/>
              </w:rPr>
            </w:pPr>
          </w:p>
        </w:tc>
        <w:tc>
          <w:tcPr>
            <w:tcW w:w="1928" w:type="dxa"/>
            <w:gridSpan w:val="2"/>
          </w:tcPr>
          <w:p>
            <w:pPr>
              <w:spacing w:line="580" w:lineRule="exact"/>
              <w:ind w:right="25" w:rightChars="12"/>
              <w:jc w:val="center"/>
              <w:rPr>
                <w:b/>
                <w:szCs w:val="21"/>
              </w:rPr>
            </w:pPr>
          </w:p>
        </w:tc>
        <w:tc>
          <w:tcPr>
            <w:tcW w:w="720" w:type="dxa"/>
          </w:tcPr>
          <w:p>
            <w:pPr>
              <w:spacing w:line="580" w:lineRule="exact"/>
              <w:ind w:right="25" w:rightChars="12"/>
              <w:jc w:val="center"/>
              <w:rPr>
                <w:b/>
                <w:szCs w:val="21"/>
              </w:rPr>
            </w:pPr>
          </w:p>
        </w:tc>
        <w:tc>
          <w:tcPr>
            <w:tcW w:w="1613" w:type="dxa"/>
            <w:gridSpan w:val="2"/>
          </w:tcPr>
          <w:p>
            <w:pPr>
              <w:spacing w:line="580" w:lineRule="exact"/>
              <w:ind w:right="25" w:rightChars="12"/>
              <w:jc w:val="center"/>
              <w:rPr>
                <w:b/>
                <w:szCs w:val="21"/>
              </w:rPr>
            </w:pPr>
          </w:p>
        </w:tc>
        <w:tc>
          <w:tcPr>
            <w:tcW w:w="2841" w:type="dxa"/>
            <w:gridSpan w:val="2"/>
          </w:tcPr>
          <w:p>
            <w:pPr>
              <w:spacing w:line="580" w:lineRule="exact"/>
              <w:ind w:right="25" w:rightChars="12"/>
              <w:jc w:val="center"/>
              <w:rPr>
                <w:b/>
                <w:szCs w:val="21"/>
              </w:rPr>
            </w:pPr>
          </w:p>
        </w:tc>
      </w:tr>
    </w:tbl>
    <w:p>
      <w:pPr>
        <w:rPr>
          <w:sz w:val="24"/>
        </w:rPr>
      </w:pPr>
    </w:p>
    <w:p>
      <w:pPr>
        <w:spacing w:line="0" w:lineRule="atLeast"/>
        <w:rPr>
          <w:rFonts w:eastAsia="仿宋_GB2312"/>
          <w:sz w:val="24"/>
        </w:rPr>
      </w:pPr>
    </w:p>
    <w:p>
      <w:pPr>
        <w:widowControl/>
        <w:spacing w:line="360" w:lineRule="auto"/>
        <w:ind w:firstLine="4080" w:firstLineChars="1700"/>
        <w:jc w:val="left"/>
        <w:rPr>
          <w:sz w:val="24"/>
        </w:rPr>
      </w:pPr>
      <w:r>
        <w:rPr>
          <w:sz w:val="24"/>
        </w:rPr>
        <w:t>投 标 人（盖章）：</w:t>
      </w:r>
    </w:p>
    <w:p>
      <w:pPr>
        <w:pStyle w:val="16"/>
        <w:widowControl/>
        <w:spacing w:line="360" w:lineRule="auto"/>
        <w:ind w:firstLine="4080" w:firstLineChars="1700"/>
        <w:jc w:val="left"/>
        <w:rPr>
          <w:rFonts w:ascii="Times New Roman"/>
          <w:spacing w:val="0"/>
          <w:sz w:val="24"/>
          <w:szCs w:val="24"/>
        </w:rPr>
      </w:pPr>
      <w:r>
        <w:rPr>
          <w:rFonts w:ascii="Times New Roman"/>
          <w:spacing w:val="0"/>
          <w:sz w:val="24"/>
          <w:szCs w:val="24"/>
        </w:rPr>
        <w:t>日    期：</w:t>
      </w:r>
    </w:p>
    <w:p>
      <w:pPr>
        <w:widowControl/>
        <w:jc w:val="left"/>
        <w:outlineLvl w:val="1"/>
        <w:rPr>
          <w:szCs w:val="21"/>
        </w:rPr>
      </w:pPr>
      <w:r>
        <w:rPr>
          <w:rStyle w:val="112"/>
          <w:sz w:val="21"/>
          <w:szCs w:val="21"/>
        </w:rPr>
        <w:br w:type="page"/>
      </w:r>
      <w:bookmarkStart w:id="320" w:name="_Toc2964"/>
      <w:bookmarkStart w:id="321" w:name="_Toc16242"/>
      <w:bookmarkStart w:id="322" w:name="_Toc23301"/>
      <w:r>
        <w:rPr>
          <w:b/>
        </w:rPr>
        <w:t>格式</w:t>
      </w:r>
      <w:r>
        <w:rPr>
          <w:rFonts w:hint="eastAsia"/>
          <w:b/>
        </w:rPr>
        <w:t>九</w:t>
      </w:r>
      <w:r>
        <w:rPr>
          <w:b/>
        </w:rPr>
        <w:t>：</w:t>
      </w:r>
      <w:bookmarkEnd w:id="320"/>
      <w:bookmarkEnd w:id="321"/>
      <w:bookmarkEnd w:id="322"/>
    </w:p>
    <w:p>
      <w:pPr>
        <w:pStyle w:val="16"/>
        <w:widowControl/>
        <w:spacing w:line="360" w:lineRule="auto"/>
        <w:ind w:firstLine="0"/>
        <w:jc w:val="left"/>
        <w:rPr>
          <w:rFonts w:ascii="Times New Roman"/>
          <w:spacing w:val="0"/>
          <w:kern w:val="2"/>
          <w:sz w:val="21"/>
          <w:szCs w:val="21"/>
        </w:rPr>
      </w:pPr>
    </w:p>
    <w:p>
      <w:pPr>
        <w:spacing w:before="120" w:after="120"/>
        <w:jc w:val="center"/>
        <w:rPr>
          <w:b/>
          <w:bCs/>
          <w:spacing w:val="20"/>
          <w:sz w:val="32"/>
          <w:szCs w:val="32"/>
        </w:rPr>
      </w:pPr>
      <w:r>
        <w:rPr>
          <w:b/>
          <w:bCs/>
          <w:spacing w:val="20"/>
          <w:sz w:val="32"/>
          <w:szCs w:val="32"/>
        </w:rPr>
        <w:t>项目人员配置表</w:t>
      </w:r>
    </w:p>
    <w:tbl>
      <w:tblPr>
        <w:tblStyle w:val="38"/>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567"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Cs w:val="21"/>
              </w:rPr>
            </w:pPr>
            <w:r>
              <w:rPr>
                <w:szCs w:val="21"/>
              </w:rPr>
              <w:t>序号</w:t>
            </w:r>
          </w:p>
        </w:tc>
        <w:tc>
          <w:tcPr>
            <w:tcW w:w="1134"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Cs w:val="21"/>
              </w:rPr>
            </w:pPr>
            <w:r>
              <w:rPr>
                <w:szCs w:val="21"/>
              </w:rPr>
              <w:t>姓名</w:t>
            </w:r>
          </w:p>
        </w:tc>
        <w:tc>
          <w:tcPr>
            <w:tcW w:w="709"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Cs w:val="21"/>
              </w:rPr>
            </w:pPr>
            <w:r>
              <w:rPr>
                <w:szCs w:val="21"/>
              </w:rPr>
              <w:t>性别</w:t>
            </w:r>
          </w:p>
        </w:tc>
        <w:tc>
          <w:tcPr>
            <w:tcW w:w="1418"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Cs w:val="21"/>
              </w:rPr>
            </w:pPr>
            <w:r>
              <w:rPr>
                <w:szCs w:val="21"/>
              </w:rPr>
              <w:t>职称</w:t>
            </w:r>
          </w:p>
        </w:tc>
        <w:tc>
          <w:tcPr>
            <w:tcW w:w="1559"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Cs w:val="21"/>
              </w:rPr>
            </w:pPr>
            <w:r>
              <w:rPr>
                <w:szCs w:val="21"/>
              </w:rPr>
              <w:t>专业</w:t>
            </w:r>
          </w:p>
        </w:tc>
        <w:tc>
          <w:tcPr>
            <w:tcW w:w="1984"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Cs w:val="21"/>
              </w:rPr>
            </w:pPr>
            <w:r>
              <w:rPr>
                <w:szCs w:val="21"/>
              </w:rPr>
              <w:t>联系电话</w:t>
            </w:r>
          </w:p>
        </w:tc>
        <w:tc>
          <w:tcPr>
            <w:tcW w:w="1560"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Cs w:val="21"/>
              </w:rPr>
            </w:pPr>
            <w:r>
              <w:rPr>
                <w:szCs w:val="21"/>
              </w:rPr>
              <w:t>分工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Borders>
              <w:top w:val="single" w:color="auto" w:sz="4" w:space="0"/>
            </w:tcBorders>
            <w:tcMar>
              <w:left w:w="28" w:type="dxa"/>
              <w:right w:w="28" w:type="dxa"/>
            </w:tcMar>
            <w:vAlign w:val="center"/>
          </w:tcPr>
          <w:p>
            <w:pPr>
              <w:spacing w:line="500" w:lineRule="exact"/>
              <w:ind w:right="25" w:rightChars="12"/>
              <w:jc w:val="center"/>
              <w:rPr>
                <w:szCs w:val="21"/>
              </w:rPr>
            </w:pPr>
            <w:r>
              <w:rPr>
                <w:szCs w:val="21"/>
              </w:rPr>
              <w:t>1</w:t>
            </w:r>
          </w:p>
        </w:tc>
        <w:tc>
          <w:tcPr>
            <w:tcW w:w="1134" w:type="dxa"/>
            <w:tcBorders>
              <w:top w:val="single" w:color="auto" w:sz="4" w:space="0"/>
            </w:tcBorders>
            <w:tcMar>
              <w:left w:w="28" w:type="dxa"/>
              <w:right w:w="28" w:type="dxa"/>
            </w:tcMar>
            <w:vAlign w:val="center"/>
          </w:tcPr>
          <w:p>
            <w:pPr>
              <w:spacing w:line="500" w:lineRule="exact"/>
              <w:ind w:right="25" w:rightChars="12"/>
              <w:jc w:val="center"/>
              <w:rPr>
                <w:szCs w:val="21"/>
              </w:rPr>
            </w:pPr>
          </w:p>
        </w:tc>
        <w:tc>
          <w:tcPr>
            <w:tcW w:w="709" w:type="dxa"/>
            <w:tcBorders>
              <w:top w:val="single" w:color="auto" w:sz="4" w:space="0"/>
            </w:tcBorders>
            <w:tcMar>
              <w:left w:w="28" w:type="dxa"/>
              <w:right w:w="28" w:type="dxa"/>
            </w:tcMar>
            <w:vAlign w:val="center"/>
          </w:tcPr>
          <w:p>
            <w:pPr>
              <w:spacing w:line="500" w:lineRule="exact"/>
              <w:ind w:right="25" w:rightChars="12"/>
              <w:jc w:val="center"/>
              <w:rPr>
                <w:szCs w:val="21"/>
              </w:rPr>
            </w:pPr>
          </w:p>
        </w:tc>
        <w:tc>
          <w:tcPr>
            <w:tcW w:w="1418" w:type="dxa"/>
            <w:tcBorders>
              <w:top w:val="single" w:color="auto" w:sz="4" w:space="0"/>
            </w:tcBorders>
            <w:tcMar>
              <w:left w:w="28" w:type="dxa"/>
              <w:right w:w="28" w:type="dxa"/>
            </w:tcMar>
            <w:vAlign w:val="center"/>
          </w:tcPr>
          <w:p>
            <w:pPr>
              <w:spacing w:line="500" w:lineRule="exact"/>
              <w:ind w:right="25" w:rightChars="12"/>
              <w:jc w:val="center"/>
              <w:rPr>
                <w:szCs w:val="21"/>
              </w:rPr>
            </w:pPr>
          </w:p>
        </w:tc>
        <w:tc>
          <w:tcPr>
            <w:tcW w:w="1559" w:type="dxa"/>
            <w:tcBorders>
              <w:top w:val="single" w:color="auto" w:sz="4" w:space="0"/>
            </w:tcBorders>
            <w:tcMar>
              <w:left w:w="28" w:type="dxa"/>
              <w:right w:w="28" w:type="dxa"/>
            </w:tcMar>
            <w:vAlign w:val="center"/>
          </w:tcPr>
          <w:p>
            <w:pPr>
              <w:spacing w:line="500" w:lineRule="exact"/>
              <w:ind w:right="25" w:rightChars="12"/>
              <w:jc w:val="center"/>
              <w:rPr>
                <w:szCs w:val="21"/>
              </w:rPr>
            </w:pPr>
          </w:p>
        </w:tc>
        <w:tc>
          <w:tcPr>
            <w:tcW w:w="1984" w:type="dxa"/>
            <w:tcBorders>
              <w:top w:val="single" w:color="auto" w:sz="4" w:space="0"/>
            </w:tcBorders>
            <w:tcMar>
              <w:left w:w="28" w:type="dxa"/>
              <w:right w:w="28" w:type="dxa"/>
            </w:tcMar>
            <w:vAlign w:val="center"/>
          </w:tcPr>
          <w:p>
            <w:pPr>
              <w:spacing w:line="500" w:lineRule="exact"/>
              <w:ind w:right="25" w:rightChars="12"/>
              <w:jc w:val="center"/>
              <w:rPr>
                <w:szCs w:val="21"/>
              </w:rPr>
            </w:pPr>
          </w:p>
        </w:tc>
        <w:tc>
          <w:tcPr>
            <w:tcW w:w="1560" w:type="dxa"/>
            <w:tcBorders>
              <w:top w:val="single" w:color="auto" w:sz="4" w:space="0"/>
            </w:tcBorders>
            <w:tcMar>
              <w:left w:w="28" w:type="dxa"/>
              <w:right w:w="28" w:type="dxa"/>
            </w:tcMar>
            <w:vAlign w:val="center"/>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Cs w:val="21"/>
              </w:rPr>
            </w:pPr>
            <w:r>
              <w:rPr>
                <w:szCs w:val="21"/>
              </w:rPr>
              <w:t>2</w:t>
            </w:r>
          </w:p>
        </w:tc>
        <w:tc>
          <w:tcPr>
            <w:tcW w:w="1134" w:type="dxa"/>
            <w:tcMar>
              <w:left w:w="28" w:type="dxa"/>
              <w:right w:w="28" w:type="dxa"/>
            </w:tcMar>
            <w:vAlign w:val="center"/>
          </w:tcPr>
          <w:p>
            <w:pPr>
              <w:spacing w:line="500" w:lineRule="exact"/>
              <w:ind w:right="25" w:rightChars="12"/>
              <w:jc w:val="center"/>
              <w:rPr>
                <w:szCs w:val="21"/>
              </w:rPr>
            </w:pPr>
          </w:p>
        </w:tc>
        <w:tc>
          <w:tcPr>
            <w:tcW w:w="709" w:type="dxa"/>
            <w:tcMar>
              <w:left w:w="28" w:type="dxa"/>
              <w:right w:w="28" w:type="dxa"/>
            </w:tcMar>
            <w:vAlign w:val="center"/>
          </w:tcPr>
          <w:p>
            <w:pPr>
              <w:spacing w:line="500" w:lineRule="exact"/>
              <w:ind w:right="25" w:rightChars="12"/>
              <w:jc w:val="center"/>
              <w:rPr>
                <w:szCs w:val="21"/>
              </w:rPr>
            </w:pPr>
          </w:p>
        </w:tc>
        <w:tc>
          <w:tcPr>
            <w:tcW w:w="1418" w:type="dxa"/>
            <w:tcMar>
              <w:left w:w="28" w:type="dxa"/>
              <w:right w:w="28" w:type="dxa"/>
            </w:tcMar>
            <w:vAlign w:val="center"/>
          </w:tcPr>
          <w:p>
            <w:pPr>
              <w:spacing w:line="500" w:lineRule="exact"/>
              <w:ind w:right="25" w:rightChars="12"/>
              <w:jc w:val="center"/>
              <w:rPr>
                <w:szCs w:val="21"/>
              </w:rPr>
            </w:pPr>
          </w:p>
        </w:tc>
        <w:tc>
          <w:tcPr>
            <w:tcW w:w="1559" w:type="dxa"/>
            <w:tcMar>
              <w:left w:w="28" w:type="dxa"/>
              <w:right w:w="28" w:type="dxa"/>
            </w:tcMar>
            <w:vAlign w:val="center"/>
          </w:tcPr>
          <w:p>
            <w:pPr>
              <w:spacing w:line="500" w:lineRule="exact"/>
              <w:ind w:right="25" w:rightChars="12"/>
              <w:jc w:val="center"/>
              <w:rPr>
                <w:szCs w:val="21"/>
              </w:rPr>
            </w:pPr>
          </w:p>
        </w:tc>
        <w:tc>
          <w:tcPr>
            <w:tcW w:w="1984" w:type="dxa"/>
            <w:tcMar>
              <w:left w:w="28" w:type="dxa"/>
              <w:right w:w="28" w:type="dxa"/>
            </w:tcMar>
            <w:vAlign w:val="center"/>
          </w:tcPr>
          <w:p>
            <w:pPr>
              <w:spacing w:line="500" w:lineRule="exact"/>
              <w:ind w:right="25" w:rightChars="12"/>
              <w:jc w:val="center"/>
              <w:rPr>
                <w:szCs w:val="21"/>
              </w:rPr>
            </w:pPr>
          </w:p>
        </w:tc>
        <w:tc>
          <w:tcPr>
            <w:tcW w:w="1560" w:type="dxa"/>
            <w:tcMar>
              <w:left w:w="28" w:type="dxa"/>
              <w:right w:w="28" w:type="dxa"/>
            </w:tcMar>
            <w:vAlign w:val="center"/>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Cs w:val="21"/>
              </w:rPr>
            </w:pPr>
            <w:r>
              <w:rPr>
                <w:szCs w:val="21"/>
              </w:rPr>
              <w:t>3</w:t>
            </w:r>
          </w:p>
        </w:tc>
        <w:tc>
          <w:tcPr>
            <w:tcW w:w="1134" w:type="dxa"/>
            <w:tcMar>
              <w:left w:w="28" w:type="dxa"/>
              <w:right w:w="28" w:type="dxa"/>
            </w:tcMar>
            <w:vAlign w:val="center"/>
          </w:tcPr>
          <w:p>
            <w:pPr>
              <w:spacing w:line="500" w:lineRule="exact"/>
              <w:ind w:right="25" w:rightChars="12"/>
              <w:jc w:val="center"/>
              <w:rPr>
                <w:szCs w:val="21"/>
              </w:rPr>
            </w:pPr>
          </w:p>
        </w:tc>
        <w:tc>
          <w:tcPr>
            <w:tcW w:w="709" w:type="dxa"/>
            <w:tcMar>
              <w:left w:w="28" w:type="dxa"/>
              <w:right w:w="28" w:type="dxa"/>
            </w:tcMar>
            <w:vAlign w:val="center"/>
          </w:tcPr>
          <w:p>
            <w:pPr>
              <w:spacing w:line="500" w:lineRule="exact"/>
              <w:ind w:right="25" w:rightChars="12"/>
              <w:jc w:val="center"/>
              <w:rPr>
                <w:szCs w:val="21"/>
              </w:rPr>
            </w:pPr>
          </w:p>
        </w:tc>
        <w:tc>
          <w:tcPr>
            <w:tcW w:w="1418" w:type="dxa"/>
            <w:tcMar>
              <w:left w:w="28" w:type="dxa"/>
              <w:right w:w="28" w:type="dxa"/>
            </w:tcMar>
            <w:vAlign w:val="center"/>
          </w:tcPr>
          <w:p>
            <w:pPr>
              <w:spacing w:line="500" w:lineRule="exact"/>
              <w:ind w:right="25" w:rightChars="12"/>
              <w:jc w:val="center"/>
              <w:rPr>
                <w:szCs w:val="21"/>
              </w:rPr>
            </w:pPr>
          </w:p>
        </w:tc>
        <w:tc>
          <w:tcPr>
            <w:tcW w:w="1559" w:type="dxa"/>
            <w:tcMar>
              <w:left w:w="28" w:type="dxa"/>
              <w:right w:w="28" w:type="dxa"/>
            </w:tcMar>
            <w:vAlign w:val="center"/>
          </w:tcPr>
          <w:p>
            <w:pPr>
              <w:spacing w:line="500" w:lineRule="exact"/>
              <w:ind w:right="25" w:rightChars="12"/>
              <w:jc w:val="center"/>
              <w:rPr>
                <w:szCs w:val="21"/>
              </w:rPr>
            </w:pPr>
          </w:p>
        </w:tc>
        <w:tc>
          <w:tcPr>
            <w:tcW w:w="1984" w:type="dxa"/>
            <w:tcMar>
              <w:left w:w="28" w:type="dxa"/>
              <w:right w:w="28" w:type="dxa"/>
            </w:tcMar>
            <w:vAlign w:val="center"/>
          </w:tcPr>
          <w:p>
            <w:pPr>
              <w:spacing w:line="500" w:lineRule="exact"/>
              <w:ind w:right="25" w:rightChars="12"/>
              <w:jc w:val="center"/>
              <w:rPr>
                <w:szCs w:val="21"/>
              </w:rPr>
            </w:pPr>
          </w:p>
        </w:tc>
        <w:tc>
          <w:tcPr>
            <w:tcW w:w="1560" w:type="dxa"/>
            <w:tcMar>
              <w:left w:w="28" w:type="dxa"/>
              <w:right w:w="28" w:type="dxa"/>
            </w:tcMar>
            <w:vAlign w:val="center"/>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Cs w:val="21"/>
              </w:rPr>
            </w:pPr>
            <w:r>
              <w:rPr>
                <w:szCs w:val="21"/>
              </w:rPr>
              <w:t>4</w:t>
            </w:r>
          </w:p>
        </w:tc>
        <w:tc>
          <w:tcPr>
            <w:tcW w:w="1134" w:type="dxa"/>
            <w:tcMar>
              <w:left w:w="28" w:type="dxa"/>
              <w:right w:w="28" w:type="dxa"/>
            </w:tcMar>
            <w:vAlign w:val="center"/>
          </w:tcPr>
          <w:p>
            <w:pPr>
              <w:spacing w:line="500" w:lineRule="exact"/>
              <w:ind w:right="25" w:rightChars="12"/>
              <w:jc w:val="center"/>
              <w:rPr>
                <w:szCs w:val="21"/>
              </w:rPr>
            </w:pPr>
          </w:p>
        </w:tc>
        <w:tc>
          <w:tcPr>
            <w:tcW w:w="709" w:type="dxa"/>
            <w:tcMar>
              <w:left w:w="28" w:type="dxa"/>
              <w:right w:w="28" w:type="dxa"/>
            </w:tcMar>
            <w:vAlign w:val="center"/>
          </w:tcPr>
          <w:p>
            <w:pPr>
              <w:spacing w:line="500" w:lineRule="exact"/>
              <w:ind w:right="25" w:rightChars="12"/>
              <w:jc w:val="center"/>
              <w:rPr>
                <w:szCs w:val="21"/>
              </w:rPr>
            </w:pPr>
          </w:p>
        </w:tc>
        <w:tc>
          <w:tcPr>
            <w:tcW w:w="1418" w:type="dxa"/>
            <w:tcMar>
              <w:left w:w="28" w:type="dxa"/>
              <w:right w:w="28" w:type="dxa"/>
            </w:tcMar>
            <w:vAlign w:val="center"/>
          </w:tcPr>
          <w:p>
            <w:pPr>
              <w:spacing w:line="500" w:lineRule="exact"/>
              <w:ind w:right="25" w:rightChars="12"/>
              <w:jc w:val="center"/>
              <w:rPr>
                <w:szCs w:val="21"/>
              </w:rPr>
            </w:pPr>
          </w:p>
        </w:tc>
        <w:tc>
          <w:tcPr>
            <w:tcW w:w="1559" w:type="dxa"/>
            <w:tcMar>
              <w:left w:w="28" w:type="dxa"/>
              <w:right w:w="28" w:type="dxa"/>
            </w:tcMar>
            <w:vAlign w:val="center"/>
          </w:tcPr>
          <w:p>
            <w:pPr>
              <w:spacing w:line="500" w:lineRule="exact"/>
              <w:ind w:right="25" w:rightChars="12"/>
              <w:jc w:val="center"/>
              <w:rPr>
                <w:szCs w:val="21"/>
              </w:rPr>
            </w:pPr>
          </w:p>
        </w:tc>
        <w:tc>
          <w:tcPr>
            <w:tcW w:w="1984" w:type="dxa"/>
            <w:tcMar>
              <w:left w:w="28" w:type="dxa"/>
              <w:right w:w="28" w:type="dxa"/>
            </w:tcMar>
            <w:vAlign w:val="center"/>
          </w:tcPr>
          <w:p>
            <w:pPr>
              <w:spacing w:line="500" w:lineRule="exact"/>
              <w:ind w:right="25" w:rightChars="12"/>
              <w:jc w:val="center"/>
              <w:rPr>
                <w:szCs w:val="21"/>
              </w:rPr>
            </w:pPr>
          </w:p>
        </w:tc>
        <w:tc>
          <w:tcPr>
            <w:tcW w:w="1560" w:type="dxa"/>
            <w:tcMar>
              <w:left w:w="28" w:type="dxa"/>
              <w:right w:w="28" w:type="dxa"/>
            </w:tcMar>
            <w:vAlign w:val="center"/>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Cs w:val="21"/>
              </w:rPr>
            </w:pPr>
            <w:r>
              <w:rPr>
                <w:szCs w:val="21"/>
              </w:rPr>
              <w:t>5</w:t>
            </w:r>
          </w:p>
        </w:tc>
        <w:tc>
          <w:tcPr>
            <w:tcW w:w="1134" w:type="dxa"/>
            <w:tcMar>
              <w:left w:w="28" w:type="dxa"/>
              <w:right w:w="28" w:type="dxa"/>
            </w:tcMar>
            <w:vAlign w:val="center"/>
          </w:tcPr>
          <w:p>
            <w:pPr>
              <w:spacing w:line="500" w:lineRule="exact"/>
              <w:ind w:right="25" w:rightChars="12"/>
              <w:jc w:val="center"/>
              <w:rPr>
                <w:szCs w:val="21"/>
              </w:rPr>
            </w:pPr>
          </w:p>
        </w:tc>
        <w:tc>
          <w:tcPr>
            <w:tcW w:w="709" w:type="dxa"/>
            <w:tcMar>
              <w:left w:w="28" w:type="dxa"/>
              <w:right w:w="28" w:type="dxa"/>
            </w:tcMar>
            <w:vAlign w:val="center"/>
          </w:tcPr>
          <w:p>
            <w:pPr>
              <w:spacing w:line="500" w:lineRule="exact"/>
              <w:ind w:right="25" w:rightChars="12"/>
              <w:jc w:val="center"/>
              <w:rPr>
                <w:szCs w:val="21"/>
              </w:rPr>
            </w:pPr>
          </w:p>
        </w:tc>
        <w:tc>
          <w:tcPr>
            <w:tcW w:w="1418" w:type="dxa"/>
            <w:tcMar>
              <w:left w:w="28" w:type="dxa"/>
              <w:right w:w="28" w:type="dxa"/>
            </w:tcMar>
            <w:vAlign w:val="center"/>
          </w:tcPr>
          <w:p>
            <w:pPr>
              <w:spacing w:line="500" w:lineRule="exact"/>
              <w:ind w:right="25" w:rightChars="12"/>
              <w:jc w:val="center"/>
              <w:rPr>
                <w:szCs w:val="21"/>
              </w:rPr>
            </w:pPr>
          </w:p>
        </w:tc>
        <w:tc>
          <w:tcPr>
            <w:tcW w:w="1559" w:type="dxa"/>
            <w:tcMar>
              <w:left w:w="28" w:type="dxa"/>
              <w:right w:w="28" w:type="dxa"/>
            </w:tcMar>
            <w:vAlign w:val="center"/>
          </w:tcPr>
          <w:p>
            <w:pPr>
              <w:spacing w:line="500" w:lineRule="exact"/>
              <w:ind w:right="25" w:rightChars="12"/>
              <w:jc w:val="center"/>
              <w:rPr>
                <w:szCs w:val="21"/>
              </w:rPr>
            </w:pPr>
          </w:p>
        </w:tc>
        <w:tc>
          <w:tcPr>
            <w:tcW w:w="1984" w:type="dxa"/>
            <w:tcMar>
              <w:left w:w="28" w:type="dxa"/>
              <w:right w:w="28" w:type="dxa"/>
            </w:tcMar>
            <w:vAlign w:val="center"/>
          </w:tcPr>
          <w:p>
            <w:pPr>
              <w:spacing w:line="500" w:lineRule="exact"/>
              <w:ind w:right="25" w:rightChars="12"/>
              <w:jc w:val="center"/>
              <w:rPr>
                <w:szCs w:val="21"/>
              </w:rPr>
            </w:pPr>
          </w:p>
        </w:tc>
        <w:tc>
          <w:tcPr>
            <w:tcW w:w="1560" w:type="dxa"/>
            <w:tcMar>
              <w:left w:w="28" w:type="dxa"/>
              <w:right w:w="28" w:type="dxa"/>
            </w:tcMar>
            <w:vAlign w:val="center"/>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Cs w:val="21"/>
              </w:rPr>
            </w:pPr>
            <w:r>
              <w:rPr>
                <w:szCs w:val="21"/>
              </w:rPr>
              <w:t>6</w:t>
            </w:r>
          </w:p>
        </w:tc>
        <w:tc>
          <w:tcPr>
            <w:tcW w:w="1134" w:type="dxa"/>
            <w:tcMar>
              <w:left w:w="28" w:type="dxa"/>
              <w:right w:w="28" w:type="dxa"/>
            </w:tcMar>
            <w:vAlign w:val="center"/>
          </w:tcPr>
          <w:p>
            <w:pPr>
              <w:spacing w:line="500" w:lineRule="exact"/>
              <w:ind w:right="25" w:rightChars="12"/>
              <w:jc w:val="center"/>
              <w:rPr>
                <w:szCs w:val="21"/>
              </w:rPr>
            </w:pPr>
          </w:p>
        </w:tc>
        <w:tc>
          <w:tcPr>
            <w:tcW w:w="709" w:type="dxa"/>
            <w:tcMar>
              <w:left w:w="28" w:type="dxa"/>
              <w:right w:w="28" w:type="dxa"/>
            </w:tcMar>
            <w:vAlign w:val="center"/>
          </w:tcPr>
          <w:p>
            <w:pPr>
              <w:spacing w:line="500" w:lineRule="exact"/>
              <w:ind w:right="25" w:rightChars="12"/>
              <w:jc w:val="center"/>
              <w:rPr>
                <w:szCs w:val="21"/>
              </w:rPr>
            </w:pPr>
          </w:p>
        </w:tc>
        <w:tc>
          <w:tcPr>
            <w:tcW w:w="1418" w:type="dxa"/>
            <w:tcMar>
              <w:left w:w="28" w:type="dxa"/>
              <w:right w:w="28" w:type="dxa"/>
            </w:tcMar>
            <w:vAlign w:val="center"/>
          </w:tcPr>
          <w:p>
            <w:pPr>
              <w:spacing w:line="500" w:lineRule="exact"/>
              <w:ind w:right="25" w:rightChars="12"/>
              <w:jc w:val="center"/>
              <w:rPr>
                <w:szCs w:val="21"/>
              </w:rPr>
            </w:pPr>
          </w:p>
        </w:tc>
        <w:tc>
          <w:tcPr>
            <w:tcW w:w="1559" w:type="dxa"/>
            <w:tcMar>
              <w:left w:w="28" w:type="dxa"/>
              <w:right w:w="28" w:type="dxa"/>
            </w:tcMar>
            <w:vAlign w:val="center"/>
          </w:tcPr>
          <w:p>
            <w:pPr>
              <w:spacing w:line="500" w:lineRule="exact"/>
              <w:ind w:right="25" w:rightChars="12"/>
              <w:jc w:val="center"/>
              <w:rPr>
                <w:szCs w:val="21"/>
              </w:rPr>
            </w:pPr>
          </w:p>
        </w:tc>
        <w:tc>
          <w:tcPr>
            <w:tcW w:w="1984" w:type="dxa"/>
            <w:tcMar>
              <w:left w:w="28" w:type="dxa"/>
              <w:right w:w="28" w:type="dxa"/>
            </w:tcMar>
            <w:vAlign w:val="center"/>
          </w:tcPr>
          <w:p>
            <w:pPr>
              <w:spacing w:line="500" w:lineRule="exact"/>
              <w:ind w:right="25" w:rightChars="12"/>
              <w:jc w:val="center"/>
              <w:rPr>
                <w:szCs w:val="21"/>
              </w:rPr>
            </w:pPr>
          </w:p>
        </w:tc>
        <w:tc>
          <w:tcPr>
            <w:tcW w:w="1560" w:type="dxa"/>
            <w:tcMar>
              <w:left w:w="28" w:type="dxa"/>
              <w:right w:w="28" w:type="dxa"/>
            </w:tcMar>
            <w:vAlign w:val="center"/>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Cs w:val="21"/>
              </w:rPr>
            </w:pPr>
            <w:r>
              <w:rPr>
                <w:szCs w:val="21"/>
              </w:rPr>
              <w:t>7</w:t>
            </w:r>
          </w:p>
        </w:tc>
        <w:tc>
          <w:tcPr>
            <w:tcW w:w="1134" w:type="dxa"/>
            <w:tcMar>
              <w:left w:w="28" w:type="dxa"/>
              <w:right w:w="28" w:type="dxa"/>
            </w:tcMar>
            <w:vAlign w:val="center"/>
          </w:tcPr>
          <w:p>
            <w:pPr>
              <w:spacing w:line="500" w:lineRule="exact"/>
              <w:ind w:right="25" w:rightChars="12"/>
              <w:jc w:val="center"/>
              <w:rPr>
                <w:szCs w:val="21"/>
              </w:rPr>
            </w:pPr>
          </w:p>
        </w:tc>
        <w:tc>
          <w:tcPr>
            <w:tcW w:w="709" w:type="dxa"/>
            <w:tcMar>
              <w:left w:w="28" w:type="dxa"/>
              <w:right w:w="28" w:type="dxa"/>
            </w:tcMar>
            <w:vAlign w:val="center"/>
          </w:tcPr>
          <w:p>
            <w:pPr>
              <w:spacing w:line="500" w:lineRule="exact"/>
              <w:ind w:right="25" w:rightChars="12"/>
              <w:jc w:val="center"/>
              <w:rPr>
                <w:szCs w:val="21"/>
              </w:rPr>
            </w:pPr>
          </w:p>
        </w:tc>
        <w:tc>
          <w:tcPr>
            <w:tcW w:w="1418" w:type="dxa"/>
            <w:tcMar>
              <w:left w:w="28" w:type="dxa"/>
              <w:right w:w="28" w:type="dxa"/>
            </w:tcMar>
            <w:vAlign w:val="center"/>
          </w:tcPr>
          <w:p>
            <w:pPr>
              <w:spacing w:line="500" w:lineRule="exact"/>
              <w:ind w:right="25" w:rightChars="12"/>
              <w:jc w:val="center"/>
              <w:rPr>
                <w:szCs w:val="21"/>
              </w:rPr>
            </w:pPr>
          </w:p>
        </w:tc>
        <w:tc>
          <w:tcPr>
            <w:tcW w:w="1559" w:type="dxa"/>
            <w:tcMar>
              <w:left w:w="28" w:type="dxa"/>
              <w:right w:w="28" w:type="dxa"/>
            </w:tcMar>
            <w:vAlign w:val="center"/>
          </w:tcPr>
          <w:p>
            <w:pPr>
              <w:spacing w:line="500" w:lineRule="exact"/>
              <w:ind w:right="25" w:rightChars="12"/>
              <w:jc w:val="center"/>
              <w:rPr>
                <w:szCs w:val="21"/>
              </w:rPr>
            </w:pPr>
          </w:p>
        </w:tc>
        <w:tc>
          <w:tcPr>
            <w:tcW w:w="1984" w:type="dxa"/>
            <w:tcMar>
              <w:left w:w="28" w:type="dxa"/>
              <w:right w:w="28" w:type="dxa"/>
            </w:tcMar>
            <w:vAlign w:val="center"/>
          </w:tcPr>
          <w:p>
            <w:pPr>
              <w:spacing w:line="500" w:lineRule="exact"/>
              <w:ind w:right="25" w:rightChars="12"/>
              <w:jc w:val="center"/>
              <w:rPr>
                <w:szCs w:val="21"/>
              </w:rPr>
            </w:pPr>
          </w:p>
        </w:tc>
        <w:tc>
          <w:tcPr>
            <w:tcW w:w="1560" w:type="dxa"/>
            <w:tcMar>
              <w:left w:w="28" w:type="dxa"/>
              <w:right w:w="28" w:type="dxa"/>
            </w:tcMar>
            <w:vAlign w:val="center"/>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Cs w:val="21"/>
              </w:rPr>
            </w:pPr>
          </w:p>
        </w:tc>
        <w:tc>
          <w:tcPr>
            <w:tcW w:w="1134" w:type="dxa"/>
            <w:tcMar>
              <w:left w:w="28" w:type="dxa"/>
              <w:right w:w="28" w:type="dxa"/>
            </w:tcMar>
            <w:vAlign w:val="center"/>
          </w:tcPr>
          <w:p>
            <w:pPr>
              <w:spacing w:line="500" w:lineRule="exact"/>
              <w:ind w:right="25" w:rightChars="12"/>
              <w:jc w:val="center"/>
              <w:rPr>
                <w:szCs w:val="21"/>
              </w:rPr>
            </w:pPr>
          </w:p>
        </w:tc>
        <w:tc>
          <w:tcPr>
            <w:tcW w:w="709" w:type="dxa"/>
            <w:tcMar>
              <w:left w:w="28" w:type="dxa"/>
              <w:right w:w="28" w:type="dxa"/>
            </w:tcMar>
            <w:vAlign w:val="center"/>
          </w:tcPr>
          <w:p>
            <w:pPr>
              <w:spacing w:line="500" w:lineRule="exact"/>
              <w:ind w:right="25" w:rightChars="12"/>
              <w:jc w:val="center"/>
              <w:rPr>
                <w:szCs w:val="21"/>
              </w:rPr>
            </w:pPr>
          </w:p>
        </w:tc>
        <w:tc>
          <w:tcPr>
            <w:tcW w:w="1418" w:type="dxa"/>
            <w:tcMar>
              <w:left w:w="28" w:type="dxa"/>
              <w:right w:w="28" w:type="dxa"/>
            </w:tcMar>
            <w:vAlign w:val="center"/>
          </w:tcPr>
          <w:p>
            <w:pPr>
              <w:spacing w:line="500" w:lineRule="exact"/>
              <w:ind w:right="25" w:rightChars="12"/>
              <w:jc w:val="center"/>
              <w:rPr>
                <w:szCs w:val="21"/>
              </w:rPr>
            </w:pPr>
          </w:p>
        </w:tc>
        <w:tc>
          <w:tcPr>
            <w:tcW w:w="1559" w:type="dxa"/>
            <w:tcMar>
              <w:left w:w="28" w:type="dxa"/>
              <w:right w:w="28" w:type="dxa"/>
            </w:tcMar>
            <w:vAlign w:val="center"/>
          </w:tcPr>
          <w:p>
            <w:pPr>
              <w:spacing w:line="500" w:lineRule="exact"/>
              <w:ind w:right="25" w:rightChars="12"/>
              <w:jc w:val="center"/>
              <w:rPr>
                <w:szCs w:val="21"/>
              </w:rPr>
            </w:pPr>
          </w:p>
        </w:tc>
        <w:tc>
          <w:tcPr>
            <w:tcW w:w="1984" w:type="dxa"/>
            <w:tcMar>
              <w:left w:w="28" w:type="dxa"/>
              <w:right w:w="28" w:type="dxa"/>
            </w:tcMar>
            <w:vAlign w:val="center"/>
          </w:tcPr>
          <w:p>
            <w:pPr>
              <w:spacing w:line="500" w:lineRule="exact"/>
              <w:ind w:right="25" w:rightChars="12"/>
              <w:jc w:val="center"/>
              <w:rPr>
                <w:szCs w:val="21"/>
              </w:rPr>
            </w:pPr>
          </w:p>
        </w:tc>
        <w:tc>
          <w:tcPr>
            <w:tcW w:w="1560" w:type="dxa"/>
            <w:tcMar>
              <w:left w:w="28" w:type="dxa"/>
              <w:right w:w="28" w:type="dxa"/>
            </w:tcMar>
            <w:vAlign w:val="center"/>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Cs w:val="21"/>
              </w:rPr>
            </w:pPr>
          </w:p>
        </w:tc>
        <w:tc>
          <w:tcPr>
            <w:tcW w:w="1134" w:type="dxa"/>
            <w:tcMar>
              <w:left w:w="28" w:type="dxa"/>
              <w:right w:w="28" w:type="dxa"/>
            </w:tcMar>
            <w:vAlign w:val="center"/>
          </w:tcPr>
          <w:p>
            <w:pPr>
              <w:spacing w:line="500" w:lineRule="exact"/>
              <w:ind w:right="25" w:rightChars="12"/>
              <w:jc w:val="center"/>
              <w:rPr>
                <w:szCs w:val="21"/>
              </w:rPr>
            </w:pPr>
          </w:p>
        </w:tc>
        <w:tc>
          <w:tcPr>
            <w:tcW w:w="709" w:type="dxa"/>
            <w:tcMar>
              <w:left w:w="28" w:type="dxa"/>
              <w:right w:w="28" w:type="dxa"/>
            </w:tcMar>
            <w:vAlign w:val="center"/>
          </w:tcPr>
          <w:p>
            <w:pPr>
              <w:spacing w:line="500" w:lineRule="exact"/>
              <w:ind w:right="25" w:rightChars="12"/>
              <w:jc w:val="center"/>
              <w:rPr>
                <w:szCs w:val="21"/>
              </w:rPr>
            </w:pPr>
          </w:p>
        </w:tc>
        <w:tc>
          <w:tcPr>
            <w:tcW w:w="1418" w:type="dxa"/>
            <w:tcMar>
              <w:left w:w="28" w:type="dxa"/>
              <w:right w:w="28" w:type="dxa"/>
            </w:tcMar>
            <w:vAlign w:val="center"/>
          </w:tcPr>
          <w:p>
            <w:pPr>
              <w:spacing w:line="500" w:lineRule="exact"/>
              <w:ind w:right="25" w:rightChars="12"/>
              <w:jc w:val="center"/>
              <w:rPr>
                <w:szCs w:val="21"/>
              </w:rPr>
            </w:pPr>
          </w:p>
        </w:tc>
        <w:tc>
          <w:tcPr>
            <w:tcW w:w="1559" w:type="dxa"/>
            <w:tcMar>
              <w:left w:w="28" w:type="dxa"/>
              <w:right w:w="28" w:type="dxa"/>
            </w:tcMar>
            <w:vAlign w:val="center"/>
          </w:tcPr>
          <w:p>
            <w:pPr>
              <w:spacing w:line="500" w:lineRule="exact"/>
              <w:ind w:right="25" w:rightChars="12"/>
              <w:jc w:val="center"/>
              <w:rPr>
                <w:szCs w:val="21"/>
              </w:rPr>
            </w:pPr>
          </w:p>
        </w:tc>
        <w:tc>
          <w:tcPr>
            <w:tcW w:w="1984" w:type="dxa"/>
            <w:tcMar>
              <w:left w:w="28" w:type="dxa"/>
              <w:right w:w="28" w:type="dxa"/>
            </w:tcMar>
            <w:vAlign w:val="center"/>
          </w:tcPr>
          <w:p>
            <w:pPr>
              <w:spacing w:line="500" w:lineRule="exact"/>
              <w:ind w:right="25" w:rightChars="12"/>
              <w:jc w:val="center"/>
              <w:rPr>
                <w:szCs w:val="21"/>
              </w:rPr>
            </w:pPr>
          </w:p>
        </w:tc>
        <w:tc>
          <w:tcPr>
            <w:tcW w:w="1560" w:type="dxa"/>
            <w:tcMar>
              <w:left w:w="28" w:type="dxa"/>
              <w:right w:w="28" w:type="dxa"/>
            </w:tcMar>
            <w:vAlign w:val="center"/>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Cs w:val="21"/>
              </w:rPr>
            </w:pPr>
          </w:p>
        </w:tc>
        <w:tc>
          <w:tcPr>
            <w:tcW w:w="1134" w:type="dxa"/>
            <w:tcMar>
              <w:left w:w="28" w:type="dxa"/>
              <w:right w:w="28" w:type="dxa"/>
            </w:tcMar>
            <w:vAlign w:val="center"/>
          </w:tcPr>
          <w:p>
            <w:pPr>
              <w:spacing w:line="500" w:lineRule="exact"/>
              <w:ind w:right="25" w:rightChars="12"/>
              <w:jc w:val="center"/>
              <w:rPr>
                <w:szCs w:val="21"/>
              </w:rPr>
            </w:pPr>
          </w:p>
        </w:tc>
        <w:tc>
          <w:tcPr>
            <w:tcW w:w="709" w:type="dxa"/>
            <w:tcMar>
              <w:left w:w="28" w:type="dxa"/>
              <w:right w:w="28" w:type="dxa"/>
            </w:tcMar>
            <w:vAlign w:val="center"/>
          </w:tcPr>
          <w:p>
            <w:pPr>
              <w:spacing w:line="500" w:lineRule="exact"/>
              <w:ind w:right="25" w:rightChars="12"/>
              <w:jc w:val="center"/>
              <w:rPr>
                <w:szCs w:val="21"/>
              </w:rPr>
            </w:pPr>
          </w:p>
        </w:tc>
        <w:tc>
          <w:tcPr>
            <w:tcW w:w="1418" w:type="dxa"/>
            <w:tcMar>
              <w:left w:w="28" w:type="dxa"/>
              <w:right w:w="28" w:type="dxa"/>
            </w:tcMar>
            <w:vAlign w:val="center"/>
          </w:tcPr>
          <w:p>
            <w:pPr>
              <w:spacing w:line="500" w:lineRule="exact"/>
              <w:ind w:right="25" w:rightChars="12"/>
              <w:jc w:val="center"/>
              <w:rPr>
                <w:szCs w:val="21"/>
              </w:rPr>
            </w:pPr>
          </w:p>
        </w:tc>
        <w:tc>
          <w:tcPr>
            <w:tcW w:w="1559" w:type="dxa"/>
            <w:tcMar>
              <w:left w:w="28" w:type="dxa"/>
              <w:right w:w="28" w:type="dxa"/>
            </w:tcMar>
            <w:vAlign w:val="center"/>
          </w:tcPr>
          <w:p>
            <w:pPr>
              <w:spacing w:line="500" w:lineRule="exact"/>
              <w:ind w:right="25" w:rightChars="12"/>
              <w:jc w:val="center"/>
              <w:rPr>
                <w:szCs w:val="21"/>
              </w:rPr>
            </w:pPr>
          </w:p>
        </w:tc>
        <w:tc>
          <w:tcPr>
            <w:tcW w:w="1984" w:type="dxa"/>
            <w:tcMar>
              <w:left w:w="28" w:type="dxa"/>
              <w:right w:w="28" w:type="dxa"/>
            </w:tcMar>
            <w:vAlign w:val="center"/>
          </w:tcPr>
          <w:p>
            <w:pPr>
              <w:spacing w:line="500" w:lineRule="exact"/>
              <w:ind w:right="25" w:rightChars="12"/>
              <w:jc w:val="center"/>
              <w:rPr>
                <w:szCs w:val="21"/>
              </w:rPr>
            </w:pPr>
          </w:p>
        </w:tc>
        <w:tc>
          <w:tcPr>
            <w:tcW w:w="1560" w:type="dxa"/>
            <w:tcMar>
              <w:left w:w="28" w:type="dxa"/>
              <w:right w:w="28" w:type="dxa"/>
            </w:tcMar>
            <w:vAlign w:val="center"/>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w w:val="80"/>
                <w:szCs w:val="21"/>
              </w:rPr>
            </w:pPr>
          </w:p>
        </w:tc>
        <w:tc>
          <w:tcPr>
            <w:tcW w:w="1134" w:type="dxa"/>
            <w:tcMar>
              <w:left w:w="28" w:type="dxa"/>
              <w:right w:w="28" w:type="dxa"/>
            </w:tcMar>
            <w:vAlign w:val="center"/>
          </w:tcPr>
          <w:p>
            <w:pPr>
              <w:jc w:val="center"/>
              <w:rPr>
                <w:w w:val="80"/>
                <w:szCs w:val="21"/>
              </w:rPr>
            </w:pPr>
          </w:p>
        </w:tc>
        <w:tc>
          <w:tcPr>
            <w:tcW w:w="709" w:type="dxa"/>
            <w:tcMar>
              <w:left w:w="28" w:type="dxa"/>
              <w:right w:w="28" w:type="dxa"/>
            </w:tcMar>
            <w:vAlign w:val="center"/>
          </w:tcPr>
          <w:p>
            <w:pPr>
              <w:jc w:val="center"/>
              <w:rPr>
                <w:w w:val="80"/>
                <w:szCs w:val="21"/>
              </w:rPr>
            </w:pPr>
          </w:p>
        </w:tc>
        <w:tc>
          <w:tcPr>
            <w:tcW w:w="1418" w:type="dxa"/>
            <w:tcMar>
              <w:left w:w="28" w:type="dxa"/>
              <w:right w:w="28" w:type="dxa"/>
            </w:tcMar>
            <w:vAlign w:val="center"/>
          </w:tcPr>
          <w:p>
            <w:pPr>
              <w:jc w:val="center"/>
              <w:rPr>
                <w:w w:val="80"/>
                <w:szCs w:val="21"/>
              </w:rPr>
            </w:pPr>
          </w:p>
        </w:tc>
        <w:tc>
          <w:tcPr>
            <w:tcW w:w="1559" w:type="dxa"/>
            <w:tcMar>
              <w:left w:w="28" w:type="dxa"/>
              <w:right w:w="28" w:type="dxa"/>
            </w:tcMar>
            <w:vAlign w:val="center"/>
          </w:tcPr>
          <w:p>
            <w:pPr>
              <w:jc w:val="center"/>
              <w:rPr>
                <w:w w:val="80"/>
                <w:szCs w:val="21"/>
              </w:rPr>
            </w:pPr>
          </w:p>
        </w:tc>
        <w:tc>
          <w:tcPr>
            <w:tcW w:w="1984" w:type="dxa"/>
            <w:tcMar>
              <w:left w:w="28" w:type="dxa"/>
              <w:right w:w="28" w:type="dxa"/>
            </w:tcMar>
            <w:vAlign w:val="center"/>
          </w:tcPr>
          <w:p>
            <w:pPr>
              <w:jc w:val="center"/>
              <w:rPr>
                <w:w w:val="80"/>
                <w:szCs w:val="21"/>
              </w:rPr>
            </w:pPr>
          </w:p>
        </w:tc>
        <w:tc>
          <w:tcPr>
            <w:tcW w:w="1560" w:type="dxa"/>
            <w:tcMar>
              <w:left w:w="28" w:type="dxa"/>
              <w:right w:w="28" w:type="dxa"/>
            </w:tcMar>
            <w:vAlign w:val="center"/>
          </w:tcPr>
          <w:p>
            <w:pPr>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w w:val="80"/>
                <w:szCs w:val="21"/>
              </w:rPr>
            </w:pPr>
          </w:p>
        </w:tc>
        <w:tc>
          <w:tcPr>
            <w:tcW w:w="1134" w:type="dxa"/>
            <w:tcMar>
              <w:left w:w="28" w:type="dxa"/>
              <w:right w:w="28" w:type="dxa"/>
            </w:tcMar>
            <w:vAlign w:val="center"/>
          </w:tcPr>
          <w:p>
            <w:pPr>
              <w:jc w:val="center"/>
              <w:rPr>
                <w:w w:val="80"/>
                <w:szCs w:val="21"/>
              </w:rPr>
            </w:pPr>
          </w:p>
        </w:tc>
        <w:tc>
          <w:tcPr>
            <w:tcW w:w="709" w:type="dxa"/>
            <w:tcMar>
              <w:left w:w="28" w:type="dxa"/>
              <w:right w:w="28" w:type="dxa"/>
            </w:tcMar>
            <w:vAlign w:val="center"/>
          </w:tcPr>
          <w:p>
            <w:pPr>
              <w:jc w:val="center"/>
              <w:rPr>
                <w:w w:val="80"/>
                <w:szCs w:val="21"/>
              </w:rPr>
            </w:pPr>
          </w:p>
        </w:tc>
        <w:tc>
          <w:tcPr>
            <w:tcW w:w="1418" w:type="dxa"/>
            <w:tcMar>
              <w:left w:w="28" w:type="dxa"/>
              <w:right w:w="28" w:type="dxa"/>
            </w:tcMar>
            <w:vAlign w:val="center"/>
          </w:tcPr>
          <w:p>
            <w:pPr>
              <w:jc w:val="center"/>
              <w:rPr>
                <w:w w:val="80"/>
                <w:szCs w:val="21"/>
              </w:rPr>
            </w:pPr>
          </w:p>
        </w:tc>
        <w:tc>
          <w:tcPr>
            <w:tcW w:w="1559" w:type="dxa"/>
            <w:tcMar>
              <w:left w:w="28" w:type="dxa"/>
              <w:right w:w="28" w:type="dxa"/>
            </w:tcMar>
            <w:vAlign w:val="center"/>
          </w:tcPr>
          <w:p>
            <w:pPr>
              <w:jc w:val="center"/>
              <w:rPr>
                <w:w w:val="80"/>
                <w:szCs w:val="21"/>
              </w:rPr>
            </w:pPr>
          </w:p>
        </w:tc>
        <w:tc>
          <w:tcPr>
            <w:tcW w:w="1984" w:type="dxa"/>
            <w:tcMar>
              <w:left w:w="28" w:type="dxa"/>
              <w:right w:w="28" w:type="dxa"/>
            </w:tcMar>
            <w:vAlign w:val="center"/>
          </w:tcPr>
          <w:p>
            <w:pPr>
              <w:jc w:val="center"/>
              <w:rPr>
                <w:w w:val="80"/>
                <w:szCs w:val="21"/>
              </w:rPr>
            </w:pPr>
          </w:p>
        </w:tc>
        <w:tc>
          <w:tcPr>
            <w:tcW w:w="1560" w:type="dxa"/>
            <w:tcMar>
              <w:left w:w="28" w:type="dxa"/>
              <w:right w:w="28" w:type="dxa"/>
            </w:tcMar>
            <w:vAlign w:val="center"/>
          </w:tcPr>
          <w:p>
            <w:pPr>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w w:val="80"/>
                <w:szCs w:val="21"/>
              </w:rPr>
            </w:pPr>
          </w:p>
        </w:tc>
        <w:tc>
          <w:tcPr>
            <w:tcW w:w="1134" w:type="dxa"/>
            <w:tcMar>
              <w:left w:w="28" w:type="dxa"/>
              <w:right w:w="28" w:type="dxa"/>
            </w:tcMar>
            <w:vAlign w:val="center"/>
          </w:tcPr>
          <w:p>
            <w:pPr>
              <w:jc w:val="center"/>
              <w:rPr>
                <w:w w:val="80"/>
                <w:szCs w:val="21"/>
              </w:rPr>
            </w:pPr>
          </w:p>
        </w:tc>
        <w:tc>
          <w:tcPr>
            <w:tcW w:w="709" w:type="dxa"/>
            <w:tcMar>
              <w:left w:w="28" w:type="dxa"/>
              <w:right w:w="28" w:type="dxa"/>
            </w:tcMar>
            <w:vAlign w:val="center"/>
          </w:tcPr>
          <w:p>
            <w:pPr>
              <w:jc w:val="center"/>
              <w:rPr>
                <w:w w:val="80"/>
                <w:szCs w:val="21"/>
              </w:rPr>
            </w:pPr>
          </w:p>
        </w:tc>
        <w:tc>
          <w:tcPr>
            <w:tcW w:w="1418" w:type="dxa"/>
            <w:tcMar>
              <w:left w:w="28" w:type="dxa"/>
              <w:right w:w="28" w:type="dxa"/>
            </w:tcMar>
            <w:vAlign w:val="center"/>
          </w:tcPr>
          <w:p>
            <w:pPr>
              <w:jc w:val="center"/>
              <w:rPr>
                <w:w w:val="80"/>
                <w:szCs w:val="21"/>
              </w:rPr>
            </w:pPr>
          </w:p>
        </w:tc>
        <w:tc>
          <w:tcPr>
            <w:tcW w:w="1559" w:type="dxa"/>
            <w:tcMar>
              <w:left w:w="28" w:type="dxa"/>
              <w:right w:w="28" w:type="dxa"/>
            </w:tcMar>
            <w:vAlign w:val="center"/>
          </w:tcPr>
          <w:p>
            <w:pPr>
              <w:jc w:val="center"/>
              <w:rPr>
                <w:w w:val="80"/>
                <w:szCs w:val="21"/>
              </w:rPr>
            </w:pPr>
          </w:p>
        </w:tc>
        <w:tc>
          <w:tcPr>
            <w:tcW w:w="1984" w:type="dxa"/>
            <w:tcMar>
              <w:left w:w="28" w:type="dxa"/>
              <w:right w:w="28" w:type="dxa"/>
            </w:tcMar>
            <w:vAlign w:val="center"/>
          </w:tcPr>
          <w:p>
            <w:pPr>
              <w:jc w:val="center"/>
              <w:rPr>
                <w:w w:val="80"/>
                <w:szCs w:val="21"/>
              </w:rPr>
            </w:pPr>
          </w:p>
        </w:tc>
        <w:tc>
          <w:tcPr>
            <w:tcW w:w="1560" w:type="dxa"/>
            <w:tcMar>
              <w:left w:w="28" w:type="dxa"/>
              <w:right w:w="28" w:type="dxa"/>
            </w:tcMar>
            <w:vAlign w:val="center"/>
          </w:tcPr>
          <w:p>
            <w:pPr>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w w:val="80"/>
                <w:szCs w:val="21"/>
              </w:rPr>
            </w:pPr>
          </w:p>
        </w:tc>
        <w:tc>
          <w:tcPr>
            <w:tcW w:w="1134" w:type="dxa"/>
            <w:tcMar>
              <w:left w:w="28" w:type="dxa"/>
              <w:right w:w="28" w:type="dxa"/>
            </w:tcMar>
            <w:vAlign w:val="center"/>
          </w:tcPr>
          <w:p>
            <w:pPr>
              <w:jc w:val="center"/>
              <w:rPr>
                <w:w w:val="80"/>
                <w:szCs w:val="21"/>
              </w:rPr>
            </w:pPr>
          </w:p>
        </w:tc>
        <w:tc>
          <w:tcPr>
            <w:tcW w:w="709" w:type="dxa"/>
            <w:tcMar>
              <w:left w:w="28" w:type="dxa"/>
              <w:right w:w="28" w:type="dxa"/>
            </w:tcMar>
            <w:vAlign w:val="center"/>
          </w:tcPr>
          <w:p>
            <w:pPr>
              <w:jc w:val="center"/>
              <w:rPr>
                <w:w w:val="80"/>
                <w:szCs w:val="21"/>
              </w:rPr>
            </w:pPr>
          </w:p>
        </w:tc>
        <w:tc>
          <w:tcPr>
            <w:tcW w:w="1418" w:type="dxa"/>
            <w:tcMar>
              <w:left w:w="28" w:type="dxa"/>
              <w:right w:w="28" w:type="dxa"/>
            </w:tcMar>
            <w:vAlign w:val="center"/>
          </w:tcPr>
          <w:p>
            <w:pPr>
              <w:jc w:val="center"/>
              <w:rPr>
                <w:w w:val="80"/>
                <w:szCs w:val="21"/>
              </w:rPr>
            </w:pPr>
          </w:p>
        </w:tc>
        <w:tc>
          <w:tcPr>
            <w:tcW w:w="1559" w:type="dxa"/>
            <w:tcMar>
              <w:left w:w="28" w:type="dxa"/>
              <w:right w:w="28" w:type="dxa"/>
            </w:tcMar>
            <w:vAlign w:val="center"/>
          </w:tcPr>
          <w:p>
            <w:pPr>
              <w:jc w:val="center"/>
              <w:rPr>
                <w:w w:val="80"/>
                <w:szCs w:val="21"/>
              </w:rPr>
            </w:pPr>
          </w:p>
        </w:tc>
        <w:tc>
          <w:tcPr>
            <w:tcW w:w="1984" w:type="dxa"/>
            <w:tcMar>
              <w:left w:w="28" w:type="dxa"/>
              <w:right w:w="28" w:type="dxa"/>
            </w:tcMar>
            <w:vAlign w:val="center"/>
          </w:tcPr>
          <w:p>
            <w:pPr>
              <w:jc w:val="center"/>
              <w:rPr>
                <w:w w:val="80"/>
                <w:szCs w:val="21"/>
              </w:rPr>
            </w:pPr>
          </w:p>
        </w:tc>
        <w:tc>
          <w:tcPr>
            <w:tcW w:w="1560" w:type="dxa"/>
            <w:tcMar>
              <w:left w:w="28" w:type="dxa"/>
              <w:right w:w="28" w:type="dxa"/>
            </w:tcMar>
            <w:vAlign w:val="center"/>
          </w:tcPr>
          <w:p>
            <w:pPr>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w w:val="80"/>
                <w:szCs w:val="21"/>
              </w:rPr>
            </w:pPr>
          </w:p>
        </w:tc>
        <w:tc>
          <w:tcPr>
            <w:tcW w:w="1134" w:type="dxa"/>
            <w:tcMar>
              <w:left w:w="28" w:type="dxa"/>
              <w:right w:w="28" w:type="dxa"/>
            </w:tcMar>
            <w:vAlign w:val="center"/>
          </w:tcPr>
          <w:p>
            <w:pPr>
              <w:jc w:val="center"/>
              <w:rPr>
                <w:w w:val="80"/>
                <w:szCs w:val="21"/>
              </w:rPr>
            </w:pPr>
          </w:p>
        </w:tc>
        <w:tc>
          <w:tcPr>
            <w:tcW w:w="709" w:type="dxa"/>
            <w:tcMar>
              <w:left w:w="28" w:type="dxa"/>
              <w:right w:w="28" w:type="dxa"/>
            </w:tcMar>
            <w:vAlign w:val="center"/>
          </w:tcPr>
          <w:p>
            <w:pPr>
              <w:jc w:val="center"/>
              <w:rPr>
                <w:w w:val="80"/>
                <w:szCs w:val="21"/>
              </w:rPr>
            </w:pPr>
          </w:p>
        </w:tc>
        <w:tc>
          <w:tcPr>
            <w:tcW w:w="1418" w:type="dxa"/>
            <w:tcMar>
              <w:left w:w="28" w:type="dxa"/>
              <w:right w:w="28" w:type="dxa"/>
            </w:tcMar>
            <w:vAlign w:val="center"/>
          </w:tcPr>
          <w:p>
            <w:pPr>
              <w:jc w:val="center"/>
              <w:rPr>
                <w:w w:val="80"/>
                <w:szCs w:val="21"/>
              </w:rPr>
            </w:pPr>
          </w:p>
        </w:tc>
        <w:tc>
          <w:tcPr>
            <w:tcW w:w="1559" w:type="dxa"/>
            <w:tcMar>
              <w:left w:w="28" w:type="dxa"/>
              <w:right w:w="28" w:type="dxa"/>
            </w:tcMar>
            <w:vAlign w:val="center"/>
          </w:tcPr>
          <w:p>
            <w:pPr>
              <w:jc w:val="center"/>
              <w:rPr>
                <w:w w:val="80"/>
                <w:szCs w:val="21"/>
              </w:rPr>
            </w:pPr>
          </w:p>
        </w:tc>
        <w:tc>
          <w:tcPr>
            <w:tcW w:w="1984" w:type="dxa"/>
            <w:tcMar>
              <w:left w:w="28" w:type="dxa"/>
              <w:right w:w="28" w:type="dxa"/>
            </w:tcMar>
            <w:vAlign w:val="center"/>
          </w:tcPr>
          <w:p>
            <w:pPr>
              <w:jc w:val="center"/>
              <w:rPr>
                <w:w w:val="80"/>
                <w:szCs w:val="21"/>
              </w:rPr>
            </w:pPr>
          </w:p>
        </w:tc>
        <w:tc>
          <w:tcPr>
            <w:tcW w:w="1560" w:type="dxa"/>
            <w:tcMar>
              <w:left w:w="28" w:type="dxa"/>
              <w:right w:w="28" w:type="dxa"/>
            </w:tcMar>
            <w:vAlign w:val="center"/>
          </w:tcPr>
          <w:p>
            <w:pPr>
              <w:jc w:val="center"/>
              <w:rPr>
                <w:w w:val="80"/>
                <w:szCs w:val="21"/>
              </w:rPr>
            </w:pPr>
          </w:p>
        </w:tc>
      </w:tr>
    </w:tbl>
    <w:p>
      <w:pPr>
        <w:pStyle w:val="16"/>
        <w:widowControl/>
        <w:spacing w:line="360" w:lineRule="auto"/>
        <w:ind w:firstLine="0"/>
        <w:jc w:val="left"/>
        <w:rPr>
          <w:rFonts w:ascii="Times New Roman"/>
          <w:b/>
        </w:rPr>
      </w:pPr>
    </w:p>
    <w:p>
      <w:pPr>
        <w:pStyle w:val="16"/>
        <w:widowControl/>
        <w:spacing w:line="360" w:lineRule="auto"/>
        <w:ind w:firstLine="0"/>
        <w:jc w:val="left"/>
        <w:rPr>
          <w:rFonts w:ascii="Times New Roman"/>
          <w:b/>
        </w:rPr>
      </w:pPr>
    </w:p>
    <w:p>
      <w:pPr>
        <w:spacing w:line="0" w:lineRule="atLeast"/>
        <w:rPr>
          <w:rFonts w:eastAsia="仿宋_GB2312"/>
          <w:sz w:val="24"/>
        </w:rPr>
      </w:pPr>
    </w:p>
    <w:p>
      <w:pPr>
        <w:widowControl/>
        <w:spacing w:line="360" w:lineRule="auto"/>
        <w:ind w:firstLine="3840" w:firstLineChars="1600"/>
        <w:jc w:val="left"/>
        <w:rPr>
          <w:sz w:val="24"/>
        </w:rPr>
      </w:pPr>
      <w:r>
        <w:rPr>
          <w:sz w:val="24"/>
        </w:rPr>
        <w:t>投 标 人（盖章）：</w:t>
      </w:r>
    </w:p>
    <w:p>
      <w:pPr>
        <w:ind w:firstLine="3840" w:firstLineChars="1600"/>
        <w:rPr>
          <w:b/>
        </w:rPr>
      </w:pPr>
      <w:r>
        <w:rPr>
          <w:sz w:val="24"/>
        </w:rPr>
        <w:t>日    期：</w:t>
      </w:r>
      <w:r>
        <w:br w:type="page"/>
      </w:r>
    </w:p>
    <w:p>
      <w:pPr>
        <w:outlineLvl w:val="1"/>
        <w:rPr>
          <w:rStyle w:val="112"/>
          <w:szCs w:val="21"/>
        </w:rPr>
      </w:pPr>
      <w:bookmarkStart w:id="323" w:name="_Toc2199"/>
      <w:bookmarkStart w:id="324" w:name="_Toc6958"/>
      <w:bookmarkStart w:id="325" w:name="_Toc28487"/>
      <w:r>
        <w:rPr>
          <w:b/>
        </w:rPr>
        <w:t>格式十</w:t>
      </w:r>
      <w:bookmarkEnd w:id="323"/>
      <w:bookmarkEnd w:id="324"/>
      <w:bookmarkEnd w:id="325"/>
      <w:r>
        <w:rPr>
          <w:rFonts w:hint="eastAsia"/>
          <w:b/>
        </w:rPr>
        <w:t>：</w:t>
      </w:r>
    </w:p>
    <w:p>
      <w:pPr>
        <w:snapToGrid w:val="0"/>
        <w:spacing w:line="360" w:lineRule="auto"/>
        <w:jc w:val="center"/>
        <w:rPr>
          <w:b/>
          <w:sz w:val="24"/>
          <w:szCs w:val="21"/>
        </w:rPr>
      </w:pPr>
    </w:p>
    <w:p>
      <w:pPr>
        <w:snapToGrid w:val="0"/>
        <w:spacing w:line="360" w:lineRule="auto"/>
        <w:jc w:val="center"/>
        <w:rPr>
          <w:b/>
          <w:sz w:val="32"/>
        </w:rPr>
      </w:pPr>
      <w:r>
        <w:rPr>
          <w:b/>
          <w:sz w:val="32"/>
        </w:rPr>
        <w:t>技术条款偏离表</w:t>
      </w:r>
    </w:p>
    <w:p>
      <w:pPr>
        <w:snapToGrid w:val="0"/>
        <w:spacing w:line="360" w:lineRule="auto"/>
        <w:rPr>
          <w:b/>
          <w:bCs/>
          <w:sz w:val="24"/>
          <w:szCs w:val="21"/>
        </w:rPr>
      </w:pPr>
      <w:r>
        <w:rPr>
          <w:sz w:val="24"/>
        </w:rPr>
        <w:t>项目名称：</w:t>
      </w:r>
      <w:r>
        <w:rPr>
          <w:sz w:val="24"/>
          <w:u w:val="single"/>
        </w:rPr>
        <w:t xml:space="preserve">                </w:t>
      </w:r>
      <w:r>
        <w:rPr>
          <w:sz w:val="24"/>
        </w:rPr>
        <w:t>招标编号：</w:t>
      </w:r>
      <w:r>
        <w:rPr>
          <w:sz w:val="24"/>
          <w:u w:val="single"/>
        </w:rPr>
        <w:t xml:space="preserve">                </w:t>
      </w:r>
      <w:r>
        <w:rPr>
          <w:sz w:val="24"/>
        </w:rPr>
        <w:t xml:space="preserve"> </w:t>
      </w:r>
    </w:p>
    <w:tbl>
      <w:tblPr>
        <w:tblStyle w:val="3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5"/>
        <w:gridCol w:w="2892"/>
        <w:gridCol w:w="2410"/>
        <w:gridCol w:w="24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atLeast"/>
          <w:tblHeader/>
        </w:trPr>
        <w:tc>
          <w:tcPr>
            <w:tcW w:w="1185" w:type="dxa"/>
            <w:vAlign w:val="center"/>
          </w:tcPr>
          <w:p>
            <w:pPr>
              <w:spacing w:line="400" w:lineRule="exact"/>
              <w:jc w:val="center"/>
            </w:pPr>
            <w:r>
              <w:rPr>
                <w:b/>
                <w:bCs/>
                <w:szCs w:val="21"/>
              </w:rPr>
              <w:t>序号</w:t>
            </w:r>
          </w:p>
        </w:tc>
        <w:tc>
          <w:tcPr>
            <w:tcW w:w="2892" w:type="dxa"/>
            <w:vAlign w:val="center"/>
          </w:tcPr>
          <w:p>
            <w:pPr>
              <w:spacing w:line="400" w:lineRule="exact"/>
              <w:jc w:val="center"/>
            </w:pPr>
            <w:r>
              <w:rPr>
                <w:b/>
                <w:bCs/>
                <w:szCs w:val="21"/>
              </w:rPr>
              <w:t>招标要求</w:t>
            </w:r>
          </w:p>
        </w:tc>
        <w:tc>
          <w:tcPr>
            <w:tcW w:w="2410" w:type="dxa"/>
            <w:vAlign w:val="center"/>
          </w:tcPr>
          <w:p>
            <w:pPr>
              <w:spacing w:line="400" w:lineRule="exact"/>
              <w:jc w:val="center"/>
              <w:rPr>
                <w:b/>
                <w:bCs/>
                <w:szCs w:val="21"/>
              </w:rPr>
            </w:pPr>
            <w:r>
              <w:rPr>
                <w:b/>
                <w:bCs/>
                <w:szCs w:val="21"/>
              </w:rPr>
              <w:t>投标响应</w:t>
            </w:r>
          </w:p>
        </w:tc>
        <w:tc>
          <w:tcPr>
            <w:tcW w:w="2410" w:type="dxa"/>
            <w:vAlign w:val="center"/>
          </w:tcPr>
          <w:p>
            <w:pPr>
              <w:spacing w:line="400" w:lineRule="exact"/>
              <w:jc w:val="center"/>
              <w:rPr>
                <w:b/>
                <w:bCs/>
                <w:szCs w:val="21"/>
              </w:rPr>
            </w:pPr>
            <w:r>
              <w:rPr>
                <w:b/>
                <w:bCs/>
                <w:szCs w:val="21"/>
              </w:rPr>
              <w:t>偏离情况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trPr>
        <w:tc>
          <w:tcPr>
            <w:tcW w:w="1185" w:type="dxa"/>
            <w:vAlign w:val="center"/>
          </w:tcPr>
          <w:p>
            <w:pPr>
              <w:widowControl/>
              <w:tabs>
                <w:tab w:val="left" w:pos="180"/>
                <w:tab w:val="left" w:pos="540"/>
              </w:tabs>
              <w:spacing w:line="400" w:lineRule="exact"/>
              <w:jc w:val="center"/>
            </w:pPr>
          </w:p>
        </w:tc>
        <w:tc>
          <w:tcPr>
            <w:tcW w:w="2892" w:type="dxa"/>
          </w:tcPr>
          <w:p>
            <w:pPr>
              <w:widowControl/>
              <w:tabs>
                <w:tab w:val="left" w:pos="180"/>
                <w:tab w:val="left" w:pos="540"/>
              </w:tabs>
              <w:spacing w:line="400" w:lineRule="exact"/>
              <w:jc w:val="lef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pPr>
          </w:p>
        </w:tc>
        <w:tc>
          <w:tcPr>
            <w:tcW w:w="2892" w:type="dxa"/>
            <w:vAlign w:val="center"/>
          </w:tcPr>
          <w:p>
            <w:pPr>
              <w:widowControl/>
              <w:tabs>
                <w:tab w:val="left" w:pos="180"/>
                <w:tab w:val="left" w:pos="540"/>
              </w:tabs>
              <w:spacing w:line="400" w:lineRule="exact"/>
              <w:jc w:val="lef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pPr>
          </w:p>
        </w:tc>
        <w:tc>
          <w:tcPr>
            <w:tcW w:w="2892" w:type="dxa"/>
            <w:vAlign w:val="center"/>
          </w:tcPr>
          <w:p>
            <w:pPr>
              <w:widowControl/>
              <w:tabs>
                <w:tab w:val="left" w:pos="180"/>
                <w:tab w:val="left" w:pos="540"/>
              </w:tabs>
              <w:spacing w:line="400" w:lineRule="exact"/>
              <w:jc w:val="lef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pPr>
          </w:p>
        </w:tc>
        <w:tc>
          <w:tcPr>
            <w:tcW w:w="2892" w:type="dxa"/>
            <w:vAlign w:val="center"/>
          </w:tcPr>
          <w:p>
            <w:pPr>
              <w:widowControl/>
              <w:tabs>
                <w:tab w:val="left" w:pos="180"/>
                <w:tab w:val="left" w:pos="540"/>
              </w:tabs>
              <w:spacing w:line="400" w:lineRule="exact"/>
              <w:jc w:val="lef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pPr>
          </w:p>
        </w:tc>
        <w:tc>
          <w:tcPr>
            <w:tcW w:w="2892" w:type="dxa"/>
            <w:vAlign w:val="center"/>
          </w:tcPr>
          <w:p>
            <w:pPr>
              <w:widowControl/>
              <w:spacing w:line="400" w:lineRule="exact"/>
            </w:pPr>
          </w:p>
        </w:tc>
        <w:tc>
          <w:tcPr>
            <w:tcW w:w="2410" w:type="dxa"/>
          </w:tcPr>
          <w:p>
            <w:pPr>
              <w:widowControl/>
              <w:spacing w:line="400" w:lineRule="exact"/>
              <w:rPr>
                <w:b/>
                <w:bCs/>
                <w:szCs w:val="21"/>
              </w:rPr>
            </w:pPr>
          </w:p>
        </w:tc>
        <w:tc>
          <w:tcPr>
            <w:tcW w:w="2410" w:type="dxa"/>
          </w:tcPr>
          <w:p>
            <w:pPr>
              <w:widowControl/>
              <w:spacing w:line="400" w:lineRule="exact"/>
              <w:rPr>
                <w:b/>
                <w:bCs/>
                <w:szCs w:val="21"/>
              </w:rPr>
            </w:pPr>
          </w:p>
        </w:tc>
      </w:tr>
    </w:tbl>
    <w:p>
      <w:pPr>
        <w:snapToGrid w:val="0"/>
        <w:spacing w:line="360" w:lineRule="auto"/>
        <w:rPr>
          <w:b/>
          <w:szCs w:val="21"/>
        </w:rPr>
      </w:pPr>
      <w:r>
        <w:rPr>
          <w:b/>
          <w:szCs w:val="21"/>
        </w:rPr>
        <w:t>注：投标人应根据投标产品的性能指标、对照招标文件第二章招标需求</w:t>
      </w:r>
      <w:r>
        <w:rPr>
          <w:rFonts w:hint="eastAsia"/>
          <w:b/>
          <w:szCs w:val="21"/>
        </w:rPr>
        <w:t>中</w:t>
      </w:r>
      <w:r>
        <w:rPr>
          <w:b/>
          <w:szCs w:val="21"/>
        </w:rPr>
        <w:t>“技术需求”要求逐条填写，并在“偏离情况”栏注明“正偏离”、“负偏离”或“无偏离”。</w:t>
      </w:r>
    </w:p>
    <w:p>
      <w:pPr>
        <w:snapToGrid w:val="0"/>
        <w:spacing w:line="360" w:lineRule="auto"/>
        <w:jc w:val="center"/>
        <w:rPr>
          <w:b/>
          <w:bCs/>
          <w:sz w:val="24"/>
          <w:szCs w:val="21"/>
        </w:rPr>
      </w:pPr>
    </w:p>
    <w:p>
      <w:pPr>
        <w:snapToGrid w:val="0"/>
        <w:spacing w:line="360" w:lineRule="auto"/>
        <w:jc w:val="center"/>
        <w:rPr>
          <w:b/>
          <w:bCs/>
          <w:sz w:val="24"/>
          <w:szCs w:val="21"/>
        </w:rPr>
      </w:pPr>
    </w:p>
    <w:p>
      <w:pPr>
        <w:widowControl/>
        <w:spacing w:line="360" w:lineRule="auto"/>
        <w:ind w:firstLine="3840" w:firstLineChars="1600"/>
        <w:jc w:val="left"/>
        <w:rPr>
          <w:sz w:val="24"/>
        </w:rPr>
      </w:pPr>
      <w:r>
        <w:rPr>
          <w:sz w:val="24"/>
        </w:rPr>
        <w:t>投 标 人（盖章）：</w:t>
      </w:r>
    </w:p>
    <w:p>
      <w:pPr>
        <w:pStyle w:val="16"/>
        <w:snapToGrid w:val="0"/>
        <w:spacing w:line="360" w:lineRule="auto"/>
        <w:ind w:firstLine="3840" w:firstLineChars="1600"/>
        <w:rPr>
          <w:rFonts w:ascii="Times New Roman"/>
          <w:spacing w:val="0"/>
          <w:sz w:val="24"/>
          <w:szCs w:val="24"/>
        </w:rPr>
      </w:pPr>
    </w:p>
    <w:p>
      <w:pPr>
        <w:snapToGrid w:val="0"/>
        <w:spacing w:before="120" w:beforeLines="50" w:after="120" w:afterLines="50" w:line="360" w:lineRule="auto"/>
        <w:ind w:firstLine="3840" w:firstLineChars="1600"/>
        <w:jc w:val="left"/>
        <w:rPr>
          <w:b/>
          <w:bCs/>
          <w:sz w:val="28"/>
        </w:rPr>
      </w:pPr>
      <w:r>
        <w:rPr>
          <w:sz w:val="24"/>
        </w:rPr>
        <w:t>日    期：</w:t>
      </w:r>
    </w:p>
    <w:p>
      <w:pPr>
        <w:snapToGrid w:val="0"/>
        <w:spacing w:before="50" w:after="120" w:afterLines="50"/>
        <w:jc w:val="left"/>
        <w:rPr>
          <w:szCs w:val="21"/>
        </w:rPr>
        <w:sectPr>
          <w:pgSz w:w="11907" w:h="16840"/>
          <w:pgMar w:top="1276" w:right="1474" w:bottom="1242" w:left="1474" w:header="851" w:footer="851" w:gutter="0"/>
          <w:cols w:space="720" w:num="1"/>
          <w:docGrid w:linePitch="312" w:charSpace="0"/>
        </w:sectPr>
      </w:pPr>
    </w:p>
    <w:p>
      <w:pPr>
        <w:widowControl/>
        <w:jc w:val="left"/>
        <w:outlineLvl w:val="1"/>
        <w:rPr>
          <w:b/>
        </w:rPr>
      </w:pPr>
      <w:bookmarkStart w:id="326" w:name="_Toc27584"/>
      <w:bookmarkStart w:id="327" w:name="_Toc16851"/>
      <w:bookmarkStart w:id="328" w:name="_Toc9902"/>
      <w:r>
        <w:rPr>
          <w:b/>
        </w:rPr>
        <w:t>格式十</w:t>
      </w:r>
      <w:r>
        <w:rPr>
          <w:rFonts w:hint="eastAsia"/>
          <w:b/>
        </w:rPr>
        <w:t>一</w:t>
      </w:r>
      <w:r>
        <w:rPr>
          <w:b/>
        </w:rPr>
        <w:t>：</w:t>
      </w:r>
      <w:bookmarkEnd w:id="326"/>
      <w:bookmarkEnd w:id="327"/>
      <w:bookmarkEnd w:id="328"/>
    </w:p>
    <w:p>
      <w:pPr>
        <w:widowControl/>
        <w:spacing w:line="400" w:lineRule="exact"/>
        <w:jc w:val="center"/>
        <w:rPr>
          <w:b/>
          <w:sz w:val="32"/>
        </w:rPr>
      </w:pPr>
      <w:r>
        <w:rPr>
          <w:b/>
          <w:sz w:val="32"/>
        </w:rPr>
        <w:t>投标函</w:t>
      </w:r>
    </w:p>
    <w:p>
      <w:pPr>
        <w:widowControl/>
        <w:spacing w:line="400" w:lineRule="exact"/>
        <w:jc w:val="center"/>
        <w:rPr>
          <w:b/>
          <w:sz w:val="24"/>
        </w:rPr>
      </w:pPr>
    </w:p>
    <w:p>
      <w:pPr>
        <w:pStyle w:val="16"/>
        <w:widowControl/>
        <w:spacing w:line="360" w:lineRule="auto"/>
        <w:ind w:firstLine="0"/>
        <w:jc w:val="left"/>
        <w:rPr>
          <w:rFonts w:ascii="Times New Roman"/>
          <w:sz w:val="21"/>
          <w:szCs w:val="21"/>
        </w:rPr>
      </w:pPr>
      <w:r>
        <w:rPr>
          <w:rFonts w:ascii="Times New Roman"/>
          <w:sz w:val="21"/>
          <w:szCs w:val="21"/>
        </w:rPr>
        <w:t>致：</w:t>
      </w:r>
      <w:r>
        <w:rPr>
          <w:rFonts w:hint="eastAsia" w:ascii="Times New Roman"/>
          <w:sz w:val="21"/>
          <w:szCs w:val="21"/>
        </w:rPr>
        <w:t>宁波中穗招标有限公司</w:t>
      </w:r>
    </w:p>
    <w:p>
      <w:pPr>
        <w:pStyle w:val="16"/>
        <w:widowControl/>
        <w:spacing w:line="360" w:lineRule="auto"/>
        <w:ind w:firstLine="404" w:firstLineChars="200"/>
        <w:jc w:val="left"/>
        <w:rPr>
          <w:rFonts w:ascii="Times New Roman"/>
          <w:sz w:val="21"/>
          <w:szCs w:val="21"/>
        </w:rPr>
      </w:pPr>
      <w:r>
        <w:rPr>
          <w:rFonts w:ascii="Times New Roman"/>
          <w:sz w:val="21"/>
          <w:szCs w:val="21"/>
          <w:u w:val="single"/>
        </w:rPr>
        <w:t>（投标人全称）</w:t>
      </w:r>
      <w:r>
        <w:rPr>
          <w:rFonts w:ascii="Times New Roman"/>
          <w:sz w:val="21"/>
          <w:szCs w:val="21"/>
        </w:rPr>
        <w:t>授权</w:t>
      </w:r>
      <w:r>
        <w:rPr>
          <w:rFonts w:ascii="Times New Roman"/>
          <w:sz w:val="21"/>
          <w:szCs w:val="21"/>
          <w:u w:val="single"/>
        </w:rPr>
        <w:t>（授权代表姓名、职务）</w:t>
      </w:r>
      <w:r>
        <w:rPr>
          <w:rFonts w:ascii="Times New Roman"/>
          <w:sz w:val="21"/>
          <w:szCs w:val="21"/>
        </w:rPr>
        <w:t>为本公司合法代理人，参加贵方组织的</w:t>
      </w:r>
      <w:r>
        <w:rPr>
          <w:rFonts w:ascii="Times New Roman"/>
          <w:sz w:val="21"/>
          <w:szCs w:val="21"/>
          <w:u w:val="single"/>
        </w:rPr>
        <w:t>（招标编号、项目名称）</w:t>
      </w:r>
      <w:r>
        <w:rPr>
          <w:rFonts w:ascii="Times New Roman"/>
          <w:sz w:val="21"/>
          <w:szCs w:val="21"/>
        </w:rPr>
        <w:t>招投标活动，代表本公司（单位）处理招投标活动中的一切事宜，在此：</w:t>
      </w:r>
    </w:p>
    <w:p>
      <w:pPr>
        <w:pStyle w:val="16"/>
        <w:widowControl/>
        <w:spacing w:line="360" w:lineRule="auto"/>
        <w:ind w:firstLine="0"/>
        <w:jc w:val="left"/>
        <w:rPr>
          <w:rFonts w:ascii="Times New Roman"/>
          <w:sz w:val="21"/>
          <w:szCs w:val="21"/>
        </w:rPr>
      </w:pPr>
      <w:r>
        <w:rPr>
          <w:rFonts w:ascii="Times New Roman"/>
          <w:sz w:val="21"/>
          <w:szCs w:val="21"/>
        </w:rPr>
        <w:t>1、提供招标文件中“投标须知”规定的全部投标文件：</w:t>
      </w:r>
    </w:p>
    <w:p>
      <w:pPr>
        <w:pStyle w:val="16"/>
        <w:widowControl/>
        <w:spacing w:line="360" w:lineRule="auto"/>
        <w:jc w:val="left"/>
        <w:rPr>
          <w:rFonts w:ascii="Times New Roman"/>
          <w:sz w:val="21"/>
          <w:szCs w:val="21"/>
        </w:rPr>
      </w:pPr>
      <w:r>
        <w:rPr>
          <w:rFonts w:ascii="Times New Roman"/>
          <w:sz w:val="21"/>
          <w:szCs w:val="21"/>
        </w:rPr>
        <w:t>（1）上传到政府采购云平台的电子投标文件（含资格证明文件、商务技术文件、报价文件）1份。</w:t>
      </w:r>
    </w:p>
    <w:p>
      <w:pPr>
        <w:pStyle w:val="16"/>
        <w:widowControl/>
        <w:spacing w:line="360" w:lineRule="auto"/>
        <w:jc w:val="left"/>
        <w:rPr>
          <w:rFonts w:ascii="Times New Roman"/>
          <w:sz w:val="21"/>
          <w:szCs w:val="21"/>
        </w:rPr>
      </w:pPr>
      <w:r>
        <w:rPr>
          <w:rFonts w:ascii="Times New Roman"/>
          <w:sz w:val="21"/>
          <w:szCs w:val="21"/>
        </w:rPr>
        <w:t>（2）以U盘存储的电子备份投标文件（含资格证明文件、商务技术文件、报价文件）1份。</w:t>
      </w:r>
    </w:p>
    <w:p>
      <w:pPr>
        <w:pStyle w:val="16"/>
        <w:widowControl/>
        <w:spacing w:line="360" w:lineRule="auto"/>
        <w:ind w:firstLine="0"/>
        <w:jc w:val="left"/>
        <w:rPr>
          <w:rFonts w:ascii="Times New Roman"/>
          <w:sz w:val="21"/>
          <w:szCs w:val="21"/>
        </w:rPr>
      </w:pPr>
      <w:r>
        <w:rPr>
          <w:rFonts w:ascii="Times New Roman"/>
          <w:sz w:val="21"/>
          <w:szCs w:val="21"/>
        </w:rPr>
        <w:t>2、据此函，签字代表宣布并承诺如下：</w:t>
      </w:r>
    </w:p>
    <w:p>
      <w:pPr>
        <w:pStyle w:val="16"/>
        <w:widowControl/>
        <w:numPr>
          <w:ilvl w:val="0"/>
          <w:numId w:val="10"/>
        </w:numPr>
        <w:spacing w:line="360" w:lineRule="auto"/>
        <w:jc w:val="left"/>
        <w:rPr>
          <w:rFonts w:ascii="Times New Roman"/>
          <w:sz w:val="21"/>
          <w:szCs w:val="21"/>
          <w:u w:val="single"/>
        </w:rPr>
      </w:pPr>
      <w:r>
        <w:rPr>
          <w:rFonts w:ascii="Times New Roman"/>
          <w:sz w:val="21"/>
          <w:szCs w:val="21"/>
        </w:rPr>
        <w:t>我方对招标项目愿以投标价为（大写）：</w:t>
      </w:r>
      <w:r>
        <w:rPr>
          <w:rFonts w:ascii="Times New Roman"/>
          <w:sz w:val="21"/>
          <w:szCs w:val="21"/>
          <w:u w:val="single"/>
        </w:rPr>
        <w:t xml:space="preserve">     </w:t>
      </w:r>
      <w:r>
        <w:rPr>
          <w:rFonts w:ascii="Times New Roman"/>
          <w:sz w:val="21"/>
          <w:szCs w:val="21"/>
        </w:rPr>
        <w:t>、（小写）：</w:t>
      </w:r>
      <w:r>
        <w:rPr>
          <w:rFonts w:ascii="Times New Roman"/>
          <w:sz w:val="21"/>
          <w:szCs w:val="21"/>
          <w:u w:val="single"/>
        </w:rPr>
        <w:t xml:space="preserve">      </w:t>
      </w:r>
      <w:r>
        <w:rPr>
          <w:rFonts w:ascii="Times New Roman"/>
          <w:sz w:val="21"/>
          <w:szCs w:val="21"/>
        </w:rPr>
        <w:t>承担招标文件规定内容。</w:t>
      </w:r>
    </w:p>
    <w:p>
      <w:pPr>
        <w:pStyle w:val="16"/>
        <w:widowControl/>
        <w:spacing w:line="360" w:lineRule="auto"/>
        <w:ind w:left="715" w:leftChars="100" w:hanging="505" w:hangingChars="250"/>
        <w:jc w:val="left"/>
        <w:rPr>
          <w:rFonts w:ascii="Times New Roman"/>
          <w:sz w:val="21"/>
          <w:szCs w:val="21"/>
        </w:rPr>
      </w:pPr>
      <w:r>
        <w:rPr>
          <w:rFonts w:ascii="Times New Roman"/>
          <w:sz w:val="21"/>
          <w:szCs w:val="21"/>
        </w:rPr>
        <w:t>（2）本报价已经包含了所供</w:t>
      </w:r>
      <w:r>
        <w:rPr>
          <w:rFonts w:hint="eastAsia" w:ascii="Times New Roman"/>
          <w:sz w:val="21"/>
          <w:szCs w:val="21"/>
        </w:rPr>
        <w:t>服务</w:t>
      </w:r>
      <w:r>
        <w:rPr>
          <w:rFonts w:ascii="Times New Roman"/>
          <w:sz w:val="21"/>
          <w:szCs w:val="21"/>
        </w:rPr>
        <w:t>应纳的税金及招标文件规定的报价方式应包含的其它费用。本报价在投标有效期内固定不变，并在合同有效期内不受利率波动的影响。</w:t>
      </w:r>
    </w:p>
    <w:p>
      <w:pPr>
        <w:pStyle w:val="16"/>
        <w:widowControl/>
        <w:spacing w:line="360" w:lineRule="auto"/>
        <w:ind w:firstLine="202" w:firstLineChars="100"/>
        <w:jc w:val="left"/>
        <w:rPr>
          <w:rFonts w:ascii="Times New Roman"/>
          <w:sz w:val="21"/>
          <w:szCs w:val="21"/>
        </w:rPr>
      </w:pPr>
      <w:r>
        <w:rPr>
          <w:rFonts w:ascii="Times New Roman"/>
          <w:sz w:val="21"/>
          <w:szCs w:val="21"/>
        </w:rPr>
        <w:t>（3）本投标自开标之日起</w:t>
      </w:r>
      <w:r>
        <w:rPr>
          <w:rFonts w:ascii="Times New Roman"/>
          <w:sz w:val="21"/>
          <w:szCs w:val="21"/>
          <w:u w:val="single"/>
        </w:rPr>
        <w:t xml:space="preserve"> </w:t>
      </w:r>
      <w:r>
        <w:rPr>
          <w:rFonts w:hint="eastAsia" w:ascii="Times New Roman"/>
          <w:sz w:val="21"/>
          <w:szCs w:val="21"/>
          <w:u w:val="single"/>
        </w:rPr>
        <w:t>90</w:t>
      </w:r>
      <w:r>
        <w:rPr>
          <w:rFonts w:ascii="Times New Roman"/>
          <w:sz w:val="21"/>
          <w:szCs w:val="21"/>
          <w:u w:val="single"/>
        </w:rPr>
        <w:t xml:space="preserve"> </w:t>
      </w:r>
      <w:r>
        <w:rPr>
          <w:rFonts w:ascii="Times New Roman"/>
          <w:sz w:val="21"/>
          <w:szCs w:val="21"/>
        </w:rPr>
        <w:t>天内有效。</w:t>
      </w:r>
    </w:p>
    <w:p>
      <w:pPr>
        <w:pStyle w:val="16"/>
        <w:widowControl/>
        <w:spacing w:line="360" w:lineRule="auto"/>
        <w:ind w:left="715" w:leftChars="100" w:hanging="505" w:hangingChars="250"/>
        <w:jc w:val="left"/>
        <w:rPr>
          <w:rFonts w:ascii="Times New Roman"/>
          <w:sz w:val="21"/>
          <w:szCs w:val="21"/>
        </w:rPr>
      </w:pPr>
      <w:r>
        <w:rPr>
          <w:rFonts w:ascii="Times New Roman"/>
          <w:sz w:val="21"/>
          <w:szCs w:val="21"/>
        </w:rPr>
        <w:t>（4）我们已详细审查全部招标文件及有关的澄清/修改文件(若有的话)，我们完全理解并同意放弃对这方面提出任何异议的权利。保证遵守招标文件有关条款规定。</w:t>
      </w:r>
    </w:p>
    <w:p>
      <w:pPr>
        <w:pStyle w:val="16"/>
        <w:widowControl/>
        <w:spacing w:line="360" w:lineRule="auto"/>
        <w:ind w:left="715" w:leftChars="100" w:hanging="505" w:hangingChars="250"/>
        <w:jc w:val="left"/>
        <w:rPr>
          <w:rFonts w:ascii="Times New Roman"/>
          <w:sz w:val="21"/>
          <w:szCs w:val="21"/>
        </w:rPr>
      </w:pPr>
      <w:r>
        <w:rPr>
          <w:rFonts w:ascii="Times New Roman"/>
          <w:sz w:val="21"/>
          <w:szCs w:val="21"/>
        </w:rPr>
        <w:t>（5）保证在中标后忠实地执行与招标人所签署的合同，并承担合同规定的责任义务。保证在中标后按照招标文件的规定支付中标服务费。</w:t>
      </w:r>
    </w:p>
    <w:p>
      <w:pPr>
        <w:pStyle w:val="16"/>
        <w:widowControl/>
        <w:spacing w:line="360" w:lineRule="auto"/>
        <w:ind w:firstLine="202" w:firstLineChars="100"/>
        <w:jc w:val="left"/>
        <w:rPr>
          <w:rFonts w:ascii="Times New Roman"/>
          <w:sz w:val="21"/>
          <w:szCs w:val="21"/>
        </w:rPr>
      </w:pPr>
      <w:r>
        <w:rPr>
          <w:rFonts w:ascii="Times New Roman"/>
          <w:sz w:val="21"/>
          <w:szCs w:val="21"/>
        </w:rPr>
        <w:t>（6）承诺应贵方要求提供任何与该项目投标有关的数据、情况和技术资料。</w:t>
      </w:r>
    </w:p>
    <w:p>
      <w:pPr>
        <w:pStyle w:val="16"/>
        <w:widowControl/>
        <w:spacing w:line="360" w:lineRule="auto"/>
        <w:ind w:left="614" w:leftChars="100" w:hanging="404" w:hangingChars="200"/>
        <w:jc w:val="left"/>
        <w:rPr>
          <w:rFonts w:ascii="Times New Roman"/>
          <w:sz w:val="21"/>
          <w:szCs w:val="21"/>
        </w:rPr>
      </w:pPr>
      <w:r>
        <w:rPr>
          <w:rFonts w:ascii="Times New Roman"/>
          <w:sz w:val="21"/>
          <w:szCs w:val="21"/>
        </w:rPr>
        <w:t>（7）我们承诺，与为招标人采购本次招标的</w:t>
      </w:r>
      <w:r>
        <w:rPr>
          <w:rFonts w:hint="eastAsia" w:ascii="Times New Roman"/>
          <w:sz w:val="21"/>
          <w:szCs w:val="21"/>
        </w:rPr>
        <w:t>服务</w:t>
      </w:r>
      <w:r>
        <w:rPr>
          <w:rFonts w:ascii="Times New Roman"/>
          <w:sz w:val="21"/>
          <w:szCs w:val="21"/>
        </w:rPr>
        <w:t>进行设计、编制规范和其他文件所委托的咨询公司或其附属机构无任何直接或间接的关联。</w:t>
      </w:r>
    </w:p>
    <w:p>
      <w:pPr>
        <w:pStyle w:val="16"/>
        <w:widowControl/>
        <w:spacing w:line="240" w:lineRule="auto"/>
        <w:ind w:left="404" w:hanging="404" w:hangingChars="200"/>
        <w:jc w:val="left"/>
        <w:rPr>
          <w:rFonts w:ascii="Times New Roman"/>
          <w:sz w:val="21"/>
          <w:szCs w:val="21"/>
        </w:rPr>
      </w:pPr>
      <w:r>
        <w:rPr>
          <w:rFonts w:ascii="Times New Roman"/>
          <w:sz w:val="21"/>
          <w:szCs w:val="21"/>
        </w:rPr>
        <w:t>4、我们郑重声明：</w:t>
      </w:r>
    </w:p>
    <w:p>
      <w:pPr>
        <w:pStyle w:val="16"/>
        <w:widowControl/>
        <w:spacing w:line="240" w:lineRule="auto"/>
        <w:ind w:left="404" w:hanging="404" w:hangingChars="200"/>
        <w:jc w:val="left"/>
        <w:rPr>
          <w:rFonts w:ascii="Times New Roman"/>
          <w:sz w:val="21"/>
          <w:szCs w:val="21"/>
        </w:rPr>
      </w:pPr>
      <w:r>
        <w:rPr>
          <w:rFonts w:ascii="Times New Roman"/>
          <w:sz w:val="21"/>
          <w:szCs w:val="21"/>
        </w:rPr>
        <w:t>我公司符合有关法律法规规定的参加采购活动应当具备的条件：具有健全的财务会计制度、依法缴纳税收和社会保障资金、参加本次采购活动之前的三年内，在经营活动中无重大违法活动。</w:t>
      </w:r>
    </w:p>
    <w:p>
      <w:pPr>
        <w:pStyle w:val="16"/>
        <w:widowControl/>
        <w:spacing w:line="360" w:lineRule="auto"/>
        <w:ind w:firstLine="0"/>
        <w:jc w:val="left"/>
        <w:rPr>
          <w:rFonts w:ascii="Times New Roman"/>
          <w:sz w:val="21"/>
          <w:szCs w:val="21"/>
        </w:rPr>
      </w:pPr>
      <w:r>
        <w:rPr>
          <w:rFonts w:ascii="Times New Roman"/>
          <w:sz w:val="21"/>
          <w:szCs w:val="21"/>
        </w:rPr>
        <w:t>5、与本投标有关的一切往来通讯请寄：</w:t>
      </w:r>
    </w:p>
    <w:p>
      <w:pPr>
        <w:pStyle w:val="16"/>
        <w:widowControl/>
        <w:spacing w:line="360" w:lineRule="auto"/>
        <w:jc w:val="left"/>
        <w:rPr>
          <w:rFonts w:ascii="Times New Roman"/>
          <w:sz w:val="21"/>
          <w:szCs w:val="21"/>
        </w:rPr>
      </w:pPr>
      <w:r>
        <w:rPr>
          <w:rFonts w:ascii="Times New Roman"/>
          <w:sz w:val="21"/>
          <w:szCs w:val="21"/>
        </w:rPr>
        <w:t>地址：</w:t>
      </w:r>
    </w:p>
    <w:p>
      <w:pPr>
        <w:pStyle w:val="16"/>
        <w:widowControl/>
        <w:spacing w:line="360" w:lineRule="auto"/>
        <w:jc w:val="left"/>
        <w:rPr>
          <w:rFonts w:ascii="Times New Roman"/>
          <w:sz w:val="21"/>
          <w:szCs w:val="21"/>
          <w:u w:val="single"/>
        </w:rPr>
      </w:pPr>
      <w:r>
        <w:rPr>
          <w:rFonts w:ascii="Times New Roman"/>
          <w:sz w:val="21"/>
          <w:szCs w:val="21"/>
        </w:rPr>
        <w:t>邮编：电话：传真：</w:t>
      </w:r>
    </w:p>
    <w:p>
      <w:pPr>
        <w:pStyle w:val="16"/>
        <w:widowControl/>
        <w:spacing w:line="360" w:lineRule="auto"/>
        <w:ind w:firstLine="0"/>
        <w:jc w:val="left"/>
        <w:rPr>
          <w:rFonts w:ascii="Times New Roman"/>
          <w:sz w:val="21"/>
          <w:szCs w:val="21"/>
        </w:rPr>
      </w:pPr>
    </w:p>
    <w:p>
      <w:pPr>
        <w:pStyle w:val="16"/>
        <w:snapToGrid w:val="0"/>
        <w:spacing w:line="360" w:lineRule="auto"/>
        <w:ind w:firstLine="3518" w:firstLineChars="1742"/>
        <w:rPr>
          <w:rFonts w:ascii="Times New Roman"/>
          <w:sz w:val="21"/>
          <w:szCs w:val="21"/>
        </w:rPr>
      </w:pPr>
      <w:r>
        <w:rPr>
          <w:rFonts w:ascii="Times New Roman"/>
          <w:sz w:val="21"/>
          <w:szCs w:val="21"/>
        </w:rPr>
        <w:t>投标人（盖章）：</w:t>
      </w:r>
    </w:p>
    <w:p>
      <w:pPr>
        <w:pStyle w:val="16"/>
        <w:widowControl/>
        <w:spacing w:line="360" w:lineRule="auto"/>
        <w:ind w:firstLine="3518" w:firstLineChars="1742"/>
        <w:jc w:val="left"/>
        <w:rPr>
          <w:rFonts w:ascii="Times New Roman"/>
          <w:sz w:val="21"/>
          <w:szCs w:val="21"/>
        </w:rPr>
      </w:pPr>
      <w:r>
        <w:rPr>
          <w:rFonts w:ascii="Times New Roman"/>
          <w:sz w:val="21"/>
          <w:szCs w:val="21"/>
        </w:rPr>
        <w:t>日</w:t>
      </w:r>
      <w:r>
        <w:rPr>
          <w:rFonts w:hint="eastAsia" w:ascii="Times New Roman"/>
          <w:sz w:val="21"/>
          <w:szCs w:val="21"/>
        </w:rPr>
        <w:t xml:space="preserve">    </w:t>
      </w:r>
      <w:r>
        <w:rPr>
          <w:rFonts w:ascii="Times New Roman"/>
          <w:sz w:val="21"/>
          <w:szCs w:val="21"/>
        </w:rPr>
        <w:t>期：</w:t>
      </w:r>
    </w:p>
    <w:p>
      <w:pPr>
        <w:spacing w:line="240" w:lineRule="exact"/>
        <w:outlineLvl w:val="1"/>
        <w:rPr>
          <w:b/>
          <w:szCs w:val="21"/>
        </w:rPr>
      </w:pPr>
      <w:r>
        <w:rPr>
          <w:sz w:val="24"/>
        </w:rPr>
        <w:br w:type="page"/>
      </w:r>
      <w:bookmarkStart w:id="329" w:name="_Toc4021"/>
      <w:bookmarkStart w:id="330" w:name="_Toc10162"/>
      <w:bookmarkStart w:id="331" w:name="_Toc14167"/>
      <w:r>
        <w:rPr>
          <w:b/>
        </w:rPr>
        <w:t>格式十</w:t>
      </w:r>
      <w:r>
        <w:rPr>
          <w:rFonts w:hint="eastAsia"/>
          <w:b/>
        </w:rPr>
        <w:t>二</w:t>
      </w:r>
      <w:r>
        <w:rPr>
          <w:b/>
        </w:rPr>
        <w:t>：</w:t>
      </w:r>
      <w:bookmarkEnd w:id="329"/>
      <w:bookmarkEnd w:id="330"/>
      <w:bookmarkEnd w:id="331"/>
    </w:p>
    <w:p>
      <w:pPr>
        <w:spacing w:line="360" w:lineRule="auto"/>
        <w:rPr>
          <w:sz w:val="24"/>
        </w:rPr>
      </w:pPr>
    </w:p>
    <w:p>
      <w:pPr>
        <w:spacing w:line="360" w:lineRule="auto"/>
        <w:jc w:val="center"/>
        <w:rPr>
          <w:b/>
          <w:sz w:val="32"/>
          <w:szCs w:val="32"/>
        </w:rPr>
      </w:pPr>
      <w:r>
        <w:rPr>
          <w:b/>
          <w:sz w:val="32"/>
          <w:szCs w:val="32"/>
        </w:rPr>
        <w:t>开标一览表</w:t>
      </w:r>
    </w:p>
    <w:p>
      <w:pPr>
        <w:pStyle w:val="16"/>
        <w:spacing w:line="360" w:lineRule="auto"/>
        <w:ind w:left="-178" w:leftChars="-85" w:firstLine="525" w:firstLineChars="250"/>
        <w:rPr>
          <w:rFonts w:ascii="Times New Roman"/>
          <w:spacing w:val="0"/>
          <w:kern w:val="2"/>
          <w:sz w:val="21"/>
          <w:szCs w:val="21"/>
        </w:rPr>
      </w:pPr>
      <w:r>
        <w:rPr>
          <w:rFonts w:ascii="Times New Roman"/>
          <w:spacing w:val="0"/>
          <w:kern w:val="2"/>
          <w:sz w:val="21"/>
          <w:szCs w:val="21"/>
        </w:rPr>
        <w:t>项目编号：</w:t>
      </w:r>
      <w:r>
        <w:rPr>
          <w:rFonts w:ascii="Times New Roman"/>
          <w:spacing w:val="0"/>
          <w:kern w:val="2"/>
          <w:sz w:val="21"/>
          <w:szCs w:val="21"/>
          <w:u w:val="single"/>
        </w:rPr>
        <w:t xml:space="preserve">                  </w:t>
      </w:r>
      <w:r>
        <w:rPr>
          <w:rFonts w:ascii="Times New Roman"/>
          <w:spacing w:val="0"/>
          <w:kern w:val="2"/>
          <w:sz w:val="21"/>
          <w:szCs w:val="21"/>
        </w:rPr>
        <w:t>项目名称：</w:t>
      </w:r>
      <w:r>
        <w:rPr>
          <w:rFonts w:ascii="Times New Roman"/>
          <w:spacing w:val="0"/>
          <w:kern w:val="2"/>
          <w:sz w:val="21"/>
          <w:szCs w:val="21"/>
          <w:u w:val="single"/>
        </w:rPr>
        <w:t xml:space="preserve">                       </w:t>
      </w:r>
      <w:r>
        <w:rPr>
          <w:rFonts w:ascii="Times New Roman"/>
          <w:spacing w:val="0"/>
          <w:kern w:val="2"/>
          <w:sz w:val="21"/>
          <w:szCs w:val="21"/>
        </w:rPr>
        <w:t>单位：元</w:t>
      </w:r>
    </w:p>
    <w:tbl>
      <w:tblPr>
        <w:tblStyle w:val="38"/>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148"/>
        <w:gridCol w:w="357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34"/>
              <w:widowControl w:val="0"/>
              <w:snapToGrid w:val="0"/>
              <w:spacing w:before="0" w:beforeAutospacing="0" w:after="120" w:afterAutospacing="0" w:line="360" w:lineRule="auto"/>
              <w:jc w:val="both"/>
              <w:rPr>
                <w:sz w:val="21"/>
                <w:szCs w:val="21"/>
              </w:rPr>
            </w:pPr>
            <w:r>
              <w:rPr>
                <w:rFonts w:hint="eastAsia"/>
                <w:spacing w:val="-4"/>
                <w:kern w:val="2"/>
                <w:sz w:val="21"/>
                <w:szCs w:val="21"/>
                <w:lang w:bidi="ar"/>
              </w:rPr>
              <w:t>序号</w:t>
            </w:r>
          </w:p>
        </w:tc>
        <w:tc>
          <w:tcPr>
            <w:tcW w:w="2148" w:type="dxa"/>
            <w:tcBorders>
              <w:top w:val="single" w:color="auto" w:sz="4" w:space="0"/>
              <w:left w:val="single" w:color="auto" w:sz="4" w:space="0"/>
              <w:bottom w:val="single" w:color="auto" w:sz="4" w:space="0"/>
              <w:right w:val="single" w:color="auto" w:sz="4" w:space="0"/>
            </w:tcBorders>
            <w:vAlign w:val="center"/>
          </w:tcPr>
          <w:p>
            <w:pPr>
              <w:pStyle w:val="34"/>
              <w:widowControl w:val="0"/>
              <w:snapToGrid w:val="0"/>
              <w:spacing w:before="0" w:beforeAutospacing="0" w:after="120" w:afterAutospacing="0" w:line="360" w:lineRule="auto"/>
              <w:jc w:val="both"/>
              <w:rPr>
                <w:spacing w:val="-4"/>
                <w:kern w:val="2"/>
                <w:sz w:val="21"/>
                <w:szCs w:val="21"/>
                <w:lang w:bidi="ar"/>
              </w:rPr>
            </w:pPr>
            <w:r>
              <w:rPr>
                <w:spacing w:val="-4"/>
                <w:kern w:val="2"/>
                <w:sz w:val="21"/>
                <w:szCs w:val="21"/>
                <w:lang w:bidi="ar"/>
              </w:rPr>
              <w:t>采购内容</w:t>
            </w:r>
          </w:p>
        </w:tc>
        <w:tc>
          <w:tcPr>
            <w:tcW w:w="3573" w:type="dxa"/>
            <w:tcBorders>
              <w:top w:val="single" w:color="auto" w:sz="4" w:space="0"/>
              <w:left w:val="single" w:color="auto" w:sz="4" w:space="0"/>
              <w:right w:val="single" w:color="auto" w:sz="4" w:space="0"/>
            </w:tcBorders>
            <w:vAlign w:val="center"/>
          </w:tcPr>
          <w:p>
            <w:pPr>
              <w:pStyle w:val="34"/>
              <w:widowControl w:val="0"/>
              <w:snapToGrid w:val="0"/>
              <w:spacing w:before="0" w:beforeAutospacing="0" w:after="120" w:afterAutospacing="0" w:line="360" w:lineRule="auto"/>
              <w:jc w:val="both"/>
              <w:rPr>
                <w:spacing w:val="-4"/>
                <w:kern w:val="2"/>
                <w:sz w:val="21"/>
                <w:szCs w:val="21"/>
                <w:lang w:bidi="ar"/>
              </w:rPr>
            </w:pPr>
            <w:r>
              <w:rPr>
                <w:spacing w:val="-4"/>
                <w:kern w:val="2"/>
                <w:sz w:val="21"/>
                <w:szCs w:val="21"/>
                <w:lang w:bidi="ar"/>
              </w:rPr>
              <w:t>投标报价</w:t>
            </w:r>
          </w:p>
        </w:tc>
        <w:tc>
          <w:tcPr>
            <w:tcW w:w="2348" w:type="dxa"/>
            <w:tcBorders>
              <w:top w:val="single" w:color="auto" w:sz="4" w:space="0"/>
              <w:left w:val="single" w:color="auto" w:sz="4" w:space="0"/>
              <w:bottom w:val="single" w:color="auto" w:sz="4" w:space="0"/>
              <w:right w:val="single" w:color="auto" w:sz="4" w:space="0"/>
            </w:tcBorders>
            <w:vAlign w:val="center"/>
          </w:tcPr>
          <w:p>
            <w:pPr>
              <w:pStyle w:val="34"/>
              <w:widowControl w:val="0"/>
              <w:snapToGrid w:val="0"/>
              <w:spacing w:before="0" w:beforeAutospacing="0" w:after="120" w:afterAutospacing="0" w:line="360" w:lineRule="auto"/>
              <w:jc w:val="both"/>
              <w:rPr>
                <w:spacing w:val="-4"/>
                <w:sz w:val="21"/>
                <w:szCs w:val="21"/>
              </w:rPr>
            </w:pPr>
            <w:r>
              <w:rPr>
                <w:spacing w:val="-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34"/>
              <w:widowControl w:val="0"/>
              <w:snapToGrid w:val="0"/>
              <w:spacing w:before="0" w:beforeAutospacing="0" w:after="120" w:afterAutospacing="0" w:line="360" w:lineRule="auto"/>
              <w:ind w:firstLine="420"/>
              <w:jc w:val="both"/>
              <w:rPr>
                <w:sz w:val="21"/>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pStyle w:val="34"/>
              <w:widowControl w:val="0"/>
              <w:spacing w:before="0" w:beforeAutospacing="0" w:after="120" w:afterAutospacing="0" w:line="360" w:lineRule="auto"/>
              <w:jc w:val="both"/>
              <w:rPr>
                <w:sz w:val="21"/>
                <w:szCs w:val="21"/>
              </w:rPr>
            </w:pPr>
          </w:p>
        </w:tc>
        <w:tc>
          <w:tcPr>
            <w:tcW w:w="3573" w:type="dxa"/>
            <w:tcBorders>
              <w:left w:val="single" w:color="auto" w:sz="4" w:space="0"/>
              <w:bottom w:val="single" w:color="auto" w:sz="4" w:space="0"/>
              <w:right w:val="single" w:color="auto" w:sz="4" w:space="0"/>
            </w:tcBorders>
            <w:vAlign w:val="center"/>
          </w:tcPr>
          <w:p>
            <w:pPr>
              <w:pStyle w:val="34"/>
              <w:widowControl w:val="0"/>
              <w:spacing w:before="0" w:beforeAutospacing="0" w:after="120" w:afterAutospacing="0" w:line="360" w:lineRule="auto"/>
              <w:jc w:val="both"/>
              <w:rPr>
                <w:sz w:val="21"/>
                <w:szCs w:val="21"/>
              </w:rPr>
            </w:pPr>
            <w:r>
              <w:rPr>
                <w:sz w:val="21"/>
                <w:szCs w:val="21"/>
              </w:rPr>
              <w:t>小写:</w:t>
            </w:r>
          </w:p>
          <w:p>
            <w:pPr>
              <w:pStyle w:val="34"/>
              <w:widowControl w:val="0"/>
              <w:spacing w:before="0" w:beforeAutospacing="0" w:after="120" w:afterAutospacing="0" w:line="360" w:lineRule="auto"/>
              <w:jc w:val="both"/>
              <w:rPr>
                <w:sz w:val="21"/>
                <w:szCs w:val="21"/>
              </w:rPr>
            </w:pPr>
          </w:p>
          <w:p>
            <w:pPr>
              <w:pStyle w:val="34"/>
              <w:widowControl w:val="0"/>
              <w:spacing w:before="0" w:beforeAutospacing="0" w:after="120" w:afterAutospacing="0" w:line="360" w:lineRule="auto"/>
              <w:jc w:val="both"/>
              <w:rPr>
                <w:sz w:val="21"/>
                <w:szCs w:val="21"/>
              </w:rPr>
            </w:pPr>
            <w:r>
              <w:rPr>
                <w:sz w:val="21"/>
                <w:szCs w:val="21"/>
              </w:rPr>
              <w:t>大写：</w:t>
            </w:r>
          </w:p>
        </w:tc>
        <w:tc>
          <w:tcPr>
            <w:tcW w:w="2348" w:type="dxa"/>
            <w:tcBorders>
              <w:top w:val="single" w:color="auto" w:sz="4" w:space="0"/>
              <w:left w:val="single" w:color="auto" w:sz="4" w:space="0"/>
              <w:bottom w:val="single" w:color="auto" w:sz="4" w:space="0"/>
              <w:right w:val="single" w:color="auto" w:sz="4" w:space="0"/>
            </w:tcBorders>
            <w:vAlign w:val="center"/>
          </w:tcPr>
          <w:p>
            <w:pPr>
              <w:pStyle w:val="34"/>
              <w:widowControl w:val="0"/>
              <w:spacing w:before="0" w:beforeAutospacing="0" w:after="120" w:afterAutospacing="0" w:line="360"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3427" w:type="dxa"/>
            <w:gridSpan w:val="2"/>
            <w:tcBorders>
              <w:top w:val="single" w:color="auto" w:sz="4" w:space="0"/>
              <w:left w:val="single" w:color="auto" w:sz="4" w:space="0"/>
              <w:bottom w:val="single" w:color="auto" w:sz="4" w:space="0"/>
              <w:right w:val="single" w:color="auto" w:sz="4" w:space="0"/>
            </w:tcBorders>
            <w:vAlign w:val="center"/>
          </w:tcPr>
          <w:p>
            <w:pPr>
              <w:pStyle w:val="34"/>
              <w:widowControl w:val="0"/>
              <w:snapToGrid w:val="0"/>
              <w:spacing w:before="0" w:beforeAutospacing="0" w:after="120" w:afterAutospacing="0" w:line="360" w:lineRule="auto"/>
              <w:ind w:firstLine="404"/>
              <w:jc w:val="center"/>
              <w:rPr>
                <w:spacing w:val="-4"/>
                <w:kern w:val="2"/>
                <w:sz w:val="21"/>
                <w:szCs w:val="21"/>
                <w:lang w:bidi="ar"/>
              </w:rPr>
            </w:pPr>
            <w:r>
              <w:rPr>
                <w:spacing w:val="-4"/>
                <w:kern w:val="2"/>
                <w:sz w:val="21"/>
                <w:szCs w:val="21"/>
                <w:lang w:bidi="ar"/>
              </w:rPr>
              <w:t>投标声明</w:t>
            </w:r>
          </w:p>
        </w:tc>
        <w:tc>
          <w:tcPr>
            <w:tcW w:w="5921" w:type="dxa"/>
            <w:gridSpan w:val="2"/>
            <w:tcBorders>
              <w:top w:val="single" w:color="auto" w:sz="4" w:space="0"/>
              <w:left w:val="single" w:color="auto" w:sz="4" w:space="0"/>
              <w:bottom w:val="single" w:color="auto" w:sz="4" w:space="0"/>
              <w:right w:val="single" w:color="auto" w:sz="4" w:space="0"/>
            </w:tcBorders>
            <w:vAlign w:val="center"/>
          </w:tcPr>
          <w:p>
            <w:pPr>
              <w:pStyle w:val="34"/>
              <w:widowControl w:val="0"/>
              <w:spacing w:before="0" w:beforeAutospacing="0" w:after="120" w:afterAutospacing="0" w:line="360" w:lineRule="auto"/>
              <w:ind w:firstLine="404"/>
              <w:rPr>
                <w:spacing w:val="-4"/>
                <w:kern w:val="2"/>
                <w:sz w:val="21"/>
                <w:szCs w:val="21"/>
                <w:lang w:bidi="ar"/>
              </w:rPr>
            </w:pPr>
          </w:p>
        </w:tc>
      </w:tr>
    </w:tbl>
    <w:p>
      <w:pPr>
        <w:snapToGrid w:val="0"/>
        <w:spacing w:before="50" w:after="50"/>
        <w:jc w:val="left"/>
        <w:rPr>
          <w:szCs w:val="21"/>
        </w:rPr>
      </w:pPr>
      <w:r>
        <w:rPr>
          <w:szCs w:val="21"/>
        </w:rPr>
        <w:t>注: 1、报价一经涂改，应在涂改处加盖单位公章或者由法定代表人或授权委托人签字或盖章，否则其投标作无效标处理。</w:t>
      </w:r>
    </w:p>
    <w:p>
      <w:pPr>
        <w:snapToGrid w:val="0"/>
        <w:spacing w:before="50" w:after="50"/>
        <w:ind w:firstLine="420" w:firstLineChars="200"/>
        <w:jc w:val="left"/>
        <w:rPr>
          <w:szCs w:val="21"/>
        </w:rPr>
      </w:pPr>
      <w:r>
        <w:rPr>
          <w:szCs w:val="21"/>
        </w:rPr>
        <w:t>2、以上报价合计应与“投标分项报价表”中的“投标总价”相一致。</w:t>
      </w:r>
    </w:p>
    <w:p>
      <w:pPr>
        <w:pStyle w:val="16"/>
        <w:spacing w:line="360" w:lineRule="auto"/>
        <w:ind w:left="-178" w:leftChars="-85" w:firstLine="505" w:firstLineChars="250"/>
        <w:rPr>
          <w:rFonts w:ascii="Times New Roman"/>
          <w:sz w:val="21"/>
          <w:szCs w:val="21"/>
        </w:rPr>
      </w:pPr>
    </w:p>
    <w:p>
      <w:pPr>
        <w:spacing w:line="400" w:lineRule="exact"/>
        <w:rPr>
          <w:szCs w:val="21"/>
        </w:rPr>
      </w:pPr>
    </w:p>
    <w:p>
      <w:pPr>
        <w:widowControl/>
        <w:spacing w:line="360" w:lineRule="auto"/>
        <w:ind w:firstLine="3120" w:firstLineChars="1300"/>
        <w:jc w:val="left"/>
        <w:rPr>
          <w:sz w:val="24"/>
        </w:rPr>
      </w:pPr>
      <w:r>
        <w:rPr>
          <w:sz w:val="24"/>
        </w:rPr>
        <w:t>投 标 人（盖章）：</w:t>
      </w:r>
    </w:p>
    <w:p>
      <w:pPr>
        <w:pStyle w:val="16"/>
        <w:widowControl/>
        <w:spacing w:line="360" w:lineRule="auto"/>
        <w:ind w:firstLine="3120" w:firstLineChars="1300"/>
        <w:jc w:val="left"/>
        <w:rPr>
          <w:rFonts w:ascii="Times New Roman"/>
          <w:spacing w:val="0"/>
          <w:sz w:val="24"/>
          <w:szCs w:val="24"/>
        </w:rPr>
      </w:pPr>
      <w:r>
        <w:rPr>
          <w:rFonts w:ascii="Times New Roman"/>
          <w:spacing w:val="0"/>
          <w:sz w:val="24"/>
          <w:szCs w:val="24"/>
        </w:rPr>
        <w:t>日    期：</w:t>
      </w:r>
    </w:p>
    <w:p>
      <w:pPr>
        <w:widowControl/>
        <w:outlineLvl w:val="1"/>
        <w:rPr>
          <w:sz w:val="24"/>
          <w:szCs w:val="21"/>
        </w:rPr>
      </w:pPr>
      <w:r>
        <w:rPr>
          <w:szCs w:val="21"/>
        </w:rPr>
        <w:br w:type="page"/>
      </w:r>
      <w:bookmarkStart w:id="332" w:name="_Toc12827"/>
      <w:bookmarkStart w:id="333" w:name="_Toc460857948"/>
      <w:bookmarkStart w:id="334" w:name="_Toc16973"/>
      <w:bookmarkStart w:id="335" w:name="_Toc27480"/>
      <w:r>
        <w:rPr>
          <w:b/>
        </w:rPr>
        <w:t>格式十</w:t>
      </w:r>
      <w:r>
        <w:rPr>
          <w:rFonts w:hint="eastAsia"/>
          <w:b/>
        </w:rPr>
        <w:t>三</w:t>
      </w:r>
      <w:r>
        <w:rPr>
          <w:b/>
        </w:rPr>
        <w:t>：</w:t>
      </w:r>
      <w:bookmarkEnd w:id="332"/>
      <w:bookmarkEnd w:id="333"/>
      <w:bookmarkEnd w:id="334"/>
      <w:bookmarkEnd w:id="335"/>
    </w:p>
    <w:p>
      <w:pPr>
        <w:jc w:val="center"/>
        <w:rPr>
          <w:b/>
          <w:sz w:val="24"/>
          <w:szCs w:val="21"/>
        </w:rPr>
      </w:pPr>
    </w:p>
    <w:p>
      <w:pPr>
        <w:jc w:val="center"/>
        <w:rPr>
          <w:b/>
          <w:sz w:val="32"/>
          <w:szCs w:val="32"/>
        </w:rPr>
      </w:pPr>
      <w:r>
        <w:rPr>
          <w:b/>
          <w:sz w:val="32"/>
          <w:szCs w:val="32"/>
        </w:rPr>
        <w:t>投标分项报价表</w:t>
      </w:r>
    </w:p>
    <w:p>
      <w:pPr>
        <w:jc w:val="center"/>
        <w:rPr>
          <w:b/>
          <w:sz w:val="24"/>
          <w:szCs w:val="21"/>
        </w:rPr>
      </w:pPr>
    </w:p>
    <w:p>
      <w:pPr>
        <w:snapToGrid w:val="0"/>
        <w:spacing w:before="50" w:after="50"/>
        <w:rPr>
          <w:szCs w:val="21"/>
        </w:rPr>
      </w:pPr>
      <w:r>
        <w:rPr>
          <w:szCs w:val="21"/>
        </w:rPr>
        <w:t>项目编号：</w:t>
      </w:r>
      <w:r>
        <w:rPr>
          <w:szCs w:val="21"/>
          <w:u w:val="single"/>
        </w:rPr>
        <w:t xml:space="preserve">                  </w:t>
      </w:r>
      <w:r>
        <w:rPr>
          <w:bCs/>
          <w:szCs w:val="21"/>
        </w:rPr>
        <w:t>项目名称</w:t>
      </w:r>
      <w:r>
        <w:rPr>
          <w:szCs w:val="21"/>
        </w:rPr>
        <w:t>：</w:t>
      </w:r>
      <w:r>
        <w:rPr>
          <w:szCs w:val="21"/>
          <w:u w:val="single"/>
        </w:rPr>
        <w:t xml:space="preserve">                    </w:t>
      </w:r>
      <w:r>
        <w:rPr>
          <w:szCs w:val="21"/>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425"/>
        <w:gridCol w:w="2949"/>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序号</w:t>
            </w:r>
          </w:p>
        </w:tc>
        <w:tc>
          <w:tcPr>
            <w:tcW w:w="3425"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内 容</w:t>
            </w:r>
          </w:p>
        </w:tc>
        <w:tc>
          <w:tcPr>
            <w:tcW w:w="2949"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报  价（元）</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3425" w:type="dxa"/>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vAlign w:val="center"/>
          </w:tcPr>
          <w:p>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3425" w:type="dxa"/>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vAlign w:val="center"/>
          </w:tcPr>
          <w:p>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pPr>
            <w:r>
              <w:t>3</w:t>
            </w:r>
          </w:p>
        </w:tc>
        <w:tc>
          <w:tcPr>
            <w:tcW w:w="3425" w:type="dxa"/>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vAlign w:val="center"/>
          </w:tcPr>
          <w:p>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pPr>
            <w:r>
              <w:t>4</w:t>
            </w:r>
          </w:p>
        </w:tc>
        <w:tc>
          <w:tcPr>
            <w:tcW w:w="3425" w:type="dxa"/>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vAlign w:val="center"/>
          </w:tcPr>
          <w:p>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3425" w:type="dxa"/>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vAlign w:val="center"/>
          </w:tcPr>
          <w:p>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pPr>
            <w:r>
              <w:t>6</w:t>
            </w:r>
          </w:p>
        </w:tc>
        <w:tc>
          <w:tcPr>
            <w:tcW w:w="3425" w:type="dxa"/>
            <w:tcBorders>
              <w:top w:val="single" w:color="auto" w:sz="4" w:space="0"/>
              <w:left w:val="single" w:color="auto" w:sz="4" w:space="0"/>
              <w:bottom w:val="single" w:color="auto" w:sz="4" w:space="0"/>
              <w:right w:val="single" w:color="auto" w:sz="4" w:space="0"/>
            </w:tcBorders>
            <w:vAlign w:val="center"/>
          </w:tcPr>
          <w:p>
            <w:pPr>
              <w:jc w:val="center"/>
            </w:pPr>
          </w:p>
        </w:tc>
        <w:tc>
          <w:tcPr>
            <w:tcW w:w="2949" w:type="dxa"/>
            <w:tcBorders>
              <w:top w:val="single" w:color="auto" w:sz="4" w:space="0"/>
              <w:left w:val="single" w:color="auto" w:sz="4" w:space="0"/>
              <w:bottom w:val="single" w:color="auto" w:sz="4" w:space="0"/>
              <w:right w:val="single" w:color="auto" w:sz="4" w:space="0"/>
            </w:tcBorders>
            <w:vAlign w:val="center"/>
          </w:tcPr>
          <w:p>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pPr>
            <w:r>
              <w:t>7</w:t>
            </w:r>
          </w:p>
        </w:tc>
        <w:tc>
          <w:tcPr>
            <w:tcW w:w="3425" w:type="dxa"/>
            <w:tcBorders>
              <w:top w:val="single" w:color="auto" w:sz="4" w:space="0"/>
              <w:left w:val="single" w:color="auto" w:sz="4" w:space="0"/>
              <w:bottom w:val="single" w:color="auto" w:sz="4" w:space="0"/>
              <w:right w:val="single" w:color="auto" w:sz="4" w:space="0"/>
            </w:tcBorders>
            <w:vAlign w:val="center"/>
          </w:tcPr>
          <w:p>
            <w:pPr>
              <w:jc w:val="center"/>
            </w:pPr>
          </w:p>
        </w:tc>
        <w:tc>
          <w:tcPr>
            <w:tcW w:w="2949" w:type="dxa"/>
            <w:tcBorders>
              <w:top w:val="single" w:color="auto" w:sz="4" w:space="0"/>
              <w:left w:val="single" w:color="auto" w:sz="4" w:space="0"/>
              <w:bottom w:val="single" w:color="auto" w:sz="4" w:space="0"/>
              <w:right w:val="single" w:color="auto" w:sz="4" w:space="0"/>
            </w:tcBorders>
            <w:vAlign w:val="center"/>
          </w:tcPr>
          <w:p>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pPr>
            <w:r>
              <w:t>8</w:t>
            </w:r>
          </w:p>
        </w:tc>
        <w:tc>
          <w:tcPr>
            <w:tcW w:w="3425" w:type="dxa"/>
            <w:tcBorders>
              <w:top w:val="single" w:color="auto" w:sz="4" w:space="0"/>
              <w:left w:val="single" w:color="auto" w:sz="4" w:space="0"/>
              <w:bottom w:val="single" w:color="auto" w:sz="4" w:space="0"/>
              <w:right w:val="single" w:color="auto" w:sz="4" w:space="0"/>
            </w:tcBorders>
            <w:vAlign w:val="center"/>
          </w:tcPr>
          <w:p>
            <w:pPr>
              <w:jc w:val="center"/>
            </w:pPr>
          </w:p>
        </w:tc>
        <w:tc>
          <w:tcPr>
            <w:tcW w:w="2949" w:type="dxa"/>
            <w:tcBorders>
              <w:top w:val="single" w:color="auto" w:sz="4" w:space="0"/>
              <w:left w:val="single" w:color="auto" w:sz="4" w:space="0"/>
              <w:bottom w:val="single" w:color="auto" w:sz="4" w:space="0"/>
              <w:right w:val="single" w:color="auto" w:sz="4" w:space="0"/>
            </w:tcBorders>
            <w:vAlign w:val="center"/>
          </w:tcPr>
          <w:p>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pPr>
            <w:r>
              <w:t>9</w:t>
            </w:r>
          </w:p>
        </w:tc>
        <w:tc>
          <w:tcPr>
            <w:tcW w:w="3425" w:type="dxa"/>
            <w:tcBorders>
              <w:top w:val="single" w:color="auto" w:sz="4" w:space="0"/>
              <w:left w:val="single" w:color="auto" w:sz="4" w:space="0"/>
              <w:bottom w:val="single" w:color="auto" w:sz="4" w:space="0"/>
              <w:right w:val="single" w:color="auto" w:sz="4" w:space="0"/>
            </w:tcBorders>
            <w:vAlign w:val="center"/>
          </w:tcPr>
          <w:p>
            <w:pPr>
              <w:jc w:val="center"/>
            </w:pPr>
          </w:p>
        </w:tc>
        <w:tc>
          <w:tcPr>
            <w:tcW w:w="2949" w:type="dxa"/>
            <w:tcBorders>
              <w:top w:val="single" w:color="auto" w:sz="4" w:space="0"/>
              <w:left w:val="single" w:color="auto" w:sz="4" w:space="0"/>
              <w:bottom w:val="single" w:color="auto" w:sz="4" w:space="0"/>
              <w:right w:val="single" w:color="auto" w:sz="4" w:space="0"/>
            </w:tcBorders>
            <w:vAlign w:val="center"/>
          </w:tcPr>
          <w:p>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jc w:val="center"/>
            </w:pPr>
            <w:r>
              <w:t>合计</w:t>
            </w:r>
          </w:p>
        </w:tc>
        <w:tc>
          <w:tcPr>
            <w:tcW w:w="2949" w:type="dxa"/>
            <w:tcBorders>
              <w:top w:val="single" w:color="auto" w:sz="4" w:space="0"/>
              <w:left w:val="single" w:color="auto" w:sz="4" w:space="0"/>
              <w:bottom w:val="single" w:color="auto" w:sz="4" w:space="0"/>
              <w:right w:val="single" w:color="auto" w:sz="4" w:space="0"/>
            </w:tcBorders>
            <w:vAlign w:val="center"/>
          </w:tcPr>
          <w:p>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43" w:type="dxa"/>
            <w:gridSpan w:val="4"/>
            <w:tcBorders>
              <w:top w:val="single" w:color="auto" w:sz="4" w:space="0"/>
              <w:left w:val="single" w:color="auto" w:sz="4" w:space="0"/>
              <w:bottom w:val="single" w:color="auto" w:sz="4" w:space="0"/>
              <w:right w:val="single" w:color="auto" w:sz="4" w:space="0"/>
            </w:tcBorders>
            <w:vAlign w:val="center"/>
          </w:tcPr>
          <w:p>
            <w:pPr>
              <w:jc w:val="center"/>
            </w:pPr>
            <w:r>
              <w:t>合计（大写）：                               元整</w:t>
            </w:r>
          </w:p>
        </w:tc>
      </w:tr>
    </w:tbl>
    <w:p>
      <w:pPr>
        <w:ind w:firstLine="210" w:firstLineChars="100"/>
        <w:rPr>
          <w:szCs w:val="21"/>
        </w:rPr>
      </w:pPr>
      <w:r>
        <w:rPr>
          <w:szCs w:val="21"/>
        </w:rPr>
        <w:t>备注：此表可根据实际情况调整。</w:t>
      </w:r>
    </w:p>
    <w:p>
      <w:pPr>
        <w:pStyle w:val="37"/>
        <w:ind w:firstLine="404"/>
      </w:pPr>
    </w:p>
    <w:p>
      <w:pPr>
        <w:pStyle w:val="37"/>
        <w:ind w:firstLine="404"/>
      </w:pPr>
    </w:p>
    <w:p>
      <w:pPr>
        <w:widowControl/>
        <w:spacing w:line="360" w:lineRule="auto"/>
        <w:ind w:firstLine="3600" w:firstLineChars="1500"/>
        <w:jc w:val="left"/>
        <w:rPr>
          <w:sz w:val="24"/>
        </w:rPr>
      </w:pPr>
      <w:r>
        <w:rPr>
          <w:sz w:val="24"/>
        </w:rPr>
        <w:t>投 标 人（盖章）：</w:t>
      </w:r>
    </w:p>
    <w:p>
      <w:pPr>
        <w:pStyle w:val="16"/>
        <w:widowControl/>
        <w:spacing w:line="360" w:lineRule="auto"/>
        <w:ind w:firstLine="3600" w:firstLineChars="1500"/>
        <w:jc w:val="left"/>
        <w:rPr>
          <w:rFonts w:ascii="Times New Roman"/>
          <w:sz w:val="21"/>
          <w:szCs w:val="21"/>
        </w:rPr>
      </w:pPr>
      <w:r>
        <w:rPr>
          <w:rFonts w:ascii="Times New Roman"/>
          <w:spacing w:val="0"/>
          <w:sz w:val="24"/>
          <w:szCs w:val="24"/>
        </w:rPr>
        <w:t>日    期：</w:t>
      </w:r>
    </w:p>
    <w:p>
      <w:pPr>
        <w:pStyle w:val="16"/>
        <w:widowControl/>
        <w:spacing w:line="360" w:lineRule="auto"/>
        <w:ind w:firstLine="0"/>
        <w:jc w:val="left"/>
        <w:rPr>
          <w:rFonts w:ascii="Times New Roman"/>
          <w:b/>
          <w:sz w:val="28"/>
        </w:rPr>
        <w:sectPr>
          <w:headerReference r:id="rId9" w:type="default"/>
          <w:footerReference r:id="rId10" w:type="default"/>
          <w:pgSz w:w="11907" w:h="16840"/>
          <w:pgMar w:top="1276" w:right="1474" w:bottom="1242" w:left="1474" w:header="851" w:footer="851" w:gutter="0"/>
          <w:cols w:space="720" w:num="1"/>
          <w:titlePg/>
          <w:docGrid w:linePitch="312" w:charSpace="0"/>
        </w:sectPr>
      </w:pPr>
    </w:p>
    <w:p>
      <w:pPr>
        <w:outlineLvl w:val="1"/>
        <w:rPr>
          <w:b/>
        </w:rPr>
      </w:pPr>
      <w:bookmarkStart w:id="336" w:name="_Toc24368"/>
      <w:bookmarkStart w:id="337" w:name="_Toc460857950"/>
      <w:bookmarkStart w:id="338" w:name="_Toc23257"/>
      <w:bookmarkStart w:id="339" w:name="_Toc18970"/>
      <w:r>
        <w:rPr>
          <w:b/>
        </w:rPr>
        <w:t>格式十</w:t>
      </w:r>
      <w:r>
        <w:rPr>
          <w:rFonts w:hint="eastAsia"/>
          <w:b/>
        </w:rPr>
        <w:t>四</w:t>
      </w:r>
      <w:r>
        <w:rPr>
          <w:b/>
        </w:rPr>
        <w:t>：</w:t>
      </w:r>
      <w:bookmarkEnd w:id="336"/>
      <w:bookmarkEnd w:id="337"/>
      <w:bookmarkEnd w:id="338"/>
      <w:bookmarkEnd w:id="339"/>
    </w:p>
    <w:p>
      <w:pPr>
        <w:pStyle w:val="16"/>
        <w:spacing w:line="520" w:lineRule="exact"/>
        <w:jc w:val="center"/>
        <w:rPr>
          <w:rFonts w:ascii="Times New Roman"/>
          <w:b/>
          <w:sz w:val="21"/>
          <w:szCs w:val="21"/>
        </w:rPr>
      </w:pPr>
    </w:p>
    <w:p>
      <w:pPr>
        <w:spacing w:line="411" w:lineRule="exact"/>
        <w:ind w:right="6"/>
        <w:jc w:val="center"/>
        <w:rPr>
          <w:b/>
          <w:sz w:val="30"/>
          <w:szCs w:val="30"/>
        </w:rPr>
      </w:pPr>
      <w:r>
        <w:rPr>
          <w:b/>
          <w:sz w:val="30"/>
          <w:szCs w:val="30"/>
        </w:rPr>
        <w:t>中小企业声明函</w:t>
      </w:r>
    </w:p>
    <w:p>
      <w:pPr>
        <w:spacing w:line="200" w:lineRule="exact"/>
        <w:rPr>
          <w:rFonts w:eastAsia="Times New Roman"/>
        </w:rPr>
      </w:pPr>
    </w:p>
    <w:p>
      <w:pPr>
        <w:spacing w:line="200" w:lineRule="exact"/>
        <w:rPr>
          <w:rFonts w:eastAsia="Times New Roman"/>
        </w:rPr>
      </w:pPr>
    </w:p>
    <w:p>
      <w:pPr>
        <w:spacing w:line="318" w:lineRule="exact"/>
        <w:rPr>
          <w:rFonts w:eastAsia="Times New Roman"/>
        </w:rPr>
      </w:pPr>
    </w:p>
    <w:p>
      <w:pPr>
        <w:spacing w:line="492" w:lineRule="exact"/>
        <w:ind w:left="360" w:right="366" w:firstLine="641"/>
        <w:rPr>
          <w:szCs w:val="21"/>
        </w:rPr>
      </w:pPr>
      <w:r>
        <w:rPr>
          <w:szCs w:val="21"/>
        </w:rPr>
        <w:t>本公司（联合体）郑重声明，根据《政府采购促进中小企业发展管理办法》（财库﹝2020﹞46号）的规定，本公司（联合体）参加</w:t>
      </w:r>
      <w:r>
        <w:rPr>
          <w:szCs w:val="21"/>
          <w:u w:val="single"/>
        </w:rPr>
        <w:t>（单位名称）</w:t>
      </w:r>
      <w:r>
        <w:rPr>
          <w:szCs w:val="21"/>
        </w:rPr>
        <w:t>的</w:t>
      </w:r>
      <w:r>
        <w:rPr>
          <w:szCs w:val="21"/>
          <w:u w:val="single"/>
        </w:rPr>
        <w:t>（项目名称）</w:t>
      </w:r>
      <w:r>
        <w:rPr>
          <w:szCs w:val="21"/>
        </w:rPr>
        <w:t>采购活动，服务全部由符合政策要求的中小企业承接）。相关企业（含联合体中的中小企业、签订分包意向协议的中小企业）的具体情况如下：</w:t>
      </w:r>
    </w:p>
    <w:p>
      <w:pPr>
        <w:spacing w:line="492" w:lineRule="exact"/>
        <w:ind w:left="360" w:right="366" w:firstLine="641"/>
        <w:rPr>
          <w:szCs w:val="21"/>
        </w:rPr>
      </w:pPr>
      <w:r>
        <w:rPr>
          <w:szCs w:val="21"/>
        </w:rPr>
        <w:t>1</w:t>
      </w:r>
      <w:r>
        <w:rPr>
          <w:rFonts w:hint="eastAsia"/>
          <w:szCs w:val="21"/>
        </w:rPr>
        <w:t>、</w:t>
      </w:r>
      <w:r>
        <w:rPr>
          <w:szCs w:val="21"/>
          <w:u w:val="single"/>
        </w:rPr>
        <w:t>（标的名称）</w:t>
      </w:r>
      <w:r>
        <w:rPr>
          <w:szCs w:val="21"/>
        </w:rPr>
        <w:t>，属于</w:t>
      </w:r>
      <w:r>
        <w:rPr>
          <w:rFonts w:hint="eastAsia"/>
          <w:szCs w:val="21"/>
          <w:u w:val="single"/>
        </w:rPr>
        <w:t>其他未列明</w:t>
      </w:r>
      <w:r>
        <w:rPr>
          <w:szCs w:val="21"/>
          <w:u w:val="single"/>
        </w:rPr>
        <w:t>行业</w:t>
      </w:r>
      <w:r>
        <w:rPr>
          <w:szCs w:val="21"/>
        </w:rPr>
        <w:t>；承接企业为</w:t>
      </w:r>
      <w:r>
        <w:rPr>
          <w:szCs w:val="21"/>
          <w:u w:val="single"/>
        </w:rPr>
        <w:t>（企业名称）</w:t>
      </w:r>
      <w:r>
        <w:rPr>
          <w:szCs w:val="21"/>
        </w:rPr>
        <w:t>，从业人员</w:t>
      </w:r>
      <w:r>
        <w:rPr>
          <w:szCs w:val="21"/>
          <w:u w:val="single"/>
        </w:rPr>
        <w:t xml:space="preserve">  </w:t>
      </w:r>
      <w:r>
        <w:rPr>
          <w:szCs w:val="21"/>
        </w:rPr>
        <w:t>人，营业 收入为</w:t>
      </w:r>
      <w:r>
        <w:rPr>
          <w:szCs w:val="21"/>
          <w:u w:val="single"/>
        </w:rPr>
        <w:t xml:space="preserve">  </w:t>
      </w:r>
      <w:r>
        <w:rPr>
          <w:szCs w:val="21"/>
        </w:rPr>
        <w:t>万元，资产总额为</w:t>
      </w:r>
      <w:r>
        <w:rPr>
          <w:szCs w:val="21"/>
          <w:u w:val="single"/>
        </w:rPr>
        <w:t xml:space="preserve">   </w:t>
      </w:r>
      <w:r>
        <w:rPr>
          <w:szCs w:val="21"/>
        </w:rPr>
        <w:t xml:space="preserve">万元，属于 </w:t>
      </w:r>
      <w:r>
        <w:rPr>
          <w:szCs w:val="21"/>
          <w:u w:val="single"/>
        </w:rPr>
        <w:t>（中型企业、小型企业、微型企业）</w:t>
      </w:r>
      <w:r>
        <w:rPr>
          <w:szCs w:val="21"/>
        </w:rPr>
        <w:t xml:space="preserve">； </w:t>
      </w:r>
    </w:p>
    <w:p>
      <w:pPr>
        <w:spacing w:line="492" w:lineRule="exact"/>
        <w:ind w:left="360" w:right="366" w:firstLine="641"/>
        <w:rPr>
          <w:szCs w:val="21"/>
        </w:rPr>
      </w:pPr>
      <w:r>
        <w:rPr>
          <w:szCs w:val="21"/>
        </w:rPr>
        <w:t>……</w:t>
      </w:r>
    </w:p>
    <w:p>
      <w:pPr>
        <w:spacing w:line="455" w:lineRule="exact"/>
        <w:ind w:left="360" w:right="366" w:firstLine="646"/>
        <w:rPr>
          <w:szCs w:val="21"/>
        </w:rPr>
      </w:pPr>
      <w:r>
        <w:rPr>
          <w:szCs w:val="21"/>
        </w:rPr>
        <w:t>以上企业，不属于大企业的分支机构，不存在控股股东为大企业的情形，也不存在与大企业的负责人为同一人的情形。</w:t>
      </w:r>
    </w:p>
    <w:p>
      <w:pPr>
        <w:spacing w:line="196" w:lineRule="exact"/>
        <w:rPr>
          <w:szCs w:val="21"/>
        </w:rPr>
      </w:pPr>
    </w:p>
    <w:p>
      <w:pPr>
        <w:spacing w:line="423" w:lineRule="exact"/>
        <w:ind w:left="360" w:right="366" w:firstLine="641"/>
        <w:rPr>
          <w:szCs w:val="21"/>
        </w:rPr>
      </w:pPr>
      <w:r>
        <w:rPr>
          <w:szCs w:val="21"/>
        </w:rPr>
        <w:t>本企业对上述声明内容的真实性负责。如有虚假，将依法承担相应责任。</w:t>
      </w:r>
    </w:p>
    <w:p>
      <w:pPr>
        <w:spacing w:line="188" w:lineRule="exact"/>
        <w:rPr>
          <w:szCs w:val="21"/>
        </w:rPr>
      </w:pPr>
    </w:p>
    <w:p>
      <w:pPr>
        <w:spacing w:line="366" w:lineRule="exact"/>
        <w:ind w:left="4200" w:firstLine="210" w:firstLineChars="100"/>
        <w:rPr>
          <w:szCs w:val="21"/>
        </w:rPr>
      </w:pPr>
    </w:p>
    <w:p>
      <w:pPr>
        <w:spacing w:line="366" w:lineRule="exact"/>
        <w:ind w:left="4200" w:firstLine="210" w:firstLineChars="100"/>
        <w:rPr>
          <w:szCs w:val="21"/>
        </w:rPr>
      </w:pPr>
    </w:p>
    <w:p>
      <w:pPr>
        <w:spacing w:line="366" w:lineRule="exact"/>
        <w:ind w:left="4200" w:firstLine="210" w:firstLineChars="100"/>
        <w:rPr>
          <w:szCs w:val="21"/>
        </w:rPr>
      </w:pPr>
      <w:r>
        <w:rPr>
          <w:szCs w:val="21"/>
        </w:rPr>
        <w:t>企业名称（盖章）：</w:t>
      </w:r>
    </w:p>
    <w:p>
      <w:pPr>
        <w:spacing w:line="175" w:lineRule="exact"/>
        <w:rPr>
          <w:szCs w:val="21"/>
        </w:rPr>
      </w:pPr>
    </w:p>
    <w:p>
      <w:pPr>
        <w:spacing w:line="588" w:lineRule="exact"/>
        <w:ind w:firstLine="4410" w:firstLineChars="2100"/>
        <w:rPr>
          <w:szCs w:val="21"/>
        </w:rPr>
      </w:pPr>
      <w:r>
        <w:rPr>
          <w:szCs w:val="21"/>
        </w:rPr>
        <w:t>日</w:t>
      </w:r>
      <w:r>
        <w:rPr>
          <w:rFonts w:hint="eastAsia"/>
          <w:szCs w:val="21"/>
        </w:rPr>
        <w:t xml:space="preserve">  </w:t>
      </w:r>
      <w:r>
        <w:rPr>
          <w:szCs w:val="21"/>
        </w:rPr>
        <w:t>期：</w:t>
      </w:r>
    </w:p>
    <w:p>
      <w:pPr>
        <w:pStyle w:val="72"/>
        <w:rPr>
          <w:szCs w:val="21"/>
        </w:rPr>
      </w:pPr>
    </w:p>
    <w:p>
      <w:pPr>
        <w:pStyle w:val="72"/>
        <w:rPr>
          <w:szCs w:val="21"/>
        </w:rPr>
      </w:pPr>
    </w:p>
    <w:p>
      <w:pPr>
        <w:pStyle w:val="72"/>
        <w:rPr>
          <w:szCs w:val="21"/>
        </w:rPr>
      </w:pPr>
    </w:p>
    <w:p>
      <w:pPr>
        <w:pStyle w:val="72"/>
        <w:rPr>
          <w:szCs w:val="21"/>
        </w:rPr>
      </w:pPr>
    </w:p>
    <w:p>
      <w:pPr>
        <w:pStyle w:val="72"/>
        <w:rPr>
          <w:szCs w:val="21"/>
        </w:rPr>
      </w:pPr>
    </w:p>
    <w:p>
      <w:pPr>
        <w:pStyle w:val="72"/>
        <w:rPr>
          <w:szCs w:val="21"/>
        </w:rPr>
      </w:pPr>
    </w:p>
    <w:p>
      <w:pPr>
        <w:snapToGrid w:val="0"/>
        <w:spacing w:line="360" w:lineRule="auto"/>
        <w:jc w:val="left"/>
        <w:rPr>
          <w:spacing w:val="6"/>
          <w:szCs w:val="21"/>
        </w:rPr>
      </w:pPr>
      <w:r>
        <w:rPr>
          <w:spacing w:val="6"/>
          <w:szCs w:val="21"/>
        </w:rPr>
        <w:t xml:space="preserve"> 说明：</w:t>
      </w:r>
    </w:p>
    <w:p>
      <w:pPr>
        <w:snapToGrid w:val="0"/>
        <w:spacing w:line="360" w:lineRule="auto"/>
        <w:jc w:val="left"/>
        <w:rPr>
          <w:spacing w:val="6"/>
          <w:szCs w:val="21"/>
        </w:rPr>
      </w:pPr>
      <w:r>
        <w:rPr>
          <w:spacing w:val="6"/>
          <w:szCs w:val="21"/>
        </w:rPr>
        <w:t>1从业人员、营业收入、资产总额填报上一年度数据，无上一年度数据的新成立企业可不填报。</w:t>
      </w:r>
    </w:p>
    <w:p>
      <w:pPr>
        <w:snapToGrid w:val="0"/>
        <w:spacing w:line="360" w:lineRule="auto"/>
        <w:jc w:val="left"/>
        <w:rPr>
          <w:spacing w:val="6"/>
          <w:szCs w:val="21"/>
        </w:rPr>
      </w:pPr>
      <w:r>
        <w:rPr>
          <w:spacing w:val="6"/>
          <w:szCs w:val="21"/>
        </w:rPr>
        <w:t>2、供应商根据采购文件规定的采购标的对应的中小企业划分标准所属行业，对照中小微行业划型标准规定（根据工信部联企业〔2011〕300号制定）如实填写。</w:t>
      </w:r>
    </w:p>
    <w:p>
      <w:pPr>
        <w:snapToGrid w:val="0"/>
        <w:spacing w:line="360" w:lineRule="auto"/>
        <w:jc w:val="left"/>
        <w:rPr>
          <w:spacing w:val="6"/>
          <w:szCs w:val="21"/>
        </w:rPr>
        <w:sectPr>
          <w:headerReference r:id="rId11" w:type="default"/>
          <w:footerReference r:id="rId12" w:type="default"/>
          <w:pgSz w:w="11907" w:h="16840"/>
          <w:pgMar w:top="1276" w:right="1474" w:bottom="1242" w:left="1474" w:header="720" w:footer="720" w:gutter="0"/>
          <w:cols w:space="720" w:num="1"/>
          <w:docGrid w:linePitch="285" w:charSpace="0"/>
        </w:sectPr>
      </w:pPr>
      <w:r>
        <w:rPr>
          <w:spacing w:val="6"/>
          <w:szCs w:val="21"/>
        </w:rPr>
        <w:t>3、投标人提供的声明函与事实不符的，依据《政府采购法》第七十七条第一款的规定追究法律责任,如若中标本声明函随中标结果予以公示。</w:t>
      </w:r>
    </w:p>
    <w:p>
      <w:pPr>
        <w:jc w:val="center"/>
        <w:rPr>
          <w:rFonts w:ascii="宋体" w:hAnsi="宋体" w:cs="宋体"/>
          <w:b/>
          <w:sz w:val="30"/>
          <w:szCs w:val="30"/>
        </w:rPr>
      </w:pPr>
      <w:r>
        <w:rPr>
          <w:rFonts w:hint="eastAsia" w:ascii="宋体" w:hAnsi="宋体" w:cs="宋体"/>
          <w:b/>
          <w:sz w:val="30"/>
          <w:szCs w:val="30"/>
        </w:rPr>
        <w:t>中小企业划型标准规定（工信部联企业[2011]300号）</w:t>
      </w:r>
    </w:p>
    <w:p>
      <w:pPr>
        <w:pStyle w:val="189"/>
        <w:snapToGrid w:val="0"/>
        <w:spacing w:before="120" w:after="120" w:line="440" w:lineRule="exact"/>
        <w:jc w:val="center"/>
        <w:rPr>
          <w:rFonts w:hAnsi="宋体" w:cs="宋体"/>
          <w:b/>
          <w:sz w:val="28"/>
          <w:szCs w:val="28"/>
          <w:shd w:val="clear" w:color="FFFFFF" w:fill="D9D9D9"/>
        </w:rPr>
      </w:pPr>
      <w:r>
        <w:rPr>
          <w:rFonts w:hint="eastAsia" w:hAnsi="宋体" w:cs="宋体"/>
          <w:shd w:val="clear" w:color="FFFFFF" w:fill="D9D9D9"/>
        </w:rPr>
        <w:drawing>
          <wp:anchor distT="0" distB="0" distL="114300" distR="114300" simplePos="0" relativeHeight="251659264" behindDoc="1" locked="0" layoutInCell="1" allowOverlap="1">
            <wp:simplePos x="0" y="0"/>
            <wp:positionH relativeFrom="column">
              <wp:posOffset>265430</wp:posOffset>
            </wp:positionH>
            <wp:positionV relativeFrom="page">
              <wp:posOffset>1236980</wp:posOffset>
            </wp:positionV>
            <wp:extent cx="8989060" cy="5436870"/>
            <wp:effectExtent l="0" t="0" r="254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4"/>
                    <a:stretch>
                      <a:fillRect/>
                    </a:stretch>
                  </pic:blipFill>
                  <pic:spPr>
                    <a:xfrm>
                      <a:off x="0" y="0"/>
                      <a:ext cx="8989060" cy="5436870"/>
                    </a:xfrm>
                    <a:prstGeom prst="rect">
                      <a:avLst/>
                    </a:prstGeom>
                    <a:noFill/>
                    <a:ln>
                      <a:noFill/>
                    </a:ln>
                  </pic:spPr>
                </pic:pic>
              </a:graphicData>
            </a:graphic>
          </wp:anchor>
        </w:drawing>
      </w:r>
    </w:p>
    <w:p>
      <w:pPr>
        <w:pStyle w:val="72"/>
        <w:sectPr>
          <w:pgSz w:w="16840" w:h="11907" w:orient="landscape"/>
          <w:pgMar w:top="1474" w:right="1276" w:bottom="1474" w:left="1242" w:header="720" w:footer="720" w:gutter="0"/>
          <w:cols w:space="720" w:num="1"/>
          <w:docGrid w:linePitch="285" w:charSpace="0"/>
        </w:sectPr>
      </w:pPr>
    </w:p>
    <w:p>
      <w:pPr>
        <w:widowControl/>
        <w:spacing w:line="360" w:lineRule="auto"/>
        <w:jc w:val="left"/>
        <w:outlineLvl w:val="1"/>
        <w:rPr>
          <w:b/>
        </w:rPr>
      </w:pPr>
      <w:bookmarkStart w:id="340" w:name="_Toc21746"/>
      <w:bookmarkStart w:id="341" w:name="_Toc14107"/>
      <w:bookmarkStart w:id="342" w:name="_Toc14917"/>
      <w:bookmarkStart w:id="343" w:name="OLE_LINK13"/>
      <w:bookmarkStart w:id="344" w:name="OLE_LINK14"/>
      <w:r>
        <w:rPr>
          <w:b/>
        </w:rPr>
        <w:t>格式十</w:t>
      </w:r>
      <w:r>
        <w:rPr>
          <w:rFonts w:hint="eastAsia"/>
          <w:b/>
        </w:rPr>
        <w:t>五</w:t>
      </w:r>
      <w:r>
        <w:rPr>
          <w:b/>
        </w:rPr>
        <w:t>：</w:t>
      </w:r>
      <w:bookmarkEnd w:id="340"/>
      <w:bookmarkEnd w:id="341"/>
      <w:bookmarkEnd w:id="342"/>
    </w:p>
    <w:p>
      <w:pPr>
        <w:pStyle w:val="16"/>
        <w:spacing w:line="520" w:lineRule="exact"/>
        <w:jc w:val="center"/>
        <w:rPr>
          <w:rFonts w:ascii="Times New Roman"/>
          <w:b/>
          <w:sz w:val="21"/>
          <w:szCs w:val="21"/>
        </w:rPr>
      </w:pPr>
    </w:p>
    <w:p>
      <w:pPr>
        <w:pStyle w:val="16"/>
        <w:spacing w:line="520" w:lineRule="exact"/>
        <w:jc w:val="center"/>
        <w:rPr>
          <w:rFonts w:ascii="Times New Roman"/>
          <w:b/>
          <w:sz w:val="32"/>
          <w:szCs w:val="32"/>
        </w:rPr>
      </w:pPr>
      <w:r>
        <w:rPr>
          <w:rFonts w:ascii="Times New Roman"/>
          <w:b/>
          <w:sz w:val="32"/>
          <w:szCs w:val="32"/>
        </w:rPr>
        <w:t>残疾人福利性单位声明函</w:t>
      </w:r>
    </w:p>
    <w:bookmarkEnd w:id="343"/>
    <w:bookmarkEnd w:id="344"/>
    <w:p>
      <w:pPr>
        <w:spacing w:line="588" w:lineRule="exact"/>
        <w:rPr>
          <w:b/>
          <w:spacing w:val="6"/>
          <w:szCs w:val="21"/>
        </w:rPr>
      </w:pPr>
    </w:p>
    <w:p>
      <w:pPr>
        <w:spacing w:line="588" w:lineRule="exact"/>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 141</w:t>
      </w:r>
      <w:r>
        <w:rPr>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spacing w:val="6"/>
          <w:szCs w:val="21"/>
        </w:rPr>
      </w:pPr>
      <w:r>
        <w:rPr>
          <w:spacing w:val="6"/>
          <w:szCs w:val="21"/>
        </w:rPr>
        <w:t>本单位对上述声明的真实性负责。如有虚假，将依法承担相应责任。</w:t>
      </w:r>
    </w:p>
    <w:p>
      <w:pPr>
        <w:spacing w:line="588" w:lineRule="exact"/>
        <w:ind w:firstLine="444" w:firstLineChars="200"/>
        <w:rPr>
          <w:spacing w:val="6"/>
          <w:szCs w:val="21"/>
        </w:rPr>
      </w:pPr>
    </w:p>
    <w:p>
      <w:pPr>
        <w:spacing w:line="588" w:lineRule="exact"/>
        <w:ind w:firstLine="444" w:firstLineChars="200"/>
        <w:rPr>
          <w:spacing w:val="6"/>
          <w:szCs w:val="21"/>
        </w:rPr>
      </w:pPr>
    </w:p>
    <w:p>
      <w:pPr>
        <w:tabs>
          <w:tab w:val="left" w:pos="4860"/>
        </w:tabs>
        <w:spacing w:line="588" w:lineRule="exact"/>
        <w:ind w:right="1560" w:firstLine="504" w:firstLineChars="200"/>
        <w:jc w:val="center"/>
        <w:rPr>
          <w:spacing w:val="6"/>
          <w:sz w:val="24"/>
        </w:rPr>
      </w:pPr>
      <w:r>
        <w:rPr>
          <w:rFonts w:hint="eastAsia"/>
          <w:spacing w:val="6"/>
          <w:sz w:val="24"/>
        </w:rPr>
        <w:t xml:space="preserve">                       </w:t>
      </w:r>
      <w:r>
        <w:rPr>
          <w:spacing w:val="6"/>
          <w:sz w:val="24"/>
        </w:rPr>
        <w:t>单位名称（盖章）：</w:t>
      </w:r>
    </w:p>
    <w:p>
      <w:pPr>
        <w:tabs>
          <w:tab w:val="left" w:pos="4860"/>
        </w:tabs>
        <w:spacing w:line="588" w:lineRule="exact"/>
        <w:ind w:right="1560" w:firstLine="504" w:firstLineChars="200"/>
        <w:jc w:val="center"/>
        <w:rPr>
          <w:spacing w:val="6"/>
          <w:sz w:val="24"/>
        </w:rPr>
      </w:pPr>
      <w:r>
        <w:rPr>
          <w:rFonts w:hint="eastAsia"/>
          <w:spacing w:val="6"/>
          <w:sz w:val="24"/>
        </w:rPr>
        <w:t xml:space="preserve">               </w:t>
      </w:r>
      <w:r>
        <w:rPr>
          <w:spacing w:val="6"/>
          <w:sz w:val="24"/>
        </w:rPr>
        <w:t>日</w:t>
      </w:r>
      <w:r>
        <w:rPr>
          <w:rFonts w:hint="eastAsia"/>
          <w:spacing w:val="6"/>
          <w:sz w:val="24"/>
        </w:rPr>
        <w:t xml:space="preserve">    </w:t>
      </w:r>
      <w:r>
        <w:rPr>
          <w:spacing w:val="6"/>
          <w:sz w:val="24"/>
        </w:rPr>
        <w:t>期：</w:t>
      </w:r>
    </w:p>
    <w:p>
      <w:pPr>
        <w:pStyle w:val="72"/>
        <w:rPr>
          <w:spacing w:val="6"/>
          <w:sz w:val="24"/>
        </w:rPr>
      </w:pPr>
    </w:p>
    <w:p>
      <w:pPr>
        <w:pStyle w:val="72"/>
        <w:rPr>
          <w:spacing w:val="6"/>
          <w:sz w:val="24"/>
        </w:rPr>
      </w:pPr>
    </w:p>
    <w:p>
      <w:pPr>
        <w:pStyle w:val="72"/>
        <w:rPr>
          <w:spacing w:val="6"/>
          <w:sz w:val="24"/>
        </w:rPr>
      </w:pPr>
    </w:p>
    <w:p>
      <w:pPr>
        <w:pStyle w:val="72"/>
        <w:rPr>
          <w:spacing w:val="6"/>
          <w:sz w:val="24"/>
        </w:rPr>
      </w:pPr>
    </w:p>
    <w:p>
      <w:pPr>
        <w:pStyle w:val="72"/>
        <w:rPr>
          <w:spacing w:val="6"/>
          <w:sz w:val="24"/>
        </w:rPr>
      </w:pPr>
    </w:p>
    <w:p>
      <w:pPr>
        <w:pStyle w:val="72"/>
        <w:rPr>
          <w:spacing w:val="6"/>
          <w:sz w:val="24"/>
        </w:rPr>
      </w:pPr>
    </w:p>
    <w:p>
      <w:pPr>
        <w:pStyle w:val="72"/>
        <w:rPr>
          <w:spacing w:val="6"/>
          <w:sz w:val="24"/>
        </w:rPr>
      </w:pPr>
    </w:p>
    <w:p>
      <w:pPr>
        <w:rPr>
          <w:sz w:val="24"/>
        </w:rPr>
      </w:pPr>
    </w:p>
    <w:p>
      <w:bookmarkStart w:id="345" w:name="_Toc12969"/>
      <w:r>
        <w:t>享受政府采购支持政策的残疾人福利性单位应当同时满足以下条件：</w:t>
      </w:r>
      <w:bookmarkEnd w:id="345"/>
    </w:p>
    <w:p>
      <w:bookmarkStart w:id="346" w:name="_Toc25652"/>
      <w:r>
        <w:t>（一）安置的残疾人占本单位在职职工人数的比例不低于25%（含25%），并且安置的残疾人人数不少于10人（含10人）；</w:t>
      </w:r>
      <w:bookmarkEnd w:id="346"/>
    </w:p>
    <w:p>
      <w:bookmarkStart w:id="347" w:name="_Toc9051"/>
      <w:r>
        <w:t>（二）依法与安置的每位残疾人签订了一年以上（含一年）的劳动合同或服务协议；</w:t>
      </w:r>
      <w:bookmarkEnd w:id="347"/>
    </w:p>
    <w:p>
      <w:bookmarkStart w:id="348" w:name="_Toc16065"/>
      <w:r>
        <w:t>（三）为安置的每位残疾人按月足额缴纳了基本养老保险、基本医疗保险、失业保险、工伤保险和生育保险等社会保险费；</w:t>
      </w:r>
      <w:bookmarkEnd w:id="348"/>
    </w:p>
    <w:p>
      <w:bookmarkStart w:id="349" w:name="_Toc9585"/>
      <w:r>
        <w:t>（四）通过银行等金融机构向安置的每位残疾人，按月支付了不低于单位所在区县适用的经省级人民政府批准的月最低工资标准的工资；</w:t>
      </w:r>
      <w:bookmarkEnd w:id="349"/>
    </w:p>
    <w:p>
      <w:bookmarkStart w:id="350" w:name="_Toc15466"/>
      <w:r>
        <w:t>（五）提供本单位制造的货物、承担的工程或者服务（以下简称产品），或者提供其他残疾人福利性单位制造的货物（不包括使用非残疾人福利性单位注册商标的货物）。</w:t>
      </w:r>
      <w:bookmarkEnd w:id="350"/>
    </w:p>
    <w:p>
      <w:pPr>
        <w:rPr>
          <w:sz w:val="24"/>
          <w:szCs w:val="44"/>
        </w:rPr>
      </w:pPr>
      <w:bookmarkStart w:id="351" w:name="_Toc30032"/>
      <w: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351"/>
    </w:p>
    <w:p>
      <w:pPr>
        <w:pStyle w:val="5"/>
        <w:spacing w:before="0" w:after="0" w:line="360" w:lineRule="auto"/>
        <w:jc w:val="center"/>
        <w:rPr>
          <w:rFonts w:ascii="宋体" w:hAnsi="宋体" w:cs="宋体"/>
          <w:sz w:val="18"/>
          <w:szCs w:val="18"/>
        </w:rPr>
      </w:pPr>
    </w:p>
    <w:p>
      <w:pPr>
        <w:pStyle w:val="5"/>
        <w:spacing w:before="0" w:after="0" w:line="360" w:lineRule="auto"/>
        <w:jc w:val="center"/>
        <w:rPr>
          <w:rFonts w:ascii="宋体" w:hAnsi="宋体" w:cs="宋体"/>
          <w:sz w:val="18"/>
          <w:szCs w:val="18"/>
        </w:rPr>
      </w:pPr>
    </w:p>
    <w:sectPr>
      <w:pgSz w:w="11907" w:h="16840"/>
      <w:pgMar w:top="1276" w:right="1474" w:bottom="1242" w:left="1474"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42</w:t>
    </w:r>
    <w:r>
      <w:rPr>
        <w:lang w:val="zh-CN"/>
      </w:rP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0ut+8EBAACO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azr&#10;rM8QoMG0+4CJaXzrR9yaxQ/ozLRHFW3+IiGCcVT3fFVXjomI/Khe13WFIYGx5YL47OF5iJDeSW9J&#10;NloacXxFVX76AGlKXVJyNefvtDFlhMb95UDM7GG596nHbKVxP86E9r47I58BJ99Sh4tOiXnvUNi8&#10;JIsRF2M/G7kGhDfHhIVLPxl1gpqL4ZgKo3ml8h48vpesh99o+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C0ut+8EBAACOAwAADgAAAAAAAAABACAAAAAeAQAAZHJzL2Uyb0RvYy54bWxQSwUG&#10;AAAAAAYABgBZAQAAUQ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41</w:t>
                          </w:r>
                          <w:r>
                            <w:fldChar w:fldCharType="end"/>
                          </w: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grw28MBAACO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fL&#10;11mfPkCNabcBE9Pw3g+4NbMf0JlpDyra/EVCBOOo7umirhwSEfnRarlaVRgSGJsviM/un4cI6YP0&#10;lmSjoRHHV1Tlx0+QxtQ5JVdz/kYbU0Zo3H8OxMwelnsfe8xWGnbDRGjn2xPy6XHyDXW46JSYjw6F&#10;zUsyG3E2dpORa0B4d0hYuPSTUUeoqRiOqTCaVirvwb/3knX/G2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2CvDbwwEAAI4DAAAOAAAAAAAAAAEAIAAAAB4BAABkcnMvZTJvRG9jLnhtbFBL&#10;BQYAAAAABgAGAFkBAABT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41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center"/>
                          </w:pPr>
                        </w:p>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mE8mbCAQAAjgMAAA4AAAAAAAAAAQAgAAAAHgEAAGRycy9lMm9Eb2MueG1sUEsF&#10;BgAAAAAGAAYAWQEAAFIFAAAAAA==&#10;">
              <v:fill on="f" focussize="0,0"/>
              <v:stroke on="f"/>
              <v:imagedata o:title=""/>
              <o:lock v:ext="edit" aspectratio="f"/>
              <v:textbox inset="0mm,0mm,0mm,0mm" style="mso-fit-shape-to-text:t;">
                <w:txbxContent>
                  <w:p>
                    <w:pPr>
                      <w:pStyle w:val="23"/>
                      <w:jc w:val="center"/>
                    </w:pPr>
                  </w:p>
                  <w:p/>
                </w:txbxContent>
              </v:textbox>
            </v:shape>
          </w:pict>
        </mc:Fallback>
      </mc:AlternateContent>
    </w:r>
  </w:p>
  <w:p>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SniKsMBAACO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Z&#10;vs3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5KeIqwwEAAI4DAAAOAAAAAAAAAAEAIAAAAB4BAABkcnMvZTJvRG9jLnhtbFBL&#10;BQYAAAAABgAGAFkBAABT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480"/>
                            <w:jc w:val="center"/>
                          </w:pPr>
                        </w:p>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qHGMIBAACO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KqhxjCAQAAjgMAAA4AAAAAAAAAAQAgAAAAHgEAAGRycy9lMm9Eb2MueG1sUEsF&#10;BgAAAAAGAAYAWQEAAFIFAAAAAA==&#10;">
              <v:fill on="f" focussize="0,0"/>
              <v:stroke on="f"/>
              <v:imagedata o:title=""/>
              <o:lock v:ext="edit" aspectratio="f"/>
              <v:textbox inset="0mm,0mm,0mm,0mm" style="mso-fit-shape-to-text:t;">
                <w:txbxContent>
                  <w:p>
                    <w:pPr>
                      <w:pStyle w:val="23"/>
                      <w:ind w:firstLine="480"/>
                      <w:jc w:val="center"/>
                    </w:pPr>
                  </w:p>
                  <w:p/>
                </w:txbxContent>
              </v:textbox>
            </v:shape>
          </w:pict>
        </mc:Fallback>
      </mc:AlternateContent>
    </w:r>
  </w:p>
  <w:p>
    <w:pPr>
      <w:pStyle w:val="23"/>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45</w:t>
                          </w:r>
                          <w:r>
                            <w:fldChar w:fldCharType="end"/>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caJ8MBAACO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0s&#10;r7M+fYAa0+4DJqbhnR9wa2Y/oDPTHlS0+YuECMZR3dNFXTkkIvKj1XK1qjAkMDZfEJ89PA8R0nvp&#10;LclGQyOOr6jKjx8hjalzSq7m/J02pozQuH8ciJk9LPc+9pitNOyGidDOtyfk0+PkG+pw0SkxHxwK&#10;m5dkNuJs7CYj14Bwe0hYuPSTUUeoqRiOqTCaVirvweN7yXr4jT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AVxonwwEAAI4DAAAOAAAAAAAAAAEAIAAAAB4BAABkcnMvZTJvRG9jLnhtbFBL&#10;BQYAAAAABgAGAFkBAABT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center"/>
                          </w:pPr>
                        </w:p>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S9uMIBAACO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kvbjCAQAAjgMAAA4AAAAAAAAAAQAgAAAAHgEAAGRycy9lMm9Eb2MueG1sUEsF&#10;BgAAAAAGAAYAWQEAAFIFAAAAAA==&#10;">
              <v:fill on="f" focussize="0,0"/>
              <v:stroke on="f"/>
              <v:imagedata o:title=""/>
              <o:lock v:ext="edit" aspectratio="f"/>
              <v:textbox inset="0mm,0mm,0mm,0mm" style="mso-fit-shape-to-text:t;">
                <w:txbxContent>
                  <w:p>
                    <w:pPr>
                      <w:pStyle w:val="23"/>
                      <w:jc w:val="center"/>
                    </w:pPr>
                  </w:p>
                  <w:p/>
                </w:txbxContent>
              </v:textbox>
            </v:shape>
          </w:pict>
        </mc:Fallback>
      </mc:AlternateConten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ED878"/>
    <w:multiLevelType w:val="singleLevel"/>
    <w:tmpl w:val="8B6ED878"/>
    <w:lvl w:ilvl="0" w:tentative="0">
      <w:start w:val="1"/>
      <w:numFmt w:val="decimal"/>
      <w:lvlText w:val="%1."/>
      <w:lvlJc w:val="left"/>
      <w:pPr>
        <w:tabs>
          <w:tab w:val="left" w:pos="312"/>
        </w:tabs>
      </w:pPr>
    </w:lvl>
  </w:abstractNum>
  <w:abstractNum w:abstractNumId="1">
    <w:nsid w:val="D684109A"/>
    <w:multiLevelType w:val="multilevel"/>
    <w:tmpl w:val="D684109A"/>
    <w:lvl w:ilvl="0" w:tentative="0">
      <w:start w:val="1"/>
      <w:numFmt w:val="decimal"/>
      <w:lvlText w:val="（%1）"/>
      <w:lvlJc w:val="left"/>
      <w:pPr>
        <w:tabs>
          <w:tab w:val="left" w:pos="715"/>
        </w:tabs>
        <w:ind w:left="715" w:hanging="505"/>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2">
    <w:nsid w:val="0FFFFF7C"/>
    <w:multiLevelType w:val="singleLevel"/>
    <w:tmpl w:val="0FFFFF7C"/>
    <w:lvl w:ilvl="0" w:tentative="0">
      <w:start w:val="1"/>
      <w:numFmt w:val="decimal"/>
      <w:pStyle w:val="11"/>
      <w:lvlText w:val="%1."/>
      <w:lvlJc w:val="left"/>
      <w:pPr>
        <w:tabs>
          <w:tab w:val="left" w:pos="2040"/>
        </w:tabs>
        <w:ind w:left="2040" w:hanging="360"/>
      </w:pPr>
    </w:lvl>
  </w:abstractNum>
  <w:abstractNum w:abstractNumId="3">
    <w:nsid w:val="0FFFFF7D"/>
    <w:multiLevelType w:val="singleLevel"/>
    <w:tmpl w:val="0FFFFF7D"/>
    <w:lvl w:ilvl="0" w:tentative="0">
      <w:start w:val="1"/>
      <w:numFmt w:val="decimal"/>
      <w:pStyle w:val="15"/>
      <w:lvlText w:val="%1."/>
      <w:lvlJc w:val="left"/>
      <w:pPr>
        <w:tabs>
          <w:tab w:val="left" w:pos="1620"/>
        </w:tabs>
        <w:ind w:left="1620" w:hanging="360"/>
      </w:pPr>
    </w:lvl>
  </w:abstractNum>
  <w:abstractNum w:abstractNumId="4">
    <w:nsid w:val="0FFFFF7F"/>
    <w:multiLevelType w:val="singleLevel"/>
    <w:tmpl w:val="0FFFFF7F"/>
    <w:lvl w:ilvl="0" w:tentative="0">
      <w:start w:val="1"/>
      <w:numFmt w:val="decimal"/>
      <w:pStyle w:val="12"/>
      <w:lvlText w:val="%1."/>
      <w:lvlJc w:val="left"/>
      <w:pPr>
        <w:tabs>
          <w:tab w:val="left" w:pos="780"/>
        </w:tabs>
        <w:ind w:left="780" w:hanging="360"/>
      </w:pPr>
    </w:lvl>
  </w:abstractNum>
  <w:abstractNum w:abstractNumId="5">
    <w:nsid w:val="0FFFFF80"/>
    <w:multiLevelType w:val="singleLevel"/>
    <w:tmpl w:val="0FFFFF80"/>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6">
    <w:nsid w:val="0FFFFF81"/>
    <w:multiLevelType w:val="singleLevel"/>
    <w:tmpl w:val="0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7">
    <w:nsid w:val="0FFFFF83"/>
    <w:multiLevelType w:val="singleLevel"/>
    <w:tmpl w:val="0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8">
    <w:nsid w:val="0FFFFF89"/>
    <w:multiLevelType w:val="singleLevel"/>
    <w:tmpl w:val="0FFFFF89"/>
    <w:lvl w:ilvl="0" w:tentative="0">
      <w:start w:val="1"/>
      <w:numFmt w:val="bullet"/>
      <w:pStyle w:val="229"/>
      <w:lvlText w:val=""/>
      <w:lvlJc w:val="left"/>
      <w:pPr>
        <w:tabs>
          <w:tab w:val="left" w:pos="360"/>
        </w:tabs>
        <w:ind w:left="360" w:hanging="360"/>
      </w:pPr>
      <w:rPr>
        <w:rFonts w:hint="default" w:ascii="Wingdings" w:hAnsi="Wingdings"/>
      </w:rPr>
    </w:lvl>
  </w:abstractNum>
  <w:abstractNum w:abstractNumId="9">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6"/>
      <w:lvlText w:val="%1.%2"/>
      <w:lvlJc w:val="left"/>
      <w:pPr>
        <w:tabs>
          <w:tab w:val="left" w:pos="576"/>
        </w:tabs>
        <w:ind w:left="576" w:hanging="576"/>
      </w:pPr>
      <w:rPr>
        <w:rFonts w:hint="eastAsia"/>
      </w:rPr>
    </w:lvl>
    <w:lvl w:ilvl="2" w:tentative="0">
      <w:start w:val="1"/>
      <w:numFmt w:val="decimal"/>
      <w:pStyle w:val="7"/>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9"/>
  </w:num>
  <w:num w:numId="2">
    <w:abstractNumId w:val="5"/>
  </w:num>
  <w:num w:numId="3">
    <w:abstractNumId w:val="2"/>
  </w:num>
  <w:num w:numId="4">
    <w:abstractNumId w:val="4"/>
  </w:num>
  <w:num w:numId="5">
    <w:abstractNumId w:val="3"/>
  </w:num>
  <w:num w:numId="6">
    <w:abstractNumId w:val="6"/>
  </w:num>
  <w:num w:numId="7">
    <w:abstractNumId w:val="7"/>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YjVlODkwNzU3ZTkxM2I3YzRlOWE1YTM2NDhhN2IifQ=="/>
  </w:docVars>
  <w:rsids>
    <w:rsidRoot w:val="001439E3"/>
    <w:rsid w:val="000018F6"/>
    <w:rsid w:val="00007555"/>
    <w:rsid w:val="00007C20"/>
    <w:rsid w:val="00007E5F"/>
    <w:rsid w:val="00012349"/>
    <w:rsid w:val="00012AEE"/>
    <w:rsid w:val="00012BF3"/>
    <w:rsid w:val="00012C9F"/>
    <w:rsid w:val="00013191"/>
    <w:rsid w:val="000152BD"/>
    <w:rsid w:val="00016E5B"/>
    <w:rsid w:val="0001776C"/>
    <w:rsid w:val="00017ADD"/>
    <w:rsid w:val="0002373B"/>
    <w:rsid w:val="00024329"/>
    <w:rsid w:val="000256D8"/>
    <w:rsid w:val="00026B94"/>
    <w:rsid w:val="000271E7"/>
    <w:rsid w:val="00027255"/>
    <w:rsid w:val="000276D0"/>
    <w:rsid w:val="000279D7"/>
    <w:rsid w:val="00027B64"/>
    <w:rsid w:val="00030A43"/>
    <w:rsid w:val="00031FDB"/>
    <w:rsid w:val="00033F5E"/>
    <w:rsid w:val="00041D53"/>
    <w:rsid w:val="0004351F"/>
    <w:rsid w:val="0004418C"/>
    <w:rsid w:val="00045734"/>
    <w:rsid w:val="000460B6"/>
    <w:rsid w:val="00046A9C"/>
    <w:rsid w:val="000479FF"/>
    <w:rsid w:val="00051AE2"/>
    <w:rsid w:val="0005301B"/>
    <w:rsid w:val="000540F4"/>
    <w:rsid w:val="0005509D"/>
    <w:rsid w:val="00056633"/>
    <w:rsid w:val="000568C4"/>
    <w:rsid w:val="000572B3"/>
    <w:rsid w:val="00060411"/>
    <w:rsid w:val="0006085B"/>
    <w:rsid w:val="0006493A"/>
    <w:rsid w:val="00065D58"/>
    <w:rsid w:val="00065FC4"/>
    <w:rsid w:val="000660AC"/>
    <w:rsid w:val="00066102"/>
    <w:rsid w:val="000667FD"/>
    <w:rsid w:val="000704DD"/>
    <w:rsid w:val="00073814"/>
    <w:rsid w:val="00074067"/>
    <w:rsid w:val="00074B96"/>
    <w:rsid w:val="00076D74"/>
    <w:rsid w:val="00076D9F"/>
    <w:rsid w:val="000771F8"/>
    <w:rsid w:val="00080C31"/>
    <w:rsid w:val="00081328"/>
    <w:rsid w:val="000815A6"/>
    <w:rsid w:val="00081F25"/>
    <w:rsid w:val="000824AE"/>
    <w:rsid w:val="00083E1A"/>
    <w:rsid w:val="00084A00"/>
    <w:rsid w:val="00085239"/>
    <w:rsid w:val="00086FBB"/>
    <w:rsid w:val="0008743B"/>
    <w:rsid w:val="00093C6D"/>
    <w:rsid w:val="0009619A"/>
    <w:rsid w:val="000A0D3B"/>
    <w:rsid w:val="000A253C"/>
    <w:rsid w:val="000A3965"/>
    <w:rsid w:val="000A3985"/>
    <w:rsid w:val="000A3B0D"/>
    <w:rsid w:val="000A40C6"/>
    <w:rsid w:val="000A4754"/>
    <w:rsid w:val="000A7433"/>
    <w:rsid w:val="000A74AD"/>
    <w:rsid w:val="000A796B"/>
    <w:rsid w:val="000B0334"/>
    <w:rsid w:val="000B0B05"/>
    <w:rsid w:val="000B0B8E"/>
    <w:rsid w:val="000B0D00"/>
    <w:rsid w:val="000B0DF4"/>
    <w:rsid w:val="000B1AC7"/>
    <w:rsid w:val="000B1DFC"/>
    <w:rsid w:val="000B3D29"/>
    <w:rsid w:val="000B5B96"/>
    <w:rsid w:val="000B794A"/>
    <w:rsid w:val="000C0DBC"/>
    <w:rsid w:val="000C16D5"/>
    <w:rsid w:val="000C5EC0"/>
    <w:rsid w:val="000C6496"/>
    <w:rsid w:val="000C76F6"/>
    <w:rsid w:val="000C7C45"/>
    <w:rsid w:val="000D03D2"/>
    <w:rsid w:val="000D06C1"/>
    <w:rsid w:val="000D06DD"/>
    <w:rsid w:val="000D074E"/>
    <w:rsid w:val="000D1716"/>
    <w:rsid w:val="000D3E4C"/>
    <w:rsid w:val="000D43DF"/>
    <w:rsid w:val="000D442A"/>
    <w:rsid w:val="000D5A6F"/>
    <w:rsid w:val="000D7001"/>
    <w:rsid w:val="000E02E9"/>
    <w:rsid w:val="000E282D"/>
    <w:rsid w:val="000E28C4"/>
    <w:rsid w:val="000E339F"/>
    <w:rsid w:val="000E3FF9"/>
    <w:rsid w:val="000E4396"/>
    <w:rsid w:val="000F02DE"/>
    <w:rsid w:val="000F1862"/>
    <w:rsid w:val="000F18E1"/>
    <w:rsid w:val="000F25BB"/>
    <w:rsid w:val="000F2B61"/>
    <w:rsid w:val="000F3A18"/>
    <w:rsid w:val="000F432C"/>
    <w:rsid w:val="000F576E"/>
    <w:rsid w:val="000F664C"/>
    <w:rsid w:val="000F72AD"/>
    <w:rsid w:val="00101555"/>
    <w:rsid w:val="00101E31"/>
    <w:rsid w:val="001026FD"/>
    <w:rsid w:val="00103245"/>
    <w:rsid w:val="0010383D"/>
    <w:rsid w:val="0010556B"/>
    <w:rsid w:val="0011033E"/>
    <w:rsid w:val="001128F6"/>
    <w:rsid w:val="00112D3B"/>
    <w:rsid w:val="001138CE"/>
    <w:rsid w:val="0011512C"/>
    <w:rsid w:val="0011515B"/>
    <w:rsid w:val="00115A71"/>
    <w:rsid w:val="001169A0"/>
    <w:rsid w:val="001175DB"/>
    <w:rsid w:val="00120C9D"/>
    <w:rsid w:val="00120FF4"/>
    <w:rsid w:val="00122125"/>
    <w:rsid w:val="00123804"/>
    <w:rsid w:val="00124FE1"/>
    <w:rsid w:val="0012576B"/>
    <w:rsid w:val="00127E5A"/>
    <w:rsid w:val="001301B5"/>
    <w:rsid w:val="0013096D"/>
    <w:rsid w:val="001318FC"/>
    <w:rsid w:val="0013194A"/>
    <w:rsid w:val="0013241C"/>
    <w:rsid w:val="00133B7C"/>
    <w:rsid w:val="001362B9"/>
    <w:rsid w:val="00137501"/>
    <w:rsid w:val="001439E3"/>
    <w:rsid w:val="001440ED"/>
    <w:rsid w:val="00144532"/>
    <w:rsid w:val="001447D0"/>
    <w:rsid w:val="00145635"/>
    <w:rsid w:val="0015027D"/>
    <w:rsid w:val="00151365"/>
    <w:rsid w:val="00151612"/>
    <w:rsid w:val="00152DCB"/>
    <w:rsid w:val="00153406"/>
    <w:rsid w:val="00153EE1"/>
    <w:rsid w:val="001541B4"/>
    <w:rsid w:val="0015432B"/>
    <w:rsid w:val="00160224"/>
    <w:rsid w:val="001610FE"/>
    <w:rsid w:val="0016304F"/>
    <w:rsid w:val="00167419"/>
    <w:rsid w:val="00170223"/>
    <w:rsid w:val="00172432"/>
    <w:rsid w:val="00172516"/>
    <w:rsid w:val="00173BD2"/>
    <w:rsid w:val="00173E58"/>
    <w:rsid w:val="0017411F"/>
    <w:rsid w:val="00174AF7"/>
    <w:rsid w:val="001753FF"/>
    <w:rsid w:val="00176612"/>
    <w:rsid w:val="00177A7E"/>
    <w:rsid w:val="001808F6"/>
    <w:rsid w:val="00180F4E"/>
    <w:rsid w:val="00180F90"/>
    <w:rsid w:val="00183754"/>
    <w:rsid w:val="00184457"/>
    <w:rsid w:val="001845F0"/>
    <w:rsid w:val="00184D0F"/>
    <w:rsid w:val="00184F9A"/>
    <w:rsid w:val="00185829"/>
    <w:rsid w:val="001862BA"/>
    <w:rsid w:val="0018688D"/>
    <w:rsid w:val="00186F4E"/>
    <w:rsid w:val="001874BA"/>
    <w:rsid w:val="001904AB"/>
    <w:rsid w:val="00191903"/>
    <w:rsid w:val="00193198"/>
    <w:rsid w:val="001945CA"/>
    <w:rsid w:val="00197956"/>
    <w:rsid w:val="00197991"/>
    <w:rsid w:val="001A29A1"/>
    <w:rsid w:val="001A3082"/>
    <w:rsid w:val="001A36F1"/>
    <w:rsid w:val="001A58AC"/>
    <w:rsid w:val="001A765D"/>
    <w:rsid w:val="001A78ED"/>
    <w:rsid w:val="001A7B63"/>
    <w:rsid w:val="001B0677"/>
    <w:rsid w:val="001B0C9C"/>
    <w:rsid w:val="001B1699"/>
    <w:rsid w:val="001B29B2"/>
    <w:rsid w:val="001B6A36"/>
    <w:rsid w:val="001B7CC3"/>
    <w:rsid w:val="001C37E4"/>
    <w:rsid w:val="001C5394"/>
    <w:rsid w:val="001C6618"/>
    <w:rsid w:val="001C6911"/>
    <w:rsid w:val="001D226F"/>
    <w:rsid w:val="001D34D0"/>
    <w:rsid w:val="001D545A"/>
    <w:rsid w:val="001D74EE"/>
    <w:rsid w:val="001D764D"/>
    <w:rsid w:val="001E030C"/>
    <w:rsid w:val="001E0855"/>
    <w:rsid w:val="001E0984"/>
    <w:rsid w:val="001E2B27"/>
    <w:rsid w:val="001E5FC5"/>
    <w:rsid w:val="001E7042"/>
    <w:rsid w:val="001F041C"/>
    <w:rsid w:val="001F062C"/>
    <w:rsid w:val="001F4C7C"/>
    <w:rsid w:val="001F4F06"/>
    <w:rsid w:val="001F60B3"/>
    <w:rsid w:val="001F60F0"/>
    <w:rsid w:val="001F670D"/>
    <w:rsid w:val="001F679D"/>
    <w:rsid w:val="001F78EC"/>
    <w:rsid w:val="001F7A6C"/>
    <w:rsid w:val="00200808"/>
    <w:rsid w:val="0020106F"/>
    <w:rsid w:val="002047C5"/>
    <w:rsid w:val="0020528F"/>
    <w:rsid w:val="00207898"/>
    <w:rsid w:val="00207960"/>
    <w:rsid w:val="00207983"/>
    <w:rsid w:val="0021092F"/>
    <w:rsid w:val="002111F5"/>
    <w:rsid w:val="00211449"/>
    <w:rsid w:val="00211F51"/>
    <w:rsid w:val="0021304A"/>
    <w:rsid w:val="00214501"/>
    <w:rsid w:val="002150E7"/>
    <w:rsid w:val="00215D5C"/>
    <w:rsid w:val="00216895"/>
    <w:rsid w:val="00217978"/>
    <w:rsid w:val="00220740"/>
    <w:rsid w:val="00221AE0"/>
    <w:rsid w:val="00224C68"/>
    <w:rsid w:val="00231F34"/>
    <w:rsid w:val="002322C1"/>
    <w:rsid w:val="00232CED"/>
    <w:rsid w:val="002363F8"/>
    <w:rsid w:val="0023688D"/>
    <w:rsid w:val="00236BBB"/>
    <w:rsid w:val="0023730C"/>
    <w:rsid w:val="002375DD"/>
    <w:rsid w:val="002405AE"/>
    <w:rsid w:val="00241FB9"/>
    <w:rsid w:val="002514F6"/>
    <w:rsid w:val="00251A5D"/>
    <w:rsid w:val="00251F7E"/>
    <w:rsid w:val="002521D9"/>
    <w:rsid w:val="00252BCD"/>
    <w:rsid w:val="0025587D"/>
    <w:rsid w:val="00256785"/>
    <w:rsid w:val="00256892"/>
    <w:rsid w:val="002568C3"/>
    <w:rsid w:val="00260985"/>
    <w:rsid w:val="002615CB"/>
    <w:rsid w:val="00262C52"/>
    <w:rsid w:val="00264886"/>
    <w:rsid w:val="0026526D"/>
    <w:rsid w:val="002653ED"/>
    <w:rsid w:val="00266542"/>
    <w:rsid w:val="0026723B"/>
    <w:rsid w:val="00267FF7"/>
    <w:rsid w:val="00272D08"/>
    <w:rsid w:val="00272D84"/>
    <w:rsid w:val="00273D49"/>
    <w:rsid w:val="00274181"/>
    <w:rsid w:val="00277823"/>
    <w:rsid w:val="0027787E"/>
    <w:rsid w:val="00277932"/>
    <w:rsid w:val="00277D7E"/>
    <w:rsid w:val="002813CF"/>
    <w:rsid w:val="00281AB0"/>
    <w:rsid w:val="00281E91"/>
    <w:rsid w:val="0028217D"/>
    <w:rsid w:val="00282492"/>
    <w:rsid w:val="002826B2"/>
    <w:rsid w:val="00282ED1"/>
    <w:rsid w:val="00284691"/>
    <w:rsid w:val="00284DDC"/>
    <w:rsid w:val="002851BF"/>
    <w:rsid w:val="00286876"/>
    <w:rsid w:val="00287F94"/>
    <w:rsid w:val="00290E7A"/>
    <w:rsid w:val="00291263"/>
    <w:rsid w:val="0029146B"/>
    <w:rsid w:val="00292F58"/>
    <w:rsid w:val="00293446"/>
    <w:rsid w:val="00293AD9"/>
    <w:rsid w:val="002945ED"/>
    <w:rsid w:val="00295033"/>
    <w:rsid w:val="00295D90"/>
    <w:rsid w:val="00296C48"/>
    <w:rsid w:val="002A3109"/>
    <w:rsid w:val="002A447D"/>
    <w:rsid w:val="002A57B8"/>
    <w:rsid w:val="002A667D"/>
    <w:rsid w:val="002A7CCC"/>
    <w:rsid w:val="002B1FEF"/>
    <w:rsid w:val="002B235D"/>
    <w:rsid w:val="002B2781"/>
    <w:rsid w:val="002B30AF"/>
    <w:rsid w:val="002B3D12"/>
    <w:rsid w:val="002B6DB9"/>
    <w:rsid w:val="002B7CF6"/>
    <w:rsid w:val="002C2250"/>
    <w:rsid w:val="002C23B8"/>
    <w:rsid w:val="002C427D"/>
    <w:rsid w:val="002C5151"/>
    <w:rsid w:val="002C5A5F"/>
    <w:rsid w:val="002D1AA5"/>
    <w:rsid w:val="002D2CBB"/>
    <w:rsid w:val="002D38B1"/>
    <w:rsid w:val="002D40E3"/>
    <w:rsid w:val="002D4916"/>
    <w:rsid w:val="002D5699"/>
    <w:rsid w:val="002D5930"/>
    <w:rsid w:val="002D7EAE"/>
    <w:rsid w:val="002D7F2F"/>
    <w:rsid w:val="002E0BC4"/>
    <w:rsid w:val="002E2759"/>
    <w:rsid w:val="002E2AF1"/>
    <w:rsid w:val="002E2F07"/>
    <w:rsid w:val="002E3E0E"/>
    <w:rsid w:val="002E403B"/>
    <w:rsid w:val="002E45BD"/>
    <w:rsid w:val="002E620C"/>
    <w:rsid w:val="002E7C7C"/>
    <w:rsid w:val="002F0A83"/>
    <w:rsid w:val="002F2B41"/>
    <w:rsid w:val="002F4748"/>
    <w:rsid w:val="002F60AA"/>
    <w:rsid w:val="002F643A"/>
    <w:rsid w:val="002F6981"/>
    <w:rsid w:val="0030178B"/>
    <w:rsid w:val="003019A0"/>
    <w:rsid w:val="003034B6"/>
    <w:rsid w:val="0030395D"/>
    <w:rsid w:val="00303CF1"/>
    <w:rsid w:val="00303F77"/>
    <w:rsid w:val="0030638A"/>
    <w:rsid w:val="003069DB"/>
    <w:rsid w:val="00311469"/>
    <w:rsid w:val="00312462"/>
    <w:rsid w:val="00313052"/>
    <w:rsid w:val="003145C9"/>
    <w:rsid w:val="0031698E"/>
    <w:rsid w:val="0032127D"/>
    <w:rsid w:val="003221FD"/>
    <w:rsid w:val="003227DE"/>
    <w:rsid w:val="0032312C"/>
    <w:rsid w:val="00324281"/>
    <w:rsid w:val="0032516D"/>
    <w:rsid w:val="00331114"/>
    <w:rsid w:val="003313A7"/>
    <w:rsid w:val="00331865"/>
    <w:rsid w:val="003334E5"/>
    <w:rsid w:val="003351B7"/>
    <w:rsid w:val="003369F1"/>
    <w:rsid w:val="00341A1E"/>
    <w:rsid w:val="00342744"/>
    <w:rsid w:val="00344665"/>
    <w:rsid w:val="00346625"/>
    <w:rsid w:val="00347025"/>
    <w:rsid w:val="003475CD"/>
    <w:rsid w:val="00347FA7"/>
    <w:rsid w:val="00350EA5"/>
    <w:rsid w:val="003523EA"/>
    <w:rsid w:val="00354198"/>
    <w:rsid w:val="00355CE9"/>
    <w:rsid w:val="00356486"/>
    <w:rsid w:val="00357708"/>
    <w:rsid w:val="00357C0B"/>
    <w:rsid w:val="0036096C"/>
    <w:rsid w:val="0036116F"/>
    <w:rsid w:val="00361D31"/>
    <w:rsid w:val="003620E0"/>
    <w:rsid w:val="003637CC"/>
    <w:rsid w:val="00365364"/>
    <w:rsid w:val="00365555"/>
    <w:rsid w:val="0036649D"/>
    <w:rsid w:val="00366A29"/>
    <w:rsid w:val="003674BD"/>
    <w:rsid w:val="00367AE3"/>
    <w:rsid w:val="0037091D"/>
    <w:rsid w:val="003710EC"/>
    <w:rsid w:val="003714DC"/>
    <w:rsid w:val="0037261D"/>
    <w:rsid w:val="00373253"/>
    <w:rsid w:val="003746C1"/>
    <w:rsid w:val="00375368"/>
    <w:rsid w:val="00375CA8"/>
    <w:rsid w:val="00375E95"/>
    <w:rsid w:val="00375EA2"/>
    <w:rsid w:val="003763EE"/>
    <w:rsid w:val="0037666D"/>
    <w:rsid w:val="003775DD"/>
    <w:rsid w:val="00382A84"/>
    <w:rsid w:val="003831EC"/>
    <w:rsid w:val="0038398E"/>
    <w:rsid w:val="003839E7"/>
    <w:rsid w:val="00384447"/>
    <w:rsid w:val="003850D5"/>
    <w:rsid w:val="0038574B"/>
    <w:rsid w:val="00385AFE"/>
    <w:rsid w:val="003869D6"/>
    <w:rsid w:val="0039122B"/>
    <w:rsid w:val="00394438"/>
    <w:rsid w:val="00395739"/>
    <w:rsid w:val="00395889"/>
    <w:rsid w:val="00395B29"/>
    <w:rsid w:val="00396ED5"/>
    <w:rsid w:val="003A2651"/>
    <w:rsid w:val="003A26AB"/>
    <w:rsid w:val="003A5C6A"/>
    <w:rsid w:val="003A6FAF"/>
    <w:rsid w:val="003B2FAA"/>
    <w:rsid w:val="003B31CD"/>
    <w:rsid w:val="003B33CF"/>
    <w:rsid w:val="003B3F6B"/>
    <w:rsid w:val="003B492F"/>
    <w:rsid w:val="003B4E05"/>
    <w:rsid w:val="003B4E4B"/>
    <w:rsid w:val="003B52A6"/>
    <w:rsid w:val="003B6691"/>
    <w:rsid w:val="003C03D0"/>
    <w:rsid w:val="003C04DF"/>
    <w:rsid w:val="003C1003"/>
    <w:rsid w:val="003C1E9C"/>
    <w:rsid w:val="003C245B"/>
    <w:rsid w:val="003C2F7E"/>
    <w:rsid w:val="003C4454"/>
    <w:rsid w:val="003C559E"/>
    <w:rsid w:val="003C5622"/>
    <w:rsid w:val="003C7D8F"/>
    <w:rsid w:val="003C7E14"/>
    <w:rsid w:val="003D01CC"/>
    <w:rsid w:val="003D12DE"/>
    <w:rsid w:val="003D1CFF"/>
    <w:rsid w:val="003D46D6"/>
    <w:rsid w:val="003D4E20"/>
    <w:rsid w:val="003D5C49"/>
    <w:rsid w:val="003E0DF6"/>
    <w:rsid w:val="003E2C81"/>
    <w:rsid w:val="003E2FD9"/>
    <w:rsid w:val="003E47DD"/>
    <w:rsid w:val="003E602A"/>
    <w:rsid w:val="003E6A2B"/>
    <w:rsid w:val="003E6E04"/>
    <w:rsid w:val="003F25B6"/>
    <w:rsid w:val="003F2712"/>
    <w:rsid w:val="003F31A3"/>
    <w:rsid w:val="003F3D07"/>
    <w:rsid w:val="003F4550"/>
    <w:rsid w:val="003F49AE"/>
    <w:rsid w:val="003F5748"/>
    <w:rsid w:val="003F7149"/>
    <w:rsid w:val="003F7A3B"/>
    <w:rsid w:val="00400886"/>
    <w:rsid w:val="004029FC"/>
    <w:rsid w:val="0040305E"/>
    <w:rsid w:val="00404BFB"/>
    <w:rsid w:val="00404EAB"/>
    <w:rsid w:val="00405B1A"/>
    <w:rsid w:val="0041008E"/>
    <w:rsid w:val="0041370D"/>
    <w:rsid w:val="00417D3C"/>
    <w:rsid w:val="00417FFD"/>
    <w:rsid w:val="004200DD"/>
    <w:rsid w:val="0042106E"/>
    <w:rsid w:val="00422982"/>
    <w:rsid w:val="00422B4B"/>
    <w:rsid w:val="00423445"/>
    <w:rsid w:val="00430E82"/>
    <w:rsid w:val="00431E42"/>
    <w:rsid w:val="00432088"/>
    <w:rsid w:val="004320D8"/>
    <w:rsid w:val="00433C2F"/>
    <w:rsid w:val="00434717"/>
    <w:rsid w:val="00434DB7"/>
    <w:rsid w:val="004356B7"/>
    <w:rsid w:val="004364DD"/>
    <w:rsid w:val="00436E52"/>
    <w:rsid w:val="0044041E"/>
    <w:rsid w:val="004416D1"/>
    <w:rsid w:val="00444F7A"/>
    <w:rsid w:val="00445A51"/>
    <w:rsid w:val="00447304"/>
    <w:rsid w:val="004478D1"/>
    <w:rsid w:val="004515D1"/>
    <w:rsid w:val="00454654"/>
    <w:rsid w:val="004553FE"/>
    <w:rsid w:val="00456F6A"/>
    <w:rsid w:val="004571A2"/>
    <w:rsid w:val="00457434"/>
    <w:rsid w:val="00460546"/>
    <w:rsid w:val="00461416"/>
    <w:rsid w:val="00461678"/>
    <w:rsid w:val="004616EF"/>
    <w:rsid w:val="00461C1B"/>
    <w:rsid w:val="0046219F"/>
    <w:rsid w:val="004622BD"/>
    <w:rsid w:val="00462DBC"/>
    <w:rsid w:val="00463781"/>
    <w:rsid w:val="00464190"/>
    <w:rsid w:val="00467068"/>
    <w:rsid w:val="0047013A"/>
    <w:rsid w:val="00470AF6"/>
    <w:rsid w:val="00470DB8"/>
    <w:rsid w:val="004742BE"/>
    <w:rsid w:val="0048019C"/>
    <w:rsid w:val="00481054"/>
    <w:rsid w:val="00481C5B"/>
    <w:rsid w:val="00482763"/>
    <w:rsid w:val="004844B6"/>
    <w:rsid w:val="0048460A"/>
    <w:rsid w:val="0049163F"/>
    <w:rsid w:val="00492755"/>
    <w:rsid w:val="00492B48"/>
    <w:rsid w:val="004934EC"/>
    <w:rsid w:val="0049689A"/>
    <w:rsid w:val="004A0D8E"/>
    <w:rsid w:val="004A175D"/>
    <w:rsid w:val="004A346B"/>
    <w:rsid w:val="004A55F9"/>
    <w:rsid w:val="004A5912"/>
    <w:rsid w:val="004A5F61"/>
    <w:rsid w:val="004A7D75"/>
    <w:rsid w:val="004B0231"/>
    <w:rsid w:val="004B0638"/>
    <w:rsid w:val="004B08F8"/>
    <w:rsid w:val="004B13BB"/>
    <w:rsid w:val="004B1449"/>
    <w:rsid w:val="004B56BF"/>
    <w:rsid w:val="004B71BF"/>
    <w:rsid w:val="004B71CF"/>
    <w:rsid w:val="004C2180"/>
    <w:rsid w:val="004C2CD3"/>
    <w:rsid w:val="004C7406"/>
    <w:rsid w:val="004D0AB1"/>
    <w:rsid w:val="004D1020"/>
    <w:rsid w:val="004D164A"/>
    <w:rsid w:val="004D3D86"/>
    <w:rsid w:val="004D4215"/>
    <w:rsid w:val="004D6457"/>
    <w:rsid w:val="004D75DD"/>
    <w:rsid w:val="004D7813"/>
    <w:rsid w:val="004E07D5"/>
    <w:rsid w:val="004E108F"/>
    <w:rsid w:val="004E3750"/>
    <w:rsid w:val="004E622F"/>
    <w:rsid w:val="004F0139"/>
    <w:rsid w:val="004F1883"/>
    <w:rsid w:val="004F27BA"/>
    <w:rsid w:val="004F432D"/>
    <w:rsid w:val="004F5A9F"/>
    <w:rsid w:val="004F720B"/>
    <w:rsid w:val="0050013E"/>
    <w:rsid w:val="00500570"/>
    <w:rsid w:val="00502C90"/>
    <w:rsid w:val="005049BE"/>
    <w:rsid w:val="00505DBF"/>
    <w:rsid w:val="0050662C"/>
    <w:rsid w:val="005069CC"/>
    <w:rsid w:val="00507D53"/>
    <w:rsid w:val="00507EFE"/>
    <w:rsid w:val="0051412D"/>
    <w:rsid w:val="0052196A"/>
    <w:rsid w:val="005221CB"/>
    <w:rsid w:val="00522806"/>
    <w:rsid w:val="00524377"/>
    <w:rsid w:val="00524491"/>
    <w:rsid w:val="00526460"/>
    <w:rsid w:val="00527FC0"/>
    <w:rsid w:val="00530621"/>
    <w:rsid w:val="00530944"/>
    <w:rsid w:val="00530EF8"/>
    <w:rsid w:val="00531C1E"/>
    <w:rsid w:val="00533AF8"/>
    <w:rsid w:val="005340D4"/>
    <w:rsid w:val="005341E7"/>
    <w:rsid w:val="0053511F"/>
    <w:rsid w:val="00535391"/>
    <w:rsid w:val="00535CFD"/>
    <w:rsid w:val="00536507"/>
    <w:rsid w:val="00537812"/>
    <w:rsid w:val="00541A3B"/>
    <w:rsid w:val="00541B5B"/>
    <w:rsid w:val="00541FFD"/>
    <w:rsid w:val="005428E0"/>
    <w:rsid w:val="00546DAA"/>
    <w:rsid w:val="00547683"/>
    <w:rsid w:val="005509CF"/>
    <w:rsid w:val="0055232E"/>
    <w:rsid w:val="005525A8"/>
    <w:rsid w:val="005539F5"/>
    <w:rsid w:val="00555588"/>
    <w:rsid w:val="005568C0"/>
    <w:rsid w:val="0055719E"/>
    <w:rsid w:val="0055736F"/>
    <w:rsid w:val="00561A6F"/>
    <w:rsid w:val="00562BD2"/>
    <w:rsid w:val="00562F32"/>
    <w:rsid w:val="00563B21"/>
    <w:rsid w:val="005644FC"/>
    <w:rsid w:val="00564796"/>
    <w:rsid w:val="00567069"/>
    <w:rsid w:val="00573260"/>
    <w:rsid w:val="005751B3"/>
    <w:rsid w:val="00576326"/>
    <w:rsid w:val="00577662"/>
    <w:rsid w:val="00582980"/>
    <w:rsid w:val="005835C7"/>
    <w:rsid w:val="00583BB5"/>
    <w:rsid w:val="00584049"/>
    <w:rsid w:val="0058444F"/>
    <w:rsid w:val="00584BC6"/>
    <w:rsid w:val="00584C5A"/>
    <w:rsid w:val="005850F1"/>
    <w:rsid w:val="0058533F"/>
    <w:rsid w:val="00585A1B"/>
    <w:rsid w:val="00586DDD"/>
    <w:rsid w:val="005870A9"/>
    <w:rsid w:val="0058741A"/>
    <w:rsid w:val="005874D9"/>
    <w:rsid w:val="005876C7"/>
    <w:rsid w:val="0059012B"/>
    <w:rsid w:val="0059167C"/>
    <w:rsid w:val="005922FD"/>
    <w:rsid w:val="005931A4"/>
    <w:rsid w:val="005931C5"/>
    <w:rsid w:val="00594917"/>
    <w:rsid w:val="0059533F"/>
    <w:rsid w:val="005A0748"/>
    <w:rsid w:val="005A1D44"/>
    <w:rsid w:val="005A1EBB"/>
    <w:rsid w:val="005A26D6"/>
    <w:rsid w:val="005A37E9"/>
    <w:rsid w:val="005A6B55"/>
    <w:rsid w:val="005A71D2"/>
    <w:rsid w:val="005A7E37"/>
    <w:rsid w:val="005B1705"/>
    <w:rsid w:val="005B1765"/>
    <w:rsid w:val="005B1EA6"/>
    <w:rsid w:val="005B2556"/>
    <w:rsid w:val="005B3170"/>
    <w:rsid w:val="005B42F4"/>
    <w:rsid w:val="005B46F3"/>
    <w:rsid w:val="005B53EC"/>
    <w:rsid w:val="005C1B9D"/>
    <w:rsid w:val="005C250E"/>
    <w:rsid w:val="005C2704"/>
    <w:rsid w:val="005C38F3"/>
    <w:rsid w:val="005C3A50"/>
    <w:rsid w:val="005C41CA"/>
    <w:rsid w:val="005C5AEA"/>
    <w:rsid w:val="005C6947"/>
    <w:rsid w:val="005D02C5"/>
    <w:rsid w:val="005D0FD0"/>
    <w:rsid w:val="005D1E58"/>
    <w:rsid w:val="005D30B2"/>
    <w:rsid w:val="005D56EC"/>
    <w:rsid w:val="005D6EBA"/>
    <w:rsid w:val="005E040C"/>
    <w:rsid w:val="005E121D"/>
    <w:rsid w:val="005E15EF"/>
    <w:rsid w:val="005E1C44"/>
    <w:rsid w:val="005E2260"/>
    <w:rsid w:val="005E3CCB"/>
    <w:rsid w:val="005E4CB0"/>
    <w:rsid w:val="005E6760"/>
    <w:rsid w:val="005E6E1B"/>
    <w:rsid w:val="005E73A0"/>
    <w:rsid w:val="005E76CC"/>
    <w:rsid w:val="005E7F47"/>
    <w:rsid w:val="005F004A"/>
    <w:rsid w:val="005F20A9"/>
    <w:rsid w:val="005F22FD"/>
    <w:rsid w:val="005F48D4"/>
    <w:rsid w:val="005F616E"/>
    <w:rsid w:val="005F757F"/>
    <w:rsid w:val="006001F5"/>
    <w:rsid w:val="00600424"/>
    <w:rsid w:val="00601478"/>
    <w:rsid w:val="00602332"/>
    <w:rsid w:val="00602E3C"/>
    <w:rsid w:val="006047F1"/>
    <w:rsid w:val="00605D81"/>
    <w:rsid w:val="00607495"/>
    <w:rsid w:val="0060789E"/>
    <w:rsid w:val="00607D86"/>
    <w:rsid w:val="006112B1"/>
    <w:rsid w:val="006141F7"/>
    <w:rsid w:val="00616DDA"/>
    <w:rsid w:val="006176F8"/>
    <w:rsid w:val="006220A2"/>
    <w:rsid w:val="006220E0"/>
    <w:rsid w:val="00622B02"/>
    <w:rsid w:val="006244F1"/>
    <w:rsid w:val="0062459A"/>
    <w:rsid w:val="006255CA"/>
    <w:rsid w:val="00625A78"/>
    <w:rsid w:val="00626050"/>
    <w:rsid w:val="006264CF"/>
    <w:rsid w:val="00627E6A"/>
    <w:rsid w:val="00630084"/>
    <w:rsid w:val="00630D4F"/>
    <w:rsid w:val="00631392"/>
    <w:rsid w:val="0063231F"/>
    <w:rsid w:val="006328C3"/>
    <w:rsid w:val="00632ECF"/>
    <w:rsid w:val="00633358"/>
    <w:rsid w:val="00635055"/>
    <w:rsid w:val="0063672E"/>
    <w:rsid w:val="006422D2"/>
    <w:rsid w:val="006436B3"/>
    <w:rsid w:val="00644001"/>
    <w:rsid w:val="0065103D"/>
    <w:rsid w:val="00651EE8"/>
    <w:rsid w:val="00654FE9"/>
    <w:rsid w:val="006562E3"/>
    <w:rsid w:val="00661547"/>
    <w:rsid w:val="0066173F"/>
    <w:rsid w:val="006635AF"/>
    <w:rsid w:val="00664854"/>
    <w:rsid w:val="00664BCC"/>
    <w:rsid w:val="00665DBB"/>
    <w:rsid w:val="00666B97"/>
    <w:rsid w:val="006679FE"/>
    <w:rsid w:val="00667EE7"/>
    <w:rsid w:val="006715ED"/>
    <w:rsid w:val="00674757"/>
    <w:rsid w:val="00683947"/>
    <w:rsid w:val="006844F1"/>
    <w:rsid w:val="00684C7C"/>
    <w:rsid w:val="00685003"/>
    <w:rsid w:val="00687533"/>
    <w:rsid w:val="0069134D"/>
    <w:rsid w:val="00691DA9"/>
    <w:rsid w:val="00691FCE"/>
    <w:rsid w:val="00692935"/>
    <w:rsid w:val="00693D6A"/>
    <w:rsid w:val="006947B0"/>
    <w:rsid w:val="00694D5B"/>
    <w:rsid w:val="00694E14"/>
    <w:rsid w:val="006968F1"/>
    <w:rsid w:val="00697CEC"/>
    <w:rsid w:val="006A0406"/>
    <w:rsid w:val="006A2C6F"/>
    <w:rsid w:val="006A6430"/>
    <w:rsid w:val="006A748A"/>
    <w:rsid w:val="006A7CCA"/>
    <w:rsid w:val="006B318A"/>
    <w:rsid w:val="006B3270"/>
    <w:rsid w:val="006B6A1B"/>
    <w:rsid w:val="006C1020"/>
    <w:rsid w:val="006C1102"/>
    <w:rsid w:val="006C1C9F"/>
    <w:rsid w:val="006C36AD"/>
    <w:rsid w:val="006C4D69"/>
    <w:rsid w:val="006C6991"/>
    <w:rsid w:val="006C6CD6"/>
    <w:rsid w:val="006C6F66"/>
    <w:rsid w:val="006C7F4C"/>
    <w:rsid w:val="006D04BC"/>
    <w:rsid w:val="006D0BD6"/>
    <w:rsid w:val="006D1642"/>
    <w:rsid w:val="006D265B"/>
    <w:rsid w:val="006D46DD"/>
    <w:rsid w:val="006D68A7"/>
    <w:rsid w:val="006E1DFF"/>
    <w:rsid w:val="006E5B89"/>
    <w:rsid w:val="006E5C30"/>
    <w:rsid w:val="006E5DFC"/>
    <w:rsid w:val="006E7D2C"/>
    <w:rsid w:val="006E7DD6"/>
    <w:rsid w:val="006F3589"/>
    <w:rsid w:val="006F3A86"/>
    <w:rsid w:val="006F4158"/>
    <w:rsid w:val="006F4A94"/>
    <w:rsid w:val="006F519E"/>
    <w:rsid w:val="006F5C3B"/>
    <w:rsid w:val="006F746E"/>
    <w:rsid w:val="006F7D23"/>
    <w:rsid w:val="006F7D57"/>
    <w:rsid w:val="0070183B"/>
    <w:rsid w:val="00702510"/>
    <w:rsid w:val="0070349E"/>
    <w:rsid w:val="007037B7"/>
    <w:rsid w:val="00706E2F"/>
    <w:rsid w:val="00707365"/>
    <w:rsid w:val="0070760B"/>
    <w:rsid w:val="00710933"/>
    <w:rsid w:val="007117DE"/>
    <w:rsid w:val="00711BF7"/>
    <w:rsid w:val="00712A88"/>
    <w:rsid w:val="007166FC"/>
    <w:rsid w:val="007208F2"/>
    <w:rsid w:val="00720BE6"/>
    <w:rsid w:val="0072231F"/>
    <w:rsid w:val="00722A64"/>
    <w:rsid w:val="007238E6"/>
    <w:rsid w:val="00723D99"/>
    <w:rsid w:val="00727BBD"/>
    <w:rsid w:val="00731214"/>
    <w:rsid w:val="007331F9"/>
    <w:rsid w:val="00733566"/>
    <w:rsid w:val="0073364E"/>
    <w:rsid w:val="00733DDC"/>
    <w:rsid w:val="007344A5"/>
    <w:rsid w:val="00735740"/>
    <w:rsid w:val="00736641"/>
    <w:rsid w:val="0073746A"/>
    <w:rsid w:val="007377CF"/>
    <w:rsid w:val="007416BB"/>
    <w:rsid w:val="0074174D"/>
    <w:rsid w:val="00741941"/>
    <w:rsid w:val="0074229D"/>
    <w:rsid w:val="0074244C"/>
    <w:rsid w:val="007433EA"/>
    <w:rsid w:val="00743D46"/>
    <w:rsid w:val="00746E76"/>
    <w:rsid w:val="007509AA"/>
    <w:rsid w:val="00751338"/>
    <w:rsid w:val="00752193"/>
    <w:rsid w:val="00752A4E"/>
    <w:rsid w:val="0075302F"/>
    <w:rsid w:val="0075437F"/>
    <w:rsid w:val="00754792"/>
    <w:rsid w:val="00755870"/>
    <w:rsid w:val="00757304"/>
    <w:rsid w:val="007623FB"/>
    <w:rsid w:val="0076471E"/>
    <w:rsid w:val="00765A9E"/>
    <w:rsid w:val="00767952"/>
    <w:rsid w:val="0077163C"/>
    <w:rsid w:val="00771B6F"/>
    <w:rsid w:val="00772A35"/>
    <w:rsid w:val="00772C46"/>
    <w:rsid w:val="00772CF1"/>
    <w:rsid w:val="00775D20"/>
    <w:rsid w:val="00781772"/>
    <w:rsid w:val="00784C18"/>
    <w:rsid w:val="00785832"/>
    <w:rsid w:val="00786107"/>
    <w:rsid w:val="007863BC"/>
    <w:rsid w:val="0078790B"/>
    <w:rsid w:val="007879B3"/>
    <w:rsid w:val="00792F73"/>
    <w:rsid w:val="0079543A"/>
    <w:rsid w:val="00795E11"/>
    <w:rsid w:val="0079625E"/>
    <w:rsid w:val="00796DA9"/>
    <w:rsid w:val="007A10B3"/>
    <w:rsid w:val="007A1645"/>
    <w:rsid w:val="007A1D31"/>
    <w:rsid w:val="007A30D8"/>
    <w:rsid w:val="007A3A01"/>
    <w:rsid w:val="007A3F36"/>
    <w:rsid w:val="007A5B03"/>
    <w:rsid w:val="007A6354"/>
    <w:rsid w:val="007A76D2"/>
    <w:rsid w:val="007A7D62"/>
    <w:rsid w:val="007B056A"/>
    <w:rsid w:val="007B0E8A"/>
    <w:rsid w:val="007B1114"/>
    <w:rsid w:val="007B16C7"/>
    <w:rsid w:val="007B2905"/>
    <w:rsid w:val="007B2F4A"/>
    <w:rsid w:val="007B3654"/>
    <w:rsid w:val="007B41BA"/>
    <w:rsid w:val="007B5FEB"/>
    <w:rsid w:val="007C021D"/>
    <w:rsid w:val="007C027B"/>
    <w:rsid w:val="007C1B16"/>
    <w:rsid w:val="007C302B"/>
    <w:rsid w:val="007C410A"/>
    <w:rsid w:val="007C411B"/>
    <w:rsid w:val="007C4BC3"/>
    <w:rsid w:val="007C5A9C"/>
    <w:rsid w:val="007C6500"/>
    <w:rsid w:val="007C716F"/>
    <w:rsid w:val="007C7553"/>
    <w:rsid w:val="007D138A"/>
    <w:rsid w:val="007D2980"/>
    <w:rsid w:val="007D2A8E"/>
    <w:rsid w:val="007D4940"/>
    <w:rsid w:val="007D50C6"/>
    <w:rsid w:val="007D5262"/>
    <w:rsid w:val="007D6837"/>
    <w:rsid w:val="007D708D"/>
    <w:rsid w:val="007D76D7"/>
    <w:rsid w:val="007E2F88"/>
    <w:rsid w:val="007F0FE8"/>
    <w:rsid w:val="007F4636"/>
    <w:rsid w:val="007F519A"/>
    <w:rsid w:val="007F53D0"/>
    <w:rsid w:val="007F57E7"/>
    <w:rsid w:val="008000C2"/>
    <w:rsid w:val="0080086E"/>
    <w:rsid w:val="00800AF8"/>
    <w:rsid w:val="00801F5C"/>
    <w:rsid w:val="00802742"/>
    <w:rsid w:val="0080314F"/>
    <w:rsid w:val="0080376C"/>
    <w:rsid w:val="00805AED"/>
    <w:rsid w:val="00811586"/>
    <w:rsid w:val="00814A7C"/>
    <w:rsid w:val="00816B35"/>
    <w:rsid w:val="0082130A"/>
    <w:rsid w:val="008228D6"/>
    <w:rsid w:val="008239D0"/>
    <w:rsid w:val="00825450"/>
    <w:rsid w:val="00830FAC"/>
    <w:rsid w:val="00831A3F"/>
    <w:rsid w:val="00835FEB"/>
    <w:rsid w:val="0083712D"/>
    <w:rsid w:val="00840242"/>
    <w:rsid w:val="00840392"/>
    <w:rsid w:val="00840837"/>
    <w:rsid w:val="00840907"/>
    <w:rsid w:val="0084093A"/>
    <w:rsid w:val="008417B0"/>
    <w:rsid w:val="00842AAB"/>
    <w:rsid w:val="008447FA"/>
    <w:rsid w:val="008460E0"/>
    <w:rsid w:val="008467A0"/>
    <w:rsid w:val="00846C85"/>
    <w:rsid w:val="008470A4"/>
    <w:rsid w:val="0084740E"/>
    <w:rsid w:val="008505C7"/>
    <w:rsid w:val="00851559"/>
    <w:rsid w:val="00852044"/>
    <w:rsid w:val="00853259"/>
    <w:rsid w:val="00853432"/>
    <w:rsid w:val="008535FE"/>
    <w:rsid w:val="00853E4F"/>
    <w:rsid w:val="008541CE"/>
    <w:rsid w:val="00854269"/>
    <w:rsid w:val="00856322"/>
    <w:rsid w:val="0086070F"/>
    <w:rsid w:val="00860F1A"/>
    <w:rsid w:val="008616A3"/>
    <w:rsid w:val="0086181A"/>
    <w:rsid w:val="00861924"/>
    <w:rsid w:val="0086258F"/>
    <w:rsid w:val="00862E26"/>
    <w:rsid w:val="00863DBE"/>
    <w:rsid w:val="00864751"/>
    <w:rsid w:val="00865129"/>
    <w:rsid w:val="00865AE5"/>
    <w:rsid w:val="008663AF"/>
    <w:rsid w:val="0086682E"/>
    <w:rsid w:val="00867496"/>
    <w:rsid w:val="0086765D"/>
    <w:rsid w:val="00870574"/>
    <w:rsid w:val="00870B08"/>
    <w:rsid w:val="00872315"/>
    <w:rsid w:val="00872D1D"/>
    <w:rsid w:val="00873125"/>
    <w:rsid w:val="0087340E"/>
    <w:rsid w:val="00874204"/>
    <w:rsid w:val="00874689"/>
    <w:rsid w:val="00874948"/>
    <w:rsid w:val="00874C06"/>
    <w:rsid w:val="008772E4"/>
    <w:rsid w:val="00877564"/>
    <w:rsid w:val="00877785"/>
    <w:rsid w:val="008803C7"/>
    <w:rsid w:val="0088074A"/>
    <w:rsid w:val="00881345"/>
    <w:rsid w:val="008814F4"/>
    <w:rsid w:val="00881A8E"/>
    <w:rsid w:val="00882390"/>
    <w:rsid w:val="00883B2F"/>
    <w:rsid w:val="008852F2"/>
    <w:rsid w:val="008862BC"/>
    <w:rsid w:val="00890406"/>
    <w:rsid w:val="00892B3B"/>
    <w:rsid w:val="00893C3B"/>
    <w:rsid w:val="00893C89"/>
    <w:rsid w:val="00893D34"/>
    <w:rsid w:val="008944DB"/>
    <w:rsid w:val="0089594D"/>
    <w:rsid w:val="008A0F94"/>
    <w:rsid w:val="008A294B"/>
    <w:rsid w:val="008A3B9D"/>
    <w:rsid w:val="008A6A7C"/>
    <w:rsid w:val="008A7641"/>
    <w:rsid w:val="008B145B"/>
    <w:rsid w:val="008B1766"/>
    <w:rsid w:val="008B23BA"/>
    <w:rsid w:val="008B4BC7"/>
    <w:rsid w:val="008B4D0A"/>
    <w:rsid w:val="008B5457"/>
    <w:rsid w:val="008B65D9"/>
    <w:rsid w:val="008B7953"/>
    <w:rsid w:val="008C0AAD"/>
    <w:rsid w:val="008C0B44"/>
    <w:rsid w:val="008C28E7"/>
    <w:rsid w:val="008C35F5"/>
    <w:rsid w:val="008C3B72"/>
    <w:rsid w:val="008C3E88"/>
    <w:rsid w:val="008C47E0"/>
    <w:rsid w:val="008C4C58"/>
    <w:rsid w:val="008C567F"/>
    <w:rsid w:val="008C6ABE"/>
    <w:rsid w:val="008C6F53"/>
    <w:rsid w:val="008C794D"/>
    <w:rsid w:val="008D379D"/>
    <w:rsid w:val="008D4631"/>
    <w:rsid w:val="008D4A63"/>
    <w:rsid w:val="008D6A1B"/>
    <w:rsid w:val="008E173B"/>
    <w:rsid w:val="008E1C37"/>
    <w:rsid w:val="008E23B8"/>
    <w:rsid w:val="008E2A03"/>
    <w:rsid w:val="008E523C"/>
    <w:rsid w:val="008E5E6E"/>
    <w:rsid w:val="008E6776"/>
    <w:rsid w:val="008E6B9A"/>
    <w:rsid w:val="008E7B77"/>
    <w:rsid w:val="008F0308"/>
    <w:rsid w:val="008F49D4"/>
    <w:rsid w:val="008F73C1"/>
    <w:rsid w:val="008F7F23"/>
    <w:rsid w:val="009006D0"/>
    <w:rsid w:val="00901550"/>
    <w:rsid w:val="00901BF1"/>
    <w:rsid w:val="0090332F"/>
    <w:rsid w:val="00903E72"/>
    <w:rsid w:val="00907C5C"/>
    <w:rsid w:val="00910699"/>
    <w:rsid w:val="00912A0D"/>
    <w:rsid w:val="00912D98"/>
    <w:rsid w:val="00916143"/>
    <w:rsid w:val="00917652"/>
    <w:rsid w:val="00921BEC"/>
    <w:rsid w:val="0092311A"/>
    <w:rsid w:val="009258DB"/>
    <w:rsid w:val="0092772C"/>
    <w:rsid w:val="00927796"/>
    <w:rsid w:val="009321E2"/>
    <w:rsid w:val="009332BB"/>
    <w:rsid w:val="00935318"/>
    <w:rsid w:val="00935B8D"/>
    <w:rsid w:val="0093617A"/>
    <w:rsid w:val="009366F4"/>
    <w:rsid w:val="00936DDC"/>
    <w:rsid w:val="009371ED"/>
    <w:rsid w:val="00937C77"/>
    <w:rsid w:val="00942117"/>
    <w:rsid w:val="009436FC"/>
    <w:rsid w:val="0094537A"/>
    <w:rsid w:val="00945845"/>
    <w:rsid w:val="0094591D"/>
    <w:rsid w:val="00950E5E"/>
    <w:rsid w:val="00950FD3"/>
    <w:rsid w:val="009522FD"/>
    <w:rsid w:val="0095447D"/>
    <w:rsid w:val="009544F5"/>
    <w:rsid w:val="00954B0A"/>
    <w:rsid w:val="0095605D"/>
    <w:rsid w:val="00956696"/>
    <w:rsid w:val="00956769"/>
    <w:rsid w:val="00956E98"/>
    <w:rsid w:val="009571A0"/>
    <w:rsid w:val="0096087E"/>
    <w:rsid w:val="0096146C"/>
    <w:rsid w:val="009626AA"/>
    <w:rsid w:val="009628C2"/>
    <w:rsid w:val="0096304C"/>
    <w:rsid w:val="009634FF"/>
    <w:rsid w:val="00963527"/>
    <w:rsid w:val="0096375D"/>
    <w:rsid w:val="00963E5A"/>
    <w:rsid w:val="00964626"/>
    <w:rsid w:val="00964C75"/>
    <w:rsid w:val="00964C9F"/>
    <w:rsid w:val="00965B8C"/>
    <w:rsid w:val="00966F27"/>
    <w:rsid w:val="00970325"/>
    <w:rsid w:val="009704FA"/>
    <w:rsid w:val="009708C6"/>
    <w:rsid w:val="00970B0C"/>
    <w:rsid w:val="00970FBD"/>
    <w:rsid w:val="00971A3A"/>
    <w:rsid w:val="00971C43"/>
    <w:rsid w:val="00972DEE"/>
    <w:rsid w:val="009746F5"/>
    <w:rsid w:val="009749DE"/>
    <w:rsid w:val="00974A4C"/>
    <w:rsid w:val="00975FAE"/>
    <w:rsid w:val="0097632E"/>
    <w:rsid w:val="00976B05"/>
    <w:rsid w:val="00976D3F"/>
    <w:rsid w:val="00977804"/>
    <w:rsid w:val="00977D20"/>
    <w:rsid w:val="009806D2"/>
    <w:rsid w:val="009823B5"/>
    <w:rsid w:val="009830D9"/>
    <w:rsid w:val="00985CCA"/>
    <w:rsid w:val="009879D8"/>
    <w:rsid w:val="00987EBF"/>
    <w:rsid w:val="00990D66"/>
    <w:rsid w:val="00990DE9"/>
    <w:rsid w:val="009914ED"/>
    <w:rsid w:val="009915A3"/>
    <w:rsid w:val="00992CAB"/>
    <w:rsid w:val="00994766"/>
    <w:rsid w:val="0099530A"/>
    <w:rsid w:val="00995CB9"/>
    <w:rsid w:val="00996DFF"/>
    <w:rsid w:val="009A14A8"/>
    <w:rsid w:val="009A1A0F"/>
    <w:rsid w:val="009A232C"/>
    <w:rsid w:val="009A23FC"/>
    <w:rsid w:val="009A42C4"/>
    <w:rsid w:val="009A447B"/>
    <w:rsid w:val="009A4962"/>
    <w:rsid w:val="009A5713"/>
    <w:rsid w:val="009B0596"/>
    <w:rsid w:val="009B088C"/>
    <w:rsid w:val="009B1FCB"/>
    <w:rsid w:val="009B2A4A"/>
    <w:rsid w:val="009B31A9"/>
    <w:rsid w:val="009B49F1"/>
    <w:rsid w:val="009B59F7"/>
    <w:rsid w:val="009B5E69"/>
    <w:rsid w:val="009B729E"/>
    <w:rsid w:val="009C106A"/>
    <w:rsid w:val="009C18CA"/>
    <w:rsid w:val="009C2151"/>
    <w:rsid w:val="009C36B8"/>
    <w:rsid w:val="009C4CA6"/>
    <w:rsid w:val="009C5CB6"/>
    <w:rsid w:val="009C5F6A"/>
    <w:rsid w:val="009C6C6A"/>
    <w:rsid w:val="009D2279"/>
    <w:rsid w:val="009D22D0"/>
    <w:rsid w:val="009D23D0"/>
    <w:rsid w:val="009D2A07"/>
    <w:rsid w:val="009D3ADF"/>
    <w:rsid w:val="009D4A69"/>
    <w:rsid w:val="009D77F1"/>
    <w:rsid w:val="009E397C"/>
    <w:rsid w:val="009E438D"/>
    <w:rsid w:val="009E4C92"/>
    <w:rsid w:val="009E6A2D"/>
    <w:rsid w:val="009E6A4C"/>
    <w:rsid w:val="009E6B07"/>
    <w:rsid w:val="009F0DAD"/>
    <w:rsid w:val="009F13DB"/>
    <w:rsid w:val="009F2059"/>
    <w:rsid w:val="009F37F1"/>
    <w:rsid w:val="009F41AF"/>
    <w:rsid w:val="009F6DEB"/>
    <w:rsid w:val="009F7FFB"/>
    <w:rsid w:val="00A0064B"/>
    <w:rsid w:val="00A01320"/>
    <w:rsid w:val="00A037AA"/>
    <w:rsid w:val="00A0479F"/>
    <w:rsid w:val="00A0593B"/>
    <w:rsid w:val="00A05C40"/>
    <w:rsid w:val="00A0606B"/>
    <w:rsid w:val="00A073F0"/>
    <w:rsid w:val="00A10848"/>
    <w:rsid w:val="00A11839"/>
    <w:rsid w:val="00A11EF4"/>
    <w:rsid w:val="00A122AA"/>
    <w:rsid w:val="00A160BC"/>
    <w:rsid w:val="00A1625F"/>
    <w:rsid w:val="00A174FB"/>
    <w:rsid w:val="00A178D3"/>
    <w:rsid w:val="00A2025A"/>
    <w:rsid w:val="00A21072"/>
    <w:rsid w:val="00A2140C"/>
    <w:rsid w:val="00A227E7"/>
    <w:rsid w:val="00A24754"/>
    <w:rsid w:val="00A2484F"/>
    <w:rsid w:val="00A25E37"/>
    <w:rsid w:val="00A263A8"/>
    <w:rsid w:val="00A310C5"/>
    <w:rsid w:val="00A313C9"/>
    <w:rsid w:val="00A31501"/>
    <w:rsid w:val="00A31A05"/>
    <w:rsid w:val="00A34611"/>
    <w:rsid w:val="00A3693F"/>
    <w:rsid w:val="00A37835"/>
    <w:rsid w:val="00A40B6B"/>
    <w:rsid w:val="00A416F3"/>
    <w:rsid w:val="00A42630"/>
    <w:rsid w:val="00A42631"/>
    <w:rsid w:val="00A428AC"/>
    <w:rsid w:val="00A43DA3"/>
    <w:rsid w:val="00A44119"/>
    <w:rsid w:val="00A4450E"/>
    <w:rsid w:val="00A4550E"/>
    <w:rsid w:val="00A45D5C"/>
    <w:rsid w:val="00A47C6D"/>
    <w:rsid w:val="00A51E8A"/>
    <w:rsid w:val="00A53EBB"/>
    <w:rsid w:val="00A55BED"/>
    <w:rsid w:val="00A571E2"/>
    <w:rsid w:val="00A57CA0"/>
    <w:rsid w:val="00A61302"/>
    <w:rsid w:val="00A61673"/>
    <w:rsid w:val="00A619A3"/>
    <w:rsid w:val="00A61D59"/>
    <w:rsid w:val="00A629A3"/>
    <w:rsid w:val="00A632FB"/>
    <w:rsid w:val="00A651C1"/>
    <w:rsid w:val="00A65954"/>
    <w:rsid w:val="00A70511"/>
    <w:rsid w:val="00A716CF"/>
    <w:rsid w:val="00A71F3C"/>
    <w:rsid w:val="00A72A2B"/>
    <w:rsid w:val="00A77589"/>
    <w:rsid w:val="00A8057D"/>
    <w:rsid w:val="00A824E0"/>
    <w:rsid w:val="00A825BA"/>
    <w:rsid w:val="00A84028"/>
    <w:rsid w:val="00A84995"/>
    <w:rsid w:val="00A84EF6"/>
    <w:rsid w:val="00A8601C"/>
    <w:rsid w:val="00A8729F"/>
    <w:rsid w:val="00A87CD6"/>
    <w:rsid w:val="00A916B9"/>
    <w:rsid w:val="00A91BF1"/>
    <w:rsid w:val="00A923F7"/>
    <w:rsid w:val="00A92738"/>
    <w:rsid w:val="00A93291"/>
    <w:rsid w:val="00A935F6"/>
    <w:rsid w:val="00A93B2C"/>
    <w:rsid w:val="00A93BFF"/>
    <w:rsid w:val="00A96376"/>
    <w:rsid w:val="00A968E7"/>
    <w:rsid w:val="00AA0FDE"/>
    <w:rsid w:val="00AA2A08"/>
    <w:rsid w:val="00AA4060"/>
    <w:rsid w:val="00AA6633"/>
    <w:rsid w:val="00AB1F9A"/>
    <w:rsid w:val="00AB275C"/>
    <w:rsid w:val="00AB3795"/>
    <w:rsid w:val="00AB52D9"/>
    <w:rsid w:val="00AB5373"/>
    <w:rsid w:val="00AB53B7"/>
    <w:rsid w:val="00AB6CA6"/>
    <w:rsid w:val="00AC1AD5"/>
    <w:rsid w:val="00AC226E"/>
    <w:rsid w:val="00AC3652"/>
    <w:rsid w:val="00AC4139"/>
    <w:rsid w:val="00AC52A1"/>
    <w:rsid w:val="00AC623B"/>
    <w:rsid w:val="00AC6311"/>
    <w:rsid w:val="00AD2AFD"/>
    <w:rsid w:val="00AD40D5"/>
    <w:rsid w:val="00AD587E"/>
    <w:rsid w:val="00AD5F6A"/>
    <w:rsid w:val="00AE1B09"/>
    <w:rsid w:val="00AE1D2D"/>
    <w:rsid w:val="00AE2679"/>
    <w:rsid w:val="00AE3198"/>
    <w:rsid w:val="00AE4B73"/>
    <w:rsid w:val="00AE5BF3"/>
    <w:rsid w:val="00AF0944"/>
    <w:rsid w:val="00AF2162"/>
    <w:rsid w:val="00AF4840"/>
    <w:rsid w:val="00AF4854"/>
    <w:rsid w:val="00AF48D6"/>
    <w:rsid w:val="00AF5076"/>
    <w:rsid w:val="00AF791F"/>
    <w:rsid w:val="00B00D8F"/>
    <w:rsid w:val="00B028DE"/>
    <w:rsid w:val="00B036C8"/>
    <w:rsid w:val="00B04301"/>
    <w:rsid w:val="00B06464"/>
    <w:rsid w:val="00B07C91"/>
    <w:rsid w:val="00B07F41"/>
    <w:rsid w:val="00B11BBC"/>
    <w:rsid w:val="00B11C35"/>
    <w:rsid w:val="00B12565"/>
    <w:rsid w:val="00B12AEC"/>
    <w:rsid w:val="00B12BE9"/>
    <w:rsid w:val="00B14795"/>
    <w:rsid w:val="00B15690"/>
    <w:rsid w:val="00B15BAB"/>
    <w:rsid w:val="00B1693C"/>
    <w:rsid w:val="00B16AA0"/>
    <w:rsid w:val="00B25E2A"/>
    <w:rsid w:val="00B267B7"/>
    <w:rsid w:val="00B270C6"/>
    <w:rsid w:val="00B27A10"/>
    <w:rsid w:val="00B31180"/>
    <w:rsid w:val="00B31A46"/>
    <w:rsid w:val="00B33490"/>
    <w:rsid w:val="00B334F2"/>
    <w:rsid w:val="00B34451"/>
    <w:rsid w:val="00B34962"/>
    <w:rsid w:val="00B34E00"/>
    <w:rsid w:val="00B3683E"/>
    <w:rsid w:val="00B36A65"/>
    <w:rsid w:val="00B40D48"/>
    <w:rsid w:val="00B41761"/>
    <w:rsid w:val="00B429B5"/>
    <w:rsid w:val="00B42DAA"/>
    <w:rsid w:val="00B45982"/>
    <w:rsid w:val="00B51098"/>
    <w:rsid w:val="00B515E6"/>
    <w:rsid w:val="00B51664"/>
    <w:rsid w:val="00B51AE8"/>
    <w:rsid w:val="00B52A6B"/>
    <w:rsid w:val="00B54195"/>
    <w:rsid w:val="00B54768"/>
    <w:rsid w:val="00B5759C"/>
    <w:rsid w:val="00B60B92"/>
    <w:rsid w:val="00B60D1C"/>
    <w:rsid w:val="00B61DD4"/>
    <w:rsid w:val="00B634CA"/>
    <w:rsid w:val="00B6447E"/>
    <w:rsid w:val="00B65E95"/>
    <w:rsid w:val="00B66219"/>
    <w:rsid w:val="00B66E0B"/>
    <w:rsid w:val="00B67453"/>
    <w:rsid w:val="00B67D81"/>
    <w:rsid w:val="00B67E9E"/>
    <w:rsid w:val="00B67EA2"/>
    <w:rsid w:val="00B702B3"/>
    <w:rsid w:val="00B712C3"/>
    <w:rsid w:val="00B722F5"/>
    <w:rsid w:val="00B7271B"/>
    <w:rsid w:val="00B73028"/>
    <w:rsid w:val="00B74D55"/>
    <w:rsid w:val="00B77541"/>
    <w:rsid w:val="00B775B0"/>
    <w:rsid w:val="00B8102E"/>
    <w:rsid w:val="00B817E7"/>
    <w:rsid w:val="00B81D70"/>
    <w:rsid w:val="00B82DD8"/>
    <w:rsid w:val="00B838CA"/>
    <w:rsid w:val="00B83B05"/>
    <w:rsid w:val="00B83D01"/>
    <w:rsid w:val="00B84BB5"/>
    <w:rsid w:val="00B86244"/>
    <w:rsid w:val="00B905DE"/>
    <w:rsid w:val="00B90806"/>
    <w:rsid w:val="00B911C2"/>
    <w:rsid w:val="00B93F69"/>
    <w:rsid w:val="00B95289"/>
    <w:rsid w:val="00B95803"/>
    <w:rsid w:val="00B964E9"/>
    <w:rsid w:val="00B96D3A"/>
    <w:rsid w:val="00BA39E9"/>
    <w:rsid w:val="00BA74DE"/>
    <w:rsid w:val="00BA77D6"/>
    <w:rsid w:val="00BB00C9"/>
    <w:rsid w:val="00BB1058"/>
    <w:rsid w:val="00BB10E6"/>
    <w:rsid w:val="00BB3B46"/>
    <w:rsid w:val="00BB7820"/>
    <w:rsid w:val="00BC01E2"/>
    <w:rsid w:val="00BC1435"/>
    <w:rsid w:val="00BC37AE"/>
    <w:rsid w:val="00BC3E69"/>
    <w:rsid w:val="00BC57AD"/>
    <w:rsid w:val="00BC6D8B"/>
    <w:rsid w:val="00BC7657"/>
    <w:rsid w:val="00BD0E80"/>
    <w:rsid w:val="00BD0F57"/>
    <w:rsid w:val="00BD16C4"/>
    <w:rsid w:val="00BD1EED"/>
    <w:rsid w:val="00BD2BCF"/>
    <w:rsid w:val="00BD445A"/>
    <w:rsid w:val="00BD51DB"/>
    <w:rsid w:val="00BD6465"/>
    <w:rsid w:val="00BD66A8"/>
    <w:rsid w:val="00BD7BE7"/>
    <w:rsid w:val="00BE0BBA"/>
    <w:rsid w:val="00BE221B"/>
    <w:rsid w:val="00BE2D4F"/>
    <w:rsid w:val="00BE37ED"/>
    <w:rsid w:val="00BE59AD"/>
    <w:rsid w:val="00BE5BD3"/>
    <w:rsid w:val="00BE6EBE"/>
    <w:rsid w:val="00BE6F75"/>
    <w:rsid w:val="00BE7196"/>
    <w:rsid w:val="00BE71A4"/>
    <w:rsid w:val="00BE768B"/>
    <w:rsid w:val="00BF0007"/>
    <w:rsid w:val="00BF0018"/>
    <w:rsid w:val="00BF1774"/>
    <w:rsid w:val="00BF230B"/>
    <w:rsid w:val="00BF2E07"/>
    <w:rsid w:val="00BF3B36"/>
    <w:rsid w:val="00BF4B13"/>
    <w:rsid w:val="00BF6B0E"/>
    <w:rsid w:val="00C03957"/>
    <w:rsid w:val="00C048E6"/>
    <w:rsid w:val="00C0704E"/>
    <w:rsid w:val="00C070CB"/>
    <w:rsid w:val="00C10711"/>
    <w:rsid w:val="00C12562"/>
    <w:rsid w:val="00C12A15"/>
    <w:rsid w:val="00C1440D"/>
    <w:rsid w:val="00C15A36"/>
    <w:rsid w:val="00C16E9D"/>
    <w:rsid w:val="00C1756D"/>
    <w:rsid w:val="00C17646"/>
    <w:rsid w:val="00C207F9"/>
    <w:rsid w:val="00C22570"/>
    <w:rsid w:val="00C22A11"/>
    <w:rsid w:val="00C22C03"/>
    <w:rsid w:val="00C23949"/>
    <w:rsid w:val="00C2414F"/>
    <w:rsid w:val="00C3041F"/>
    <w:rsid w:val="00C30C4F"/>
    <w:rsid w:val="00C316B6"/>
    <w:rsid w:val="00C31B4E"/>
    <w:rsid w:val="00C31D44"/>
    <w:rsid w:val="00C370C4"/>
    <w:rsid w:val="00C40E93"/>
    <w:rsid w:val="00C419E7"/>
    <w:rsid w:val="00C42823"/>
    <w:rsid w:val="00C42F02"/>
    <w:rsid w:val="00C45C0E"/>
    <w:rsid w:val="00C462B0"/>
    <w:rsid w:val="00C504ED"/>
    <w:rsid w:val="00C5167C"/>
    <w:rsid w:val="00C51DE6"/>
    <w:rsid w:val="00C52333"/>
    <w:rsid w:val="00C548D1"/>
    <w:rsid w:val="00C61AB3"/>
    <w:rsid w:val="00C61B14"/>
    <w:rsid w:val="00C62341"/>
    <w:rsid w:val="00C62F6D"/>
    <w:rsid w:val="00C634EC"/>
    <w:rsid w:val="00C64A8B"/>
    <w:rsid w:val="00C66878"/>
    <w:rsid w:val="00C67260"/>
    <w:rsid w:val="00C702AE"/>
    <w:rsid w:val="00C704B4"/>
    <w:rsid w:val="00C7075E"/>
    <w:rsid w:val="00C707C7"/>
    <w:rsid w:val="00C70801"/>
    <w:rsid w:val="00C70BFC"/>
    <w:rsid w:val="00C70EAA"/>
    <w:rsid w:val="00C71278"/>
    <w:rsid w:val="00C71397"/>
    <w:rsid w:val="00C71DB3"/>
    <w:rsid w:val="00C74902"/>
    <w:rsid w:val="00C76AEA"/>
    <w:rsid w:val="00C77616"/>
    <w:rsid w:val="00C801D5"/>
    <w:rsid w:val="00C80407"/>
    <w:rsid w:val="00C805EB"/>
    <w:rsid w:val="00C81C8A"/>
    <w:rsid w:val="00C826E1"/>
    <w:rsid w:val="00C86951"/>
    <w:rsid w:val="00C875B3"/>
    <w:rsid w:val="00C8789D"/>
    <w:rsid w:val="00C93922"/>
    <w:rsid w:val="00C961D3"/>
    <w:rsid w:val="00C96378"/>
    <w:rsid w:val="00C97309"/>
    <w:rsid w:val="00CA1B3B"/>
    <w:rsid w:val="00CA2346"/>
    <w:rsid w:val="00CA278C"/>
    <w:rsid w:val="00CA3413"/>
    <w:rsid w:val="00CA3F2B"/>
    <w:rsid w:val="00CA42D3"/>
    <w:rsid w:val="00CA5D2A"/>
    <w:rsid w:val="00CB002E"/>
    <w:rsid w:val="00CB3B81"/>
    <w:rsid w:val="00CB3DBD"/>
    <w:rsid w:val="00CB674C"/>
    <w:rsid w:val="00CC24CB"/>
    <w:rsid w:val="00CC2E0C"/>
    <w:rsid w:val="00CC40B1"/>
    <w:rsid w:val="00CC4FE6"/>
    <w:rsid w:val="00CC5B1F"/>
    <w:rsid w:val="00CC7C59"/>
    <w:rsid w:val="00CC7D0E"/>
    <w:rsid w:val="00CD0176"/>
    <w:rsid w:val="00CD1484"/>
    <w:rsid w:val="00CD1CD4"/>
    <w:rsid w:val="00CD3930"/>
    <w:rsid w:val="00CD4D00"/>
    <w:rsid w:val="00CD56CE"/>
    <w:rsid w:val="00CD62DA"/>
    <w:rsid w:val="00CD6B0E"/>
    <w:rsid w:val="00CD6F64"/>
    <w:rsid w:val="00CE1222"/>
    <w:rsid w:val="00CE179E"/>
    <w:rsid w:val="00CE1D73"/>
    <w:rsid w:val="00CE3690"/>
    <w:rsid w:val="00CE4337"/>
    <w:rsid w:val="00CE6B9E"/>
    <w:rsid w:val="00CE6D42"/>
    <w:rsid w:val="00CE722C"/>
    <w:rsid w:val="00CE7846"/>
    <w:rsid w:val="00CF2E3A"/>
    <w:rsid w:val="00CF47A5"/>
    <w:rsid w:val="00CF4E1B"/>
    <w:rsid w:val="00CF5314"/>
    <w:rsid w:val="00CF5486"/>
    <w:rsid w:val="00CF61A0"/>
    <w:rsid w:val="00D01B24"/>
    <w:rsid w:val="00D027F3"/>
    <w:rsid w:val="00D028FF"/>
    <w:rsid w:val="00D02C5C"/>
    <w:rsid w:val="00D02DE1"/>
    <w:rsid w:val="00D03453"/>
    <w:rsid w:val="00D0358E"/>
    <w:rsid w:val="00D053C2"/>
    <w:rsid w:val="00D0768D"/>
    <w:rsid w:val="00D11DC6"/>
    <w:rsid w:val="00D11FC0"/>
    <w:rsid w:val="00D12D2F"/>
    <w:rsid w:val="00D13031"/>
    <w:rsid w:val="00D13FAE"/>
    <w:rsid w:val="00D1649D"/>
    <w:rsid w:val="00D21FBC"/>
    <w:rsid w:val="00D24FDA"/>
    <w:rsid w:val="00D26180"/>
    <w:rsid w:val="00D268D3"/>
    <w:rsid w:val="00D27713"/>
    <w:rsid w:val="00D27EDD"/>
    <w:rsid w:val="00D30304"/>
    <w:rsid w:val="00D313E8"/>
    <w:rsid w:val="00D32874"/>
    <w:rsid w:val="00D332AE"/>
    <w:rsid w:val="00D343B8"/>
    <w:rsid w:val="00D36018"/>
    <w:rsid w:val="00D362DB"/>
    <w:rsid w:val="00D3777E"/>
    <w:rsid w:val="00D411F2"/>
    <w:rsid w:val="00D41E88"/>
    <w:rsid w:val="00D43473"/>
    <w:rsid w:val="00D434CB"/>
    <w:rsid w:val="00D4381B"/>
    <w:rsid w:val="00D43BCF"/>
    <w:rsid w:val="00D43F1A"/>
    <w:rsid w:val="00D44FEE"/>
    <w:rsid w:val="00D45CC9"/>
    <w:rsid w:val="00D47684"/>
    <w:rsid w:val="00D50E09"/>
    <w:rsid w:val="00D51C7C"/>
    <w:rsid w:val="00D528D7"/>
    <w:rsid w:val="00D56EBE"/>
    <w:rsid w:val="00D575A2"/>
    <w:rsid w:val="00D57EA6"/>
    <w:rsid w:val="00D609EC"/>
    <w:rsid w:val="00D6129E"/>
    <w:rsid w:val="00D61F57"/>
    <w:rsid w:val="00D62AD0"/>
    <w:rsid w:val="00D63BB1"/>
    <w:rsid w:val="00D659E5"/>
    <w:rsid w:val="00D66146"/>
    <w:rsid w:val="00D66809"/>
    <w:rsid w:val="00D675B5"/>
    <w:rsid w:val="00D67BD1"/>
    <w:rsid w:val="00D703D2"/>
    <w:rsid w:val="00D708EE"/>
    <w:rsid w:val="00D71CFD"/>
    <w:rsid w:val="00D73C9A"/>
    <w:rsid w:val="00D74A2C"/>
    <w:rsid w:val="00D74EEA"/>
    <w:rsid w:val="00D75F64"/>
    <w:rsid w:val="00D77F08"/>
    <w:rsid w:val="00D81215"/>
    <w:rsid w:val="00D81E8B"/>
    <w:rsid w:val="00D82166"/>
    <w:rsid w:val="00D83F0A"/>
    <w:rsid w:val="00D84168"/>
    <w:rsid w:val="00D84650"/>
    <w:rsid w:val="00D86B70"/>
    <w:rsid w:val="00D87229"/>
    <w:rsid w:val="00D90B51"/>
    <w:rsid w:val="00D924C5"/>
    <w:rsid w:val="00D92B77"/>
    <w:rsid w:val="00D92FDA"/>
    <w:rsid w:val="00D94128"/>
    <w:rsid w:val="00D96132"/>
    <w:rsid w:val="00D9783D"/>
    <w:rsid w:val="00D97B6F"/>
    <w:rsid w:val="00D97C72"/>
    <w:rsid w:val="00D97DB5"/>
    <w:rsid w:val="00DA107F"/>
    <w:rsid w:val="00DA18F2"/>
    <w:rsid w:val="00DA2615"/>
    <w:rsid w:val="00DA3EF2"/>
    <w:rsid w:val="00DA4377"/>
    <w:rsid w:val="00DB05F8"/>
    <w:rsid w:val="00DB0AF4"/>
    <w:rsid w:val="00DB0FE6"/>
    <w:rsid w:val="00DC1639"/>
    <w:rsid w:val="00DC1803"/>
    <w:rsid w:val="00DC2DD3"/>
    <w:rsid w:val="00DC36E4"/>
    <w:rsid w:val="00DC4755"/>
    <w:rsid w:val="00DC5F04"/>
    <w:rsid w:val="00DC71AE"/>
    <w:rsid w:val="00DD1988"/>
    <w:rsid w:val="00DD2CB3"/>
    <w:rsid w:val="00DD38DE"/>
    <w:rsid w:val="00DD45F6"/>
    <w:rsid w:val="00DD5631"/>
    <w:rsid w:val="00DD5FC9"/>
    <w:rsid w:val="00DD700D"/>
    <w:rsid w:val="00DE143A"/>
    <w:rsid w:val="00DE3796"/>
    <w:rsid w:val="00DE3A27"/>
    <w:rsid w:val="00DE5FAB"/>
    <w:rsid w:val="00DE64D2"/>
    <w:rsid w:val="00DE75E3"/>
    <w:rsid w:val="00DF1905"/>
    <w:rsid w:val="00DF1961"/>
    <w:rsid w:val="00DF30F3"/>
    <w:rsid w:val="00DF3B3C"/>
    <w:rsid w:val="00DF3B56"/>
    <w:rsid w:val="00DF3D56"/>
    <w:rsid w:val="00DF46D3"/>
    <w:rsid w:val="00DF60EA"/>
    <w:rsid w:val="00DF6EE2"/>
    <w:rsid w:val="00DF7B7E"/>
    <w:rsid w:val="00DF7C33"/>
    <w:rsid w:val="00E02A88"/>
    <w:rsid w:val="00E04933"/>
    <w:rsid w:val="00E04ED0"/>
    <w:rsid w:val="00E0583E"/>
    <w:rsid w:val="00E07310"/>
    <w:rsid w:val="00E07613"/>
    <w:rsid w:val="00E07CD6"/>
    <w:rsid w:val="00E11969"/>
    <w:rsid w:val="00E12D39"/>
    <w:rsid w:val="00E132D9"/>
    <w:rsid w:val="00E13A63"/>
    <w:rsid w:val="00E13ED5"/>
    <w:rsid w:val="00E153BA"/>
    <w:rsid w:val="00E15BFE"/>
    <w:rsid w:val="00E16E5C"/>
    <w:rsid w:val="00E1789A"/>
    <w:rsid w:val="00E211A0"/>
    <w:rsid w:val="00E21E41"/>
    <w:rsid w:val="00E22931"/>
    <w:rsid w:val="00E22CBE"/>
    <w:rsid w:val="00E24A2E"/>
    <w:rsid w:val="00E26D00"/>
    <w:rsid w:val="00E27F14"/>
    <w:rsid w:val="00E30D9A"/>
    <w:rsid w:val="00E31152"/>
    <w:rsid w:val="00E319A2"/>
    <w:rsid w:val="00E32138"/>
    <w:rsid w:val="00E32AA3"/>
    <w:rsid w:val="00E330FE"/>
    <w:rsid w:val="00E336DC"/>
    <w:rsid w:val="00E37B4C"/>
    <w:rsid w:val="00E37B95"/>
    <w:rsid w:val="00E402B7"/>
    <w:rsid w:val="00E40732"/>
    <w:rsid w:val="00E42E8D"/>
    <w:rsid w:val="00E46BF9"/>
    <w:rsid w:val="00E47A4A"/>
    <w:rsid w:val="00E47DB4"/>
    <w:rsid w:val="00E5043A"/>
    <w:rsid w:val="00E51C07"/>
    <w:rsid w:val="00E522FE"/>
    <w:rsid w:val="00E5295E"/>
    <w:rsid w:val="00E5395A"/>
    <w:rsid w:val="00E53D2B"/>
    <w:rsid w:val="00E54379"/>
    <w:rsid w:val="00E546D8"/>
    <w:rsid w:val="00E5472D"/>
    <w:rsid w:val="00E54E88"/>
    <w:rsid w:val="00E55560"/>
    <w:rsid w:val="00E560BB"/>
    <w:rsid w:val="00E57C45"/>
    <w:rsid w:val="00E602EB"/>
    <w:rsid w:val="00E60BB9"/>
    <w:rsid w:val="00E62ED7"/>
    <w:rsid w:val="00E64088"/>
    <w:rsid w:val="00E64350"/>
    <w:rsid w:val="00E643C1"/>
    <w:rsid w:val="00E64B6D"/>
    <w:rsid w:val="00E65380"/>
    <w:rsid w:val="00E657D7"/>
    <w:rsid w:val="00E66138"/>
    <w:rsid w:val="00E67178"/>
    <w:rsid w:val="00E70665"/>
    <w:rsid w:val="00E7290C"/>
    <w:rsid w:val="00E75635"/>
    <w:rsid w:val="00E7597B"/>
    <w:rsid w:val="00E76078"/>
    <w:rsid w:val="00E77FA0"/>
    <w:rsid w:val="00E80E34"/>
    <w:rsid w:val="00E8173C"/>
    <w:rsid w:val="00E81B51"/>
    <w:rsid w:val="00E81F45"/>
    <w:rsid w:val="00E82386"/>
    <w:rsid w:val="00E83487"/>
    <w:rsid w:val="00E834E9"/>
    <w:rsid w:val="00E85580"/>
    <w:rsid w:val="00E8602D"/>
    <w:rsid w:val="00E86249"/>
    <w:rsid w:val="00E8633D"/>
    <w:rsid w:val="00E914C1"/>
    <w:rsid w:val="00E92783"/>
    <w:rsid w:val="00E927A9"/>
    <w:rsid w:val="00E92829"/>
    <w:rsid w:val="00E95DA9"/>
    <w:rsid w:val="00E96544"/>
    <w:rsid w:val="00E96CB6"/>
    <w:rsid w:val="00EA0A73"/>
    <w:rsid w:val="00EA0FCB"/>
    <w:rsid w:val="00EA3F4F"/>
    <w:rsid w:val="00EA6662"/>
    <w:rsid w:val="00EA736B"/>
    <w:rsid w:val="00EB25D1"/>
    <w:rsid w:val="00EB2F2B"/>
    <w:rsid w:val="00EB2FA9"/>
    <w:rsid w:val="00EB30BA"/>
    <w:rsid w:val="00EB3985"/>
    <w:rsid w:val="00EB3F23"/>
    <w:rsid w:val="00EB6397"/>
    <w:rsid w:val="00EB6943"/>
    <w:rsid w:val="00EC25A2"/>
    <w:rsid w:val="00EC2B7E"/>
    <w:rsid w:val="00EC37D0"/>
    <w:rsid w:val="00EC4B06"/>
    <w:rsid w:val="00EC60DB"/>
    <w:rsid w:val="00EC7248"/>
    <w:rsid w:val="00EC7D2A"/>
    <w:rsid w:val="00ED1B84"/>
    <w:rsid w:val="00ED243F"/>
    <w:rsid w:val="00ED2E86"/>
    <w:rsid w:val="00ED38DB"/>
    <w:rsid w:val="00ED3B18"/>
    <w:rsid w:val="00ED515A"/>
    <w:rsid w:val="00ED7647"/>
    <w:rsid w:val="00EE0ADF"/>
    <w:rsid w:val="00EE2B32"/>
    <w:rsid w:val="00EE342A"/>
    <w:rsid w:val="00EE5510"/>
    <w:rsid w:val="00EE63BD"/>
    <w:rsid w:val="00EE644F"/>
    <w:rsid w:val="00EE6756"/>
    <w:rsid w:val="00EE68BC"/>
    <w:rsid w:val="00EE68C6"/>
    <w:rsid w:val="00EE7E9C"/>
    <w:rsid w:val="00EF2BC6"/>
    <w:rsid w:val="00EF426A"/>
    <w:rsid w:val="00EF4E89"/>
    <w:rsid w:val="00EF547E"/>
    <w:rsid w:val="00EF78AA"/>
    <w:rsid w:val="00EF7DB8"/>
    <w:rsid w:val="00F00B51"/>
    <w:rsid w:val="00F03FE9"/>
    <w:rsid w:val="00F047B2"/>
    <w:rsid w:val="00F06689"/>
    <w:rsid w:val="00F0788E"/>
    <w:rsid w:val="00F07CF8"/>
    <w:rsid w:val="00F10A12"/>
    <w:rsid w:val="00F1218A"/>
    <w:rsid w:val="00F12EC6"/>
    <w:rsid w:val="00F14C02"/>
    <w:rsid w:val="00F14E83"/>
    <w:rsid w:val="00F15EB6"/>
    <w:rsid w:val="00F1676C"/>
    <w:rsid w:val="00F214FF"/>
    <w:rsid w:val="00F223DB"/>
    <w:rsid w:val="00F224D3"/>
    <w:rsid w:val="00F22719"/>
    <w:rsid w:val="00F23C88"/>
    <w:rsid w:val="00F255D2"/>
    <w:rsid w:val="00F25C90"/>
    <w:rsid w:val="00F26647"/>
    <w:rsid w:val="00F26943"/>
    <w:rsid w:val="00F26A19"/>
    <w:rsid w:val="00F27F3E"/>
    <w:rsid w:val="00F3002C"/>
    <w:rsid w:val="00F30B92"/>
    <w:rsid w:val="00F3386F"/>
    <w:rsid w:val="00F33F86"/>
    <w:rsid w:val="00F352B9"/>
    <w:rsid w:val="00F358BB"/>
    <w:rsid w:val="00F35CC5"/>
    <w:rsid w:val="00F35E90"/>
    <w:rsid w:val="00F3680A"/>
    <w:rsid w:val="00F37F2A"/>
    <w:rsid w:val="00F42053"/>
    <w:rsid w:val="00F42624"/>
    <w:rsid w:val="00F43C83"/>
    <w:rsid w:val="00F43D29"/>
    <w:rsid w:val="00F454AA"/>
    <w:rsid w:val="00F45885"/>
    <w:rsid w:val="00F45890"/>
    <w:rsid w:val="00F47154"/>
    <w:rsid w:val="00F47BD8"/>
    <w:rsid w:val="00F50209"/>
    <w:rsid w:val="00F5085A"/>
    <w:rsid w:val="00F51095"/>
    <w:rsid w:val="00F53460"/>
    <w:rsid w:val="00F536F6"/>
    <w:rsid w:val="00F543F0"/>
    <w:rsid w:val="00F54E88"/>
    <w:rsid w:val="00F558DA"/>
    <w:rsid w:val="00F55A30"/>
    <w:rsid w:val="00F60DD0"/>
    <w:rsid w:val="00F613DE"/>
    <w:rsid w:val="00F619E9"/>
    <w:rsid w:val="00F6267F"/>
    <w:rsid w:val="00F6300D"/>
    <w:rsid w:val="00F630BD"/>
    <w:rsid w:val="00F64EFF"/>
    <w:rsid w:val="00F66BE0"/>
    <w:rsid w:val="00F6752D"/>
    <w:rsid w:val="00F710DD"/>
    <w:rsid w:val="00F71B0F"/>
    <w:rsid w:val="00F73199"/>
    <w:rsid w:val="00F73229"/>
    <w:rsid w:val="00F740F2"/>
    <w:rsid w:val="00F745DC"/>
    <w:rsid w:val="00F7480E"/>
    <w:rsid w:val="00F74C34"/>
    <w:rsid w:val="00F763FF"/>
    <w:rsid w:val="00F7781A"/>
    <w:rsid w:val="00F77B84"/>
    <w:rsid w:val="00F80014"/>
    <w:rsid w:val="00F812FD"/>
    <w:rsid w:val="00F8224B"/>
    <w:rsid w:val="00F82A01"/>
    <w:rsid w:val="00F82A89"/>
    <w:rsid w:val="00F84E26"/>
    <w:rsid w:val="00F85C1A"/>
    <w:rsid w:val="00F86A2C"/>
    <w:rsid w:val="00F87D35"/>
    <w:rsid w:val="00F92578"/>
    <w:rsid w:val="00F93376"/>
    <w:rsid w:val="00F94E9F"/>
    <w:rsid w:val="00F95E4E"/>
    <w:rsid w:val="00F977BD"/>
    <w:rsid w:val="00FA11EB"/>
    <w:rsid w:val="00FA178E"/>
    <w:rsid w:val="00FA1C22"/>
    <w:rsid w:val="00FA30A6"/>
    <w:rsid w:val="00FA30DC"/>
    <w:rsid w:val="00FA442C"/>
    <w:rsid w:val="00FA4BC7"/>
    <w:rsid w:val="00FA6E45"/>
    <w:rsid w:val="00FB0B24"/>
    <w:rsid w:val="00FB0E98"/>
    <w:rsid w:val="00FB556A"/>
    <w:rsid w:val="00FC055B"/>
    <w:rsid w:val="00FC3EF1"/>
    <w:rsid w:val="00FC4DDE"/>
    <w:rsid w:val="00FC56DB"/>
    <w:rsid w:val="00FC5B1C"/>
    <w:rsid w:val="00FD0317"/>
    <w:rsid w:val="00FD0881"/>
    <w:rsid w:val="00FD1254"/>
    <w:rsid w:val="00FD21CD"/>
    <w:rsid w:val="00FD2372"/>
    <w:rsid w:val="00FD59EA"/>
    <w:rsid w:val="00FD6C1C"/>
    <w:rsid w:val="00FD72BE"/>
    <w:rsid w:val="00FE0A8F"/>
    <w:rsid w:val="00FE0EE9"/>
    <w:rsid w:val="00FE141F"/>
    <w:rsid w:val="00FE2A78"/>
    <w:rsid w:val="00FE2AA6"/>
    <w:rsid w:val="00FE2D93"/>
    <w:rsid w:val="00FE3D26"/>
    <w:rsid w:val="00FE4347"/>
    <w:rsid w:val="00FE4D69"/>
    <w:rsid w:val="00FE5C0A"/>
    <w:rsid w:val="00FE5CEA"/>
    <w:rsid w:val="00FF0446"/>
    <w:rsid w:val="00FF0A66"/>
    <w:rsid w:val="00FF4D6A"/>
    <w:rsid w:val="00FF5631"/>
    <w:rsid w:val="00FF6566"/>
    <w:rsid w:val="00FF6F35"/>
    <w:rsid w:val="01201F0E"/>
    <w:rsid w:val="018C3887"/>
    <w:rsid w:val="01962906"/>
    <w:rsid w:val="01F42C24"/>
    <w:rsid w:val="024F2124"/>
    <w:rsid w:val="0278113C"/>
    <w:rsid w:val="046D5990"/>
    <w:rsid w:val="046F64E6"/>
    <w:rsid w:val="04963415"/>
    <w:rsid w:val="05171BFA"/>
    <w:rsid w:val="0518502E"/>
    <w:rsid w:val="05C45033"/>
    <w:rsid w:val="073C75CA"/>
    <w:rsid w:val="075D1A9E"/>
    <w:rsid w:val="07E41AB2"/>
    <w:rsid w:val="07FF27C9"/>
    <w:rsid w:val="08047140"/>
    <w:rsid w:val="08353C69"/>
    <w:rsid w:val="085B1C26"/>
    <w:rsid w:val="08EB572B"/>
    <w:rsid w:val="092B1742"/>
    <w:rsid w:val="09A911B7"/>
    <w:rsid w:val="09AF4121"/>
    <w:rsid w:val="0A011ECD"/>
    <w:rsid w:val="0A1001AF"/>
    <w:rsid w:val="0A61019F"/>
    <w:rsid w:val="0A8B375B"/>
    <w:rsid w:val="0AAE4FC2"/>
    <w:rsid w:val="0AB023E6"/>
    <w:rsid w:val="0B71709D"/>
    <w:rsid w:val="0C626972"/>
    <w:rsid w:val="0CFD0FF0"/>
    <w:rsid w:val="0DF800F6"/>
    <w:rsid w:val="0E0A2F49"/>
    <w:rsid w:val="0E1B715F"/>
    <w:rsid w:val="0E282263"/>
    <w:rsid w:val="0E453549"/>
    <w:rsid w:val="0E5F1BF0"/>
    <w:rsid w:val="0EBD352B"/>
    <w:rsid w:val="0EF319AC"/>
    <w:rsid w:val="0F000E74"/>
    <w:rsid w:val="118C7802"/>
    <w:rsid w:val="11C042F5"/>
    <w:rsid w:val="128D2377"/>
    <w:rsid w:val="12C5264E"/>
    <w:rsid w:val="131C2DED"/>
    <w:rsid w:val="131F5965"/>
    <w:rsid w:val="136961B1"/>
    <w:rsid w:val="148C5AA4"/>
    <w:rsid w:val="14F16AD5"/>
    <w:rsid w:val="15B57A54"/>
    <w:rsid w:val="1602382A"/>
    <w:rsid w:val="16B22AB8"/>
    <w:rsid w:val="16FA0B7D"/>
    <w:rsid w:val="171C5A0F"/>
    <w:rsid w:val="18D14309"/>
    <w:rsid w:val="19390925"/>
    <w:rsid w:val="198A0A0F"/>
    <w:rsid w:val="19D3104D"/>
    <w:rsid w:val="1A6C1351"/>
    <w:rsid w:val="1B420B2B"/>
    <w:rsid w:val="1B642038"/>
    <w:rsid w:val="1BF11972"/>
    <w:rsid w:val="1C381E41"/>
    <w:rsid w:val="1CC26834"/>
    <w:rsid w:val="1CDC00D8"/>
    <w:rsid w:val="1D2C4085"/>
    <w:rsid w:val="1D6357AB"/>
    <w:rsid w:val="1D727CAC"/>
    <w:rsid w:val="1D8B0AA5"/>
    <w:rsid w:val="1DEF5844"/>
    <w:rsid w:val="1E6B1AD7"/>
    <w:rsid w:val="1F5D309B"/>
    <w:rsid w:val="20332200"/>
    <w:rsid w:val="205242F2"/>
    <w:rsid w:val="205E0474"/>
    <w:rsid w:val="207974F2"/>
    <w:rsid w:val="20C928EC"/>
    <w:rsid w:val="217F41C9"/>
    <w:rsid w:val="21A54C65"/>
    <w:rsid w:val="21A553F5"/>
    <w:rsid w:val="220E6730"/>
    <w:rsid w:val="224C63B1"/>
    <w:rsid w:val="22FD3FC8"/>
    <w:rsid w:val="23654FF2"/>
    <w:rsid w:val="23AD0E82"/>
    <w:rsid w:val="23DA26CA"/>
    <w:rsid w:val="240C37BD"/>
    <w:rsid w:val="24DA743A"/>
    <w:rsid w:val="25A46DCB"/>
    <w:rsid w:val="260869BD"/>
    <w:rsid w:val="26EC1B4A"/>
    <w:rsid w:val="276A3401"/>
    <w:rsid w:val="27B10D21"/>
    <w:rsid w:val="29370A81"/>
    <w:rsid w:val="294511F9"/>
    <w:rsid w:val="29591217"/>
    <w:rsid w:val="29703647"/>
    <w:rsid w:val="2A002E3E"/>
    <w:rsid w:val="2A8923EA"/>
    <w:rsid w:val="2A923D24"/>
    <w:rsid w:val="2AFE14AA"/>
    <w:rsid w:val="2BDA58ED"/>
    <w:rsid w:val="2BFF2F3A"/>
    <w:rsid w:val="2C4A6FC0"/>
    <w:rsid w:val="2D053ED4"/>
    <w:rsid w:val="2DE90247"/>
    <w:rsid w:val="2E01768D"/>
    <w:rsid w:val="2F664EA5"/>
    <w:rsid w:val="2FA505D5"/>
    <w:rsid w:val="2FBF1F67"/>
    <w:rsid w:val="306F68A2"/>
    <w:rsid w:val="312D2B91"/>
    <w:rsid w:val="314B39CC"/>
    <w:rsid w:val="31C872AD"/>
    <w:rsid w:val="31F2256C"/>
    <w:rsid w:val="32075FF9"/>
    <w:rsid w:val="3239692A"/>
    <w:rsid w:val="325C7F92"/>
    <w:rsid w:val="33394D0A"/>
    <w:rsid w:val="333A412B"/>
    <w:rsid w:val="336B3469"/>
    <w:rsid w:val="337543C8"/>
    <w:rsid w:val="33812585"/>
    <w:rsid w:val="33C13344"/>
    <w:rsid w:val="34331F89"/>
    <w:rsid w:val="351D5B33"/>
    <w:rsid w:val="352A429F"/>
    <w:rsid w:val="355B39AE"/>
    <w:rsid w:val="35B24F50"/>
    <w:rsid w:val="365B2966"/>
    <w:rsid w:val="36AB4220"/>
    <w:rsid w:val="36D14CE5"/>
    <w:rsid w:val="37A53D82"/>
    <w:rsid w:val="39F806F0"/>
    <w:rsid w:val="3A3659E4"/>
    <w:rsid w:val="3A987D9D"/>
    <w:rsid w:val="3AA85D33"/>
    <w:rsid w:val="3ACA4B42"/>
    <w:rsid w:val="3AFF3D8E"/>
    <w:rsid w:val="3BADF5DD"/>
    <w:rsid w:val="3BC2523E"/>
    <w:rsid w:val="3C084E29"/>
    <w:rsid w:val="3C4D5B55"/>
    <w:rsid w:val="3CC26750"/>
    <w:rsid w:val="3D440FF8"/>
    <w:rsid w:val="3D98044D"/>
    <w:rsid w:val="3DB20341"/>
    <w:rsid w:val="3E0543FF"/>
    <w:rsid w:val="3E1D685B"/>
    <w:rsid w:val="3EB3D5A7"/>
    <w:rsid w:val="3F0E2561"/>
    <w:rsid w:val="3F171617"/>
    <w:rsid w:val="3F252D85"/>
    <w:rsid w:val="3F405508"/>
    <w:rsid w:val="3FD61FFF"/>
    <w:rsid w:val="405051A0"/>
    <w:rsid w:val="40BE25F5"/>
    <w:rsid w:val="41A22F19"/>
    <w:rsid w:val="428D2FFF"/>
    <w:rsid w:val="43903EB3"/>
    <w:rsid w:val="441508D3"/>
    <w:rsid w:val="44290050"/>
    <w:rsid w:val="4437348E"/>
    <w:rsid w:val="44FF28BE"/>
    <w:rsid w:val="458549C3"/>
    <w:rsid w:val="45A42773"/>
    <w:rsid w:val="45BA29A2"/>
    <w:rsid w:val="45BB117C"/>
    <w:rsid w:val="462F285B"/>
    <w:rsid w:val="46507749"/>
    <w:rsid w:val="47085FA1"/>
    <w:rsid w:val="477E5B3E"/>
    <w:rsid w:val="48303924"/>
    <w:rsid w:val="48560562"/>
    <w:rsid w:val="492B03C7"/>
    <w:rsid w:val="49FA378D"/>
    <w:rsid w:val="4A984FE8"/>
    <w:rsid w:val="4A9D11F3"/>
    <w:rsid w:val="4B726C78"/>
    <w:rsid w:val="4BD60159"/>
    <w:rsid w:val="4CFF52BD"/>
    <w:rsid w:val="4D195EA5"/>
    <w:rsid w:val="4D94072D"/>
    <w:rsid w:val="4E7E0EBE"/>
    <w:rsid w:val="4E856251"/>
    <w:rsid w:val="4EA61AF4"/>
    <w:rsid w:val="4ECC2490"/>
    <w:rsid w:val="4F0D2776"/>
    <w:rsid w:val="4F215E18"/>
    <w:rsid w:val="4FBA24A4"/>
    <w:rsid w:val="500C39B3"/>
    <w:rsid w:val="50BA1169"/>
    <w:rsid w:val="50D636E3"/>
    <w:rsid w:val="510C0AB7"/>
    <w:rsid w:val="51112C00"/>
    <w:rsid w:val="512C2E09"/>
    <w:rsid w:val="519B6C4F"/>
    <w:rsid w:val="51F35102"/>
    <w:rsid w:val="51FE17FF"/>
    <w:rsid w:val="529C4870"/>
    <w:rsid w:val="529E574A"/>
    <w:rsid w:val="535A1FA9"/>
    <w:rsid w:val="53DD5A35"/>
    <w:rsid w:val="541B7D16"/>
    <w:rsid w:val="544A759D"/>
    <w:rsid w:val="545A5F13"/>
    <w:rsid w:val="547E7FB3"/>
    <w:rsid w:val="54AB4AB2"/>
    <w:rsid w:val="557D122B"/>
    <w:rsid w:val="55A231C5"/>
    <w:rsid w:val="55C26D39"/>
    <w:rsid w:val="56321C6F"/>
    <w:rsid w:val="56666AE7"/>
    <w:rsid w:val="56CA77C3"/>
    <w:rsid w:val="56D36F6E"/>
    <w:rsid w:val="56FE41D4"/>
    <w:rsid w:val="576356FC"/>
    <w:rsid w:val="579849AF"/>
    <w:rsid w:val="579B2BBB"/>
    <w:rsid w:val="57DA5C46"/>
    <w:rsid w:val="58040CF4"/>
    <w:rsid w:val="59075493"/>
    <w:rsid w:val="59487D11"/>
    <w:rsid w:val="597539D3"/>
    <w:rsid w:val="59947FB5"/>
    <w:rsid w:val="59D0653A"/>
    <w:rsid w:val="5A1A4E57"/>
    <w:rsid w:val="5A926519"/>
    <w:rsid w:val="5A9745F8"/>
    <w:rsid w:val="5AC72703"/>
    <w:rsid w:val="5AC7773A"/>
    <w:rsid w:val="5ACF2C3A"/>
    <w:rsid w:val="5ADE0A5C"/>
    <w:rsid w:val="5B642DCB"/>
    <w:rsid w:val="5B6B68B1"/>
    <w:rsid w:val="5B7948C3"/>
    <w:rsid w:val="5B9F2591"/>
    <w:rsid w:val="5BF5061D"/>
    <w:rsid w:val="5C65182B"/>
    <w:rsid w:val="5C703027"/>
    <w:rsid w:val="5CD76CF1"/>
    <w:rsid w:val="5D2B5B3F"/>
    <w:rsid w:val="5EA10F4E"/>
    <w:rsid w:val="5EBF093E"/>
    <w:rsid w:val="5F2B66F1"/>
    <w:rsid w:val="5F715127"/>
    <w:rsid w:val="5FE71540"/>
    <w:rsid w:val="601F1848"/>
    <w:rsid w:val="60D10BE7"/>
    <w:rsid w:val="60D970BA"/>
    <w:rsid w:val="60F23B56"/>
    <w:rsid w:val="614F78C9"/>
    <w:rsid w:val="62044D81"/>
    <w:rsid w:val="626F0F50"/>
    <w:rsid w:val="627E3805"/>
    <w:rsid w:val="6296199B"/>
    <w:rsid w:val="629B40CC"/>
    <w:rsid w:val="62AC775F"/>
    <w:rsid w:val="62D741DA"/>
    <w:rsid w:val="62F228E1"/>
    <w:rsid w:val="63715118"/>
    <w:rsid w:val="63E21506"/>
    <w:rsid w:val="64731CBC"/>
    <w:rsid w:val="64B25724"/>
    <w:rsid w:val="64B25A4D"/>
    <w:rsid w:val="64C37868"/>
    <w:rsid w:val="65B5420A"/>
    <w:rsid w:val="65EB3B6F"/>
    <w:rsid w:val="662F17B4"/>
    <w:rsid w:val="6679056C"/>
    <w:rsid w:val="66DC6F96"/>
    <w:rsid w:val="66F9191C"/>
    <w:rsid w:val="670275BC"/>
    <w:rsid w:val="672B3125"/>
    <w:rsid w:val="67EC4487"/>
    <w:rsid w:val="684A4EFC"/>
    <w:rsid w:val="69DF5A6F"/>
    <w:rsid w:val="6A3328D3"/>
    <w:rsid w:val="6B040585"/>
    <w:rsid w:val="6B4C43FE"/>
    <w:rsid w:val="6B6E79DE"/>
    <w:rsid w:val="6BC90652"/>
    <w:rsid w:val="6C354153"/>
    <w:rsid w:val="6C4F367C"/>
    <w:rsid w:val="6C92047A"/>
    <w:rsid w:val="6CBF6E0D"/>
    <w:rsid w:val="6D0C4D25"/>
    <w:rsid w:val="6D5060D2"/>
    <w:rsid w:val="6DCA33AD"/>
    <w:rsid w:val="6E07328C"/>
    <w:rsid w:val="6EB7D759"/>
    <w:rsid w:val="6F4E7ED8"/>
    <w:rsid w:val="6F957D9A"/>
    <w:rsid w:val="700C0CDB"/>
    <w:rsid w:val="70531E2E"/>
    <w:rsid w:val="70B678F6"/>
    <w:rsid w:val="710E0C14"/>
    <w:rsid w:val="71285EA9"/>
    <w:rsid w:val="716233E1"/>
    <w:rsid w:val="71CB34A9"/>
    <w:rsid w:val="71F32927"/>
    <w:rsid w:val="7250526E"/>
    <w:rsid w:val="7282400E"/>
    <w:rsid w:val="72C57F04"/>
    <w:rsid w:val="733759F0"/>
    <w:rsid w:val="73EF1744"/>
    <w:rsid w:val="74B81C7F"/>
    <w:rsid w:val="75567077"/>
    <w:rsid w:val="75E9188C"/>
    <w:rsid w:val="76272E23"/>
    <w:rsid w:val="7681547F"/>
    <w:rsid w:val="76B03EE1"/>
    <w:rsid w:val="76F96D07"/>
    <w:rsid w:val="772C1C69"/>
    <w:rsid w:val="7749206E"/>
    <w:rsid w:val="77492EAE"/>
    <w:rsid w:val="777F9F48"/>
    <w:rsid w:val="77D807CB"/>
    <w:rsid w:val="77FE3A00"/>
    <w:rsid w:val="784142FD"/>
    <w:rsid w:val="786A6761"/>
    <w:rsid w:val="787C54EB"/>
    <w:rsid w:val="78C6353E"/>
    <w:rsid w:val="795F6ED9"/>
    <w:rsid w:val="79A97746"/>
    <w:rsid w:val="7A1542B7"/>
    <w:rsid w:val="7B55315C"/>
    <w:rsid w:val="7B851DD5"/>
    <w:rsid w:val="7B911A04"/>
    <w:rsid w:val="7BFB6D89"/>
    <w:rsid w:val="7C6D47AC"/>
    <w:rsid w:val="7C9B5171"/>
    <w:rsid w:val="7CDFEF79"/>
    <w:rsid w:val="7D4B192B"/>
    <w:rsid w:val="7D6547B5"/>
    <w:rsid w:val="7EA95998"/>
    <w:rsid w:val="7ECB73D7"/>
    <w:rsid w:val="7EEC2333"/>
    <w:rsid w:val="7EF7625A"/>
    <w:rsid w:val="7F1E431F"/>
    <w:rsid w:val="7F7D6BCB"/>
    <w:rsid w:val="7FA7649F"/>
    <w:rsid w:val="7FB32B81"/>
    <w:rsid w:val="7FB87492"/>
    <w:rsid w:val="7FCB5142"/>
    <w:rsid w:val="7FFE219F"/>
    <w:rsid w:val="7FFFED8B"/>
    <w:rsid w:val="8F67E830"/>
    <w:rsid w:val="96779BB9"/>
    <w:rsid w:val="97CB62D3"/>
    <w:rsid w:val="BD3D4CDC"/>
    <w:rsid w:val="BDE72652"/>
    <w:rsid w:val="BFD87EA6"/>
    <w:rsid w:val="BFEB3F24"/>
    <w:rsid w:val="BFF5A9F4"/>
    <w:rsid w:val="C2FF773C"/>
    <w:rsid w:val="CBF9E0B4"/>
    <w:rsid w:val="D9FB8C98"/>
    <w:rsid w:val="DE97624A"/>
    <w:rsid w:val="DF763202"/>
    <w:rsid w:val="DFB5C16D"/>
    <w:rsid w:val="DFF73387"/>
    <w:rsid w:val="E5EE3E23"/>
    <w:rsid w:val="E7AE79B1"/>
    <w:rsid w:val="EFD709DA"/>
    <w:rsid w:val="F7550B7B"/>
    <w:rsid w:val="F97B0194"/>
    <w:rsid w:val="FEE5DC60"/>
    <w:rsid w:val="FFBFA17E"/>
    <w:rsid w:val="FFF7C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1"/>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52"/>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7">
    <w:name w:val="heading 3"/>
    <w:basedOn w:val="1"/>
    <w:next w:val="1"/>
    <w:link w:val="53"/>
    <w:qFormat/>
    <w:uiPriority w:val="0"/>
    <w:pPr>
      <w:keepNext/>
      <w:keepLines/>
      <w:numPr>
        <w:ilvl w:val="2"/>
        <w:numId w:val="1"/>
      </w:numPr>
      <w:spacing w:before="260" w:after="260" w:line="415" w:lineRule="auto"/>
      <w:outlineLvl w:val="2"/>
    </w:pPr>
    <w:rPr>
      <w:b/>
      <w:bCs/>
      <w:kern w:val="0"/>
      <w:sz w:val="32"/>
      <w:szCs w:val="32"/>
    </w:rPr>
  </w:style>
  <w:style w:type="paragraph" w:styleId="8">
    <w:name w:val="heading 4"/>
    <w:basedOn w:val="1"/>
    <w:next w:val="1"/>
    <w:link w:val="54"/>
    <w:qFormat/>
    <w:uiPriority w:val="0"/>
    <w:pPr>
      <w:keepNext/>
      <w:keepLines/>
      <w:spacing w:before="280" w:after="290" w:line="372" w:lineRule="auto"/>
      <w:outlineLvl w:val="3"/>
    </w:pPr>
    <w:rPr>
      <w:rFonts w:ascii="Arial" w:hAnsi="Arial" w:eastAsia="黑体"/>
      <w:b/>
      <w:bCs/>
      <w:kern w:val="0"/>
      <w:sz w:val="28"/>
      <w:szCs w:val="28"/>
    </w:rPr>
  </w:style>
  <w:style w:type="paragraph" w:styleId="9">
    <w:name w:val="heading 5"/>
    <w:basedOn w:val="1"/>
    <w:next w:val="1"/>
    <w:link w:val="55"/>
    <w:qFormat/>
    <w:uiPriority w:val="0"/>
    <w:pPr>
      <w:keepNext/>
      <w:keepLines/>
      <w:spacing w:before="280" w:after="290" w:line="372" w:lineRule="auto"/>
      <w:outlineLvl w:val="4"/>
    </w:pPr>
    <w:rPr>
      <w:b/>
      <w:bCs/>
      <w:kern w:val="0"/>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4"/>
    <w:link w:val="50"/>
    <w:qFormat/>
    <w:uiPriority w:val="0"/>
    <w:pPr>
      <w:spacing w:after="120"/>
    </w:pPr>
    <w:rPr>
      <w:kern w:val="0"/>
      <w:sz w:val="28"/>
    </w:rPr>
  </w:style>
  <w:style w:type="paragraph" w:styleId="4">
    <w:name w:val="Date"/>
    <w:basedOn w:val="1"/>
    <w:next w:val="1"/>
    <w:link w:val="61"/>
    <w:qFormat/>
    <w:uiPriority w:val="0"/>
    <w:pPr>
      <w:numPr>
        <w:ilvl w:val="0"/>
        <w:numId w:val="2"/>
      </w:numPr>
      <w:ind w:left="2500" w:leftChars="2500" w:firstLine="0"/>
    </w:pPr>
    <w:rPr>
      <w:rFonts w:eastAsia="楷体_GB2312"/>
      <w:kern w:val="0"/>
      <w:sz w:val="32"/>
      <w:szCs w:val="20"/>
    </w:rPr>
  </w:style>
  <w:style w:type="paragraph" w:styleId="10">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1">
    <w:name w:val="Normal Indent"/>
    <w:basedOn w:val="1"/>
    <w:next w:val="1"/>
    <w:qFormat/>
    <w:uiPriority w:val="0"/>
    <w:pPr>
      <w:numPr>
        <w:ilvl w:val="0"/>
        <w:numId w:val="3"/>
      </w:numPr>
      <w:ind w:left="0" w:firstLine="420"/>
    </w:pPr>
    <w:rPr>
      <w:szCs w:val="20"/>
    </w:rPr>
  </w:style>
  <w:style w:type="paragraph" w:styleId="12">
    <w:name w:val="caption"/>
    <w:basedOn w:val="1"/>
    <w:next w:val="1"/>
    <w:qFormat/>
    <w:uiPriority w:val="0"/>
    <w:pPr>
      <w:numPr>
        <w:ilvl w:val="0"/>
        <w:numId w:val="4"/>
      </w:numPr>
      <w:spacing w:before="152" w:after="160"/>
      <w:ind w:left="0" w:firstLine="0"/>
    </w:pPr>
    <w:rPr>
      <w:rFonts w:ascii="Arial" w:hAnsi="Arial" w:eastAsia="黑体" w:cs="Arial"/>
      <w:sz w:val="20"/>
      <w:szCs w:val="20"/>
    </w:rPr>
  </w:style>
  <w:style w:type="paragraph" w:styleId="13">
    <w:name w:val="Document Map"/>
    <w:basedOn w:val="1"/>
    <w:link w:val="56"/>
    <w:qFormat/>
    <w:uiPriority w:val="0"/>
    <w:pPr>
      <w:shd w:val="clear" w:color="auto" w:fill="000080"/>
    </w:pPr>
    <w:rPr>
      <w:kern w:val="0"/>
      <w:sz w:val="20"/>
    </w:rPr>
  </w:style>
  <w:style w:type="paragraph" w:styleId="14">
    <w:name w:val="annotation text"/>
    <w:basedOn w:val="1"/>
    <w:link w:val="57"/>
    <w:qFormat/>
    <w:uiPriority w:val="0"/>
    <w:pPr>
      <w:jc w:val="left"/>
    </w:pPr>
    <w:rPr>
      <w:kern w:val="0"/>
      <w:sz w:val="20"/>
      <w:szCs w:val="20"/>
    </w:rPr>
  </w:style>
  <w:style w:type="paragraph" w:styleId="15">
    <w:name w:val="Body Text 3"/>
    <w:basedOn w:val="1"/>
    <w:link w:val="58"/>
    <w:qFormat/>
    <w:uiPriority w:val="0"/>
    <w:pPr>
      <w:numPr>
        <w:ilvl w:val="0"/>
        <w:numId w:val="5"/>
      </w:numPr>
      <w:snapToGrid w:val="0"/>
      <w:spacing w:before="50" w:after="50"/>
      <w:ind w:left="0" w:firstLine="0"/>
    </w:pPr>
    <w:rPr>
      <w:rFonts w:eastAsia="仿宋_GB2312"/>
      <w:b/>
      <w:bCs/>
      <w:kern w:val="0"/>
      <w:sz w:val="24"/>
      <w:szCs w:val="20"/>
    </w:rPr>
  </w:style>
  <w:style w:type="paragraph" w:styleId="16">
    <w:name w:val="Body Text Indent"/>
    <w:basedOn w:val="1"/>
    <w:link w:val="59"/>
    <w:qFormat/>
    <w:uiPriority w:val="0"/>
    <w:pPr>
      <w:spacing w:line="200" w:lineRule="exact"/>
      <w:ind w:firstLine="301"/>
    </w:pPr>
    <w:rPr>
      <w:rFonts w:ascii="宋体"/>
      <w:spacing w:val="-4"/>
      <w:kern w:val="0"/>
      <w:sz w:val="18"/>
      <w:szCs w:val="20"/>
    </w:rPr>
  </w:style>
  <w:style w:type="paragraph" w:styleId="17">
    <w:name w:val="List Number 3"/>
    <w:basedOn w:val="1"/>
    <w:qFormat/>
    <w:uiPriority w:val="0"/>
    <w:pPr>
      <w:tabs>
        <w:tab w:val="left" w:pos="1200"/>
      </w:tabs>
      <w:ind w:left="1200" w:hanging="360"/>
    </w:pPr>
  </w:style>
  <w:style w:type="paragraph" w:styleId="18">
    <w:name w:val="List 2"/>
    <w:basedOn w:val="1"/>
    <w:qFormat/>
    <w:uiPriority w:val="0"/>
    <w:pPr>
      <w:numPr>
        <w:ilvl w:val="0"/>
        <w:numId w:val="6"/>
      </w:numPr>
      <w:ind w:left="400" w:leftChars="200" w:hanging="200" w:hangingChars="200"/>
    </w:pPr>
    <w:rPr>
      <w:sz w:val="28"/>
    </w:rPr>
  </w:style>
  <w:style w:type="paragraph" w:styleId="19">
    <w:name w:val="toc 3"/>
    <w:basedOn w:val="1"/>
    <w:next w:val="1"/>
    <w:qFormat/>
    <w:uiPriority w:val="39"/>
    <w:pPr>
      <w:ind w:left="400" w:leftChars="400"/>
    </w:pPr>
  </w:style>
  <w:style w:type="paragraph" w:styleId="20">
    <w:name w:val="Plain Text"/>
    <w:basedOn w:val="1"/>
    <w:next w:val="1"/>
    <w:link w:val="60"/>
    <w:qFormat/>
    <w:uiPriority w:val="0"/>
    <w:pPr>
      <w:spacing w:beforeLines="50" w:afterLines="50" w:line="400" w:lineRule="exact"/>
    </w:pPr>
    <w:rPr>
      <w:rFonts w:ascii="宋体"/>
      <w:kern w:val="0"/>
      <w:sz w:val="24"/>
    </w:rPr>
  </w:style>
  <w:style w:type="paragraph" w:styleId="21">
    <w:name w:val="Body Text Indent 2"/>
    <w:basedOn w:val="1"/>
    <w:link w:val="62"/>
    <w:qFormat/>
    <w:uiPriority w:val="0"/>
    <w:pPr>
      <w:snapToGrid w:val="0"/>
      <w:ind w:firstLine="225" w:firstLineChars="225"/>
    </w:pPr>
    <w:rPr>
      <w:rFonts w:ascii="仿宋_GB2312" w:hAnsi="仿宋_GB2312"/>
      <w:b/>
      <w:bCs/>
      <w:color w:val="000000"/>
      <w:kern w:val="0"/>
      <w:sz w:val="24"/>
    </w:rPr>
  </w:style>
  <w:style w:type="paragraph" w:styleId="22">
    <w:name w:val="Balloon Text"/>
    <w:basedOn w:val="1"/>
    <w:link w:val="63"/>
    <w:qFormat/>
    <w:uiPriority w:val="99"/>
    <w:rPr>
      <w:kern w:val="0"/>
      <w:sz w:val="18"/>
      <w:szCs w:val="18"/>
    </w:rPr>
  </w:style>
  <w:style w:type="paragraph" w:styleId="23">
    <w:name w:val="footer"/>
    <w:basedOn w:val="1"/>
    <w:link w:val="64"/>
    <w:unhideWhenUsed/>
    <w:qFormat/>
    <w:uiPriority w:val="99"/>
    <w:pPr>
      <w:tabs>
        <w:tab w:val="center" w:pos="4153"/>
        <w:tab w:val="right" w:pos="8306"/>
      </w:tabs>
      <w:snapToGrid w:val="0"/>
      <w:jc w:val="left"/>
    </w:pPr>
    <w:rPr>
      <w:rFonts w:ascii="Calibri" w:hAnsi="Calibri"/>
      <w:kern w:val="0"/>
      <w:sz w:val="18"/>
      <w:szCs w:val="18"/>
    </w:rPr>
  </w:style>
  <w:style w:type="paragraph" w:styleId="24">
    <w:name w:val="envelope return"/>
    <w:basedOn w:val="1"/>
    <w:unhideWhenUsed/>
    <w:qFormat/>
    <w:uiPriority w:val="99"/>
    <w:pPr>
      <w:snapToGrid w:val="0"/>
      <w:spacing w:line="280" w:lineRule="exact"/>
    </w:pPr>
    <w:rPr>
      <w:rFonts w:ascii="Arial" w:hAnsi="Arial"/>
    </w:rPr>
  </w:style>
  <w:style w:type="paragraph" w:styleId="25">
    <w:name w:val="header"/>
    <w:basedOn w:val="1"/>
    <w:link w:val="65"/>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6">
    <w:name w:val="toc 1"/>
    <w:basedOn w:val="1"/>
    <w:next w:val="1"/>
    <w:qFormat/>
    <w:uiPriority w:val="39"/>
  </w:style>
  <w:style w:type="paragraph" w:styleId="27">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qFormat/>
    <w:uiPriority w:val="0"/>
    <w:pPr>
      <w:ind w:left="200" w:hanging="200" w:hangingChars="200"/>
    </w:pPr>
    <w:rPr>
      <w:sz w:val="28"/>
    </w:rPr>
  </w:style>
  <w:style w:type="paragraph" w:styleId="29">
    <w:name w:val="toc 6"/>
    <w:basedOn w:val="1"/>
    <w:next w:val="1"/>
    <w:qFormat/>
    <w:uiPriority w:val="0"/>
    <w:pPr>
      <w:ind w:left="1400"/>
    </w:pPr>
    <w:rPr>
      <w:rFonts w:ascii="Calibri"/>
      <w:sz w:val="18"/>
      <w:szCs w:val="18"/>
    </w:rPr>
  </w:style>
  <w:style w:type="paragraph" w:styleId="30">
    <w:name w:val="Body Text Indent 3"/>
    <w:basedOn w:val="1"/>
    <w:link w:val="67"/>
    <w:qFormat/>
    <w:uiPriority w:val="0"/>
    <w:pPr>
      <w:numPr>
        <w:ilvl w:val="0"/>
        <w:numId w:val="7"/>
      </w:numPr>
      <w:snapToGrid w:val="0"/>
      <w:ind w:left="0" w:firstLine="200" w:firstLineChars="200"/>
      <w:jc w:val="left"/>
    </w:pPr>
    <w:rPr>
      <w:rFonts w:ascii="仿宋_GB2312" w:eastAsia="仿宋_GB2312"/>
      <w:color w:val="000000"/>
      <w:kern w:val="0"/>
      <w:sz w:val="24"/>
    </w:rPr>
  </w:style>
  <w:style w:type="paragraph" w:styleId="31">
    <w:name w:val="toc 2"/>
    <w:basedOn w:val="1"/>
    <w:next w:val="1"/>
    <w:qFormat/>
    <w:uiPriority w:val="39"/>
    <w:pPr>
      <w:ind w:left="200" w:leftChars="200"/>
    </w:pPr>
  </w:style>
  <w:style w:type="paragraph" w:styleId="32">
    <w:name w:val="Body Text 2"/>
    <w:basedOn w:val="1"/>
    <w:link w:val="68"/>
    <w:qFormat/>
    <w:uiPriority w:val="0"/>
    <w:pPr>
      <w:widowControl/>
      <w:snapToGrid w:val="0"/>
      <w:spacing w:before="50" w:afterLines="50" w:line="400" w:lineRule="exact"/>
      <w:jc w:val="left"/>
    </w:pPr>
    <w:rPr>
      <w:rFonts w:ascii="宋体"/>
      <w:color w:val="000000"/>
      <w:kern w:val="0"/>
      <w:sz w:val="24"/>
    </w:rPr>
  </w:style>
  <w:style w:type="paragraph" w:styleId="33">
    <w:name w:val="HTML Preformatted"/>
    <w:basedOn w:val="1"/>
    <w:link w:val="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qFormat/>
    <w:uiPriority w:val="0"/>
    <w:pPr>
      <w:widowControl/>
      <w:spacing w:before="100" w:beforeAutospacing="1" w:after="100" w:afterAutospacing="1"/>
      <w:jc w:val="left"/>
    </w:pPr>
    <w:rPr>
      <w:kern w:val="0"/>
      <w:sz w:val="24"/>
    </w:rPr>
  </w:style>
  <w:style w:type="paragraph" w:styleId="35">
    <w:name w:val="annotation subject"/>
    <w:basedOn w:val="14"/>
    <w:next w:val="14"/>
    <w:link w:val="70"/>
    <w:qFormat/>
    <w:uiPriority w:val="0"/>
  </w:style>
  <w:style w:type="paragraph" w:styleId="36">
    <w:name w:val="Body Text First Indent"/>
    <w:basedOn w:val="3"/>
    <w:next w:val="1"/>
    <w:qFormat/>
    <w:uiPriority w:val="0"/>
    <w:pPr>
      <w:ind w:firstLine="420" w:firstLineChars="100"/>
    </w:pPr>
  </w:style>
  <w:style w:type="paragraph" w:styleId="37">
    <w:name w:val="Body Text First Indent 2"/>
    <w:basedOn w:val="16"/>
    <w:link w:val="71"/>
    <w:unhideWhenUsed/>
    <w:qFormat/>
    <w:uiPriority w:val="99"/>
    <w:pPr>
      <w:spacing w:after="120" w:line="240" w:lineRule="auto"/>
      <w:ind w:left="420" w:leftChars="200" w:firstLine="420" w:firstLineChars="200"/>
    </w:pPr>
    <w:rPr>
      <w:rFonts w:ascii="Times New Roman"/>
      <w:kern w:val="2"/>
      <w:sz w:val="21"/>
      <w:szCs w:val="24"/>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99"/>
    <w:rPr>
      <w:color w:val="800080"/>
      <w:u w:val="single"/>
    </w:rPr>
  </w:style>
  <w:style w:type="character" w:styleId="44">
    <w:name w:val="Emphasis"/>
    <w:qFormat/>
    <w:uiPriority w:val="20"/>
    <w:rPr>
      <w:color w:val="CC0000"/>
    </w:rPr>
  </w:style>
  <w:style w:type="character" w:styleId="45">
    <w:name w:val="HTML Acronym"/>
    <w:qFormat/>
    <w:uiPriority w:val="0"/>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paragraph" w:customStyle="1" w:styleId="48">
    <w:name w:val="公文"/>
    <w:basedOn w:val="1"/>
    <w:qFormat/>
    <w:uiPriority w:val="0"/>
    <w:pPr>
      <w:ind w:firstLine="640" w:firstLineChars="200"/>
    </w:pPr>
    <w:rPr>
      <w:rFonts w:ascii="仿宋_GB2312" w:hAnsi="仿宋_GB2312" w:eastAsia="仿宋_GB2312"/>
      <w:sz w:val="32"/>
    </w:rPr>
  </w:style>
  <w:style w:type="paragraph" w:customStyle="1" w:styleId="49">
    <w:name w:val="样式1"/>
    <w:basedOn w:val="8"/>
    <w:qFormat/>
    <w:uiPriority w:val="0"/>
  </w:style>
  <w:style w:type="character" w:customStyle="1" w:styleId="50">
    <w:name w:val="正文文本 Char2"/>
    <w:link w:val="3"/>
    <w:qFormat/>
    <w:uiPriority w:val="0"/>
    <w:rPr>
      <w:rFonts w:ascii="Times New Roman" w:hAnsi="Times New Roman" w:eastAsia="宋体" w:cs="Times New Roman"/>
      <w:sz w:val="28"/>
      <w:szCs w:val="24"/>
    </w:rPr>
  </w:style>
  <w:style w:type="character" w:customStyle="1" w:styleId="51">
    <w:name w:val="标题 1 Char2"/>
    <w:link w:val="5"/>
    <w:qFormat/>
    <w:uiPriority w:val="0"/>
    <w:rPr>
      <w:rFonts w:ascii="Times New Roman" w:hAnsi="Times New Roman" w:eastAsia="宋体" w:cs="Times New Roman"/>
      <w:b/>
      <w:bCs/>
      <w:kern w:val="44"/>
      <w:sz w:val="44"/>
      <w:szCs w:val="44"/>
    </w:rPr>
  </w:style>
  <w:style w:type="character" w:customStyle="1" w:styleId="52">
    <w:name w:val="标题 2 Char2"/>
    <w:link w:val="6"/>
    <w:qFormat/>
    <w:uiPriority w:val="0"/>
    <w:rPr>
      <w:rFonts w:ascii="Arial" w:hAnsi="Arial" w:eastAsia="黑体"/>
      <w:b/>
      <w:bCs/>
      <w:sz w:val="32"/>
      <w:szCs w:val="32"/>
    </w:rPr>
  </w:style>
  <w:style w:type="character" w:customStyle="1" w:styleId="53">
    <w:name w:val="标题 3 Char2"/>
    <w:link w:val="7"/>
    <w:qFormat/>
    <w:uiPriority w:val="0"/>
    <w:rPr>
      <w:rFonts w:ascii="Times New Roman" w:hAnsi="Times New Roman"/>
      <w:b/>
      <w:bCs/>
      <w:sz w:val="32"/>
      <w:szCs w:val="32"/>
    </w:rPr>
  </w:style>
  <w:style w:type="character" w:customStyle="1" w:styleId="54">
    <w:name w:val="标题 4 Char2"/>
    <w:link w:val="8"/>
    <w:qFormat/>
    <w:uiPriority w:val="0"/>
    <w:rPr>
      <w:rFonts w:ascii="Arial" w:hAnsi="Arial" w:eastAsia="黑体" w:cs="Times New Roman"/>
      <w:b/>
      <w:bCs/>
      <w:sz w:val="28"/>
      <w:szCs w:val="28"/>
    </w:rPr>
  </w:style>
  <w:style w:type="character" w:customStyle="1" w:styleId="55">
    <w:name w:val="标题 5 Char2"/>
    <w:link w:val="9"/>
    <w:qFormat/>
    <w:uiPriority w:val="0"/>
    <w:rPr>
      <w:rFonts w:ascii="Times New Roman" w:hAnsi="Times New Roman" w:eastAsia="宋体" w:cs="Times New Roman"/>
      <w:b/>
      <w:bCs/>
      <w:sz w:val="28"/>
      <w:szCs w:val="28"/>
    </w:rPr>
  </w:style>
  <w:style w:type="character" w:customStyle="1" w:styleId="56">
    <w:name w:val="文档结构图 Char2"/>
    <w:link w:val="13"/>
    <w:qFormat/>
    <w:uiPriority w:val="0"/>
    <w:rPr>
      <w:rFonts w:ascii="Times New Roman" w:hAnsi="Times New Roman" w:eastAsia="宋体" w:cs="Times New Roman"/>
      <w:szCs w:val="24"/>
      <w:shd w:val="clear" w:color="auto" w:fill="000080"/>
    </w:rPr>
  </w:style>
  <w:style w:type="character" w:customStyle="1" w:styleId="57">
    <w:name w:val="批注文字 Char3"/>
    <w:link w:val="14"/>
    <w:qFormat/>
    <w:uiPriority w:val="0"/>
    <w:rPr>
      <w:rFonts w:ascii="Times New Roman" w:hAnsi="Times New Roman" w:eastAsia="宋体" w:cs="Times New Roman"/>
      <w:szCs w:val="20"/>
    </w:rPr>
  </w:style>
  <w:style w:type="character" w:customStyle="1" w:styleId="58">
    <w:name w:val="正文文本 3 Char2"/>
    <w:link w:val="15"/>
    <w:qFormat/>
    <w:uiPriority w:val="0"/>
    <w:rPr>
      <w:rFonts w:ascii="Times New Roman" w:hAnsi="Times New Roman" w:eastAsia="仿宋_GB2312"/>
      <w:b/>
      <w:bCs/>
      <w:sz w:val="24"/>
    </w:rPr>
  </w:style>
  <w:style w:type="character" w:customStyle="1" w:styleId="59">
    <w:name w:val="正文文本缩进 Char2"/>
    <w:link w:val="16"/>
    <w:qFormat/>
    <w:uiPriority w:val="0"/>
    <w:rPr>
      <w:rFonts w:ascii="宋体" w:hAnsi="Times New Roman" w:eastAsia="宋体" w:cs="Times New Roman"/>
      <w:spacing w:val="-4"/>
      <w:sz w:val="18"/>
      <w:szCs w:val="20"/>
    </w:rPr>
  </w:style>
  <w:style w:type="character" w:customStyle="1" w:styleId="60">
    <w:name w:val="纯文本 Char3"/>
    <w:link w:val="20"/>
    <w:qFormat/>
    <w:uiPriority w:val="0"/>
    <w:rPr>
      <w:rFonts w:ascii="宋体" w:hAnsi="Times New Roman" w:eastAsia="宋体" w:cs="Times New Roman"/>
      <w:sz w:val="24"/>
      <w:szCs w:val="24"/>
    </w:rPr>
  </w:style>
  <w:style w:type="character" w:customStyle="1" w:styleId="61">
    <w:name w:val="日期 Char2"/>
    <w:link w:val="4"/>
    <w:qFormat/>
    <w:uiPriority w:val="0"/>
    <w:rPr>
      <w:rFonts w:ascii="Times New Roman" w:hAnsi="Times New Roman" w:eastAsia="楷体_GB2312"/>
      <w:sz w:val="32"/>
    </w:rPr>
  </w:style>
  <w:style w:type="character" w:customStyle="1" w:styleId="62">
    <w:name w:val="正文文本缩进 2 Char2"/>
    <w:link w:val="21"/>
    <w:qFormat/>
    <w:uiPriority w:val="0"/>
    <w:rPr>
      <w:rFonts w:ascii="仿宋_GB2312" w:hAnsi="仿宋_GB2312" w:eastAsia="宋体" w:cs="Times New Roman"/>
      <w:b/>
      <w:bCs/>
      <w:color w:val="000000"/>
      <w:sz w:val="24"/>
      <w:szCs w:val="24"/>
    </w:rPr>
  </w:style>
  <w:style w:type="character" w:customStyle="1" w:styleId="63">
    <w:name w:val="批注框文本 Char2"/>
    <w:link w:val="22"/>
    <w:qFormat/>
    <w:uiPriority w:val="99"/>
    <w:rPr>
      <w:rFonts w:ascii="Times New Roman" w:hAnsi="Times New Roman" w:eastAsia="宋体" w:cs="Times New Roman"/>
      <w:sz w:val="18"/>
      <w:szCs w:val="18"/>
    </w:rPr>
  </w:style>
  <w:style w:type="character" w:customStyle="1" w:styleId="64">
    <w:name w:val="页脚 Char3"/>
    <w:link w:val="23"/>
    <w:qFormat/>
    <w:uiPriority w:val="99"/>
    <w:rPr>
      <w:sz w:val="18"/>
      <w:szCs w:val="18"/>
    </w:rPr>
  </w:style>
  <w:style w:type="character" w:customStyle="1" w:styleId="65">
    <w:name w:val="页眉 Char2"/>
    <w:link w:val="25"/>
    <w:qFormat/>
    <w:uiPriority w:val="99"/>
    <w:rPr>
      <w:sz w:val="18"/>
      <w:szCs w:val="18"/>
    </w:rPr>
  </w:style>
  <w:style w:type="character" w:customStyle="1" w:styleId="66">
    <w:name w:val="副标题 Char3"/>
    <w:link w:val="27"/>
    <w:qFormat/>
    <w:uiPriority w:val="0"/>
    <w:rPr>
      <w:rFonts w:ascii="Cambria" w:hAnsi="Cambria"/>
      <w:b/>
      <w:bCs/>
      <w:kern w:val="28"/>
      <w:sz w:val="32"/>
      <w:szCs w:val="32"/>
    </w:rPr>
  </w:style>
  <w:style w:type="character" w:customStyle="1" w:styleId="67">
    <w:name w:val="正文文本缩进 3 Char2"/>
    <w:link w:val="30"/>
    <w:qFormat/>
    <w:uiPriority w:val="0"/>
    <w:rPr>
      <w:rFonts w:ascii="仿宋_GB2312" w:hAnsi="Times New Roman" w:eastAsia="仿宋_GB2312"/>
      <w:color w:val="000000"/>
      <w:sz w:val="24"/>
      <w:szCs w:val="24"/>
    </w:rPr>
  </w:style>
  <w:style w:type="character" w:customStyle="1" w:styleId="68">
    <w:name w:val="正文文本 2 Char2"/>
    <w:link w:val="32"/>
    <w:qFormat/>
    <w:uiPriority w:val="0"/>
    <w:rPr>
      <w:rFonts w:ascii="宋体" w:hAnsi="Times New Roman" w:eastAsia="宋体" w:cs="Times New Roman"/>
      <w:color w:val="000000"/>
      <w:sz w:val="24"/>
      <w:szCs w:val="24"/>
    </w:rPr>
  </w:style>
  <w:style w:type="character" w:customStyle="1" w:styleId="69">
    <w:name w:val="HTML 预设格式 Char2"/>
    <w:link w:val="33"/>
    <w:qFormat/>
    <w:uiPriority w:val="0"/>
    <w:rPr>
      <w:rFonts w:ascii="宋体" w:hAnsi="宋体" w:cs="宋体"/>
      <w:sz w:val="24"/>
      <w:szCs w:val="24"/>
    </w:rPr>
  </w:style>
  <w:style w:type="character" w:customStyle="1" w:styleId="70">
    <w:name w:val="批注主题 Char2"/>
    <w:link w:val="35"/>
    <w:qFormat/>
    <w:uiPriority w:val="0"/>
    <w:rPr>
      <w:rFonts w:ascii="Times New Roman" w:hAnsi="Times New Roman" w:eastAsia="宋体" w:cs="Times New Roman"/>
      <w:szCs w:val="20"/>
    </w:rPr>
  </w:style>
  <w:style w:type="character" w:customStyle="1" w:styleId="71">
    <w:name w:val="正文首行缩进 2 Char1"/>
    <w:link w:val="37"/>
    <w:qFormat/>
    <w:uiPriority w:val="99"/>
    <w:rPr>
      <w:rFonts w:ascii="Times New Roman" w:hAnsi="Times New Roman" w:eastAsia="宋体" w:cs="Times New Roman"/>
      <w:spacing w:val="-4"/>
      <w:kern w:val="2"/>
      <w:sz w:val="21"/>
      <w:szCs w:val="24"/>
    </w:rPr>
  </w:style>
  <w:style w:type="paragraph" w:customStyle="1" w:styleId="7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3">
    <w:name w:val="正文文本缩进 Char"/>
    <w:qFormat/>
    <w:uiPriority w:val="99"/>
    <w:rPr>
      <w:rFonts w:ascii="宋体" w:hAnsi="Times New Roman" w:eastAsia="宋体" w:cs="Times New Roman"/>
      <w:spacing w:val="-4"/>
      <w:sz w:val="18"/>
      <w:szCs w:val="20"/>
    </w:rPr>
  </w:style>
  <w:style w:type="character" w:customStyle="1" w:styleId="74">
    <w:name w:val="文档结构图 Char1"/>
    <w:qFormat/>
    <w:uiPriority w:val="0"/>
    <w:rPr>
      <w:rFonts w:ascii="Times New Roman" w:hAnsi="Times New Roman" w:eastAsia="宋体" w:cs="Times New Roman"/>
      <w:szCs w:val="24"/>
      <w:shd w:val="clear" w:color="auto" w:fill="000080"/>
    </w:rPr>
  </w:style>
  <w:style w:type="character" w:customStyle="1" w:styleId="75">
    <w:name w:val="日期 Char"/>
    <w:qFormat/>
    <w:uiPriority w:val="0"/>
    <w:rPr>
      <w:rFonts w:ascii="Times New Roman" w:hAnsi="Times New Roman" w:eastAsia="楷体_GB2312"/>
      <w:sz w:val="32"/>
    </w:rPr>
  </w:style>
  <w:style w:type="character" w:customStyle="1" w:styleId="76">
    <w:name w:val="HTML 预设格式 Char"/>
    <w:qFormat/>
    <w:uiPriority w:val="0"/>
    <w:rPr>
      <w:rFonts w:ascii="宋体" w:hAnsi="宋体" w:cs="宋体"/>
      <w:sz w:val="24"/>
      <w:szCs w:val="24"/>
    </w:rPr>
  </w:style>
  <w:style w:type="character" w:customStyle="1" w:styleId="77">
    <w:name w:val="标准文本 Char"/>
    <w:link w:val="78"/>
    <w:qFormat/>
    <w:locked/>
    <w:uiPriority w:val="0"/>
    <w:rPr>
      <w:lang w:val="zh-CN"/>
    </w:rPr>
  </w:style>
  <w:style w:type="paragraph" w:customStyle="1" w:styleId="78">
    <w:name w:val="标准文本"/>
    <w:basedOn w:val="1"/>
    <w:link w:val="77"/>
    <w:qFormat/>
    <w:uiPriority w:val="0"/>
    <w:pPr>
      <w:widowControl/>
      <w:spacing w:line="360" w:lineRule="auto"/>
      <w:ind w:firstLine="480" w:firstLineChars="200"/>
      <w:jc w:val="left"/>
    </w:pPr>
    <w:rPr>
      <w:rFonts w:ascii="Calibri" w:hAnsi="Calibri"/>
      <w:kern w:val="0"/>
      <w:sz w:val="20"/>
      <w:szCs w:val="20"/>
      <w:lang w:val="zh-CN"/>
    </w:rPr>
  </w:style>
  <w:style w:type="character" w:customStyle="1" w:styleId="79">
    <w:name w:val="apple-style-span"/>
    <w:qFormat/>
    <w:uiPriority w:val="0"/>
  </w:style>
  <w:style w:type="character" w:customStyle="1" w:styleId="80">
    <w:name w:val="正文文本缩进 2 Char"/>
    <w:qFormat/>
    <w:uiPriority w:val="0"/>
    <w:rPr>
      <w:rFonts w:ascii="仿宋_GB2312" w:hAnsi="仿宋_GB2312" w:eastAsia="宋体" w:cs="Times New Roman"/>
      <w:b/>
      <w:bCs/>
      <w:color w:val="000000"/>
      <w:sz w:val="24"/>
      <w:szCs w:val="24"/>
    </w:rPr>
  </w:style>
  <w:style w:type="character" w:customStyle="1" w:styleId="81">
    <w:name w:val="副标题 Char"/>
    <w:qFormat/>
    <w:uiPriority w:val="0"/>
    <w:rPr>
      <w:rFonts w:ascii="Cambria" w:hAnsi="Cambria"/>
      <w:b/>
      <w:bCs/>
      <w:kern w:val="28"/>
      <w:sz w:val="32"/>
      <w:szCs w:val="32"/>
    </w:rPr>
  </w:style>
  <w:style w:type="character" w:customStyle="1" w:styleId="82">
    <w:name w:val="font221"/>
    <w:qFormat/>
    <w:uiPriority w:val="0"/>
    <w:rPr>
      <w:rFonts w:hint="eastAsia" w:ascii="宋体" w:hAnsi="宋体" w:eastAsia="宋体" w:cs="宋体"/>
      <w:color w:val="000000"/>
      <w:sz w:val="18"/>
      <w:szCs w:val="18"/>
      <w:u w:val="none"/>
    </w:rPr>
  </w:style>
  <w:style w:type="character" w:customStyle="1" w:styleId="83">
    <w:name w:val="批注文字 Char1"/>
    <w:qFormat/>
    <w:uiPriority w:val="0"/>
    <w:rPr>
      <w:rFonts w:ascii="Times New Roman" w:hAnsi="Times New Roman" w:eastAsia="宋体" w:cs="Times New Roman"/>
      <w:szCs w:val="20"/>
    </w:rPr>
  </w:style>
  <w:style w:type="character" w:customStyle="1" w:styleId="84">
    <w:name w:val="标题 2 Char1"/>
    <w:qFormat/>
    <w:uiPriority w:val="0"/>
    <w:rPr>
      <w:rFonts w:ascii="Arial" w:hAnsi="Arial" w:eastAsia="黑体"/>
      <w:b/>
      <w:bCs/>
      <w:sz w:val="32"/>
      <w:szCs w:val="32"/>
    </w:rPr>
  </w:style>
  <w:style w:type="character" w:customStyle="1" w:styleId="85">
    <w:name w:val="页眉 Char"/>
    <w:qFormat/>
    <w:uiPriority w:val="99"/>
    <w:rPr>
      <w:sz w:val="18"/>
      <w:szCs w:val="18"/>
    </w:rPr>
  </w:style>
  <w:style w:type="character" w:styleId="86">
    <w:name w:val="Placeholder Text"/>
    <w:semiHidden/>
    <w:qFormat/>
    <w:uiPriority w:val="99"/>
    <w:rPr>
      <w:color w:val="808080"/>
    </w:rPr>
  </w:style>
  <w:style w:type="character" w:customStyle="1" w:styleId="87">
    <w:name w:val="正文文本缩进 2 Char1"/>
    <w:qFormat/>
    <w:uiPriority w:val="0"/>
    <w:rPr>
      <w:rFonts w:ascii="仿宋_GB2312" w:hAnsi="仿宋_GB2312" w:eastAsia="宋体" w:cs="Times New Roman"/>
      <w:b/>
      <w:bCs/>
      <w:color w:val="000000"/>
      <w:sz w:val="24"/>
      <w:szCs w:val="24"/>
    </w:rPr>
  </w:style>
  <w:style w:type="character" w:customStyle="1" w:styleId="88">
    <w:name w:val="正文文本 2 Char"/>
    <w:qFormat/>
    <w:uiPriority w:val="0"/>
    <w:rPr>
      <w:rFonts w:ascii="宋体" w:hAnsi="Times New Roman" w:eastAsia="宋体" w:cs="Times New Roman"/>
      <w:color w:val="000000"/>
      <w:sz w:val="24"/>
      <w:szCs w:val="24"/>
    </w:rPr>
  </w:style>
  <w:style w:type="character" w:customStyle="1" w:styleId="89">
    <w:name w:val="标题 2 Char"/>
    <w:qFormat/>
    <w:uiPriority w:val="0"/>
    <w:rPr>
      <w:rFonts w:ascii="Arial" w:hAnsi="Arial" w:eastAsia="黑体"/>
      <w:b/>
      <w:bCs/>
      <w:sz w:val="32"/>
      <w:szCs w:val="32"/>
    </w:rPr>
  </w:style>
  <w:style w:type="character" w:customStyle="1" w:styleId="90">
    <w:name w:val="纯文本 字符1"/>
    <w:qFormat/>
    <w:uiPriority w:val="0"/>
    <w:rPr>
      <w:rFonts w:ascii="宋体" w:hAnsi="Courier New" w:eastAsia="宋体"/>
      <w:kern w:val="2"/>
      <w:sz w:val="24"/>
      <w:szCs w:val="24"/>
      <w:lang w:val="en-US" w:eastAsia="zh-CN" w:bidi="ar-SA"/>
    </w:rPr>
  </w:style>
  <w:style w:type="character" w:customStyle="1" w:styleId="91">
    <w:name w:val="正文首行缩进 2 Char"/>
    <w:qFormat/>
    <w:uiPriority w:val="99"/>
  </w:style>
  <w:style w:type="character" w:customStyle="1" w:styleId="92">
    <w:name w:val="HTML 预设格式 Char1"/>
    <w:qFormat/>
    <w:uiPriority w:val="0"/>
    <w:rPr>
      <w:rFonts w:ascii="宋体" w:hAnsi="宋体" w:cs="宋体"/>
      <w:sz w:val="24"/>
      <w:szCs w:val="24"/>
    </w:rPr>
  </w:style>
  <w:style w:type="character" w:customStyle="1" w:styleId="93">
    <w:name w:val="正文文本缩进 3 Char"/>
    <w:qFormat/>
    <w:uiPriority w:val="0"/>
    <w:rPr>
      <w:rFonts w:ascii="仿宋_GB2312" w:hAnsi="Times New Roman" w:eastAsia="仿宋_GB2312"/>
      <w:color w:val="000000"/>
      <w:sz w:val="24"/>
      <w:szCs w:val="24"/>
    </w:rPr>
  </w:style>
  <w:style w:type="character" w:customStyle="1" w:styleId="94">
    <w:name w:val="批注框文本 Char"/>
    <w:qFormat/>
    <w:uiPriority w:val="99"/>
    <w:rPr>
      <w:rFonts w:ascii="Times New Roman" w:hAnsi="Times New Roman" w:eastAsia="宋体" w:cs="Times New Roman"/>
      <w:sz w:val="18"/>
      <w:szCs w:val="18"/>
    </w:rPr>
  </w:style>
  <w:style w:type="character" w:customStyle="1" w:styleId="95">
    <w:name w:val="批注文字 Char"/>
    <w:qFormat/>
    <w:uiPriority w:val="0"/>
    <w:rPr>
      <w:rFonts w:ascii="Times New Roman" w:hAnsi="Times New Roman" w:eastAsia="宋体" w:cs="Times New Roman"/>
      <w:szCs w:val="20"/>
    </w:rPr>
  </w:style>
  <w:style w:type="character" w:customStyle="1" w:styleId="96">
    <w:name w:val="NormalCharacter"/>
    <w:qFormat/>
    <w:uiPriority w:val="0"/>
    <w:rPr>
      <w:kern w:val="2"/>
      <w:sz w:val="21"/>
      <w:szCs w:val="24"/>
      <w:lang w:val="en-US" w:eastAsia="zh-CN" w:bidi="ar-SA"/>
    </w:rPr>
  </w:style>
  <w:style w:type="character" w:customStyle="1" w:styleId="97">
    <w:name w:val="标题 1 Char1"/>
    <w:qFormat/>
    <w:uiPriority w:val="0"/>
    <w:rPr>
      <w:rFonts w:ascii="Times New Roman" w:hAnsi="Times New Roman" w:eastAsia="宋体" w:cs="Times New Roman"/>
      <w:b/>
      <w:bCs/>
      <w:kern w:val="44"/>
      <w:sz w:val="44"/>
      <w:szCs w:val="44"/>
    </w:rPr>
  </w:style>
  <w:style w:type="character" w:customStyle="1" w:styleId="98">
    <w:name w:val="纯文本 Char1"/>
    <w:qFormat/>
    <w:uiPriority w:val="0"/>
    <w:rPr>
      <w:rFonts w:ascii="宋体" w:hAnsi="Times New Roman" w:eastAsia="宋体" w:cs="Times New Roman"/>
      <w:sz w:val="24"/>
      <w:szCs w:val="24"/>
    </w:rPr>
  </w:style>
  <w:style w:type="character" w:customStyle="1" w:styleId="99">
    <w:name w:val="标题 3 Char1"/>
    <w:qFormat/>
    <w:uiPriority w:val="0"/>
    <w:rPr>
      <w:b/>
      <w:bCs/>
      <w:sz w:val="32"/>
      <w:szCs w:val="32"/>
    </w:rPr>
  </w:style>
  <w:style w:type="character" w:customStyle="1" w:styleId="100">
    <w:name w:val="纯文本 字符"/>
    <w:qFormat/>
    <w:uiPriority w:val="0"/>
    <w:rPr>
      <w:rFonts w:ascii="宋体" w:hAnsi="Times New Roman" w:eastAsia="宋体" w:cs="Times New Roman"/>
      <w:sz w:val="24"/>
      <w:szCs w:val="24"/>
    </w:rPr>
  </w:style>
  <w:style w:type="character" w:customStyle="1" w:styleId="101">
    <w:name w:val="标题 3 Char"/>
    <w:qFormat/>
    <w:uiPriority w:val="0"/>
    <w:rPr>
      <w:rFonts w:ascii="Times New Roman" w:hAnsi="Times New Roman"/>
      <w:b/>
      <w:bCs/>
      <w:sz w:val="32"/>
      <w:szCs w:val="32"/>
    </w:rPr>
  </w:style>
  <w:style w:type="character" w:customStyle="1" w:styleId="102">
    <w:name w:val="批注主题 Char"/>
    <w:qFormat/>
    <w:uiPriority w:val="0"/>
    <w:rPr>
      <w:rFonts w:ascii="Times New Roman" w:hAnsi="Times New Roman" w:eastAsia="宋体" w:cs="Times New Roman"/>
      <w:szCs w:val="20"/>
    </w:rPr>
  </w:style>
  <w:style w:type="character" w:customStyle="1" w:styleId="103">
    <w:name w:val="正文文本 Char1"/>
    <w:qFormat/>
    <w:uiPriority w:val="0"/>
    <w:rPr>
      <w:rFonts w:ascii="Times New Roman" w:hAnsi="Times New Roman" w:eastAsia="宋体" w:cs="Times New Roman"/>
      <w:sz w:val="28"/>
      <w:szCs w:val="24"/>
    </w:rPr>
  </w:style>
  <w:style w:type="character" w:customStyle="1" w:styleId="104">
    <w:name w:val="正文文本缩进 3 Char1"/>
    <w:qFormat/>
    <w:uiPriority w:val="0"/>
    <w:rPr>
      <w:rFonts w:ascii="仿宋_GB2312" w:eastAsia="仿宋_GB2312"/>
      <w:color w:val="000000"/>
      <w:sz w:val="24"/>
      <w:szCs w:val="24"/>
    </w:rPr>
  </w:style>
  <w:style w:type="character" w:customStyle="1" w:styleId="105">
    <w:name w:val="批注文字 Char2"/>
    <w:qFormat/>
    <w:uiPriority w:val="0"/>
    <w:rPr>
      <w:rFonts w:ascii="Times New Roman" w:hAnsi="Times New Roman" w:eastAsia="宋体" w:cs="Times New Roman"/>
      <w:szCs w:val="20"/>
    </w:rPr>
  </w:style>
  <w:style w:type="character" w:customStyle="1" w:styleId="106">
    <w:name w:val="标题 5 Char1"/>
    <w:qFormat/>
    <w:uiPriority w:val="0"/>
    <w:rPr>
      <w:rFonts w:ascii="Times New Roman" w:hAnsi="Times New Roman" w:eastAsia="宋体" w:cs="Times New Roman"/>
      <w:b/>
      <w:bCs/>
      <w:sz w:val="28"/>
      <w:szCs w:val="28"/>
    </w:rPr>
  </w:style>
  <w:style w:type="character" w:customStyle="1" w:styleId="107">
    <w:name w:val="style7"/>
    <w:qFormat/>
    <w:uiPriority w:val="0"/>
  </w:style>
  <w:style w:type="character" w:customStyle="1" w:styleId="108">
    <w:name w:val="标题 4 Char"/>
    <w:qFormat/>
    <w:uiPriority w:val="0"/>
    <w:rPr>
      <w:rFonts w:ascii="Arial" w:hAnsi="Arial" w:eastAsia="黑体" w:cs="Times New Roman"/>
      <w:b/>
      <w:bCs/>
      <w:sz w:val="28"/>
      <w:szCs w:val="28"/>
    </w:rPr>
  </w:style>
  <w:style w:type="character" w:customStyle="1" w:styleId="109">
    <w:name w:val="font171"/>
    <w:qFormat/>
    <w:uiPriority w:val="0"/>
    <w:rPr>
      <w:rFonts w:hint="default" w:ascii="Wingdings 2" w:hAnsi="Wingdings 2" w:eastAsia="Wingdings 2" w:cs="Wingdings 2"/>
      <w:color w:val="000000"/>
      <w:sz w:val="18"/>
      <w:szCs w:val="18"/>
      <w:u w:val="none"/>
    </w:rPr>
  </w:style>
  <w:style w:type="character" w:customStyle="1" w:styleId="110">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11">
    <w:name w:val="页眉 Char1"/>
    <w:qFormat/>
    <w:uiPriority w:val="99"/>
    <w:rPr>
      <w:sz w:val="18"/>
      <w:szCs w:val="18"/>
    </w:rPr>
  </w:style>
  <w:style w:type="character" w:customStyle="1" w:styleId="112">
    <w:name w:val="标题 1 Char"/>
    <w:qFormat/>
    <w:uiPriority w:val="0"/>
    <w:rPr>
      <w:rFonts w:ascii="Times New Roman" w:hAnsi="Times New Roman" w:eastAsia="宋体" w:cs="Times New Roman"/>
      <w:b/>
      <w:bCs/>
      <w:kern w:val="44"/>
      <w:sz w:val="44"/>
      <w:szCs w:val="44"/>
    </w:rPr>
  </w:style>
  <w:style w:type="character" w:customStyle="1" w:styleId="113">
    <w:name w:val="正文文本 Char"/>
    <w:qFormat/>
    <w:uiPriority w:val="0"/>
    <w:rPr>
      <w:rFonts w:ascii="Times New Roman" w:hAnsi="Times New Roman" w:eastAsia="宋体" w:cs="Times New Roman"/>
      <w:sz w:val="28"/>
      <w:szCs w:val="24"/>
    </w:rPr>
  </w:style>
  <w:style w:type="character" w:customStyle="1" w:styleId="114">
    <w:name w:val="unnamed1"/>
    <w:qFormat/>
    <w:uiPriority w:val="0"/>
  </w:style>
  <w:style w:type="character" w:customStyle="1" w:styleId="115">
    <w:name w:val="页脚 Char"/>
    <w:qFormat/>
    <w:uiPriority w:val="99"/>
    <w:rPr>
      <w:sz w:val="18"/>
      <w:szCs w:val="18"/>
    </w:rPr>
  </w:style>
  <w:style w:type="character" w:customStyle="1" w:styleId="116">
    <w:name w:val="正文文本 3 Char"/>
    <w:qFormat/>
    <w:uiPriority w:val="0"/>
    <w:rPr>
      <w:rFonts w:ascii="Times New Roman" w:hAnsi="Times New Roman" w:eastAsia="仿宋_GB2312"/>
      <w:b/>
      <w:bCs/>
      <w:sz w:val="24"/>
    </w:rPr>
  </w:style>
  <w:style w:type="character" w:customStyle="1" w:styleId="117">
    <w:name w:val="页脚 Char1"/>
    <w:qFormat/>
    <w:uiPriority w:val="99"/>
    <w:rPr>
      <w:sz w:val="18"/>
      <w:szCs w:val="18"/>
    </w:rPr>
  </w:style>
  <w:style w:type="character" w:customStyle="1" w:styleId="118">
    <w:name w:val="日期 Char1"/>
    <w:qFormat/>
    <w:uiPriority w:val="0"/>
    <w:rPr>
      <w:rFonts w:eastAsia="楷体_GB2312"/>
      <w:sz w:val="32"/>
    </w:rPr>
  </w:style>
  <w:style w:type="character" w:customStyle="1" w:styleId="119">
    <w:name w:val="标题 4 Char1"/>
    <w:qFormat/>
    <w:uiPriority w:val="0"/>
    <w:rPr>
      <w:rFonts w:ascii="Arial" w:hAnsi="Arial" w:eastAsia="黑体" w:cs="Times New Roman"/>
      <w:b/>
      <w:bCs/>
      <w:sz w:val="28"/>
      <w:szCs w:val="28"/>
    </w:rPr>
  </w:style>
  <w:style w:type="character" w:customStyle="1" w:styleId="120">
    <w:name w:val="标题 5 Char"/>
    <w:qFormat/>
    <w:uiPriority w:val="0"/>
    <w:rPr>
      <w:rFonts w:ascii="Times New Roman" w:hAnsi="Times New Roman" w:eastAsia="宋体" w:cs="Times New Roman"/>
      <w:b/>
      <w:bCs/>
      <w:sz w:val="28"/>
      <w:szCs w:val="28"/>
    </w:rPr>
  </w:style>
  <w:style w:type="character" w:customStyle="1" w:styleId="121">
    <w:name w:val="列出段落 Char"/>
    <w:qFormat/>
    <w:uiPriority w:val="34"/>
    <w:rPr>
      <w:kern w:val="2"/>
      <w:sz w:val="21"/>
      <w:szCs w:val="22"/>
    </w:rPr>
  </w:style>
  <w:style w:type="character" w:customStyle="1" w:styleId="122">
    <w:name w:val="纯文本 Char"/>
    <w:qFormat/>
    <w:uiPriority w:val="0"/>
    <w:rPr>
      <w:rFonts w:ascii="宋体" w:hAnsi="Times New Roman" w:eastAsia="宋体" w:cs="Times New Roman"/>
      <w:sz w:val="24"/>
      <w:szCs w:val="24"/>
    </w:rPr>
  </w:style>
  <w:style w:type="character" w:customStyle="1" w:styleId="123">
    <w:name w:val="批注主题 Char1"/>
    <w:qFormat/>
    <w:uiPriority w:val="0"/>
    <w:rPr>
      <w:rFonts w:ascii="Times New Roman" w:hAnsi="Times New Roman" w:eastAsia="宋体" w:cs="Times New Roman"/>
      <w:szCs w:val="20"/>
    </w:rPr>
  </w:style>
  <w:style w:type="character" w:customStyle="1" w:styleId="124">
    <w:name w:val="font211"/>
    <w:qFormat/>
    <w:uiPriority w:val="0"/>
    <w:rPr>
      <w:rFonts w:hint="eastAsia" w:ascii="宋体" w:hAnsi="宋体" w:eastAsia="宋体" w:cs="宋体"/>
      <w:color w:val="000000"/>
      <w:sz w:val="20"/>
      <w:szCs w:val="20"/>
      <w:u w:val="none"/>
    </w:rPr>
  </w:style>
  <w:style w:type="character" w:customStyle="1" w:styleId="125">
    <w:name w:val="ca-32"/>
    <w:qFormat/>
    <w:uiPriority w:val="0"/>
  </w:style>
  <w:style w:type="character" w:customStyle="1" w:styleId="126">
    <w:name w:val="文档结构图 Char"/>
    <w:qFormat/>
    <w:uiPriority w:val="0"/>
    <w:rPr>
      <w:rFonts w:ascii="Times New Roman" w:hAnsi="Times New Roman" w:eastAsia="宋体" w:cs="Times New Roman"/>
      <w:szCs w:val="24"/>
      <w:shd w:val="clear" w:color="auto" w:fill="000080"/>
    </w:rPr>
  </w:style>
  <w:style w:type="character" w:customStyle="1" w:styleId="127">
    <w:name w:val="副标题 Char1"/>
    <w:qFormat/>
    <w:uiPriority w:val="11"/>
    <w:rPr>
      <w:rFonts w:ascii="Cambria" w:hAnsi="Cambria" w:eastAsia="宋体" w:cs="Times New Roman"/>
      <w:b/>
      <w:bCs/>
      <w:kern w:val="28"/>
      <w:sz w:val="32"/>
      <w:szCs w:val="32"/>
    </w:rPr>
  </w:style>
  <w:style w:type="character" w:customStyle="1" w:styleId="128">
    <w:name w:val="页脚 Char2"/>
    <w:qFormat/>
    <w:uiPriority w:val="99"/>
    <w:rPr>
      <w:sz w:val="18"/>
      <w:szCs w:val="18"/>
    </w:rPr>
  </w:style>
  <w:style w:type="character" w:customStyle="1" w:styleId="129">
    <w:name w:val="纯文本 Char2"/>
    <w:qFormat/>
    <w:uiPriority w:val="0"/>
    <w:rPr>
      <w:rFonts w:ascii="宋体" w:hAnsi="Times New Roman" w:eastAsia="宋体" w:cs="Times New Roman"/>
      <w:sz w:val="24"/>
      <w:szCs w:val="24"/>
    </w:rPr>
  </w:style>
  <w:style w:type="character" w:customStyle="1" w:styleId="130">
    <w:name w:val="列出段落 Char1"/>
    <w:qFormat/>
    <w:uiPriority w:val="34"/>
    <w:rPr>
      <w:kern w:val="2"/>
      <w:sz w:val="21"/>
      <w:szCs w:val="22"/>
    </w:rPr>
  </w:style>
  <w:style w:type="character" w:customStyle="1" w:styleId="131">
    <w:name w:val="正文文本缩进 Char1"/>
    <w:qFormat/>
    <w:uiPriority w:val="0"/>
    <w:rPr>
      <w:rFonts w:ascii="宋体" w:hAnsi="Times New Roman" w:eastAsia="宋体" w:cs="Times New Roman"/>
      <w:spacing w:val="-4"/>
      <w:sz w:val="18"/>
      <w:szCs w:val="20"/>
    </w:rPr>
  </w:style>
  <w:style w:type="character" w:customStyle="1" w:styleId="132">
    <w:name w:val="TableItem Char"/>
    <w:link w:val="133"/>
    <w:qFormat/>
    <w:uiPriority w:val="0"/>
    <w:rPr>
      <w:rFonts w:ascii="Verdana" w:hAnsi="Verdana" w:eastAsia="等线" w:cs="Verdana"/>
      <w:b/>
      <w:bCs/>
      <w:color w:val="538135"/>
      <w:spacing w:val="-10"/>
      <w:sz w:val="16"/>
      <w:szCs w:val="28"/>
      <w:lang w:val="en-US" w:eastAsia="zh-CN" w:bidi="ar-SA"/>
    </w:rPr>
  </w:style>
  <w:style w:type="paragraph" w:customStyle="1" w:styleId="133">
    <w:name w:val="TableItem"/>
    <w:link w:val="132"/>
    <w:qFormat/>
    <w:uiPriority w:val="0"/>
    <w:rPr>
      <w:rFonts w:ascii="Verdana" w:hAnsi="Verdana" w:eastAsia="等线" w:cs="Verdana"/>
      <w:b/>
      <w:bCs/>
      <w:color w:val="538135"/>
      <w:spacing w:val="-10"/>
      <w:sz w:val="16"/>
      <w:szCs w:val="28"/>
      <w:lang w:val="en-US" w:eastAsia="zh-CN" w:bidi="ar-SA"/>
    </w:rPr>
  </w:style>
  <w:style w:type="character" w:customStyle="1" w:styleId="134">
    <w:name w:val="列出段落 Char2"/>
    <w:link w:val="135"/>
    <w:qFormat/>
    <w:uiPriority w:val="34"/>
    <w:rPr>
      <w:rFonts w:ascii="Calibri" w:hAnsi="Calibri"/>
      <w:kern w:val="2"/>
      <w:sz w:val="21"/>
      <w:szCs w:val="22"/>
    </w:rPr>
  </w:style>
  <w:style w:type="paragraph" w:styleId="135">
    <w:name w:val="List Paragraph"/>
    <w:basedOn w:val="1"/>
    <w:link w:val="134"/>
    <w:qFormat/>
    <w:uiPriority w:val="34"/>
    <w:pPr>
      <w:tabs>
        <w:tab w:val="left" w:pos="360"/>
      </w:tabs>
      <w:ind w:left="360" w:hanging="360"/>
    </w:pPr>
    <w:rPr>
      <w:rFonts w:ascii="Calibri" w:hAnsi="Calibri"/>
      <w:szCs w:val="22"/>
    </w:rPr>
  </w:style>
  <w:style w:type="character" w:customStyle="1" w:styleId="136">
    <w:name w:val="副标题 字符"/>
    <w:qFormat/>
    <w:uiPriority w:val="99"/>
    <w:rPr>
      <w:rFonts w:ascii="宋体" w:hAnsi="Tahoma" w:cs="宋体"/>
      <w:i/>
      <w:iCs/>
      <w:sz w:val="36"/>
      <w:szCs w:val="36"/>
      <w:lang w:val="en-AU"/>
    </w:rPr>
  </w:style>
  <w:style w:type="character" w:customStyle="1" w:styleId="137">
    <w:name w:val="正文文本 3 Char1"/>
    <w:qFormat/>
    <w:uiPriority w:val="0"/>
    <w:rPr>
      <w:rFonts w:eastAsia="仿宋_GB2312"/>
      <w:b/>
      <w:bCs/>
      <w:sz w:val="24"/>
    </w:rPr>
  </w:style>
  <w:style w:type="character" w:customStyle="1" w:styleId="138">
    <w:name w:val="副标题 Char2"/>
    <w:qFormat/>
    <w:uiPriority w:val="0"/>
    <w:rPr>
      <w:rFonts w:ascii="Cambria" w:hAnsi="Cambria"/>
      <w:b/>
      <w:bCs/>
      <w:kern w:val="28"/>
      <w:sz w:val="32"/>
      <w:szCs w:val="32"/>
    </w:rPr>
  </w:style>
  <w:style w:type="character" w:customStyle="1" w:styleId="139">
    <w:name w:val="c_title1"/>
    <w:qFormat/>
    <w:uiPriority w:val="0"/>
    <w:rPr>
      <w:rFonts w:ascii="黑体" w:eastAsia="黑体"/>
      <w:color w:val="03005C"/>
      <w:sz w:val="30"/>
      <w:szCs w:val="30"/>
      <w:u w:val="none"/>
    </w:rPr>
  </w:style>
  <w:style w:type="character" w:customStyle="1" w:styleId="140">
    <w:name w:val="批注框文本 Char1"/>
    <w:qFormat/>
    <w:uiPriority w:val="99"/>
    <w:rPr>
      <w:rFonts w:ascii="Times New Roman" w:hAnsi="Times New Roman" w:eastAsia="宋体" w:cs="Times New Roman"/>
      <w:sz w:val="18"/>
      <w:szCs w:val="18"/>
    </w:rPr>
  </w:style>
  <w:style w:type="character" w:customStyle="1" w:styleId="141">
    <w:name w:val="bookmark-item"/>
    <w:qFormat/>
    <w:uiPriority w:val="0"/>
  </w:style>
  <w:style w:type="character" w:customStyle="1" w:styleId="142">
    <w:name w:val="正文文本 2 Char1"/>
    <w:qFormat/>
    <w:uiPriority w:val="0"/>
    <w:rPr>
      <w:rFonts w:ascii="宋体" w:hAnsi="Times New Roman" w:eastAsia="宋体" w:cs="Times New Roman"/>
      <w:color w:val="000000"/>
      <w:sz w:val="24"/>
      <w:szCs w:val="24"/>
    </w:rPr>
  </w:style>
  <w:style w:type="character" w:customStyle="1" w:styleId="143">
    <w:name w:val="font14zd"/>
    <w:qFormat/>
    <w:uiPriority w:val="0"/>
    <w:rPr>
      <w:rFonts w:ascii="Times New Roman" w:hAnsi="Times New Roman" w:eastAsia="宋体" w:cs="Times New Roman"/>
    </w:rPr>
  </w:style>
  <w:style w:type="paragraph" w:customStyle="1" w:styleId="144">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145">
    <w:name w:val="font7"/>
    <w:basedOn w:val="1"/>
    <w:qFormat/>
    <w:uiPriority w:val="0"/>
    <w:pPr>
      <w:widowControl/>
      <w:spacing w:before="100" w:beforeAutospacing="1" w:after="100" w:afterAutospacing="1" w:line="280" w:lineRule="exact"/>
      <w:jc w:val="left"/>
    </w:pPr>
    <w:rPr>
      <w:kern w:val="0"/>
      <w:sz w:val="20"/>
      <w:szCs w:val="20"/>
    </w:rPr>
  </w:style>
  <w:style w:type="paragraph" w:customStyle="1" w:styleId="14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47">
    <w:name w:val="xl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48">
    <w:name w:val="Char21"/>
    <w:basedOn w:val="1"/>
    <w:qFormat/>
    <w:uiPriority w:val="0"/>
    <w:pPr>
      <w:jc w:val="left"/>
    </w:pPr>
    <w:rPr>
      <w:rFonts w:ascii="仿宋_GB2312" w:hAnsi="宋体" w:eastAsia="仿宋_GB2312" w:cs="Arial"/>
      <w:b/>
      <w:sz w:val="32"/>
      <w:szCs w:val="32"/>
    </w:rPr>
  </w:style>
  <w:style w:type="paragraph" w:customStyle="1" w:styleId="149">
    <w:name w:val="font8"/>
    <w:basedOn w:val="1"/>
    <w:qFormat/>
    <w:uiPriority w:val="0"/>
    <w:pPr>
      <w:widowControl/>
      <w:spacing w:before="100" w:beforeAutospacing="1" w:after="100" w:afterAutospacing="1" w:line="280" w:lineRule="exact"/>
      <w:jc w:val="left"/>
    </w:pPr>
    <w:rPr>
      <w:b/>
      <w:bCs/>
      <w:kern w:val="0"/>
      <w:sz w:val="32"/>
      <w:szCs w:val="32"/>
    </w:rPr>
  </w:style>
  <w:style w:type="paragraph" w:customStyle="1" w:styleId="150">
    <w:name w:val="pa-1"/>
    <w:basedOn w:val="1"/>
    <w:qFormat/>
    <w:uiPriority w:val="0"/>
    <w:pPr>
      <w:widowControl/>
      <w:spacing w:before="100" w:beforeAutospacing="1" w:after="100" w:afterAutospacing="1"/>
      <w:jc w:val="left"/>
    </w:pPr>
    <w:rPr>
      <w:rFonts w:ascii="宋体" w:cs="宋体"/>
      <w:kern w:val="0"/>
      <w:sz w:val="24"/>
    </w:rPr>
  </w:style>
  <w:style w:type="paragraph" w:customStyle="1" w:styleId="15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kern w:val="0"/>
      <w:sz w:val="20"/>
      <w:szCs w:val="20"/>
    </w:rPr>
  </w:style>
  <w:style w:type="paragraph" w:customStyle="1" w:styleId="152">
    <w:name w:val="Char Char Char Char1"/>
    <w:basedOn w:val="1"/>
    <w:qFormat/>
    <w:uiPriority w:val="0"/>
    <w:pPr>
      <w:widowControl/>
      <w:spacing w:after="160" w:line="240" w:lineRule="exact"/>
      <w:jc w:val="left"/>
    </w:pPr>
    <w:rPr>
      <w:rFonts w:ascii="宋体" w:hAnsi="宋体" w:cs="Arial"/>
      <w:szCs w:val="21"/>
    </w:rPr>
  </w:style>
  <w:style w:type="paragraph" w:customStyle="1" w:styleId="153">
    <w:name w:val="xl89"/>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54">
    <w:name w:val="p0"/>
    <w:basedOn w:val="1"/>
    <w:qFormat/>
    <w:uiPriority w:val="0"/>
    <w:pPr>
      <w:widowControl/>
    </w:pPr>
    <w:rPr>
      <w:kern w:val="0"/>
      <w:szCs w:val="21"/>
    </w:rPr>
  </w:style>
  <w:style w:type="paragraph" w:customStyle="1" w:styleId="15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156">
    <w:name w:val="xl86"/>
    <w:basedOn w:val="1"/>
    <w:qFormat/>
    <w:uiPriority w:val="0"/>
    <w:pPr>
      <w:widowControl/>
      <w:shd w:val="clear" w:color="000000" w:fill="FFFFFF"/>
      <w:spacing w:before="100" w:beforeAutospacing="1" w:after="100" w:afterAutospacing="1" w:line="280" w:lineRule="exact"/>
      <w:jc w:val="center"/>
    </w:pPr>
    <w:rPr>
      <w:b/>
      <w:bCs/>
      <w:kern w:val="0"/>
      <w:sz w:val="32"/>
      <w:szCs w:val="32"/>
    </w:rPr>
  </w:style>
  <w:style w:type="paragraph" w:customStyle="1" w:styleId="157">
    <w:name w:val="Char1 Char Char Char1"/>
    <w:basedOn w:val="1"/>
    <w:qFormat/>
    <w:uiPriority w:val="0"/>
    <w:pPr>
      <w:tabs>
        <w:tab w:val="left" w:pos="840"/>
      </w:tabs>
      <w:ind w:left="840" w:hanging="420"/>
      <w:jc w:val="left"/>
    </w:pPr>
    <w:rPr>
      <w:rFonts w:ascii="宋体" w:hAnsi="宋体" w:cs="Arial"/>
      <w:sz w:val="24"/>
    </w:rPr>
  </w:style>
  <w:style w:type="paragraph" w:customStyle="1" w:styleId="158">
    <w:name w:val="op_mapdots_left"/>
    <w:basedOn w:val="1"/>
    <w:qFormat/>
    <w:uiPriority w:val="0"/>
    <w:pPr>
      <w:widowControl/>
      <w:jc w:val="left"/>
    </w:pPr>
    <w:rPr>
      <w:rFonts w:ascii="宋体" w:cs="宋体"/>
      <w:kern w:val="0"/>
      <w:sz w:val="24"/>
    </w:rPr>
  </w:style>
  <w:style w:type="paragraph" w:customStyle="1" w:styleId="159">
    <w:name w:val="列出段落2"/>
    <w:basedOn w:val="1"/>
    <w:qFormat/>
    <w:uiPriority w:val="34"/>
    <w:pPr>
      <w:spacing w:line="300" w:lineRule="auto"/>
      <w:ind w:firstLine="420" w:firstLineChars="200"/>
    </w:pPr>
    <w:rPr>
      <w:rFonts w:ascii="宋体"/>
      <w:kern w:val="0"/>
      <w:sz w:val="24"/>
      <w:szCs w:val="20"/>
    </w:rPr>
  </w:style>
  <w:style w:type="paragraph" w:customStyle="1" w:styleId="160">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161">
    <w:name w:val="xl85"/>
    <w:basedOn w:val="1"/>
    <w:qFormat/>
    <w:uiPriority w:val="0"/>
    <w:pPr>
      <w:widowControl/>
      <w:pBdr>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62">
    <w:name w:val="msolistparagraph"/>
    <w:basedOn w:val="1"/>
    <w:qFormat/>
    <w:uiPriority w:val="0"/>
    <w:pPr>
      <w:spacing w:line="280" w:lineRule="exact"/>
      <w:ind w:firstLine="420" w:firstLineChars="200"/>
    </w:pPr>
    <w:rPr>
      <w:rFonts w:ascii="Calibri" w:hAnsi="Calibri"/>
      <w:sz w:val="22"/>
      <w:szCs w:val="22"/>
    </w:rPr>
  </w:style>
  <w:style w:type="paragraph" w:customStyle="1" w:styleId="163">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64">
    <w:name w:val="Default"/>
    <w:next w:val="16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6">
    <w:name w:val="正文段"/>
    <w:basedOn w:val="1"/>
    <w:qFormat/>
    <w:uiPriority w:val="0"/>
    <w:pPr>
      <w:widowControl/>
      <w:snapToGrid w:val="0"/>
      <w:spacing w:afterLines="50"/>
      <w:ind w:firstLine="200" w:firstLineChars="200"/>
    </w:pPr>
    <w:rPr>
      <w:kern w:val="0"/>
      <w:sz w:val="24"/>
      <w:szCs w:val="20"/>
    </w:rPr>
  </w:style>
  <w:style w:type="paragraph" w:customStyle="1" w:styleId="167">
    <w:name w:val="xl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68">
    <w:name w:val="Char1"/>
    <w:basedOn w:val="1"/>
    <w:qFormat/>
    <w:uiPriority w:val="0"/>
    <w:rPr>
      <w:rFonts w:ascii="Tahoma" w:hAnsi="Tahoma"/>
      <w:sz w:val="24"/>
      <w:szCs w:val="20"/>
    </w:rPr>
  </w:style>
  <w:style w:type="paragraph" w:customStyle="1" w:styleId="16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70">
    <w:name w:val="纯文本1"/>
    <w:basedOn w:val="1"/>
    <w:qFormat/>
    <w:uiPriority w:val="0"/>
    <w:pPr>
      <w:spacing w:beforeLines="50" w:afterLines="50" w:line="400" w:lineRule="exact"/>
    </w:pPr>
    <w:rPr>
      <w:rFonts w:ascii="宋体" w:hAnsi="Courier New"/>
      <w:sz w:val="24"/>
    </w:rPr>
  </w:style>
  <w:style w:type="paragraph" w:customStyle="1" w:styleId="17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72">
    <w:name w:val="xl79"/>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173">
    <w:name w:val="table_lines"/>
    <w:basedOn w:val="1"/>
    <w:qFormat/>
    <w:uiPriority w:val="0"/>
    <w:rPr>
      <w:szCs w:val="20"/>
    </w:rPr>
  </w:style>
  <w:style w:type="paragraph" w:customStyle="1" w:styleId="174">
    <w:name w:val="List Paragraph1"/>
    <w:basedOn w:val="1"/>
    <w:qFormat/>
    <w:uiPriority w:val="0"/>
    <w:pPr>
      <w:ind w:firstLine="420" w:firstLineChars="200"/>
    </w:pPr>
    <w:rPr>
      <w:rFonts w:ascii="Calibri" w:hAnsi="Calibri"/>
      <w:szCs w:val="21"/>
    </w:rPr>
  </w:style>
  <w:style w:type="paragraph" w:customStyle="1" w:styleId="175">
    <w:name w:val="xl80"/>
    <w:basedOn w:val="1"/>
    <w:qFormat/>
    <w:uiPriority w:val="0"/>
    <w:pPr>
      <w:widowControl/>
      <w:shd w:val="clear" w:color="000000" w:fill="FFFFFF"/>
      <w:spacing w:before="100" w:beforeAutospacing="1" w:after="100" w:afterAutospacing="1" w:line="280" w:lineRule="exact"/>
      <w:jc w:val="center"/>
    </w:pPr>
    <w:rPr>
      <w:kern w:val="0"/>
      <w:sz w:val="20"/>
      <w:szCs w:val="20"/>
    </w:rPr>
  </w:style>
  <w:style w:type="paragraph" w:customStyle="1" w:styleId="176">
    <w:name w:val="xl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77">
    <w:name w:val="列出段落1"/>
    <w:basedOn w:val="1"/>
    <w:qFormat/>
    <w:uiPriority w:val="0"/>
    <w:pPr>
      <w:ind w:firstLine="200" w:firstLineChars="200"/>
    </w:pPr>
    <w:rPr>
      <w:rFonts w:ascii="Calibri" w:hAnsi="Calibri"/>
      <w:szCs w:val="22"/>
    </w:rPr>
  </w:style>
  <w:style w:type="paragraph" w:customStyle="1" w:styleId="178">
    <w:name w:val="xl81"/>
    <w:basedOn w:val="1"/>
    <w:qFormat/>
    <w:uiPriority w:val="0"/>
    <w:pPr>
      <w:widowControl/>
      <w:pBdr>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7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0">
    <w:name w:val="_Style 86"/>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1">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82">
    <w:name w:val="xl6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18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84">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185">
    <w:name w:val="xl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6">
    <w:name w:val="xl84"/>
    <w:basedOn w:val="1"/>
    <w:qFormat/>
    <w:uiPriority w:val="0"/>
    <w:pPr>
      <w:widowControl/>
      <w:pBdr>
        <w:lef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7">
    <w:name w:val="333"/>
    <w:basedOn w:val="1"/>
    <w:qFormat/>
    <w:uiPriority w:val="0"/>
    <w:pPr>
      <w:adjustRightInd w:val="0"/>
      <w:spacing w:line="312" w:lineRule="atLeast"/>
      <w:textAlignment w:val="baseline"/>
    </w:pPr>
    <w:rPr>
      <w:kern w:val="0"/>
      <w:szCs w:val="20"/>
    </w:rPr>
  </w:style>
  <w:style w:type="paragraph" w:customStyle="1" w:styleId="188">
    <w:name w:val="Char1 Char Char Char"/>
    <w:basedOn w:val="1"/>
    <w:qFormat/>
    <w:uiPriority w:val="0"/>
    <w:pPr>
      <w:tabs>
        <w:tab w:val="left" w:pos="840"/>
      </w:tabs>
      <w:ind w:left="840" w:hanging="420"/>
    </w:pPr>
    <w:rPr>
      <w:sz w:val="24"/>
    </w:rPr>
  </w:style>
  <w:style w:type="paragraph" w:customStyle="1" w:styleId="189">
    <w:name w:val="纯文本2"/>
    <w:basedOn w:val="1"/>
    <w:qFormat/>
    <w:uiPriority w:val="0"/>
    <w:pPr>
      <w:spacing w:before="156" w:beforeLines="50" w:after="156" w:afterLines="50" w:line="400" w:lineRule="exact"/>
    </w:pPr>
    <w:rPr>
      <w:rFonts w:ascii="宋体" w:hAnsi="Courier New"/>
      <w:sz w:val="24"/>
    </w:rPr>
  </w:style>
  <w:style w:type="paragraph" w:customStyle="1" w:styleId="190">
    <w:name w:val="列出段落11"/>
    <w:basedOn w:val="1"/>
    <w:qFormat/>
    <w:uiPriority w:val="0"/>
    <w:pPr>
      <w:ind w:firstLine="200" w:firstLineChars="200"/>
      <w:jc w:val="left"/>
    </w:pPr>
    <w:rPr>
      <w:rFonts w:ascii="Calibri" w:hAnsi="Calibri" w:cs="Arial"/>
      <w:szCs w:val="22"/>
    </w:rPr>
  </w:style>
  <w:style w:type="paragraph" w:customStyle="1" w:styleId="191">
    <w:name w:val="_Style 188"/>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2">
    <w:name w:val="xl6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3">
    <w:name w:val="xl9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9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5">
    <w:name w:val="Char3"/>
    <w:basedOn w:val="1"/>
    <w:qFormat/>
    <w:uiPriority w:val="0"/>
    <w:pPr>
      <w:ind w:firstLine="200" w:firstLineChars="200"/>
      <w:jc w:val="left"/>
    </w:pPr>
    <w:rPr>
      <w:rFonts w:ascii="幼圆" w:hAnsi="宋体" w:eastAsia="幼圆" w:cs="幼圆"/>
      <w:sz w:val="24"/>
      <w:szCs w:val="21"/>
    </w:rPr>
  </w:style>
  <w:style w:type="paragraph" w:customStyle="1" w:styleId="196">
    <w:name w:val="xl9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97">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98">
    <w:name w:val="Char"/>
    <w:basedOn w:val="1"/>
    <w:qFormat/>
    <w:uiPriority w:val="0"/>
    <w:pPr>
      <w:ind w:firstLine="200" w:firstLineChars="200"/>
    </w:pPr>
    <w:rPr>
      <w:rFonts w:ascii="幼圆" w:eastAsia="幼圆" w:cs="幼圆"/>
      <w:sz w:val="24"/>
      <w:szCs w:val="20"/>
    </w:rPr>
  </w:style>
  <w:style w:type="paragraph" w:customStyle="1" w:styleId="199">
    <w:name w:val="table_1stline"/>
    <w:basedOn w:val="1"/>
    <w:qFormat/>
    <w:uiPriority w:val="0"/>
    <w:pPr>
      <w:spacing w:before="120"/>
    </w:pPr>
    <w:rPr>
      <w:bCs/>
      <w:szCs w:val="20"/>
    </w:rPr>
  </w:style>
  <w:style w:type="paragraph" w:customStyle="1" w:styleId="200">
    <w:name w:val="font9"/>
    <w:basedOn w:val="1"/>
    <w:qFormat/>
    <w:uiPriority w:val="0"/>
    <w:pPr>
      <w:widowControl/>
      <w:spacing w:before="100" w:beforeAutospacing="1" w:after="100" w:afterAutospacing="1" w:line="280" w:lineRule="exact"/>
      <w:jc w:val="left"/>
    </w:pPr>
    <w:rPr>
      <w:rFonts w:ascii="宋体" w:hAnsi="宋体" w:cs="宋体"/>
      <w:b/>
      <w:bCs/>
      <w:kern w:val="0"/>
      <w:sz w:val="32"/>
      <w:szCs w:val="32"/>
    </w:rPr>
  </w:style>
  <w:style w:type="paragraph" w:customStyle="1" w:styleId="201">
    <w:name w:val="UserStyle_66"/>
    <w:basedOn w:val="1"/>
    <w:qFormat/>
    <w:uiPriority w:val="0"/>
    <w:pPr>
      <w:spacing w:line="280" w:lineRule="exact"/>
    </w:pPr>
    <w:rPr>
      <w:kern w:val="0"/>
      <w:szCs w:val="21"/>
    </w:rPr>
  </w:style>
  <w:style w:type="paragraph" w:customStyle="1" w:styleId="202">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03">
    <w:name w:val="Char Char Char Char Char Char"/>
    <w:basedOn w:val="1"/>
    <w:qFormat/>
    <w:uiPriority w:val="0"/>
    <w:pPr>
      <w:ind w:firstLine="200" w:firstLineChars="200"/>
    </w:pPr>
    <w:rPr>
      <w:rFonts w:ascii="Tahoma" w:hAnsi="Tahoma"/>
      <w:sz w:val="24"/>
      <w:szCs w:val="20"/>
    </w:rPr>
  </w:style>
  <w:style w:type="paragraph" w:customStyle="1" w:styleId="20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05">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06">
    <w:name w:val="p15"/>
    <w:basedOn w:val="1"/>
    <w:qFormat/>
    <w:uiPriority w:val="0"/>
    <w:pPr>
      <w:widowControl/>
    </w:pPr>
    <w:rPr>
      <w:kern w:val="0"/>
      <w:szCs w:val="21"/>
    </w:rPr>
  </w:style>
  <w:style w:type="paragraph" w:customStyle="1" w:styleId="207">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208">
    <w:name w:val="自由格式 A"/>
    <w:qFormat/>
    <w:uiPriority w:val="0"/>
    <w:rPr>
      <w:rFonts w:ascii="Helvetica" w:hAnsi="Helvetica" w:eastAsia="ヒラギノ角ゴ Pro W3" w:cs="Times New Roman"/>
      <w:color w:val="000000"/>
      <w:sz w:val="24"/>
      <w:lang w:val="en-US" w:eastAsia="zh-CN" w:bidi="ar-SA"/>
    </w:rPr>
  </w:style>
  <w:style w:type="paragraph" w:customStyle="1" w:styleId="209">
    <w:name w:val="Char Char Char Char"/>
    <w:basedOn w:val="1"/>
    <w:qFormat/>
    <w:uiPriority w:val="0"/>
    <w:pPr>
      <w:widowControl/>
      <w:spacing w:after="160" w:line="240" w:lineRule="exact"/>
      <w:jc w:val="left"/>
    </w:pPr>
    <w:rPr>
      <w:szCs w:val="20"/>
    </w:rPr>
  </w:style>
  <w:style w:type="paragraph" w:customStyle="1" w:styleId="210">
    <w:name w:val="_Style 77"/>
    <w:basedOn w:val="1"/>
    <w:next w:val="135"/>
    <w:qFormat/>
    <w:uiPriority w:val="34"/>
    <w:pPr>
      <w:tabs>
        <w:tab w:val="left" w:pos="360"/>
      </w:tabs>
      <w:spacing w:line="280" w:lineRule="exact"/>
      <w:ind w:left="360" w:hanging="360"/>
    </w:pPr>
    <w:rPr>
      <w:rFonts w:ascii="Calibri" w:hAnsi="Calibri"/>
      <w:szCs w:val="22"/>
    </w:rPr>
  </w:style>
  <w:style w:type="paragraph" w:customStyle="1" w:styleId="21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12">
    <w:name w:val="Char11"/>
    <w:basedOn w:val="1"/>
    <w:qFormat/>
    <w:uiPriority w:val="0"/>
  </w:style>
  <w:style w:type="paragraph" w:customStyle="1" w:styleId="213">
    <w:name w:val="tgt2"/>
    <w:basedOn w:val="1"/>
    <w:qFormat/>
    <w:uiPriority w:val="0"/>
    <w:pPr>
      <w:widowControl/>
      <w:spacing w:after="150" w:line="360" w:lineRule="auto"/>
      <w:jc w:val="left"/>
    </w:pPr>
    <w:rPr>
      <w:rFonts w:ascii="宋体" w:cs="宋体"/>
      <w:b/>
      <w:bCs/>
      <w:kern w:val="0"/>
      <w:sz w:val="36"/>
      <w:szCs w:val="36"/>
    </w:rPr>
  </w:style>
  <w:style w:type="paragraph" w:customStyle="1" w:styleId="214">
    <w:name w:val="font5"/>
    <w:basedOn w:val="1"/>
    <w:qFormat/>
    <w:uiPriority w:val="0"/>
    <w:pPr>
      <w:widowControl/>
      <w:spacing w:before="100" w:beforeAutospacing="1" w:after="100" w:afterAutospacing="1" w:line="280" w:lineRule="exact"/>
      <w:jc w:val="left"/>
    </w:pPr>
    <w:rPr>
      <w:rFonts w:ascii="宋体" w:hAnsi="宋体" w:cs="宋体"/>
      <w:kern w:val="0"/>
      <w:sz w:val="18"/>
      <w:szCs w:val="18"/>
    </w:rPr>
  </w:style>
  <w:style w:type="paragraph" w:customStyle="1" w:styleId="215">
    <w:name w:val="xl72"/>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16">
    <w:name w:val="Char Char Char Char Char Char Char Char Char Char Char Char1 Char"/>
    <w:basedOn w:val="13"/>
    <w:qFormat/>
    <w:uiPriority w:val="0"/>
    <w:rPr>
      <w:rFonts w:ascii="Tahoma" w:hAnsi="Tahoma"/>
      <w:sz w:val="24"/>
    </w:rPr>
  </w:style>
  <w:style w:type="paragraph" w:customStyle="1" w:styleId="217">
    <w:name w:val="Char Char Char Char Char Char1"/>
    <w:basedOn w:val="1"/>
    <w:qFormat/>
    <w:uiPriority w:val="0"/>
    <w:pPr>
      <w:ind w:firstLine="200" w:firstLineChars="200"/>
      <w:jc w:val="left"/>
    </w:pPr>
    <w:rPr>
      <w:rFonts w:ascii="Tahoma" w:hAnsi="Tahoma" w:cs="Arial"/>
      <w:sz w:val="24"/>
      <w:szCs w:val="21"/>
    </w:rPr>
  </w:style>
  <w:style w:type="paragraph" w:customStyle="1" w:styleId="218">
    <w:name w:val="正文－恩普"/>
    <w:basedOn w:val="11"/>
    <w:qFormat/>
    <w:uiPriority w:val="0"/>
    <w:pPr>
      <w:widowControl/>
      <w:numPr>
        <w:numId w:val="0"/>
      </w:numPr>
      <w:tabs>
        <w:tab w:val="clear" w:pos="2040"/>
      </w:tabs>
      <w:spacing w:afterLines="50" w:line="360" w:lineRule="auto"/>
      <w:ind w:firstLine="480" w:firstLineChars="200"/>
      <w:jc w:val="left"/>
    </w:pPr>
    <w:rPr>
      <w:kern w:val="0"/>
      <w:sz w:val="24"/>
    </w:rPr>
  </w:style>
  <w:style w:type="paragraph" w:customStyle="1" w:styleId="219">
    <w:name w:val="默认段落字体 Para Char Char Char Char Char Char Char Char Char1 Char Char Char Char"/>
    <w:basedOn w:val="1"/>
    <w:qFormat/>
    <w:uiPriority w:val="0"/>
    <w:rPr>
      <w:rFonts w:ascii="Tahoma" w:hAnsi="Tahoma"/>
      <w:sz w:val="24"/>
      <w:szCs w:val="20"/>
    </w:rPr>
  </w:style>
  <w:style w:type="paragraph" w:customStyle="1" w:styleId="22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21">
    <w:name w:val="xl7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2">
    <w:name w:val="xl73"/>
    <w:basedOn w:val="1"/>
    <w:qFormat/>
    <w:uiPriority w:val="0"/>
    <w:pPr>
      <w:widowControl/>
      <w:pBdr>
        <w:top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4">
    <w:name w:val="Char2"/>
    <w:basedOn w:val="1"/>
    <w:qFormat/>
    <w:uiPriority w:val="0"/>
    <w:rPr>
      <w:rFonts w:ascii="仿宋_GB2312" w:eastAsia="仿宋_GB2312"/>
      <w:b/>
      <w:sz w:val="32"/>
      <w:szCs w:val="32"/>
    </w:rPr>
  </w:style>
  <w:style w:type="paragraph" w:customStyle="1" w:styleId="225">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26">
    <w:name w:val="xl65"/>
    <w:basedOn w:val="1"/>
    <w:qFormat/>
    <w:uiPriority w:val="0"/>
    <w:pPr>
      <w:widowControl/>
      <w:shd w:val="clear" w:color="000000" w:fill="FFFFFF"/>
      <w:spacing w:before="100" w:beforeAutospacing="1" w:after="100" w:afterAutospacing="1" w:line="280" w:lineRule="exact"/>
      <w:jc w:val="left"/>
    </w:pPr>
    <w:rPr>
      <w:kern w:val="0"/>
      <w:sz w:val="20"/>
      <w:szCs w:val="20"/>
    </w:rPr>
  </w:style>
  <w:style w:type="paragraph" w:customStyle="1" w:styleId="227">
    <w:name w:val="xl92"/>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28">
    <w:name w:val="font6"/>
    <w:basedOn w:val="1"/>
    <w:qFormat/>
    <w:uiPriority w:val="0"/>
    <w:pPr>
      <w:widowControl/>
      <w:spacing w:before="100" w:beforeAutospacing="1" w:after="100" w:afterAutospacing="1" w:line="280" w:lineRule="exact"/>
      <w:jc w:val="left"/>
    </w:pPr>
    <w:rPr>
      <w:rFonts w:ascii="宋体" w:hAnsi="宋体" w:cs="宋体"/>
      <w:kern w:val="0"/>
      <w:sz w:val="20"/>
      <w:szCs w:val="20"/>
    </w:rPr>
  </w:style>
  <w:style w:type="paragraph" w:customStyle="1" w:styleId="229">
    <w:name w:val="_Style 148"/>
    <w:basedOn w:val="1"/>
    <w:next w:val="135"/>
    <w:qFormat/>
    <w:uiPriority w:val="34"/>
    <w:pPr>
      <w:numPr>
        <w:ilvl w:val="0"/>
        <w:numId w:val="8"/>
      </w:numPr>
    </w:pPr>
    <w:rPr>
      <w:rFonts w:ascii="Calibri" w:hAnsi="Calibri"/>
      <w:szCs w:val="22"/>
    </w:rPr>
  </w:style>
  <w:style w:type="paragraph" w:customStyle="1" w:styleId="230">
    <w:name w:val="Char Char Char Char Char Char Char Char Char Char Char Char1 Char1"/>
    <w:basedOn w:val="13"/>
    <w:qFormat/>
    <w:uiPriority w:val="0"/>
    <w:pPr>
      <w:jc w:val="left"/>
    </w:pPr>
    <w:rPr>
      <w:rFonts w:ascii="Tahoma" w:hAnsi="Tahoma" w:cs="Arial"/>
      <w:sz w:val="24"/>
    </w:rPr>
  </w:style>
  <w:style w:type="paragraph" w:customStyle="1" w:styleId="23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32">
    <w:name w:val="Body Text First Indent 21"/>
    <w:basedOn w:val="1"/>
    <w:qFormat/>
    <w:uiPriority w:val="0"/>
    <w:pPr>
      <w:ind w:left="420" w:leftChars="200" w:firstLine="420"/>
    </w:pPr>
    <w:rPr>
      <w:szCs w:val="21"/>
    </w:rPr>
  </w:style>
  <w:style w:type="paragraph" w:customStyle="1" w:styleId="233">
    <w:name w:val="BodyTextIndent"/>
    <w:basedOn w:val="1"/>
    <w:next w:val="1"/>
    <w:qFormat/>
    <w:uiPriority w:val="0"/>
    <w:pPr>
      <w:spacing w:line="480" w:lineRule="atLeast"/>
      <w:ind w:firstLine="570"/>
      <w:jc w:val="both"/>
      <w:textAlignment w:val="baseline"/>
    </w:pPr>
    <w:rPr>
      <w:rFonts w:ascii="??" w:hAnsi="??" w:eastAsia="??"/>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San-Elepow CON.</Company>
  <Pages>46</Pages>
  <Words>22350</Words>
  <Characters>23685</Characters>
  <Lines>202</Lines>
  <Paragraphs>57</Paragraphs>
  <TotalTime>38</TotalTime>
  <ScaleCrop>false</ScaleCrop>
  <LinksUpToDate>false</LinksUpToDate>
  <CharactersWithSpaces>24774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2022-01-15T16:40:00Z</dcterms:created>
  <dc:creator>yan</dc:creator>
  <cp:lastModifiedBy>Janove</cp:lastModifiedBy>
  <cp:lastPrinted>2022-07-14T01:07:00Z</cp:lastPrinted>
  <dcterms:modified xsi:type="dcterms:W3CDTF">2022-08-22T11:55:00Z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8644F1E6602C4B9BA60AA60D2C95C405</vt:lpwstr>
  </property>
</Properties>
</file>