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 w:val="32"/>
          <w:szCs w:val="32"/>
        </w:rPr>
      </w:pPr>
      <w:r>
        <w:rPr>
          <w:sz w:val="32"/>
          <w:szCs w:val="32"/>
        </w:rPr>
        <w:t xml:space="preserve"> </w:t>
      </w:r>
    </w:p>
    <w:p>
      <w:pPr>
        <w:spacing w:before="120" w:beforeLines="50"/>
        <w:rPr>
          <w:b/>
          <w:sz w:val="52"/>
          <w:szCs w:val="52"/>
        </w:rPr>
      </w:pPr>
    </w:p>
    <w:p>
      <w:pPr>
        <w:spacing w:before="120" w:beforeLines="50"/>
        <w:rPr>
          <w:b/>
          <w:sz w:val="52"/>
          <w:szCs w:val="52"/>
        </w:rPr>
      </w:pPr>
    </w:p>
    <w:p>
      <w:pPr>
        <w:spacing w:before="120" w:beforeLines="50"/>
        <w:jc w:val="center"/>
        <w:rPr>
          <w:b/>
          <w:sz w:val="72"/>
          <w:szCs w:val="72"/>
        </w:rPr>
      </w:pPr>
      <w:r>
        <w:rPr>
          <w:b/>
          <w:sz w:val="72"/>
          <w:szCs w:val="72"/>
        </w:rPr>
        <w:t>公</w:t>
      </w:r>
      <w:r>
        <w:rPr>
          <w:rFonts w:hint="eastAsia"/>
          <w:b/>
          <w:sz w:val="72"/>
          <w:szCs w:val="72"/>
        </w:rPr>
        <w:t xml:space="preserve"> </w:t>
      </w:r>
      <w:r>
        <w:rPr>
          <w:b/>
          <w:sz w:val="72"/>
          <w:szCs w:val="72"/>
        </w:rPr>
        <w:t>开</w:t>
      </w:r>
      <w:r>
        <w:rPr>
          <w:rFonts w:hint="eastAsia"/>
          <w:b/>
          <w:sz w:val="72"/>
          <w:szCs w:val="72"/>
        </w:rPr>
        <w:t xml:space="preserve"> </w:t>
      </w:r>
      <w:r>
        <w:rPr>
          <w:b/>
          <w:sz w:val="72"/>
          <w:szCs w:val="72"/>
        </w:rPr>
        <w:t>招</w:t>
      </w:r>
      <w:r>
        <w:rPr>
          <w:rFonts w:hint="eastAsia"/>
          <w:b/>
          <w:sz w:val="72"/>
          <w:szCs w:val="72"/>
        </w:rPr>
        <w:t xml:space="preserve"> </w:t>
      </w:r>
      <w:r>
        <w:rPr>
          <w:b/>
          <w:sz w:val="72"/>
          <w:szCs w:val="72"/>
        </w:rPr>
        <w:t>标</w:t>
      </w:r>
      <w:r>
        <w:rPr>
          <w:rFonts w:hint="eastAsia"/>
          <w:b/>
          <w:sz w:val="72"/>
          <w:szCs w:val="72"/>
        </w:rPr>
        <w:t xml:space="preserve"> </w:t>
      </w:r>
      <w:r>
        <w:rPr>
          <w:b/>
          <w:sz w:val="72"/>
          <w:szCs w:val="72"/>
        </w:rPr>
        <w:t>文</w:t>
      </w:r>
      <w:r>
        <w:rPr>
          <w:rFonts w:hint="eastAsia"/>
          <w:b/>
          <w:sz w:val="72"/>
          <w:szCs w:val="72"/>
        </w:rPr>
        <w:t xml:space="preserve"> </w:t>
      </w:r>
      <w:r>
        <w:rPr>
          <w:b/>
          <w:sz w:val="72"/>
          <w:szCs w:val="72"/>
        </w:rPr>
        <w:t>件</w:t>
      </w:r>
    </w:p>
    <w:p>
      <w:pPr>
        <w:pStyle w:val="76"/>
      </w:pPr>
    </w:p>
    <w:p>
      <w:pPr>
        <w:widowControl/>
        <w:jc w:val="center"/>
        <w:rPr>
          <w:rFonts w:ascii="宋体" w:hAnsi="宋体" w:cs="宋体"/>
          <w:kern w:val="0"/>
          <w:sz w:val="31"/>
          <w:szCs w:val="31"/>
          <w:lang w:bidi="ar"/>
        </w:rPr>
      </w:pPr>
    </w:p>
    <w:p>
      <w:pPr>
        <w:widowControl/>
        <w:jc w:val="center"/>
      </w:pPr>
      <w:r>
        <w:rPr>
          <w:rFonts w:hint="eastAsia" w:ascii="宋体" w:hAnsi="宋体" w:cs="宋体"/>
          <w:kern w:val="0"/>
          <w:sz w:val="31"/>
          <w:szCs w:val="31"/>
          <w:lang w:bidi="ar"/>
        </w:rPr>
        <w:t>（政府采购电子交易项目）</w:t>
      </w:r>
    </w:p>
    <w:p>
      <w:pPr>
        <w:snapToGrid w:val="0"/>
        <w:spacing w:before="120" w:beforeLines="50" w:line="360" w:lineRule="auto"/>
        <w:rPr>
          <w:sz w:val="30"/>
          <w:szCs w:val="72"/>
        </w:rPr>
      </w:pPr>
    </w:p>
    <w:p>
      <w:pPr>
        <w:snapToGrid w:val="0"/>
        <w:spacing w:before="120" w:beforeLines="50" w:line="360" w:lineRule="auto"/>
        <w:rPr>
          <w:rFonts w:hint="default" w:eastAsia="宋体"/>
          <w:sz w:val="30"/>
          <w:szCs w:val="72"/>
          <w:lang w:val="en-US" w:eastAsia="zh-CN"/>
        </w:rPr>
      </w:pPr>
    </w:p>
    <w:p>
      <w:pPr>
        <w:snapToGrid w:val="0"/>
        <w:spacing w:before="120" w:beforeLines="50" w:line="360" w:lineRule="auto"/>
        <w:rPr>
          <w:sz w:val="30"/>
          <w:szCs w:val="72"/>
        </w:rPr>
      </w:pPr>
    </w:p>
    <w:p>
      <w:pPr>
        <w:snapToGrid w:val="0"/>
        <w:spacing w:before="120" w:beforeLines="50" w:line="360" w:lineRule="auto"/>
        <w:rPr>
          <w:sz w:val="30"/>
          <w:szCs w:val="72"/>
        </w:rPr>
      </w:pPr>
    </w:p>
    <w:tbl>
      <w:tblPr>
        <w:tblStyle w:val="40"/>
        <w:tblW w:w="9231" w:type="dxa"/>
        <w:tblInd w:w="0" w:type="dxa"/>
        <w:tblLayout w:type="fixed"/>
        <w:tblCellMar>
          <w:top w:w="0" w:type="dxa"/>
          <w:left w:w="108" w:type="dxa"/>
          <w:bottom w:w="0" w:type="dxa"/>
          <w:right w:w="108" w:type="dxa"/>
        </w:tblCellMar>
      </w:tblPr>
      <w:tblGrid>
        <w:gridCol w:w="2134"/>
        <w:gridCol w:w="7097"/>
      </w:tblGrid>
      <w:tr>
        <w:tblPrEx>
          <w:tblCellMar>
            <w:top w:w="0" w:type="dxa"/>
            <w:left w:w="108" w:type="dxa"/>
            <w:bottom w:w="0" w:type="dxa"/>
            <w:right w:w="108" w:type="dxa"/>
          </w:tblCellMar>
        </w:tblPrEx>
        <w:trPr>
          <w:trHeight w:val="810" w:hRule="atLeast"/>
        </w:trPr>
        <w:tc>
          <w:tcPr>
            <w:tcW w:w="2134" w:type="dxa"/>
            <w:tcBorders>
              <w:top w:val="nil"/>
              <w:left w:val="nil"/>
              <w:bottom w:val="nil"/>
              <w:right w:val="nil"/>
            </w:tcBorders>
            <w:vAlign w:val="center"/>
          </w:tcPr>
          <w:p>
            <w:pPr>
              <w:snapToGrid w:val="0"/>
              <w:jc w:val="distribute"/>
              <w:rPr>
                <w:b/>
                <w:sz w:val="34"/>
                <w:szCs w:val="32"/>
              </w:rPr>
            </w:pPr>
            <w:r>
              <w:rPr>
                <w:b/>
                <w:sz w:val="34"/>
                <w:szCs w:val="32"/>
              </w:rPr>
              <w:t>项目编号：</w:t>
            </w:r>
          </w:p>
        </w:tc>
        <w:tc>
          <w:tcPr>
            <w:tcW w:w="7097" w:type="dxa"/>
            <w:tcBorders>
              <w:top w:val="nil"/>
              <w:left w:val="nil"/>
              <w:bottom w:val="nil"/>
              <w:right w:val="nil"/>
            </w:tcBorders>
            <w:vAlign w:val="center"/>
          </w:tcPr>
          <w:p>
            <w:pPr>
              <w:pStyle w:val="21"/>
              <w:snapToGrid w:val="0"/>
              <w:spacing w:beforeLines="0" w:afterLines="0" w:line="240" w:lineRule="auto"/>
              <w:rPr>
                <w:rFonts w:hint="eastAsia" w:ascii="Times New Roman" w:eastAsia="宋体"/>
                <w:b/>
                <w:kern w:val="2"/>
                <w:sz w:val="34"/>
                <w:szCs w:val="32"/>
                <w:u w:val="single"/>
                <w:lang w:eastAsia="zh-CN"/>
              </w:rPr>
            </w:pPr>
            <w:r>
              <w:rPr>
                <w:rFonts w:hint="eastAsia" w:ascii="Times New Roman"/>
                <w:b/>
                <w:sz w:val="34"/>
                <w:szCs w:val="32"/>
                <w:lang w:eastAsia="zh-CN"/>
              </w:rPr>
              <w:t>NBZS-202211498G</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jc w:val="distribute"/>
              <w:rPr>
                <w:b/>
                <w:sz w:val="34"/>
                <w:szCs w:val="32"/>
              </w:rPr>
            </w:pPr>
            <w:r>
              <w:rPr>
                <w:b/>
                <w:sz w:val="34"/>
                <w:szCs w:val="32"/>
              </w:rPr>
              <w:t>项目名称：</w:t>
            </w:r>
          </w:p>
        </w:tc>
        <w:tc>
          <w:tcPr>
            <w:tcW w:w="7097" w:type="dxa"/>
            <w:tcBorders>
              <w:top w:val="nil"/>
              <w:left w:val="nil"/>
              <w:bottom w:val="nil"/>
              <w:right w:val="nil"/>
            </w:tcBorders>
            <w:vAlign w:val="center"/>
          </w:tcPr>
          <w:p>
            <w:pPr>
              <w:spacing w:line="400" w:lineRule="exact"/>
              <w:jc w:val="left"/>
              <w:rPr>
                <w:rFonts w:hint="eastAsia" w:eastAsia="宋体"/>
                <w:b/>
                <w:sz w:val="34"/>
                <w:szCs w:val="32"/>
                <w:u w:val="single"/>
                <w:lang w:eastAsia="zh-CN"/>
              </w:rPr>
            </w:pPr>
            <w:r>
              <w:rPr>
                <w:rFonts w:hint="eastAsia"/>
                <w:b/>
                <w:sz w:val="34"/>
                <w:szCs w:val="32"/>
                <w:lang w:eastAsia="zh-CN"/>
              </w:rPr>
              <w:t>实景三维宁波建设（数字孪生空间底座建设）</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jc w:val="distribute"/>
              <w:rPr>
                <w:b/>
                <w:sz w:val="34"/>
                <w:szCs w:val="32"/>
              </w:rPr>
            </w:pPr>
            <w:r>
              <w:rPr>
                <w:rFonts w:hint="eastAsia"/>
                <w:b/>
                <w:sz w:val="34"/>
                <w:szCs w:val="32"/>
              </w:rPr>
              <w:t>采购人：</w:t>
            </w:r>
          </w:p>
        </w:tc>
        <w:tc>
          <w:tcPr>
            <w:tcW w:w="7097" w:type="dxa"/>
            <w:tcBorders>
              <w:top w:val="nil"/>
              <w:left w:val="nil"/>
              <w:bottom w:val="nil"/>
              <w:right w:val="nil"/>
            </w:tcBorders>
            <w:vAlign w:val="center"/>
          </w:tcPr>
          <w:p>
            <w:pPr>
              <w:spacing w:line="400" w:lineRule="exact"/>
              <w:jc w:val="left"/>
              <w:rPr>
                <w:b/>
                <w:sz w:val="34"/>
                <w:szCs w:val="32"/>
              </w:rPr>
            </w:pPr>
            <w:r>
              <w:rPr>
                <w:rFonts w:hint="eastAsia"/>
                <w:b/>
                <w:sz w:val="34"/>
                <w:szCs w:val="32"/>
              </w:rPr>
              <w:t>宁波市自然资源和规划局</w:t>
            </w:r>
          </w:p>
        </w:tc>
      </w:tr>
    </w:tbl>
    <w:p>
      <w:pPr>
        <w:spacing w:before="120" w:beforeLines="50"/>
        <w:rPr>
          <w:b/>
          <w:sz w:val="30"/>
          <w:szCs w:val="72"/>
        </w:rPr>
      </w:pPr>
    </w:p>
    <w:p>
      <w:pPr>
        <w:pStyle w:val="21"/>
        <w:snapToGrid w:val="0"/>
        <w:spacing w:beforeLines="0" w:afterLines="0" w:line="360" w:lineRule="auto"/>
        <w:rPr>
          <w:rFonts w:ascii="Times New Roman"/>
          <w:b/>
          <w:sz w:val="30"/>
          <w:szCs w:val="72"/>
        </w:rPr>
      </w:pPr>
    </w:p>
    <w:p>
      <w:pPr>
        <w:pStyle w:val="21"/>
        <w:snapToGrid w:val="0"/>
        <w:spacing w:beforeLines="0" w:afterLines="0" w:line="360" w:lineRule="auto"/>
        <w:rPr>
          <w:rFonts w:ascii="Times New Roman"/>
          <w:b/>
          <w:sz w:val="30"/>
          <w:szCs w:val="72"/>
        </w:rPr>
      </w:pPr>
    </w:p>
    <w:p>
      <w:pPr>
        <w:snapToGrid w:val="0"/>
        <w:spacing w:before="120" w:beforeLines="50" w:line="360" w:lineRule="auto"/>
        <w:rPr>
          <w:b/>
          <w:bCs/>
          <w:sz w:val="30"/>
          <w:szCs w:val="30"/>
        </w:rPr>
      </w:pPr>
    </w:p>
    <w:p>
      <w:pPr>
        <w:snapToGrid w:val="0"/>
        <w:spacing w:before="120" w:beforeLines="50" w:line="360" w:lineRule="auto"/>
        <w:jc w:val="center"/>
        <w:rPr>
          <w:b/>
          <w:sz w:val="36"/>
          <w:szCs w:val="36"/>
        </w:rPr>
      </w:pPr>
      <w:r>
        <w:rPr>
          <w:rFonts w:hint="eastAsia"/>
          <w:b/>
          <w:sz w:val="36"/>
          <w:szCs w:val="36"/>
        </w:rPr>
        <w:t>宁波中穗招标有限公司</w:t>
      </w:r>
    </w:p>
    <w:p>
      <w:pPr>
        <w:snapToGrid w:val="0"/>
        <w:spacing w:before="120" w:beforeLines="50" w:line="360" w:lineRule="auto"/>
        <w:jc w:val="center"/>
        <w:rPr>
          <w:b/>
          <w:bCs/>
          <w:sz w:val="30"/>
          <w:szCs w:val="30"/>
        </w:rPr>
        <w:sectPr>
          <w:footerReference r:id="rId5" w:type="first"/>
          <w:headerReference r:id="rId3" w:type="default"/>
          <w:footerReference r:id="rId4" w:type="default"/>
          <w:pgSz w:w="11907" w:h="16840"/>
          <w:pgMar w:top="1276" w:right="1474" w:bottom="1242" w:left="1474" w:header="720" w:footer="720" w:gutter="0"/>
          <w:cols w:space="720" w:num="1"/>
          <w:docGrid w:linePitch="285" w:charSpace="0"/>
        </w:sectPr>
      </w:pPr>
      <w:r>
        <w:rPr>
          <w:b/>
          <w:bCs/>
          <w:sz w:val="30"/>
          <w:szCs w:val="30"/>
        </w:rPr>
        <w:t>二〇二</w:t>
      </w:r>
      <w:r>
        <w:rPr>
          <w:rFonts w:hint="eastAsia"/>
          <w:b/>
          <w:bCs/>
          <w:sz w:val="30"/>
          <w:szCs w:val="30"/>
        </w:rPr>
        <w:t>二</w:t>
      </w:r>
      <w:r>
        <w:rPr>
          <w:b/>
          <w:bCs/>
          <w:sz w:val="30"/>
          <w:szCs w:val="30"/>
        </w:rPr>
        <w:t>年</w:t>
      </w:r>
      <w:r>
        <w:rPr>
          <w:rFonts w:hint="eastAsia"/>
          <w:b/>
          <w:bCs/>
          <w:sz w:val="30"/>
          <w:szCs w:val="30"/>
        </w:rPr>
        <w:t>十二</w:t>
      </w:r>
      <w:r>
        <w:rPr>
          <w:b/>
          <w:bCs/>
          <w:sz w:val="30"/>
          <w:szCs w:val="30"/>
        </w:rPr>
        <w:t>月</w:t>
      </w:r>
    </w:p>
    <w:p>
      <w:pPr>
        <w:jc w:val="center"/>
        <w:outlineLvl w:val="0"/>
        <w:rPr>
          <w:b/>
          <w:bCs/>
          <w:sz w:val="40"/>
          <w:szCs w:val="40"/>
        </w:rPr>
      </w:pPr>
      <w:bookmarkStart w:id="0" w:name="_Toc3232"/>
      <w:r>
        <w:rPr>
          <w:b/>
          <w:bCs/>
          <w:sz w:val="40"/>
          <w:szCs w:val="40"/>
        </w:rPr>
        <w:t>目  录</w:t>
      </w:r>
      <w:bookmarkEnd w:id="0"/>
    </w:p>
    <w:p>
      <w:pPr>
        <w:pStyle w:val="76"/>
      </w:pPr>
    </w:p>
    <w:p>
      <w:pPr>
        <w:pStyle w:val="76"/>
      </w:pPr>
    </w:p>
    <w:p>
      <w:pPr>
        <w:pStyle w:val="76"/>
      </w:pPr>
    </w:p>
    <w:p>
      <w:pPr>
        <w:pStyle w:val="28"/>
        <w:tabs>
          <w:tab w:val="right" w:leader="dot" w:pos="9356"/>
        </w:tabs>
        <w:spacing w:line="480" w:lineRule="auto"/>
      </w:pPr>
      <w:r>
        <w:rPr>
          <w:b/>
          <w:sz w:val="28"/>
          <w:szCs w:val="28"/>
        </w:rPr>
        <w:fldChar w:fldCharType="begin"/>
      </w:r>
      <w:r>
        <w:rPr>
          <w:b/>
          <w:sz w:val="28"/>
          <w:szCs w:val="28"/>
        </w:rPr>
        <w:instrText xml:space="preserve">TOC \o "1-2" \h \u </w:instrText>
      </w:r>
      <w:r>
        <w:rPr>
          <w:b/>
          <w:sz w:val="28"/>
          <w:szCs w:val="28"/>
        </w:rPr>
        <w:fldChar w:fldCharType="separate"/>
      </w:r>
    </w:p>
    <w:p>
      <w:pPr>
        <w:pStyle w:val="28"/>
        <w:tabs>
          <w:tab w:val="right" w:leader="dot" w:pos="9356"/>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_Toc30551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公开招标采购公告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_Toc30551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8"/>
        <w:tabs>
          <w:tab w:val="right" w:leader="dot" w:pos="9356"/>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_Toc7260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_Toc7260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8"/>
        <w:tabs>
          <w:tab w:val="right" w:leader="dot" w:pos="9356"/>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_Toc31743 </w:instrText>
      </w:r>
      <w:r>
        <w:rPr>
          <w:rFonts w:hint="eastAsia" w:ascii="宋体" w:hAnsi="宋体" w:eastAsia="宋体" w:cs="宋体"/>
          <w:sz w:val="28"/>
          <w:szCs w:val="28"/>
        </w:rPr>
        <w:fldChar w:fldCharType="separate"/>
      </w:r>
      <w:r>
        <w:rPr>
          <w:rFonts w:hint="eastAsia" w:ascii="宋体" w:hAnsi="宋体" w:eastAsia="宋体" w:cs="宋体"/>
          <w:bCs/>
          <w:kern w:val="0"/>
          <w:sz w:val="28"/>
          <w:szCs w:val="28"/>
        </w:rPr>
        <w:t xml:space="preserve">第三章 </w:t>
      </w:r>
      <w:r>
        <w:rPr>
          <w:rFonts w:hint="eastAsia" w:ascii="宋体" w:hAnsi="宋体" w:eastAsia="宋体" w:cs="宋体"/>
          <w:bCs/>
          <w:kern w:val="0"/>
          <w:sz w:val="28"/>
          <w:szCs w:val="28"/>
          <w:lang w:val="en-US" w:eastAsia="zh-CN"/>
        </w:rPr>
        <w:t xml:space="preserve"> </w:t>
      </w:r>
      <w:r>
        <w:rPr>
          <w:rFonts w:hint="eastAsia" w:ascii="宋体" w:hAnsi="宋体" w:eastAsia="宋体" w:cs="宋体"/>
          <w:bCs/>
          <w:sz w:val="28"/>
          <w:szCs w:val="28"/>
        </w:rPr>
        <w:t>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_Toc31743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8"/>
        <w:tabs>
          <w:tab w:val="right" w:leader="dot" w:pos="9356"/>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_Toc2832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评标办法及评分标准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_Toc2832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8"/>
        <w:tabs>
          <w:tab w:val="right" w:leader="dot" w:pos="9356"/>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_Toc15760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采购合同主要条款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_Toc15760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8"/>
        <w:tabs>
          <w:tab w:val="right" w:leader="dot" w:pos="9356"/>
        </w:tabs>
        <w:spacing w:line="48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_Toc6138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投标文件格式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_Toc6138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2"/>
        <w:tabs>
          <w:tab w:val="right" w:leader="dot" w:pos="9356"/>
        </w:tabs>
        <w:spacing w:line="480" w:lineRule="auto"/>
      </w:pPr>
    </w:p>
    <w:p>
      <w:pPr>
        <w:pStyle w:val="28"/>
        <w:tabs>
          <w:tab w:val="right" w:leader="dot" w:pos="8311"/>
        </w:tabs>
        <w:spacing w:line="480" w:lineRule="auto"/>
        <w:rPr>
          <w:b/>
          <w:szCs w:val="21"/>
        </w:rPr>
      </w:pPr>
      <w:r>
        <w:rPr>
          <w:szCs w:val="28"/>
        </w:rPr>
        <w:fldChar w:fldCharType="end"/>
      </w:r>
    </w:p>
    <w:p>
      <w:pPr>
        <w:pStyle w:val="5"/>
        <w:spacing w:before="0" w:after="0" w:line="480" w:lineRule="auto"/>
        <w:jc w:val="center"/>
        <w:rPr>
          <w:sz w:val="30"/>
        </w:rPr>
        <w:sectPr>
          <w:footerReference r:id="rId6" w:type="default"/>
          <w:pgSz w:w="11907" w:h="16840"/>
          <w:pgMar w:top="1276" w:right="1304" w:bottom="1242" w:left="1247" w:header="720" w:footer="720" w:gutter="0"/>
          <w:pgNumType w:start="1"/>
          <w:cols w:space="720" w:num="1"/>
          <w:docGrid w:linePitch="285" w:charSpace="0"/>
        </w:sectPr>
      </w:pPr>
      <w:bookmarkStart w:id="1" w:name="_Toc460857890"/>
      <w:bookmarkStart w:id="2" w:name="_Toc13450"/>
      <w:bookmarkStart w:id="3" w:name="_Toc17057"/>
      <w:bookmarkStart w:id="4" w:name="_Toc79395432"/>
    </w:p>
    <w:p>
      <w:pPr>
        <w:jc w:val="center"/>
        <w:rPr>
          <w:b/>
          <w:bCs/>
          <w:sz w:val="28"/>
          <w:szCs w:val="28"/>
        </w:rPr>
      </w:pPr>
      <w:r>
        <w:rPr>
          <w:rFonts w:hint="eastAsia"/>
          <w:b/>
          <w:bCs/>
          <w:sz w:val="28"/>
          <w:szCs w:val="28"/>
        </w:rPr>
        <w:t>电 子 交 易 须 知</w:t>
      </w:r>
    </w:p>
    <w:p>
      <w:pPr>
        <w:pStyle w:val="2"/>
        <w:spacing w:line="360" w:lineRule="exact"/>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1.本项目通过政府采购云平台实行在线电子投标，投标人应先安装政采云电子交易客户端，并按照招标文件和政府采购云平台的要求，通过政采云电子交易客户端编制并加密投标文件，投标人未按规定加密的投标文件，政府采购云平台将予以拒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b/>
          <w:bCs/>
          <w:sz w:val="21"/>
          <w:szCs w:val="21"/>
        </w:rPr>
      </w:pPr>
      <w:r>
        <w:rPr>
          <w:rFonts w:hint="eastAsia" w:ascii="宋体" w:hAnsi="宋体" w:cs="宋体"/>
          <w:b/>
          <w:bCs/>
          <w:sz w:val="21"/>
          <w:szCs w:val="21"/>
        </w:rPr>
        <w:t xml:space="preserve">    政采云电子交易客户端请自行前往“浙江政府采购网-下载专区-电子交易客户端”进行下载，在线电子投标具体操作流程详见《供应商项目采购-电子招投标操作指南》。</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2.标前准备：各供应商应在开标前应确保成为浙江省政府采购网正式注册入库供应商，并完成CA数字证书办理（供应商CA申领操作指南：为保证信息传输的保密性、数据交换的完整性、发送信息的不可否认性及对交易者身份的确认，政采云网上招投标实行CA登录，CA申领有关业务说明链接如下：</w:t>
      </w:r>
      <w:r>
        <w:rPr>
          <w:rFonts w:hint="eastAsia" w:ascii="宋体" w:hAnsi="宋体" w:cs="宋体"/>
          <w:b/>
          <w:bCs/>
          <w:sz w:val="21"/>
          <w:szCs w:val="21"/>
        </w:rPr>
        <w:fldChar w:fldCharType="begin"/>
      </w:r>
      <w:r>
        <w:rPr>
          <w:rFonts w:hint="eastAsia" w:ascii="宋体" w:hAnsi="宋体" w:cs="宋体"/>
          <w:b/>
          <w:bCs/>
          <w:sz w:val="21"/>
          <w:szCs w:val="21"/>
        </w:rPr>
        <w:instrText xml:space="preserve"> HYPERLINK "https://help.zcygov.cn/web/site_2/2018/11/07/2367.html" </w:instrText>
      </w:r>
      <w:r>
        <w:rPr>
          <w:rFonts w:hint="eastAsia" w:ascii="宋体" w:hAnsi="宋体" w:cs="宋体"/>
          <w:b/>
          <w:bCs/>
          <w:sz w:val="21"/>
          <w:szCs w:val="21"/>
        </w:rPr>
        <w:fldChar w:fldCharType="separate"/>
      </w:r>
      <w:r>
        <w:rPr>
          <w:rFonts w:hint="eastAsia" w:ascii="宋体" w:hAnsi="宋体" w:cs="宋体"/>
          <w:b/>
          <w:bCs/>
          <w:sz w:val="21"/>
          <w:szCs w:val="21"/>
        </w:rPr>
        <w:t>https://help.zcygov.cn/web/site_2/2018/11/07/2367.html</w:t>
      </w:r>
      <w:r>
        <w:rPr>
          <w:rFonts w:hint="eastAsia" w:ascii="宋体" w:hAnsi="宋体" w:cs="宋体"/>
          <w:b/>
          <w:bCs/>
          <w:sz w:val="21"/>
          <w:szCs w:val="21"/>
        </w:rPr>
        <w:fldChar w:fldCharType="end"/>
      </w:r>
      <w:r>
        <w:rPr>
          <w:rFonts w:hint="eastAsia" w:ascii="宋体" w:hAnsi="宋体" w:cs="宋体"/>
          <w:b/>
          <w:bCs/>
          <w:sz w:val="21"/>
          <w:szCs w:val="21"/>
        </w:rPr>
        <w:t>，完成CA数字证书办理预计一周左右，请供应商自行把握时间）。因未注册入库、未办理CA数字证书等原因造成无法获取采购文件、无法投标或投标失败等后果由供应商自行承担。</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3.采购文件网上获取：</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已注册政采云平台账号的供应商登录后可免费下载采购文件，采购文件网上获取操作指南链接如下：https://service.zcygov.cn/#/knowledges/CW1EtGwBFdiHxlNd6I3m/6IMVAG0BFdiHxlNdQ8Na（电脑登录账号后浏览）</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4.投标文件制作：</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1）应按照本项目招标文件和政采云平台的要求编制、加密并递交投标文件。供应商在使用系统进行投标的过程中遇到涉及平台使用的任何问题，可致电政采云平台技术支持热线400-881-7190或政采云服务专员电话0574-63917219。</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（2）投标人通过政采云平台电子投标工具制作投标文件，电子投标工具链接如下：</w:t>
      </w:r>
      <w:r>
        <w:rPr>
          <w:rFonts w:hint="eastAsia" w:ascii="宋体" w:hAnsi="宋体" w:cs="宋体"/>
          <w:b/>
          <w:bCs/>
          <w:sz w:val="21"/>
          <w:szCs w:val="21"/>
        </w:rPr>
        <w:fldChar w:fldCharType="begin"/>
      </w:r>
      <w:r>
        <w:rPr>
          <w:rFonts w:hint="eastAsia" w:ascii="宋体" w:hAnsi="宋体" w:cs="宋体"/>
          <w:b/>
          <w:bCs/>
          <w:sz w:val="21"/>
          <w:szCs w:val="21"/>
        </w:rPr>
        <w:instrText xml:space="preserve"> HYPERLINK "http://zfcg.czt.zj.gov.cn/bidClientTemplate/2020-10-01/12975.html，" </w:instrText>
      </w:r>
      <w:r>
        <w:rPr>
          <w:rFonts w:hint="eastAsia" w:ascii="宋体" w:hAnsi="宋体" w:cs="宋体"/>
          <w:b/>
          <w:bCs/>
          <w:sz w:val="21"/>
          <w:szCs w:val="21"/>
        </w:rPr>
        <w:fldChar w:fldCharType="separate"/>
      </w:r>
      <w:r>
        <w:rPr>
          <w:rFonts w:hint="eastAsia" w:ascii="宋体" w:hAnsi="宋体" w:cs="宋体"/>
          <w:b/>
          <w:bCs/>
          <w:sz w:val="21"/>
          <w:szCs w:val="21"/>
        </w:rPr>
        <w:t>http://zfcg.czt.zj.gov.cn/bidClientTemplate/2020-10-01/12975.html，</w:t>
      </w:r>
      <w:r>
        <w:rPr>
          <w:rFonts w:hint="eastAsia" w:ascii="宋体" w:hAnsi="宋体" w:cs="宋体"/>
          <w:b/>
          <w:bCs/>
          <w:sz w:val="21"/>
          <w:szCs w:val="21"/>
        </w:rPr>
        <w:fldChar w:fldCharType="end"/>
      </w:r>
      <w:r>
        <w:rPr>
          <w:rFonts w:hint="eastAsia" w:ascii="宋体" w:hAnsi="宋体" w:cs="宋体"/>
          <w:b/>
          <w:bCs/>
          <w:sz w:val="21"/>
          <w:szCs w:val="21"/>
        </w:rPr>
        <w:t>政府采购项目电子交易管理操作指南链接如下：</w:t>
      </w:r>
      <w:r>
        <w:rPr>
          <w:sz w:val="21"/>
          <w:szCs w:val="21"/>
        </w:rPr>
        <w:fldChar w:fldCharType="begin"/>
      </w:r>
      <w:r>
        <w:rPr>
          <w:sz w:val="21"/>
          <w:szCs w:val="21"/>
        </w:rPr>
        <w:instrText xml:space="preserve"> HYPERLINK "https://service.zcygov.cn/" \l "/knowledges/CW1EtGwBFdiHxlNd6I3m/7GyLXW0BXgMSmLUuYuPM、" </w:instrText>
      </w:r>
      <w:r>
        <w:rPr>
          <w:sz w:val="21"/>
          <w:szCs w:val="21"/>
        </w:rPr>
        <w:fldChar w:fldCharType="separate"/>
      </w:r>
      <w:r>
        <w:rPr>
          <w:rFonts w:hint="eastAsia" w:ascii="宋体" w:hAnsi="宋体" w:cs="宋体"/>
          <w:b/>
          <w:bCs/>
          <w:sz w:val="21"/>
          <w:szCs w:val="21"/>
        </w:rPr>
        <w:t>https://service.zcygov.cn/#/knowledges/CW1EtGwBFdiHxlNd6I3m/7GyLXW0BXgMSmLUuYuPM</w:t>
      </w:r>
      <w:r>
        <w:rPr>
          <w:rFonts w:hint="eastAsia" w:ascii="宋体" w:hAnsi="宋体" w:cs="宋体"/>
          <w:b/>
          <w:bCs/>
          <w:sz w:val="21"/>
          <w:szCs w:val="21"/>
        </w:rPr>
        <w:fldChar w:fldCharType="end"/>
      </w:r>
      <w:r>
        <w:rPr>
          <w:rFonts w:hint="eastAsia" w:ascii="宋体" w:hAnsi="宋体" w:cs="宋体"/>
          <w:b/>
          <w:bCs/>
          <w:sz w:val="21"/>
          <w:szCs w:val="21"/>
        </w:rPr>
        <w:t>（电脑登录账号后观看）；https://service.zcygov.cn/#/knowledges/CW1EtGwBFdiHxlNd6I3m/6IMVAG0BFdiHxlNdQ8Na（电脑登录账号后浏览）。</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5.业务相关联系人和联系电话</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CA咨询（汇信公司）客服热线：400-888-4636</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 xml:space="preserve">CA咨询（天谷公司）客服热线： 400-087-8198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宋体" w:hAnsi="宋体" w:cs="宋体"/>
          <w:b/>
          <w:bCs/>
          <w:sz w:val="21"/>
          <w:szCs w:val="21"/>
        </w:rPr>
      </w:pPr>
      <w:r>
        <w:rPr>
          <w:rFonts w:hint="eastAsia" w:ascii="宋体" w:hAnsi="宋体" w:cs="宋体"/>
          <w:b/>
          <w:bCs/>
          <w:sz w:val="21"/>
          <w:szCs w:val="21"/>
        </w:rPr>
        <w:t>政采云平台客服电话：4008817190</w:t>
      </w:r>
    </w:p>
    <w:p>
      <w:pPr>
        <w:keepNext w:val="0"/>
        <w:keepLines w:val="0"/>
        <w:pageBreakBefore w:val="0"/>
        <w:widowControl w:val="0"/>
        <w:kinsoku/>
        <w:wordWrap/>
        <w:overflowPunct/>
        <w:topLinePunct w:val="0"/>
        <w:autoSpaceDE/>
        <w:autoSpaceDN/>
        <w:bidi w:val="0"/>
        <w:adjustRightInd/>
        <w:snapToGrid/>
        <w:spacing w:line="400" w:lineRule="exact"/>
        <w:textAlignment w:val="auto"/>
        <w:sectPr>
          <w:footerReference r:id="rId7" w:type="default"/>
          <w:pgSz w:w="11906" w:h="16838"/>
          <w:pgMar w:top="1440" w:right="1800" w:bottom="1440" w:left="1800" w:header="851" w:footer="992" w:gutter="0"/>
          <w:pgNumType w:fmt="decimal" w:start="1"/>
          <w:cols w:space="720" w:num="1"/>
          <w:docGrid w:type="lines" w:linePitch="312" w:charSpace="0"/>
        </w:sectPr>
      </w:pPr>
    </w:p>
    <w:p>
      <w:pPr>
        <w:pStyle w:val="5"/>
        <w:spacing w:before="0" w:after="0" w:line="360" w:lineRule="auto"/>
        <w:jc w:val="center"/>
        <w:rPr>
          <w:sz w:val="28"/>
          <w:szCs w:val="28"/>
        </w:rPr>
      </w:pPr>
      <w:bookmarkStart w:id="5" w:name="_Toc30551"/>
      <w:r>
        <w:rPr>
          <w:sz w:val="30"/>
        </w:rPr>
        <w:t>第一章  公开招标采购公告</w:t>
      </w:r>
      <w:bookmarkEnd w:id="1"/>
      <w:bookmarkEnd w:id="2"/>
      <w:bookmarkEnd w:id="3"/>
      <w:bookmarkEnd w:id="4"/>
      <w:bookmarkEnd w:id="5"/>
    </w:p>
    <w:p>
      <w:pPr>
        <w:keepNext w:val="0"/>
        <w:keepLines w:val="0"/>
        <w:pageBreakBefore w:val="0"/>
        <w:widowControl/>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before="75" w:after="75" w:line="360" w:lineRule="exact"/>
        <w:jc w:val="left"/>
        <w:textAlignment w:val="auto"/>
        <w:rPr>
          <w:rFonts w:ascii="仿宋" w:hAnsi="仿宋" w:cs="宋体"/>
          <w:kern w:val="0"/>
          <w:szCs w:val="21"/>
        </w:rPr>
      </w:pPr>
      <w:r>
        <w:rPr>
          <w:rFonts w:ascii="仿宋" w:hAnsi="仿宋" w:cs="宋体"/>
          <w:kern w:val="0"/>
          <w:szCs w:val="21"/>
        </w:rPr>
        <w:t>项目概况</w:t>
      </w:r>
    </w:p>
    <w:p>
      <w:pPr>
        <w:keepNext w:val="0"/>
        <w:keepLines w:val="0"/>
        <w:pageBreakBefore w:val="0"/>
        <w:widowControl/>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before="75" w:after="75" w:line="360" w:lineRule="exact"/>
        <w:ind w:firstLine="420" w:firstLineChars="200"/>
        <w:jc w:val="left"/>
        <w:textAlignment w:val="auto"/>
        <w:rPr>
          <w:rFonts w:ascii="仿宋" w:hAnsi="仿宋" w:cs="宋体"/>
          <w:kern w:val="0"/>
          <w:szCs w:val="21"/>
        </w:rPr>
      </w:pPr>
      <w:r>
        <w:rPr>
          <w:rFonts w:hint="eastAsia" w:ascii="仿宋" w:hAnsi="仿宋" w:cs="宋体"/>
          <w:kern w:val="0"/>
          <w:szCs w:val="21"/>
          <w:u w:val="single"/>
          <w:lang w:eastAsia="zh-CN"/>
        </w:rPr>
        <w:t>实景三维宁波建设（数字孪生空间底座建设）</w:t>
      </w:r>
      <w:r>
        <w:rPr>
          <w:rFonts w:hint="eastAsia" w:ascii="仿宋" w:hAnsi="仿宋" w:cs="宋体"/>
          <w:kern w:val="0"/>
          <w:szCs w:val="21"/>
          <w:u w:val="single"/>
        </w:rPr>
        <w:t xml:space="preserve"> </w:t>
      </w:r>
      <w:r>
        <w:rPr>
          <w:rFonts w:hint="eastAsia" w:ascii="仿宋" w:hAnsi="仿宋" w:cs="宋体"/>
          <w:kern w:val="0"/>
          <w:szCs w:val="21"/>
        </w:rPr>
        <w:t>项目</w:t>
      </w:r>
      <w:r>
        <w:rPr>
          <w:rFonts w:ascii="仿宋" w:hAnsi="仿宋" w:cs="宋体"/>
          <w:kern w:val="0"/>
          <w:szCs w:val="21"/>
        </w:rPr>
        <w:t>的潜在</w:t>
      </w:r>
      <w:r>
        <w:rPr>
          <w:rFonts w:hint="eastAsia" w:ascii="仿宋" w:hAnsi="仿宋" w:cs="宋体"/>
          <w:kern w:val="0"/>
          <w:szCs w:val="21"/>
        </w:rPr>
        <w:t>供应商</w:t>
      </w:r>
      <w:r>
        <w:rPr>
          <w:rFonts w:ascii="仿宋" w:hAnsi="仿宋" w:cs="宋体"/>
          <w:kern w:val="0"/>
          <w:szCs w:val="21"/>
        </w:rPr>
        <w:t>应在</w:t>
      </w:r>
      <w:r>
        <w:rPr>
          <w:rFonts w:hint="eastAsia" w:ascii="仿宋" w:hAnsi="仿宋" w:cs="宋体"/>
          <w:kern w:val="0"/>
          <w:szCs w:val="21"/>
        </w:rPr>
        <w:t>（</w:t>
      </w:r>
      <w:r>
        <w:rPr>
          <w:rFonts w:hint="eastAsia" w:ascii="宋体" w:hAnsi="宋体" w:cs="宋体"/>
          <w:kern w:val="0"/>
          <w:szCs w:val="21"/>
        </w:rPr>
        <w:t>http://zfcg.czt.zj.gov.cn</w:t>
      </w:r>
      <w:r>
        <w:rPr>
          <w:rFonts w:hint="eastAsia" w:ascii="仿宋" w:hAnsi="仿宋" w:cs="宋体"/>
          <w:kern w:val="0"/>
          <w:szCs w:val="21"/>
        </w:rPr>
        <w:t>）</w:t>
      </w:r>
      <w:r>
        <w:rPr>
          <w:rFonts w:ascii="仿宋" w:hAnsi="仿宋" w:cs="宋体"/>
          <w:kern w:val="0"/>
          <w:szCs w:val="21"/>
        </w:rPr>
        <w:t>浙江政府采购网政采云平台注册登记</w:t>
      </w:r>
      <w:r>
        <w:rPr>
          <w:rFonts w:hint="eastAsia" w:ascii="仿宋" w:hAnsi="仿宋" w:cs="宋体"/>
          <w:kern w:val="0"/>
          <w:szCs w:val="21"/>
        </w:rPr>
        <w:t>，</w:t>
      </w:r>
      <w:r>
        <w:rPr>
          <w:rFonts w:ascii="仿宋" w:hAnsi="仿宋" w:cs="宋体"/>
          <w:kern w:val="0"/>
          <w:szCs w:val="21"/>
        </w:rPr>
        <w:t>获取（下载）招标文件，并于</w:t>
      </w:r>
      <w:r>
        <w:rPr>
          <w:rFonts w:hint="eastAsia" w:ascii="宋体" w:hAnsi="宋体" w:cs="宋体"/>
          <w:kern w:val="0"/>
          <w:szCs w:val="21"/>
        </w:rPr>
        <w:t>202</w:t>
      </w:r>
      <w:r>
        <w:rPr>
          <w:rFonts w:hint="eastAsia" w:ascii="宋体" w:hAnsi="宋体" w:cs="宋体"/>
          <w:kern w:val="0"/>
          <w:szCs w:val="21"/>
          <w:lang w:eastAsia="zh-CN"/>
        </w:rPr>
        <w:t>3</w:t>
      </w:r>
      <w:r>
        <w:rPr>
          <w:rFonts w:hint="eastAsia" w:ascii="宋体" w:hAnsi="宋体" w:cs="宋体"/>
          <w:kern w:val="0"/>
          <w:szCs w:val="21"/>
        </w:rPr>
        <w:t>年</w:t>
      </w:r>
      <w:r>
        <w:rPr>
          <w:rFonts w:hint="eastAsia" w:ascii="宋体" w:hAnsi="宋体" w:cs="宋体"/>
          <w:kern w:val="0"/>
          <w:szCs w:val="21"/>
          <w:lang w:eastAsia="zh-CN"/>
        </w:rPr>
        <w:t>1</w:t>
      </w:r>
      <w:r>
        <w:rPr>
          <w:rFonts w:hint="eastAsia" w:ascii="宋体" w:hAnsi="宋体" w:cs="宋体"/>
          <w:kern w:val="0"/>
          <w:szCs w:val="21"/>
        </w:rPr>
        <w:t>月</w:t>
      </w:r>
      <w:r>
        <w:rPr>
          <w:rFonts w:hint="eastAsia" w:ascii="宋体" w:hAnsi="宋体" w:cs="宋体"/>
          <w:kern w:val="0"/>
          <w:szCs w:val="21"/>
          <w:lang w:val="en-US" w:eastAsia="zh-CN"/>
        </w:rPr>
        <w:t>12</w:t>
      </w:r>
      <w:r>
        <w:rPr>
          <w:rFonts w:hint="eastAsia" w:ascii="宋体" w:hAnsi="宋体" w:cs="宋体"/>
          <w:kern w:val="0"/>
          <w:szCs w:val="21"/>
        </w:rPr>
        <w:t>日9</w:t>
      </w:r>
      <w:r>
        <w:rPr>
          <w:rFonts w:hint="eastAsia" w:ascii="宋体" w:hAnsi="宋体" w:cs="宋体"/>
          <w:kern w:val="0"/>
          <w:szCs w:val="21"/>
          <w:lang w:eastAsia="zh-CN"/>
        </w:rPr>
        <w:t>：</w:t>
      </w:r>
      <w:r>
        <w:rPr>
          <w:rFonts w:hint="eastAsia" w:ascii="宋体" w:hAnsi="宋体" w:cs="宋体"/>
          <w:kern w:val="0"/>
          <w:szCs w:val="21"/>
          <w:lang w:val="en-US" w:eastAsia="zh-CN"/>
        </w:rPr>
        <w:t>0</w:t>
      </w:r>
      <w:r>
        <w:rPr>
          <w:rFonts w:hint="eastAsia" w:ascii="宋体" w:hAnsi="宋体" w:cs="宋体"/>
          <w:kern w:val="0"/>
          <w:szCs w:val="21"/>
        </w:rPr>
        <w:t>0</w:t>
      </w:r>
      <w:r>
        <w:rPr>
          <w:rFonts w:ascii="仿宋" w:hAnsi="仿宋" w:cs="宋体"/>
          <w:kern w:val="0"/>
          <w:szCs w:val="21"/>
        </w:rPr>
        <w:t>（北京时间）前递交（上传）投标文件。</w:t>
      </w:r>
    </w:p>
    <w:p>
      <w:pPr>
        <w:keepNext w:val="0"/>
        <w:keepLines w:val="0"/>
        <w:pageBreakBefore w:val="0"/>
        <w:widowControl/>
        <w:kinsoku/>
        <w:wordWrap/>
        <w:overflowPunct/>
        <w:topLinePunct w:val="0"/>
        <w:autoSpaceDE/>
        <w:autoSpaceDN/>
        <w:bidi w:val="0"/>
        <w:adjustRightInd/>
        <w:spacing w:before="255" w:after="255" w:line="360" w:lineRule="exact"/>
        <w:ind w:firstLine="422" w:firstLineChars="200"/>
        <w:textAlignment w:val="auto"/>
        <w:rPr>
          <w:rFonts w:ascii="宋体" w:hAnsi="宋体" w:cs="宋体"/>
          <w:kern w:val="0"/>
          <w:szCs w:val="21"/>
        </w:rPr>
      </w:pPr>
      <w:r>
        <w:rPr>
          <w:rFonts w:hint="eastAsia" w:ascii="宋体" w:hAnsi="宋体" w:cs="宋体"/>
          <w:b/>
          <w:bCs/>
          <w:kern w:val="0"/>
          <w:szCs w:val="21"/>
        </w:rPr>
        <w:t>一、项目基本情况</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cs="宋体"/>
          <w:kern w:val="0"/>
          <w:szCs w:val="21"/>
        </w:rPr>
        <w:t>1.项目编号：</w:t>
      </w:r>
      <w:r>
        <w:rPr>
          <w:rFonts w:hint="eastAsia" w:ascii="宋体" w:hAnsi="宋体" w:cs="宋体"/>
          <w:kern w:val="0"/>
          <w:szCs w:val="21"/>
          <w:lang w:eastAsia="zh-CN"/>
        </w:rPr>
        <w:t>NBZS-202211498G</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eastAsia="宋体" w:cs="宋体"/>
          <w:kern w:val="0"/>
          <w:szCs w:val="21"/>
          <w:lang w:eastAsia="zh-CN"/>
        </w:rPr>
      </w:pPr>
      <w:r>
        <w:rPr>
          <w:rFonts w:hint="eastAsia" w:ascii="宋体" w:hAnsi="宋体" w:cs="宋体"/>
          <w:kern w:val="0"/>
          <w:szCs w:val="21"/>
        </w:rPr>
        <w:t>2.项目名称：</w:t>
      </w:r>
      <w:r>
        <w:rPr>
          <w:rFonts w:hint="eastAsia" w:ascii="宋体" w:hAnsi="宋体" w:cs="宋体"/>
          <w:kern w:val="0"/>
          <w:szCs w:val="21"/>
          <w:lang w:eastAsia="zh-CN"/>
        </w:rPr>
        <w:t>实景三维宁波建设（数字孪生空间底座建设）</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宋体" w:hAnsi="宋体" w:cs="宋体"/>
          <w:kern w:val="0"/>
          <w:szCs w:val="21"/>
        </w:rPr>
      </w:pPr>
      <w:r>
        <w:rPr>
          <w:rFonts w:hint="eastAsia" w:ascii="宋体" w:hAnsi="宋体" w:cs="宋体"/>
          <w:kern w:val="0"/>
          <w:szCs w:val="21"/>
        </w:rPr>
        <w:t>3.预算金额：</w:t>
      </w:r>
      <w:r>
        <w:rPr>
          <w:rFonts w:hint="eastAsia" w:ascii="宋体" w:hAnsi="宋体" w:cs="宋体"/>
          <w:kern w:val="0"/>
          <w:szCs w:val="21"/>
          <w:lang w:eastAsia="zh-CN"/>
        </w:rPr>
        <w:t>150万</w:t>
      </w:r>
      <w:r>
        <w:rPr>
          <w:rFonts w:hint="eastAsia" w:ascii="宋体" w:hAnsi="宋体" w:cs="宋体"/>
          <w:kern w:val="0"/>
          <w:szCs w:val="21"/>
        </w:rPr>
        <w:t>元</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宋体" w:hAnsi="宋体" w:cs="宋体"/>
          <w:kern w:val="0"/>
          <w:szCs w:val="21"/>
        </w:rPr>
      </w:pPr>
      <w:r>
        <w:rPr>
          <w:rFonts w:hint="eastAsia" w:ascii="宋体" w:hAnsi="宋体" w:cs="宋体"/>
          <w:kern w:val="0"/>
          <w:szCs w:val="21"/>
        </w:rPr>
        <w:t>4.最高限价：</w:t>
      </w:r>
      <w:r>
        <w:rPr>
          <w:rFonts w:hint="eastAsia" w:ascii="宋体" w:hAnsi="宋体" w:cs="宋体"/>
          <w:kern w:val="0"/>
          <w:szCs w:val="21"/>
          <w:lang w:eastAsia="zh-CN"/>
        </w:rPr>
        <w:t>150万</w:t>
      </w:r>
      <w:r>
        <w:rPr>
          <w:rFonts w:hint="eastAsia" w:ascii="宋体" w:hAnsi="宋体" w:cs="宋体"/>
          <w:kern w:val="0"/>
          <w:szCs w:val="21"/>
        </w:rPr>
        <w:t>元</w:t>
      </w:r>
    </w:p>
    <w:p>
      <w:pPr>
        <w:keepNext w:val="0"/>
        <w:keepLines w:val="0"/>
        <w:pageBreakBefore w:val="0"/>
        <w:widowControl/>
        <w:kinsoku/>
        <w:wordWrap/>
        <w:overflowPunct/>
        <w:topLinePunct w:val="0"/>
        <w:autoSpaceDE/>
        <w:autoSpaceDN/>
        <w:bidi w:val="0"/>
        <w:adjustRightInd/>
        <w:spacing w:before="75" w:after="75" w:line="360" w:lineRule="exact"/>
        <w:ind w:left="420" w:leftChars="200"/>
        <w:jc w:val="left"/>
        <w:textAlignment w:val="auto"/>
        <w:rPr>
          <w:rFonts w:hint="eastAsia" w:ascii="宋体" w:hAnsi="宋体" w:cs="宋体"/>
          <w:kern w:val="0"/>
          <w:szCs w:val="21"/>
        </w:rPr>
      </w:pPr>
      <w:r>
        <w:rPr>
          <w:rFonts w:hint="eastAsia" w:ascii="宋体" w:hAnsi="宋体" w:cs="宋体"/>
          <w:kern w:val="0"/>
          <w:szCs w:val="21"/>
        </w:rPr>
        <w:t>5.采购需求：</w:t>
      </w:r>
    </w:p>
    <w:p>
      <w:pPr>
        <w:keepNext w:val="0"/>
        <w:keepLines w:val="0"/>
        <w:pageBreakBefore w:val="0"/>
        <w:widowControl/>
        <w:kinsoku/>
        <w:wordWrap/>
        <w:overflowPunct/>
        <w:topLinePunct w:val="0"/>
        <w:autoSpaceDE/>
        <w:autoSpaceDN/>
        <w:bidi w:val="0"/>
        <w:adjustRightInd/>
        <w:spacing w:before="75" w:after="75" w:line="360" w:lineRule="exact"/>
        <w:ind w:left="420" w:leftChars="200"/>
        <w:jc w:val="left"/>
        <w:textAlignment w:val="auto"/>
        <w:rPr>
          <w:rFonts w:hint="eastAsia" w:ascii="宋体" w:hAnsi="宋体" w:eastAsia="宋体" w:cs="宋体"/>
          <w:kern w:val="0"/>
          <w:szCs w:val="21"/>
          <w:lang w:eastAsia="zh-CN"/>
        </w:rPr>
      </w:pPr>
      <w:r>
        <w:rPr>
          <w:rFonts w:hint="eastAsia" w:ascii="宋体" w:hAnsi="宋体" w:cs="宋体"/>
          <w:kern w:val="0"/>
          <w:szCs w:val="21"/>
        </w:rPr>
        <w:t xml:space="preserve">标项名称： </w:t>
      </w:r>
      <w:r>
        <w:rPr>
          <w:rFonts w:hint="eastAsia" w:ascii="宋体" w:hAnsi="宋体" w:cs="宋体"/>
          <w:kern w:val="0"/>
          <w:szCs w:val="21"/>
          <w:lang w:eastAsia="zh-CN"/>
        </w:rPr>
        <w:t>实景三维宁波建设（数字孪生空间底座建设）</w:t>
      </w:r>
    </w:p>
    <w:p>
      <w:pPr>
        <w:keepNext w:val="0"/>
        <w:keepLines w:val="0"/>
        <w:pageBreakBefore w:val="0"/>
        <w:widowControl/>
        <w:kinsoku/>
        <w:wordWrap/>
        <w:overflowPunct/>
        <w:topLinePunct w:val="0"/>
        <w:autoSpaceDE/>
        <w:autoSpaceDN/>
        <w:bidi w:val="0"/>
        <w:adjustRightInd/>
        <w:spacing w:before="75" w:after="75" w:line="360" w:lineRule="exact"/>
        <w:ind w:left="420" w:leftChars="200"/>
        <w:jc w:val="left"/>
        <w:textAlignment w:val="auto"/>
        <w:rPr>
          <w:rFonts w:hint="eastAsia" w:ascii="宋体" w:hAnsi="宋体" w:cs="宋体"/>
          <w:kern w:val="0"/>
          <w:szCs w:val="21"/>
        </w:rPr>
      </w:pPr>
      <w:r>
        <w:rPr>
          <w:rFonts w:hint="eastAsia" w:ascii="宋体" w:hAnsi="宋体" w:cs="宋体"/>
          <w:kern w:val="0"/>
          <w:szCs w:val="21"/>
        </w:rPr>
        <w:t>数量：1项</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hint="eastAsia" w:ascii="宋体" w:hAnsi="宋体" w:cs="宋体"/>
          <w:kern w:val="0"/>
          <w:szCs w:val="21"/>
        </w:rPr>
      </w:pPr>
      <w:r>
        <w:rPr>
          <w:rFonts w:hint="eastAsia" w:ascii="宋体" w:hAnsi="宋体" w:cs="宋体"/>
          <w:kern w:val="0"/>
          <w:szCs w:val="21"/>
        </w:rPr>
        <w:t>项目基本概况介绍：具体内容见采购需求。</w:t>
      </w:r>
    </w:p>
    <w:p>
      <w:pPr>
        <w:keepNext w:val="0"/>
        <w:keepLines w:val="0"/>
        <w:pageBreakBefore w:val="0"/>
        <w:widowControl/>
        <w:kinsoku/>
        <w:wordWrap/>
        <w:overflowPunct/>
        <w:topLinePunct w:val="0"/>
        <w:autoSpaceDE/>
        <w:autoSpaceDN/>
        <w:bidi w:val="0"/>
        <w:adjustRightInd/>
        <w:spacing w:before="0" w:after="0" w:line="360" w:lineRule="exact"/>
        <w:ind w:left="0" w:leftChars="0" w:firstLine="420" w:firstLineChars="200"/>
        <w:jc w:val="left"/>
        <w:textAlignment w:val="auto"/>
        <w:rPr>
          <w:rFonts w:ascii="宋体" w:hAnsi="宋体" w:cs="宋体"/>
          <w:kern w:val="0"/>
          <w:szCs w:val="21"/>
        </w:rPr>
      </w:pPr>
      <w:r>
        <w:rPr>
          <w:rFonts w:ascii="宋体" w:hAnsi="宋体" w:cs="宋体"/>
          <w:kern w:val="0"/>
          <w:szCs w:val="21"/>
        </w:rPr>
        <w:t>6.合同履约期限：</w:t>
      </w:r>
      <w:r>
        <w:rPr>
          <w:rFonts w:hint="eastAsia" w:ascii="宋体" w:hAnsi="宋体" w:cs="宋体"/>
          <w:color w:val="auto"/>
          <w:spacing w:val="3"/>
          <w:kern w:val="0"/>
          <w:szCs w:val="21"/>
        </w:rPr>
        <w:t>合同签订后，2023年12月底前递交最终成果稿。</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仿宋" w:hAnsi="仿宋" w:cs="宋体"/>
          <w:kern w:val="0"/>
          <w:szCs w:val="21"/>
        </w:rPr>
      </w:pPr>
      <w:r>
        <w:rPr>
          <w:rFonts w:hint="eastAsia" w:ascii="宋体" w:hAnsi="宋体" w:cs="宋体"/>
          <w:kern w:val="0"/>
          <w:szCs w:val="21"/>
        </w:rPr>
        <w:t>7.</w:t>
      </w:r>
      <w:r>
        <w:rPr>
          <w:rFonts w:ascii="仿宋" w:hAnsi="仿宋" w:cs="宋体"/>
          <w:kern w:val="0"/>
          <w:szCs w:val="21"/>
        </w:rPr>
        <w:t>本项目</w:t>
      </w:r>
      <w:r>
        <w:rPr>
          <w:rFonts w:hint="eastAsia" w:ascii="仿宋" w:hAnsi="仿宋" w:cs="宋体"/>
          <w:kern w:val="0"/>
          <w:szCs w:val="21"/>
          <w:u w:val="single"/>
        </w:rPr>
        <w:t>不</w:t>
      </w:r>
      <w:r>
        <w:rPr>
          <w:rFonts w:ascii="仿宋" w:hAnsi="仿宋" w:cs="宋体"/>
          <w:kern w:val="0"/>
          <w:szCs w:val="21"/>
          <w:u w:val="single"/>
        </w:rPr>
        <w:t>接受</w:t>
      </w:r>
      <w:r>
        <w:rPr>
          <w:rFonts w:ascii="仿宋" w:hAnsi="仿宋" w:cs="宋体"/>
          <w:kern w:val="0"/>
          <w:szCs w:val="21"/>
        </w:rPr>
        <w:t>联合体投标。</w:t>
      </w:r>
    </w:p>
    <w:p>
      <w:pPr>
        <w:keepNext w:val="0"/>
        <w:keepLines w:val="0"/>
        <w:pageBreakBefore w:val="0"/>
        <w:widowControl/>
        <w:kinsoku/>
        <w:wordWrap/>
        <w:overflowPunct/>
        <w:topLinePunct w:val="0"/>
        <w:autoSpaceDE/>
        <w:autoSpaceDN/>
        <w:bidi w:val="0"/>
        <w:adjustRightInd/>
        <w:spacing w:before="225" w:after="225" w:line="360" w:lineRule="exact"/>
        <w:ind w:firstLine="422" w:firstLineChars="200"/>
        <w:jc w:val="left"/>
        <w:textAlignment w:val="auto"/>
        <w:rPr>
          <w:rFonts w:ascii="宋体" w:hAnsi="宋体" w:cs="宋体"/>
          <w:kern w:val="0"/>
          <w:szCs w:val="21"/>
        </w:rPr>
      </w:pPr>
      <w:r>
        <w:rPr>
          <w:rFonts w:hint="eastAsia" w:ascii="宋体" w:hAnsi="宋体" w:cs="宋体"/>
          <w:b/>
          <w:bCs/>
          <w:kern w:val="0"/>
          <w:szCs w:val="21"/>
        </w:rPr>
        <w:t>二、申请人的资格要求</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宋体" w:hAnsi="宋体" w:cs="宋体"/>
          <w:kern w:val="0"/>
          <w:szCs w:val="21"/>
        </w:rPr>
      </w:pPr>
      <w:r>
        <w:rPr>
          <w:rFonts w:hint="eastAsia" w:ascii="宋体" w:hAnsi="宋体" w:cs="宋体"/>
          <w:kern w:val="0"/>
          <w:szCs w:val="21"/>
        </w:rPr>
        <w:t>1.满足《中华人民共和国政府采购法》第二十二条规定；未被(www.creditchina.gov.cn)“信用中国”、（www.ccgp.gov.cn）中国政府采购网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2.落实政府采购政策需满足的资格要求：无</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仿宋" w:hAnsi="仿宋" w:eastAsia="宋体" w:cs="宋体"/>
          <w:color w:val="auto"/>
          <w:kern w:val="0"/>
          <w:szCs w:val="21"/>
          <w:lang w:eastAsia="zh-CN"/>
        </w:rPr>
      </w:pPr>
      <w:r>
        <w:rPr>
          <w:rFonts w:hint="eastAsia" w:ascii="宋体" w:hAnsi="宋体" w:cs="宋体"/>
          <w:kern w:val="0"/>
          <w:szCs w:val="21"/>
        </w:rPr>
        <w:t>3.</w:t>
      </w:r>
      <w:r>
        <w:rPr>
          <w:rFonts w:ascii="仿宋" w:hAnsi="仿宋" w:cs="宋体"/>
          <w:kern w:val="0"/>
          <w:szCs w:val="21"/>
        </w:rPr>
        <w:t>本项目的特定资格要</w:t>
      </w:r>
      <w:r>
        <w:rPr>
          <w:rFonts w:ascii="仿宋" w:hAnsi="仿宋" w:cs="宋体"/>
          <w:color w:val="auto"/>
          <w:kern w:val="0"/>
          <w:szCs w:val="21"/>
        </w:rPr>
        <w:t>求：</w:t>
      </w:r>
      <w:r>
        <w:rPr>
          <w:rFonts w:hint="eastAsia" w:ascii="仿宋" w:hAnsi="仿宋" w:cs="宋体"/>
          <w:color w:val="auto"/>
          <w:kern w:val="0"/>
          <w:szCs w:val="21"/>
          <w:lang w:val="en-US" w:eastAsia="zh-CN"/>
        </w:rPr>
        <w:t>无</w:t>
      </w:r>
    </w:p>
    <w:p>
      <w:pPr>
        <w:keepNext w:val="0"/>
        <w:keepLines w:val="0"/>
        <w:pageBreakBefore w:val="0"/>
        <w:widowControl/>
        <w:kinsoku/>
        <w:wordWrap/>
        <w:overflowPunct/>
        <w:topLinePunct w:val="0"/>
        <w:autoSpaceDE/>
        <w:autoSpaceDN/>
        <w:bidi w:val="0"/>
        <w:adjustRightInd/>
        <w:spacing w:before="255" w:after="255" w:line="360" w:lineRule="exact"/>
        <w:ind w:firstLine="422" w:firstLineChars="200"/>
        <w:textAlignment w:val="auto"/>
        <w:rPr>
          <w:rFonts w:ascii="黑体" w:hAnsi="黑体" w:eastAsia="黑体" w:cs="宋体"/>
          <w:kern w:val="0"/>
          <w:szCs w:val="21"/>
        </w:rPr>
      </w:pPr>
      <w:r>
        <w:rPr>
          <w:rFonts w:hint="eastAsia" w:ascii="宋体" w:hAnsi="宋体" w:cs="宋体"/>
          <w:b/>
          <w:bCs/>
          <w:kern w:val="0"/>
          <w:szCs w:val="21"/>
        </w:rPr>
        <w:t>三、获取招标文件</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仿宋" w:hAnsi="仿宋" w:cs="宋体"/>
          <w:kern w:val="0"/>
          <w:szCs w:val="21"/>
        </w:rPr>
      </w:pPr>
      <w:r>
        <w:rPr>
          <w:rFonts w:hint="eastAsia" w:ascii="宋体" w:hAnsi="宋体" w:cs="宋体"/>
          <w:kern w:val="0"/>
          <w:szCs w:val="21"/>
        </w:rPr>
        <w:t>1.时间：公告发布之日起至</w:t>
      </w:r>
      <w:r>
        <w:rPr>
          <w:rFonts w:hint="eastAsia" w:ascii="宋体" w:hAnsi="宋体" w:cs="宋体"/>
          <w:color w:val="auto"/>
          <w:kern w:val="0"/>
          <w:szCs w:val="21"/>
        </w:rPr>
        <w:t>2022年</w:t>
      </w:r>
      <w:r>
        <w:rPr>
          <w:rFonts w:hint="eastAsia" w:ascii="宋体" w:hAnsi="宋体" w:cs="宋体"/>
          <w:color w:val="auto"/>
          <w:kern w:val="0"/>
          <w:szCs w:val="21"/>
          <w:lang w:eastAsia="zh-CN"/>
        </w:rPr>
        <w:t>1</w:t>
      </w:r>
      <w:r>
        <w:rPr>
          <w:rFonts w:hint="eastAsia" w:ascii="宋体" w:hAnsi="宋体" w:cs="宋体"/>
          <w:color w:val="auto"/>
          <w:kern w:val="0"/>
          <w:szCs w:val="21"/>
          <w:lang w:val="en-US" w:eastAsia="zh-CN"/>
        </w:rPr>
        <w:t>2</w:t>
      </w:r>
      <w:r>
        <w:rPr>
          <w:rFonts w:hint="eastAsia" w:ascii="宋体" w:hAnsi="宋体" w:cs="宋体"/>
          <w:color w:val="auto"/>
          <w:kern w:val="0"/>
          <w:szCs w:val="21"/>
        </w:rPr>
        <w:t>月</w:t>
      </w:r>
      <w:r>
        <w:rPr>
          <w:rFonts w:hint="eastAsia" w:ascii="宋体" w:hAnsi="宋体" w:cs="宋体"/>
          <w:color w:val="auto"/>
          <w:kern w:val="0"/>
          <w:szCs w:val="21"/>
          <w:lang w:val="en-US" w:eastAsia="zh-CN"/>
        </w:rPr>
        <w:t>29</w:t>
      </w:r>
      <w:bookmarkStart w:id="389" w:name="_GoBack"/>
      <w:bookmarkEnd w:id="389"/>
      <w:r>
        <w:rPr>
          <w:rFonts w:hint="eastAsia" w:ascii="宋体" w:hAnsi="宋体" w:cs="宋体"/>
          <w:color w:val="auto"/>
          <w:kern w:val="0"/>
          <w:szCs w:val="21"/>
        </w:rPr>
        <w:t>日，每</w:t>
      </w:r>
      <w:r>
        <w:rPr>
          <w:rFonts w:hint="eastAsia" w:ascii="宋体" w:hAnsi="宋体" w:cs="宋体"/>
          <w:kern w:val="0"/>
          <w:szCs w:val="21"/>
        </w:rPr>
        <w:t>天上午00:00至12:00，下午12:00至23:59</w:t>
      </w:r>
      <w:r>
        <w:rPr>
          <w:rFonts w:ascii="仿宋" w:hAnsi="仿宋" w:cs="宋体"/>
          <w:kern w:val="0"/>
          <w:szCs w:val="21"/>
        </w:rPr>
        <w:t>（北京时间，线上获取法定节假日均可，线下获取文件法定节假日除外）</w:t>
      </w:r>
      <w:r>
        <w:rPr>
          <w:rFonts w:hint="eastAsia" w:ascii="仿宋" w:hAnsi="仿宋" w:cs="宋体"/>
          <w:kern w:val="0"/>
          <w:szCs w:val="21"/>
        </w:rPr>
        <w:t>。</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仿宋" w:hAnsi="仿宋" w:cs="宋体"/>
          <w:kern w:val="0"/>
          <w:szCs w:val="21"/>
        </w:rPr>
      </w:pPr>
      <w:r>
        <w:rPr>
          <w:rFonts w:hint="eastAsia" w:ascii="宋体" w:hAnsi="宋体" w:cs="宋体"/>
          <w:kern w:val="0"/>
          <w:szCs w:val="21"/>
        </w:rPr>
        <w:t>2.</w:t>
      </w:r>
      <w:r>
        <w:rPr>
          <w:rFonts w:ascii="仿宋" w:hAnsi="仿宋" w:cs="宋体"/>
          <w:kern w:val="0"/>
          <w:szCs w:val="21"/>
        </w:rPr>
        <w:t>地点（网址）：</w:t>
      </w:r>
      <w:r>
        <w:rPr>
          <w:rFonts w:hint="eastAsia" w:ascii="仿宋" w:hAnsi="仿宋" w:cs="宋体"/>
          <w:kern w:val="0"/>
          <w:szCs w:val="21"/>
        </w:rPr>
        <w:t>浙江政府采购云平台</w:t>
      </w:r>
      <w:r>
        <w:rPr>
          <w:rFonts w:hint="eastAsia" w:ascii="宋体" w:hAnsi="宋体" w:cs="宋体"/>
          <w:kern w:val="0"/>
          <w:szCs w:val="21"/>
        </w:rPr>
        <w:t>（www.zcygov.cn）</w:t>
      </w:r>
      <w:r>
        <w:rPr>
          <w:rFonts w:ascii="仿宋" w:hAnsi="仿宋" w:cs="宋体"/>
          <w:kern w:val="0"/>
          <w:szCs w:val="21"/>
        </w:rPr>
        <w:t>。</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3.方式：潜在供应商需在政采云平台注册登记，登录政采云平台www.zcygov.cn/在线申请获取采购文件（进入“项目采购”应用，在获取采购文件菜单中选择项目，申请获取采购文件）。</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4.售价（元）：0</w:t>
      </w:r>
    </w:p>
    <w:p>
      <w:pPr>
        <w:keepNext w:val="0"/>
        <w:keepLines w:val="0"/>
        <w:pageBreakBefore w:val="0"/>
        <w:widowControl/>
        <w:kinsoku/>
        <w:wordWrap/>
        <w:overflowPunct/>
        <w:topLinePunct w:val="0"/>
        <w:autoSpaceDE/>
        <w:autoSpaceDN/>
        <w:bidi w:val="0"/>
        <w:adjustRightInd/>
        <w:spacing w:before="255" w:after="255" w:line="360" w:lineRule="exact"/>
        <w:ind w:firstLine="422" w:firstLineChars="200"/>
        <w:textAlignment w:val="auto"/>
        <w:rPr>
          <w:rFonts w:ascii="宋体" w:hAnsi="宋体" w:cs="宋体"/>
          <w:kern w:val="0"/>
          <w:szCs w:val="21"/>
        </w:rPr>
      </w:pPr>
      <w:r>
        <w:rPr>
          <w:rFonts w:hint="eastAsia" w:ascii="宋体" w:hAnsi="宋体" w:cs="宋体"/>
          <w:b/>
          <w:bCs/>
          <w:kern w:val="0"/>
          <w:szCs w:val="21"/>
        </w:rPr>
        <w:t>四、提交投标文件截止时间、开标时间和地点</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仿宋" w:hAnsi="仿宋" w:cs="宋体"/>
          <w:kern w:val="0"/>
          <w:szCs w:val="21"/>
        </w:rPr>
      </w:pPr>
      <w:r>
        <w:rPr>
          <w:rFonts w:ascii="仿宋" w:hAnsi="仿宋" w:cs="宋体"/>
          <w:kern w:val="0"/>
          <w:szCs w:val="21"/>
        </w:rPr>
        <w:t>提交投标文件截止时间：</w:t>
      </w:r>
      <w:r>
        <w:rPr>
          <w:rFonts w:hint="eastAsia" w:ascii="宋体" w:hAnsi="宋体" w:cs="宋体"/>
          <w:kern w:val="0"/>
          <w:szCs w:val="21"/>
        </w:rPr>
        <w:t>202</w:t>
      </w:r>
      <w:r>
        <w:rPr>
          <w:rFonts w:hint="eastAsia" w:ascii="宋体" w:hAnsi="宋体" w:cs="宋体"/>
          <w:kern w:val="0"/>
          <w:szCs w:val="21"/>
          <w:lang w:val="en-US" w:eastAsia="zh-CN"/>
        </w:rPr>
        <w:t>3</w:t>
      </w:r>
      <w:r>
        <w:rPr>
          <w:rFonts w:hint="eastAsia" w:ascii="宋体" w:hAnsi="宋体" w:cs="宋体"/>
          <w:kern w:val="0"/>
          <w:szCs w:val="21"/>
        </w:rPr>
        <w:t>年</w:t>
      </w:r>
      <w:r>
        <w:rPr>
          <w:rFonts w:hint="eastAsia" w:ascii="宋体" w:hAnsi="宋体" w:cs="宋体"/>
          <w:kern w:val="0"/>
          <w:szCs w:val="21"/>
          <w:lang w:eastAsia="zh-CN"/>
        </w:rPr>
        <w:t>1</w:t>
      </w:r>
      <w:r>
        <w:rPr>
          <w:rFonts w:hint="eastAsia" w:ascii="宋体" w:hAnsi="宋体" w:cs="宋体"/>
          <w:kern w:val="0"/>
          <w:szCs w:val="21"/>
        </w:rPr>
        <w:t>月</w:t>
      </w:r>
      <w:r>
        <w:rPr>
          <w:rFonts w:hint="eastAsia" w:ascii="宋体" w:hAnsi="宋体" w:cs="宋体"/>
          <w:kern w:val="0"/>
          <w:szCs w:val="21"/>
          <w:lang w:val="en-US" w:eastAsia="zh-CN"/>
        </w:rPr>
        <w:t>12</w:t>
      </w:r>
      <w:r>
        <w:rPr>
          <w:rFonts w:hint="eastAsia" w:ascii="宋体" w:hAnsi="宋体" w:cs="宋体"/>
          <w:kern w:val="0"/>
          <w:szCs w:val="21"/>
        </w:rPr>
        <w:t xml:space="preserve"> 日9</w:t>
      </w:r>
      <w:r>
        <w:rPr>
          <w:rFonts w:hint="eastAsia" w:ascii="宋体" w:hAnsi="宋体" w:cs="宋体"/>
          <w:kern w:val="0"/>
          <w:szCs w:val="21"/>
          <w:lang w:val="en-US" w:eastAsia="zh-CN"/>
        </w:rPr>
        <w:t>:0</w:t>
      </w:r>
      <w:r>
        <w:rPr>
          <w:rFonts w:hint="eastAsia" w:ascii="宋体" w:hAnsi="宋体" w:cs="宋体"/>
          <w:kern w:val="0"/>
          <w:szCs w:val="21"/>
        </w:rPr>
        <w:t>0</w:t>
      </w:r>
      <w:r>
        <w:rPr>
          <w:rFonts w:ascii="仿宋" w:hAnsi="仿宋" w:cs="宋体"/>
          <w:kern w:val="0"/>
          <w:szCs w:val="21"/>
        </w:rPr>
        <w:t>（北京时间）</w:t>
      </w:r>
      <w:r>
        <w:rPr>
          <w:rFonts w:hint="eastAsia" w:ascii="仿宋" w:hAnsi="仿宋" w:cs="宋体"/>
          <w:kern w:val="0"/>
          <w:szCs w:val="21"/>
        </w:rPr>
        <w:t>。</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仿宋" w:hAnsi="仿宋" w:cs="宋体"/>
          <w:kern w:val="0"/>
          <w:szCs w:val="21"/>
        </w:rPr>
      </w:pPr>
      <w:r>
        <w:rPr>
          <w:rFonts w:ascii="仿宋" w:hAnsi="仿宋" w:cs="宋体"/>
          <w:kern w:val="0"/>
          <w:szCs w:val="21"/>
        </w:rPr>
        <w:t>投标地点（网址）：</w:t>
      </w:r>
      <w:r>
        <w:rPr>
          <w:rFonts w:hint="eastAsia" w:ascii="宋体" w:hAnsi="宋体" w:cs="宋体"/>
          <w:szCs w:val="21"/>
        </w:rPr>
        <w:t>登录政府采购云平台（www.zcygov.cn）在线投标，并进行解密（解密时间为提交投标文件截止时间后30分钟内）。</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仿宋" w:hAnsi="仿宋" w:cs="宋体"/>
          <w:kern w:val="0"/>
          <w:szCs w:val="21"/>
        </w:rPr>
      </w:pPr>
      <w:r>
        <w:rPr>
          <w:rFonts w:ascii="仿宋" w:hAnsi="仿宋" w:cs="宋体"/>
          <w:kern w:val="0"/>
          <w:szCs w:val="21"/>
        </w:rPr>
        <w:t>开标时间：</w:t>
      </w:r>
      <w:r>
        <w:rPr>
          <w:rFonts w:hint="eastAsia" w:ascii="宋体" w:hAnsi="宋体" w:cs="宋体"/>
          <w:kern w:val="0"/>
          <w:szCs w:val="21"/>
        </w:rPr>
        <w:t>202</w:t>
      </w:r>
      <w:r>
        <w:rPr>
          <w:rFonts w:hint="eastAsia" w:ascii="宋体" w:hAnsi="宋体" w:cs="宋体"/>
          <w:kern w:val="0"/>
          <w:szCs w:val="21"/>
          <w:lang w:eastAsia="zh-CN"/>
        </w:rPr>
        <w:t>3</w:t>
      </w:r>
      <w:r>
        <w:rPr>
          <w:rFonts w:hint="eastAsia" w:ascii="宋体" w:hAnsi="宋体" w:cs="宋体"/>
          <w:kern w:val="0"/>
          <w:szCs w:val="21"/>
        </w:rPr>
        <w:t>年</w:t>
      </w:r>
      <w:r>
        <w:rPr>
          <w:rFonts w:hint="eastAsia" w:ascii="宋体" w:hAnsi="宋体" w:cs="宋体"/>
          <w:kern w:val="0"/>
          <w:szCs w:val="21"/>
          <w:lang w:eastAsia="zh-CN"/>
        </w:rPr>
        <w:t>1</w:t>
      </w:r>
      <w:r>
        <w:rPr>
          <w:rFonts w:hint="eastAsia" w:ascii="宋体" w:hAnsi="宋体" w:cs="宋体"/>
          <w:kern w:val="0"/>
          <w:szCs w:val="21"/>
        </w:rPr>
        <w:t>月</w:t>
      </w:r>
      <w:r>
        <w:rPr>
          <w:rFonts w:hint="eastAsia" w:ascii="宋体" w:hAnsi="宋体" w:cs="宋体"/>
          <w:kern w:val="0"/>
          <w:szCs w:val="21"/>
          <w:lang w:val="en-US" w:eastAsia="zh-CN"/>
        </w:rPr>
        <w:t>12</w:t>
      </w:r>
      <w:r>
        <w:rPr>
          <w:rFonts w:hint="eastAsia" w:ascii="宋体" w:hAnsi="宋体" w:cs="宋体"/>
          <w:kern w:val="0"/>
          <w:szCs w:val="21"/>
        </w:rPr>
        <w:t>日9:</w:t>
      </w:r>
      <w:r>
        <w:rPr>
          <w:rFonts w:hint="eastAsia" w:ascii="宋体" w:hAnsi="宋体" w:cs="宋体"/>
          <w:kern w:val="0"/>
          <w:szCs w:val="21"/>
          <w:lang w:val="en-US" w:eastAsia="zh-CN"/>
        </w:rPr>
        <w:t>0</w:t>
      </w:r>
      <w:r>
        <w:rPr>
          <w:rFonts w:hint="eastAsia" w:ascii="宋体" w:hAnsi="宋体" w:cs="宋体"/>
          <w:kern w:val="0"/>
          <w:szCs w:val="21"/>
        </w:rPr>
        <w:t>0</w:t>
      </w:r>
      <w:r>
        <w:rPr>
          <w:rFonts w:ascii="仿宋" w:hAnsi="仿宋" w:cs="宋体"/>
          <w:kern w:val="0"/>
          <w:szCs w:val="21"/>
        </w:rPr>
        <w:t>（北京时间）</w:t>
      </w:r>
      <w:r>
        <w:rPr>
          <w:rFonts w:hint="eastAsia" w:ascii="仿宋" w:hAnsi="仿宋" w:cs="宋体"/>
          <w:kern w:val="0"/>
          <w:szCs w:val="21"/>
        </w:rPr>
        <w:t>。</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ascii="宋体" w:hAnsi="宋体" w:cs="宋体"/>
          <w:szCs w:val="21"/>
        </w:rPr>
      </w:pPr>
      <w:r>
        <w:rPr>
          <w:rFonts w:ascii="仿宋" w:hAnsi="仿宋" w:cs="宋体"/>
          <w:kern w:val="0"/>
          <w:szCs w:val="21"/>
        </w:rPr>
        <w:t>开标地点（网址）：</w:t>
      </w:r>
      <w:r>
        <w:rPr>
          <w:rFonts w:hint="eastAsia" w:ascii="宋体" w:hAnsi="宋体" w:cs="宋体"/>
          <w:szCs w:val="21"/>
        </w:rPr>
        <w:t>本项目通过“政府采购云平台”实行在线电子投标，供应商应在线参加开标。</w:t>
      </w:r>
    </w:p>
    <w:p>
      <w:pPr>
        <w:keepNext w:val="0"/>
        <w:keepLines w:val="0"/>
        <w:pageBreakBefore w:val="0"/>
        <w:widowControl/>
        <w:kinsoku/>
        <w:wordWrap/>
        <w:overflowPunct/>
        <w:topLinePunct w:val="0"/>
        <w:autoSpaceDE/>
        <w:autoSpaceDN/>
        <w:bidi w:val="0"/>
        <w:adjustRightInd/>
        <w:spacing w:before="255" w:after="255" w:line="360" w:lineRule="exact"/>
        <w:ind w:firstLine="422" w:firstLineChars="200"/>
        <w:textAlignment w:val="auto"/>
        <w:rPr>
          <w:rFonts w:ascii="宋体" w:hAnsi="宋体" w:cs="宋体"/>
          <w:b/>
          <w:bCs/>
          <w:kern w:val="0"/>
          <w:szCs w:val="21"/>
        </w:rPr>
      </w:pPr>
      <w:r>
        <w:rPr>
          <w:rFonts w:hint="eastAsia" w:ascii="宋体" w:hAnsi="宋体" w:cs="宋体"/>
          <w:b/>
          <w:bCs/>
          <w:kern w:val="0"/>
          <w:szCs w:val="21"/>
        </w:rPr>
        <w:t>五、公告期限</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宋体" w:hAnsi="宋体" w:cs="宋体"/>
          <w:kern w:val="0"/>
          <w:szCs w:val="21"/>
        </w:rPr>
      </w:pPr>
      <w:r>
        <w:rPr>
          <w:rFonts w:ascii="仿宋" w:hAnsi="仿宋" w:cs="宋体"/>
          <w:kern w:val="0"/>
          <w:szCs w:val="21"/>
        </w:rPr>
        <w:t>自本公告发布之日起</w:t>
      </w:r>
      <w:r>
        <w:rPr>
          <w:rFonts w:hint="eastAsia" w:ascii="宋体" w:hAnsi="宋体" w:cs="宋体"/>
          <w:kern w:val="0"/>
          <w:szCs w:val="21"/>
        </w:rPr>
        <w:t>5</w:t>
      </w:r>
      <w:r>
        <w:rPr>
          <w:rFonts w:ascii="仿宋" w:hAnsi="仿宋" w:cs="宋体"/>
          <w:kern w:val="0"/>
          <w:szCs w:val="21"/>
        </w:rPr>
        <w:t>个工作日。</w:t>
      </w:r>
    </w:p>
    <w:p>
      <w:pPr>
        <w:keepNext w:val="0"/>
        <w:keepLines w:val="0"/>
        <w:pageBreakBefore w:val="0"/>
        <w:widowControl/>
        <w:kinsoku/>
        <w:wordWrap/>
        <w:overflowPunct/>
        <w:topLinePunct w:val="0"/>
        <w:autoSpaceDE/>
        <w:autoSpaceDN/>
        <w:bidi w:val="0"/>
        <w:adjustRightInd/>
        <w:spacing w:before="255" w:after="255" w:line="360" w:lineRule="exact"/>
        <w:ind w:firstLine="422" w:firstLineChars="200"/>
        <w:textAlignment w:val="auto"/>
        <w:rPr>
          <w:rFonts w:ascii="宋体" w:hAnsi="宋体" w:cs="宋体"/>
          <w:kern w:val="0"/>
          <w:szCs w:val="21"/>
        </w:rPr>
      </w:pPr>
      <w:r>
        <w:rPr>
          <w:rFonts w:hint="eastAsia" w:ascii="宋体" w:hAnsi="宋体" w:cs="宋体"/>
          <w:b/>
          <w:bCs/>
          <w:kern w:val="0"/>
          <w:szCs w:val="21"/>
        </w:rPr>
        <w:t>六、其他补充事宜</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1.供应商认为采购文件使自己的权益受到损害的，可以自获取采购文件之日或者采购文件公告期限届满之日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2.落实的政策：《政府采购促进中小企业发展管理办法》（财库〔2020〕46号）、《浙江省财政厅关于进一步加大政府采购支持中小企业力度助力扎实稳住经济的通知》（浙财采监〔2022〕8号）、《关于促进残疾人就业政府采购政策的通知》（财库[2017]141号）、《关于政府采购支持监狱企业发展有关问题的通知》（财库[2014]68号）。</w:t>
      </w:r>
    </w:p>
    <w:p>
      <w:pPr>
        <w:keepNext w:val="0"/>
        <w:keepLines w:val="0"/>
        <w:pageBreakBefore w:val="0"/>
        <w:widowControl/>
        <w:kinsoku/>
        <w:wordWrap/>
        <w:overflowPunct/>
        <w:topLinePunct w:val="0"/>
        <w:autoSpaceDE/>
        <w:autoSpaceDN/>
        <w:bidi w:val="0"/>
        <w:adjustRightInd/>
        <w:spacing w:line="360" w:lineRule="exact"/>
        <w:ind w:firstLine="420" w:firstLineChars="200"/>
        <w:textAlignment w:val="auto"/>
        <w:rPr>
          <w:rFonts w:hint="eastAsia" w:ascii="宋体" w:hAnsi="宋体" w:cs="宋体"/>
          <w:kern w:val="0"/>
          <w:szCs w:val="21"/>
        </w:rPr>
      </w:pPr>
      <w:r>
        <w:rPr>
          <w:rFonts w:hint="eastAsia" w:ascii="宋体" w:hAnsi="宋体" w:cs="宋体"/>
          <w:kern w:val="0"/>
          <w:szCs w:val="21"/>
        </w:rPr>
        <w:t>3.投标与开标注意事项：</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ascii="宋体" w:hAnsi="宋体" w:cs="宋体"/>
          <w:kern w:val="0"/>
          <w:szCs w:val="21"/>
        </w:rPr>
      </w:pPr>
      <w:r>
        <w:rPr>
          <w:rFonts w:hint="eastAsia" w:ascii="宋体" w:hAnsi="宋体" w:cs="宋体"/>
          <w:kern w:val="0"/>
          <w:szCs w:val="21"/>
        </w:rPr>
        <w:t>3.1供应商需按照《浙江省政府采购供应商注册及诚信管理暂行办法》（浙财采监字〔2009〕28号）的规定在“浙江政府采购网”政采云平台注册登记的，成为浙江省政府采购注册供应商。并完成CA数字证书办理。因未注册入库、未办理CA数字证书等原因造成无法投标或投标失败等后果由供应商自行承担。</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ascii="宋体" w:hAnsi="宋体" w:cs="宋体"/>
          <w:szCs w:val="21"/>
        </w:rPr>
      </w:pPr>
      <w:r>
        <w:rPr>
          <w:rFonts w:hint="eastAsia" w:ascii="宋体" w:hAnsi="宋体" w:cs="宋体"/>
          <w:kern w:val="0"/>
          <w:szCs w:val="21"/>
        </w:rPr>
        <w:t>3.2</w:t>
      </w:r>
      <w:r>
        <w:rPr>
          <w:rFonts w:hint="eastAsia" w:ascii="宋体" w:hAnsi="宋体" w:cs="宋体"/>
          <w:szCs w:val="21"/>
        </w:rPr>
        <w:t>单位负责人为同一人或者存在直接控股、管理关系的不同供应商，不得参加同一标项的投标。除单一来源采购项目外，为本项目提供整体设计、规范编制或者项目管理、监理、检测等服务的供应商，不得再参加本项目的投标；供应商不得为该整体项目或其中分项目前期工作提供过设计、编制、管理等服务的法人及附属单位。</w:t>
      </w:r>
    </w:p>
    <w:p>
      <w:pPr>
        <w:keepNext w:val="0"/>
        <w:keepLines w:val="0"/>
        <w:pageBreakBefore w:val="0"/>
        <w:widowControl/>
        <w:kinsoku/>
        <w:wordWrap/>
        <w:overflowPunct/>
        <w:topLinePunct w:val="0"/>
        <w:autoSpaceDE/>
        <w:autoSpaceDN/>
        <w:bidi w:val="0"/>
        <w:adjustRightInd/>
        <w:spacing w:line="360" w:lineRule="exact"/>
        <w:ind w:firstLine="420" w:firstLineChars="200"/>
        <w:textAlignment w:val="auto"/>
        <w:rPr>
          <w:rFonts w:hint="eastAsia" w:ascii="宋体" w:hAnsi="宋体" w:cs="宋体"/>
          <w:kern w:val="0"/>
          <w:szCs w:val="21"/>
        </w:rPr>
      </w:pPr>
      <w:r>
        <w:rPr>
          <w:rFonts w:hint="eastAsia" w:ascii="宋体" w:hAnsi="宋体" w:cs="宋体"/>
          <w:kern w:val="0"/>
          <w:szCs w:val="21"/>
        </w:rPr>
        <w:t>3.3不同投标文件上传的为同一网卡地址，或同一IP地址的为无效投标文件，并作为供应商之间串通响应处理。</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hint="eastAsia" w:ascii="宋体" w:hAnsi="宋体" w:cs="宋体"/>
          <w:kern w:val="0"/>
          <w:szCs w:val="21"/>
        </w:rPr>
      </w:pPr>
      <w:r>
        <w:rPr>
          <w:rFonts w:hint="eastAsia" w:ascii="宋体" w:hAnsi="宋体" w:cs="宋体"/>
          <w:kern w:val="0"/>
          <w:szCs w:val="21"/>
        </w:rPr>
        <w:t>3.4供应商上传平台的是后缀为.jmbs的加密文件，递交给招标代理公司的是后缀为.bfbs的备份文件，未及时解密的责任自负。</w:t>
      </w:r>
    </w:p>
    <w:p>
      <w:pPr>
        <w:keepNext w:val="0"/>
        <w:keepLines w:val="0"/>
        <w:pageBreakBefore w:val="0"/>
        <w:widowControl/>
        <w:kinsoku/>
        <w:wordWrap/>
        <w:overflowPunct/>
        <w:topLinePunct w:val="0"/>
        <w:autoSpaceDE/>
        <w:autoSpaceDN/>
        <w:bidi w:val="0"/>
        <w:adjustRightInd/>
        <w:spacing w:before="75" w:after="75" w:line="360" w:lineRule="exact"/>
        <w:ind w:firstLine="420" w:firstLineChars="200"/>
        <w:jc w:val="left"/>
        <w:textAlignment w:val="auto"/>
        <w:rPr>
          <w:rFonts w:ascii="宋体" w:hAnsi="宋体" w:cs="宋体"/>
          <w:kern w:val="0"/>
          <w:szCs w:val="21"/>
        </w:rPr>
      </w:pPr>
      <w:r>
        <w:rPr>
          <w:rFonts w:hint="eastAsia" w:ascii="宋体" w:hAnsi="宋体" w:cs="宋体"/>
          <w:kern w:val="0"/>
          <w:szCs w:val="21"/>
        </w:rPr>
        <w:t>3.5本</w:t>
      </w:r>
      <w:r>
        <w:rPr>
          <w:rFonts w:hint="eastAsia" w:ascii="仿宋" w:hAnsi="仿宋" w:cs="宋体"/>
          <w:kern w:val="0"/>
          <w:szCs w:val="21"/>
        </w:rPr>
        <w:t>项目实行网上投标，采用电子投标文件。若供应商参与投标，自行承担投保过程中的一切费用。</w:t>
      </w:r>
    </w:p>
    <w:p>
      <w:pPr>
        <w:keepNext w:val="0"/>
        <w:keepLines w:val="0"/>
        <w:pageBreakBefore w:val="0"/>
        <w:widowControl/>
        <w:kinsoku/>
        <w:wordWrap/>
        <w:overflowPunct/>
        <w:topLinePunct w:val="0"/>
        <w:autoSpaceDE/>
        <w:autoSpaceDN/>
        <w:bidi w:val="0"/>
        <w:adjustRightInd/>
        <w:spacing w:before="255" w:after="255" w:line="360" w:lineRule="exact"/>
        <w:ind w:firstLine="422" w:firstLineChars="200"/>
        <w:textAlignment w:val="auto"/>
        <w:rPr>
          <w:rFonts w:ascii="宋体" w:hAnsi="宋体" w:cs="宋体"/>
          <w:b/>
          <w:bCs/>
          <w:kern w:val="0"/>
          <w:szCs w:val="21"/>
        </w:rPr>
      </w:pPr>
      <w:r>
        <w:rPr>
          <w:rFonts w:hint="eastAsia" w:ascii="宋体" w:hAnsi="宋体" w:cs="宋体"/>
          <w:b/>
          <w:bCs/>
          <w:kern w:val="0"/>
          <w:szCs w:val="21"/>
        </w:rPr>
        <w:t>七、对本次采购提出询问、质疑、投诉，请按以下方式联系</w:t>
      </w:r>
    </w:p>
    <w:p>
      <w:pPr>
        <w:keepNext w:val="0"/>
        <w:keepLines w:val="0"/>
        <w:pageBreakBefore w:val="0"/>
        <w:kinsoku/>
        <w:wordWrap/>
        <w:overflowPunct/>
        <w:topLinePunct w:val="0"/>
        <w:autoSpaceDE/>
        <w:autoSpaceDN/>
        <w:bidi w:val="0"/>
        <w:adjustRightInd/>
        <w:snapToGrid w:val="0"/>
        <w:spacing w:line="360" w:lineRule="exact"/>
        <w:ind w:firstLine="420" w:firstLineChars="200"/>
        <w:textAlignment w:val="auto"/>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采购人信息</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名  称：宁波市自然资源和规划局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地  址：鄞州区和济街9号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hint="eastAsia" w:ascii="宋体" w:hAnsi="宋体" w:eastAsia="宋体" w:cs="宋体"/>
          <w:color w:val="auto"/>
          <w:szCs w:val="21"/>
          <w:lang w:val="en-US" w:eastAsia="zh-CN"/>
        </w:rPr>
      </w:pPr>
      <w:r>
        <w:rPr>
          <w:rFonts w:hint="eastAsia" w:ascii="宋体" w:hAnsi="宋体" w:cs="宋体"/>
          <w:color w:val="0000FF"/>
          <w:szCs w:val="21"/>
        </w:rPr>
        <w:t> </w:t>
      </w:r>
      <w:r>
        <w:rPr>
          <w:rFonts w:hint="eastAsia" w:ascii="宋体" w:hAnsi="宋体" w:cs="宋体"/>
          <w:color w:val="auto"/>
          <w:szCs w:val="21"/>
        </w:rPr>
        <w:t>项目联系人：</w:t>
      </w:r>
      <w:r>
        <w:rPr>
          <w:rFonts w:hint="eastAsia" w:ascii="宋体" w:hAnsi="宋体" w:cs="宋体"/>
          <w:color w:val="auto"/>
          <w:szCs w:val="21"/>
          <w:lang w:val="en-US" w:eastAsia="zh-CN"/>
        </w:rPr>
        <w:t>高老师</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hint="eastAsia" w:ascii="宋体" w:hAnsi="宋体" w:eastAsia="宋体" w:cs="Arial"/>
          <w:color w:val="auto"/>
          <w:szCs w:val="21"/>
          <w:lang w:eastAsia="zh-CN"/>
        </w:rPr>
      </w:pPr>
      <w:r>
        <w:rPr>
          <w:rFonts w:hint="eastAsia" w:ascii="宋体" w:hAnsi="宋体" w:cs="宋体"/>
          <w:color w:val="auto"/>
          <w:szCs w:val="21"/>
        </w:rPr>
        <w:t> 项目联系方式</w:t>
      </w:r>
      <w:r>
        <w:rPr>
          <w:rFonts w:hint="eastAsia" w:ascii="宋体" w:hAnsi="宋体" w:cs="宋体"/>
          <w:color w:val="auto"/>
          <w:szCs w:val="21"/>
          <w:lang w:eastAsia="zh-CN"/>
        </w:rPr>
        <w:t>：</w:t>
      </w:r>
      <w:r>
        <w:rPr>
          <w:rFonts w:hint="eastAsia" w:ascii="宋体" w:hAnsi="宋体" w:cs="宋体"/>
          <w:color w:val="auto"/>
          <w:szCs w:val="21"/>
        </w:rPr>
        <w:t>0574-</w:t>
      </w:r>
      <w:r>
        <w:rPr>
          <w:rFonts w:hint="eastAsia" w:ascii="宋体" w:hAnsi="宋体" w:cs="宋体"/>
          <w:color w:val="auto"/>
          <w:szCs w:val="21"/>
          <w:lang w:eastAsia="zh-CN"/>
        </w:rPr>
        <w:t>89187569</w:t>
      </w:r>
    </w:p>
    <w:p>
      <w:pPr>
        <w:keepNext w:val="0"/>
        <w:keepLines w:val="0"/>
        <w:pageBreakBefore w:val="0"/>
        <w:kinsoku/>
        <w:wordWrap/>
        <w:overflowPunct/>
        <w:topLinePunct w:val="0"/>
        <w:autoSpaceDE/>
        <w:autoSpaceDN/>
        <w:bidi w:val="0"/>
        <w:adjustRightInd/>
        <w:snapToGrid w:val="0"/>
        <w:spacing w:line="360" w:lineRule="exact"/>
        <w:ind w:firstLine="621" w:firstLineChars="296"/>
        <w:textAlignment w:val="auto"/>
        <w:rPr>
          <w:rFonts w:hint="eastAsia" w:ascii="宋体" w:hAnsi="宋体" w:eastAsia="宋体" w:cs="Arial"/>
          <w:color w:val="auto"/>
          <w:szCs w:val="21"/>
          <w:lang w:val="en-US" w:eastAsia="zh-CN"/>
        </w:rPr>
      </w:pPr>
      <w:r>
        <w:rPr>
          <w:rFonts w:hint="eastAsia" w:ascii="宋体" w:hAnsi="宋体" w:cs="Arial"/>
          <w:color w:val="auto"/>
          <w:szCs w:val="21"/>
        </w:rPr>
        <w:t>质疑联系人：</w:t>
      </w:r>
      <w:r>
        <w:rPr>
          <w:rFonts w:hint="eastAsia" w:ascii="宋体" w:hAnsi="宋体" w:cs="Arial"/>
          <w:color w:val="auto"/>
          <w:szCs w:val="21"/>
          <w:lang w:val="en-US" w:eastAsia="zh-CN"/>
        </w:rPr>
        <w:t>杨老师</w:t>
      </w:r>
    </w:p>
    <w:p>
      <w:pPr>
        <w:keepNext w:val="0"/>
        <w:keepLines w:val="0"/>
        <w:pageBreakBefore w:val="0"/>
        <w:kinsoku/>
        <w:wordWrap/>
        <w:overflowPunct/>
        <w:topLinePunct w:val="0"/>
        <w:autoSpaceDE/>
        <w:autoSpaceDN/>
        <w:bidi w:val="0"/>
        <w:adjustRightInd/>
        <w:snapToGrid w:val="0"/>
        <w:spacing w:line="360" w:lineRule="exact"/>
        <w:ind w:firstLine="630" w:firstLineChars="300"/>
        <w:textAlignment w:val="auto"/>
        <w:rPr>
          <w:color w:val="auto"/>
        </w:rPr>
      </w:pPr>
      <w:r>
        <w:rPr>
          <w:rFonts w:hint="eastAsia" w:ascii="宋体" w:hAnsi="宋体" w:cs="Arial"/>
          <w:color w:val="auto"/>
          <w:szCs w:val="21"/>
        </w:rPr>
        <w:t>质疑联系方式：0574-</w:t>
      </w:r>
      <w:r>
        <w:rPr>
          <w:rFonts w:hint="eastAsia" w:ascii="宋体" w:hAnsi="宋体" w:cs="宋体"/>
          <w:color w:val="auto"/>
          <w:szCs w:val="21"/>
        </w:rPr>
        <w:t>89187338</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hint="eastAsia" w:ascii="宋体" w:hAnsi="宋体" w:cs="宋体"/>
          <w:szCs w:val="21"/>
          <w:lang w:val="en-US" w:eastAsia="zh-CN"/>
        </w:rPr>
      </w:pP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采购代理机构信息</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名    称：宁波中穗招标有限公司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地    址：宁波市翠柏路89号宁波工程学院公共培训平台大楼A座1109室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xml:space="preserve"> 项目联系人（询问）：马倩倩 李梦 求华勇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项目联系方式（询问）：0574-87400706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质疑联系人：俞力甩</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质疑联系方式：0574-87151163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同级政府采购监督管理部门</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名    称：宁波市政府采购管理办公室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联  系  人 ：李老师 </w:t>
      </w:r>
    </w:p>
    <w:p>
      <w:pPr>
        <w:keepNext w:val="0"/>
        <w:keepLines w:val="0"/>
        <w:pageBreakBefore w:val="0"/>
        <w:kinsoku/>
        <w:wordWrap/>
        <w:overflowPunct/>
        <w:topLinePunct w:val="0"/>
        <w:autoSpaceDE/>
        <w:autoSpaceDN/>
        <w:bidi w:val="0"/>
        <w:adjustRightInd/>
        <w:snapToGrid w:val="0"/>
        <w:spacing w:line="360" w:lineRule="exact"/>
        <w:ind w:firstLine="411" w:firstLineChars="196"/>
        <w:textAlignment w:val="auto"/>
        <w:rPr>
          <w:rFonts w:ascii="宋体" w:hAnsi="宋体" w:cs="宋体"/>
          <w:szCs w:val="21"/>
        </w:rPr>
      </w:pPr>
      <w:r>
        <w:rPr>
          <w:rFonts w:hint="eastAsia" w:ascii="宋体" w:hAnsi="宋体" w:cs="宋体"/>
          <w:szCs w:val="21"/>
        </w:rPr>
        <w:t> 监督投诉电话：0574-89388042</w:t>
      </w:r>
    </w:p>
    <w:p>
      <w:pPr>
        <w:bidi w:val="0"/>
      </w:pPr>
      <w:bookmarkStart w:id="6" w:name="_Toc27853"/>
      <w:bookmarkStart w:id="7" w:name="_Toc13003"/>
      <w:bookmarkStart w:id="8" w:name="_Toc460416585"/>
      <w:bookmarkStart w:id="9" w:name="_Toc79395433"/>
      <w:bookmarkStart w:id="10" w:name="_Toc460857891"/>
    </w:p>
    <w:p>
      <w:pPr>
        <w:bidi w:val="0"/>
      </w:pPr>
    </w:p>
    <w:p>
      <w:pPr>
        <w:bidi w:val="0"/>
      </w:pPr>
    </w:p>
    <w:p>
      <w:pPr>
        <w:pStyle w:val="5"/>
        <w:spacing w:before="0" w:after="0" w:line="360" w:lineRule="auto"/>
        <w:ind w:firstLine="3012" w:firstLineChars="1000"/>
        <w:jc w:val="both"/>
        <w:rPr>
          <w:sz w:val="30"/>
        </w:rPr>
      </w:pPr>
    </w:p>
    <w:p>
      <w:pPr>
        <w:rPr>
          <w:sz w:val="30"/>
        </w:rPr>
      </w:pPr>
    </w:p>
    <w:p>
      <w:pPr>
        <w:pStyle w:val="2"/>
      </w:pPr>
    </w:p>
    <w:p>
      <w:pPr>
        <w:spacing w:before="0" w:after="0" w:line="360" w:lineRule="auto"/>
        <w:ind w:firstLine="3000" w:firstLineChars="1000"/>
        <w:jc w:val="both"/>
        <w:rPr>
          <w:sz w:val="30"/>
        </w:rPr>
      </w:pPr>
      <w:r>
        <w:rPr>
          <w:sz w:val="30"/>
        </w:rPr>
        <w:br w:type="page"/>
      </w:r>
    </w:p>
    <w:p>
      <w:pPr>
        <w:pStyle w:val="5"/>
        <w:spacing w:before="0" w:after="0" w:line="360" w:lineRule="auto"/>
        <w:ind w:firstLine="3012" w:firstLineChars="1000"/>
        <w:jc w:val="both"/>
        <w:rPr>
          <w:sz w:val="30"/>
        </w:rPr>
      </w:pPr>
      <w:bookmarkStart w:id="11" w:name="_Toc7260"/>
      <w:r>
        <w:rPr>
          <w:sz w:val="30"/>
        </w:rPr>
        <w:t>第二章  采购需求</w:t>
      </w:r>
      <w:bookmarkEnd w:id="6"/>
      <w:bookmarkEnd w:id="7"/>
      <w:bookmarkEnd w:id="8"/>
      <w:bookmarkEnd w:id="9"/>
      <w:bookmarkEnd w:id="10"/>
      <w:bookmarkEnd w:id="11"/>
    </w:p>
    <w:p>
      <w:pPr>
        <w:numPr>
          <w:ilvl w:val="0"/>
          <w:numId w:val="9"/>
        </w:numPr>
        <w:spacing w:line="360" w:lineRule="exact"/>
        <w:rPr>
          <w:rFonts w:hint="eastAsia" w:ascii="宋体" w:hAnsi="宋体" w:cs="宋体"/>
          <w:b/>
          <w:bCs/>
          <w:color w:val="auto"/>
        </w:rPr>
      </w:pPr>
      <w:bookmarkStart w:id="12" w:name="_Toc460857893"/>
      <w:bookmarkStart w:id="13" w:name="_Toc304292160"/>
      <w:bookmarkStart w:id="14" w:name="_Toc460416635"/>
      <w:bookmarkStart w:id="15" w:name="_Toc79395435"/>
      <w:bookmarkStart w:id="16" w:name="_Toc6644"/>
      <w:bookmarkStart w:id="17" w:name="_Toc460857892"/>
      <w:bookmarkStart w:id="18" w:name="_Toc14953"/>
      <w:bookmarkStart w:id="19" w:name="_Toc460416586"/>
      <w:bookmarkStart w:id="20" w:name="_Toc13889"/>
      <w:bookmarkStart w:id="21" w:name="_Toc460416331"/>
      <w:bookmarkStart w:id="22" w:name="_Toc317685546"/>
      <w:r>
        <w:rPr>
          <w:rFonts w:hint="eastAsia" w:ascii="宋体" w:hAnsi="宋体" w:cs="宋体"/>
          <w:b/>
          <w:bCs/>
          <w:color w:val="auto"/>
        </w:rPr>
        <w:t>项目背景</w:t>
      </w:r>
    </w:p>
    <w:p>
      <w:pPr>
        <w:spacing w:line="360" w:lineRule="exact"/>
        <w:ind w:firstLine="420" w:firstLineChars="200"/>
        <w:rPr>
          <w:rFonts w:ascii="宋体" w:hAnsi="宋体" w:cs="宋体"/>
          <w:color w:val="auto"/>
        </w:rPr>
      </w:pPr>
      <w:r>
        <w:rPr>
          <w:rFonts w:hint="eastAsia" w:ascii="宋体" w:hAnsi="宋体" w:cs="宋体"/>
          <w:color w:val="auto"/>
        </w:rPr>
        <w:t>为深入贯彻习近平总书记关于加快建设数字中国重要论述，全面遵循省委省政府数字化改革决策部署，奋力推进市委市政府关于数字孪生城市建设要求，围绕宁波市全域、全空间、全要素数字孪生底座相关需求，为有效保障我市实景三维“一张图”的全面性、现势性，搭建数字孪生应用空间底座，推进自然资源和城市综合治理体系和治理能力现代化。根据《自然资源部信息化建设总体方案》《全市三维实景数据库建设方案》《宁波市基础测绘“十四五”规划》等文件要求，开展实景三维宁波建设（数字孪生空间底座建设）项目。</w:t>
      </w:r>
    </w:p>
    <w:p>
      <w:pPr>
        <w:numPr>
          <w:ilvl w:val="0"/>
          <w:numId w:val="9"/>
        </w:numPr>
        <w:spacing w:line="360" w:lineRule="exact"/>
        <w:rPr>
          <w:rFonts w:hint="eastAsia" w:ascii="宋体" w:hAnsi="宋体" w:cs="宋体"/>
          <w:b/>
          <w:bCs/>
          <w:color w:val="auto"/>
        </w:rPr>
      </w:pPr>
      <w:r>
        <w:rPr>
          <w:rFonts w:hint="eastAsia" w:ascii="宋体" w:hAnsi="宋体" w:cs="宋体"/>
          <w:b/>
          <w:bCs/>
          <w:color w:val="auto"/>
        </w:rPr>
        <w:t>工作内容：</w:t>
      </w:r>
    </w:p>
    <w:p>
      <w:pPr>
        <w:spacing w:line="360" w:lineRule="exact"/>
        <w:rPr>
          <w:rFonts w:ascii="宋体" w:hAnsi="宋体" w:cs="宋体"/>
          <w:color w:val="auto"/>
          <w:spacing w:val="3"/>
          <w:kern w:val="0"/>
          <w:szCs w:val="21"/>
        </w:rPr>
      </w:pPr>
      <w:r>
        <w:rPr>
          <w:rFonts w:hint="eastAsia" w:ascii="宋体" w:hAnsi="宋体" w:cs="宋体"/>
          <w:color w:val="auto"/>
          <w:spacing w:val="3"/>
          <w:kern w:val="0"/>
          <w:szCs w:val="21"/>
        </w:rPr>
        <w:t>（一）实景三维数据脱敏脱密</w:t>
      </w:r>
    </w:p>
    <w:p>
      <w:pPr>
        <w:spacing w:line="360" w:lineRule="exact"/>
        <w:ind w:firstLine="216" w:firstLineChars="100"/>
        <w:rPr>
          <w:rFonts w:ascii="宋体" w:hAnsi="宋体" w:cs="宋体"/>
          <w:color w:val="auto"/>
          <w:spacing w:val="3"/>
          <w:kern w:val="0"/>
          <w:szCs w:val="21"/>
        </w:rPr>
      </w:pPr>
      <w:r>
        <w:rPr>
          <w:rFonts w:hint="eastAsia" w:ascii="宋体" w:hAnsi="宋体" w:cs="宋体"/>
          <w:color w:val="auto"/>
          <w:spacing w:val="3"/>
          <w:kern w:val="0"/>
          <w:szCs w:val="21"/>
        </w:rPr>
        <w:t>1.实景三维脱敏脱密技术方案、技术路线制定；</w:t>
      </w:r>
    </w:p>
    <w:p>
      <w:pPr>
        <w:spacing w:line="360" w:lineRule="exact"/>
        <w:ind w:firstLine="216" w:firstLineChars="100"/>
        <w:rPr>
          <w:rFonts w:ascii="宋体" w:hAnsi="宋体" w:cs="宋体"/>
          <w:color w:val="auto"/>
          <w:spacing w:val="3"/>
          <w:kern w:val="0"/>
          <w:szCs w:val="21"/>
        </w:rPr>
      </w:pPr>
      <w:r>
        <w:rPr>
          <w:rFonts w:hint="eastAsia" w:ascii="宋体" w:hAnsi="宋体" w:cs="宋体"/>
          <w:color w:val="auto"/>
          <w:spacing w:val="3"/>
          <w:kern w:val="0"/>
          <w:szCs w:val="21"/>
        </w:rPr>
        <w:t>2.实景三维涉密数据内容处理。</w:t>
      </w:r>
    </w:p>
    <w:p>
      <w:pPr>
        <w:spacing w:line="360" w:lineRule="exact"/>
        <w:rPr>
          <w:rFonts w:ascii="宋体" w:hAnsi="宋体" w:cs="宋体"/>
          <w:color w:val="auto"/>
          <w:spacing w:val="3"/>
          <w:kern w:val="0"/>
          <w:szCs w:val="21"/>
        </w:rPr>
      </w:pPr>
      <w:r>
        <w:rPr>
          <w:rFonts w:hint="eastAsia" w:ascii="宋体" w:hAnsi="宋体" w:cs="宋体"/>
          <w:color w:val="auto"/>
          <w:spacing w:val="3"/>
          <w:kern w:val="0"/>
          <w:szCs w:val="21"/>
        </w:rPr>
        <w:t>（二）数字孪生空间底座建设</w:t>
      </w:r>
    </w:p>
    <w:p>
      <w:pPr>
        <w:spacing w:line="360" w:lineRule="exact"/>
        <w:ind w:firstLine="216" w:firstLineChars="100"/>
        <w:rPr>
          <w:rFonts w:ascii="宋体" w:hAnsi="宋体" w:cs="宋体"/>
          <w:color w:val="auto"/>
          <w:spacing w:val="3"/>
          <w:kern w:val="0"/>
          <w:szCs w:val="21"/>
        </w:rPr>
      </w:pPr>
      <w:r>
        <w:rPr>
          <w:rFonts w:hint="eastAsia" w:ascii="宋体" w:hAnsi="宋体" w:cs="宋体"/>
          <w:color w:val="auto"/>
          <w:spacing w:val="3"/>
          <w:kern w:val="0"/>
          <w:szCs w:val="21"/>
        </w:rPr>
        <w:t xml:space="preserve">1.编制全市数据建设总体实施方案、技术标准，开展技术培训、技术支持、试点区域数据生产； </w:t>
      </w:r>
    </w:p>
    <w:p>
      <w:pPr>
        <w:spacing w:line="360" w:lineRule="exact"/>
        <w:ind w:firstLine="216" w:firstLineChars="100"/>
        <w:rPr>
          <w:rFonts w:ascii="宋体" w:hAnsi="宋体" w:cs="宋体"/>
          <w:color w:val="auto"/>
          <w:spacing w:val="3"/>
          <w:kern w:val="0"/>
          <w:szCs w:val="21"/>
        </w:rPr>
      </w:pPr>
      <w:r>
        <w:rPr>
          <w:rFonts w:hint="eastAsia" w:ascii="宋体" w:hAnsi="宋体" w:cs="宋体"/>
          <w:color w:val="auto"/>
          <w:spacing w:val="3"/>
          <w:kern w:val="0"/>
          <w:szCs w:val="21"/>
        </w:rPr>
        <w:t>2.全市建筑和院落实体数据质量核查、整合。</w:t>
      </w:r>
    </w:p>
    <w:p>
      <w:pPr>
        <w:spacing w:line="360" w:lineRule="exact"/>
        <w:rPr>
          <w:rFonts w:ascii="宋体" w:hAnsi="宋体" w:cs="宋体"/>
          <w:color w:val="auto"/>
          <w:spacing w:val="3"/>
          <w:kern w:val="0"/>
          <w:szCs w:val="21"/>
        </w:rPr>
      </w:pPr>
      <w:r>
        <w:rPr>
          <w:rFonts w:hint="eastAsia" w:ascii="宋体" w:hAnsi="宋体" w:cs="宋体"/>
          <w:color w:val="auto"/>
          <w:spacing w:val="3"/>
          <w:kern w:val="0"/>
          <w:szCs w:val="21"/>
        </w:rPr>
        <w:t>（三）全市实景三维数据整合</w:t>
      </w:r>
    </w:p>
    <w:p>
      <w:pPr>
        <w:spacing w:line="360" w:lineRule="exact"/>
        <w:ind w:firstLine="432" w:firstLineChars="200"/>
        <w:rPr>
          <w:rFonts w:ascii="宋体" w:hAnsi="宋体" w:cs="宋体"/>
          <w:color w:val="auto"/>
          <w:spacing w:val="3"/>
          <w:kern w:val="0"/>
          <w:szCs w:val="21"/>
        </w:rPr>
      </w:pPr>
      <w:r>
        <w:rPr>
          <w:rFonts w:hint="eastAsia" w:ascii="宋体" w:hAnsi="宋体" w:cs="宋体"/>
          <w:color w:val="auto"/>
          <w:spacing w:val="3"/>
          <w:kern w:val="0"/>
          <w:szCs w:val="21"/>
        </w:rPr>
        <w:t>检查、整合全市实景三维模型数据，面积约3360平方千米。</w:t>
      </w:r>
    </w:p>
    <w:p>
      <w:pPr>
        <w:spacing w:line="360" w:lineRule="exact"/>
        <w:ind w:firstLine="216" w:firstLineChars="100"/>
        <w:rPr>
          <w:rFonts w:ascii="宋体" w:hAnsi="宋体" w:cs="宋体"/>
          <w:color w:val="auto"/>
          <w:spacing w:val="3"/>
          <w:kern w:val="0"/>
          <w:szCs w:val="21"/>
        </w:rPr>
      </w:pPr>
      <w:r>
        <w:rPr>
          <w:rFonts w:hint="eastAsia" w:ascii="宋体" w:hAnsi="宋体" w:cs="宋体"/>
          <w:color w:val="auto"/>
          <w:spacing w:val="3"/>
          <w:kern w:val="0"/>
          <w:szCs w:val="21"/>
        </w:rPr>
        <w:t xml:space="preserve">1.三维实景数据质量检查分析，数据坐标系统、图幅标准化，数据间裁切整合； </w:t>
      </w:r>
    </w:p>
    <w:p>
      <w:pPr>
        <w:spacing w:line="360" w:lineRule="exact"/>
        <w:ind w:firstLine="216" w:firstLineChars="100"/>
        <w:rPr>
          <w:rFonts w:ascii="宋体" w:hAnsi="宋体" w:cs="宋体"/>
          <w:b/>
          <w:bCs/>
          <w:color w:val="auto"/>
          <w:spacing w:val="3"/>
          <w:kern w:val="0"/>
          <w:szCs w:val="21"/>
        </w:rPr>
      </w:pPr>
      <w:r>
        <w:rPr>
          <w:rFonts w:hint="eastAsia" w:ascii="宋体" w:hAnsi="宋体" w:cs="宋体"/>
          <w:color w:val="auto"/>
          <w:spacing w:val="3"/>
          <w:kern w:val="0"/>
          <w:szCs w:val="21"/>
        </w:rPr>
        <w:t>2.数据按区域和项目两种模式进行组织入库。</w:t>
      </w:r>
    </w:p>
    <w:p>
      <w:pPr>
        <w:numPr>
          <w:ilvl w:val="0"/>
          <w:numId w:val="9"/>
        </w:numPr>
        <w:spacing w:line="360" w:lineRule="exact"/>
        <w:rPr>
          <w:rFonts w:ascii="宋体" w:hAnsi="宋体" w:cs="宋体"/>
          <w:b/>
          <w:bCs/>
          <w:color w:val="auto"/>
          <w:spacing w:val="3"/>
          <w:kern w:val="0"/>
          <w:szCs w:val="21"/>
        </w:rPr>
      </w:pPr>
      <w:r>
        <w:rPr>
          <w:rFonts w:hint="eastAsia" w:ascii="宋体" w:hAnsi="宋体" w:cs="宋体"/>
          <w:b/>
          <w:bCs/>
          <w:color w:val="auto"/>
          <w:spacing w:val="3"/>
          <w:kern w:val="0"/>
          <w:szCs w:val="21"/>
        </w:rPr>
        <w:t>进度要求</w:t>
      </w:r>
    </w:p>
    <w:p>
      <w:pPr>
        <w:spacing w:line="360" w:lineRule="exact"/>
        <w:ind w:firstLine="432" w:firstLineChars="200"/>
        <w:rPr>
          <w:rFonts w:ascii="宋体" w:hAnsi="宋体" w:cs="宋体"/>
          <w:color w:val="auto"/>
          <w:spacing w:val="3"/>
          <w:kern w:val="0"/>
          <w:szCs w:val="21"/>
        </w:rPr>
      </w:pPr>
      <w:r>
        <w:rPr>
          <w:rFonts w:hint="eastAsia" w:ascii="宋体" w:hAnsi="宋体" w:cs="宋体"/>
          <w:color w:val="auto"/>
          <w:spacing w:val="3"/>
          <w:kern w:val="0"/>
          <w:szCs w:val="21"/>
        </w:rPr>
        <w:t>合同签订后，2023年12月底前递交最终成果稿。</w:t>
      </w:r>
    </w:p>
    <w:p>
      <w:pPr>
        <w:numPr>
          <w:ilvl w:val="0"/>
          <w:numId w:val="9"/>
        </w:numPr>
        <w:spacing w:line="360" w:lineRule="exact"/>
        <w:rPr>
          <w:rFonts w:ascii="宋体" w:hAnsi="宋体" w:cs="宋体"/>
          <w:b/>
          <w:bCs/>
          <w:color w:val="auto"/>
          <w:spacing w:val="3"/>
          <w:kern w:val="0"/>
          <w:szCs w:val="21"/>
        </w:rPr>
      </w:pPr>
      <w:r>
        <w:rPr>
          <w:rFonts w:hint="eastAsia" w:ascii="宋体" w:hAnsi="宋体" w:cs="宋体"/>
          <w:b/>
          <w:bCs/>
          <w:color w:val="auto"/>
          <w:spacing w:val="3"/>
          <w:kern w:val="0"/>
          <w:szCs w:val="21"/>
        </w:rPr>
        <w:t>成果要求</w:t>
      </w:r>
    </w:p>
    <w:p>
      <w:pPr>
        <w:spacing w:line="360" w:lineRule="exact"/>
        <w:jc w:val="left"/>
        <w:rPr>
          <w:rFonts w:ascii="宋体" w:hAnsi="宋体" w:cs="宋体"/>
          <w:color w:val="auto"/>
          <w:spacing w:val="3"/>
          <w:kern w:val="0"/>
          <w:szCs w:val="21"/>
        </w:rPr>
      </w:pPr>
      <w:r>
        <w:rPr>
          <w:rFonts w:hint="eastAsia" w:ascii="宋体" w:hAnsi="宋体" w:cs="宋体"/>
          <w:color w:val="auto"/>
          <w:spacing w:val="3"/>
          <w:kern w:val="0"/>
          <w:szCs w:val="21"/>
        </w:rPr>
        <w:t>（一）成果内容</w:t>
      </w:r>
    </w:p>
    <w:p>
      <w:pPr>
        <w:spacing w:line="360" w:lineRule="exact"/>
        <w:ind w:firstLine="216" w:firstLineChars="100"/>
        <w:jc w:val="left"/>
        <w:rPr>
          <w:rFonts w:ascii="宋体" w:hAnsi="宋体" w:cs="宋体"/>
          <w:color w:val="auto"/>
          <w:spacing w:val="3"/>
          <w:kern w:val="0"/>
          <w:szCs w:val="21"/>
        </w:rPr>
      </w:pPr>
      <w:r>
        <w:rPr>
          <w:rFonts w:hint="eastAsia" w:ascii="宋体" w:hAnsi="宋体" w:cs="宋体"/>
          <w:color w:val="auto"/>
          <w:spacing w:val="3"/>
          <w:kern w:val="0"/>
          <w:szCs w:val="21"/>
        </w:rPr>
        <w:t>1.全市三维实景数据库；</w:t>
      </w:r>
    </w:p>
    <w:p>
      <w:pPr>
        <w:spacing w:line="360" w:lineRule="exact"/>
        <w:ind w:firstLine="216" w:firstLineChars="100"/>
        <w:jc w:val="left"/>
        <w:rPr>
          <w:rFonts w:ascii="宋体" w:hAnsi="宋体" w:cs="宋体"/>
          <w:color w:val="auto"/>
          <w:spacing w:val="3"/>
          <w:kern w:val="0"/>
          <w:szCs w:val="21"/>
        </w:rPr>
      </w:pPr>
      <w:r>
        <w:rPr>
          <w:rFonts w:hint="eastAsia" w:ascii="宋体" w:hAnsi="宋体" w:cs="宋体"/>
          <w:color w:val="auto"/>
          <w:spacing w:val="3"/>
          <w:kern w:val="0"/>
          <w:szCs w:val="21"/>
        </w:rPr>
        <w:t>2.全市建筑和院落实体数据库。</w:t>
      </w:r>
    </w:p>
    <w:p>
      <w:pPr>
        <w:spacing w:line="360" w:lineRule="exact"/>
        <w:jc w:val="left"/>
        <w:rPr>
          <w:rFonts w:ascii="宋体" w:hAnsi="宋体" w:cs="宋体"/>
          <w:color w:val="auto"/>
          <w:spacing w:val="3"/>
          <w:kern w:val="0"/>
          <w:szCs w:val="21"/>
        </w:rPr>
      </w:pPr>
      <w:r>
        <w:rPr>
          <w:rFonts w:hint="eastAsia" w:ascii="宋体" w:hAnsi="宋体" w:cs="宋体"/>
          <w:color w:val="auto"/>
          <w:spacing w:val="3"/>
          <w:kern w:val="0"/>
          <w:szCs w:val="21"/>
        </w:rPr>
        <w:t>（二）成果形式</w:t>
      </w:r>
    </w:p>
    <w:p>
      <w:pPr>
        <w:spacing w:line="360" w:lineRule="exact"/>
        <w:ind w:firstLine="432" w:firstLineChars="200"/>
        <w:jc w:val="left"/>
        <w:rPr>
          <w:rFonts w:ascii="宋体" w:hAnsi="宋体" w:cs="宋体"/>
          <w:color w:val="auto"/>
          <w:spacing w:val="3"/>
          <w:kern w:val="0"/>
          <w:szCs w:val="21"/>
        </w:rPr>
      </w:pPr>
      <w:r>
        <w:rPr>
          <w:rFonts w:hint="eastAsia" w:ascii="宋体" w:hAnsi="宋体" w:cs="宋体"/>
          <w:color w:val="auto"/>
          <w:spacing w:val="3"/>
          <w:kern w:val="0"/>
          <w:szCs w:val="21"/>
        </w:rPr>
        <w:t>包括纸质和电子文件两种方式。</w:t>
      </w:r>
    </w:p>
    <w:p>
      <w:pPr>
        <w:numPr>
          <w:ilvl w:val="0"/>
          <w:numId w:val="9"/>
        </w:numPr>
        <w:spacing w:line="360" w:lineRule="exact"/>
        <w:rPr>
          <w:rFonts w:hint="eastAsia" w:ascii="宋体" w:hAnsi="宋体" w:cs="宋体"/>
          <w:color w:val="auto"/>
        </w:rPr>
      </w:pPr>
      <w:r>
        <w:rPr>
          <w:rFonts w:hint="eastAsia" w:ascii="宋体" w:hAnsi="宋体" w:cs="宋体"/>
          <w:b/>
          <w:bCs/>
          <w:color w:val="auto"/>
        </w:rPr>
        <w:t>商务需求</w:t>
      </w:r>
    </w:p>
    <w:tbl>
      <w:tblPr>
        <w:tblStyle w:val="40"/>
        <w:tblW w:w="9966" w:type="dxa"/>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8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88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项 目</w:t>
            </w:r>
          </w:p>
        </w:tc>
        <w:tc>
          <w:tcPr>
            <w:tcW w:w="807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360" w:lineRule="exact"/>
              <w:jc w:val="center"/>
              <w:rPr>
                <w:rFonts w:ascii="宋体" w:hAnsi="宋体" w:cs="宋体"/>
                <w:color w:val="auto"/>
                <w:szCs w:val="21"/>
              </w:rPr>
            </w:pPr>
            <w:r>
              <w:rPr>
                <w:rFonts w:hint="eastAsia" w:ascii="宋体" w:hAnsi="宋体" w:cs="宋体"/>
                <w:color w:val="auto"/>
                <w:szCs w:val="21"/>
              </w:rPr>
              <w:t>服务期限与地点</w:t>
            </w:r>
          </w:p>
        </w:tc>
        <w:tc>
          <w:tcPr>
            <w:tcW w:w="8078" w:type="dxa"/>
            <w:vAlign w:val="center"/>
          </w:tcPr>
          <w:p>
            <w:pPr>
              <w:tabs>
                <w:tab w:val="left" w:pos="420"/>
              </w:tabs>
              <w:spacing w:before="156" w:beforeLines="50" w:line="360" w:lineRule="exact"/>
              <w:jc w:val="left"/>
              <w:rPr>
                <w:rFonts w:ascii="宋体" w:hAnsi="宋体" w:cs="宋体"/>
                <w:color w:val="auto"/>
              </w:rPr>
            </w:pPr>
            <w:r>
              <w:rPr>
                <w:rFonts w:hint="eastAsia" w:ascii="宋体" w:hAnsi="宋体" w:cs="宋体"/>
                <w:color w:val="auto"/>
              </w:rPr>
              <w:t>服务期限：合同签订后至2023年12月底前</w:t>
            </w:r>
            <w:r>
              <w:rPr>
                <w:rFonts w:hint="eastAsia" w:ascii="宋体" w:hAnsi="宋体" w:cs="宋体"/>
                <w:color w:val="auto"/>
                <w:spacing w:val="3"/>
                <w:kern w:val="0"/>
                <w:szCs w:val="21"/>
              </w:rPr>
              <w:t>递交最终成果稿。</w:t>
            </w:r>
          </w:p>
          <w:p>
            <w:pPr>
              <w:pStyle w:val="2"/>
              <w:spacing w:line="360" w:lineRule="exact"/>
              <w:rPr>
                <w:rFonts w:ascii="宋体" w:hAnsi="宋体" w:cs="宋体"/>
                <w:color w:val="auto"/>
              </w:rPr>
            </w:pPr>
            <w:r>
              <w:rPr>
                <w:rFonts w:hint="eastAsia" w:ascii="宋体" w:hAnsi="宋体" w:cs="宋体"/>
                <w:color w:val="auto"/>
                <w:sz w:val="21"/>
                <w:szCs w:val="21"/>
              </w:rPr>
              <w:t>服务地点：采购人指定地点。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360" w:lineRule="exact"/>
              <w:jc w:val="center"/>
              <w:rPr>
                <w:rFonts w:ascii="宋体" w:hAnsi="宋体" w:cs="宋体"/>
                <w:color w:val="auto"/>
                <w:szCs w:val="21"/>
              </w:rPr>
            </w:pPr>
            <w:r>
              <w:rPr>
                <w:rFonts w:hint="eastAsia" w:ascii="宋体" w:hAnsi="宋体" w:cs="宋体"/>
                <w:color w:val="auto"/>
                <w:szCs w:val="21"/>
              </w:rPr>
              <w:t>付款方式</w:t>
            </w:r>
          </w:p>
        </w:tc>
        <w:tc>
          <w:tcPr>
            <w:tcW w:w="8078" w:type="dxa"/>
            <w:vAlign w:val="center"/>
          </w:tcPr>
          <w:p>
            <w:pPr>
              <w:tabs>
                <w:tab w:val="left" w:pos="420"/>
              </w:tabs>
              <w:spacing w:before="156" w:beforeLines="50" w:line="360" w:lineRule="exact"/>
              <w:jc w:val="left"/>
              <w:rPr>
                <w:rFonts w:ascii="宋体" w:hAnsi="宋体" w:cs="宋体"/>
                <w:color w:val="auto"/>
                <w:szCs w:val="21"/>
              </w:rPr>
            </w:pPr>
            <w:r>
              <w:rPr>
                <w:rFonts w:hint="eastAsia" w:ascii="宋体" w:hAnsi="宋体" w:cs="宋体"/>
                <w:color w:val="auto"/>
                <w:szCs w:val="21"/>
              </w:rPr>
              <w:t>采购人在合同生效后的七个工作日内向中标供应商支付合同款项的</w:t>
            </w:r>
            <w:r>
              <w:rPr>
                <w:rFonts w:ascii="宋体" w:hAnsi="宋体" w:cs="宋体"/>
                <w:color w:val="auto"/>
                <w:szCs w:val="21"/>
              </w:rPr>
              <w:t>6</w:t>
            </w:r>
            <w:r>
              <w:rPr>
                <w:rFonts w:hint="eastAsia" w:ascii="宋体" w:hAnsi="宋体" w:cs="宋体"/>
                <w:color w:val="auto"/>
                <w:szCs w:val="21"/>
              </w:rPr>
              <w:t>0%；</w:t>
            </w:r>
            <w:r>
              <w:rPr>
                <w:rFonts w:hint="eastAsia" w:ascii="宋体" w:hAnsi="宋体" w:cs="宋体"/>
                <w:color w:val="auto"/>
              </w:rPr>
              <w:t>根据项目进度安排，基本完成项目工作内容后，支付进度款3</w:t>
            </w:r>
            <w:r>
              <w:rPr>
                <w:rFonts w:ascii="宋体" w:hAnsi="宋体" w:cs="宋体"/>
                <w:color w:val="auto"/>
              </w:rPr>
              <w:t>5</w:t>
            </w:r>
            <w:r>
              <w:rPr>
                <w:rFonts w:hint="eastAsia" w:ascii="宋体" w:hAnsi="宋体" w:cs="宋体"/>
                <w:color w:val="auto"/>
              </w:rPr>
              <w:t>%；项目完成并提交成果后，支付尾款5%。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360" w:lineRule="exact"/>
              <w:jc w:val="center"/>
              <w:rPr>
                <w:rFonts w:ascii="宋体" w:hAnsi="宋体" w:cs="宋体"/>
                <w:color w:val="auto"/>
                <w:szCs w:val="21"/>
              </w:rPr>
            </w:pPr>
            <w:r>
              <w:rPr>
                <w:rFonts w:hint="eastAsia" w:ascii="宋体" w:hAnsi="宋体" w:cs="宋体"/>
                <w:color w:val="auto"/>
                <w:szCs w:val="21"/>
              </w:rPr>
              <w:t>履约保证金</w:t>
            </w:r>
          </w:p>
        </w:tc>
        <w:tc>
          <w:tcPr>
            <w:tcW w:w="8078" w:type="dxa"/>
            <w:vAlign w:val="center"/>
          </w:tcPr>
          <w:p>
            <w:pPr>
              <w:tabs>
                <w:tab w:val="left" w:pos="420"/>
              </w:tabs>
              <w:spacing w:before="156" w:beforeLines="50" w:line="360" w:lineRule="exact"/>
              <w:jc w:val="left"/>
              <w:rPr>
                <w:rFonts w:ascii="宋体" w:hAnsi="宋体" w:cs="宋体"/>
                <w:color w:val="auto"/>
                <w:szCs w:val="21"/>
              </w:rPr>
            </w:pP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360" w:lineRule="exact"/>
              <w:jc w:val="center"/>
              <w:rPr>
                <w:rFonts w:ascii="宋体" w:hAnsi="宋体" w:cs="宋体"/>
                <w:color w:val="auto"/>
                <w:szCs w:val="21"/>
              </w:rPr>
            </w:pPr>
            <w:r>
              <w:rPr>
                <w:rFonts w:hint="eastAsia" w:ascii="宋体" w:hAnsi="宋体" w:cs="宋体"/>
                <w:color w:val="auto"/>
                <w:szCs w:val="21"/>
              </w:rPr>
              <w:t>验收方式</w:t>
            </w:r>
          </w:p>
        </w:tc>
        <w:tc>
          <w:tcPr>
            <w:tcW w:w="8078" w:type="dxa"/>
            <w:vAlign w:val="center"/>
          </w:tcPr>
          <w:p>
            <w:pPr>
              <w:tabs>
                <w:tab w:val="left" w:pos="420"/>
              </w:tabs>
              <w:spacing w:before="156" w:beforeLines="50" w:line="360" w:lineRule="exact"/>
              <w:jc w:val="left"/>
              <w:rPr>
                <w:rFonts w:ascii="宋体" w:hAnsi="宋体" w:cs="宋体"/>
                <w:color w:val="auto"/>
                <w:szCs w:val="21"/>
              </w:rPr>
            </w:pPr>
            <w:r>
              <w:rPr>
                <w:rFonts w:hint="eastAsia" w:ascii="宋体" w:hAnsi="宋体" w:cs="宋体"/>
                <w:color w:val="auto"/>
                <w:szCs w:val="21"/>
              </w:rPr>
              <w:t>根据招标文件及响应文件，结合项目实际情况由采购人组织验收。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88" w:type="dxa"/>
            <w:vAlign w:val="center"/>
          </w:tcPr>
          <w:p>
            <w:pPr>
              <w:tabs>
                <w:tab w:val="left" w:pos="420"/>
              </w:tabs>
              <w:spacing w:before="156" w:beforeLines="50" w:line="360" w:lineRule="exact"/>
              <w:jc w:val="center"/>
              <w:rPr>
                <w:rFonts w:ascii="宋体" w:hAnsi="宋体" w:cs="宋体"/>
                <w:color w:val="auto"/>
                <w:szCs w:val="21"/>
              </w:rPr>
            </w:pPr>
            <w:r>
              <w:rPr>
                <w:rFonts w:hint="eastAsia" w:ascii="宋体" w:hAnsi="宋体" w:cs="宋体"/>
                <w:color w:val="auto"/>
                <w:szCs w:val="21"/>
              </w:rPr>
              <w:t>合同签订</w:t>
            </w:r>
          </w:p>
        </w:tc>
        <w:tc>
          <w:tcPr>
            <w:tcW w:w="8078" w:type="dxa"/>
            <w:vAlign w:val="center"/>
          </w:tcPr>
          <w:p>
            <w:pPr>
              <w:tabs>
                <w:tab w:val="left" w:pos="420"/>
              </w:tabs>
              <w:spacing w:before="156" w:beforeLines="50" w:line="360" w:lineRule="exact"/>
              <w:jc w:val="left"/>
              <w:rPr>
                <w:rFonts w:ascii="宋体" w:hAnsi="宋体" w:cs="宋体"/>
                <w:color w:val="auto"/>
                <w:szCs w:val="21"/>
              </w:rPr>
            </w:pPr>
            <w:r>
              <w:rPr>
                <w:rFonts w:hint="eastAsia" w:ascii="宋体" w:hAnsi="宋体" w:cs="宋体"/>
                <w:color w:val="auto"/>
                <w:szCs w:val="21"/>
              </w:rPr>
              <w:t>中标通知书发出后30天内签订合同。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888" w:type="dxa"/>
            <w:vAlign w:val="center"/>
          </w:tcPr>
          <w:p>
            <w:pPr>
              <w:spacing w:line="360" w:lineRule="exact"/>
              <w:jc w:val="center"/>
              <w:rPr>
                <w:rFonts w:ascii="宋体" w:hAnsi="宋体" w:cs="宋体"/>
                <w:color w:val="auto"/>
              </w:rPr>
            </w:pPr>
            <w:r>
              <w:rPr>
                <w:rFonts w:hint="eastAsia" w:ascii="宋体" w:hAnsi="宋体" w:cs="宋体"/>
                <w:color w:val="auto"/>
              </w:rPr>
              <w:t>知识产权</w:t>
            </w:r>
          </w:p>
        </w:tc>
        <w:tc>
          <w:tcPr>
            <w:tcW w:w="8078" w:type="dxa"/>
            <w:vAlign w:val="center"/>
          </w:tcPr>
          <w:p>
            <w:pPr>
              <w:spacing w:line="360" w:lineRule="exact"/>
              <w:rPr>
                <w:rFonts w:ascii="宋体" w:hAnsi="宋体" w:cs="宋体"/>
                <w:color w:val="auto"/>
              </w:rPr>
            </w:pPr>
            <w:r>
              <w:rPr>
                <w:rFonts w:hint="eastAsia" w:ascii="宋体" w:hAnsi="宋体" w:cs="宋体"/>
                <w:color w:val="auto"/>
              </w:rPr>
              <w:t>本项目最终成果的知识产权归采购人所有。供应商应保证提供服务过程中不会侵犯任何第三方的知识产权。若发生第三方知识产权纠纷，采购人保留追究责任的权利。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888" w:type="dxa"/>
            <w:vAlign w:val="center"/>
          </w:tcPr>
          <w:p>
            <w:pPr>
              <w:tabs>
                <w:tab w:val="left" w:pos="420"/>
              </w:tabs>
              <w:spacing w:before="156" w:beforeLines="50" w:line="360" w:lineRule="exact"/>
              <w:jc w:val="center"/>
              <w:rPr>
                <w:rFonts w:ascii="宋体" w:hAnsi="宋体" w:cs="宋体"/>
                <w:color w:val="auto"/>
              </w:rPr>
            </w:pPr>
            <w:r>
              <w:rPr>
                <w:rFonts w:hint="eastAsia" w:ascii="宋体" w:hAnsi="宋体" w:cs="宋体"/>
                <w:color w:val="auto"/>
              </w:rPr>
              <w:t>违约责任</w:t>
            </w:r>
          </w:p>
        </w:tc>
        <w:tc>
          <w:tcPr>
            <w:tcW w:w="8078" w:type="dxa"/>
            <w:vAlign w:val="center"/>
          </w:tcPr>
          <w:p>
            <w:pPr>
              <w:spacing w:line="360" w:lineRule="exact"/>
              <w:rPr>
                <w:rFonts w:ascii="宋体" w:hAnsi="宋体" w:cs="宋体"/>
                <w:color w:val="auto"/>
              </w:rPr>
            </w:pPr>
            <w:r>
              <w:rPr>
                <w:rFonts w:hint="eastAsia" w:ascii="宋体" w:hAnsi="宋体" w:cs="宋体"/>
                <w:color w:val="auto"/>
              </w:rPr>
              <w:t>1、中标人逾期履行合同的，自逾期之日起，向采购人每日偿付合同总价百分之五的滞纳金；中标人逾期15日不能提交成果，视为中标人不能履行合同，采购人有权解除合同，中标人应承担违约责任，应向采购人支付合同总价百分之十的违约金。</w:t>
            </w:r>
          </w:p>
          <w:p>
            <w:pPr>
              <w:spacing w:line="360" w:lineRule="exact"/>
              <w:rPr>
                <w:rFonts w:ascii="宋体" w:hAnsi="宋体" w:cs="宋体"/>
                <w:color w:val="auto"/>
                <w:szCs w:val="21"/>
              </w:rPr>
            </w:pPr>
            <w:r>
              <w:rPr>
                <w:rFonts w:hint="eastAsia" w:ascii="宋体" w:hAnsi="宋体" w:cs="宋体"/>
                <w:color w:val="auto"/>
              </w:rPr>
              <w:t>2、中标后中标人撤回投标或拒绝签订合同的，给采购人造成的损失、招标过程及重新招标期间产生的费用由中标人承担。</w:t>
            </w:r>
          </w:p>
        </w:tc>
      </w:tr>
      <w:bookmarkEnd w:id="12"/>
      <w:bookmarkEnd w:id="13"/>
      <w:bookmarkEnd w:id="14"/>
      <w:bookmarkEnd w:id="15"/>
      <w:bookmarkEnd w:id="16"/>
      <w:bookmarkEnd w:id="17"/>
      <w:bookmarkEnd w:id="18"/>
      <w:bookmarkEnd w:id="19"/>
      <w:bookmarkEnd w:id="20"/>
      <w:bookmarkEnd w:id="21"/>
      <w:bookmarkEnd w:id="22"/>
    </w:tbl>
    <w:p>
      <w:pPr>
        <w:pStyle w:val="139"/>
        <w:spacing w:line="360" w:lineRule="auto"/>
        <w:ind w:left="0" w:firstLine="0"/>
        <w:jc w:val="center"/>
        <w:outlineLvl w:val="0"/>
        <w:rPr>
          <w:b/>
          <w:bCs/>
          <w:sz w:val="30"/>
          <w:szCs w:val="30"/>
        </w:rPr>
      </w:pPr>
      <w:bookmarkStart w:id="23" w:name="_Toc4069"/>
      <w:bookmarkStart w:id="24" w:name="_Toc14945"/>
      <w:bookmarkStart w:id="25" w:name="_Toc79395437"/>
      <w:r>
        <w:rPr>
          <w:rFonts w:hint="eastAsia" w:ascii="宋体" w:hAnsi="宋体" w:cs="宋体"/>
          <w:kern w:val="0"/>
          <w:sz w:val="24"/>
          <w:szCs w:val="24"/>
        </w:rPr>
        <w:br w:type="page"/>
      </w:r>
      <w:bookmarkStart w:id="26" w:name="_Toc31743"/>
      <w:r>
        <w:rPr>
          <w:rFonts w:hint="eastAsia" w:ascii="宋体" w:hAnsi="宋体" w:cs="宋体"/>
          <w:b/>
          <w:bCs/>
          <w:kern w:val="0"/>
          <w:sz w:val="30"/>
          <w:szCs w:val="30"/>
        </w:rPr>
        <w:t xml:space="preserve">第三章 </w:t>
      </w:r>
      <w:r>
        <w:rPr>
          <w:rFonts w:hint="eastAsia" w:ascii="宋体" w:hAnsi="宋体" w:cs="宋体"/>
          <w:b/>
          <w:bCs/>
          <w:kern w:val="0"/>
          <w:sz w:val="30"/>
          <w:szCs w:val="30"/>
          <w:lang w:val="en-US" w:eastAsia="zh-CN"/>
        </w:rPr>
        <w:t xml:space="preserve"> </w:t>
      </w:r>
      <w:r>
        <w:rPr>
          <w:b/>
          <w:bCs/>
          <w:sz w:val="30"/>
          <w:szCs w:val="30"/>
        </w:rPr>
        <w:t>投标人须知</w:t>
      </w:r>
      <w:bookmarkEnd w:id="23"/>
      <w:bookmarkEnd w:id="24"/>
      <w:bookmarkEnd w:id="25"/>
      <w:bookmarkEnd w:id="26"/>
    </w:p>
    <w:p>
      <w:pPr>
        <w:pStyle w:val="139"/>
        <w:spacing w:line="360" w:lineRule="auto"/>
        <w:ind w:left="0" w:firstLine="0"/>
        <w:jc w:val="center"/>
        <w:outlineLvl w:val="1"/>
        <w:rPr>
          <w:b/>
          <w:bCs/>
          <w:sz w:val="28"/>
          <w:szCs w:val="28"/>
        </w:rPr>
      </w:pPr>
      <w:bookmarkStart w:id="27" w:name="_Toc13936"/>
      <w:r>
        <w:rPr>
          <w:rFonts w:hint="eastAsia"/>
          <w:b/>
          <w:bCs/>
          <w:sz w:val="28"/>
          <w:szCs w:val="28"/>
        </w:rPr>
        <w:t>前附表</w:t>
      </w:r>
      <w:bookmarkEnd w:id="27"/>
    </w:p>
    <w:tbl>
      <w:tblPr>
        <w:tblStyle w:val="40"/>
        <w:tblW w:w="902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0"/>
        <w:gridCol w:w="81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9" w:hRule="atLeast"/>
          <w:tblHeader/>
        </w:trPr>
        <w:tc>
          <w:tcPr>
            <w:tcW w:w="850" w:type="dxa"/>
            <w:vAlign w:val="center"/>
          </w:tcPr>
          <w:p>
            <w:pPr>
              <w:jc w:val="center"/>
              <w:rPr>
                <w:b/>
                <w:bCs/>
              </w:rPr>
            </w:pPr>
            <w:bookmarkStart w:id="28" w:name="_Toc460857895"/>
            <w:bookmarkStart w:id="29" w:name="_Toc460416594"/>
            <w:r>
              <w:rPr>
                <w:b/>
                <w:bCs/>
              </w:rPr>
              <w:t>序</w:t>
            </w:r>
            <w:r>
              <w:rPr>
                <w:rFonts w:hint="eastAsia"/>
                <w:b/>
                <w:bCs/>
              </w:rPr>
              <w:t xml:space="preserve">  </w:t>
            </w:r>
            <w:r>
              <w:rPr>
                <w:b/>
                <w:bCs/>
              </w:rPr>
              <w:t>号</w:t>
            </w:r>
          </w:p>
        </w:tc>
        <w:tc>
          <w:tcPr>
            <w:tcW w:w="8175" w:type="dxa"/>
            <w:vAlign w:val="center"/>
          </w:tcPr>
          <w:p>
            <w:pPr>
              <w:jc w:val="center"/>
              <w:rPr>
                <w:b/>
                <w:bCs/>
              </w:rPr>
            </w:pPr>
            <w:r>
              <w:rPr>
                <w:b/>
                <w:bCs/>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2" w:hRule="atLeast"/>
        </w:trPr>
        <w:tc>
          <w:tcPr>
            <w:tcW w:w="850" w:type="dxa"/>
            <w:vAlign w:val="center"/>
          </w:tcPr>
          <w:p>
            <w:pPr>
              <w:jc w:val="center"/>
            </w:pPr>
            <w:r>
              <w:rPr>
                <w:rFonts w:hint="eastAsia" w:ascii="宋体" w:hAnsi="宋体" w:cs="宋体"/>
              </w:rPr>
              <w:t>1</w:t>
            </w:r>
          </w:p>
        </w:tc>
        <w:tc>
          <w:tcPr>
            <w:tcW w:w="8175" w:type="dxa"/>
            <w:vAlign w:val="center"/>
          </w:tcPr>
          <w:p>
            <w:pPr>
              <w:rPr>
                <w:rFonts w:hint="eastAsia" w:ascii="宋体" w:hAnsi="宋体" w:eastAsia="宋体" w:cs="宋体"/>
                <w:lang w:eastAsia="zh-CN"/>
              </w:rPr>
            </w:pPr>
            <w:r>
              <w:rPr>
                <w:rFonts w:hint="eastAsia" w:ascii="宋体" w:hAnsi="宋体" w:eastAsia="宋体" w:cs="宋体"/>
              </w:rPr>
              <w:t>项目名称：</w:t>
            </w:r>
            <w:r>
              <w:rPr>
                <w:rFonts w:hint="eastAsia" w:ascii="宋体" w:hAnsi="宋体" w:eastAsia="宋体" w:cs="宋体"/>
                <w:lang w:eastAsia="zh-CN"/>
              </w:rPr>
              <w:t>实景三维宁波建设（数字孪生空间底座建设）</w:t>
            </w:r>
          </w:p>
          <w:p>
            <w:pPr>
              <w:rPr>
                <w:rFonts w:hint="eastAsia" w:ascii="宋体" w:hAnsi="宋体" w:eastAsia="宋体" w:cs="宋体"/>
                <w:lang w:eastAsia="zh-CN"/>
              </w:rPr>
            </w:pPr>
            <w:r>
              <w:rPr>
                <w:rFonts w:hint="eastAsia" w:ascii="宋体" w:hAnsi="宋体" w:eastAsia="宋体" w:cs="宋体"/>
              </w:rPr>
              <w:t>项目编号：</w:t>
            </w:r>
            <w:r>
              <w:rPr>
                <w:rFonts w:hint="eastAsia" w:ascii="宋体" w:hAnsi="宋体" w:eastAsia="宋体" w:cs="宋体"/>
                <w:lang w:eastAsia="zh-CN"/>
              </w:rPr>
              <w:t>NBZS-202211498G</w:t>
            </w:r>
          </w:p>
          <w:p>
            <w:pPr>
              <w:rPr>
                <w:rFonts w:hint="eastAsia" w:ascii="宋体" w:hAnsi="宋体" w:eastAsia="宋体" w:cs="宋体"/>
              </w:rPr>
            </w:pPr>
            <w:r>
              <w:rPr>
                <w:rFonts w:hint="eastAsia" w:ascii="宋体" w:hAnsi="宋体" w:eastAsia="宋体" w:cs="宋体"/>
              </w:rPr>
              <w:t>采购方式：公开招标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850" w:type="dxa"/>
            <w:vAlign w:val="center"/>
          </w:tcPr>
          <w:p>
            <w:pPr>
              <w:jc w:val="center"/>
            </w:pPr>
            <w:r>
              <w:t>2</w:t>
            </w:r>
          </w:p>
        </w:tc>
        <w:tc>
          <w:tcPr>
            <w:tcW w:w="8175" w:type="dxa"/>
            <w:vAlign w:val="center"/>
          </w:tcPr>
          <w:p>
            <w:pPr>
              <w:rPr>
                <w:rFonts w:hint="eastAsia" w:ascii="宋体" w:hAnsi="宋体" w:eastAsia="宋体" w:cs="宋体"/>
                <w:color w:val="auto"/>
              </w:rPr>
            </w:pPr>
            <w:r>
              <w:rPr>
                <w:rFonts w:hint="eastAsia" w:ascii="宋体" w:hAnsi="宋体" w:eastAsia="宋体" w:cs="宋体"/>
                <w:color w:val="auto"/>
              </w:rPr>
              <w:t>采购人名称：宁波市自然资源和规划局</w:t>
            </w:r>
          </w:p>
          <w:p>
            <w:pPr>
              <w:rPr>
                <w:rFonts w:hint="eastAsia" w:ascii="宋体" w:hAnsi="宋体" w:eastAsia="宋体" w:cs="宋体"/>
                <w:color w:val="auto"/>
                <w:lang w:val="en-US" w:eastAsia="zh-CN"/>
              </w:rPr>
            </w:pPr>
            <w:r>
              <w:rPr>
                <w:rFonts w:hint="eastAsia" w:ascii="宋体" w:hAnsi="宋体" w:eastAsia="宋体" w:cs="宋体"/>
                <w:color w:val="auto"/>
              </w:rPr>
              <w:t>项目联系人</w:t>
            </w:r>
            <w:r>
              <w:rPr>
                <w:rFonts w:hint="eastAsia" w:ascii="宋体" w:hAnsi="宋体" w:eastAsia="宋体" w:cs="宋体"/>
                <w:color w:val="auto"/>
                <w:lang w:eastAsia="zh-CN"/>
              </w:rPr>
              <w:t>：</w:t>
            </w:r>
            <w:r>
              <w:rPr>
                <w:rFonts w:hint="eastAsia" w:ascii="宋体" w:hAnsi="宋体" w:eastAsia="宋体" w:cs="宋体"/>
                <w:color w:val="auto"/>
                <w:lang w:val="en-US" w:eastAsia="zh-CN"/>
              </w:rPr>
              <w:t>高老师</w:t>
            </w:r>
          </w:p>
          <w:p>
            <w:pPr>
              <w:rPr>
                <w:rFonts w:hint="eastAsia" w:ascii="宋体" w:hAnsi="宋体" w:eastAsia="宋体" w:cs="宋体"/>
                <w:color w:val="auto"/>
              </w:rPr>
            </w:pPr>
            <w:r>
              <w:rPr>
                <w:rFonts w:hint="eastAsia" w:ascii="宋体" w:hAnsi="宋体" w:eastAsia="宋体" w:cs="宋体"/>
                <w:color w:val="auto"/>
              </w:rPr>
              <w:t>项目联系方式：0574-</w:t>
            </w:r>
            <w:r>
              <w:rPr>
                <w:rFonts w:hint="eastAsia" w:ascii="宋体" w:hAnsi="宋体" w:eastAsia="宋体" w:cs="宋体"/>
                <w:color w:val="auto"/>
                <w:lang w:eastAsia="zh-CN"/>
              </w:rPr>
              <w:t>89187569</w:t>
            </w:r>
            <w:r>
              <w:rPr>
                <w:rFonts w:hint="eastAsia" w:ascii="宋体" w:hAnsi="宋体" w:eastAsia="宋体" w:cs="宋体"/>
                <w:color w:val="auto"/>
              </w:rPr>
              <w:t xml:space="preserve">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招标代理单位：宁波中穗招标有限公司</w:t>
            </w:r>
          </w:p>
          <w:p>
            <w:pPr>
              <w:rPr>
                <w:rFonts w:hint="eastAsia" w:ascii="宋体" w:hAnsi="宋体" w:eastAsia="宋体" w:cs="宋体"/>
              </w:rPr>
            </w:pPr>
            <w:r>
              <w:rPr>
                <w:rFonts w:hint="eastAsia" w:ascii="宋体" w:hAnsi="宋体" w:eastAsia="宋体" w:cs="宋体"/>
              </w:rPr>
              <w:t>地址：宁波市翠柏路89号宁波工程学院公共培训平台大楼A座1109室</w:t>
            </w:r>
          </w:p>
          <w:p>
            <w:pPr>
              <w:rPr>
                <w:rFonts w:hint="eastAsia" w:ascii="宋体" w:hAnsi="宋体" w:eastAsia="宋体" w:cs="宋体"/>
              </w:rPr>
            </w:pPr>
            <w:r>
              <w:rPr>
                <w:rFonts w:hint="eastAsia" w:ascii="宋体" w:hAnsi="宋体" w:eastAsia="宋体" w:cs="宋体"/>
              </w:rPr>
              <w:t>联系人：</w:t>
            </w:r>
            <w:r>
              <w:rPr>
                <w:rFonts w:hint="eastAsia" w:ascii="宋体" w:hAnsi="宋体" w:eastAsia="宋体" w:cs="宋体"/>
                <w:szCs w:val="21"/>
              </w:rPr>
              <w:t xml:space="preserve">马倩倩 李梦 求华勇 </w:t>
            </w: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联系方式：0574-87400706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70" w:hRule="atLeast"/>
        </w:trPr>
        <w:tc>
          <w:tcPr>
            <w:tcW w:w="850" w:type="dxa"/>
            <w:vAlign w:val="center"/>
          </w:tcPr>
          <w:p>
            <w:pPr>
              <w:jc w:val="center"/>
            </w:pPr>
            <w:r>
              <w:t>3</w:t>
            </w:r>
          </w:p>
        </w:tc>
        <w:tc>
          <w:tcPr>
            <w:tcW w:w="8175" w:type="dxa"/>
            <w:vAlign w:val="center"/>
          </w:tcPr>
          <w:p>
            <w:r>
              <w:t>投标报价及费用：</w:t>
            </w:r>
          </w:p>
          <w:p>
            <w:r>
              <w:rPr>
                <w:rFonts w:hint="eastAsia"/>
              </w:rPr>
              <w:t>1.</w:t>
            </w:r>
            <w:r>
              <w:t>本项目采购预算/最高限价：人民币</w:t>
            </w:r>
            <w:r>
              <w:rPr>
                <w:rFonts w:hint="eastAsia"/>
                <w:lang w:eastAsia="zh-CN"/>
              </w:rPr>
              <w:t>150万</w:t>
            </w:r>
            <w:r>
              <w:rPr>
                <w:rFonts w:hint="eastAsia"/>
              </w:rPr>
              <w:t>元，</w:t>
            </w:r>
            <w:r>
              <w:t>投标报价超过预算金额或最高限价的作无效标处理。</w:t>
            </w:r>
          </w:p>
          <w:p>
            <w:pPr>
              <w:rPr>
                <w:lang w:val="zh-CN"/>
              </w:rPr>
            </w:pPr>
            <w:r>
              <w:rPr>
                <w:rFonts w:hint="eastAsia"/>
              </w:rPr>
              <w:t>2.</w:t>
            </w:r>
            <w:r>
              <w:t>投标报价：</w:t>
            </w:r>
            <w:r>
              <w:rPr>
                <w:rFonts w:hint="eastAsia"/>
                <w:lang w:val="zh-CN"/>
              </w:rPr>
              <w:t>投标文件中价格全部采用人民币报价。有关本项目实施所需的所有费用（含税费）均计入报价。</w:t>
            </w:r>
            <w:r>
              <w:rPr>
                <w:rFonts w:hint="eastAsia"/>
              </w:rPr>
              <w:t>开标一览表（报价表）是报价的唯一载体</w:t>
            </w:r>
            <w:r>
              <w:rPr>
                <w:rFonts w:hint="eastAsia"/>
                <w:lang w:val="zh-CN"/>
              </w:rPr>
              <w:t>。招标文件未列明，而投标人认为必需的费用也需列入报价。</w:t>
            </w:r>
          </w:p>
          <w:p>
            <w:r>
              <w:rPr>
                <w:rFonts w:hint="eastAsia"/>
              </w:rPr>
              <w:t>3.</w:t>
            </w:r>
            <w:r>
              <w:t>不论投标结果如何，投标人均应自行承担所有与投标有关的全部费用。</w:t>
            </w:r>
          </w:p>
          <w:p>
            <w:r>
              <w:rPr>
                <w:rFonts w:hint="eastAsia"/>
              </w:rPr>
              <w:t>4.</w:t>
            </w:r>
            <w:r>
              <w:t>招标代理服务费的收取标准：</w:t>
            </w:r>
          </w:p>
          <w:p>
            <w:r>
              <w:t>本招标公司参照国家发改委发改办价格[2003]857号通知和</w:t>
            </w:r>
            <w:r>
              <w:rPr>
                <w:rFonts w:hint="eastAsia"/>
              </w:rPr>
              <w:t>原</w:t>
            </w:r>
            <w:r>
              <w:t>国家计委计价格[2002]1980号文件的规定的</w:t>
            </w:r>
            <w:r>
              <w:rPr>
                <w:rFonts w:hint="eastAsia"/>
              </w:rPr>
              <w:t>服务类</w:t>
            </w:r>
            <w:r>
              <w:t>招标费率标准</w:t>
            </w:r>
            <w:r>
              <w:rPr>
                <w:rFonts w:hint="eastAsia"/>
              </w:rPr>
              <w:t>，以中标通知书确定的总金额为基数，由</w:t>
            </w:r>
            <w:r>
              <w:t>中标人在领取中标通知书</w:t>
            </w:r>
            <w:r>
              <w:rPr>
                <w:rFonts w:hint="eastAsia"/>
              </w:rPr>
              <w:t>前</w:t>
            </w:r>
            <w:r>
              <w:t>支付服务费。</w:t>
            </w:r>
          </w:p>
          <w:p>
            <w:r>
              <w:t>服务费汇入账户：</w:t>
            </w:r>
          </w:p>
          <w:p>
            <w:r>
              <w:rPr>
                <w:rFonts w:hint="eastAsia"/>
              </w:rPr>
              <w:t>账户名称：宁波中穗招标有限公司</w:t>
            </w:r>
          </w:p>
          <w:p>
            <w:r>
              <w:rPr>
                <w:rFonts w:hint="eastAsia"/>
              </w:rPr>
              <w:t>开户银行：中国建设银行宁波市分行</w:t>
            </w:r>
          </w:p>
          <w:p>
            <w:r>
              <w:rPr>
                <w:rFonts w:hint="eastAsia"/>
              </w:rPr>
              <w:t>银行账号：33101983679050542195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50" w:type="dxa"/>
            <w:vAlign w:val="center"/>
          </w:tcPr>
          <w:p>
            <w:pPr>
              <w:jc w:val="center"/>
            </w:pPr>
            <w:r>
              <w:rPr>
                <w:rFonts w:hint="eastAsia"/>
              </w:rPr>
              <w:t>4</w:t>
            </w:r>
          </w:p>
        </w:tc>
        <w:tc>
          <w:tcPr>
            <w:tcW w:w="8175" w:type="dxa"/>
            <w:vAlign w:val="center"/>
          </w:tcPr>
          <w:p>
            <w:r>
              <w:rPr>
                <w:rFonts w:hint="eastAsia"/>
              </w:rPr>
              <w:t>工期要求：合同签订后至</w:t>
            </w:r>
            <w:r>
              <w:t>2023</w:t>
            </w:r>
            <w:r>
              <w:rPr>
                <w:rFonts w:hint="eastAsia"/>
              </w:rPr>
              <w:t>年1</w:t>
            </w:r>
            <w:r>
              <w:rPr>
                <w:rFonts w:hint="eastAsia"/>
                <w:lang w:val="en-US" w:eastAsia="zh-CN"/>
              </w:rPr>
              <w:t>0</w:t>
            </w:r>
            <w:r>
              <w:rPr>
                <w:rFonts w:hint="eastAsia"/>
              </w:rPr>
              <w:t>月底前</w:t>
            </w:r>
            <w:r>
              <w:rPr>
                <w:rFonts w:hint="eastAsia" w:ascii="宋体" w:hAnsi="宋体" w:cs="宋体"/>
              </w:rPr>
              <w:t>完成项目验收</w:t>
            </w:r>
            <w:r>
              <w:rPr>
                <w:rFonts w:hint="eastAsi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trPr>
        <w:tc>
          <w:tcPr>
            <w:tcW w:w="850" w:type="dxa"/>
            <w:vAlign w:val="center"/>
          </w:tcPr>
          <w:p>
            <w:pPr>
              <w:jc w:val="center"/>
            </w:pPr>
            <w:r>
              <w:rPr>
                <w:rFonts w:hint="eastAsia"/>
              </w:rPr>
              <w:t>5</w:t>
            </w:r>
          </w:p>
        </w:tc>
        <w:tc>
          <w:tcPr>
            <w:tcW w:w="8175" w:type="dxa"/>
            <w:vAlign w:val="center"/>
          </w:tcPr>
          <w:p>
            <w:r>
              <w:rPr>
                <w:rFonts w:hint="eastAsia"/>
                <w:lang w:val="en-US" w:eastAsia="zh-CN"/>
              </w:rPr>
              <w:t>1.</w:t>
            </w:r>
            <w:r>
              <w:rPr>
                <w:rFonts w:hint="eastAsia"/>
              </w:rPr>
              <w:t>付款方式：</w:t>
            </w:r>
            <w:r>
              <w:rPr>
                <w:rFonts w:hint="eastAsia" w:ascii="宋体" w:hAnsi="宋体" w:cs="宋体"/>
                <w:color w:val="auto"/>
                <w:szCs w:val="21"/>
              </w:rPr>
              <w:t>采购人在合同生效后的七个工作日内向中标供应商支付合同款项的</w:t>
            </w:r>
            <w:r>
              <w:rPr>
                <w:rFonts w:ascii="宋体" w:hAnsi="宋体" w:cs="宋体"/>
                <w:color w:val="auto"/>
                <w:szCs w:val="21"/>
              </w:rPr>
              <w:t>6</w:t>
            </w:r>
            <w:r>
              <w:rPr>
                <w:rFonts w:hint="eastAsia" w:ascii="宋体" w:hAnsi="宋体" w:cs="宋体"/>
                <w:color w:val="auto"/>
                <w:szCs w:val="21"/>
              </w:rPr>
              <w:t>0%；</w:t>
            </w:r>
            <w:r>
              <w:rPr>
                <w:rFonts w:hint="eastAsia" w:ascii="宋体" w:hAnsi="宋体" w:cs="宋体"/>
                <w:color w:val="auto"/>
              </w:rPr>
              <w:t>根据项目进度安排，基本完成项目工作内容后，支付进度款3</w:t>
            </w:r>
            <w:r>
              <w:rPr>
                <w:rFonts w:ascii="宋体" w:hAnsi="宋体" w:cs="宋体"/>
                <w:color w:val="auto"/>
              </w:rPr>
              <w:t>5</w:t>
            </w:r>
            <w:r>
              <w:rPr>
                <w:rFonts w:hint="eastAsia" w:ascii="宋体" w:hAnsi="宋体" w:cs="宋体"/>
                <w:color w:val="auto"/>
              </w:rPr>
              <w:t>%；项目完成并提交成果后，支付尾款5%。</w:t>
            </w:r>
          </w:p>
          <w:p>
            <w:r>
              <w:rPr>
                <w:rFonts w:hint="eastAsia"/>
              </w:rPr>
              <w:t>2.投标保证金：无</w:t>
            </w:r>
          </w:p>
          <w:p>
            <w:r>
              <w:rPr>
                <w:rFonts w:hint="eastAsia"/>
              </w:rPr>
              <w:t>3.履约保证金：无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3" w:hRule="atLeast"/>
        </w:trPr>
        <w:tc>
          <w:tcPr>
            <w:tcW w:w="850" w:type="dxa"/>
            <w:vAlign w:val="center"/>
          </w:tcPr>
          <w:p>
            <w:pPr>
              <w:jc w:val="center"/>
            </w:pPr>
            <w:r>
              <w:rPr>
                <w:rFonts w:hint="eastAsia"/>
              </w:rPr>
              <w:t>6</w:t>
            </w:r>
          </w:p>
        </w:tc>
        <w:tc>
          <w:tcPr>
            <w:tcW w:w="8175" w:type="dxa"/>
            <w:vAlign w:val="center"/>
          </w:tcPr>
          <w:p>
            <w:r>
              <w:t>评标办法：</w:t>
            </w:r>
            <w:r>
              <w:rPr>
                <w:rFonts w:hint="eastAsia"/>
              </w:rPr>
              <w:t>综合评分法</w:t>
            </w:r>
            <w: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8" w:hRule="atLeast"/>
        </w:trPr>
        <w:tc>
          <w:tcPr>
            <w:tcW w:w="850" w:type="dxa"/>
            <w:vAlign w:val="center"/>
          </w:tcPr>
          <w:p>
            <w:pPr>
              <w:jc w:val="center"/>
            </w:pPr>
            <w:r>
              <w:rPr>
                <w:rFonts w:hint="eastAsia"/>
              </w:rPr>
              <w:t>7</w:t>
            </w:r>
          </w:p>
        </w:tc>
        <w:tc>
          <w:tcPr>
            <w:tcW w:w="8175" w:type="dxa"/>
            <w:vAlign w:val="center"/>
          </w:tcPr>
          <w:p>
            <w:r>
              <w:rPr>
                <w:rFonts w:hint="eastAsia"/>
              </w:rPr>
              <w:t>信息公告媒体：浙江政府采购网。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850" w:type="dxa"/>
            <w:vAlign w:val="center"/>
          </w:tcPr>
          <w:p>
            <w:pPr>
              <w:jc w:val="center"/>
            </w:pPr>
            <w:r>
              <w:rPr>
                <w:rFonts w:hint="eastAsia"/>
              </w:rPr>
              <w:t>8</w:t>
            </w:r>
          </w:p>
        </w:tc>
        <w:tc>
          <w:tcPr>
            <w:tcW w:w="8175" w:type="dxa"/>
            <w:vAlign w:val="center"/>
          </w:tcPr>
          <w:p>
            <w: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7" w:hRule="atLeast"/>
        </w:trPr>
        <w:tc>
          <w:tcPr>
            <w:tcW w:w="850" w:type="dxa"/>
            <w:vAlign w:val="center"/>
          </w:tcPr>
          <w:p>
            <w:pPr>
              <w:jc w:val="center"/>
            </w:pPr>
            <w:r>
              <w:rPr>
                <w:rFonts w:hint="eastAsia"/>
              </w:rPr>
              <w:t>9</w:t>
            </w:r>
          </w:p>
        </w:tc>
        <w:tc>
          <w:tcPr>
            <w:tcW w:w="8175" w:type="dxa"/>
            <w:vAlign w:val="center"/>
          </w:tcPr>
          <w:p>
            <w:r>
              <w:t>采购资金来源：</w:t>
            </w:r>
            <w:r>
              <w:rPr>
                <w:rFonts w:hint="eastAsia"/>
              </w:rPr>
              <w:t>财政</w:t>
            </w:r>
            <w:r>
              <w:t>预算资金。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7" w:hRule="atLeast"/>
        </w:trPr>
        <w:tc>
          <w:tcPr>
            <w:tcW w:w="850" w:type="dxa"/>
            <w:vAlign w:val="center"/>
          </w:tcPr>
          <w:p>
            <w:pPr>
              <w:jc w:val="center"/>
            </w:pPr>
            <w:r>
              <w:rPr>
                <w:rFonts w:hint="eastAsia"/>
              </w:rPr>
              <w:t>10</w:t>
            </w:r>
          </w:p>
        </w:tc>
        <w:tc>
          <w:tcPr>
            <w:tcW w:w="8175" w:type="dxa"/>
            <w:vAlign w:val="center"/>
          </w:tcPr>
          <w:p>
            <w:r>
              <w:rPr>
                <w:rFonts w:hint="eastAsia"/>
              </w:rPr>
              <w:t>投标文件的上传和递交：</w:t>
            </w:r>
          </w:p>
          <w:p>
            <w:r>
              <w:rPr>
                <w:rFonts w:hint="eastAsia"/>
                <w:lang w:val="en-US" w:eastAsia="zh-CN"/>
              </w:rPr>
              <w:t>1.</w:t>
            </w:r>
            <w:r>
              <w:rPr>
                <w:rFonts w:hint="eastAsia"/>
              </w:rPr>
              <w:t>“电子加密投标文件”的上传、递交：</w:t>
            </w:r>
          </w:p>
          <w:p>
            <w:r>
              <w:rPr>
                <w:rFonts w:hint="eastAsia"/>
              </w:rPr>
              <w:t>a.投标供应商应在投标截止时间前将“电子加密投标文件”成功上传递交至“政府采购云平台”，否则投标无效。</w:t>
            </w:r>
          </w:p>
          <w:p>
            <w:r>
              <w:rPr>
                <w:rFonts w:hint="eastAsia"/>
              </w:rPr>
              <w:t>b.“电子加密投标文件”成功上传递交后，供应商可自行打印投标文件接收回执。</w:t>
            </w:r>
          </w:p>
          <w:p>
            <w:r>
              <w:rPr>
                <w:rFonts w:hint="eastAsia"/>
                <w:lang w:val="en-US" w:eastAsia="zh-CN"/>
              </w:rPr>
              <w:t>2.</w:t>
            </w:r>
            <w:r>
              <w:rPr>
                <w:rFonts w:hint="eastAsia"/>
              </w:rPr>
              <w:t>“备份投标文件”的密封包装、递交（非强制项）：</w:t>
            </w:r>
          </w:p>
          <w:p>
            <w:r>
              <w:rPr>
                <w:rFonts w:hint="eastAsia"/>
              </w:rPr>
              <w:t>a.投标供应商还可以采用邮寄方式或现场方式在投标截止时间前（202</w:t>
            </w:r>
            <w:r>
              <w:rPr>
                <w:rFonts w:hint="eastAsia"/>
                <w:lang w:val="en-US" w:eastAsia="zh-CN"/>
              </w:rPr>
              <w:t>3</w:t>
            </w:r>
            <w:r>
              <w:rPr>
                <w:rFonts w:hint="eastAsia"/>
              </w:rPr>
              <w:t>年</w:t>
            </w:r>
            <w:r>
              <w:rPr>
                <w:rFonts w:hint="eastAsia"/>
                <w:lang w:val="en-US" w:eastAsia="zh-CN"/>
              </w:rPr>
              <w:t>1</w:t>
            </w:r>
            <w:r>
              <w:rPr>
                <w:rFonts w:hint="eastAsia"/>
              </w:rPr>
              <w:t>月</w:t>
            </w:r>
            <w:r>
              <w:rPr>
                <w:rFonts w:hint="eastAsia"/>
                <w:lang w:val="en-US" w:eastAsia="zh-CN"/>
              </w:rPr>
              <w:t>11</w:t>
            </w:r>
            <w:r>
              <w:rPr>
                <w:rFonts w:hint="eastAsia"/>
              </w:rPr>
              <w:t>日17点00分前）递交以U盘存储的 “备份投标文件”（一份）。</w:t>
            </w:r>
          </w:p>
          <w:p>
            <w:r>
              <w:rPr>
                <w:rFonts w:hint="eastAsia"/>
              </w:rPr>
              <w:t>邮寄地址：宁波市翠柏路89号宁波工程学院公共培训平台大楼A座1109室；</w:t>
            </w:r>
          </w:p>
          <w:p>
            <w:r>
              <w:rPr>
                <w:rFonts w:hint="eastAsia"/>
              </w:rPr>
              <w:t>收件人：范海东； 联系方式：13567844430。</w:t>
            </w:r>
          </w:p>
          <w:p>
            <w:r>
              <w:rPr>
                <w:rFonts w:hint="eastAsia"/>
              </w:rPr>
              <w:t>各供应商应自行考虑邮寄在途时间，邮寄过程中无论何种因素导致备份投标文件未按时递交的后果，均由供应商自行负责；</w:t>
            </w:r>
          </w:p>
          <w:p>
            <w:r>
              <w:rPr>
                <w:rFonts w:hint="eastAsia"/>
              </w:rPr>
              <w:t>b.“备份投标文件”应当密封包装，并在包装上标注投标项目名称、投标单位名称并加盖公章。没有密封包装或者逾期邮寄送达至投标地点的“备份投标文件”将不予接收；</w:t>
            </w:r>
          </w:p>
          <w:p>
            <w:r>
              <w:rPr>
                <w:rFonts w:hint="eastAsia"/>
              </w:rPr>
              <w:t>c.通过“政府采购云平台”成功上传递交的“电子加密投标文件”已按时解密的，“备份投标文件”自动失效。</w:t>
            </w:r>
          </w:p>
          <w:p>
            <w:r>
              <w:rPr>
                <w:rFonts w:hint="eastAsia"/>
                <w:lang w:val="en-US" w:eastAsia="zh-CN"/>
              </w:rPr>
              <w:t>3.</w:t>
            </w:r>
            <w:r>
              <w:rPr>
                <w:rFonts w:hint="eastAsia"/>
              </w:rPr>
              <w:t>投标文件启用顺序和效力。投标文件的启用，按先后顺位分别为电子投标文件、以U盘存储的数据电文形式的备份投标文件。顺位在先的投标文件已按时解密的，备份投标文件自动失效。在下一顺位的投标文件启用时，前一顺位的投标文件自动失效。</w:t>
            </w:r>
          </w:p>
          <w:p>
            <w:r>
              <w:rPr>
                <w:rFonts w:hint="eastAsia"/>
              </w:rPr>
              <w:t>★未传输递交电子投标文件的，投标无效。</w:t>
            </w:r>
          </w:p>
          <w:p>
            <w:r>
              <w:rPr>
                <w:rFonts w:hint="eastAsia"/>
              </w:rPr>
              <w:t>注：评标结束后，本项目的中标供应商仍需提供叁套与电子投标文件一致的纸质投标文件（一正二副），如不一致，以电子投标文件为准。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jc w:val="center"/>
            </w:pPr>
            <w:r>
              <w:rPr>
                <w:rFonts w:hint="eastAsia"/>
              </w:rPr>
              <w:t>11</w:t>
            </w:r>
          </w:p>
        </w:tc>
        <w:tc>
          <w:tcPr>
            <w:tcW w:w="8175" w:type="dxa"/>
            <w:vAlign w:val="center"/>
          </w:tcPr>
          <w:p>
            <w:r>
              <w:rPr>
                <w:rFonts w:hint="eastAsia"/>
              </w:rPr>
              <w:t>电子加密投标文件的解密和异常情况处理：</w:t>
            </w:r>
          </w:p>
          <w:p>
            <w:r>
              <w:rPr>
                <w:rFonts w:hint="eastAsia"/>
                <w:lang w:val="en-US" w:eastAsia="zh-CN"/>
              </w:rPr>
              <w:t>1.</w:t>
            </w:r>
            <w:r>
              <w:rPr>
                <w:rFonts w:hint="eastAsia"/>
              </w:rPr>
              <w:t>开标后，采购组织机构将向各投标供应商发出“电子加密投标文件”的解密通知，各投标供应商代表应当在接到解密通知后30分钟内自行完成“电子加密投标文件”的在线解密（加密和解密需同一CA锁）。</w:t>
            </w:r>
          </w:p>
          <w:p>
            <w:r>
              <w:rPr>
                <w:rFonts w:hint="eastAsia"/>
                <w:lang w:val="en-US" w:eastAsia="zh-CN"/>
              </w:rPr>
              <w:t>2.</w:t>
            </w:r>
            <w:r>
              <w:rPr>
                <w:rFonts w:hint="eastAsia"/>
              </w:rPr>
              <w:t>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
              <w:rPr>
                <w:rFonts w:hint="eastAsia"/>
                <w:lang w:val="en-US" w:eastAsia="zh-CN"/>
              </w:rPr>
              <w:t>3.</w:t>
            </w:r>
            <w:r>
              <w:rPr>
                <w:rFonts w:hint="eastAsia"/>
              </w:rPr>
              <w:t>投标截止时间前，投标供应商仅递交了“备份投标文件”而未将电子加密投标文件成功上传至“政府采购云平台”的，投标无效。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jc w:val="center"/>
            </w:pPr>
            <w:r>
              <w:rPr>
                <w:rFonts w:hint="eastAsia"/>
              </w:rPr>
              <w:t>12</w:t>
            </w:r>
          </w:p>
        </w:tc>
        <w:tc>
          <w:tcPr>
            <w:tcW w:w="8175" w:type="dxa"/>
            <w:vAlign w:val="center"/>
          </w:tcPr>
          <w:p>
            <w:r>
              <w:t>投标文件有效期：90天。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7" w:hRule="atLeast"/>
        </w:trPr>
        <w:tc>
          <w:tcPr>
            <w:tcW w:w="850" w:type="dxa"/>
            <w:vAlign w:val="center"/>
          </w:tcPr>
          <w:p>
            <w:pPr>
              <w:jc w:val="center"/>
            </w:pPr>
            <w:r>
              <w:rPr>
                <w:rFonts w:hint="eastAsia"/>
              </w:rPr>
              <w:t>★13</w:t>
            </w:r>
          </w:p>
        </w:tc>
        <w:tc>
          <w:tcPr>
            <w:tcW w:w="8175" w:type="dxa"/>
            <w:vAlign w:val="center"/>
          </w:tcPr>
          <w:p>
            <w: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8" w:hRule="atLeast"/>
        </w:trPr>
        <w:tc>
          <w:tcPr>
            <w:tcW w:w="850" w:type="dxa"/>
            <w:vAlign w:val="center"/>
          </w:tcPr>
          <w:p>
            <w:pPr>
              <w:jc w:val="center"/>
            </w:pPr>
            <w:r>
              <w:rPr>
                <w:rFonts w:hint="eastAsia"/>
              </w:rPr>
              <w:t>★14</w:t>
            </w:r>
          </w:p>
        </w:tc>
        <w:tc>
          <w:tcPr>
            <w:tcW w:w="8175" w:type="dxa"/>
            <w:vAlign w:val="center"/>
          </w:tcPr>
          <w:p>
            <w:r>
              <w:t>解释：本招标文件的解释权属于</w:t>
            </w:r>
            <w:r>
              <w:rPr>
                <w:rFonts w:hint="eastAsia"/>
              </w:rPr>
              <w:t>招标代理机构和</w:t>
            </w:r>
            <w:r>
              <w:t>采购人。</w:t>
            </w:r>
          </w:p>
        </w:tc>
      </w:tr>
      <w:bookmarkEnd w:id="28"/>
      <w:bookmarkEnd w:id="29"/>
    </w:tbl>
    <w:p>
      <w:pPr>
        <w:pStyle w:val="6"/>
        <w:numPr>
          <w:ilvl w:val="0"/>
          <w:numId w:val="0"/>
        </w:numPr>
        <w:spacing w:before="0" w:after="0" w:line="400" w:lineRule="exact"/>
        <w:jc w:val="center"/>
        <w:rPr>
          <w:sz w:val="21"/>
          <w:szCs w:val="21"/>
        </w:rPr>
      </w:pPr>
      <w:bookmarkStart w:id="30" w:name="_Toc460857896"/>
      <w:bookmarkStart w:id="31" w:name="_Toc460416339"/>
      <w:bookmarkStart w:id="32" w:name="_Toc460416644"/>
      <w:bookmarkStart w:id="33" w:name="_Toc460416595"/>
      <w:r>
        <w:rPr>
          <w:sz w:val="21"/>
          <w:szCs w:val="21"/>
        </w:rPr>
        <w:br w:type="page"/>
      </w:r>
      <w:bookmarkEnd w:id="30"/>
      <w:bookmarkEnd w:id="31"/>
      <w:bookmarkEnd w:id="32"/>
      <w:bookmarkEnd w:id="33"/>
      <w:bookmarkStart w:id="34" w:name="_Toc15866"/>
      <w:bookmarkStart w:id="35" w:name="_Toc460857897"/>
      <w:bookmarkStart w:id="36" w:name="_Toc13183"/>
      <w:bookmarkStart w:id="37" w:name="_Toc17707910"/>
      <w:bookmarkStart w:id="38" w:name="_Toc27331"/>
      <w:bookmarkStart w:id="39" w:name="_Toc79395438"/>
      <w:bookmarkStart w:id="40" w:name="_Toc8008"/>
      <w:r>
        <w:rPr>
          <w:rFonts w:hint="eastAsia" w:ascii="宋体" w:hAnsi="宋体" w:cs="宋体"/>
        </w:rPr>
        <w:t>一、总  则</w:t>
      </w:r>
      <w:bookmarkEnd w:id="34"/>
      <w:bookmarkEnd w:id="35"/>
      <w:bookmarkEnd w:id="36"/>
      <w:bookmarkEnd w:id="37"/>
      <w:bookmarkEnd w:id="38"/>
      <w:bookmarkEnd w:id="39"/>
      <w:bookmarkEnd w:id="40"/>
    </w:p>
    <w:p>
      <w:pPr>
        <w:pStyle w:val="7"/>
        <w:pageBreakBefore w:val="0"/>
        <w:numPr>
          <w:ilvl w:val="0"/>
          <w:numId w:val="0"/>
        </w:numPr>
        <w:tabs>
          <w:tab w:val="clear" w:pos="720"/>
        </w:tabs>
        <w:kinsoku/>
        <w:wordWrap/>
        <w:overflowPunct/>
        <w:topLinePunct w:val="0"/>
        <w:autoSpaceDE/>
        <w:autoSpaceDN/>
        <w:bidi w:val="0"/>
        <w:spacing w:before="0" w:after="0" w:line="400" w:lineRule="exact"/>
        <w:ind w:firstLine="422" w:firstLineChars="200"/>
        <w:textAlignment w:val="auto"/>
        <w:rPr>
          <w:kern w:val="2"/>
          <w:sz w:val="21"/>
          <w:szCs w:val="21"/>
        </w:rPr>
      </w:pPr>
      <w:bookmarkStart w:id="41" w:name="_Toc17707911"/>
      <w:bookmarkStart w:id="42" w:name="_Toc460857898"/>
      <w:bookmarkStart w:id="43" w:name="_Toc460416596"/>
      <w:bookmarkStart w:id="44" w:name="_Toc19506"/>
      <w:bookmarkStart w:id="45" w:name="_Toc79395439"/>
      <w:bookmarkStart w:id="46" w:name="_Toc460416645"/>
      <w:bookmarkStart w:id="47" w:name="_Toc96"/>
      <w:bookmarkStart w:id="48" w:name="_Toc460416340"/>
      <w:r>
        <w:rPr>
          <w:kern w:val="2"/>
          <w:sz w:val="21"/>
          <w:szCs w:val="21"/>
        </w:rPr>
        <w:t>（一）适用范围</w:t>
      </w:r>
      <w:bookmarkEnd w:id="41"/>
      <w:bookmarkEnd w:id="42"/>
      <w:bookmarkEnd w:id="43"/>
      <w:bookmarkEnd w:id="44"/>
      <w:bookmarkEnd w:id="45"/>
      <w:bookmarkEnd w:id="46"/>
      <w:bookmarkEnd w:id="47"/>
      <w:bookmarkEnd w:id="48"/>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本采购文件适用于本采购项目的招标、投标、评标、定标、验收、合同履约、付款等行为（法律、法规另有规定的，从其规定）。</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49" w:name="_Toc460416597"/>
      <w:bookmarkStart w:id="50" w:name="_Toc18275"/>
      <w:bookmarkStart w:id="51" w:name="_Toc460857899"/>
      <w:bookmarkStart w:id="52" w:name="_Toc18164"/>
      <w:bookmarkStart w:id="53" w:name="_Toc17707912"/>
      <w:bookmarkStart w:id="54" w:name="_Toc79395440"/>
      <w:bookmarkStart w:id="55" w:name="_Toc460416646"/>
      <w:bookmarkStart w:id="56" w:name="_Toc460416341"/>
      <w:r>
        <w:rPr>
          <w:kern w:val="2"/>
          <w:sz w:val="21"/>
          <w:szCs w:val="21"/>
        </w:rPr>
        <w:t>（二）定义</w:t>
      </w:r>
      <w:bookmarkEnd w:id="49"/>
      <w:bookmarkEnd w:id="50"/>
      <w:bookmarkEnd w:id="51"/>
      <w:bookmarkEnd w:id="52"/>
      <w:bookmarkEnd w:id="53"/>
      <w:bookmarkEnd w:id="54"/>
      <w:bookmarkEnd w:id="55"/>
      <w:bookmarkEnd w:id="56"/>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1</w:t>
      </w:r>
      <w:r>
        <w:rPr>
          <w:rFonts w:hint="eastAsia"/>
          <w:szCs w:val="21"/>
        </w:rPr>
        <w:t>.</w:t>
      </w:r>
      <w:r>
        <w:rPr>
          <w:szCs w:val="21"/>
        </w:rPr>
        <w:t>“采购人”系指组织本次招标的采购单位。</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2</w:t>
      </w:r>
      <w:r>
        <w:rPr>
          <w:rFonts w:hint="eastAsia"/>
          <w:szCs w:val="21"/>
        </w:rPr>
        <w:t>.</w:t>
      </w:r>
      <w:r>
        <w:rPr>
          <w:szCs w:val="21"/>
        </w:rPr>
        <w:t>“</w:t>
      </w:r>
      <w:r>
        <w:rPr>
          <w:rFonts w:hint="eastAsia"/>
          <w:szCs w:val="21"/>
        </w:rPr>
        <w:t>供应商</w:t>
      </w:r>
      <w:r>
        <w:rPr>
          <w:szCs w:val="21"/>
        </w:rPr>
        <w:t>”系指向采购人提交投标文件的单位或个人。</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3</w:t>
      </w:r>
      <w:r>
        <w:rPr>
          <w:rFonts w:hint="eastAsia"/>
          <w:szCs w:val="21"/>
        </w:rPr>
        <w:t>.</w:t>
      </w:r>
      <w:r>
        <w:rPr>
          <w:szCs w:val="21"/>
        </w:rPr>
        <w:t>“产品”系指供方按采购文件规定，须向采购人提供的一切货物、保险、税金、工具、手册及其它有关技术资料和材料。</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4</w:t>
      </w:r>
      <w:r>
        <w:rPr>
          <w:rFonts w:hint="eastAsia"/>
          <w:szCs w:val="21"/>
        </w:rPr>
        <w:t>.</w:t>
      </w:r>
      <w:r>
        <w:rPr>
          <w:szCs w:val="21"/>
        </w:rPr>
        <w:t>“服务”系</w:t>
      </w:r>
      <w:r>
        <w:rPr>
          <w:rFonts w:hint="eastAsia" w:ascii="宋体" w:hAnsi="宋体"/>
          <w:szCs w:val="21"/>
        </w:rPr>
        <w:t>指招标文件规定供应商须承担的需完成本项目所需的服务的义务</w:t>
      </w:r>
      <w:r>
        <w:rPr>
          <w:rFonts w:ascii="宋体" w:hAnsi="宋体"/>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5</w:t>
      </w:r>
      <w:r>
        <w:rPr>
          <w:rFonts w:hint="eastAsia"/>
          <w:szCs w:val="21"/>
        </w:rPr>
        <w:t>.</w:t>
      </w:r>
      <w:r>
        <w:rPr>
          <w:szCs w:val="21"/>
        </w:rPr>
        <w:t>“项目”系指投标人按采购文件规定向采购人提供的产品和服务。</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6</w:t>
      </w:r>
      <w:r>
        <w:rPr>
          <w:rFonts w:hint="eastAsia"/>
          <w:szCs w:val="21"/>
        </w:rPr>
        <w:t>.</w:t>
      </w:r>
      <w:r>
        <w:rPr>
          <w:szCs w:val="21"/>
        </w:rPr>
        <w:t>“书面形式”包括信函、传真、电报</w:t>
      </w:r>
      <w:r>
        <w:rPr>
          <w:rFonts w:hint="eastAsia"/>
          <w:szCs w:val="21"/>
        </w:rPr>
        <w:t>、电子邮件</w:t>
      </w:r>
      <w:r>
        <w:rPr>
          <w:szCs w:val="21"/>
        </w:rPr>
        <w:t>等。</w:t>
      </w:r>
    </w:p>
    <w:p>
      <w:pPr>
        <w:pageBreakBefore w:val="0"/>
        <w:kinsoku/>
        <w:wordWrap/>
        <w:overflowPunct/>
        <w:topLinePunct w:val="0"/>
        <w:autoSpaceDE/>
        <w:autoSpaceDN/>
        <w:bidi w:val="0"/>
        <w:snapToGrid w:val="0"/>
        <w:spacing w:line="400" w:lineRule="exact"/>
        <w:ind w:firstLine="422" w:firstLineChars="200"/>
        <w:jc w:val="left"/>
        <w:textAlignment w:val="auto"/>
        <w:rPr>
          <w:b/>
          <w:szCs w:val="21"/>
        </w:rPr>
      </w:pPr>
      <w:r>
        <w:rPr>
          <w:b/>
          <w:szCs w:val="21"/>
        </w:rPr>
        <w:t>7</w:t>
      </w:r>
      <w:r>
        <w:rPr>
          <w:rFonts w:hint="eastAsia"/>
          <w:b/>
          <w:szCs w:val="21"/>
        </w:rPr>
        <w:t>.</w:t>
      </w:r>
      <w:r>
        <w:rPr>
          <w:b/>
          <w:szCs w:val="21"/>
        </w:rPr>
        <w:t>“</w:t>
      </w:r>
      <w:r>
        <w:rPr>
          <w:rFonts w:hint="eastAsia"/>
        </w:rPr>
        <w:t>★</w:t>
      </w:r>
      <w:r>
        <w:rPr>
          <w:b/>
          <w:szCs w:val="21"/>
        </w:rPr>
        <w:t>”系指实质性要求条款。</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57" w:name="_Toc460416342"/>
      <w:bookmarkStart w:id="58" w:name="_Toc17707913"/>
      <w:bookmarkStart w:id="59" w:name="_Toc11090"/>
      <w:bookmarkStart w:id="60" w:name="_Toc21787"/>
      <w:bookmarkStart w:id="61" w:name="_Toc460416598"/>
      <w:bookmarkStart w:id="62" w:name="_Toc460416647"/>
      <w:bookmarkStart w:id="63" w:name="_Toc79395441"/>
      <w:bookmarkStart w:id="64" w:name="_Toc460857900"/>
      <w:r>
        <w:rPr>
          <w:kern w:val="2"/>
          <w:sz w:val="21"/>
          <w:szCs w:val="21"/>
        </w:rPr>
        <w:t>（三）采购方式</w:t>
      </w:r>
      <w:bookmarkEnd w:id="57"/>
      <w:bookmarkEnd w:id="58"/>
      <w:bookmarkEnd w:id="59"/>
      <w:bookmarkEnd w:id="60"/>
      <w:bookmarkEnd w:id="61"/>
      <w:bookmarkEnd w:id="62"/>
      <w:bookmarkEnd w:id="63"/>
      <w:bookmarkEnd w:id="64"/>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本次采购采用公开招标方式进行。</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65" w:name="_Toc460416343"/>
      <w:bookmarkStart w:id="66" w:name="_Toc17707914"/>
      <w:bookmarkStart w:id="67" w:name="_Toc79395442"/>
      <w:bookmarkStart w:id="68" w:name="_Toc20172"/>
      <w:bookmarkStart w:id="69" w:name="_Toc460857901"/>
      <w:bookmarkStart w:id="70" w:name="_Toc9042"/>
      <w:bookmarkStart w:id="71" w:name="_Toc460416599"/>
      <w:bookmarkStart w:id="72" w:name="_Toc460416648"/>
      <w:r>
        <w:rPr>
          <w:kern w:val="2"/>
          <w:sz w:val="21"/>
          <w:szCs w:val="21"/>
        </w:rPr>
        <w:t>（四）投标委托</w:t>
      </w:r>
      <w:bookmarkEnd w:id="65"/>
      <w:bookmarkEnd w:id="66"/>
      <w:bookmarkEnd w:id="67"/>
      <w:bookmarkEnd w:id="68"/>
      <w:bookmarkEnd w:id="69"/>
      <w:bookmarkEnd w:id="70"/>
      <w:bookmarkEnd w:id="71"/>
      <w:bookmarkEnd w:id="72"/>
    </w:p>
    <w:p>
      <w:pPr>
        <w:pStyle w:val="17"/>
        <w:pageBreakBefore w:val="0"/>
        <w:kinsoku/>
        <w:wordWrap/>
        <w:overflowPunct/>
        <w:topLinePunct w:val="0"/>
        <w:autoSpaceDE/>
        <w:autoSpaceDN/>
        <w:bidi w:val="0"/>
        <w:snapToGrid w:val="0"/>
        <w:spacing w:line="400" w:lineRule="exact"/>
        <w:ind w:firstLine="420" w:firstLineChars="200"/>
        <w:jc w:val="left"/>
        <w:textAlignment w:val="auto"/>
        <w:rPr>
          <w:rFonts w:ascii="Times New Roman"/>
          <w:sz w:val="21"/>
          <w:szCs w:val="21"/>
        </w:rPr>
      </w:pPr>
      <w:r>
        <w:rPr>
          <w:rFonts w:ascii="Times New Roman"/>
          <w:spacing w:val="0"/>
          <w:sz w:val="21"/>
          <w:szCs w:val="21"/>
        </w:rPr>
        <w:t>供应商如</w:t>
      </w:r>
      <w:r>
        <w:rPr>
          <w:rFonts w:hint="eastAsia" w:ascii="Times New Roman"/>
          <w:spacing w:val="0"/>
          <w:sz w:val="21"/>
          <w:szCs w:val="21"/>
        </w:rPr>
        <w:t>委派</w:t>
      </w:r>
      <w:r>
        <w:rPr>
          <w:rFonts w:ascii="Times New Roman"/>
          <w:spacing w:val="0"/>
          <w:sz w:val="21"/>
          <w:szCs w:val="21"/>
        </w:rPr>
        <w:t>授权代表出席开标会议，授权代表须携带有效身份证件。如投标人代表不是法定代表人，须有法定代表人出具的授权委托书并在投标文件中提供投标人代表身份证正反面复印件（投标文件正本用原件，副本可用复印件，格式见第六部分）</w:t>
      </w:r>
      <w:r>
        <w:rPr>
          <w:rFonts w:ascii="Times New Roman"/>
          <w:sz w:val="21"/>
          <w:szCs w:val="21"/>
        </w:rPr>
        <w:t>。</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73" w:name="_Toc79395443"/>
      <w:bookmarkStart w:id="74" w:name="_Toc460416344"/>
      <w:bookmarkStart w:id="75" w:name="_Toc460416649"/>
      <w:bookmarkStart w:id="76" w:name="_Toc17707915"/>
      <w:bookmarkStart w:id="77" w:name="_Toc460857902"/>
      <w:bookmarkStart w:id="78" w:name="_Toc18429"/>
      <w:bookmarkStart w:id="79" w:name="_Toc460416600"/>
      <w:bookmarkStart w:id="80" w:name="_Toc13019"/>
      <w:r>
        <w:rPr>
          <w:kern w:val="2"/>
          <w:sz w:val="21"/>
          <w:szCs w:val="21"/>
        </w:rPr>
        <w:t>（五）投标费用</w:t>
      </w:r>
      <w:bookmarkEnd w:id="73"/>
      <w:bookmarkEnd w:id="74"/>
      <w:bookmarkEnd w:id="75"/>
      <w:bookmarkEnd w:id="76"/>
      <w:bookmarkEnd w:id="77"/>
      <w:bookmarkEnd w:id="78"/>
      <w:bookmarkEnd w:id="79"/>
      <w:bookmarkEnd w:id="80"/>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不论投标结果如何，投标人均应自行承担所有与投标有关的全部费用。</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81" w:name="_Toc32061"/>
      <w:bookmarkStart w:id="82" w:name="_Toc17707916"/>
      <w:bookmarkStart w:id="83" w:name="_Toc10534"/>
      <w:bookmarkStart w:id="84" w:name="_Toc460857903"/>
      <w:bookmarkStart w:id="85" w:name="_Toc79395444"/>
      <w:r>
        <w:rPr>
          <w:kern w:val="2"/>
          <w:sz w:val="21"/>
          <w:szCs w:val="21"/>
        </w:rPr>
        <w:t>（六）联合体投标</w:t>
      </w:r>
      <w:bookmarkEnd w:id="81"/>
      <w:bookmarkEnd w:id="82"/>
      <w:bookmarkEnd w:id="83"/>
      <w:bookmarkEnd w:id="84"/>
      <w:bookmarkEnd w:id="85"/>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本项目不接受联合体投标。</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86" w:name="_Toc79395445"/>
      <w:bookmarkStart w:id="87" w:name="_Toc22517"/>
      <w:bookmarkStart w:id="88" w:name="_Toc17707917"/>
      <w:bookmarkStart w:id="89" w:name="_Toc460857904"/>
      <w:bookmarkStart w:id="90" w:name="_Toc23875"/>
      <w:r>
        <w:rPr>
          <w:kern w:val="2"/>
          <w:sz w:val="21"/>
          <w:szCs w:val="21"/>
        </w:rPr>
        <w:t>（七）转包与分包</w:t>
      </w:r>
      <w:bookmarkEnd w:id="86"/>
      <w:bookmarkEnd w:id="87"/>
      <w:bookmarkEnd w:id="88"/>
      <w:bookmarkEnd w:id="89"/>
      <w:bookmarkEnd w:id="90"/>
    </w:p>
    <w:p>
      <w:pPr>
        <w:pageBreakBefore w:val="0"/>
        <w:kinsoku/>
        <w:wordWrap/>
        <w:overflowPunct/>
        <w:topLinePunct w:val="0"/>
        <w:autoSpaceDE/>
        <w:autoSpaceDN/>
        <w:bidi w:val="0"/>
        <w:snapToGrid w:val="0"/>
        <w:spacing w:line="400" w:lineRule="exact"/>
        <w:ind w:firstLine="420" w:firstLineChars="200"/>
        <w:jc w:val="left"/>
        <w:textAlignment w:val="auto"/>
        <w:rPr>
          <w:kern w:val="0"/>
          <w:szCs w:val="21"/>
        </w:rPr>
      </w:pPr>
      <w:r>
        <w:rPr>
          <w:kern w:val="0"/>
          <w:szCs w:val="21"/>
        </w:rPr>
        <w:t>本项目不允许转包</w:t>
      </w:r>
      <w:r>
        <w:rPr>
          <w:rFonts w:hint="eastAsia"/>
          <w:kern w:val="0"/>
          <w:szCs w:val="21"/>
        </w:rPr>
        <w:t>，未经采购人书面同意不得分包</w:t>
      </w:r>
      <w:r>
        <w:rPr>
          <w:kern w:val="0"/>
          <w:szCs w:val="21"/>
        </w:rPr>
        <w:t>。</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91" w:name="_Toc460416601"/>
      <w:bookmarkStart w:id="92" w:name="_Toc460416345"/>
      <w:bookmarkStart w:id="93" w:name="_Toc460857905"/>
      <w:bookmarkStart w:id="94" w:name="_Toc460416650"/>
      <w:bookmarkStart w:id="95" w:name="_Toc17707918"/>
      <w:bookmarkStart w:id="96" w:name="_Toc10975"/>
      <w:bookmarkStart w:id="97" w:name="_Toc79395446"/>
      <w:bookmarkStart w:id="98" w:name="_Toc404"/>
      <w:r>
        <w:rPr>
          <w:kern w:val="2"/>
          <w:sz w:val="21"/>
          <w:szCs w:val="21"/>
        </w:rPr>
        <w:t>（八）特别说明</w:t>
      </w:r>
      <w:bookmarkEnd w:id="91"/>
      <w:bookmarkEnd w:id="92"/>
      <w:bookmarkEnd w:id="93"/>
      <w:bookmarkEnd w:id="94"/>
      <w:bookmarkEnd w:id="95"/>
      <w:bookmarkEnd w:id="96"/>
      <w:bookmarkEnd w:id="97"/>
      <w:bookmarkEnd w:id="98"/>
    </w:p>
    <w:p>
      <w:pPr>
        <w:pStyle w:val="21"/>
        <w:pageBreakBefore w:val="0"/>
        <w:kinsoku/>
        <w:wordWrap/>
        <w:overflowPunct/>
        <w:topLinePunct w:val="0"/>
        <w:autoSpaceDE/>
        <w:autoSpaceDN/>
        <w:bidi w:val="0"/>
        <w:snapToGrid w:val="0"/>
        <w:spacing w:beforeLines="0" w:afterLines="0" w:line="400" w:lineRule="exact"/>
        <w:ind w:left="2" w:leftChars="1" w:firstLine="480" w:firstLineChars="200"/>
        <w:jc w:val="left"/>
        <w:textAlignment w:val="auto"/>
        <w:rPr>
          <w:rFonts w:ascii="Times New Roman"/>
          <w:b/>
          <w:sz w:val="21"/>
          <w:szCs w:val="21"/>
        </w:rPr>
      </w:pPr>
      <w:r>
        <w:rPr>
          <w:rFonts w:hint="eastAsia"/>
        </w:rPr>
        <w:t>★</w:t>
      </w:r>
      <w:r>
        <w:rPr>
          <w:rFonts w:ascii="Times New Roman"/>
          <w:b/>
          <w:sz w:val="21"/>
          <w:szCs w:val="21"/>
        </w:rPr>
        <w:t>1</w:t>
      </w:r>
      <w:r>
        <w:rPr>
          <w:rFonts w:hint="eastAsia" w:ascii="Times New Roman"/>
          <w:b/>
          <w:sz w:val="21"/>
          <w:szCs w:val="21"/>
        </w:rPr>
        <w:t>.</w:t>
      </w:r>
      <w:r>
        <w:rPr>
          <w:rFonts w:ascii="Times New Roman"/>
          <w:b/>
          <w:sz w:val="21"/>
          <w:szCs w:val="21"/>
        </w:rPr>
        <w:t>投标人应仔细阅读采购文件的所有内容，按照采购文件的要求提交投标文件，并对所提供的全部资料的真实性承担法律责任。</w:t>
      </w:r>
    </w:p>
    <w:p>
      <w:pPr>
        <w:pStyle w:val="21"/>
        <w:pageBreakBefore w:val="0"/>
        <w:kinsoku/>
        <w:wordWrap/>
        <w:overflowPunct/>
        <w:topLinePunct w:val="0"/>
        <w:autoSpaceDE/>
        <w:autoSpaceDN/>
        <w:bidi w:val="0"/>
        <w:snapToGrid w:val="0"/>
        <w:spacing w:beforeLines="0" w:afterLines="0" w:line="400" w:lineRule="exact"/>
        <w:ind w:left="2" w:leftChars="1" w:firstLine="480" w:firstLineChars="200"/>
        <w:jc w:val="left"/>
        <w:textAlignment w:val="auto"/>
        <w:rPr>
          <w:rFonts w:ascii="Times New Roman"/>
          <w:b/>
          <w:strike/>
          <w:sz w:val="21"/>
          <w:szCs w:val="21"/>
        </w:rPr>
      </w:pPr>
      <w:r>
        <w:rPr>
          <w:rFonts w:hint="eastAsia"/>
        </w:rPr>
        <w:t>★</w:t>
      </w:r>
      <w:r>
        <w:rPr>
          <w:rFonts w:ascii="Times New Roman"/>
          <w:b/>
          <w:sz w:val="21"/>
          <w:szCs w:val="21"/>
        </w:rPr>
        <w:t>2</w:t>
      </w:r>
      <w:r>
        <w:rPr>
          <w:rFonts w:hint="eastAsia" w:ascii="Times New Roman"/>
          <w:b/>
          <w:sz w:val="21"/>
          <w:szCs w:val="21"/>
        </w:rPr>
        <w:t>.</w:t>
      </w:r>
      <w:r>
        <w:rPr>
          <w:rFonts w:ascii="Times New Roman"/>
          <w:b/>
          <w:sz w:val="21"/>
          <w:szCs w:val="21"/>
        </w:rPr>
        <w:t>投标人在投标活动中提供任何虚假材料，其投标无效，并报监管部门查处；</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99" w:name="_Toc17707919"/>
      <w:bookmarkStart w:id="100" w:name="_Toc79395447"/>
      <w:bookmarkStart w:id="101" w:name="_Toc7123"/>
      <w:bookmarkStart w:id="102" w:name="_Toc14177"/>
      <w:r>
        <w:rPr>
          <w:kern w:val="2"/>
          <w:sz w:val="21"/>
          <w:szCs w:val="21"/>
        </w:rPr>
        <w:t>（九）关于分公司投标</w:t>
      </w:r>
      <w:bookmarkEnd w:id="99"/>
      <w:bookmarkEnd w:id="100"/>
      <w:bookmarkEnd w:id="101"/>
      <w:bookmarkEnd w:id="102"/>
    </w:p>
    <w:p>
      <w:pPr>
        <w:pageBreakBefore w:val="0"/>
        <w:widowControl/>
        <w:kinsoku/>
        <w:wordWrap/>
        <w:overflowPunct/>
        <w:topLinePunct w:val="0"/>
        <w:autoSpaceDE/>
        <w:autoSpaceDN/>
        <w:bidi w:val="0"/>
        <w:spacing w:line="400" w:lineRule="exact"/>
        <w:ind w:firstLine="420" w:firstLineChars="200"/>
        <w:jc w:val="left"/>
        <w:textAlignment w:val="auto"/>
        <w:rPr>
          <w:bCs/>
          <w:szCs w:val="21"/>
        </w:rPr>
      </w:pPr>
      <w:r>
        <w:rPr>
          <w:bCs/>
          <w:szCs w:val="21"/>
        </w:rPr>
        <w:t>除银行、保险、石油石化、电力、电信、移动、联通等行业允许分公司投标外，其余不允许分公司投标。如允许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03" w:name="_Toc79395448"/>
      <w:bookmarkStart w:id="104" w:name="_Toc17707920"/>
      <w:bookmarkStart w:id="105" w:name="_Toc22599"/>
      <w:bookmarkStart w:id="106" w:name="_Toc31344"/>
      <w:r>
        <w:rPr>
          <w:kern w:val="2"/>
          <w:sz w:val="21"/>
          <w:szCs w:val="21"/>
        </w:rPr>
        <w:t>（十）关于知识产权</w:t>
      </w:r>
      <w:bookmarkEnd w:id="103"/>
      <w:bookmarkEnd w:id="104"/>
      <w:bookmarkEnd w:id="105"/>
      <w:bookmarkEnd w:id="106"/>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07" w:name="_Toc79395449"/>
      <w:bookmarkStart w:id="108" w:name="_Toc17707921"/>
      <w:bookmarkStart w:id="109" w:name="_Toc460857906"/>
      <w:bookmarkStart w:id="110" w:name="_Toc460416602"/>
      <w:bookmarkStart w:id="111" w:name="_Toc15997"/>
      <w:bookmarkStart w:id="112" w:name="_Toc460416346"/>
      <w:bookmarkStart w:id="113" w:name="_Toc28420"/>
      <w:bookmarkStart w:id="114" w:name="_Toc460416651"/>
      <w:r>
        <w:rPr>
          <w:rFonts w:hint="eastAsia"/>
          <w:kern w:val="2"/>
          <w:sz w:val="21"/>
          <w:szCs w:val="21"/>
        </w:rPr>
        <w:t>本项目最终成果的知识产权归采购人所有。供应商应保证提供服务过程中不会侵犯任何第三方的知识产权。若发生第三方知识产权纠纷，采购人保留追究责任的权利。</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r>
        <w:rPr>
          <w:kern w:val="2"/>
          <w:sz w:val="21"/>
          <w:szCs w:val="21"/>
        </w:rPr>
        <w:t>（十一）质疑和投诉</w:t>
      </w:r>
      <w:bookmarkEnd w:id="107"/>
      <w:bookmarkEnd w:id="108"/>
      <w:bookmarkEnd w:id="109"/>
      <w:bookmarkEnd w:id="110"/>
      <w:bookmarkEnd w:id="111"/>
      <w:bookmarkEnd w:id="112"/>
      <w:bookmarkEnd w:id="113"/>
      <w:bookmarkEnd w:id="114"/>
    </w:p>
    <w:p>
      <w:pPr>
        <w:pStyle w:val="2"/>
        <w:pageBreakBefore w:val="0"/>
        <w:kinsoku/>
        <w:wordWrap/>
        <w:overflowPunct/>
        <w:topLinePunct w:val="0"/>
        <w:autoSpaceDE/>
        <w:autoSpaceDN/>
        <w:bidi w:val="0"/>
        <w:spacing w:after="0" w:line="400" w:lineRule="exact"/>
        <w:ind w:firstLine="420" w:firstLineChars="200"/>
        <w:textAlignment w:val="auto"/>
        <w:rPr>
          <w:sz w:val="21"/>
          <w:szCs w:val="21"/>
        </w:rPr>
      </w:pPr>
      <w:r>
        <w:rPr>
          <w:sz w:val="21"/>
          <w:szCs w:val="21"/>
        </w:rPr>
        <w:t>1</w:t>
      </w:r>
      <w:r>
        <w:rPr>
          <w:rFonts w:hint="eastAsia"/>
          <w:sz w:val="21"/>
          <w:szCs w:val="21"/>
        </w:rPr>
        <w:t>.</w:t>
      </w:r>
      <w:r>
        <w:rPr>
          <w:sz w:val="21"/>
          <w:szCs w:val="21"/>
        </w:rPr>
        <w:t>供应商认为采购文件、采购过程、中标或者成交结果使自己的权益受到损害的，须在应</w:t>
      </w:r>
      <w:r>
        <w:rPr>
          <w:spacing w:val="2"/>
          <w:sz w:val="21"/>
          <w:szCs w:val="21"/>
        </w:rPr>
        <w:t>知其利益受损之日起七个工作日内以书面形式向采购人、采购代理机构提出质疑。供应商应当在法定质疑期内一次性提出针对同一采购程序环节的质疑。</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2</w:t>
      </w:r>
      <w:r>
        <w:rPr>
          <w:rFonts w:hint="eastAsia"/>
          <w:szCs w:val="21"/>
        </w:rPr>
        <w:t>.</w:t>
      </w:r>
      <w:r>
        <w:rPr>
          <w:szCs w:val="21"/>
        </w:rPr>
        <w:t>提出质疑的供应商应当是参与所质疑项目采购活动的供应商。未依法获取采</w:t>
      </w:r>
      <w:r>
        <w:rPr>
          <w:spacing w:val="2"/>
          <w:szCs w:val="21"/>
        </w:rPr>
        <w:t>购文件的，不得就采购文件提出质疑；未提交投标文件的供应商，视为与采购结</w:t>
      </w:r>
      <w:r>
        <w:rPr>
          <w:spacing w:val="-115"/>
          <w:szCs w:val="21"/>
        </w:rPr>
        <w:t xml:space="preserve"> </w:t>
      </w:r>
      <w:r>
        <w:rPr>
          <w:szCs w:val="21"/>
        </w:rPr>
        <w:t>果没有利害关系，不得就</w:t>
      </w:r>
      <w:r>
        <w:rPr>
          <w:rFonts w:hint="eastAsia"/>
          <w:szCs w:val="21"/>
        </w:rPr>
        <w:t>投标</w:t>
      </w:r>
      <w:r>
        <w:rPr>
          <w:szCs w:val="21"/>
        </w:rPr>
        <w:t>截止时间后的采购过程、采购结果提出质疑。</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3</w:t>
      </w:r>
      <w:r>
        <w:rPr>
          <w:rFonts w:hint="eastAsia"/>
          <w:szCs w:val="21"/>
        </w:rPr>
        <w:t>.</w:t>
      </w:r>
      <w:r>
        <w:rPr>
          <w:szCs w:val="21"/>
        </w:rPr>
        <w:t>供应商提出质疑应当提交质疑函和必要的证明材料，质疑函应当以书面形式（需符合财政部令第94号政府采购质疑和投诉办法要求）</w:t>
      </w:r>
      <w:r>
        <w:rPr>
          <w:spacing w:val="2"/>
          <w:szCs w:val="21"/>
        </w:rPr>
        <w:t>提出</w:t>
      </w:r>
      <w:r>
        <w:rPr>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4</w:t>
      </w:r>
      <w:r>
        <w:rPr>
          <w:rFonts w:hint="eastAsia"/>
          <w:szCs w:val="21"/>
        </w:rPr>
        <w:t>.</w:t>
      </w:r>
      <w:r>
        <w:rPr>
          <w:szCs w:val="21"/>
        </w:rPr>
        <w:t>接收书面质疑函的方式：质疑人可通过送达、邮寄、传真</w:t>
      </w:r>
      <w:r>
        <w:rPr>
          <w:rFonts w:hint="eastAsia"/>
          <w:szCs w:val="21"/>
        </w:rPr>
        <w:t>、邮件</w:t>
      </w:r>
      <w:r>
        <w:rPr>
          <w:szCs w:val="21"/>
        </w:rPr>
        <w:t>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5</w:t>
      </w:r>
      <w:r>
        <w:rPr>
          <w:rFonts w:hint="eastAsia"/>
          <w:szCs w:val="21"/>
        </w:rPr>
        <w:t>.</w:t>
      </w:r>
      <w:r>
        <w:rPr>
          <w:szCs w:val="21"/>
        </w:rPr>
        <w:t>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pStyle w:val="76"/>
        <w:pageBreakBefore w:val="0"/>
        <w:kinsoku/>
        <w:wordWrap/>
        <w:overflowPunct/>
        <w:topLinePunct w:val="0"/>
        <w:autoSpaceDE/>
        <w:autoSpaceDN/>
        <w:bidi w:val="0"/>
        <w:spacing w:line="400" w:lineRule="exact"/>
        <w:textAlignment w:val="auto"/>
      </w:pPr>
    </w:p>
    <w:p>
      <w:pPr>
        <w:pStyle w:val="6"/>
        <w:pageBreakBefore w:val="0"/>
        <w:numPr>
          <w:ilvl w:val="0"/>
          <w:numId w:val="0"/>
        </w:numPr>
        <w:tabs>
          <w:tab w:val="clear" w:pos="576"/>
        </w:tabs>
        <w:kinsoku/>
        <w:wordWrap/>
        <w:overflowPunct/>
        <w:topLinePunct w:val="0"/>
        <w:autoSpaceDE/>
        <w:autoSpaceDN/>
        <w:bidi w:val="0"/>
        <w:spacing w:before="0" w:after="0" w:line="400" w:lineRule="exact"/>
        <w:ind w:firstLine="643" w:firstLineChars="200"/>
        <w:jc w:val="center"/>
        <w:textAlignment w:val="auto"/>
        <w:rPr>
          <w:rFonts w:ascii="Times New Roman" w:hAnsi="Times New Roman" w:eastAsia="宋体"/>
        </w:rPr>
      </w:pPr>
      <w:bookmarkStart w:id="115" w:name="_Toc79395450"/>
      <w:bookmarkStart w:id="116" w:name="_Toc460416652"/>
      <w:bookmarkStart w:id="117" w:name="_Toc23258"/>
      <w:bookmarkStart w:id="118" w:name="_Toc460857907"/>
      <w:bookmarkStart w:id="119" w:name="_Toc17707922"/>
      <w:bookmarkStart w:id="120" w:name="_Toc5059"/>
      <w:bookmarkStart w:id="121" w:name="_Toc6260"/>
      <w:bookmarkStart w:id="122" w:name="_Toc3049"/>
      <w:bookmarkStart w:id="123" w:name="_Toc460416347"/>
      <w:r>
        <w:rPr>
          <w:rFonts w:ascii="Times New Roman" w:hAnsi="Times New Roman" w:eastAsia="宋体"/>
        </w:rPr>
        <w:t>二、采购文件</w:t>
      </w:r>
      <w:bookmarkEnd w:id="115"/>
      <w:bookmarkEnd w:id="116"/>
      <w:bookmarkEnd w:id="117"/>
      <w:bookmarkEnd w:id="118"/>
      <w:bookmarkEnd w:id="119"/>
      <w:bookmarkEnd w:id="120"/>
      <w:bookmarkEnd w:id="121"/>
      <w:bookmarkEnd w:id="122"/>
      <w:bookmarkEnd w:id="123"/>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24" w:name="_Toc1374"/>
      <w:bookmarkStart w:id="125" w:name="_Toc29609"/>
      <w:bookmarkStart w:id="126" w:name="_Toc79395451"/>
      <w:bookmarkStart w:id="127" w:name="_Toc460857908"/>
      <w:bookmarkStart w:id="128" w:name="_Toc17707923"/>
      <w:r>
        <w:rPr>
          <w:kern w:val="2"/>
          <w:sz w:val="21"/>
          <w:szCs w:val="21"/>
        </w:rPr>
        <w:t>（一）采购文件的构成</w:t>
      </w:r>
      <w:bookmarkEnd w:id="124"/>
      <w:bookmarkEnd w:id="125"/>
      <w:bookmarkEnd w:id="126"/>
    </w:p>
    <w:p>
      <w:pPr>
        <w:pageBreakBefore w:val="0"/>
        <w:kinsoku/>
        <w:wordWrap/>
        <w:overflowPunct/>
        <w:topLinePunct w:val="0"/>
        <w:autoSpaceDE/>
        <w:autoSpaceDN/>
        <w:bidi w:val="0"/>
        <w:spacing w:line="400" w:lineRule="exact"/>
        <w:ind w:firstLine="422" w:firstLineChars="201"/>
        <w:textAlignment w:val="auto"/>
        <w:rPr>
          <w:szCs w:val="21"/>
        </w:rPr>
      </w:pPr>
      <w:r>
        <w:rPr>
          <w:szCs w:val="21"/>
        </w:rPr>
        <w:t>本采购文件由以下</w:t>
      </w:r>
      <w:r>
        <w:rPr>
          <w:rFonts w:hint="eastAsia"/>
          <w:szCs w:val="21"/>
        </w:rPr>
        <w:t>部分</w:t>
      </w:r>
      <w:r>
        <w:rPr>
          <w:szCs w:val="21"/>
        </w:rPr>
        <w:t>组成：</w:t>
      </w:r>
      <w:bookmarkEnd w:id="127"/>
      <w:bookmarkEnd w:id="128"/>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1</w:t>
      </w:r>
      <w:r>
        <w:rPr>
          <w:rFonts w:hint="eastAsia"/>
          <w:szCs w:val="21"/>
        </w:rPr>
        <w:t>.</w:t>
      </w:r>
      <w:r>
        <w:rPr>
          <w:szCs w:val="21"/>
        </w:rPr>
        <w:t>公开招标采购公告</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2</w:t>
      </w:r>
      <w:r>
        <w:rPr>
          <w:rFonts w:hint="eastAsia"/>
          <w:szCs w:val="21"/>
        </w:rPr>
        <w:t>.</w:t>
      </w:r>
      <w:r>
        <w:rPr>
          <w:szCs w:val="21"/>
        </w:rPr>
        <w:t>采购需求</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3</w:t>
      </w:r>
      <w:r>
        <w:rPr>
          <w:rFonts w:hint="eastAsia"/>
          <w:szCs w:val="21"/>
        </w:rPr>
        <w:t>.</w:t>
      </w:r>
      <w:r>
        <w:rPr>
          <w:szCs w:val="21"/>
        </w:rPr>
        <w:t>投标人须知</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4</w:t>
      </w:r>
      <w:r>
        <w:rPr>
          <w:rFonts w:hint="eastAsia"/>
          <w:szCs w:val="21"/>
        </w:rPr>
        <w:t>.</w:t>
      </w:r>
      <w:r>
        <w:rPr>
          <w:szCs w:val="21"/>
        </w:rPr>
        <w:t>评标办法及评分标准</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5</w:t>
      </w:r>
      <w:r>
        <w:rPr>
          <w:rFonts w:hint="eastAsia"/>
          <w:szCs w:val="21"/>
        </w:rPr>
        <w:t>.</w:t>
      </w:r>
      <w:r>
        <w:rPr>
          <w:szCs w:val="21"/>
        </w:rPr>
        <w:t>采购合同主要条款</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6</w:t>
      </w:r>
      <w:r>
        <w:rPr>
          <w:rFonts w:hint="eastAsia"/>
          <w:szCs w:val="21"/>
        </w:rPr>
        <w:t>.</w:t>
      </w:r>
      <w:r>
        <w:rPr>
          <w:szCs w:val="21"/>
        </w:rPr>
        <w:t>投标文件格式</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7</w:t>
      </w:r>
      <w:r>
        <w:rPr>
          <w:rFonts w:hint="eastAsia"/>
          <w:szCs w:val="21"/>
        </w:rPr>
        <w:t>.</w:t>
      </w:r>
      <w:r>
        <w:rPr>
          <w:szCs w:val="21"/>
        </w:rPr>
        <w:t>本项目采购文件的澄清、答复、修改、补充的内容</w:t>
      </w:r>
      <w:r>
        <w:rPr>
          <w:rFonts w:hint="eastAsia"/>
          <w:szCs w:val="21"/>
        </w:rPr>
        <w:t>。</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29" w:name="_Toc460857909"/>
      <w:bookmarkStart w:id="130" w:name="_Toc11357"/>
      <w:bookmarkStart w:id="131" w:name="_Toc17707924"/>
      <w:bookmarkStart w:id="132" w:name="_Toc79395452"/>
      <w:bookmarkStart w:id="133" w:name="_Toc10551"/>
      <w:r>
        <w:rPr>
          <w:kern w:val="2"/>
          <w:sz w:val="21"/>
          <w:szCs w:val="21"/>
        </w:rPr>
        <w:t>（二）投标人的风险</w:t>
      </w:r>
      <w:bookmarkEnd w:id="129"/>
      <w:bookmarkEnd w:id="130"/>
      <w:bookmarkEnd w:id="131"/>
      <w:bookmarkEnd w:id="132"/>
      <w:bookmarkEnd w:id="133"/>
    </w:p>
    <w:p>
      <w:pPr>
        <w:pStyle w:val="31"/>
        <w:pageBreakBefore w:val="0"/>
        <w:numPr>
          <w:ilvl w:val="0"/>
          <w:numId w:val="0"/>
        </w:numPr>
        <w:kinsoku/>
        <w:wordWrap/>
        <w:overflowPunct/>
        <w:topLinePunct w:val="0"/>
        <w:autoSpaceDE/>
        <w:autoSpaceDN/>
        <w:bidi w:val="0"/>
        <w:spacing w:line="400" w:lineRule="exact"/>
        <w:ind w:firstLine="420" w:firstLineChars="200"/>
        <w:textAlignment w:val="auto"/>
        <w:rPr>
          <w:rFonts w:ascii="Times New Roman" w:eastAsia="宋体"/>
          <w:color w:val="auto"/>
          <w:sz w:val="21"/>
          <w:szCs w:val="21"/>
        </w:rPr>
      </w:pPr>
      <w:r>
        <w:rPr>
          <w:rFonts w:ascii="Times New Roman" w:eastAsia="宋体"/>
          <w:color w:val="auto"/>
          <w:sz w:val="21"/>
          <w:szCs w:val="21"/>
        </w:rPr>
        <w:t>投标人没有按照采购文件要求提供全部资料，或者投标人没有对采购文件在各方面作出实质性响应是投标人的风险，并可能导致其投标被拒绝。</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34" w:name="_Toc79395453"/>
      <w:bookmarkStart w:id="135" w:name="_Toc12761"/>
      <w:bookmarkStart w:id="136" w:name="_Toc17707925"/>
      <w:bookmarkStart w:id="137" w:name="_Toc460857910"/>
      <w:bookmarkStart w:id="138" w:name="_Toc27530"/>
      <w:r>
        <w:rPr>
          <w:kern w:val="2"/>
          <w:sz w:val="21"/>
          <w:szCs w:val="21"/>
        </w:rPr>
        <w:t>（三）采购文件的澄清与修改</w:t>
      </w:r>
      <w:bookmarkEnd w:id="134"/>
      <w:bookmarkEnd w:id="135"/>
      <w:bookmarkEnd w:id="136"/>
      <w:bookmarkEnd w:id="137"/>
      <w:bookmarkEnd w:id="138"/>
      <w:r>
        <w:rPr>
          <w:kern w:val="2"/>
          <w:sz w:val="21"/>
          <w:szCs w:val="21"/>
        </w:rPr>
        <w:t xml:space="preserve"> </w:t>
      </w:r>
    </w:p>
    <w:p>
      <w:pPr>
        <w:pStyle w:val="2"/>
        <w:pageBreakBefore w:val="0"/>
        <w:tabs>
          <w:tab w:val="left" w:pos="948"/>
        </w:tabs>
        <w:kinsoku/>
        <w:wordWrap/>
        <w:overflowPunct/>
        <w:topLinePunct w:val="0"/>
        <w:autoSpaceDE/>
        <w:autoSpaceDN/>
        <w:bidi w:val="0"/>
        <w:spacing w:after="0" w:line="400" w:lineRule="exact"/>
        <w:ind w:firstLine="420" w:firstLineChars="200"/>
        <w:textAlignment w:val="auto"/>
        <w:rPr>
          <w:sz w:val="21"/>
          <w:szCs w:val="21"/>
        </w:rPr>
      </w:pPr>
      <w:bookmarkStart w:id="139" w:name="_Toc460416348"/>
      <w:bookmarkStart w:id="140" w:name="_Toc460857912"/>
      <w:bookmarkStart w:id="141" w:name="_Toc460416653"/>
      <w:r>
        <w:rPr>
          <w:sz w:val="21"/>
          <w:szCs w:val="21"/>
        </w:rPr>
        <w:t>1</w:t>
      </w:r>
      <w:r>
        <w:rPr>
          <w:rFonts w:hint="eastAsia"/>
          <w:sz w:val="21"/>
          <w:szCs w:val="21"/>
        </w:rPr>
        <w:t>.</w:t>
      </w:r>
      <w:r>
        <w:rPr>
          <w:sz w:val="21"/>
          <w:szCs w:val="21"/>
        </w:rPr>
        <w:t>采购人可</w:t>
      </w:r>
      <w:r>
        <w:rPr>
          <w:rFonts w:hint="eastAsia"/>
          <w:sz w:val="21"/>
          <w:szCs w:val="21"/>
        </w:rPr>
        <w:t>主动的或在</w:t>
      </w:r>
      <w:r>
        <w:rPr>
          <w:sz w:val="21"/>
          <w:szCs w:val="21"/>
        </w:rPr>
        <w:t>解答投标人提出的澄清问题时对采购文件进行必要的澄清或者修改的，在发布招标公告的网站上发布更正公告，更正公告为采购文件的组成部分，一经在网站发布，视同已通知所有采购文件的收受人。澄清或者修改的内容可能影响投标文件编制的，更正公告在投标截止时间至少15日前发出</w:t>
      </w:r>
      <w:r>
        <w:rPr>
          <w:rFonts w:hint="eastAsia"/>
          <w:sz w:val="21"/>
          <w:szCs w:val="21"/>
        </w:rPr>
        <w:t>。</w:t>
      </w:r>
      <w:r>
        <w:rPr>
          <w:sz w:val="21"/>
          <w:szCs w:val="21"/>
        </w:rPr>
        <w:t>不足15日的，顺延提交投标文件截止时间。</w:t>
      </w:r>
    </w:p>
    <w:p>
      <w:pPr>
        <w:pStyle w:val="2"/>
        <w:pageBreakBefore w:val="0"/>
        <w:tabs>
          <w:tab w:val="left" w:pos="948"/>
        </w:tabs>
        <w:kinsoku/>
        <w:wordWrap/>
        <w:overflowPunct/>
        <w:topLinePunct w:val="0"/>
        <w:autoSpaceDE/>
        <w:autoSpaceDN/>
        <w:bidi w:val="0"/>
        <w:spacing w:after="0" w:line="400" w:lineRule="exact"/>
        <w:ind w:firstLine="420" w:firstLineChars="200"/>
        <w:textAlignment w:val="auto"/>
        <w:rPr>
          <w:sz w:val="21"/>
          <w:szCs w:val="21"/>
        </w:rPr>
      </w:pPr>
      <w:r>
        <w:rPr>
          <w:sz w:val="21"/>
          <w:szCs w:val="21"/>
        </w:rPr>
        <w:t>2</w:t>
      </w:r>
      <w:r>
        <w:rPr>
          <w:rFonts w:hint="eastAsia"/>
          <w:sz w:val="21"/>
          <w:szCs w:val="21"/>
        </w:rPr>
        <w:t>.</w:t>
      </w:r>
      <w:r>
        <w:rPr>
          <w:sz w:val="21"/>
          <w:szCs w:val="21"/>
        </w:rPr>
        <w:t>澄清或者修改的内容可能影响投标文件编制的，采购代理机构将以书面形式通知所有获取采购文件的潜在投标人，并对其具有约束力。投标人在收到上述通知后，应及时向采购代理机构确认。投标人未回复的，视同已知晓澄清或者修改的内容。</w:t>
      </w:r>
    </w:p>
    <w:p>
      <w:pPr>
        <w:pStyle w:val="2"/>
        <w:pageBreakBefore w:val="0"/>
        <w:tabs>
          <w:tab w:val="left" w:pos="948"/>
        </w:tabs>
        <w:kinsoku/>
        <w:wordWrap/>
        <w:overflowPunct/>
        <w:topLinePunct w:val="0"/>
        <w:autoSpaceDE/>
        <w:autoSpaceDN/>
        <w:bidi w:val="0"/>
        <w:spacing w:after="0" w:line="400" w:lineRule="exact"/>
        <w:ind w:firstLine="420" w:firstLineChars="200"/>
        <w:textAlignment w:val="auto"/>
        <w:rPr>
          <w:sz w:val="21"/>
          <w:szCs w:val="21"/>
        </w:rPr>
      </w:pPr>
      <w:r>
        <w:rPr>
          <w:sz w:val="21"/>
          <w:szCs w:val="21"/>
        </w:rPr>
        <w:t>因潜在</w:t>
      </w:r>
      <w:r>
        <w:rPr>
          <w:rFonts w:hint="eastAsia"/>
          <w:sz w:val="21"/>
          <w:szCs w:val="21"/>
        </w:rPr>
        <w:t>供应商</w:t>
      </w:r>
      <w:r>
        <w:rPr>
          <w:sz w:val="21"/>
          <w:szCs w:val="21"/>
        </w:rPr>
        <w:t>原因或通讯线路故障导致通知逾期送达或无法送达，采购代理机构不因此承担任何责任，有关的招标采购活动可以继续有效进行。</w:t>
      </w:r>
    </w:p>
    <w:p>
      <w:pPr>
        <w:pStyle w:val="2"/>
        <w:pageBreakBefore w:val="0"/>
        <w:tabs>
          <w:tab w:val="left" w:pos="948"/>
        </w:tabs>
        <w:kinsoku/>
        <w:wordWrap/>
        <w:overflowPunct/>
        <w:topLinePunct w:val="0"/>
        <w:autoSpaceDE/>
        <w:autoSpaceDN/>
        <w:bidi w:val="0"/>
        <w:spacing w:after="0" w:line="400" w:lineRule="exact"/>
        <w:ind w:firstLine="420" w:firstLineChars="200"/>
        <w:textAlignment w:val="auto"/>
        <w:rPr>
          <w:sz w:val="21"/>
          <w:szCs w:val="21"/>
        </w:rPr>
      </w:pPr>
      <w:r>
        <w:rPr>
          <w:sz w:val="21"/>
          <w:szCs w:val="21"/>
        </w:rPr>
        <w:t>3</w:t>
      </w:r>
      <w:r>
        <w:rPr>
          <w:rFonts w:hint="eastAsia"/>
          <w:sz w:val="21"/>
          <w:szCs w:val="21"/>
        </w:rPr>
        <w:t>.</w:t>
      </w:r>
      <w:r>
        <w:rPr>
          <w:sz w:val="21"/>
          <w:szCs w:val="21"/>
        </w:rPr>
        <w:t>如更正公告有重新发布电子采购文件的，潜在</w:t>
      </w:r>
      <w:r>
        <w:rPr>
          <w:rFonts w:hint="eastAsia"/>
          <w:sz w:val="21"/>
          <w:szCs w:val="21"/>
        </w:rPr>
        <w:t>供应商</w:t>
      </w:r>
      <w:r>
        <w:rPr>
          <w:sz w:val="21"/>
          <w:szCs w:val="21"/>
        </w:rPr>
        <w:t>应下载最新发布的电子采购文件制作投标文件。</w:t>
      </w:r>
    </w:p>
    <w:p>
      <w:pPr>
        <w:pStyle w:val="2"/>
        <w:pageBreakBefore w:val="0"/>
        <w:tabs>
          <w:tab w:val="left" w:pos="948"/>
        </w:tabs>
        <w:kinsoku/>
        <w:wordWrap/>
        <w:overflowPunct/>
        <w:topLinePunct w:val="0"/>
        <w:autoSpaceDE/>
        <w:autoSpaceDN/>
        <w:bidi w:val="0"/>
        <w:spacing w:after="0" w:line="400" w:lineRule="exact"/>
        <w:ind w:firstLine="420" w:firstLineChars="200"/>
        <w:textAlignment w:val="auto"/>
        <w:rPr>
          <w:sz w:val="21"/>
          <w:szCs w:val="21"/>
        </w:rPr>
      </w:pPr>
      <w:r>
        <w:rPr>
          <w:sz w:val="21"/>
          <w:szCs w:val="21"/>
        </w:rPr>
        <w:t>4</w:t>
      </w:r>
      <w:r>
        <w:rPr>
          <w:rFonts w:hint="eastAsia"/>
          <w:sz w:val="21"/>
          <w:szCs w:val="21"/>
        </w:rPr>
        <w:t>.</w:t>
      </w:r>
      <w:r>
        <w:rPr>
          <w:sz w:val="21"/>
          <w:szCs w:val="21"/>
        </w:rPr>
        <w:t>潜在</w:t>
      </w:r>
      <w:r>
        <w:rPr>
          <w:rFonts w:hint="eastAsia"/>
          <w:sz w:val="21"/>
          <w:szCs w:val="21"/>
        </w:rPr>
        <w:t>供应商</w:t>
      </w:r>
      <w:r>
        <w:rPr>
          <w:sz w:val="21"/>
          <w:szCs w:val="21"/>
        </w:rPr>
        <w:t>在规定的时间内未对采购文件提出疑问、质疑或要求澄清的，将视其为无异议。对采购文件中描述有歧义或前后不一致的地方，评标委员会有权进行评判，但对同一条款的评判应适用于每个投标人。</w:t>
      </w:r>
    </w:p>
    <w:p>
      <w:pPr>
        <w:pStyle w:val="6"/>
        <w:pageBreakBefore w:val="0"/>
        <w:numPr>
          <w:ilvl w:val="0"/>
          <w:numId w:val="0"/>
        </w:numPr>
        <w:tabs>
          <w:tab w:val="clear" w:pos="576"/>
        </w:tabs>
        <w:kinsoku/>
        <w:wordWrap/>
        <w:overflowPunct/>
        <w:topLinePunct w:val="0"/>
        <w:autoSpaceDE/>
        <w:autoSpaceDN/>
        <w:bidi w:val="0"/>
        <w:spacing w:before="0" w:after="0" w:line="400" w:lineRule="exact"/>
        <w:ind w:firstLine="643" w:firstLineChars="200"/>
        <w:jc w:val="center"/>
        <w:textAlignment w:val="auto"/>
        <w:rPr>
          <w:rFonts w:ascii="Times New Roman" w:hAnsi="Times New Roman" w:eastAsia="宋体"/>
        </w:rPr>
      </w:pPr>
      <w:bookmarkStart w:id="142" w:name="_Toc4812"/>
      <w:bookmarkStart w:id="143" w:name="_Toc17707926"/>
      <w:bookmarkStart w:id="144" w:name="_Toc17144"/>
      <w:bookmarkStart w:id="145" w:name="_Toc13319"/>
      <w:bookmarkStart w:id="146" w:name="_Toc79395454"/>
      <w:bookmarkStart w:id="147" w:name="_Toc9964"/>
      <w:r>
        <w:rPr>
          <w:rFonts w:ascii="Times New Roman" w:hAnsi="Times New Roman" w:eastAsia="宋体"/>
        </w:rPr>
        <w:t>三、投标文件的编制</w:t>
      </w:r>
      <w:bookmarkEnd w:id="139"/>
      <w:bookmarkEnd w:id="140"/>
      <w:bookmarkEnd w:id="141"/>
      <w:bookmarkEnd w:id="142"/>
      <w:bookmarkEnd w:id="143"/>
      <w:bookmarkEnd w:id="144"/>
      <w:bookmarkEnd w:id="145"/>
      <w:bookmarkEnd w:id="146"/>
      <w:bookmarkEnd w:id="147"/>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48" w:name="_Toc79395455"/>
      <w:bookmarkStart w:id="149" w:name="_Toc17707927"/>
      <w:bookmarkStart w:id="150" w:name="_Toc460416654"/>
      <w:bookmarkStart w:id="151" w:name="_Toc6222"/>
      <w:bookmarkStart w:id="152" w:name="_Toc460416349"/>
      <w:bookmarkStart w:id="153" w:name="_Toc460857913"/>
      <w:bookmarkStart w:id="154" w:name="_Toc19650"/>
      <w:r>
        <w:rPr>
          <w:kern w:val="2"/>
          <w:sz w:val="21"/>
          <w:szCs w:val="21"/>
        </w:rPr>
        <w:t>（一）投标文件的组成</w:t>
      </w:r>
      <w:bookmarkEnd w:id="148"/>
      <w:bookmarkEnd w:id="149"/>
      <w:bookmarkEnd w:id="150"/>
      <w:bookmarkEnd w:id="151"/>
      <w:bookmarkEnd w:id="152"/>
      <w:bookmarkEnd w:id="153"/>
      <w:bookmarkEnd w:id="154"/>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投标文件由资格证明文件、商务技术文件和报价文件三部分组成。</w:t>
      </w:r>
    </w:p>
    <w:p>
      <w:pPr>
        <w:pageBreakBefore w:val="0"/>
        <w:kinsoku/>
        <w:wordWrap/>
        <w:overflowPunct/>
        <w:topLinePunct w:val="0"/>
        <w:autoSpaceDE/>
        <w:autoSpaceDN/>
        <w:bidi w:val="0"/>
        <w:snapToGrid w:val="0"/>
        <w:spacing w:line="400" w:lineRule="exact"/>
        <w:ind w:firstLine="413" w:firstLineChars="196"/>
        <w:jc w:val="left"/>
        <w:textAlignment w:val="auto"/>
        <w:rPr>
          <w:b/>
          <w:szCs w:val="21"/>
        </w:rPr>
      </w:pPr>
      <w:r>
        <w:rPr>
          <w:b/>
          <w:szCs w:val="21"/>
        </w:rPr>
        <w:t>1</w:t>
      </w:r>
      <w:r>
        <w:rPr>
          <w:rFonts w:hint="eastAsia"/>
          <w:b/>
          <w:szCs w:val="21"/>
        </w:rPr>
        <w:t>.</w:t>
      </w:r>
      <w:r>
        <w:rPr>
          <w:b/>
          <w:szCs w:val="21"/>
        </w:rPr>
        <w:t>资格证明文件包括以下内容：</w:t>
      </w:r>
    </w:p>
    <w:p>
      <w:pPr>
        <w:pageBreakBefore w:val="0"/>
        <w:kinsoku/>
        <w:wordWrap/>
        <w:overflowPunct/>
        <w:topLinePunct w:val="0"/>
        <w:autoSpaceDE/>
        <w:autoSpaceDN/>
        <w:bidi w:val="0"/>
        <w:snapToGrid w:val="0"/>
        <w:spacing w:line="400" w:lineRule="exact"/>
        <w:ind w:firstLine="420" w:firstLineChars="200"/>
        <w:textAlignment w:val="auto"/>
        <w:rPr>
          <w:szCs w:val="21"/>
        </w:rPr>
      </w:pPr>
      <w:r>
        <w:rPr>
          <w:szCs w:val="21"/>
        </w:rPr>
        <w:t>（1</w:t>
      </w:r>
      <w:r>
        <w:rPr>
          <w:rFonts w:hint="eastAsia"/>
          <w:szCs w:val="21"/>
        </w:rPr>
        <w:t>）</w:t>
      </w:r>
      <w:r>
        <w:rPr>
          <w:rFonts w:hint="eastAsia" w:ascii="宋体" w:hAnsi="宋体"/>
          <w:szCs w:val="21"/>
        </w:rPr>
        <w:t>资格证明材料承诺函</w:t>
      </w:r>
      <w:r>
        <w:rPr>
          <w:rFonts w:hint="eastAsia"/>
          <w:szCs w:val="21"/>
        </w:rPr>
        <w:t>（</w:t>
      </w:r>
      <w:r>
        <w:rPr>
          <w:szCs w:val="21"/>
        </w:rPr>
        <w:t>格式见附件</w:t>
      </w:r>
      <w:r>
        <w:rPr>
          <w:rFonts w:hint="eastAsia"/>
          <w:szCs w:val="21"/>
        </w:rPr>
        <w:t>）；</w:t>
      </w:r>
    </w:p>
    <w:p>
      <w:pPr>
        <w:pageBreakBefore w:val="0"/>
        <w:kinsoku/>
        <w:wordWrap/>
        <w:overflowPunct/>
        <w:topLinePunct w:val="0"/>
        <w:autoSpaceDE/>
        <w:autoSpaceDN/>
        <w:bidi w:val="0"/>
        <w:snapToGrid w:val="0"/>
        <w:spacing w:line="400" w:lineRule="exact"/>
        <w:ind w:firstLine="420" w:firstLineChars="200"/>
        <w:textAlignment w:val="auto"/>
        <w:rPr>
          <w:szCs w:val="21"/>
        </w:rPr>
      </w:pPr>
      <w:r>
        <w:rPr>
          <w:szCs w:val="21"/>
        </w:rPr>
        <w:t>（2）</w:t>
      </w:r>
      <w:r>
        <w:rPr>
          <w:rFonts w:hint="eastAsia" w:ascii="宋体" w:hAnsi="宋体"/>
          <w:szCs w:val="21"/>
        </w:rPr>
        <w:t>有效营业执照（供应商为企业、个体工商户时提供）或有效的事业单位法人证书（供应商为事业单位时提供）或有效的执业许可证（供应商为非企业专业服务机构时提供，如律师事务所）或有效的自然人身份证明（供应商为自然人时提供）复印件；</w:t>
      </w:r>
    </w:p>
    <w:p>
      <w:pPr>
        <w:pageBreakBefore w:val="0"/>
        <w:kinsoku/>
        <w:wordWrap/>
        <w:overflowPunct/>
        <w:topLinePunct w:val="0"/>
        <w:autoSpaceDE/>
        <w:autoSpaceDN/>
        <w:bidi w:val="0"/>
        <w:snapToGrid w:val="0"/>
        <w:spacing w:line="400" w:lineRule="exact"/>
        <w:ind w:firstLine="420" w:firstLineChars="200"/>
        <w:textAlignment w:val="auto"/>
        <w:rPr>
          <w:szCs w:val="21"/>
        </w:rPr>
      </w:pPr>
      <w:r>
        <w:rPr>
          <w:rFonts w:hint="eastAsia" w:ascii="宋体" w:hAnsi="宋体" w:cs="宋体"/>
        </w:rPr>
        <w:t>（3</w:t>
      </w:r>
      <w:r>
        <w:rPr>
          <w:rFonts w:ascii="宋体" w:hAnsi="宋体" w:cs="宋体"/>
        </w:rPr>
        <w:t>）</w:t>
      </w:r>
      <w:r>
        <w:rPr>
          <w:rFonts w:hint="eastAsia" w:ascii="宋体" w:hAnsi="宋体"/>
          <w:szCs w:val="21"/>
        </w:rPr>
        <w:t>供应商认为需要的其他资料（如有需提供）</w:t>
      </w:r>
    </w:p>
    <w:p>
      <w:pPr>
        <w:pageBreakBefore w:val="0"/>
        <w:kinsoku/>
        <w:wordWrap/>
        <w:overflowPunct/>
        <w:topLinePunct w:val="0"/>
        <w:autoSpaceDE/>
        <w:autoSpaceDN/>
        <w:bidi w:val="0"/>
        <w:snapToGrid w:val="0"/>
        <w:spacing w:line="400" w:lineRule="exact"/>
        <w:ind w:firstLine="413" w:firstLineChars="196"/>
        <w:jc w:val="left"/>
        <w:textAlignment w:val="auto"/>
        <w:rPr>
          <w:b/>
          <w:szCs w:val="21"/>
        </w:rPr>
      </w:pPr>
      <w:r>
        <w:rPr>
          <w:b/>
          <w:szCs w:val="21"/>
        </w:rPr>
        <w:t>2</w:t>
      </w:r>
      <w:r>
        <w:rPr>
          <w:rFonts w:hint="eastAsia"/>
          <w:b/>
          <w:szCs w:val="21"/>
        </w:rPr>
        <w:t>.</w:t>
      </w:r>
      <w:r>
        <w:rPr>
          <w:b/>
          <w:szCs w:val="21"/>
        </w:rPr>
        <w:t>商务技术文件包括以下内容：</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（1）</w:t>
      </w:r>
      <w:r>
        <w:rPr>
          <w:rFonts w:hint="eastAsia"/>
          <w:szCs w:val="21"/>
        </w:rPr>
        <w:t>评委打分索引表</w:t>
      </w:r>
      <w:r>
        <w:rPr>
          <w:szCs w:val="21"/>
        </w:rPr>
        <w:t>（格式见附件）</w:t>
      </w:r>
      <w:r>
        <w:rPr>
          <w:rFonts w:hint="eastAsia"/>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（2）法定代表人的身份证明或法定代表人授权书（格式见附件</w:t>
      </w:r>
      <w:r>
        <w:rPr>
          <w:rFonts w:hint="eastAsia"/>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（3）投标人基本情况说明（格式见附件</w:t>
      </w:r>
      <w:r>
        <w:rPr>
          <w:rFonts w:hint="eastAsia"/>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（4）</w:t>
      </w:r>
      <w:r>
        <w:rPr>
          <w:rFonts w:hint="eastAsia"/>
          <w:szCs w:val="21"/>
        </w:rPr>
        <w:t>类似项目业绩表</w:t>
      </w:r>
      <w:r>
        <w:rPr>
          <w:szCs w:val="21"/>
        </w:rPr>
        <w:t>（格式见附件）</w:t>
      </w:r>
      <w:r>
        <w:rPr>
          <w:rFonts w:hint="eastAsia"/>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jc w:val="left"/>
        <w:textAlignment w:val="auto"/>
        <w:rPr>
          <w:szCs w:val="21"/>
        </w:rPr>
      </w:pPr>
      <w:r>
        <w:rPr>
          <w:szCs w:val="21"/>
        </w:rPr>
        <w:t>（5）商务条款偏离表（格式见附件）</w:t>
      </w:r>
      <w:r>
        <w:rPr>
          <w:rFonts w:hint="eastAsia"/>
          <w:szCs w:val="21"/>
        </w:rPr>
        <w:t>；</w:t>
      </w:r>
    </w:p>
    <w:p>
      <w:pPr>
        <w:pageBreakBefore w:val="0"/>
        <w:tabs>
          <w:tab w:val="left" w:pos="1030"/>
        </w:tabs>
        <w:kinsoku/>
        <w:wordWrap/>
        <w:overflowPunct/>
        <w:topLinePunct w:val="0"/>
        <w:autoSpaceDE/>
        <w:autoSpaceDN/>
        <w:bidi w:val="0"/>
        <w:snapToGrid w:val="0"/>
        <w:spacing w:line="400" w:lineRule="exact"/>
        <w:ind w:firstLine="420" w:firstLineChars="200"/>
        <w:jc w:val="left"/>
        <w:textAlignment w:val="auto"/>
        <w:rPr>
          <w:szCs w:val="21"/>
        </w:rPr>
      </w:pPr>
      <w:r>
        <w:rPr>
          <w:szCs w:val="21"/>
        </w:rPr>
        <w:t>（</w:t>
      </w:r>
      <w:r>
        <w:rPr>
          <w:rFonts w:hint="eastAsia"/>
          <w:szCs w:val="21"/>
        </w:rPr>
        <w:t>6</w:t>
      </w:r>
      <w:r>
        <w:rPr>
          <w:szCs w:val="21"/>
        </w:rPr>
        <w:t>）</w:t>
      </w:r>
      <w:r>
        <w:rPr>
          <w:rFonts w:hint="eastAsia"/>
          <w:szCs w:val="21"/>
        </w:rPr>
        <w:t>项目负责人简介</w:t>
      </w:r>
      <w:r>
        <w:rPr>
          <w:szCs w:val="21"/>
        </w:rPr>
        <w:t>（格式见附件）</w:t>
      </w:r>
      <w:r>
        <w:rPr>
          <w:rFonts w:hint="eastAsia"/>
          <w:szCs w:val="21"/>
        </w:rPr>
        <w:t>；</w:t>
      </w:r>
    </w:p>
    <w:p>
      <w:pPr>
        <w:pageBreakBefore w:val="0"/>
        <w:tabs>
          <w:tab w:val="left" w:pos="1030"/>
        </w:tabs>
        <w:kinsoku/>
        <w:wordWrap/>
        <w:overflowPunct/>
        <w:topLinePunct w:val="0"/>
        <w:autoSpaceDE/>
        <w:autoSpaceDN/>
        <w:bidi w:val="0"/>
        <w:snapToGrid w:val="0"/>
        <w:spacing w:line="400" w:lineRule="exact"/>
        <w:ind w:firstLine="420" w:firstLineChars="200"/>
        <w:jc w:val="left"/>
        <w:textAlignment w:val="auto"/>
        <w:rPr>
          <w:szCs w:val="21"/>
        </w:rPr>
      </w:pPr>
      <w:r>
        <w:rPr>
          <w:szCs w:val="21"/>
        </w:rPr>
        <w:t>（</w:t>
      </w:r>
      <w:r>
        <w:rPr>
          <w:rFonts w:hint="eastAsia"/>
          <w:szCs w:val="21"/>
        </w:rPr>
        <w:t>7</w:t>
      </w:r>
      <w:r>
        <w:rPr>
          <w:szCs w:val="21"/>
        </w:rPr>
        <w:t>）</w:t>
      </w:r>
      <w:r>
        <w:rPr>
          <w:rFonts w:hint="eastAsia"/>
          <w:szCs w:val="21"/>
        </w:rPr>
        <w:t>项目人员配置</w:t>
      </w:r>
      <w:r>
        <w:rPr>
          <w:szCs w:val="21"/>
        </w:rPr>
        <w:t>（格式见附件）</w:t>
      </w:r>
      <w:r>
        <w:rPr>
          <w:rFonts w:hint="eastAsia"/>
          <w:szCs w:val="21"/>
        </w:rPr>
        <w:t>；</w:t>
      </w:r>
    </w:p>
    <w:p>
      <w:pPr>
        <w:pageBreakBefore w:val="0"/>
        <w:kinsoku/>
        <w:wordWrap/>
        <w:overflowPunct/>
        <w:topLinePunct w:val="0"/>
        <w:autoSpaceDE/>
        <w:autoSpaceDN/>
        <w:bidi w:val="0"/>
        <w:spacing w:line="400" w:lineRule="exact"/>
        <w:ind w:left="420"/>
        <w:textAlignment w:val="auto"/>
        <w:rPr>
          <w:szCs w:val="21"/>
        </w:rPr>
      </w:pPr>
      <w:r>
        <w:rPr>
          <w:szCs w:val="21"/>
        </w:rPr>
        <w:t>（</w:t>
      </w:r>
      <w:r>
        <w:rPr>
          <w:rFonts w:hint="eastAsia"/>
          <w:szCs w:val="21"/>
        </w:rPr>
        <w:t>8</w:t>
      </w:r>
      <w:r>
        <w:rPr>
          <w:szCs w:val="21"/>
        </w:rPr>
        <w:t>）</w:t>
      </w:r>
      <w:r>
        <w:rPr>
          <w:rFonts w:hint="eastAsia"/>
          <w:szCs w:val="21"/>
        </w:rPr>
        <w:t>技术条款偏离表（格式见附件）；</w:t>
      </w:r>
    </w:p>
    <w:p>
      <w:pPr>
        <w:pStyle w:val="139"/>
        <w:pageBreakBefore w:val="0"/>
        <w:tabs>
          <w:tab w:val="left" w:pos="0"/>
        </w:tabs>
        <w:kinsoku/>
        <w:wordWrap/>
        <w:overflowPunct/>
        <w:topLinePunct w:val="0"/>
        <w:autoSpaceDE/>
        <w:autoSpaceDN/>
        <w:bidi w:val="0"/>
        <w:snapToGrid w:val="0"/>
        <w:spacing w:line="400" w:lineRule="exact"/>
        <w:ind w:left="420" w:firstLine="0"/>
        <w:jc w:val="left"/>
        <w:textAlignment w:val="auto"/>
        <w:rPr>
          <w:rFonts w:ascii="Times New Roman" w:hAnsi="Times New Roman"/>
          <w:szCs w:val="21"/>
        </w:rPr>
      </w:pPr>
      <w:r>
        <w:rPr>
          <w:rFonts w:ascii="Times New Roman" w:hAnsi="Times New Roman"/>
          <w:szCs w:val="21"/>
        </w:rPr>
        <w:t>（</w:t>
      </w:r>
      <w:r>
        <w:rPr>
          <w:rFonts w:hint="eastAsia" w:ascii="Times New Roman" w:hAnsi="Times New Roman"/>
          <w:szCs w:val="21"/>
        </w:rPr>
        <w:t>9</w:t>
      </w:r>
      <w:r>
        <w:rPr>
          <w:rFonts w:ascii="Times New Roman" w:hAnsi="Times New Roman"/>
          <w:szCs w:val="21"/>
        </w:rPr>
        <w:t>）评分标准或采购文件需要提供的证明材料（具体详见评分标准</w:t>
      </w:r>
      <w:r>
        <w:rPr>
          <w:rFonts w:hint="eastAsia" w:ascii="Times New Roman" w:hAnsi="Times New Roman"/>
          <w:szCs w:val="21"/>
        </w:rPr>
        <w:t>，格式自拟</w:t>
      </w:r>
      <w:r>
        <w:rPr>
          <w:rFonts w:ascii="Times New Roman" w:hAnsi="Times New Roman"/>
          <w:szCs w:val="21"/>
        </w:rPr>
        <w:t>）</w:t>
      </w:r>
      <w:r>
        <w:rPr>
          <w:rFonts w:hint="eastAsia" w:ascii="Times New Roman" w:hAnsi="Times New Roman"/>
          <w:szCs w:val="21"/>
        </w:rPr>
        <w:t>；</w:t>
      </w:r>
    </w:p>
    <w:p>
      <w:pPr>
        <w:pStyle w:val="139"/>
        <w:pageBreakBefore w:val="0"/>
        <w:tabs>
          <w:tab w:val="left" w:pos="0"/>
        </w:tabs>
        <w:kinsoku/>
        <w:wordWrap/>
        <w:overflowPunct/>
        <w:topLinePunct w:val="0"/>
        <w:autoSpaceDE/>
        <w:autoSpaceDN/>
        <w:bidi w:val="0"/>
        <w:snapToGrid w:val="0"/>
        <w:spacing w:line="400" w:lineRule="exact"/>
        <w:ind w:left="420" w:firstLine="0"/>
        <w:jc w:val="left"/>
        <w:textAlignment w:val="auto"/>
        <w:rPr>
          <w:rFonts w:ascii="Times New Roman" w:hAnsi="Times New Roman"/>
          <w:szCs w:val="21"/>
        </w:rPr>
      </w:pPr>
      <w:r>
        <w:rPr>
          <w:rFonts w:ascii="Times New Roman" w:hAnsi="Times New Roman"/>
          <w:szCs w:val="21"/>
        </w:rPr>
        <w:t>（</w:t>
      </w:r>
      <w:r>
        <w:rPr>
          <w:rFonts w:hint="eastAsia" w:ascii="Times New Roman" w:hAnsi="Times New Roman"/>
          <w:szCs w:val="21"/>
        </w:rPr>
        <w:t>10</w:t>
      </w:r>
      <w:r>
        <w:rPr>
          <w:rFonts w:ascii="Times New Roman" w:hAnsi="Times New Roman"/>
          <w:szCs w:val="21"/>
        </w:rPr>
        <w:t>）投标人认为有必要提交的其他商务技术说明文件和资料。</w:t>
      </w:r>
    </w:p>
    <w:p>
      <w:pPr>
        <w:pageBreakBefore w:val="0"/>
        <w:kinsoku/>
        <w:wordWrap/>
        <w:overflowPunct/>
        <w:topLinePunct w:val="0"/>
        <w:autoSpaceDE/>
        <w:autoSpaceDN/>
        <w:bidi w:val="0"/>
        <w:snapToGrid w:val="0"/>
        <w:spacing w:line="400" w:lineRule="exact"/>
        <w:ind w:left="413"/>
        <w:jc w:val="left"/>
        <w:textAlignment w:val="auto"/>
        <w:rPr>
          <w:b/>
          <w:szCs w:val="21"/>
        </w:rPr>
      </w:pPr>
      <w:r>
        <w:rPr>
          <w:b/>
          <w:szCs w:val="21"/>
        </w:rPr>
        <w:t>3</w:t>
      </w:r>
      <w:r>
        <w:rPr>
          <w:rFonts w:hint="eastAsia"/>
          <w:b/>
          <w:szCs w:val="21"/>
        </w:rPr>
        <w:t>.</w:t>
      </w:r>
      <w:r>
        <w:rPr>
          <w:b/>
          <w:szCs w:val="21"/>
        </w:rPr>
        <w:t>报价文件包括以下内容：</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（1）投标函</w:t>
      </w:r>
      <w:r>
        <w:rPr>
          <w:rFonts w:hint="eastAsia"/>
          <w:szCs w:val="21"/>
        </w:rPr>
        <w:t>（</w:t>
      </w:r>
      <w:r>
        <w:rPr>
          <w:szCs w:val="21"/>
        </w:rPr>
        <w:t>格式见附件</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（2）开标一览表</w:t>
      </w:r>
      <w:r>
        <w:rPr>
          <w:rFonts w:hint="eastAsia"/>
          <w:szCs w:val="21"/>
        </w:rPr>
        <w:t>（</w:t>
      </w:r>
      <w:r>
        <w:rPr>
          <w:szCs w:val="21"/>
        </w:rPr>
        <w:t>格式见附件</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（3）投标分项报价表</w:t>
      </w:r>
      <w:r>
        <w:rPr>
          <w:rFonts w:hint="eastAsia"/>
          <w:szCs w:val="21"/>
        </w:rPr>
        <w:t>（</w:t>
      </w:r>
      <w:r>
        <w:rPr>
          <w:szCs w:val="21"/>
        </w:rPr>
        <w:t>格式见附件</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（4）中小企业声明函（若有，格式见附件）</w:t>
      </w:r>
      <w:r>
        <w:rPr>
          <w:rFonts w:hint="eastAsia"/>
          <w:szCs w:val="21"/>
        </w:rPr>
        <w:t>；</w:t>
      </w:r>
    </w:p>
    <w:p>
      <w:pPr>
        <w:pageBreakBefore w:val="0"/>
        <w:kinsoku/>
        <w:wordWrap/>
        <w:overflowPunct/>
        <w:topLinePunct w:val="0"/>
        <w:autoSpaceDE/>
        <w:autoSpaceDN/>
        <w:bidi w:val="0"/>
        <w:snapToGrid w:val="0"/>
        <w:spacing w:line="400" w:lineRule="exact"/>
        <w:ind w:firstLine="422" w:firstLineChars="200"/>
        <w:jc w:val="left"/>
        <w:textAlignment w:val="auto"/>
        <w:rPr>
          <w:b/>
          <w:bCs/>
          <w:szCs w:val="21"/>
        </w:rPr>
      </w:pPr>
      <w:r>
        <w:rPr>
          <w:b/>
          <w:bCs/>
          <w:szCs w:val="21"/>
        </w:rPr>
        <w:t>本项目为非专门面向中小企业采购的项目，如果供应商和制造商均为小微企业，提供《中小企业声明函》。如未按照要求提供，将不得享受评标标准中注明的针对小微企业的价格扣除优惠</w:t>
      </w:r>
      <w:r>
        <w:rPr>
          <w:rFonts w:hint="eastAsia"/>
          <w:b/>
          <w:bCs/>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（5）残疾人福利性单位声明函（若有，格式见附件）</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（6）投标人针对报价需要说明的其他文件和说明</w:t>
      </w:r>
      <w:r>
        <w:rPr>
          <w:rFonts w:hint="eastAsia"/>
          <w:szCs w:val="21"/>
        </w:rPr>
        <w:t>。</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4</w:t>
      </w:r>
      <w:r>
        <w:rPr>
          <w:rFonts w:hint="eastAsia"/>
          <w:szCs w:val="21"/>
        </w:rPr>
        <w:t>.</w:t>
      </w:r>
      <w:r>
        <w:rPr>
          <w:szCs w:val="21"/>
        </w:rPr>
        <w:t>上述组成投标文件的各项资料中本招标文件的有规定格式的，应统一按本招标文件的规定格式填写。未有规定格式的资料，投标人应自行编制，但至少要包含以上要求的内容。</w:t>
      </w:r>
    </w:p>
    <w:p>
      <w:pPr>
        <w:pageBreakBefore w:val="0"/>
        <w:kinsoku/>
        <w:wordWrap/>
        <w:overflowPunct/>
        <w:topLinePunct w:val="0"/>
        <w:autoSpaceDE/>
        <w:autoSpaceDN/>
        <w:bidi w:val="0"/>
        <w:snapToGrid w:val="0"/>
        <w:spacing w:line="400" w:lineRule="exact"/>
        <w:ind w:firstLine="420" w:firstLineChars="200"/>
        <w:jc w:val="left"/>
        <w:textAlignment w:val="auto"/>
        <w:rPr>
          <w:szCs w:val="21"/>
        </w:rPr>
      </w:pPr>
      <w:r>
        <w:rPr>
          <w:szCs w:val="21"/>
        </w:rPr>
        <w:t>5</w:t>
      </w:r>
      <w:r>
        <w:rPr>
          <w:rFonts w:hint="eastAsia"/>
          <w:szCs w:val="21"/>
        </w:rPr>
        <w:t>.</w:t>
      </w:r>
      <w:r>
        <w:rPr>
          <w:szCs w:val="21"/>
        </w:rPr>
        <w:t>投标文件在提供对投标产品技术条款响应表的应答时，对招标文件有技术数值要求的参数，应以投标货物的具体技术数值据实应答；对于招标文件无数值要求的参数的应答，应作出明确、直接、无导致两种理解可能的应答。</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55" w:name="_Toc460416655"/>
      <w:bookmarkStart w:id="156" w:name="_Toc460857914"/>
      <w:bookmarkStart w:id="157" w:name="_Toc460416350"/>
      <w:bookmarkStart w:id="158" w:name="_Toc24666"/>
      <w:bookmarkStart w:id="159" w:name="_Toc28355"/>
      <w:bookmarkStart w:id="160" w:name="_Toc17707928"/>
      <w:bookmarkStart w:id="161" w:name="_Toc79395456"/>
      <w:r>
        <w:rPr>
          <w:kern w:val="2"/>
          <w:sz w:val="21"/>
          <w:szCs w:val="21"/>
        </w:rPr>
        <w:t>（二）投标文件的语言及计量</w:t>
      </w:r>
      <w:bookmarkEnd w:id="155"/>
      <w:bookmarkEnd w:id="156"/>
      <w:bookmarkEnd w:id="157"/>
      <w:bookmarkEnd w:id="158"/>
      <w:bookmarkEnd w:id="159"/>
      <w:bookmarkEnd w:id="160"/>
      <w:bookmarkEnd w:id="161"/>
    </w:p>
    <w:p>
      <w:pPr>
        <w:pageBreakBefore w:val="0"/>
        <w:kinsoku/>
        <w:wordWrap/>
        <w:overflowPunct/>
        <w:topLinePunct w:val="0"/>
        <w:autoSpaceDE/>
        <w:autoSpaceDN/>
        <w:bidi w:val="0"/>
        <w:snapToGrid w:val="0"/>
        <w:spacing w:line="400" w:lineRule="exact"/>
        <w:ind w:firstLine="422" w:firstLineChars="200"/>
        <w:jc w:val="left"/>
        <w:textAlignment w:val="auto"/>
        <w:rPr>
          <w:b/>
          <w:szCs w:val="21"/>
        </w:rPr>
      </w:pPr>
      <w:r>
        <w:rPr>
          <w:b/>
          <w:szCs w:val="21"/>
        </w:rPr>
        <w:t>1</w:t>
      </w:r>
      <w:r>
        <w:rPr>
          <w:rFonts w:hint="eastAsia"/>
          <w:b/>
          <w:szCs w:val="21"/>
        </w:rPr>
        <w:t>.</w:t>
      </w:r>
      <w:r>
        <w:rPr>
          <w:b/>
          <w:szCs w:val="21"/>
        </w:rPr>
        <w:t>投标文件以及投标人与采购人就有关投标事宜的所有来往函电，均应以中文汉语书写。除签名、盖章、专用名称等特殊情形外，以中文汉语以外的文字表述的投标文件视同未提供。</w:t>
      </w:r>
    </w:p>
    <w:p>
      <w:pPr>
        <w:pageBreakBefore w:val="0"/>
        <w:kinsoku/>
        <w:wordWrap/>
        <w:overflowPunct/>
        <w:topLinePunct w:val="0"/>
        <w:autoSpaceDE/>
        <w:autoSpaceDN/>
        <w:bidi w:val="0"/>
        <w:snapToGrid w:val="0"/>
        <w:spacing w:line="400" w:lineRule="exact"/>
        <w:ind w:firstLine="422" w:firstLineChars="200"/>
        <w:jc w:val="left"/>
        <w:textAlignment w:val="auto"/>
        <w:rPr>
          <w:b/>
          <w:szCs w:val="21"/>
        </w:rPr>
      </w:pPr>
      <w:r>
        <w:rPr>
          <w:b/>
          <w:szCs w:val="21"/>
        </w:rPr>
        <w:t>2</w:t>
      </w:r>
      <w:r>
        <w:rPr>
          <w:rFonts w:hint="eastAsia"/>
          <w:b/>
          <w:szCs w:val="21"/>
        </w:rPr>
        <w:t>.</w:t>
      </w:r>
      <w:r>
        <w:rPr>
          <w:b/>
          <w:szCs w:val="21"/>
        </w:rPr>
        <w:t>投标计量单位，采购文件已有明确规定的，使用采购文件规定的计量单位；采购文件没有规定的，应采用中华人民共和国法定计量单位（货币单位：人民币元），否则视同未响应。</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62" w:name="_Toc12050"/>
      <w:bookmarkStart w:id="163" w:name="_Toc460857915"/>
      <w:bookmarkStart w:id="164" w:name="_Toc17707929"/>
      <w:bookmarkStart w:id="165" w:name="_Toc460416656"/>
      <w:bookmarkStart w:id="166" w:name="_Toc460416351"/>
      <w:bookmarkStart w:id="167" w:name="_Toc79395457"/>
      <w:bookmarkStart w:id="168" w:name="_Toc22085"/>
      <w:r>
        <w:rPr>
          <w:kern w:val="2"/>
          <w:sz w:val="21"/>
          <w:szCs w:val="21"/>
        </w:rPr>
        <w:t>（三）投标报价</w:t>
      </w:r>
      <w:bookmarkEnd w:id="162"/>
      <w:bookmarkEnd w:id="163"/>
      <w:bookmarkEnd w:id="164"/>
      <w:bookmarkEnd w:id="165"/>
      <w:bookmarkEnd w:id="166"/>
      <w:bookmarkEnd w:id="167"/>
      <w:bookmarkEnd w:id="168"/>
    </w:p>
    <w:p>
      <w:pPr>
        <w:pStyle w:val="21"/>
        <w:pageBreakBefore w:val="0"/>
        <w:kinsoku/>
        <w:wordWrap/>
        <w:overflowPunct/>
        <w:topLinePunct w:val="0"/>
        <w:autoSpaceDE/>
        <w:autoSpaceDN/>
        <w:bidi w:val="0"/>
        <w:snapToGrid w:val="0"/>
        <w:spacing w:beforeLines="0" w:afterLines="0" w:line="400" w:lineRule="exact"/>
        <w:ind w:firstLine="420" w:firstLineChars="200"/>
        <w:jc w:val="left"/>
        <w:textAlignment w:val="auto"/>
        <w:rPr>
          <w:rFonts w:ascii="Times New Roman"/>
          <w:sz w:val="21"/>
          <w:szCs w:val="21"/>
        </w:rPr>
      </w:pPr>
      <w:r>
        <w:rPr>
          <w:rFonts w:ascii="Times New Roman"/>
          <w:sz w:val="21"/>
          <w:szCs w:val="21"/>
        </w:rPr>
        <w:t>1</w:t>
      </w:r>
      <w:r>
        <w:rPr>
          <w:rFonts w:hint="eastAsia" w:ascii="Times New Roman"/>
          <w:sz w:val="21"/>
          <w:szCs w:val="21"/>
        </w:rPr>
        <w:t>.</w:t>
      </w:r>
      <w:r>
        <w:rPr>
          <w:rFonts w:ascii="Times New Roman"/>
          <w:sz w:val="21"/>
          <w:szCs w:val="21"/>
        </w:rPr>
        <w:t>投标报价应按采购文件中相关附表格式填写。</w:t>
      </w:r>
    </w:p>
    <w:p>
      <w:pPr>
        <w:pageBreakBefore w:val="0"/>
        <w:tabs>
          <w:tab w:val="left" w:pos="525"/>
        </w:tabs>
        <w:kinsoku/>
        <w:wordWrap/>
        <w:overflowPunct/>
        <w:topLinePunct w:val="0"/>
        <w:autoSpaceDE/>
        <w:autoSpaceDN/>
        <w:bidi w:val="0"/>
        <w:snapToGrid w:val="0"/>
        <w:spacing w:line="400" w:lineRule="exact"/>
        <w:ind w:firstLine="422" w:firstLineChars="200"/>
        <w:jc w:val="left"/>
        <w:textAlignment w:val="auto"/>
        <w:rPr>
          <w:b/>
          <w:szCs w:val="21"/>
        </w:rPr>
      </w:pPr>
      <w:r>
        <w:rPr>
          <w:b/>
          <w:szCs w:val="21"/>
        </w:rPr>
        <w:t>2</w:t>
      </w:r>
      <w:r>
        <w:rPr>
          <w:rFonts w:hint="eastAsia"/>
          <w:b/>
          <w:szCs w:val="21"/>
        </w:rPr>
        <w:t>.</w:t>
      </w:r>
      <w:r>
        <w:rPr>
          <w:b/>
          <w:szCs w:val="21"/>
        </w:rPr>
        <w:t>投标文件只允许有一个报价，有选择的或有条件的报价将不予接受。</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69" w:name="_Toc79395458"/>
      <w:bookmarkStart w:id="170" w:name="_Toc460857916"/>
      <w:bookmarkStart w:id="171" w:name="_Toc24337"/>
      <w:bookmarkStart w:id="172" w:name="_Toc31899"/>
      <w:bookmarkStart w:id="173" w:name="_Toc17707930"/>
      <w:r>
        <w:rPr>
          <w:kern w:val="2"/>
          <w:sz w:val="21"/>
          <w:szCs w:val="21"/>
        </w:rPr>
        <w:t>（四）投标文件的有效期</w:t>
      </w:r>
      <w:bookmarkEnd w:id="169"/>
      <w:bookmarkEnd w:id="170"/>
      <w:bookmarkEnd w:id="171"/>
      <w:bookmarkEnd w:id="172"/>
      <w:bookmarkEnd w:id="173"/>
    </w:p>
    <w:p>
      <w:pPr>
        <w:pStyle w:val="11"/>
        <w:pageBreakBefore w:val="0"/>
        <w:widowControl w:val="0"/>
        <w:tabs>
          <w:tab w:val="clear" w:pos="454"/>
        </w:tabs>
        <w:kinsoku/>
        <w:wordWrap/>
        <w:overflowPunct/>
        <w:topLinePunct w:val="0"/>
        <w:autoSpaceDE/>
        <w:autoSpaceDN/>
        <w:bidi w:val="0"/>
        <w:snapToGrid w:val="0"/>
        <w:spacing w:afterLines="0" w:line="400" w:lineRule="exact"/>
        <w:ind w:left="0" w:firstLine="422" w:firstLineChars="200"/>
        <w:textAlignment w:val="auto"/>
        <w:rPr>
          <w:b/>
          <w:sz w:val="21"/>
          <w:szCs w:val="21"/>
        </w:rPr>
      </w:pPr>
      <w:r>
        <w:rPr>
          <w:rFonts w:hint="eastAsia"/>
          <w:b/>
          <w:sz w:val="21"/>
          <w:szCs w:val="21"/>
        </w:rPr>
        <w:t>★</w:t>
      </w:r>
      <w:r>
        <w:rPr>
          <w:b/>
          <w:sz w:val="21"/>
          <w:szCs w:val="21"/>
        </w:rPr>
        <w:t>1</w:t>
      </w:r>
      <w:r>
        <w:rPr>
          <w:rFonts w:hint="eastAsia"/>
          <w:b/>
          <w:sz w:val="21"/>
          <w:szCs w:val="21"/>
        </w:rPr>
        <w:t>.</w:t>
      </w:r>
      <w:r>
        <w:rPr>
          <w:b/>
          <w:sz w:val="21"/>
          <w:szCs w:val="21"/>
        </w:rPr>
        <w:t>自投标截止日起</w:t>
      </w:r>
      <w:r>
        <w:rPr>
          <w:b/>
          <w:sz w:val="21"/>
          <w:szCs w:val="21"/>
          <w:u w:val="single"/>
        </w:rPr>
        <w:t xml:space="preserve"> 90 </w:t>
      </w:r>
      <w:r>
        <w:rPr>
          <w:b/>
          <w:sz w:val="21"/>
          <w:szCs w:val="21"/>
        </w:rPr>
        <w:t>天投标文件应保持有效</w:t>
      </w:r>
      <w:r>
        <w:rPr>
          <w:rFonts w:hint="eastAsia"/>
          <w:b/>
          <w:sz w:val="21"/>
          <w:szCs w:val="21"/>
        </w:rPr>
        <w:t>，</w:t>
      </w:r>
      <w:r>
        <w:rPr>
          <w:b/>
          <w:sz w:val="21"/>
          <w:szCs w:val="21"/>
        </w:rPr>
        <w:t>有效期不足的投标文件将被拒绝。</w:t>
      </w:r>
    </w:p>
    <w:p>
      <w:pPr>
        <w:pStyle w:val="11"/>
        <w:pageBreakBefore w:val="0"/>
        <w:widowControl w:val="0"/>
        <w:tabs>
          <w:tab w:val="clear" w:pos="454"/>
        </w:tabs>
        <w:kinsoku/>
        <w:wordWrap/>
        <w:overflowPunct/>
        <w:topLinePunct w:val="0"/>
        <w:autoSpaceDE/>
        <w:autoSpaceDN/>
        <w:bidi w:val="0"/>
        <w:snapToGrid w:val="0"/>
        <w:spacing w:afterLines="0" w:line="400" w:lineRule="exact"/>
        <w:ind w:left="0" w:firstLine="420" w:firstLineChars="200"/>
        <w:textAlignment w:val="auto"/>
        <w:rPr>
          <w:sz w:val="21"/>
          <w:szCs w:val="21"/>
        </w:rPr>
      </w:pPr>
      <w:r>
        <w:rPr>
          <w:sz w:val="21"/>
          <w:szCs w:val="21"/>
        </w:rPr>
        <w:t>2</w:t>
      </w:r>
      <w:r>
        <w:rPr>
          <w:rFonts w:hint="eastAsia"/>
          <w:sz w:val="21"/>
          <w:szCs w:val="21"/>
        </w:rPr>
        <w:t>.</w:t>
      </w:r>
      <w:r>
        <w:rPr>
          <w:sz w:val="21"/>
          <w:szCs w:val="21"/>
        </w:rPr>
        <w:t>在特殊情况下，采购人可与投标人协商延长投标书的有效期，这种要求和答复均以书面形式进行。</w:t>
      </w:r>
    </w:p>
    <w:p>
      <w:pPr>
        <w:pStyle w:val="11"/>
        <w:pageBreakBefore w:val="0"/>
        <w:widowControl w:val="0"/>
        <w:tabs>
          <w:tab w:val="clear" w:pos="454"/>
        </w:tabs>
        <w:kinsoku/>
        <w:wordWrap/>
        <w:overflowPunct/>
        <w:topLinePunct w:val="0"/>
        <w:autoSpaceDE/>
        <w:autoSpaceDN/>
        <w:bidi w:val="0"/>
        <w:snapToGrid w:val="0"/>
        <w:spacing w:afterLines="0" w:line="400" w:lineRule="exact"/>
        <w:ind w:left="0" w:firstLine="420" w:firstLineChars="200"/>
        <w:textAlignment w:val="auto"/>
        <w:rPr>
          <w:sz w:val="21"/>
          <w:szCs w:val="21"/>
        </w:rPr>
      </w:pPr>
      <w:bookmarkStart w:id="174" w:name="_Toc460416352"/>
      <w:bookmarkStart w:id="175" w:name="_Toc460416657"/>
      <w:r>
        <w:rPr>
          <w:sz w:val="21"/>
          <w:szCs w:val="21"/>
        </w:rPr>
        <w:t>3</w:t>
      </w:r>
      <w:r>
        <w:rPr>
          <w:rFonts w:hint="eastAsia"/>
          <w:sz w:val="21"/>
          <w:szCs w:val="21"/>
        </w:rPr>
        <w:t>.</w:t>
      </w:r>
      <w:r>
        <w:rPr>
          <w:sz w:val="21"/>
          <w:szCs w:val="21"/>
        </w:rPr>
        <w:t>投标人可拒绝接受延期要求。同意延长有效期的投标人，不能修改投标文件。</w:t>
      </w:r>
      <w:bookmarkEnd w:id="174"/>
      <w:bookmarkEnd w:id="175"/>
      <w:r>
        <w:rPr>
          <w:sz w:val="21"/>
          <w:szCs w:val="21"/>
        </w:rPr>
        <w:t xml:space="preserve"> </w:t>
      </w:r>
    </w:p>
    <w:p>
      <w:pPr>
        <w:pStyle w:val="11"/>
        <w:pageBreakBefore w:val="0"/>
        <w:widowControl w:val="0"/>
        <w:tabs>
          <w:tab w:val="clear" w:pos="454"/>
        </w:tabs>
        <w:kinsoku/>
        <w:wordWrap/>
        <w:overflowPunct/>
        <w:topLinePunct w:val="0"/>
        <w:autoSpaceDE/>
        <w:autoSpaceDN/>
        <w:bidi w:val="0"/>
        <w:snapToGrid w:val="0"/>
        <w:spacing w:afterLines="0" w:line="400" w:lineRule="exact"/>
        <w:ind w:left="0" w:firstLine="420" w:firstLineChars="200"/>
        <w:textAlignment w:val="auto"/>
        <w:rPr>
          <w:sz w:val="21"/>
          <w:szCs w:val="21"/>
        </w:rPr>
      </w:pPr>
      <w:bookmarkStart w:id="176" w:name="_Toc460416353"/>
      <w:bookmarkStart w:id="177" w:name="_Toc460416658"/>
      <w:r>
        <w:rPr>
          <w:sz w:val="21"/>
          <w:szCs w:val="21"/>
        </w:rPr>
        <w:t>4</w:t>
      </w:r>
      <w:r>
        <w:rPr>
          <w:rFonts w:hint="eastAsia"/>
          <w:sz w:val="21"/>
          <w:szCs w:val="21"/>
        </w:rPr>
        <w:t>.</w:t>
      </w:r>
      <w:r>
        <w:rPr>
          <w:sz w:val="21"/>
          <w:szCs w:val="21"/>
        </w:rPr>
        <w:t>中标人的投标文件自开标之日起至合同履行完毕止均应保持有效。</w:t>
      </w:r>
      <w:bookmarkEnd w:id="176"/>
      <w:bookmarkEnd w:id="177"/>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78" w:name="_Toc460416660"/>
      <w:bookmarkStart w:id="179" w:name="_Toc460857918"/>
      <w:bookmarkStart w:id="180" w:name="_Toc17707932"/>
      <w:bookmarkStart w:id="181" w:name="_Toc460416355"/>
      <w:bookmarkStart w:id="182" w:name="_Toc18151"/>
      <w:bookmarkStart w:id="183" w:name="_Toc9312"/>
      <w:bookmarkStart w:id="184" w:name="_Toc79395459"/>
      <w:r>
        <w:rPr>
          <w:kern w:val="2"/>
          <w:sz w:val="21"/>
          <w:szCs w:val="21"/>
        </w:rPr>
        <w:t>（</w:t>
      </w:r>
      <w:r>
        <w:rPr>
          <w:rFonts w:hint="eastAsia"/>
          <w:kern w:val="2"/>
          <w:sz w:val="21"/>
          <w:szCs w:val="21"/>
          <w:lang w:eastAsia="zh-CN"/>
        </w:rPr>
        <w:t>五</w:t>
      </w:r>
      <w:r>
        <w:rPr>
          <w:kern w:val="2"/>
          <w:sz w:val="21"/>
          <w:szCs w:val="21"/>
        </w:rPr>
        <w:t>）投标文件的盖章、签署、份数</w:t>
      </w:r>
      <w:bookmarkEnd w:id="178"/>
      <w:bookmarkEnd w:id="179"/>
      <w:bookmarkEnd w:id="180"/>
      <w:bookmarkEnd w:id="181"/>
      <w:r>
        <w:rPr>
          <w:kern w:val="2"/>
          <w:sz w:val="21"/>
          <w:szCs w:val="21"/>
        </w:rPr>
        <w:t>、要求及效力</w:t>
      </w:r>
      <w:bookmarkEnd w:id="182"/>
      <w:bookmarkEnd w:id="183"/>
      <w:bookmarkEnd w:id="184"/>
    </w:p>
    <w:p>
      <w:pPr>
        <w:pageBreakBefore w:val="0"/>
        <w:kinsoku/>
        <w:wordWrap/>
        <w:overflowPunct/>
        <w:topLinePunct w:val="0"/>
        <w:autoSpaceDE/>
        <w:autoSpaceDN/>
        <w:bidi w:val="0"/>
        <w:spacing w:line="400" w:lineRule="exact"/>
        <w:ind w:firstLine="420" w:firstLineChars="200"/>
        <w:textAlignment w:val="auto"/>
        <w:rPr>
          <w:kern w:val="0"/>
          <w:szCs w:val="21"/>
        </w:rPr>
      </w:pPr>
      <w:r>
        <w:rPr>
          <w:kern w:val="0"/>
          <w:szCs w:val="21"/>
        </w:rPr>
        <w:t>1</w:t>
      </w:r>
      <w:r>
        <w:rPr>
          <w:rFonts w:hint="eastAsia"/>
          <w:kern w:val="0"/>
          <w:szCs w:val="21"/>
        </w:rPr>
        <w:t>.</w:t>
      </w:r>
      <w:r>
        <w:rPr>
          <w:kern w:val="0"/>
          <w:szCs w:val="21"/>
        </w:rPr>
        <w:t>供应商应按本采购文件规定的格式和顺序编制、装订投标文件，投标文件要求有目录并标注页码，投标文件内容不完整、编排混乱导致投标文件被误读、漏读或者查找不到相关内容的，是供应商的责任。</w:t>
      </w:r>
    </w:p>
    <w:p>
      <w:pPr>
        <w:pageBreakBefore w:val="0"/>
        <w:kinsoku/>
        <w:wordWrap/>
        <w:overflowPunct/>
        <w:topLinePunct w:val="0"/>
        <w:autoSpaceDE/>
        <w:autoSpaceDN/>
        <w:bidi w:val="0"/>
        <w:spacing w:line="400" w:lineRule="exact"/>
        <w:ind w:firstLine="422" w:firstLineChars="200"/>
        <w:textAlignment w:val="auto"/>
        <w:rPr>
          <w:b/>
          <w:bCs/>
          <w:kern w:val="0"/>
          <w:szCs w:val="21"/>
        </w:rPr>
      </w:pPr>
      <w:r>
        <w:rPr>
          <w:rFonts w:hint="eastAsia"/>
          <w:b/>
          <w:bCs/>
          <w:kern w:val="0"/>
          <w:szCs w:val="21"/>
        </w:rPr>
        <w:t>2.</w:t>
      </w:r>
      <w:r>
        <w:rPr>
          <w:b/>
          <w:bCs/>
          <w:kern w:val="0"/>
          <w:szCs w:val="21"/>
        </w:rPr>
        <w:t>投标文件的份数：</w:t>
      </w:r>
    </w:p>
    <w:p>
      <w:pPr>
        <w:pageBreakBefore w:val="0"/>
        <w:kinsoku/>
        <w:wordWrap/>
        <w:overflowPunct/>
        <w:topLinePunct w:val="0"/>
        <w:autoSpaceDE/>
        <w:autoSpaceDN/>
        <w:bidi w:val="0"/>
        <w:spacing w:line="400" w:lineRule="exact"/>
        <w:ind w:firstLine="420" w:firstLineChars="200"/>
        <w:textAlignment w:val="auto"/>
        <w:rPr>
          <w:kern w:val="0"/>
          <w:szCs w:val="21"/>
        </w:rPr>
      </w:pPr>
      <w:r>
        <w:rPr>
          <w:kern w:val="0"/>
          <w:szCs w:val="21"/>
        </w:rPr>
        <w:t>本项目供应商应准备以下投标文件：</w:t>
      </w:r>
    </w:p>
    <w:p>
      <w:pPr>
        <w:pageBreakBefore w:val="0"/>
        <w:kinsoku/>
        <w:wordWrap/>
        <w:overflowPunct/>
        <w:topLinePunct w:val="0"/>
        <w:autoSpaceDE/>
        <w:autoSpaceDN/>
        <w:bidi w:val="0"/>
        <w:spacing w:line="400" w:lineRule="exact"/>
        <w:ind w:firstLine="420" w:firstLineChars="200"/>
        <w:textAlignment w:val="auto"/>
        <w:rPr>
          <w:kern w:val="0"/>
          <w:szCs w:val="21"/>
        </w:rPr>
      </w:pPr>
      <w:r>
        <w:rPr>
          <w:kern w:val="0"/>
          <w:szCs w:val="21"/>
        </w:rPr>
        <w:t>（1）上传到政府采购云平台的电子投标文件（含资格证明文件、商务技术文件、报价文件）1份</w:t>
      </w:r>
      <w:r>
        <w:rPr>
          <w:rFonts w:hint="eastAsia"/>
          <w:kern w:val="0"/>
          <w:szCs w:val="21"/>
        </w:rPr>
        <w:t>；</w:t>
      </w:r>
    </w:p>
    <w:p>
      <w:pPr>
        <w:pageBreakBefore w:val="0"/>
        <w:kinsoku/>
        <w:wordWrap/>
        <w:overflowPunct/>
        <w:topLinePunct w:val="0"/>
        <w:autoSpaceDE/>
        <w:autoSpaceDN/>
        <w:bidi w:val="0"/>
        <w:spacing w:line="400" w:lineRule="exact"/>
        <w:ind w:firstLine="420" w:firstLineChars="200"/>
        <w:textAlignment w:val="auto"/>
        <w:rPr>
          <w:kern w:val="0"/>
          <w:szCs w:val="21"/>
        </w:rPr>
      </w:pPr>
      <w:r>
        <w:rPr>
          <w:kern w:val="0"/>
          <w:szCs w:val="21"/>
        </w:rPr>
        <w:t>（2）以U盘存储的电子备份投标文件（含资格证明文件、商务技术文件、报价文件）1份</w:t>
      </w:r>
      <w:r>
        <w:rPr>
          <w:rFonts w:hint="eastAsia"/>
          <w:b/>
          <w:bCs/>
          <w:kern w:val="0"/>
          <w:szCs w:val="21"/>
        </w:rPr>
        <w:t>（非强制项）</w:t>
      </w:r>
      <w:r>
        <w:rPr>
          <w:rFonts w:hint="eastAsia"/>
          <w:kern w:val="0"/>
          <w:szCs w:val="21"/>
        </w:rPr>
        <w:t>；</w:t>
      </w:r>
    </w:p>
    <w:p>
      <w:pPr>
        <w:pageBreakBefore w:val="0"/>
        <w:kinsoku/>
        <w:wordWrap/>
        <w:overflowPunct/>
        <w:topLinePunct w:val="0"/>
        <w:autoSpaceDE/>
        <w:autoSpaceDN/>
        <w:bidi w:val="0"/>
        <w:spacing w:line="400" w:lineRule="exact"/>
        <w:ind w:firstLine="420" w:firstLineChars="200"/>
        <w:textAlignment w:val="auto"/>
        <w:rPr>
          <w:kern w:val="0"/>
          <w:szCs w:val="21"/>
        </w:rPr>
      </w:pPr>
      <w:r>
        <w:rPr>
          <w:kern w:val="0"/>
          <w:szCs w:val="21"/>
        </w:rPr>
        <w:t>（3）</w:t>
      </w:r>
      <w:r>
        <w:rPr>
          <w:rFonts w:hint="eastAsia"/>
          <w:kern w:val="0"/>
          <w:szCs w:val="21"/>
        </w:rPr>
        <w:t>评标结束后，本项目的中标供应商仍需提供叁套与电子投标文件一致的纸质投标文件（一正二副），如不一致，以电子投标文件为准。</w:t>
      </w:r>
      <w:r>
        <w:rPr>
          <w:kern w:val="0"/>
          <w:szCs w:val="21"/>
        </w:rPr>
        <w:t xml:space="preserve"> </w:t>
      </w:r>
    </w:p>
    <w:p>
      <w:pPr>
        <w:pageBreakBefore w:val="0"/>
        <w:kinsoku/>
        <w:wordWrap/>
        <w:overflowPunct/>
        <w:topLinePunct w:val="0"/>
        <w:autoSpaceDE/>
        <w:autoSpaceDN/>
        <w:bidi w:val="0"/>
        <w:spacing w:line="400" w:lineRule="exact"/>
        <w:ind w:firstLine="422" w:firstLineChars="200"/>
        <w:textAlignment w:val="auto"/>
        <w:rPr>
          <w:b/>
          <w:bCs/>
          <w:kern w:val="0"/>
          <w:szCs w:val="21"/>
        </w:rPr>
      </w:pPr>
      <w:r>
        <w:rPr>
          <w:rFonts w:hint="eastAsia"/>
          <w:b/>
          <w:bCs/>
          <w:kern w:val="0"/>
          <w:szCs w:val="21"/>
        </w:rPr>
        <w:t>3.</w:t>
      </w:r>
      <w:r>
        <w:rPr>
          <w:b/>
          <w:bCs/>
          <w:kern w:val="0"/>
          <w:szCs w:val="21"/>
        </w:rPr>
        <w:t>电子投标文件：</w:t>
      </w:r>
    </w:p>
    <w:p>
      <w:pPr>
        <w:pageBreakBefore w:val="0"/>
        <w:kinsoku/>
        <w:wordWrap/>
        <w:overflowPunct/>
        <w:topLinePunct w:val="0"/>
        <w:autoSpaceDE/>
        <w:autoSpaceDN/>
        <w:bidi w:val="0"/>
        <w:spacing w:line="400" w:lineRule="exact"/>
        <w:ind w:firstLine="420" w:firstLineChars="200"/>
        <w:textAlignment w:val="auto"/>
        <w:rPr>
          <w:kern w:val="0"/>
          <w:szCs w:val="21"/>
        </w:rPr>
      </w:pPr>
      <w:r>
        <w:rPr>
          <w:kern w:val="0"/>
          <w:szCs w:val="21"/>
        </w:rPr>
        <w:t>供应商应根据</w:t>
      </w:r>
      <w:r>
        <w:rPr>
          <w:szCs w:val="21"/>
        </w:rPr>
        <w:t>“政采云供应商项目采购-电子招投标操作指南”</w:t>
      </w:r>
      <w:r>
        <w:rPr>
          <w:kern w:val="0"/>
          <w:szCs w:val="21"/>
        </w:rPr>
        <w:t>及本采购文件规定的格式和顺序编制电子投标文件并进行关联定位。</w:t>
      </w:r>
    </w:p>
    <w:p>
      <w:pPr>
        <w:pageBreakBefore w:val="0"/>
        <w:kinsoku/>
        <w:wordWrap/>
        <w:overflowPunct/>
        <w:topLinePunct w:val="0"/>
        <w:autoSpaceDE/>
        <w:autoSpaceDN/>
        <w:bidi w:val="0"/>
        <w:spacing w:line="400" w:lineRule="exact"/>
        <w:ind w:firstLine="420" w:firstLineChars="200"/>
        <w:textAlignment w:val="auto"/>
        <w:rPr>
          <w:kern w:val="0"/>
          <w:szCs w:val="21"/>
        </w:rPr>
      </w:pPr>
      <w:r>
        <w:rPr>
          <w:rFonts w:hint="eastAsia"/>
          <w:kern w:val="0"/>
          <w:szCs w:val="21"/>
        </w:rPr>
        <w:t>4.</w:t>
      </w:r>
      <w:r>
        <w:rPr>
          <w:kern w:val="0"/>
          <w:szCs w:val="21"/>
        </w:rPr>
        <w:t>投标文件的效力：</w:t>
      </w:r>
    </w:p>
    <w:p>
      <w:pPr>
        <w:pageBreakBefore w:val="0"/>
        <w:kinsoku/>
        <w:wordWrap/>
        <w:overflowPunct/>
        <w:topLinePunct w:val="0"/>
        <w:autoSpaceDE/>
        <w:autoSpaceDN/>
        <w:bidi w:val="0"/>
        <w:spacing w:line="400" w:lineRule="exact"/>
        <w:ind w:firstLine="420" w:firstLineChars="200"/>
        <w:textAlignment w:val="auto"/>
        <w:rPr>
          <w:kern w:val="0"/>
          <w:szCs w:val="21"/>
        </w:rPr>
      </w:pPr>
      <w:r>
        <w:rPr>
          <w:kern w:val="0"/>
          <w:szCs w:val="21"/>
        </w:rPr>
        <w:t>投标文件的启用，按先后顺位分别为“电子加密投标文件”→“电子备份投标文件”。在下一顺位的投标文件启用时，前一顺位的投标文件自动失效。</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85" w:name="_Toc934"/>
      <w:bookmarkStart w:id="186" w:name="_Toc460857919"/>
      <w:bookmarkStart w:id="187" w:name="_Toc2089"/>
      <w:bookmarkStart w:id="188" w:name="_Toc17707933"/>
      <w:bookmarkStart w:id="189" w:name="_Toc79395460"/>
      <w:r>
        <w:rPr>
          <w:kern w:val="2"/>
          <w:sz w:val="21"/>
          <w:szCs w:val="21"/>
        </w:rPr>
        <w:t>（</w:t>
      </w:r>
      <w:r>
        <w:rPr>
          <w:rFonts w:hint="eastAsia"/>
          <w:kern w:val="2"/>
          <w:sz w:val="21"/>
          <w:szCs w:val="21"/>
          <w:lang w:eastAsia="zh-CN"/>
        </w:rPr>
        <w:t>六</w:t>
      </w:r>
      <w:r>
        <w:rPr>
          <w:kern w:val="2"/>
          <w:sz w:val="21"/>
          <w:szCs w:val="21"/>
        </w:rPr>
        <w:t>）投标文件的包装、递交、修改和撤回</w:t>
      </w:r>
      <w:bookmarkEnd w:id="185"/>
      <w:bookmarkEnd w:id="186"/>
      <w:bookmarkEnd w:id="187"/>
      <w:bookmarkEnd w:id="188"/>
      <w:bookmarkEnd w:id="189"/>
    </w:p>
    <w:p>
      <w:pPr>
        <w:pageBreakBefore w:val="0"/>
        <w:kinsoku/>
        <w:wordWrap/>
        <w:overflowPunct/>
        <w:topLinePunct w:val="0"/>
        <w:autoSpaceDE/>
        <w:autoSpaceDN/>
        <w:bidi w:val="0"/>
        <w:snapToGrid w:val="0"/>
        <w:spacing w:line="400" w:lineRule="exact"/>
        <w:ind w:firstLine="420"/>
        <w:jc w:val="left"/>
        <w:textAlignment w:val="auto"/>
        <w:rPr>
          <w:kern w:val="0"/>
          <w:szCs w:val="21"/>
        </w:rPr>
      </w:pPr>
      <w:r>
        <w:rPr>
          <w:kern w:val="0"/>
          <w:szCs w:val="21"/>
        </w:rPr>
        <w:t>1</w:t>
      </w:r>
      <w:r>
        <w:rPr>
          <w:rFonts w:hint="eastAsia"/>
          <w:kern w:val="0"/>
          <w:szCs w:val="21"/>
        </w:rPr>
        <w:t>.</w:t>
      </w:r>
      <w:r>
        <w:rPr>
          <w:kern w:val="0"/>
          <w:szCs w:val="21"/>
        </w:rPr>
        <w:t>以U盘存储的电子备份投标文件用封袋密封后递交。</w:t>
      </w:r>
    </w:p>
    <w:p>
      <w:pPr>
        <w:pageBreakBefore w:val="0"/>
        <w:kinsoku/>
        <w:wordWrap/>
        <w:overflowPunct/>
        <w:topLinePunct w:val="0"/>
        <w:autoSpaceDE/>
        <w:autoSpaceDN/>
        <w:bidi w:val="0"/>
        <w:snapToGrid w:val="0"/>
        <w:spacing w:line="400" w:lineRule="exact"/>
        <w:ind w:firstLine="420"/>
        <w:jc w:val="left"/>
        <w:textAlignment w:val="auto"/>
        <w:rPr>
          <w:kern w:val="0"/>
          <w:szCs w:val="21"/>
        </w:rPr>
      </w:pPr>
      <w:r>
        <w:rPr>
          <w:kern w:val="0"/>
          <w:szCs w:val="21"/>
        </w:rPr>
        <w:t>2</w:t>
      </w:r>
      <w:r>
        <w:rPr>
          <w:rFonts w:hint="eastAsia"/>
          <w:kern w:val="0"/>
          <w:szCs w:val="21"/>
        </w:rPr>
        <w:t>.</w:t>
      </w:r>
      <w:r>
        <w:rPr>
          <w:kern w:val="0"/>
          <w:szCs w:val="21"/>
        </w:rPr>
        <w:t>投标文件的包装封面上应注明供应商名称、供应商地址、投标文件名称</w:t>
      </w:r>
      <w:r>
        <w:rPr>
          <w:rFonts w:hint="eastAsia"/>
          <w:kern w:val="0"/>
          <w:szCs w:val="21"/>
        </w:rPr>
        <w:t>（</w:t>
      </w:r>
      <w:r>
        <w:rPr>
          <w:kern w:val="0"/>
          <w:szCs w:val="21"/>
        </w:rPr>
        <w:t>电子备份投标文件</w:t>
      </w:r>
      <w:r>
        <w:rPr>
          <w:rFonts w:hint="eastAsia"/>
          <w:kern w:val="0"/>
          <w:szCs w:val="21"/>
        </w:rPr>
        <w:t>）</w:t>
      </w:r>
      <w:r>
        <w:rPr>
          <w:kern w:val="0"/>
          <w:szCs w:val="21"/>
        </w:rPr>
        <w:t>、投标项目名称、项目编号、子包号，并加盖供应商公章。</w:t>
      </w:r>
    </w:p>
    <w:p>
      <w:pPr>
        <w:pageBreakBefore w:val="0"/>
        <w:kinsoku/>
        <w:wordWrap/>
        <w:overflowPunct/>
        <w:topLinePunct w:val="0"/>
        <w:autoSpaceDE/>
        <w:autoSpaceDN/>
        <w:bidi w:val="0"/>
        <w:snapToGrid w:val="0"/>
        <w:spacing w:line="400" w:lineRule="exact"/>
        <w:ind w:firstLine="420"/>
        <w:jc w:val="left"/>
        <w:textAlignment w:val="auto"/>
        <w:rPr>
          <w:kern w:val="0"/>
          <w:szCs w:val="21"/>
        </w:rPr>
      </w:pPr>
      <w:r>
        <w:rPr>
          <w:rFonts w:hint="eastAsia"/>
          <w:kern w:val="0"/>
          <w:szCs w:val="21"/>
        </w:rPr>
        <w:t>3.</w:t>
      </w:r>
      <w:r>
        <w:rPr>
          <w:kern w:val="0"/>
          <w:szCs w:val="21"/>
        </w:rPr>
        <w:t>未按规定密封或标记的投标文件将被拒绝，由此造成投标文件被误投或提前拆封的风险由供应商承担。</w:t>
      </w:r>
    </w:p>
    <w:p>
      <w:pPr>
        <w:pageBreakBefore w:val="0"/>
        <w:kinsoku/>
        <w:wordWrap/>
        <w:overflowPunct/>
        <w:topLinePunct w:val="0"/>
        <w:autoSpaceDE/>
        <w:autoSpaceDN/>
        <w:bidi w:val="0"/>
        <w:snapToGrid w:val="0"/>
        <w:spacing w:line="400" w:lineRule="exact"/>
        <w:ind w:firstLine="420"/>
        <w:jc w:val="left"/>
        <w:textAlignment w:val="auto"/>
        <w:rPr>
          <w:kern w:val="0"/>
          <w:szCs w:val="21"/>
        </w:rPr>
      </w:pPr>
      <w:r>
        <w:rPr>
          <w:rFonts w:hint="eastAsia"/>
          <w:kern w:val="0"/>
          <w:szCs w:val="21"/>
        </w:rPr>
        <w:t>4.</w:t>
      </w:r>
      <w:r>
        <w:rPr>
          <w:kern w:val="0"/>
          <w:szCs w:val="21"/>
        </w:rPr>
        <w:t>供应商在投标截止时间之前，可以对已提交的电子备份投标文件进行修改或撤回，并书面通知招标采购单位</w:t>
      </w:r>
      <w:r>
        <w:rPr>
          <w:rFonts w:hint="eastAsia"/>
          <w:kern w:val="0"/>
          <w:szCs w:val="21"/>
        </w:rPr>
        <w:t>。</w:t>
      </w:r>
      <w:r>
        <w:rPr>
          <w:kern w:val="0"/>
          <w:szCs w:val="21"/>
        </w:rPr>
        <w:t>投标截止时间后，供应商不得撤回、修改投标文件。修改后重新递交的电子备份投标文件应当按本采购文件的要求签署、盖章和密封。</w:t>
      </w:r>
    </w:p>
    <w:p>
      <w:pPr>
        <w:pageBreakBefore w:val="0"/>
        <w:kinsoku/>
        <w:wordWrap/>
        <w:overflowPunct/>
        <w:topLinePunct w:val="0"/>
        <w:autoSpaceDE/>
        <w:autoSpaceDN/>
        <w:bidi w:val="0"/>
        <w:snapToGrid w:val="0"/>
        <w:spacing w:line="400" w:lineRule="exact"/>
        <w:ind w:firstLine="420"/>
        <w:jc w:val="left"/>
        <w:textAlignment w:val="auto"/>
        <w:rPr>
          <w:kern w:val="0"/>
          <w:szCs w:val="21"/>
        </w:rPr>
      </w:pPr>
      <w:r>
        <w:rPr>
          <w:rFonts w:hint="eastAsia"/>
          <w:kern w:val="0"/>
          <w:szCs w:val="21"/>
        </w:rPr>
        <w:t>5.</w:t>
      </w:r>
      <w:r>
        <w:rPr>
          <w:kern w:val="0"/>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7"/>
        <w:pageBreakBefore w:val="0"/>
        <w:numPr>
          <w:ilvl w:val="0"/>
          <w:numId w:val="0"/>
        </w:numPr>
        <w:kinsoku/>
        <w:wordWrap/>
        <w:overflowPunct/>
        <w:topLinePunct w:val="0"/>
        <w:autoSpaceDE/>
        <w:autoSpaceDN/>
        <w:bidi w:val="0"/>
        <w:spacing w:before="0" w:after="0" w:line="400" w:lineRule="exact"/>
        <w:ind w:firstLine="422" w:firstLineChars="200"/>
        <w:textAlignment w:val="auto"/>
        <w:rPr>
          <w:kern w:val="2"/>
          <w:sz w:val="21"/>
          <w:szCs w:val="21"/>
        </w:rPr>
      </w:pPr>
      <w:bookmarkStart w:id="190" w:name="_Toc79395461"/>
      <w:bookmarkStart w:id="191" w:name="_Toc17707934"/>
      <w:bookmarkStart w:id="192" w:name="_Toc460857920"/>
      <w:bookmarkStart w:id="193" w:name="_Toc2821"/>
      <w:bookmarkStart w:id="194" w:name="_Toc460416661"/>
      <w:bookmarkStart w:id="195" w:name="_Toc460416356"/>
      <w:bookmarkStart w:id="196" w:name="_Toc7109"/>
      <w:r>
        <w:rPr>
          <w:kern w:val="2"/>
          <w:sz w:val="21"/>
          <w:szCs w:val="21"/>
        </w:rPr>
        <w:t>（</w:t>
      </w:r>
      <w:r>
        <w:rPr>
          <w:rFonts w:hint="eastAsia"/>
          <w:kern w:val="2"/>
          <w:sz w:val="21"/>
          <w:szCs w:val="21"/>
          <w:lang w:eastAsia="zh-CN"/>
        </w:rPr>
        <w:t>七</w:t>
      </w:r>
      <w:r>
        <w:rPr>
          <w:kern w:val="2"/>
          <w:sz w:val="21"/>
          <w:szCs w:val="21"/>
        </w:rPr>
        <w:t>）投标无效的情形</w:t>
      </w:r>
      <w:bookmarkEnd w:id="190"/>
      <w:bookmarkEnd w:id="191"/>
      <w:bookmarkEnd w:id="192"/>
      <w:bookmarkEnd w:id="193"/>
      <w:bookmarkEnd w:id="194"/>
      <w:bookmarkEnd w:id="195"/>
      <w:bookmarkEnd w:id="196"/>
    </w:p>
    <w:p>
      <w:pPr>
        <w:pageBreakBefore w:val="0"/>
        <w:kinsoku/>
        <w:wordWrap/>
        <w:overflowPunct/>
        <w:topLinePunct w:val="0"/>
        <w:autoSpaceDE/>
        <w:autoSpaceDN/>
        <w:bidi w:val="0"/>
        <w:snapToGrid w:val="0"/>
        <w:spacing w:line="400" w:lineRule="exact"/>
        <w:ind w:firstLine="420" w:firstLineChars="200"/>
        <w:textAlignment w:val="auto"/>
        <w:rPr>
          <w:bCs/>
          <w:szCs w:val="21"/>
        </w:rPr>
      </w:pPr>
      <w:r>
        <w:rPr>
          <w:bCs/>
          <w:szCs w:val="21"/>
        </w:rPr>
        <w:t>实质上没有响应采购文件要求的投标将被视为无效投标</w:t>
      </w:r>
      <w:r>
        <w:rPr>
          <w:rFonts w:hint="eastAsia"/>
          <w:bCs/>
          <w:szCs w:val="21"/>
        </w:rPr>
        <w:t>，</w:t>
      </w:r>
      <w:r>
        <w:rPr>
          <w:bCs/>
          <w:szCs w:val="21"/>
        </w:rPr>
        <w:t>投标人不得通过修正或</w:t>
      </w:r>
      <w:r>
        <w:rPr>
          <w:rFonts w:hint="eastAsia"/>
          <w:bCs/>
          <w:szCs w:val="21"/>
        </w:rPr>
        <w:t>撤销</w:t>
      </w:r>
      <w:r>
        <w:rPr>
          <w:bCs/>
          <w:szCs w:val="21"/>
        </w:rPr>
        <w:t>不合要求的偏离或保留从而使其投标成为实质上响应的投标。投标无效情形详见第四章《评标办法及评分标准》。</w:t>
      </w:r>
    </w:p>
    <w:p>
      <w:pPr>
        <w:pStyle w:val="6"/>
        <w:pageBreakBefore w:val="0"/>
        <w:numPr>
          <w:ilvl w:val="0"/>
          <w:numId w:val="0"/>
        </w:numPr>
        <w:tabs>
          <w:tab w:val="clear" w:pos="576"/>
        </w:tabs>
        <w:kinsoku/>
        <w:wordWrap/>
        <w:overflowPunct/>
        <w:topLinePunct w:val="0"/>
        <w:autoSpaceDE/>
        <w:autoSpaceDN/>
        <w:bidi w:val="0"/>
        <w:spacing w:before="0" w:after="0" w:line="400" w:lineRule="exact"/>
        <w:ind w:firstLine="422" w:firstLineChars="200"/>
        <w:jc w:val="left"/>
        <w:textAlignment w:val="auto"/>
        <w:rPr>
          <w:rFonts w:ascii="Times New Roman" w:hAnsi="Times New Roman" w:eastAsia="宋体"/>
          <w:sz w:val="21"/>
          <w:szCs w:val="21"/>
        </w:rPr>
      </w:pPr>
      <w:bookmarkStart w:id="197" w:name="_Toc31202"/>
      <w:bookmarkStart w:id="198" w:name="_Toc27233"/>
      <w:bookmarkStart w:id="199" w:name="_Toc460857937"/>
      <w:bookmarkStart w:id="200" w:name="_Toc14989"/>
      <w:bookmarkStart w:id="201" w:name="_Toc79395474"/>
      <w:bookmarkStart w:id="202" w:name="_Toc3589"/>
      <w:bookmarkStart w:id="203" w:name="_Toc17707951"/>
      <w:r>
        <w:rPr>
          <w:rFonts w:hint="eastAsia" w:ascii="Times New Roman" w:hAnsi="Times New Roman" w:eastAsia="宋体"/>
          <w:sz w:val="21"/>
          <w:szCs w:val="21"/>
          <w:lang w:eastAsia="zh-CN"/>
        </w:rPr>
        <w:t>（八）</w:t>
      </w:r>
      <w:r>
        <w:rPr>
          <w:rFonts w:ascii="Times New Roman" w:hAnsi="Times New Roman" w:eastAsia="宋体"/>
          <w:sz w:val="21"/>
          <w:szCs w:val="21"/>
        </w:rPr>
        <w:t>特别说明</w:t>
      </w:r>
      <w:bookmarkEnd w:id="197"/>
      <w:bookmarkEnd w:id="198"/>
      <w:bookmarkEnd w:id="199"/>
      <w:bookmarkEnd w:id="200"/>
      <w:bookmarkEnd w:id="201"/>
      <w:bookmarkEnd w:id="202"/>
      <w:bookmarkEnd w:id="203"/>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rFonts w:hint="eastAsia"/>
          <w:szCs w:val="21"/>
        </w:rPr>
        <w:t>1.</w:t>
      </w:r>
      <w:r>
        <w:rPr>
          <w:szCs w:val="21"/>
        </w:rPr>
        <w:t>本项目</w:t>
      </w:r>
      <w:r>
        <w:rPr>
          <w:szCs w:val="21"/>
          <w:u w:val="single"/>
        </w:rPr>
        <w:t xml:space="preserve"> 非 </w:t>
      </w:r>
      <w:r>
        <w:rPr>
          <w:szCs w:val="21"/>
        </w:rPr>
        <w:t>专门面向中小企业采购。</w:t>
      </w:r>
    </w:p>
    <w:p>
      <w:pPr>
        <w:pageBreakBefore w:val="0"/>
        <w:tabs>
          <w:tab w:val="left" w:pos="518"/>
        </w:tabs>
        <w:kinsoku/>
        <w:wordWrap/>
        <w:overflowPunct/>
        <w:topLinePunct w:val="0"/>
        <w:autoSpaceDE/>
        <w:autoSpaceDN/>
        <w:bidi w:val="0"/>
        <w:adjustRightInd w:val="0"/>
        <w:snapToGrid w:val="0"/>
        <w:spacing w:line="400" w:lineRule="exact"/>
        <w:ind w:firstLine="422" w:firstLineChars="200"/>
        <w:textAlignment w:val="auto"/>
        <w:rPr>
          <w:b/>
          <w:bCs/>
          <w:szCs w:val="21"/>
        </w:rPr>
      </w:pPr>
      <w:r>
        <w:rPr>
          <w:rFonts w:hint="eastAsia"/>
          <w:b/>
          <w:bCs/>
          <w:szCs w:val="21"/>
        </w:rPr>
        <w:t>2.</w:t>
      </w:r>
      <w:r>
        <w:rPr>
          <w:b/>
          <w:bCs/>
          <w:szCs w:val="21"/>
        </w:rPr>
        <w:t>本项目对应的中小企业划分标准所属行业：</w:t>
      </w:r>
      <w:r>
        <w:rPr>
          <w:rFonts w:hint="eastAsia"/>
          <w:b/>
          <w:bCs/>
          <w:szCs w:val="21"/>
          <w:u w:val="single"/>
        </w:rPr>
        <w:t>其他未列明行</w:t>
      </w:r>
      <w:r>
        <w:rPr>
          <w:b/>
          <w:bCs/>
          <w:szCs w:val="21"/>
          <w:u w:val="single"/>
        </w:rPr>
        <w:t>业</w:t>
      </w:r>
      <w:r>
        <w:rPr>
          <w:b/>
          <w:bCs/>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rFonts w:hint="eastAsia"/>
          <w:szCs w:val="21"/>
        </w:rPr>
        <w:t>3.</w:t>
      </w:r>
      <w:r>
        <w:rPr>
          <w:szCs w:val="21"/>
        </w:rPr>
        <w:t>中小企业是指中华人民共和国境内依法设立，依据国务院批准的中小企业划分标准确定的小型企业和微型企业，但与大企业的负责人为同一人，或者与大企业存在直接控股、管理关系的除外。</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szCs w:val="21"/>
        </w:rPr>
        <w:t>符合中小企业划分标准的个体工商户，在政府采购活动中视同中小企业。</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szCs w:val="21"/>
        </w:rPr>
        <w:t>国务院批准的中小企业划分标准：具体见工信部联企业[2011]300号。</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rFonts w:hint="eastAsia"/>
          <w:szCs w:val="21"/>
        </w:rPr>
        <w:t>4.</w:t>
      </w:r>
      <w:r>
        <w:rPr>
          <w:szCs w:val="21"/>
        </w:rPr>
        <w:t>在政府采购活动中，供应商提供的货物、工程或者服务符合下列情形的，可享受小型、微型企业（以下简称小微企业）的价格扣除：</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szCs w:val="21"/>
        </w:rPr>
        <w:t>（1）在货物采购项目中，货物由小微企业制造，即货物由小微企业生产且使用该小微企业商号或者注册商标</w:t>
      </w:r>
      <w:r>
        <w:rPr>
          <w:rFonts w:hint="eastAsia"/>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szCs w:val="21"/>
        </w:rPr>
        <w:t>（2）在工程采购项目中，工程由小微企业承建，即工程施工单位为小微企业</w:t>
      </w:r>
      <w:r>
        <w:rPr>
          <w:rFonts w:hint="eastAsia"/>
          <w:szCs w:val="21"/>
        </w:rPr>
        <w:t>；</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szCs w:val="21"/>
        </w:rPr>
        <w:t>（3）在服务采购项目中，服务由小微企业承接，即提供服务的人员为小微企业依照《中华人民共和国劳动合同法》订立劳动合同的从业人员。</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szCs w:val="21"/>
        </w:rPr>
        <w:t>以联合体形式参加政府采购活动，联合体各方均为小微企业的，联合体视同小微企业。</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rFonts w:hint="eastAsia"/>
          <w:szCs w:val="21"/>
        </w:rPr>
        <w:t>5.</w:t>
      </w:r>
      <w:r>
        <w:rPr>
          <w:szCs w:val="21"/>
        </w:rPr>
        <w:t>在货物采购项目中，供应商提供的货物既有中小企业制造货物，也有大型企业制造货物的，不享受的小微企业价格扣除。</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rFonts w:hint="eastAsia"/>
          <w:szCs w:val="21"/>
        </w:rPr>
        <w:t>6.</w:t>
      </w:r>
      <w:r>
        <w:rPr>
          <w:szCs w:val="21"/>
        </w:rPr>
        <w:t xml:space="preserve">对于非专门面向中小企业采购的采购项目，小微企业报价给予 </w:t>
      </w:r>
      <w:r>
        <w:rPr>
          <w:rFonts w:hint="eastAsia"/>
          <w:szCs w:val="21"/>
        </w:rPr>
        <w:t>20</w:t>
      </w:r>
      <w:r>
        <w:rPr>
          <w:szCs w:val="21"/>
        </w:rPr>
        <w:t>%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可给予联合体</w:t>
      </w:r>
      <w:r>
        <w:rPr>
          <w:rFonts w:hint="eastAsia"/>
          <w:szCs w:val="21"/>
        </w:rPr>
        <w:t>6</w:t>
      </w:r>
      <w:r>
        <w:rPr>
          <w:szCs w:val="21"/>
        </w:rPr>
        <w:t>％的价格扣除，用扣除后的价格参与评审。组成联合体或者接受分包的小微企业与联合体内其他企业、分包企业之间存在直接控股、管理关系的，不享受价格扣除优惠政策。</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rFonts w:hint="eastAsia"/>
          <w:szCs w:val="21"/>
        </w:rPr>
        <w:t>7.</w:t>
      </w:r>
      <w:r>
        <w:rPr>
          <w:szCs w:val="21"/>
        </w:rPr>
        <w:t>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szCs w:val="21"/>
        </w:rPr>
        <w:t>供应商提供声明函内容不实的，属于提供虚假材料谋取中标、成交，依照《中华人民共和国政府采购法》等国家有关规定追究相应责任。</w:t>
      </w:r>
    </w:p>
    <w:p>
      <w:pPr>
        <w:pageBreakBefore w:val="0"/>
        <w:tabs>
          <w:tab w:val="left" w:pos="518"/>
        </w:tabs>
        <w:kinsoku/>
        <w:wordWrap/>
        <w:overflowPunct/>
        <w:topLinePunct w:val="0"/>
        <w:autoSpaceDE/>
        <w:autoSpaceDN/>
        <w:bidi w:val="0"/>
        <w:adjustRightInd w:val="0"/>
        <w:snapToGrid w:val="0"/>
        <w:spacing w:line="400" w:lineRule="exact"/>
        <w:ind w:firstLine="420" w:firstLineChars="200"/>
        <w:textAlignment w:val="auto"/>
        <w:rPr>
          <w:szCs w:val="21"/>
        </w:rPr>
      </w:pPr>
      <w:r>
        <w:rPr>
          <w:rFonts w:hint="eastAsia"/>
          <w:szCs w:val="21"/>
        </w:rPr>
        <w:t>8.</w:t>
      </w:r>
      <w:r>
        <w:rPr>
          <w:szCs w:val="21"/>
        </w:rPr>
        <w:t>按规定享受扶持政策获得政府采购合同的，小微企业不得将合同分包给大中型企业，中型企业不得将合同分包给大型企业。</w:t>
      </w:r>
    </w:p>
    <w:p>
      <w:pPr>
        <w:pageBreakBefore w:val="0"/>
        <w:kinsoku/>
        <w:wordWrap/>
        <w:overflowPunct/>
        <w:topLinePunct w:val="0"/>
        <w:autoSpaceDE/>
        <w:autoSpaceDN/>
        <w:bidi w:val="0"/>
        <w:spacing w:line="400" w:lineRule="exact"/>
        <w:ind w:firstLine="420" w:firstLineChars="200"/>
        <w:textAlignment w:val="auto"/>
        <w:rPr>
          <w:szCs w:val="21"/>
        </w:rPr>
      </w:pPr>
      <w:r>
        <w:rPr>
          <w:rFonts w:hint="eastAsia"/>
          <w:szCs w:val="21"/>
          <w:lang w:val="en-US" w:eastAsia="zh-CN"/>
        </w:rPr>
        <w:t>9.</w:t>
      </w:r>
      <w:r>
        <w:rPr>
          <w:szCs w:val="21"/>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ageBreakBefore w:val="0"/>
        <w:kinsoku/>
        <w:wordWrap/>
        <w:overflowPunct/>
        <w:topLinePunct w:val="0"/>
        <w:autoSpaceDE/>
        <w:autoSpaceDN/>
        <w:bidi w:val="0"/>
        <w:spacing w:line="400" w:lineRule="exact"/>
        <w:ind w:firstLine="420" w:firstLineChars="200"/>
        <w:textAlignment w:val="auto"/>
        <w:rPr>
          <w:szCs w:val="21"/>
        </w:rPr>
      </w:pPr>
      <w:r>
        <w:rPr>
          <w:rFonts w:hint="eastAsia"/>
          <w:szCs w:val="21"/>
          <w:lang w:val="en-US" w:eastAsia="zh-CN"/>
        </w:rPr>
        <w:t>10.</w:t>
      </w:r>
      <w:r>
        <w:rPr>
          <w:szCs w:val="21"/>
        </w:rPr>
        <w:t>根据《关于促进残疾人就业政府采购政策的通知》（财库[2017]141号）规定，在政府采购活动中，残疾人福利性单位视同小型、微型企业。残疾人福利性单位参加政府采购活动时，提供《残疾人福利性单位声明函》。</w:t>
      </w:r>
    </w:p>
    <w:p>
      <w:pPr>
        <w:pStyle w:val="5"/>
        <w:spacing w:before="0" w:after="0" w:line="360" w:lineRule="auto"/>
        <w:jc w:val="center"/>
        <w:rPr>
          <w:b w:val="0"/>
          <w:bCs w:val="0"/>
          <w:sz w:val="28"/>
          <w:szCs w:val="28"/>
        </w:rPr>
      </w:pPr>
      <w:bookmarkStart w:id="204" w:name="_Toc17707952"/>
      <w:bookmarkStart w:id="205" w:name="_Toc15374"/>
      <w:bookmarkStart w:id="206" w:name="_Toc2832"/>
      <w:bookmarkStart w:id="207" w:name="_Toc25321"/>
      <w:bookmarkStart w:id="208" w:name="_Toc79395475"/>
      <w:r>
        <w:rPr>
          <w:sz w:val="30"/>
        </w:rPr>
        <w:t xml:space="preserve">第四章  </w:t>
      </w:r>
      <w:bookmarkStart w:id="209" w:name="_Hlk22492252"/>
      <w:r>
        <w:rPr>
          <w:sz w:val="30"/>
        </w:rPr>
        <w:t>评标办法及评分标准</w:t>
      </w:r>
      <w:bookmarkEnd w:id="204"/>
      <w:bookmarkEnd w:id="205"/>
      <w:bookmarkEnd w:id="206"/>
      <w:bookmarkEnd w:id="207"/>
      <w:bookmarkEnd w:id="208"/>
      <w:bookmarkEnd w:id="209"/>
    </w:p>
    <w:p>
      <w:pPr>
        <w:pStyle w:val="29"/>
        <w:keepNext w:val="0"/>
        <w:keepLines w:val="0"/>
        <w:pageBreakBefore w:val="0"/>
        <w:kinsoku/>
        <w:wordWrap/>
        <w:overflowPunct/>
        <w:topLinePunct w:val="0"/>
        <w:autoSpaceDE/>
        <w:autoSpaceDN/>
        <w:bidi w:val="0"/>
        <w:adjustRightInd/>
        <w:spacing w:before="156" w:beforeLines="50" w:after="156" w:afterLines="50" w:line="400" w:lineRule="exact"/>
        <w:ind w:firstLine="413" w:firstLineChars="196"/>
        <w:jc w:val="left"/>
        <w:textAlignment w:val="auto"/>
        <w:rPr>
          <w:rFonts w:ascii="Times New Roman" w:hAnsi="Times New Roman"/>
          <w:sz w:val="21"/>
          <w:szCs w:val="21"/>
        </w:rPr>
      </w:pPr>
      <w:bookmarkStart w:id="210" w:name="_Toc481567075"/>
      <w:bookmarkStart w:id="211" w:name="_Toc495957613"/>
      <w:bookmarkStart w:id="212" w:name="_Toc493058315"/>
      <w:bookmarkStart w:id="213" w:name="_Toc2954"/>
      <w:bookmarkStart w:id="214" w:name="_Toc5227"/>
      <w:bookmarkStart w:id="215" w:name="_Toc27629"/>
      <w:bookmarkStart w:id="216" w:name="_Toc79395476"/>
      <w:bookmarkStart w:id="217" w:name="_Toc27451"/>
      <w:bookmarkStart w:id="218" w:name="_Toc17707953"/>
      <w:bookmarkStart w:id="219" w:name="_Toc51446753"/>
      <w:r>
        <w:rPr>
          <w:rFonts w:ascii="Times New Roman" w:hAnsi="Times New Roman"/>
          <w:sz w:val="21"/>
          <w:szCs w:val="21"/>
        </w:rPr>
        <w:t>一、</w:t>
      </w:r>
      <w:bookmarkEnd w:id="210"/>
      <w:bookmarkEnd w:id="211"/>
      <w:bookmarkEnd w:id="212"/>
      <w:r>
        <w:rPr>
          <w:rFonts w:ascii="Times New Roman" w:hAnsi="Times New Roman"/>
          <w:sz w:val="21"/>
          <w:szCs w:val="21"/>
        </w:rPr>
        <w:t>总则</w:t>
      </w:r>
      <w:bookmarkEnd w:id="213"/>
      <w:bookmarkEnd w:id="214"/>
      <w:bookmarkEnd w:id="215"/>
      <w:bookmarkEnd w:id="216"/>
      <w:bookmarkEnd w:id="217"/>
      <w:bookmarkEnd w:id="218"/>
      <w:bookmarkEnd w:id="219"/>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bookmarkStart w:id="220" w:name="_Toc493058316"/>
      <w:bookmarkStart w:id="221" w:name="_Toc495957614"/>
      <w:bookmarkStart w:id="222" w:name="_Toc259108326"/>
      <w:bookmarkStart w:id="223" w:name="_Toc249866769"/>
      <w:r>
        <w:rPr>
          <w:szCs w:val="21"/>
        </w:rPr>
        <w:t>招标活动遵循公平、公正、科学、择优的原则依法进行，招标活动及当事人接受依法实施的监督。</w:t>
      </w:r>
    </w:p>
    <w:p>
      <w:pPr>
        <w:pStyle w:val="29"/>
        <w:keepNext w:val="0"/>
        <w:keepLines w:val="0"/>
        <w:pageBreakBefore w:val="0"/>
        <w:kinsoku/>
        <w:wordWrap/>
        <w:overflowPunct/>
        <w:topLinePunct w:val="0"/>
        <w:autoSpaceDE/>
        <w:autoSpaceDN/>
        <w:bidi w:val="0"/>
        <w:adjustRightInd/>
        <w:spacing w:before="156" w:beforeLines="50" w:after="156" w:afterLines="50" w:line="400" w:lineRule="exact"/>
        <w:ind w:firstLine="413" w:firstLineChars="196"/>
        <w:jc w:val="left"/>
        <w:textAlignment w:val="auto"/>
        <w:rPr>
          <w:rFonts w:ascii="Times New Roman" w:hAnsi="Times New Roman"/>
          <w:sz w:val="21"/>
          <w:szCs w:val="21"/>
        </w:rPr>
      </w:pPr>
      <w:bookmarkStart w:id="224" w:name="_Toc79395477"/>
      <w:bookmarkStart w:id="225" w:name="_Toc16265"/>
      <w:bookmarkStart w:id="226" w:name="_Toc17707954"/>
      <w:bookmarkStart w:id="227" w:name="_Toc8408"/>
      <w:bookmarkStart w:id="228" w:name="_Toc51446755"/>
      <w:bookmarkStart w:id="229" w:name="_Toc7113"/>
      <w:bookmarkStart w:id="230" w:name="_Toc8849"/>
      <w:r>
        <w:rPr>
          <w:rFonts w:ascii="Times New Roman" w:hAnsi="Times New Roman"/>
          <w:sz w:val="21"/>
          <w:szCs w:val="21"/>
        </w:rPr>
        <w:t>二、评标委员会</w:t>
      </w:r>
      <w:bookmarkEnd w:id="220"/>
      <w:bookmarkEnd w:id="221"/>
      <w:bookmarkEnd w:id="224"/>
      <w:bookmarkEnd w:id="225"/>
      <w:bookmarkEnd w:id="226"/>
      <w:bookmarkEnd w:id="227"/>
      <w:bookmarkEnd w:id="228"/>
      <w:bookmarkEnd w:id="229"/>
      <w:bookmarkEnd w:id="230"/>
    </w:p>
    <w:p>
      <w:pPr>
        <w:keepNext w:val="0"/>
        <w:keepLines w:val="0"/>
        <w:pageBreakBefore w:val="0"/>
        <w:kinsoku/>
        <w:wordWrap/>
        <w:overflowPunct/>
        <w:topLinePunct w:val="0"/>
        <w:autoSpaceDE/>
        <w:autoSpaceDN/>
        <w:bidi w:val="0"/>
        <w:adjustRightInd/>
        <w:spacing w:line="400" w:lineRule="exact"/>
        <w:ind w:firstLine="315" w:firstLineChars="150"/>
        <w:textAlignment w:val="auto"/>
        <w:rPr>
          <w:i/>
          <w:iCs/>
          <w:szCs w:val="21"/>
        </w:rPr>
      </w:pPr>
      <w:r>
        <w:rPr>
          <w:szCs w:val="21"/>
        </w:rPr>
        <w:t>（一）本次招标依法组建评标委员会。评标委员会由招标人代表和评审专家组成或全部由评审专家组成，评审专家从专家库随机抽取。</w:t>
      </w:r>
    </w:p>
    <w:p>
      <w:pPr>
        <w:keepNext w:val="0"/>
        <w:keepLines w:val="0"/>
        <w:pageBreakBefore w:val="0"/>
        <w:kinsoku/>
        <w:wordWrap/>
        <w:overflowPunct/>
        <w:topLinePunct w:val="0"/>
        <w:autoSpaceDE/>
        <w:autoSpaceDN/>
        <w:bidi w:val="0"/>
        <w:adjustRightInd/>
        <w:spacing w:line="400" w:lineRule="exact"/>
        <w:ind w:firstLine="315" w:firstLineChars="150"/>
        <w:textAlignment w:val="auto"/>
        <w:rPr>
          <w:szCs w:val="21"/>
        </w:rPr>
      </w:pPr>
      <w:r>
        <w:rPr>
          <w:szCs w:val="21"/>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keepNext w:val="0"/>
        <w:keepLines w:val="0"/>
        <w:pageBreakBefore w:val="0"/>
        <w:kinsoku/>
        <w:wordWrap/>
        <w:overflowPunct/>
        <w:topLinePunct w:val="0"/>
        <w:autoSpaceDE/>
        <w:autoSpaceDN/>
        <w:bidi w:val="0"/>
        <w:adjustRightInd/>
        <w:spacing w:line="400" w:lineRule="exact"/>
        <w:ind w:firstLine="315" w:firstLineChars="150"/>
        <w:textAlignment w:val="auto"/>
        <w:rPr>
          <w:szCs w:val="21"/>
        </w:rPr>
      </w:pPr>
      <w:r>
        <w:rPr>
          <w:szCs w:val="21"/>
        </w:rPr>
        <w:t>（三）评审专家有下列情形之一的，</w:t>
      </w:r>
      <w:r>
        <w:rPr>
          <w:rFonts w:hint="eastAsia"/>
          <w:szCs w:val="21"/>
        </w:rPr>
        <w:t>收到</w:t>
      </w:r>
      <w:r>
        <w:rPr>
          <w:szCs w:val="21"/>
        </w:rPr>
        <w:t>邀请应主动提出回避，采购当事人也可以要求该评审专家回避：</w:t>
      </w:r>
    </w:p>
    <w:p>
      <w:pPr>
        <w:keepNext w:val="0"/>
        <w:keepLines w:val="0"/>
        <w:pageBreakBefore w:val="0"/>
        <w:kinsoku/>
        <w:wordWrap/>
        <w:overflowPunct/>
        <w:topLinePunct w:val="0"/>
        <w:autoSpaceDE/>
        <w:autoSpaceDN/>
        <w:bidi w:val="0"/>
        <w:adjustRightInd/>
        <w:spacing w:line="400" w:lineRule="exact"/>
        <w:ind w:firstLine="315" w:firstLineChars="150"/>
        <w:textAlignment w:val="auto"/>
        <w:rPr>
          <w:szCs w:val="21"/>
        </w:rPr>
      </w:pPr>
      <w:r>
        <w:rPr>
          <w:rFonts w:hint="eastAsia"/>
          <w:szCs w:val="21"/>
        </w:rPr>
        <w:t>1.参加采购活动前三年内，与供应商存在劳动关系，或者担任过供应商的董事、监事，或者是供应商的控股股东或实际控制人；</w:t>
      </w:r>
    </w:p>
    <w:p>
      <w:pPr>
        <w:keepNext w:val="0"/>
        <w:keepLines w:val="0"/>
        <w:pageBreakBefore w:val="0"/>
        <w:kinsoku/>
        <w:wordWrap/>
        <w:overflowPunct/>
        <w:topLinePunct w:val="0"/>
        <w:autoSpaceDE/>
        <w:autoSpaceDN/>
        <w:bidi w:val="0"/>
        <w:adjustRightInd/>
        <w:spacing w:line="400" w:lineRule="exact"/>
        <w:ind w:firstLine="315" w:firstLineChars="150"/>
        <w:textAlignment w:val="auto"/>
        <w:rPr>
          <w:szCs w:val="21"/>
        </w:rPr>
      </w:pPr>
      <w:r>
        <w:rPr>
          <w:rFonts w:hint="eastAsia"/>
          <w:szCs w:val="21"/>
        </w:rPr>
        <w:t>2.与供应商的法定代表人或者负责人有夫妻、直系血亲、三代以内旁系血亲或者近姻亲关系；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szCs w:val="21"/>
        </w:rPr>
      </w:pPr>
      <w:r>
        <w:rPr>
          <w:rFonts w:hint="eastAsia"/>
          <w:szCs w:val="21"/>
        </w:rPr>
        <w:t>3.</w:t>
      </w:r>
      <w:r>
        <w:rPr>
          <w:szCs w:val="21"/>
        </w:rPr>
        <w:t>曾经参加过该招标项目的进口产品的论证和咨询服务工作</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hint="eastAsia"/>
          <w:szCs w:val="21"/>
        </w:rPr>
      </w:pPr>
      <w:r>
        <w:rPr>
          <w:rFonts w:hint="eastAsia"/>
          <w:szCs w:val="21"/>
        </w:rPr>
        <w:t>4.与供应商有其他可能影响政府采购活动公平、公正进行的关系。</w:t>
      </w:r>
    </w:p>
    <w:p>
      <w:pPr>
        <w:bidi w:val="0"/>
        <w:ind w:firstLine="420" w:firstLineChars="200"/>
      </w:pPr>
      <w:r>
        <w:rPr>
          <w:rFonts w:hint="eastAsia"/>
        </w:rPr>
        <w:t>5.</w:t>
      </w:r>
      <w:r>
        <w:t>法律、法规、规章规定应当回避以及其他可能影响公正评审的。</w:t>
      </w:r>
    </w:p>
    <w:p>
      <w:pPr>
        <w:keepNext w:val="0"/>
        <w:keepLines w:val="0"/>
        <w:pageBreakBefore w:val="0"/>
        <w:widowControl w:val="0"/>
        <w:kinsoku/>
        <w:wordWrap/>
        <w:overflowPunct/>
        <w:topLinePunct w:val="0"/>
        <w:autoSpaceDE/>
        <w:autoSpaceDN/>
        <w:bidi w:val="0"/>
        <w:adjustRightInd/>
        <w:snapToGrid/>
        <w:spacing w:line="400" w:lineRule="exact"/>
        <w:ind w:firstLine="315" w:firstLineChars="150"/>
        <w:textAlignment w:val="auto"/>
        <w:rPr>
          <w:rFonts w:hint="eastAsia" w:asciiTheme="minorEastAsia" w:hAnsiTheme="minorEastAsia" w:eastAsiaTheme="minorEastAsia" w:cstheme="minorEastAsia"/>
          <w:szCs w:val="21"/>
        </w:rPr>
      </w:pPr>
      <w:r>
        <w:rPr>
          <w:szCs w:val="21"/>
        </w:rPr>
        <w:t>（四）评标委员会判断</w:t>
      </w:r>
      <w:r>
        <w:rPr>
          <w:rFonts w:hint="eastAsia" w:asciiTheme="minorEastAsia" w:hAnsiTheme="minorEastAsia" w:eastAsiaTheme="minorEastAsia" w:cstheme="minorEastAsia"/>
          <w:szCs w:val="21"/>
        </w:rPr>
        <w:t>投标文件的</w:t>
      </w:r>
      <w:r>
        <w:rPr>
          <w:rFonts w:hint="eastAsia" w:asciiTheme="minorEastAsia" w:hAnsiTheme="minorEastAsia" w:eastAsiaTheme="minorEastAsia" w:cstheme="minorEastAsia"/>
          <w:szCs w:val="21"/>
          <w:lang w:val="en-US" w:eastAsia="zh-CN"/>
        </w:rPr>
        <w:t>有效性</w:t>
      </w:r>
      <w:r>
        <w:rPr>
          <w:rFonts w:hint="eastAsia" w:asciiTheme="minorEastAsia" w:hAnsiTheme="minorEastAsia" w:eastAsiaTheme="minorEastAsia" w:cstheme="minorEastAsia"/>
          <w:szCs w:val="21"/>
        </w:rPr>
        <w:t>、合格性和响应情况，仅依据投标人所递交一切文件的真实表述，不授予本项目无直接关联的外部信息、传言而影响自身的专业判断。</w:t>
      </w:r>
    </w:p>
    <w:p>
      <w:pPr>
        <w:keepNext w:val="0"/>
        <w:keepLines w:val="0"/>
        <w:pageBreakBefore w:val="0"/>
        <w:kinsoku/>
        <w:wordWrap/>
        <w:overflowPunct/>
        <w:topLinePunct w:val="0"/>
        <w:autoSpaceDE/>
        <w:autoSpaceDN/>
        <w:bidi w:val="0"/>
        <w:adjustRightInd/>
        <w:spacing w:line="400" w:lineRule="exact"/>
        <w:ind w:firstLine="315" w:firstLineChars="15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29"/>
        <w:keepNext w:val="0"/>
        <w:keepLines w:val="0"/>
        <w:pageBreakBefore w:val="0"/>
        <w:kinsoku/>
        <w:wordWrap/>
        <w:overflowPunct/>
        <w:topLinePunct w:val="0"/>
        <w:autoSpaceDE/>
        <w:autoSpaceDN/>
        <w:bidi w:val="0"/>
        <w:adjustRightInd/>
        <w:spacing w:before="156" w:beforeLines="50" w:after="156" w:afterLines="50" w:line="400" w:lineRule="exact"/>
        <w:ind w:firstLine="413" w:firstLineChars="196"/>
        <w:jc w:val="left"/>
        <w:textAlignment w:val="auto"/>
        <w:rPr>
          <w:rFonts w:ascii="Times New Roman" w:hAnsi="Times New Roman"/>
          <w:sz w:val="21"/>
          <w:szCs w:val="21"/>
        </w:rPr>
      </w:pPr>
      <w:bookmarkStart w:id="231" w:name="_Toc495957615"/>
      <w:bookmarkStart w:id="232" w:name="_Toc23025"/>
      <w:bookmarkStart w:id="233" w:name="_Toc12895"/>
      <w:bookmarkStart w:id="234" w:name="_Toc17707956"/>
      <w:bookmarkStart w:id="235" w:name="_Toc493058317"/>
      <w:bookmarkStart w:id="236" w:name="_Toc22102"/>
      <w:bookmarkStart w:id="237" w:name="_Toc481567076"/>
      <w:bookmarkStart w:id="238" w:name="_Toc79395478"/>
      <w:bookmarkStart w:id="239" w:name="_Toc498"/>
      <w:bookmarkStart w:id="240" w:name="_Toc51446757"/>
      <w:r>
        <w:rPr>
          <w:rFonts w:ascii="Times New Roman" w:hAnsi="Times New Roman"/>
          <w:sz w:val="21"/>
          <w:szCs w:val="21"/>
        </w:rPr>
        <w:t>三、评标方法</w:t>
      </w:r>
      <w:bookmarkEnd w:id="231"/>
      <w:bookmarkEnd w:id="232"/>
      <w:bookmarkEnd w:id="233"/>
      <w:bookmarkEnd w:id="234"/>
      <w:bookmarkEnd w:id="235"/>
      <w:bookmarkEnd w:id="236"/>
      <w:bookmarkEnd w:id="237"/>
      <w:bookmarkEnd w:id="238"/>
      <w:bookmarkEnd w:id="239"/>
      <w:bookmarkEnd w:id="240"/>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（一）本次招标项目的评标方法为：综合评分法。</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（二）评分</w:t>
      </w:r>
      <w:r>
        <w:rPr>
          <w:rFonts w:hint="eastAsia"/>
          <w:szCs w:val="21"/>
        </w:rPr>
        <w:t>细则</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1</w:t>
      </w:r>
      <w:r>
        <w:rPr>
          <w:rFonts w:hint="eastAsia"/>
          <w:szCs w:val="21"/>
        </w:rPr>
        <w:t>.</w:t>
      </w:r>
      <w:r>
        <w:rPr>
          <w:szCs w:val="21"/>
        </w:rPr>
        <w:t>价格分采用低价优先法计算，即满足招标文件要求且参与评审价格最低为评标基准价，其价格分为满分。其他投标人的价格分按照下列公式计算：</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参与评审价格=投标价格-小微企业价格扣除优惠值</w:t>
      </w:r>
      <w:r>
        <w:rPr>
          <w:rFonts w:hint="eastAsia"/>
          <w:szCs w:val="21"/>
        </w:rPr>
        <w:t>20</w:t>
      </w:r>
      <w:r>
        <w:rPr>
          <w:szCs w:val="21"/>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价格分=（评标基准价/参与评审的价格）×价格权值×100</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2</w:t>
      </w:r>
      <w:r>
        <w:rPr>
          <w:rFonts w:hint="eastAsia"/>
          <w:szCs w:val="21"/>
        </w:rPr>
        <w:t>.</w:t>
      </w:r>
      <w:r>
        <w:rPr>
          <w:szCs w:val="21"/>
        </w:rPr>
        <w:t>合格投标人评标综合得分=价格分+商务技术分。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3</w:t>
      </w:r>
      <w:r>
        <w:rPr>
          <w:rFonts w:hint="eastAsia"/>
          <w:szCs w:val="21"/>
        </w:rPr>
        <w:t>.</w:t>
      </w:r>
      <w:r>
        <w:rPr>
          <w:szCs w:val="21"/>
        </w:rPr>
        <w:t>报价要求：本次招标设有预算价</w:t>
      </w:r>
      <w:r>
        <w:rPr>
          <w:rFonts w:hint="eastAsia"/>
          <w:szCs w:val="21"/>
        </w:rPr>
        <w:t>（</w:t>
      </w:r>
      <w:r>
        <w:rPr>
          <w:szCs w:val="21"/>
        </w:rPr>
        <w:t>或最高限价</w:t>
      </w:r>
      <w:r>
        <w:rPr>
          <w:rFonts w:hint="eastAsia"/>
          <w:szCs w:val="21"/>
        </w:rPr>
        <w:t>）</w:t>
      </w:r>
      <w:r>
        <w:rPr>
          <w:szCs w:val="21"/>
        </w:rPr>
        <w:t>，投标人报价超出预算价</w:t>
      </w:r>
      <w:r>
        <w:rPr>
          <w:rFonts w:hint="eastAsia"/>
          <w:szCs w:val="21"/>
        </w:rPr>
        <w:t>（</w:t>
      </w:r>
      <w:r>
        <w:rPr>
          <w:szCs w:val="21"/>
        </w:rPr>
        <w:t>或最高限价</w:t>
      </w:r>
      <w:r>
        <w:rPr>
          <w:rFonts w:hint="eastAsia"/>
          <w:szCs w:val="21"/>
        </w:rPr>
        <w:t>）</w:t>
      </w:r>
      <w:r>
        <w:rPr>
          <w:szCs w:val="21"/>
        </w:rPr>
        <w:t>的投标文件作无效处理。</w:t>
      </w:r>
    </w:p>
    <w:p>
      <w:pPr>
        <w:keepNext w:val="0"/>
        <w:keepLines w:val="0"/>
        <w:pageBreakBefore w:val="0"/>
        <w:kinsoku/>
        <w:wordWrap/>
        <w:overflowPunct/>
        <w:topLinePunct w:val="0"/>
        <w:autoSpaceDE/>
        <w:autoSpaceDN/>
        <w:bidi w:val="0"/>
        <w:adjustRightInd/>
        <w:spacing w:line="400" w:lineRule="exact"/>
        <w:ind w:firstLine="315" w:firstLineChars="150"/>
        <w:textAlignment w:val="auto"/>
        <w:rPr>
          <w:szCs w:val="21"/>
        </w:rPr>
      </w:pPr>
      <w:r>
        <w:rPr>
          <w:szCs w:val="21"/>
        </w:rPr>
        <w:t>（三）</w:t>
      </w:r>
      <w:bookmarkStart w:id="241" w:name="_Toc481567079"/>
      <w:r>
        <w:rPr>
          <w:szCs w:val="21"/>
        </w:rPr>
        <w:t>投标文件的澄清</w:t>
      </w:r>
      <w:bookmarkEnd w:id="241"/>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kern w:val="0"/>
          <w:szCs w:val="21"/>
        </w:rPr>
      </w:pPr>
      <w:r>
        <w:rPr>
          <w:szCs w:val="21"/>
        </w:rPr>
        <w:t>1</w:t>
      </w:r>
      <w:r>
        <w:rPr>
          <w:rFonts w:hint="eastAsia"/>
          <w:szCs w:val="21"/>
        </w:rPr>
        <w:t>.</w:t>
      </w:r>
      <w:r>
        <w:rPr>
          <w:kern w:val="0"/>
          <w:szCs w:val="21"/>
        </w:rPr>
        <w:t>对于投标文件中含义不明确、同类问题表述不一致或者有明显文字和计算错误的内容，评标委员会应当以书面形式要求投标人作出必要的澄清、说明或者补正。</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kern w:val="0"/>
          <w:szCs w:val="21"/>
        </w:rPr>
      </w:pPr>
      <w:r>
        <w:rPr>
          <w:szCs w:val="21"/>
        </w:rPr>
        <w:t>2</w:t>
      </w:r>
      <w:r>
        <w:rPr>
          <w:rFonts w:hint="eastAsia"/>
          <w:szCs w:val="21"/>
        </w:rPr>
        <w:t>.</w:t>
      </w:r>
      <w:r>
        <w:rPr>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（四）投标文件错误修正原则</w:t>
      </w:r>
    </w:p>
    <w:p>
      <w:pPr>
        <w:pStyle w:val="174"/>
        <w:keepNext w:val="0"/>
        <w:keepLines w:val="0"/>
        <w:pageBreakBefore w:val="0"/>
        <w:widowControl/>
        <w:kinsoku/>
        <w:wordWrap/>
        <w:overflowPunct/>
        <w:topLinePunct w:val="0"/>
        <w:autoSpaceDE/>
        <w:autoSpaceDN/>
        <w:bidi w:val="0"/>
        <w:adjustRightInd/>
        <w:spacing w:beforeLines="0" w:afterLines="0" w:line="400" w:lineRule="exact"/>
        <w:ind w:left="689" w:leftChars="228" w:hanging="210" w:hangingChars="100"/>
        <w:jc w:val="left"/>
        <w:textAlignment w:val="auto"/>
        <w:rPr>
          <w:rFonts w:ascii="Times New Roman" w:hAnsi="Times New Roman"/>
          <w:sz w:val="21"/>
          <w:szCs w:val="21"/>
        </w:rPr>
      </w:pPr>
      <w:r>
        <w:rPr>
          <w:rFonts w:ascii="Times New Roman" w:hAnsi="Times New Roman"/>
          <w:sz w:val="21"/>
          <w:szCs w:val="21"/>
        </w:rPr>
        <w:t>投标文件报价出现前后不一致的，除招标文件另有规定外，按照下列规定修正：</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szCs w:val="21"/>
        </w:rPr>
      </w:pPr>
      <w:r>
        <w:rPr>
          <w:rFonts w:hint="eastAsia"/>
          <w:szCs w:val="21"/>
        </w:rPr>
        <w:t>1.</w:t>
      </w:r>
      <w:r>
        <w:rPr>
          <w:szCs w:val="21"/>
        </w:rPr>
        <w:t>投标文件中开标一览表（报价表）内容与投标文件中相应内容不一致的，以开标一览表（报价表）为准</w:t>
      </w:r>
      <w:r>
        <w:rPr>
          <w:rFonts w:hint="eastAsia"/>
          <w:szCs w:val="21"/>
        </w:rPr>
        <w:t>。</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szCs w:val="21"/>
        </w:rPr>
      </w:pPr>
      <w:r>
        <w:rPr>
          <w:rFonts w:hint="eastAsia"/>
          <w:szCs w:val="21"/>
        </w:rPr>
        <w:t>2.</w:t>
      </w:r>
      <w:r>
        <w:rPr>
          <w:szCs w:val="21"/>
        </w:rPr>
        <w:t>大写金额和小写金额不一致的，以大写金额为准</w:t>
      </w:r>
      <w:r>
        <w:rPr>
          <w:rFonts w:hint="eastAsia"/>
          <w:szCs w:val="21"/>
        </w:rPr>
        <w:t>。</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szCs w:val="21"/>
        </w:rPr>
      </w:pPr>
      <w:r>
        <w:rPr>
          <w:rFonts w:hint="eastAsia"/>
          <w:szCs w:val="21"/>
        </w:rPr>
        <w:t>3.</w:t>
      </w:r>
      <w:r>
        <w:rPr>
          <w:szCs w:val="21"/>
        </w:rPr>
        <w:t>单价金额小数点或者百分比有明显错位的，以开标一览表的总价为准，并修改单价</w:t>
      </w:r>
      <w:r>
        <w:rPr>
          <w:rFonts w:hint="eastAsia"/>
          <w:szCs w:val="21"/>
        </w:rPr>
        <w:t>。</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szCs w:val="21"/>
        </w:rPr>
      </w:pPr>
      <w:r>
        <w:rPr>
          <w:rFonts w:hint="eastAsia"/>
          <w:szCs w:val="21"/>
        </w:rPr>
        <w:t>4.</w:t>
      </w:r>
      <w:r>
        <w:rPr>
          <w:szCs w:val="21"/>
        </w:rPr>
        <w:t>总价金额与按单价汇总金额不一致的，以单价金额计算结果为准</w:t>
      </w:r>
      <w:r>
        <w:rPr>
          <w:rFonts w:hint="eastAsia"/>
          <w:szCs w:val="21"/>
        </w:rPr>
        <w:t>。</w:t>
      </w:r>
    </w:p>
    <w:p>
      <w:pPr>
        <w:pStyle w:val="174"/>
        <w:keepNext w:val="0"/>
        <w:keepLines w:val="0"/>
        <w:pageBreakBefore w:val="0"/>
        <w:widowControl/>
        <w:kinsoku/>
        <w:wordWrap/>
        <w:overflowPunct/>
        <w:topLinePunct w:val="0"/>
        <w:autoSpaceDE/>
        <w:autoSpaceDN/>
        <w:bidi w:val="0"/>
        <w:adjustRightInd/>
        <w:spacing w:beforeLines="0" w:afterLines="0" w:line="400" w:lineRule="exact"/>
        <w:ind w:firstLine="422" w:firstLineChars="200"/>
        <w:jc w:val="left"/>
        <w:textAlignment w:val="auto"/>
        <w:rPr>
          <w:rFonts w:ascii="Times New Roman" w:hAnsi="Times New Roman"/>
          <w:sz w:val="21"/>
          <w:szCs w:val="21"/>
        </w:rPr>
      </w:pPr>
      <w:r>
        <w:rPr>
          <w:rFonts w:ascii="Times New Roman" w:hAnsi="Times New Roman"/>
          <w:b/>
          <w:bCs/>
          <w:sz w:val="21"/>
          <w:szCs w:val="21"/>
        </w:rPr>
        <w:t>同时出现两种以上不一致的，按照前款规定的顺序修正。修正后的报价经投标人确认后具有约束力，若投标人不确认的，则其投标无效。</w:t>
      </w:r>
    </w:p>
    <w:p>
      <w:pPr>
        <w:pStyle w:val="29"/>
        <w:keepNext w:val="0"/>
        <w:keepLines w:val="0"/>
        <w:pageBreakBefore w:val="0"/>
        <w:kinsoku/>
        <w:wordWrap/>
        <w:overflowPunct/>
        <w:topLinePunct w:val="0"/>
        <w:autoSpaceDE/>
        <w:autoSpaceDN/>
        <w:bidi w:val="0"/>
        <w:adjustRightInd/>
        <w:spacing w:before="156" w:beforeLines="50" w:after="156" w:afterLines="50" w:line="400" w:lineRule="exact"/>
        <w:ind w:firstLine="413" w:firstLineChars="196"/>
        <w:jc w:val="left"/>
        <w:textAlignment w:val="auto"/>
        <w:rPr>
          <w:rFonts w:ascii="Times New Roman" w:hAnsi="Times New Roman"/>
          <w:sz w:val="21"/>
          <w:szCs w:val="21"/>
        </w:rPr>
      </w:pPr>
      <w:bookmarkStart w:id="242" w:name="_Toc481567077"/>
      <w:bookmarkStart w:id="243" w:name="_Toc495957616"/>
      <w:bookmarkStart w:id="244" w:name="_Toc493058318"/>
      <w:bookmarkStart w:id="245" w:name="_Toc16487"/>
      <w:bookmarkStart w:id="246" w:name="_Toc51446758"/>
      <w:bookmarkStart w:id="247" w:name="_Toc14002"/>
      <w:bookmarkStart w:id="248" w:name="_Toc26483"/>
      <w:bookmarkStart w:id="249" w:name="_Toc17707957"/>
      <w:bookmarkStart w:id="250" w:name="_Toc79395479"/>
      <w:bookmarkStart w:id="251" w:name="_Toc25485"/>
      <w:r>
        <w:rPr>
          <w:rFonts w:ascii="Times New Roman" w:hAnsi="Times New Roman"/>
          <w:sz w:val="21"/>
          <w:szCs w:val="21"/>
        </w:rPr>
        <w:t>四、评标</w:t>
      </w:r>
      <w:bookmarkEnd w:id="222"/>
      <w:bookmarkEnd w:id="223"/>
      <w:bookmarkEnd w:id="242"/>
      <w:bookmarkEnd w:id="243"/>
      <w:bookmarkEnd w:id="244"/>
      <w:r>
        <w:rPr>
          <w:rFonts w:ascii="Times New Roman" w:hAnsi="Times New Roman"/>
          <w:sz w:val="21"/>
          <w:szCs w:val="21"/>
        </w:rPr>
        <w:t>过程</w:t>
      </w:r>
      <w:bookmarkEnd w:id="245"/>
      <w:bookmarkEnd w:id="246"/>
      <w:bookmarkEnd w:id="247"/>
      <w:bookmarkEnd w:id="248"/>
      <w:bookmarkEnd w:id="249"/>
      <w:bookmarkEnd w:id="250"/>
      <w:bookmarkEnd w:id="251"/>
    </w:p>
    <w:p>
      <w:pPr>
        <w:pStyle w:val="23"/>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imes New Roman" w:hAnsi="Times New Roman"/>
          <w:b w:val="0"/>
          <w:bCs w:val="0"/>
          <w:color w:val="auto"/>
          <w:sz w:val="21"/>
          <w:szCs w:val="21"/>
        </w:rPr>
      </w:pPr>
      <w:r>
        <w:rPr>
          <w:rFonts w:hint="eastAsia" w:ascii="Times New Roman" w:hAnsi="Times New Roman"/>
          <w:b w:val="0"/>
          <w:bCs w:val="0"/>
          <w:color w:val="auto"/>
          <w:sz w:val="21"/>
          <w:szCs w:val="21"/>
        </w:rPr>
        <w:t>（一）</w:t>
      </w:r>
      <w:r>
        <w:rPr>
          <w:rFonts w:ascii="Times New Roman" w:hAnsi="Times New Roman"/>
          <w:b w:val="0"/>
          <w:bCs w:val="0"/>
          <w:color w:val="auto"/>
          <w:sz w:val="21"/>
          <w:szCs w:val="21"/>
        </w:rPr>
        <w:t>资格审查</w:t>
      </w:r>
    </w:p>
    <w:p>
      <w:pPr>
        <w:pStyle w:val="23"/>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imes New Roman" w:hAnsi="Times New Roman"/>
          <w:b w:val="0"/>
          <w:bCs w:val="0"/>
          <w:color w:val="auto"/>
          <w:sz w:val="21"/>
          <w:szCs w:val="21"/>
        </w:rPr>
      </w:pPr>
      <w:r>
        <w:rPr>
          <w:rFonts w:ascii="Times New Roman" w:hAnsi="Times New Roman"/>
          <w:b w:val="0"/>
          <w:bCs w:val="0"/>
          <w:color w:val="auto"/>
          <w:sz w:val="21"/>
          <w:szCs w:val="21"/>
        </w:rPr>
        <w:t>采购代理机构对投标人的资格进行审查。依据法律法规和招标文件的规定，对投标文件中的资格证明进行审查，以确定投标人是否具备投标资格。</w:t>
      </w:r>
    </w:p>
    <w:tbl>
      <w:tblPr>
        <w:tblStyle w:val="40"/>
        <w:tblpPr w:leftFromText="180" w:rightFromText="180" w:vertAnchor="text" w:horzAnchor="page" w:tblpX="1624" w:tblpY="357"/>
        <w:tblOverlap w:val="never"/>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21"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r>
              <w:rPr>
                <w:szCs w:val="21"/>
              </w:rPr>
              <w:t>审查类别</w:t>
            </w:r>
          </w:p>
        </w:tc>
        <w:tc>
          <w:tcPr>
            <w:tcW w:w="7584"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r>
              <w:rPr>
                <w:szCs w:val="21"/>
              </w:rPr>
              <w:t>审查内容</w:t>
            </w:r>
            <w:r>
              <w:rPr>
                <w:rFonts w:hint="eastAsia"/>
                <w:szCs w:val="21"/>
              </w:rPr>
              <w:t>（详见资格条件自查表）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21" w:type="dxa"/>
            <w:vMerge w:val="restart"/>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r>
              <w:rPr>
                <w:szCs w:val="21"/>
              </w:rPr>
              <w:t>资格条件审查</w:t>
            </w:r>
          </w:p>
        </w:tc>
        <w:tc>
          <w:tcPr>
            <w:tcW w:w="7584" w:type="dxa"/>
            <w:vAlign w:val="center"/>
          </w:tcPr>
          <w:p>
            <w:pPr>
              <w:keepNext w:val="0"/>
              <w:keepLines w:val="0"/>
              <w:pageBreakBefore w:val="0"/>
              <w:kinsoku/>
              <w:wordWrap/>
              <w:overflowPunct/>
              <w:topLinePunct w:val="0"/>
              <w:autoSpaceDE/>
              <w:autoSpaceDN/>
              <w:bidi w:val="0"/>
              <w:adjustRightInd/>
              <w:spacing w:line="400" w:lineRule="exact"/>
              <w:jc w:val="left"/>
              <w:textAlignment w:val="auto"/>
              <w:rPr>
                <w:szCs w:val="21"/>
              </w:rPr>
            </w:pPr>
            <w:r>
              <w:rPr>
                <w:szCs w:val="21"/>
              </w:rPr>
              <w:t>（一）符合《中华人民共和国政府采购法》第二十二条规定的投标人资格条件</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1" w:type="dxa"/>
            <w:vMerge w:val="continue"/>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p>
        </w:tc>
        <w:tc>
          <w:tcPr>
            <w:tcW w:w="7584" w:type="dxa"/>
            <w:vAlign w:val="center"/>
          </w:tcPr>
          <w:p>
            <w:pPr>
              <w:keepNext w:val="0"/>
              <w:keepLines w:val="0"/>
              <w:pageBreakBefore w:val="0"/>
              <w:kinsoku/>
              <w:wordWrap/>
              <w:overflowPunct/>
              <w:topLinePunct w:val="0"/>
              <w:autoSpaceDE/>
              <w:autoSpaceDN/>
              <w:bidi w:val="0"/>
              <w:adjustRightInd/>
              <w:spacing w:line="400" w:lineRule="exact"/>
              <w:jc w:val="left"/>
              <w:textAlignment w:val="auto"/>
              <w:rPr>
                <w:szCs w:val="21"/>
              </w:rPr>
            </w:pPr>
            <w:r>
              <w:rPr>
                <w:szCs w:val="21"/>
              </w:rPr>
              <w:t>（二）单位负责人为同一人或者存在直接控股、管理关系的不同投标人，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521" w:type="dxa"/>
            <w:vMerge w:val="continue"/>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p>
        </w:tc>
        <w:tc>
          <w:tcPr>
            <w:tcW w:w="7584" w:type="dxa"/>
            <w:vAlign w:val="center"/>
          </w:tcPr>
          <w:p>
            <w:pPr>
              <w:keepNext w:val="0"/>
              <w:keepLines w:val="0"/>
              <w:pageBreakBefore w:val="0"/>
              <w:kinsoku/>
              <w:wordWrap/>
              <w:overflowPunct/>
              <w:topLinePunct w:val="0"/>
              <w:autoSpaceDE/>
              <w:autoSpaceDN/>
              <w:bidi w:val="0"/>
              <w:adjustRightInd/>
              <w:spacing w:line="400" w:lineRule="exact"/>
              <w:jc w:val="left"/>
              <w:textAlignment w:val="auto"/>
              <w:rPr>
                <w:szCs w:val="21"/>
              </w:rPr>
            </w:pPr>
            <w:r>
              <w:rPr>
                <w:szCs w:val="21"/>
              </w:rPr>
              <w:t>（三）投标人未被列入“信用中国”网站</w:t>
            </w:r>
            <w:r>
              <w:rPr>
                <w:rFonts w:hint="eastAsia"/>
                <w:szCs w:val="21"/>
              </w:rPr>
              <w:t>（</w:t>
            </w:r>
            <w:r>
              <w:rPr>
                <w:szCs w:val="21"/>
              </w:rPr>
              <w:t>www.creditchina.gov.cn</w:t>
            </w:r>
            <w:r>
              <w:rPr>
                <w:rFonts w:hint="eastAsia"/>
                <w:szCs w:val="21"/>
              </w:rPr>
              <w:t>）</w:t>
            </w:r>
            <w:r>
              <w:rPr>
                <w:szCs w:val="21"/>
              </w:rPr>
              <w:t>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p>
        </w:tc>
        <w:tc>
          <w:tcPr>
            <w:tcW w:w="7584" w:type="dxa"/>
            <w:vAlign w:val="center"/>
          </w:tcPr>
          <w:p>
            <w:pPr>
              <w:keepNext w:val="0"/>
              <w:keepLines w:val="0"/>
              <w:pageBreakBefore w:val="0"/>
              <w:kinsoku/>
              <w:wordWrap/>
              <w:overflowPunct/>
              <w:topLinePunct w:val="0"/>
              <w:autoSpaceDE/>
              <w:autoSpaceDN/>
              <w:bidi w:val="0"/>
              <w:adjustRightInd/>
              <w:spacing w:line="400" w:lineRule="exact"/>
              <w:jc w:val="left"/>
              <w:textAlignment w:val="auto"/>
              <w:rPr>
                <w:szCs w:val="21"/>
              </w:rPr>
            </w:pPr>
            <w:r>
              <w:rPr>
                <w:szCs w:val="21"/>
              </w:rPr>
              <w:t>（四）特定</w:t>
            </w:r>
            <w:r>
              <w:rPr>
                <w:color w:val="auto"/>
                <w:szCs w:val="21"/>
              </w:rPr>
              <w:t>的资格条件</w:t>
            </w:r>
            <w:r>
              <w:rPr>
                <w:rFonts w:hint="eastAsia"/>
                <w:color w:val="auto"/>
                <w:szCs w:val="21"/>
              </w:rPr>
              <w:t>：</w:t>
            </w:r>
            <w:r>
              <w:rPr>
                <w:rFonts w:hint="eastAsia" w:ascii="仿宋" w:hAnsi="仿宋" w:cs="宋体"/>
                <w:color w:val="auto"/>
                <w:kern w:val="0"/>
                <w:szCs w:val="21"/>
                <w:lang w:val="en-US" w:eastAsia="zh-CN"/>
              </w:rPr>
              <w:t>无</w:t>
            </w:r>
            <w:r>
              <w:rPr>
                <w:rFonts w:hint="eastAsia" w:ascii="仿宋" w:hAnsi="仿宋"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521" w:type="dxa"/>
            <w:vMerge w:val="continue"/>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p>
        </w:tc>
        <w:tc>
          <w:tcPr>
            <w:tcW w:w="7584" w:type="dxa"/>
            <w:vAlign w:val="center"/>
          </w:tcPr>
          <w:p>
            <w:pPr>
              <w:keepNext w:val="0"/>
              <w:keepLines w:val="0"/>
              <w:pageBreakBefore w:val="0"/>
              <w:kinsoku/>
              <w:wordWrap/>
              <w:overflowPunct/>
              <w:topLinePunct w:val="0"/>
              <w:autoSpaceDE/>
              <w:autoSpaceDN/>
              <w:bidi w:val="0"/>
              <w:adjustRightInd/>
              <w:spacing w:line="400" w:lineRule="exact"/>
              <w:jc w:val="left"/>
              <w:textAlignment w:val="auto"/>
              <w:rPr>
                <w:szCs w:val="21"/>
              </w:rPr>
            </w:pPr>
            <w:r>
              <w:rPr>
                <w:szCs w:val="21"/>
              </w:rPr>
              <w:t>（五）本项目不接受联合体投标。</w:t>
            </w:r>
          </w:p>
        </w:tc>
      </w:tr>
    </w:tbl>
    <w:p>
      <w:pPr>
        <w:pStyle w:val="23"/>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imes New Roman" w:hAnsi="Times New Roman"/>
          <w:b w:val="0"/>
          <w:bCs w:val="0"/>
          <w:color w:val="auto"/>
          <w:sz w:val="21"/>
          <w:szCs w:val="21"/>
        </w:rPr>
      </w:pPr>
      <w:r>
        <w:rPr>
          <w:rFonts w:hint="eastAsia" w:ascii="Times New Roman" w:hAnsi="Times New Roman"/>
          <w:b w:val="0"/>
          <w:bCs w:val="0"/>
          <w:color w:val="auto"/>
          <w:sz w:val="21"/>
          <w:szCs w:val="21"/>
        </w:rPr>
        <w:t>（二）</w:t>
      </w:r>
      <w:r>
        <w:rPr>
          <w:rFonts w:ascii="Times New Roman" w:hAnsi="Times New Roman"/>
          <w:b w:val="0"/>
          <w:bCs w:val="0"/>
          <w:color w:val="auto"/>
          <w:sz w:val="21"/>
          <w:szCs w:val="21"/>
        </w:rPr>
        <w:t>符合性审查</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szCs w:val="21"/>
        </w:rPr>
      </w:pPr>
      <w:r>
        <w:rPr>
          <w:szCs w:val="21"/>
        </w:rPr>
        <w:t>依据招标文件的规定，从投标人投标文件的有效性、完整性和对招标文件的响应程度进行审查，以确定是否对招标文件的实质性要求作出响应。</w:t>
      </w:r>
    </w:p>
    <w:tbl>
      <w:tblPr>
        <w:tblStyle w:val="40"/>
        <w:tblpPr w:leftFromText="180" w:rightFromText="180" w:vertAnchor="text" w:horzAnchor="page" w:tblpX="1709" w:tblpY="177"/>
        <w:tblOverlap w:val="never"/>
        <w:tblW w:w="90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51"/>
        <w:gridCol w:w="75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5" w:hRule="atLeast"/>
          <w:tblHeader/>
        </w:trPr>
        <w:tc>
          <w:tcPr>
            <w:tcW w:w="1551"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b/>
                <w:bCs/>
                <w:szCs w:val="21"/>
              </w:rPr>
            </w:pPr>
            <w:r>
              <w:rPr>
                <w:b/>
                <w:bCs/>
                <w:szCs w:val="21"/>
              </w:rPr>
              <w:t>审查类别</w:t>
            </w:r>
          </w:p>
        </w:tc>
        <w:tc>
          <w:tcPr>
            <w:tcW w:w="7548"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b/>
                <w:bCs/>
                <w:szCs w:val="21"/>
              </w:rPr>
            </w:pPr>
            <w:r>
              <w:rPr>
                <w:b/>
                <w:bCs/>
                <w:szCs w:val="21"/>
              </w:rPr>
              <w:t>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restart"/>
            <w:vAlign w:val="center"/>
          </w:tcPr>
          <w:p>
            <w:pPr>
              <w:keepNext w:val="0"/>
              <w:keepLines w:val="0"/>
              <w:pageBreakBefore w:val="0"/>
              <w:kinsoku/>
              <w:wordWrap/>
              <w:overflowPunct/>
              <w:topLinePunct w:val="0"/>
              <w:autoSpaceDE/>
              <w:autoSpaceDN/>
              <w:bidi w:val="0"/>
              <w:adjustRightInd/>
              <w:spacing w:line="400" w:lineRule="exact"/>
              <w:jc w:val="center"/>
              <w:textAlignment w:val="auto"/>
              <w:rPr>
                <w:szCs w:val="21"/>
              </w:rPr>
            </w:pPr>
            <w:r>
              <w:rPr>
                <w:szCs w:val="21"/>
              </w:rPr>
              <w:t>符合性审查</w:t>
            </w:r>
          </w:p>
        </w:tc>
        <w:tc>
          <w:tcPr>
            <w:tcW w:w="7548" w:type="dxa"/>
          </w:tcPr>
          <w:p>
            <w:pPr>
              <w:keepNext w:val="0"/>
              <w:keepLines w:val="0"/>
              <w:pageBreakBefore w:val="0"/>
              <w:kinsoku/>
              <w:wordWrap/>
              <w:overflowPunct/>
              <w:topLinePunct w:val="0"/>
              <w:autoSpaceDE/>
              <w:autoSpaceDN/>
              <w:bidi w:val="0"/>
              <w:adjustRightInd/>
              <w:spacing w:line="400" w:lineRule="exact"/>
              <w:textAlignment w:val="auto"/>
              <w:rPr>
                <w:szCs w:val="21"/>
              </w:rPr>
            </w:pPr>
            <w:r>
              <w:rPr>
                <w:szCs w:val="21"/>
              </w:rPr>
              <w:t>按招标文件要求签署、签章。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kinsoku/>
              <w:wordWrap/>
              <w:overflowPunct/>
              <w:topLinePunct w:val="0"/>
              <w:autoSpaceDE/>
              <w:autoSpaceDN/>
              <w:bidi w:val="0"/>
              <w:adjustRightInd/>
              <w:spacing w:line="400" w:lineRule="exact"/>
              <w:textAlignment w:val="auto"/>
              <w:rPr>
                <w:szCs w:val="21"/>
              </w:rPr>
            </w:pPr>
          </w:p>
        </w:tc>
        <w:tc>
          <w:tcPr>
            <w:tcW w:w="7548" w:type="dxa"/>
          </w:tcPr>
          <w:p>
            <w:pPr>
              <w:keepNext w:val="0"/>
              <w:keepLines w:val="0"/>
              <w:pageBreakBefore w:val="0"/>
              <w:kinsoku/>
              <w:wordWrap/>
              <w:overflowPunct/>
              <w:topLinePunct w:val="0"/>
              <w:autoSpaceDE/>
              <w:autoSpaceDN/>
              <w:bidi w:val="0"/>
              <w:adjustRightInd/>
              <w:spacing w:line="400" w:lineRule="exact"/>
              <w:textAlignment w:val="auto"/>
              <w:rPr>
                <w:szCs w:val="21"/>
              </w:rPr>
            </w:pPr>
            <w:r>
              <w:rPr>
                <w:szCs w:val="21"/>
              </w:rPr>
              <w:t>投标有效期满足招标文件要求。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kinsoku/>
              <w:wordWrap/>
              <w:overflowPunct/>
              <w:topLinePunct w:val="0"/>
              <w:autoSpaceDE/>
              <w:autoSpaceDN/>
              <w:bidi w:val="0"/>
              <w:adjustRightInd/>
              <w:spacing w:line="400" w:lineRule="exact"/>
              <w:textAlignment w:val="auto"/>
              <w:rPr>
                <w:szCs w:val="21"/>
              </w:rPr>
            </w:pPr>
          </w:p>
        </w:tc>
        <w:tc>
          <w:tcPr>
            <w:tcW w:w="7548" w:type="dxa"/>
          </w:tcPr>
          <w:p>
            <w:pPr>
              <w:keepNext w:val="0"/>
              <w:keepLines w:val="0"/>
              <w:pageBreakBefore w:val="0"/>
              <w:kinsoku/>
              <w:wordWrap/>
              <w:overflowPunct/>
              <w:topLinePunct w:val="0"/>
              <w:autoSpaceDE/>
              <w:autoSpaceDN/>
              <w:bidi w:val="0"/>
              <w:adjustRightInd/>
              <w:spacing w:line="400" w:lineRule="exact"/>
              <w:textAlignment w:val="auto"/>
              <w:rPr>
                <w:szCs w:val="21"/>
              </w:rPr>
            </w:pPr>
            <w:r>
              <w:rPr>
                <w:szCs w:val="21"/>
              </w:rPr>
              <w:t>符合招标文件要求的，未发生与招标文件中标注“</w:t>
            </w:r>
            <w:r>
              <w:rPr>
                <w:rFonts w:hint="eastAsia"/>
                <w:szCs w:val="21"/>
              </w:rPr>
              <w:t>★</w:t>
            </w:r>
            <w:r>
              <w:rPr>
                <w:szCs w:val="21"/>
              </w:rPr>
              <w:t>”的条款实质性偏离的。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kinsoku/>
              <w:wordWrap/>
              <w:overflowPunct/>
              <w:topLinePunct w:val="0"/>
              <w:autoSpaceDE/>
              <w:autoSpaceDN/>
              <w:bidi w:val="0"/>
              <w:adjustRightInd/>
              <w:spacing w:line="400" w:lineRule="exact"/>
              <w:textAlignment w:val="auto"/>
              <w:rPr>
                <w:szCs w:val="21"/>
              </w:rPr>
            </w:pPr>
          </w:p>
        </w:tc>
        <w:tc>
          <w:tcPr>
            <w:tcW w:w="7548" w:type="dxa"/>
          </w:tcPr>
          <w:p>
            <w:pPr>
              <w:keepNext w:val="0"/>
              <w:keepLines w:val="0"/>
              <w:pageBreakBefore w:val="0"/>
              <w:kinsoku/>
              <w:wordWrap/>
              <w:overflowPunct/>
              <w:topLinePunct w:val="0"/>
              <w:autoSpaceDE/>
              <w:autoSpaceDN/>
              <w:bidi w:val="0"/>
              <w:adjustRightInd/>
              <w:spacing w:line="400" w:lineRule="exact"/>
              <w:textAlignment w:val="auto"/>
              <w:rPr>
                <w:szCs w:val="21"/>
              </w:rPr>
            </w:pPr>
            <w:r>
              <w:rPr>
                <w:szCs w:val="21"/>
              </w:rPr>
              <w:t>不含有采购人不能接受的附加条件。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551" w:type="dxa"/>
            <w:vMerge w:val="continue"/>
          </w:tcPr>
          <w:p>
            <w:pPr>
              <w:keepNext w:val="0"/>
              <w:keepLines w:val="0"/>
              <w:pageBreakBefore w:val="0"/>
              <w:kinsoku/>
              <w:wordWrap/>
              <w:overflowPunct/>
              <w:topLinePunct w:val="0"/>
              <w:autoSpaceDE/>
              <w:autoSpaceDN/>
              <w:bidi w:val="0"/>
              <w:adjustRightInd/>
              <w:spacing w:line="400" w:lineRule="exact"/>
              <w:textAlignment w:val="auto"/>
              <w:rPr>
                <w:szCs w:val="21"/>
              </w:rPr>
            </w:pPr>
          </w:p>
        </w:tc>
        <w:tc>
          <w:tcPr>
            <w:tcW w:w="7548" w:type="dxa"/>
          </w:tcPr>
          <w:p>
            <w:pPr>
              <w:keepNext w:val="0"/>
              <w:keepLines w:val="0"/>
              <w:pageBreakBefore w:val="0"/>
              <w:kinsoku/>
              <w:wordWrap/>
              <w:overflowPunct/>
              <w:topLinePunct w:val="0"/>
              <w:autoSpaceDE/>
              <w:autoSpaceDN/>
              <w:bidi w:val="0"/>
              <w:adjustRightInd/>
              <w:spacing w:line="400" w:lineRule="exact"/>
              <w:textAlignment w:val="auto"/>
              <w:rPr>
                <w:szCs w:val="21"/>
              </w:rPr>
            </w:pPr>
            <w:r>
              <w:rPr>
                <w:szCs w:val="21"/>
              </w:rPr>
              <w:t>未发现法律、法规和招标文件规定的其他无效情形。</w:t>
            </w:r>
          </w:p>
        </w:tc>
      </w:tr>
    </w:tbl>
    <w:p>
      <w:pPr>
        <w:pStyle w:val="12"/>
        <w:keepNext w:val="0"/>
        <w:keepLines w:val="0"/>
        <w:pageBreakBefore w:val="0"/>
        <w:numPr>
          <w:ilvl w:val="0"/>
          <w:numId w:val="0"/>
        </w:numPr>
        <w:kinsoku/>
        <w:wordWrap/>
        <w:overflowPunct/>
        <w:topLinePunct w:val="0"/>
        <w:autoSpaceDE/>
        <w:autoSpaceDN/>
        <w:bidi w:val="0"/>
        <w:adjustRightInd/>
        <w:spacing w:line="400" w:lineRule="exact"/>
        <w:ind w:left="420"/>
        <w:textAlignment w:val="auto"/>
      </w:pPr>
    </w:p>
    <w:p>
      <w:pPr>
        <w:pStyle w:val="23"/>
        <w:keepNext w:val="0"/>
        <w:keepLines w:val="0"/>
        <w:pageBreakBefore w:val="0"/>
        <w:kinsoku/>
        <w:wordWrap/>
        <w:overflowPunct/>
        <w:topLinePunct w:val="0"/>
        <w:autoSpaceDE/>
        <w:autoSpaceDN/>
        <w:bidi w:val="0"/>
        <w:adjustRightInd/>
        <w:spacing w:line="400" w:lineRule="exact"/>
        <w:ind w:left="473" w:firstLine="0" w:firstLineChars="0"/>
        <w:textAlignment w:val="auto"/>
        <w:rPr>
          <w:rFonts w:ascii="Times New Roman" w:hAnsi="Times New Roman"/>
          <w:b w:val="0"/>
          <w:bCs w:val="0"/>
          <w:color w:val="auto"/>
          <w:sz w:val="21"/>
          <w:szCs w:val="21"/>
        </w:rPr>
      </w:pPr>
      <w:r>
        <w:rPr>
          <w:rFonts w:hint="eastAsia" w:ascii="Times New Roman" w:hAnsi="Times New Roman"/>
          <w:b w:val="0"/>
          <w:bCs w:val="0"/>
          <w:color w:val="auto"/>
          <w:sz w:val="21"/>
          <w:szCs w:val="21"/>
        </w:rPr>
        <w:t>（三）</w:t>
      </w:r>
      <w:r>
        <w:rPr>
          <w:rFonts w:ascii="Times New Roman" w:hAnsi="Times New Roman"/>
          <w:b w:val="0"/>
          <w:bCs w:val="0"/>
          <w:color w:val="auto"/>
          <w:sz w:val="21"/>
          <w:szCs w:val="21"/>
        </w:rPr>
        <w:t>澄清问题</w:t>
      </w:r>
    </w:p>
    <w:p>
      <w:pPr>
        <w:pStyle w:val="23"/>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imes New Roman" w:hAnsi="Times New Roman"/>
          <w:b w:val="0"/>
          <w:bCs w:val="0"/>
          <w:color w:val="auto"/>
          <w:sz w:val="21"/>
          <w:szCs w:val="21"/>
        </w:rPr>
      </w:pPr>
      <w:r>
        <w:rPr>
          <w:rFonts w:ascii="Times New Roman" w:hAnsi="Times New Roman"/>
          <w:b w:val="0"/>
          <w:bCs w:val="0"/>
          <w:color w:val="auto"/>
          <w:sz w:val="21"/>
          <w:szCs w:val="21"/>
        </w:rPr>
        <w:t>对于投标文件中含义不明确、同类问题表述不一致或者有明显文字和计算错误的内容，评标委员会可要求投标人以书面形式作出必要的澄清、说明或者补正。</w:t>
      </w:r>
    </w:p>
    <w:p>
      <w:pPr>
        <w:pStyle w:val="23"/>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imes New Roman" w:hAnsi="Times New Roman"/>
          <w:b w:val="0"/>
          <w:bCs w:val="0"/>
          <w:color w:val="auto"/>
          <w:sz w:val="21"/>
          <w:szCs w:val="21"/>
        </w:rPr>
      </w:pPr>
      <w:r>
        <w:rPr>
          <w:rFonts w:ascii="Times New Roman" w:hAnsi="Times New Roman"/>
          <w:b w:val="0"/>
          <w:bCs w:val="0"/>
          <w:color w:val="auto"/>
          <w:sz w:val="21"/>
          <w:szCs w:val="21"/>
        </w:rPr>
        <w:t>投标人的澄清、说明或者补正应当采用书面形式，并加盖公章，或者由法定代表人或其授权代表签字确认，投标人的澄清、说明或者补正不得超出投标文件的范围或者改变投标文件的实质性内容。</w:t>
      </w:r>
    </w:p>
    <w:p>
      <w:pPr>
        <w:pStyle w:val="23"/>
        <w:keepNext w:val="0"/>
        <w:keepLines w:val="0"/>
        <w:pageBreakBefore w:val="0"/>
        <w:kinsoku/>
        <w:wordWrap/>
        <w:overflowPunct/>
        <w:topLinePunct w:val="0"/>
        <w:autoSpaceDE/>
        <w:autoSpaceDN/>
        <w:bidi w:val="0"/>
        <w:adjustRightInd/>
        <w:spacing w:line="400" w:lineRule="exact"/>
        <w:ind w:left="473" w:firstLine="0" w:firstLineChars="0"/>
        <w:textAlignment w:val="auto"/>
        <w:rPr>
          <w:rFonts w:ascii="Times New Roman" w:hAnsi="Times New Roman"/>
          <w:b w:val="0"/>
          <w:bCs w:val="0"/>
          <w:color w:val="auto"/>
          <w:sz w:val="21"/>
          <w:szCs w:val="21"/>
        </w:rPr>
      </w:pPr>
      <w:r>
        <w:rPr>
          <w:rFonts w:hint="eastAsia" w:ascii="Times New Roman" w:hAnsi="Times New Roman"/>
          <w:b w:val="0"/>
          <w:bCs w:val="0"/>
          <w:color w:val="auto"/>
          <w:sz w:val="21"/>
          <w:szCs w:val="21"/>
        </w:rPr>
        <w:t>（四）</w:t>
      </w:r>
      <w:r>
        <w:rPr>
          <w:rFonts w:ascii="Times New Roman" w:hAnsi="Times New Roman"/>
          <w:b w:val="0"/>
          <w:bCs w:val="0"/>
          <w:color w:val="auto"/>
          <w:sz w:val="21"/>
          <w:szCs w:val="21"/>
        </w:rPr>
        <w:t>详细评审</w:t>
      </w:r>
    </w:p>
    <w:p>
      <w:pPr>
        <w:pStyle w:val="23"/>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imes New Roman" w:hAnsi="Times New Roman"/>
          <w:b w:val="0"/>
          <w:bCs w:val="0"/>
          <w:color w:val="auto"/>
          <w:sz w:val="21"/>
          <w:szCs w:val="21"/>
        </w:rPr>
      </w:pPr>
      <w:r>
        <w:rPr>
          <w:rFonts w:ascii="Times New Roman" w:hAnsi="Times New Roman"/>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szCs w:val="21"/>
        </w:rPr>
      </w:pPr>
      <w:r>
        <w:rPr>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w:t>
      </w:r>
      <w:r>
        <w:rPr>
          <w:rFonts w:hint="eastAsia"/>
          <w:szCs w:val="21"/>
        </w:rPr>
        <w:t>保留两位</w:t>
      </w:r>
      <w:r>
        <w:rPr>
          <w:szCs w:val="21"/>
        </w:rPr>
        <w:t>小数）。</w:t>
      </w:r>
    </w:p>
    <w:p>
      <w:pPr>
        <w:keepNext w:val="0"/>
        <w:keepLines w:val="0"/>
        <w:pageBreakBefore w:val="0"/>
        <w:widowControl/>
        <w:kinsoku/>
        <w:wordWrap/>
        <w:overflowPunct/>
        <w:topLinePunct w:val="0"/>
        <w:autoSpaceDE/>
        <w:autoSpaceDN/>
        <w:bidi w:val="0"/>
        <w:adjustRightInd/>
        <w:spacing w:line="400" w:lineRule="exact"/>
        <w:ind w:firstLine="422" w:firstLineChars="200"/>
        <w:jc w:val="left"/>
        <w:textAlignment w:val="auto"/>
        <w:rPr>
          <w:szCs w:val="21"/>
        </w:rPr>
      </w:pPr>
      <w:r>
        <w:rPr>
          <w:b/>
          <w:bCs/>
          <w:szCs w:val="21"/>
        </w:rPr>
        <w:t>注：</w:t>
      </w:r>
      <w:r>
        <w:rPr>
          <w:szCs w:val="21"/>
        </w:rPr>
        <w:t>评标委员会认为投标文件无效的，应组织相关投标人代表进行陈述、澄清或申辩。</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szCs w:val="21"/>
        </w:rPr>
      </w:pPr>
      <w:r>
        <w:rPr>
          <w:szCs w:val="21"/>
        </w:rPr>
        <w:t>采购代理机构可协助评标委员会主任评委对打分结果进行校对、核对并汇总统计</w:t>
      </w:r>
      <w:r>
        <w:rPr>
          <w:rFonts w:hint="eastAsia"/>
          <w:szCs w:val="21"/>
        </w:rPr>
        <w:t>。</w:t>
      </w:r>
      <w:r>
        <w:rPr>
          <w:szCs w:val="21"/>
        </w:rPr>
        <w:t>对明显畸高、畸低的评分（其总评分偏离平均分30%以上的），评标委员会</w:t>
      </w:r>
      <w:r>
        <w:rPr>
          <w:rFonts w:hint="eastAsia"/>
          <w:szCs w:val="21"/>
        </w:rPr>
        <w:t>组长</w:t>
      </w:r>
      <w:r>
        <w:rPr>
          <w:szCs w:val="21"/>
        </w:rPr>
        <w:t>应提醒相关评标委员会成员进行复核或书面说明理由，评标委员会成员拒绝说明的，由现场监督员据实记录</w:t>
      </w:r>
      <w:r>
        <w:rPr>
          <w:rFonts w:hint="eastAsia"/>
          <w:szCs w:val="21"/>
        </w:rPr>
        <w:t>。</w:t>
      </w:r>
      <w:r>
        <w:rPr>
          <w:szCs w:val="21"/>
        </w:rPr>
        <w:t>评标委员会成员的评审、修改记录应保留原件，随项目其他资料一并存档。</w:t>
      </w:r>
    </w:p>
    <w:p>
      <w:pPr>
        <w:pStyle w:val="29"/>
        <w:keepNext w:val="0"/>
        <w:keepLines w:val="0"/>
        <w:pageBreakBefore w:val="0"/>
        <w:kinsoku/>
        <w:wordWrap/>
        <w:overflowPunct/>
        <w:topLinePunct w:val="0"/>
        <w:autoSpaceDE/>
        <w:autoSpaceDN/>
        <w:bidi w:val="0"/>
        <w:adjustRightInd/>
        <w:spacing w:before="156" w:beforeLines="50" w:after="156" w:afterLines="50" w:line="400" w:lineRule="exact"/>
        <w:ind w:firstLine="413" w:firstLineChars="196"/>
        <w:jc w:val="left"/>
        <w:textAlignment w:val="auto"/>
        <w:rPr>
          <w:rFonts w:ascii="Times New Roman" w:hAnsi="Times New Roman"/>
          <w:sz w:val="21"/>
          <w:szCs w:val="21"/>
        </w:rPr>
      </w:pPr>
      <w:bookmarkStart w:id="252" w:name="_Toc10171"/>
      <w:bookmarkStart w:id="253" w:name="_Toc51446761"/>
      <w:bookmarkStart w:id="254" w:name="_Toc20275"/>
      <w:bookmarkStart w:id="255" w:name="_Toc259108323"/>
      <w:bookmarkStart w:id="256" w:name="_Toc4938"/>
      <w:bookmarkStart w:id="257" w:name="_Toc249866767"/>
      <w:bookmarkStart w:id="258" w:name="_Toc79395482"/>
      <w:bookmarkStart w:id="259" w:name="_Toc17707960"/>
      <w:bookmarkStart w:id="260" w:name="_Toc26655"/>
      <w:r>
        <w:rPr>
          <w:rFonts w:hint="eastAsia" w:ascii="Times New Roman" w:hAnsi="Times New Roman"/>
          <w:sz w:val="21"/>
          <w:szCs w:val="21"/>
        </w:rPr>
        <w:t>五</w:t>
      </w:r>
      <w:r>
        <w:rPr>
          <w:rFonts w:ascii="Times New Roman" w:hAnsi="Times New Roman"/>
          <w:sz w:val="21"/>
          <w:szCs w:val="21"/>
        </w:rPr>
        <w:t>、投标无效的情形</w:t>
      </w:r>
      <w:bookmarkEnd w:id="252"/>
      <w:bookmarkEnd w:id="253"/>
      <w:bookmarkEnd w:id="254"/>
      <w:bookmarkEnd w:id="255"/>
      <w:bookmarkEnd w:id="256"/>
      <w:bookmarkEnd w:id="257"/>
      <w:bookmarkEnd w:id="258"/>
      <w:bookmarkEnd w:id="259"/>
      <w:bookmarkEnd w:id="260"/>
    </w:p>
    <w:p>
      <w:pPr>
        <w:keepNext w:val="0"/>
        <w:keepLines w:val="0"/>
        <w:pageBreakBefore w:val="0"/>
        <w:kinsoku/>
        <w:wordWrap/>
        <w:overflowPunct/>
        <w:topLinePunct w:val="0"/>
        <w:autoSpaceDE/>
        <w:autoSpaceDN/>
        <w:bidi w:val="0"/>
        <w:adjustRightInd/>
        <w:spacing w:line="400" w:lineRule="exact"/>
        <w:ind w:firstLine="420" w:firstLineChars="200"/>
        <w:textAlignment w:val="auto"/>
        <w:rPr>
          <w:bCs/>
          <w:szCs w:val="21"/>
        </w:rPr>
      </w:pPr>
      <w:r>
        <w:rPr>
          <w:bCs/>
          <w:szCs w:val="21"/>
        </w:rPr>
        <w:t>没有响应招标文件实质性要求的投标将被视为无效投标。投标人不得通过修正或</w:t>
      </w:r>
      <w:r>
        <w:rPr>
          <w:rFonts w:hint="eastAsia"/>
          <w:bCs/>
          <w:szCs w:val="21"/>
        </w:rPr>
        <w:t>撤销</w:t>
      </w:r>
      <w:r>
        <w:rPr>
          <w:bCs/>
          <w:szCs w:val="21"/>
        </w:rPr>
        <w:t>不合要求的偏离或保留从而使其投标成为实质上响应的投标。</w:t>
      </w:r>
    </w:p>
    <w:p>
      <w:pPr>
        <w:pStyle w:val="17"/>
        <w:keepNext w:val="0"/>
        <w:keepLines w:val="0"/>
        <w:pageBreakBefore w:val="0"/>
        <w:widowControl/>
        <w:kinsoku/>
        <w:wordWrap/>
        <w:overflowPunct/>
        <w:topLinePunct w:val="0"/>
        <w:autoSpaceDE/>
        <w:autoSpaceDN/>
        <w:bidi w:val="0"/>
        <w:adjustRightInd/>
        <w:spacing w:line="400" w:lineRule="exact"/>
        <w:ind w:firstLine="395" w:firstLineChars="196"/>
        <w:jc w:val="left"/>
        <w:textAlignment w:val="auto"/>
        <w:rPr>
          <w:rFonts w:ascii="Times New Roman"/>
          <w:bCs/>
          <w:sz w:val="21"/>
          <w:szCs w:val="21"/>
        </w:rPr>
      </w:pPr>
      <w:r>
        <w:rPr>
          <w:rFonts w:hint="eastAsia" w:ascii="Times New Roman"/>
          <w:bCs/>
          <w:sz w:val="21"/>
          <w:szCs w:val="21"/>
        </w:rPr>
        <w:t>（一）</w:t>
      </w:r>
      <w:r>
        <w:rPr>
          <w:rFonts w:ascii="Times New Roman"/>
          <w:bCs/>
          <w:sz w:val="21"/>
          <w:szCs w:val="21"/>
        </w:rPr>
        <w:t>在资格审查时，不具备招标文件中规定的资格要求的，或者资格证明文件不全的，投标文件将被视为无效</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firstLine="395" w:firstLineChars="196"/>
        <w:jc w:val="left"/>
        <w:textAlignment w:val="auto"/>
        <w:rPr>
          <w:rFonts w:ascii="Times New Roman"/>
          <w:bCs/>
          <w:sz w:val="21"/>
          <w:szCs w:val="21"/>
        </w:rPr>
      </w:pPr>
      <w:r>
        <w:rPr>
          <w:rFonts w:hint="eastAsia" w:ascii="Times New Roman"/>
          <w:bCs/>
          <w:sz w:val="21"/>
          <w:szCs w:val="21"/>
        </w:rPr>
        <w:t>（二）</w:t>
      </w:r>
      <w:r>
        <w:rPr>
          <w:rFonts w:ascii="Times New Roman"/>
          <w:bCs/>
          <w:sz w:val="21"/>
          <w:szCs w:val="21"/>
        </w:rPr>
        <w:t>在符合性审查时，如发现下列情形之一的，投标文件将被视为无效：</w:t>
      </w:r>
    </w:p>
    <w:p>
      <w:pPr>
        <w:pStyle w:val="17"/>
        <w:keepNext w:val="0"/>
        <w:keepLines w:val="0"/>
        <w:pageBreakBefore w:val="0"/>
        <w:widowControl/>
        <w:kinsoku/>
        <w:wordWrap/>
        <w:overflowPunct/>
        <w:topLinePunct w:val="0"/>
        <w:autoSpaceDE/>
        <w:autoSpaceDN/>
        <w:bidi w:val="0"/>
        <w:adjustRightInd/>
        <w:spacing w:line="400" w:lineRule="exact"/>
        <w:ind w:left="400" w:firstLine="0"/>
        <w:jc w:val="left"/>
        <w:textAlignment w:val="auto"/>
        <w:rPr>
          <w:rFonts w:hAnsi="宋体"/>
          <w:szCs w:val="21"/>
        </w:rPr>
      </w:pPr>
      <w:r>
        <w:rPr>
          <w:rFonts w:hint="eastAsia" w:ascii="Times New Roman"/>
          <w:bCs/>
          <w:sz w:val="21"/>
          <w:szCs w:val="21"/>
        </w:rPr>
        <w:t>1.投标文件未按招标文件要求签署、盖章影响投标文件效力的；</w:t>
      </w:r>
    </w:p>
    <w:p>
      <w:pPr>
        <w:pStyle w:val="17"/>
        <w:keepNext w:val="0"/>
        <w:keepLines w:val="0"/>
        <w:pageBreakBefore w:val="0"/>
        <w:widowControl/>
        <w:kinsoku/>
        <w:wordWrap/>
        <w:overflowPunct/>
        <w:topLinePunct w:val="0"/>
        <w:autoSpaceDE/>
        <w:autoSpaceDN/>
        <w:bidi w:val="0"/>
        <w:adjustRightInd/>
        <w:spacing w:line="400" w:lineRule="exact"/>
        <w:ind w:left="400" w:firstLine="0"/>
        <w:jc w:val="left"/>
        <w:textAlignment w:val="auto"/>
        <w:rPr>
          <w:rFonts w:ascii="Times New Roman"/>
          <w:bCs/>
          <w:sz w:val="21"/>
          <w:szCs w:val="21"/>
        </w:rPr>
      </w:pPr>
      <w:r>
        <w:rPr>
          <w:rFonts w:hint="eastAsia" w:ascii="Times New Roman"/>
          <w:bCs/>
          <w:sz w:val="21"/>
          <w:szCs w:val="21"/>
        </w:rPr>
        <w:t>2.</w:t>
      </w:r>
      <w:r>
        <w:rPr>
          <w:rFonts w:ascii="Times New Roman"/>
          <w:bCs/>
          <w:sz w:val="21"/>
          <w:szCs w:val="21"/>
        </w:rPr>
        <w:t>投标有效期不满足招标文件要求的</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left="400" w:firstLine="0"/>
        <w:jc w:val="left"/>
        <w:textAlignment w:val="auto"/>
        <w:rPr>
          <w:rFonts w:ascii="Times New Roman"/>
          <w:bCs/>
          <w:sz w:val="21"/>
          <w:szCs w:val="21"/>
        </w:rPr>
      </w:pPr>
      <w:r>
        <w:rPr>
          <w:rFonts w:hint="eastAsia" w:ascii="Times New Roman"/>
          <w:bCs/>
          <w:snapToGrid w:val="0"/>
          <w:sz w:val="21"/>
          <w:szCs w:val="21"/>
        </w:rPr>
        <w:t>3.</w:t>
      </w:r>
      <w:r>
        <w:rPr>
          <w:rFonts w:ascii="Times New Roman"/>
          <w:bCs/>
          <w:snapToGrid w:val="0"/>
          <w:sz w:val="21"/>
          <w:szCs w:val="21"/>
        </w:rPr>
        <w:t>明显不符合招标文件要求的，或者与</w:t>
      </w:r>
      <w:r>
        <w:rPr>
          <w:rFonts w:ascii="Times New Roman"/>
          <w:bCs/>
          <w:sz w:val="21"/>
          <w:szCs w:val="21"/>
        </w:rPr>
        <w:t>招标文件中标注“</w:t>
      </w:r>
      <w:r>
        <w:rPr>
          <w:rFonts w:hint="eastAsia" w:ascii="Times New Roman"/>
          <w:bCs/>
          <w:sz w:val="21"/>
          <w:szCs w:val="21"/>
        </w:rPr>
        <w:t>★</w:t>
      </w:r>
      <w:r>
        <w:rPr>
          <w:rFonts w:ascii="Times New Roman"/>
          <w:bCs/>
          <w:sz w:val="21"/>
          <w:szCs w:val="21"/>
        </w:rPr>
        <w:t>”的条款发生实质性负偏离的</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left="400" w:firstLine="0"/>
        <w:jc w:val="left"/>
        <w:textAlignment w:val="auto"/>
        <w:rPr>
          <w:rFonts w:ascii="Times New Roman"/>
          <w:bCs/>
          <w:sz w:val="21"/>
          <w:szCs w:val="21"/>
        </w:rPr>
      </w:pPr>
      <w:r>
        <w:rPr>
          <w:rFonts w:hint="eastAsia" w:ascii="Times New Roman"/>
          <w:bCs/>
          <w:sz w:val="21"/>
          <w:szCs w:val="21"/>
        </w:rPr>
        <w:t>4.</w:t>
      </w:r>
      <w:r>
        <w:rPr>
          <w:rFonts w:ascii="Times New Roman"/>
          <w:bCs/>
          <w:sz w:val="21"/>
          <w:szCs w:val="21"/>
        </w:rPr>
        <w:t>投标文件中含有采购人不能接受的附加条件的</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left="400" w:firstLine="0"/>
        <w:jc w:val="left"/>
        <w:textAlignment w:val="auto"/>
        <w:rPr>
          <w:rFonts w:ascii="Times New Roman"/>
          <w:bCs/>
          <w:sz w:val="21"/>
          <w:szCs w:val="21"/>
        </w:rPr>
      </w:pPr>
      <w:r>
        <w:rPr>
          <w:rFonts w:hint="eastAsia" w:ascii="Times New Roman"/>
          <w:bCs/>
          <w:sz w:val="21"/>
          <w:szCs w:val="21"/>
        </w:rPr>
        <w:t>5.</w:t>
      </w:r>
      <w:r>
        <w:rPr>
          <w:rFonts w:ascii="Times New Roman"/>
          <w:bCs/>
          <w:sz w:val="21"/>
          <w:szCs w:val="21"/>
        </w:rPr>
        <w:t>法律、法规和招标文件规定的其他无效情形</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firstLine="395" w:firstLineChars="196"/>
        <w:jc w:val="left"/>
        <w:textAlignment w:val="auto"/>
        <w:rPr>
          <w:rFonts w:ascii="Times New Roman"/>
          <w:bCs/>
          <w:sz w:val="21"/>
          <w:szCs w:val="21"/>
        </w:rPr>
      </w:pPr>
      <w:r>
        <w:rPr>
          <w:rFonts w:hint="eastAsia" w:ascii="Times New Roman"/>
          <w:bCs/>
          <w:sz w:val="21"/>
          <w:szCs w:val="21"/>
        </w:rPr>
        <w:t>（三）</w:t>
      </w:r>
      <w:r>
        <w:rPr>
          <w:rFonts w:ascii="Times New Roman"/>
          <w:bCs/>
          <w:sz w:val="21"/>
          <w:szCs w:val="21"/>
        </w:rPr>
        <w:t>在技术商务评审时，如发现下列情形之一的，投标文件将被视为无效：</w:t>
      </w:r>
    </w:p>
    <w:p>
      <w:pPr>
        <w:pStyle w:val="17"/>
        <w:keepNext w:val="0"/>
        <w:keepLines w:val="0"/>
        <w:pageBreakBefore w:val="0"/>
        <w:widowControl/>
        <w:kinsoku/>
        <w:wordWrap/>
        <w:overflowPunct/>
        <w:topLinePunct w:val="0"/>
        <w:autoSpaceDE/>
        <w:autoSpaceDN/>
        <w:bidi w:val="0"/>
        <w:adjustRightInd/>
        <w:spacing w:line="400" w:lineRule="exact"/>
        <w:ind w:firstLine="404" w:firstLineChars="200"/>
        <w:jc w:val="left"/>
        <w:textAlignment w:val="auto"/>
        <w:rPr>
          <w:rFonts w:ascii="Times New Roman"/>
          <w:bCs/>
          <w:sz w:val="21"/>
          <w:szCs w:val="21"/>
        </w:rPr>
      </w:pPr>
      <w:r>
        <w:rPr>
          <w:rFonts w:hint="eastAsia" w:ascii="Times New Roman"/>
          <w:bCs/>
          <w:sz w:val="21"/>
          <w:szCs w:val="21"/>
        </w:rPr>
        <w:t>1.</w:t>
      </w:r>
      <w:r>
        <w:rPr>
          <w:rFonts w:ascii="Times New Roman"/>
          <w:bCs/>
          <w:sz w:val="21"/>
          <w:szCs w:val="21"/>
        </w:rPr>
        <w:t>未提供或未如实提供投标服务需求，或者投标文件标明的响应或偏离与事实不符或虚假投标的</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firstLine="399" w:firstLineChars="198"/>
        <w:jc w:val="left"/>
        <w:textAlignment w:val="auto"/>
        <w:rPr>
          <w:rFonts w:ascii="Times New Roman"/>
          <w:bCs/>
          <w:sz w:val="21"/>
          <w:szCs w:val="21"/>
        </w:rPr>
      </w:pPr>
      <w:r>
        <w:rPr>
          <w:rFonts w:hint="eastAsia" w:ascii="Times New Roman"/>
          <w:bCs/>
          <w:sz w:val="21"/>
          <w:szCs w:val="21"/>
        </w:rPr>
        <w:t>2.</w:t>
      </w:r>
      <w:r>
        <w:rPr>
          <w:rFonts w:ascii="Times New Roman"/>
          <w:bCs/>
          <w:sz w:val="21"/>
          <w:szCs w:val="21"/>
        </w:rPr>
        <w:t>投标技术方案不明确，存在一个或一个以上备选（替代）投标方案的</w:t>
      </w:r>
      <w:r>
        <w:rPr>
          <w:rFonts w:hint="eastAsia" w:ascii="Times New Roman"/>
          <w:bCs/>
          <w:sz w:val="21"/>
          <w:szCs w:val="21"/>
        </w:rPr>
        <w:t>（招标文件允许有备选方案参加投标的除外）。</w:t>
      </w:r>
    </w:p>
    <w:p>
      <w:pPr>
        <w:pStyle w:val="17"/>
        <w:keepNext w:val="0"/>
        <w:keepLines w:val="0"/>
        <w:pageBreakBefore w:val="0"/>
        <w:widowControl/>
        <w:kinsoku/>
        <w:wordWrap/>
        <w:overflowPunct/>
        <w:topLinePunct w:val="0"/>
        <w:autoSpaceDE/>
        <w:autoSpaceDN/>
        <w:bidi w:val="0"/>
        <w:adjustRightInd/>
        <w:spacing w:line="400" w:lineRule="exact"/>
        <w:ind w:firstLine="395" w:firstLineChars="196"/>
        <w:jc w:val="left"/>
        <w:textAlignment w:val="auto"/>
        <w:rPr>
          <w:rFonts w:ascii="Times New Roman"/>
          <w:bCs/>
          <w:sz w:val="21"/>
          <w:szCs w:val="21"/>
        </w:rPr>
      </w:pPr>
      <w:r>
        <w:rPr>
          <w:rFonts w:hint="eastAsia" w:ascii="Times New Roman"/>
          <w:bCs/>
          <w:sz w:val="21"/>
          <w:szCs w:val="21"/>
        </w:rPr>
        <w:t>（四）</w:t>
      </w:r>
      <w:r>
        <w:rPr>
          <w:rFonts w:ascii="Times New Roman"/>
          <w:bCs/>
          <w:sz w:val="21"/>
          <w:szCs w:val="21"/>
        </w:rPr>
        <w:t>在报价评审时，如发现下列情形之一的，投标文件将被视为无效：</w:t>
      </w:r>
    </w:p>
    <w:p>
      <w:pPr>
        <w:pStyle w:val="17"/>
        <w:keepNext w:val="0"/>
        <w:keepLines w:val="0"/>
        <w:pageBreakBefore w:val="0"/>
        <w:widowControl/>
        <w:kinsoku/>
        <w:wordWrap/>
        <w:overflowPunct/>
        <w:topLinePunct w:val="0"/>
        <w:autoSpaceDE/>
        <w:autoSpaceDN/>
        <w:bidi w:val="0"/>
        <w:adjustRightInd/>
        <w:spacing w:line="400" w:lineRule="exact"/>
        <w:ind w:left="400" w:firstLine="0"/>
        <w:jc w:val="left"/>
        <w:textAlignment w:val="auto"/>
        <w:rPr>
          <w:rFonts w:ascii="Times New Roman"/>
          <w:bCs/>
          <w:sz w:val="21"/>
          <w:szCs w:val="21"/>
        </w:rPr>
      </w:pPr>
      <w:r>
        <w:rPr>
          <w:rFonts w:hint="eastAsia" w:ascii="Times New Roman"/>
          <w:bCs/>
          <w:sz w:val="21"/>
          <w:szCs w:val="21"/>
        </w:rPr>
        <w:t>1.</w:t>
      </w:r>
      <w:r>
        <w:rPr>
          <w:rFonts w:ascii="Times New Roman"/>
          <w:bCs/>
          <w:sz w:val="21"/>
          <w:szCs w:val="21"/>
        </w:rPr>
        <w:t>报价超过招标文件中规定的预算金额或者最高限价的</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firstLine="404" w:firstLineChars="200"/>
        <w:jc w:val="left"/>
        <w:textAlignment w:val="auto"/>
        <w:rPr>
          <w:rFonts w:ascii="Times New Roman"/>
          <w:bCs/>
          <w:sz w:val="21"/>
          <w:szCs w:val="21"/>
        </w:rPr>
      </w:pPr>
      <w:r>
        <w:rPr>
          <w:rFonts w:hint="eastAsia" w:ascii="Times New Roman"/>
          <w:bCs/>
          <w:sz w:val="21"/>
          <w:szCs w:val="21"/>
        </w:rPr>
        <w:t>2.</w:t>
      </w:r>
      <w:r>
        <w:rPr>
          <w:rFonts w:ascii="Times New Roman"/>
          <w:bCs/>
          <w:sz w:val="21"/>
          <w:szCs w:val="21"/>
        </w:rPr>
        <w:t>未采用招标文件要求的报价形式报价的</w:t>
      </w:r>
      <w:r>
        <w:rPr>
          <w:rFonts w:hint="eastAsia" w:ascii="Times New Roman"/>
          <w:bCs/>
          <w:sz w:val="21"/>
          <w:szCs w:val="21"/>
        </w:rPr>
        <w:t>；</w:t>
      </w:r>
    </w:p>
    <w:p>
      <w:pPr>
        <w:pStyle w:val="17"/>
        <w:keepNext w:val="0"/>
        <w:keepLines w:val="0"/>
        <w:pageBreakBefore w:val="0"/>
        <w:widowControl/>
        <w:kinsoku/>
        <w:wordWrap/>
        <w:overflowPunct/>
        <w:topLinePunct w:val="0"/>
        <w:autoSpaceDE/>
        <w:autoSpaceDN/>
        <w:bidi w:val="0"/>
        <w:adjustRightInd/>
        <w:spacing w:line="400" w:lineRule="exact"/>
        <w:ind w:left="400" w:firstLine="0"/>
        <w:jc w:val="left"/>
        <w:textAlignment w:val="auto"/>
        <w:rPr>
          <w:rFonts w:ascii="Times New Roman"/>
          <w:bCs/>
          <w:sz w:val="21"/>
          <w:szCs w:val="21"/>
        </w:rPr>
      </w:pPr>
      <w:r>
        <w:rPr>
          <w:rFonts w:hint="eastAsia" w:ascii="Times New Roman"/>
          <w:bCs/>
          <w:sz w:val="21"/>
          <w:szCs w:val="21"/>
        </w:rPr>
        <w:t>3.</w:t>
      </w:r>
      <w:r>
        <w:rPr>
          <w:rFonts w:ascii="Times New Roman"/>
          <w:bCs/>
          <w:sz w:val="21"/>
          <w:szCs w:val="21"/>
        </w:rPr>
        <w:t>投标报价具有选择性</w:t>
      </w:r>
      <w:r>
        <w:rPr>
          <w:rFonts w:hint="eastAsia" w:ascii="Times New Roman"/>
          <w:bCs/>
          <w:sz w:val="21"/>
          <w:szCs w:val="21"/>
        </w:rPr>
        <w:t>；</w:t>
      </w:r>
    </w:p>
    <w:p>
      <w:pPr>
        <w:keepNext w:val="0"/>
        <w:keepLines w:val="0"/>
        <w:pageBreakBefore w:val="0"/>
        <w:widowControl/>
        <w:kinsoku/>
        <w:wordWrap/>
        <w:overflowPunct/>
        <w:topLinePunct w:val="0"/>
        <w:autoSpaceDE/>
        <w:autoSpaceDN/>
        <w:bidi w:val="0"/>
        <w:adjustRightInd/>
        <w:spacing w:line="400" w:lineRule="exact"/>
        <w:ind w:firstLine="420" w:firstLineChars="200"/>
        <w:jc w:val="left"/>
        <w:textAlignment w:val="auto"/>
        <w:rPr>
          <w:bCs/>
          <w:szCs w:val="21"/>
        </w:rPr>
      </w:pPr>
      <w:r>
        <w:rPr>
          <w:rFonts w:hint="eastAsia"/>
          <w:bCs/>
          <w:szCs w:val="21"/>
        </w:rPr>
        <w:t>4.</w:t>
      </w:r>
      <w:r>
        <w:rPr>
          <w:bCs/>
          <w:szCs w:val="21"/>
        </w:rPr>
        <w:t>评标委员会认为投标人的报价明显低于其他通过符合性审查投标人的报价，有可能影响服务质量或者不能诚信履约的，且不能在</w:t>
      </w:r>
      <w:r>
        <w:rPr>
          <w:rFonts w:hint="eastAsia"/>
          <w:bCs/>
          <w:szCs w:val="21"/>
        </w:rPr>
        <w:t>评标委员会要求的</w:t>
      </w:r>
      <w:r>
        <w:rPr>
          <w:bCs/>
          <w:szCs w:val="21"/>
        </w:rPr>
        <w:t>时间内提供相关证明材料说明其报价的合理性的</w:t>
      </w:r>
      <w:r>
        <w:rPr>
          <w:rFonts w:hint="eastAsia"/>
          <w:bCs/>
          <w:szCs w:val="21"/>
        </w:rPr>
        <w:t>；</w:t>
      </w:r>
    </w:p>
    <w:p>
      <w:pPr>
        <w:pStyle w:val="17"/>
        <w:keepNext w:val="0"/>
        <w:keepLines w:val="0"/>
        <w:pageBreakBefore w:val="0"/>
        <w:widowControl/>
        <w:kinsoku/>
        <w:wordWrap/>
        <w:overflowPunct/>
        <w:topLinePunct w:val="0"/>
        <w:autoSpaceDE/>
        <w:autoSpaceDN/>
        <w:bidi w:val="0"/>
        <w:adjustRightInd/>
        <w:spacing w:line="400" w:lineRule="exact"/>
        <w:ind w:firstLine="399" w:firstLineChars="198"/>
        <w:jc w:val="left"/>
        <w:textAlignment w:val="auto"/>
        <w:rPr>
          <w:rFonts w:ascii="Times New Roman"/>
          <w:bCs/>
          <w:sz w:val="21"/>
          <w:szCs w:val="21"/>
        </w:rPr>
      </w:pPr>
      <w:r>
        <w:rPr>
          <w:rFonts w:hint="eastAsia" w:ascii="Times New Roman"/>
          <w:bCs/>
          <w:sz w:val="21"/>
          <w:szCs w:val="21"/>
        </w:rPr>
        <w:t>5.</w:t>
      </w:r>
      <w:r>
        <w:rPr>
          <w:rFonts w:ascii="Times New Roman"/>
          <w:bCs/>
          <w:sz w:val="21"/>
          <w:szCs w:val="21"/>
        </w:rPr>
        <w:t>招标文件规定的其他无效情形</w:t>
      </w:r>
      <w:r>
        <w:rPr>
          <w:rFonts w:hint="eastAsia" w:ascii="Times New Roman"/>
          <w:bCs/>
          <w:sz w:val="21"/>
          <w:szCs w:val="21"/>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bCs/>
          <w:szCs w:val="21"/>
        </w:rPr>
      </w:pPr>
      <w:r>
        <w:rPr>
          <w:rFonts w:hint="eastAsia"/>
          <w:bCs/>
          <w:szCs w:val="21"/>
        </w:rPr>
        <w:t>（五）</w:t>
      </w:r>
      <w:r>
        <w:rPr>
          <w:bCs/>
          <w:szCs w:val="21"/>
        </w:rPr>
        <w:t>被拒绝的投标文件为无效。</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bCs/>
          <w:szCs w:val="21"/>
        </w:rPr>
      </w:pPr>
      <w:r>
        <w:rPr>
          <w:rFonts w:hint="eastAsia"/>
          <w:bCs/>
          <w:szCs w:val="21"/>
        </w:rPr>
        <w:t>（六）</w:t>
      </w:r>
      <w:r>
        <w:rPr>
          <w:bCs/>
          <w:szCs w:val="21"/>
        </w:rPr>
        <w:t>不同投标人的投标文件出自同一终端设备或在相同Internet主机分配地址（相同IP地址）网上报名投标或上传投标文件</w:t>
      </w:r>
      <w:r>
        <w:rPr>
          <w:rFonts w:hint="eastAsia"/>
          <w:bCs/>
          <w:szCs w:val="21"/>
        </w:rPr>
        <w:t>，其</w:t>
      </w:r>
      <w:r>
        <w:rPr>
          <w:bCs/>
          <w:szCs w:val="21"/>
        </w:rPr>
        <w:t>投标文件为无效。</w:t>
      </w:r>
    </w:p>
    <w:p>
      <w:pPr>
        <w:keepNext w:val="0"/>
        <w:keepLines w:val="0"/>
        <w:pageBreakBefore w:val="0"/>
        <w:kinsoku/>
        <w:wordWrap/>
        <w:overflowPunct/>
        <w:topLinePunct w:val="0"/>
        <w:autoSpaceDE/>
        <w:autoSpaceDN/>
        <w:bidi w:val="0"/>
        <w:adjustRightInd/>
        <w:spacing w:line="360" w:lineRule="exact"/>
        <w:ind w:firstLine="422" w:firstLineChars="200"/>
        <w:textAlignment w:val="auto"/>
        <w:rPr>
          <w:b/>
          <w:szCs w:val="21"/>
        </w:rPr>
      </w:pPr>
    </w:p>
    <w:p>
      <w:pPr>
        <w:pStyle w:val="2"/>
      </w:pPr>
    </w:p>
    <w:p>
      <w:pPr>
        <w:pStyle w:val="28"/>
        <w:rPr>
          <w:b/>
          <w:szCs w:val="21"/>
        </w:rPr>
      </w:pPr>
    </w:p>
    <w:p>
      <w:pPr>
        <w:rPr>
          <w:b/>
          <w:szCs w:val="21"/>
        </w:rPr>
      </w:pPr>
      <w:r>
        <w:rPr>
          <w:b/>
          <w:szCs w:val="21"/>
        </w:rPr>
        <w:br w:type="page"/>
      </w:r>
    </w:p>
    <w:p>
      <w:pPr>
        <w:widowControl/>
        <w:numPr>
          <w:ilvl w:val="0"/>
          <w:numId w:val="10"/>
        </w:numPr>
        <w:jc w:val="left"/>
        <w:rPr>
          <w:b/>
          <w:bCs/>
          <w:kern w:val="28"/>
          <w:szCs w:val="21"/>
        </w:rPr>
      </w:pPr>
      <w:r>
        <w:rPr>
          <w:b/>
          <w:bCs/>
          <w:kern w:val="28"/>
          <w:szCs w:val="21"/>
        </w:rPr>
        <w:t>评</w:t>
      </w:r>
      <w:r>
        <w:rPr>
          <w:rFonts w:hint="eastAsia"/>
          <w:b/>
          <w:bCs/>
          <w:kern w:val="28"/>
          <w:szCs w:val="21"/>
        </w:rPr>
        <w:t xml:space="preserve"> </w:t>
      </w:r>
      <w:r>
        <w:rPr>
          <w:b/>
          <w:bCs/>
          <w:kern w:val="28"/>
          <w:szCs w:val="21"/>
        </w:rPr>
        <w:t>分</w:t>
      </w:r>
      <w:r>
        <w:rPr>
          <w:rFonts w:hint="eastAsia"/>
          <w:b/>
          <w:bCs/>
          <w:kern w:val="28"/>
          <w:szCs w:val="21"/>
        </w:rPr>
        <w:t xml:space="preserve"> </w:t>
      </w:r>
      <w:r>
        <w:rPr>
          <w:b/>
          <w:bCs/>
          <w:kern w:val="28"/>
          <w:szCs w:val="21"/>
        </w:rPr>
        <w:t>标</w:t>
      </w:r>
      <w:r>
        <w:rPr>
          <w:rFonts w:hint="eastAsia"/>
          <w:b/>
          <w:bCs/>
          <w:kern w:val="28"/>
          <w:szCs w:val="21"/>
        </w:rPr>
        <w:t xml:space="preserve"> </w:t>
      </w:r>
      <w:r>
        <w:rPr>
          <w:b/>
          <w:bCs/>
          <w:kern w:val="28"/>
          <w:szCs w:val="21"/>
        </w:rPr>
        <w:t>准</w:t>
      </w:r>
      <w:r>
        <w:rPr>
          <w:rFonts w:hint="eastAsia"/>
          <w:b/>
          <w:bCs/>
          <w:kern w:val="28"/>
          <w:szCs w:val="21"/>
        </w:rPr>
        <w:t xml:space="preserve"> </w:t>
      </w:r>
    </w:p>
    <w:tbl>
      <w:tblPr>
        <w:tblStyle w:val="40"/>
        <w:tblW w:w="9921"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11"/>
        <w:gridCol w:w="875"/>
        <w:gridCol w:w="7805"/>
        <w:gridCol w:w="63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0" w:hRule="atLeast"/>
        </w:trPr>
        <w:tc>
          <w:tcPr>
            <w:tcW w:w="611" w:type="dxa"/>
            <w:tcBorders>
              <w:top w:val="single" w:color="auto" w:sz="4" w:space="0"/>
            </w:tcBorders>
            <w:textDirection w:val="tbRlV"/>
            <w:vAlign w:val="center"/>
          </w:tcPr>
          <w:p>
            <w:pPr>
              <w:spacing w:before="156" w:beforeLines="50" w:after="156" w:afterLines="50" w:line="360" w:lineRule="exact"/>
              <w:jc w:val="center"/>
              <w:rPr>
                <w:rFonts w:hint="eastAsia" w:ascii="宋体" w:hAnsi="宋体" w:cs="宋体"/>
                <w:color w:val="auto"/>
              </w:rPr>
            </w:pPr>
            <w:bookmarkStart w:id="261" w:name="_Toc79395468"/>
            <w:bookmarkStart w:id="262" w:name="_Toc13155"/>
            <w:bookmarkStart w:id="263" w:name="_Toc20559"/>
            <w:bookmarkStart w:id="264" w:name="_Toc460857932"/>
            <w:bookmarkStart w:id="265" w:name="_Toc17707945"/>
            <w:bookmarkStart w:id="266" w:name="_Toc24648"/>
            <w:r>
              <w:rPr>
                <w:rFonts w:hint="eastAsia" w:ascii="宋体" w:hAnsi="宋体" w:cs="宋体"/>
                <w:color w:val="auto"/>
              </w:rPr>
              <w:t>分类</w:t>
            </w:r>
          </w:p>
        </w:tc>
        <w:tc>
          <w:tcPr>
            <w:tcW w:w="875" w:type="dxa"/>
            <w:tcBorders>
              <w:top w:val="single" w:color="auto" w:sz="4" w:space="0"/>
            </w:tcBorders>
            <w:vAlign w:val="center"/>
          </w:tcPr>
          <w:p>
            <w:pPr>
              <w:spacing w:before="156" w:beforeLines="50" w:after="156" w:afterLines="50" w:line="360" w:lineRule="exact"/>
              <w:jc w:val="center"/>
              <w:rPr>
                <w:rFonts w:hint="eastAsia" w:ascii="宋体" w:hAnsi="宋体" w:cs="宋体"/>
                <w:color w:val="auto"/>
              </w:rPr>
            </w:pPr>
            <w:r>
              <w:rPr>
                <w:rFonts w:hint="eastAsia" w:ascii="宋体" w:hAnsi="宋体" w:cs="宋体"/>
                <w:color w:val="auto"/>
              </w:rPr>
              <w:t>评分项</w:t>
            </w:r>
          </w:p>
        </w:tc>
        <w:tc>
          <w:tcPr>
            <w:tcW w:w="7805" w:type="dxa"/>
            <w:tcBorders>
              <w:top w:val="single" w:color="auto" w:sz="4" w:space="0"/>
            </w:tcBorders>
            <w:vAlign w:val="center"/>
          </w:tcPr>
          <w:p>
            <w:pPr>
              <w:spacing w:line="360" w:lineRule="exact"/>
              <w:jc w:val="center"/>
              <w:rPr>
                <w:rFonts w:hint="eastAsia" w:ascii="宋体" w:hAnsi="宋体" w:cs="宋体"/>
                <w:color w:val="auto"/>
              </w:rPr>
            </w:pPr>
            <w:r>
              <w:rPr>
                <w:rFonts w:hint="eastAsia" w:ascii="宋体" w:hAnsi="宋体" w:cs="宋体"/>
                <w:color w:val="auto"/>
              </w:rPr>
              <w:t>评分标准</w:t>
            </w:r>
          </w:p>
        </w:tc>
        <w:tc>
          <w:tcPr>
            <w:tcW w:w="630" w:type="dxa"/>
            <w:tcBorders>
              <w:top w:val="single" w:color="auto" w:sz="4" w:space="0"/>
              <w:bottom w:val="single" w:color="auto" w:sz="4" w:space="0"/>
            </w:tcBorders>
            <w:vAlign w:val="center"/>
          </w:tcPr>
          <w:p>
            <w:pPr>
              <w:snapToGrid w:val="0"/>
              <w:spacing w:line="360" w:lineRule="exact"/>
              <w:jc w:val="center"/>
              <w:rPr>
                <w:rFonts w:hint="eastAsia" w:ascii="宋体" w:hAnsi="宋体" w:cs="宋体"/>
                <w:color w:val="auto"/>
              </w:rPr>
            </w:pPr>
            <w:r>
              <w:rPr>
                <w:rFonts w:hint="eastAsia" w:ascii="宋体" w:hAnsi="宋体" w:cs="宋体"/>
                <w:color w:val="auto"/>
              </w:rPr>
              <w:t>分值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611" w:type="dxa"/>
            <w:vMerge w:val="restart"/>
            <w:tcBorders>
              <w:top w:val="single" w:color="auto" w:sz="4" w:space="0"/>
            </w:tcBorders>
            <w:textDirection w:val="tbRlV"/>
            <w:vAlign w:val="center"/>
          </w:tcPr>
          <w:p>
            <w:pPr>
              <w:spacing w:before="156" w:beforeLines="50" w:after="156" w:afterLines="50" w:line="360" w:lineRule="exact"/>
              <w:jc w:val="center"/>
              <w:rPr>
                <w:rFonts w:hint="eastAsia" w:ascii="宋体" w:hAnsi="宋体" w:cs="宋体"/>
                <w:color w:val="auto"/>
              </w:rPr>
            </w:pPr>
            <w:r>
              <w:rPr>
                <w:rFonts w:hint="eastAsia" w:ascii="宋体" w:hAnsi="宋体" w:cs="宋体"/>
                <w:color w:val="auto"/>
              </w:rPr>
              <w:t>商务技术分90分</w:t>
            </w:r>
          </w:p>
        </w:tc>
        <w:tc>
          <w:tcPr>
            <w:tcW w:w="875" w:type="dxa"/>
            <w:vMerge w:val="restart"/>
            <w:tcBorders>
              <w:top w:val="single" w:color="auto" w:sz="4" w:space="0"/>
            </w:tcBorders>
            <w:vAlign w:val="center"/>
          </w:tcPr>
          <w:p>
            <w:pPr>
              <w:spacing w:line="360" w:lineRule="exact"/>
              <w:jc w:val="center"/>
              <w:rPr>
                <w:rFonts w:hint="eastAsia" w:ascii="宋体" w:hAnsi="宋体" w:cs="宋体"/>
                <w:color w:val="auto"/>
              </w:rPr>
            </w:pPr>
            <w:r>
              <w:rPr>
                <w:rFonts w:hint="eastAsia" w:ascii="宋体" w:hAnsi="宋体" w:cs="宋体"/>
                <w:color w:val="auto"/>
              </w:rPr>
              <w:t>项目</w:t>
            </w:r>
          </w:p>
          <w:p>
            <w:pPr>
              <w:spacing w:line="360" w:lineRule="exact"/>
              <w:jc w:val="center"/>
              <w:rPr>
                <w:rFonts w:hint="eastAsia" w:ascii="宋体" w:hAnsi="宋体" w:cs="宋体"/>
                <w:color w:val="auto"/>
              </w:rPr>
            </w:pPr>
            <w:r>
              <w:rPr>
                <w:rFonts w:hint="eastAsia" w:ascii="宋体" w:hAnsi="宋体" w:cs="宋体"/>
                <w:color w:val="auto"/>
              </w:rPr>
              <w:t>理解</w:t>
            </w:r>
          </w:p>
        </w:tc>
        <w:tc>
          <w:tcPr>
            <w:tcW w:w="7805" w:type="dxa"/>
            <w:tcBorders>
              <w:top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lang w:eastAsia="zh-CN"/>
              </w:rPr>
              <w:t>（</w:t>
            </w:r>
            <w:r>
              <w:rPr>
                <w:rFonts w:hint="eastAsia" w:ascii="宋体" w:hAnsi="宋体" w:cs="宋体"/>
                <w:color w:val="auto"/>
                <w:lang w:val="en-US" w:eastAsia="zh-CN"/>
              </w:rPr>
              <w:t>1</w:t>
            </w:r>
            <w:r>
              <w:rPr>
                <w:rFonts w:hint="eastAsia" w:ascii="宋体" w:hAnsi="宋体" w:cs="宋体"/>
                <w:color w:val="auto"/>
                <w:lang w:eastAsia="zh-CN"/>
              </w:rPr>
              <w:t>）</w:t>
            </w:r>
            <w:r>
              <w:rPr>
                <w:rFonts w:hint="eastAsia" w:ascii="宋体" w:hAnsi="宋体" w:cs="宋体"/>
                <w:color w:val="auto"/>
              </w:rPr>
              <w:t>根据标人对本项目的背景情况、政策法规的理解程度进行评议。</w:t>
            </w:r>
          </w:p>
          <w:p>
            <w:pPr>
              <w:spacing w:line="360" w:lineRule="exact"/>
              <w:rPr>
                <w:rFonts w:hint="eastAsia" w:ascii="宋体" w:hAnsi="宋体" w:cs="宋体"/>
                <w:color w:val="auto"/>
              </w:rPr>
            </w:pPr>
            <w:r>
              <w:rPr>
                <w:rFonts w:hint="eastAsia" w:ascii="宋体" w:hAnsi="宋体" w:cs="宋体"/>
                <w:color w:val="auto"/>
              </w:rPr>
              <w:t>对本项目的背景情况、政策法规的理解准确到位的得</w:t>
            </w:r>
            <w:r>
              <w:rPr>
                <w:rFonts w:hint="eastAsia" w:ascii="宋体" w:hAnsi="宋体" w:cs="宋体"/>
                <w:color w:val="auto"/>
                <w:lang w:val="en-US" w:eastAsia="zh-CN"/>
              </w:rPr>
              <w:t>5</w:t>
            </w:r>
            <w:r>
              <w:rPr>
                <w:rFonts w:hint="eastAsia" w:ascii="宋体" w:hAnsi="宋体" w:cs="宋体"/>
                <w:color w:val="auto"/>
              </w:rPr>
              <w:t>分；对本项目的背景情况、政策法规的理解较为准确到位的得</w:t>
            </w:r>
            <w:r>
              <w:rPr>
                <w:rFonts w:hint="eastAsia" w:ascii="宋体" w:hAnsi="宋体" w:cs="宋体"/>
                <w:color w:val="auto"/>
                <w:lang w:val="en-US" w:eastAsia="zh-CN"/>
              </w:rPr>
              <w:t>3</w:t>
            </w:r>
            <w:r>
              <w:rPr>
                <w:rFonts w:hint="eastAsia" w:ascii="宋体" w:hAnsi="宋体" w:cs="宋体"/>
                <w:color w:val="auto"/>
              </w:rPr>
              <w:t>分；对本项目的背景情况、政策法规的理解不够准确到位的，最高</w:t>
            </w:r>
            <w:r>
              <w:rPr>
                <w:rFonts w:hint="eastAsia" w:ascii="宋体" w:hAnsi="宋体" w:cs="宋体"/>
                <w:color w:val="auto"/>
                <w:lang w:val="en-US" w:eastAsia="zh-CN"/>
              </w:rPr>
              <w:t>1</w:t>
            </w:r>
            <w:r>
              <w:rPr>
                <w:rFonts w:hint="eastAsia" w:ascii="宋体" w:hAnsi="宋体" w:cs="宋体"/>
                <w:color w:val="auto"/>
              </w:rPr>
              <w:t>分；未提供的不得分。</w:t>
            </w:r>
          </w:p>
        </w:tc>
        <w:tc>
          <w:tcPr>
            <w:tcW w:w="630" w:type="dxa"/>
            <w:tcBorders>
              <w:top w:val="single" w:color="auto" w:sz="4" w:space="0"/>
              <w:bottom w:val="single" w:color="auto" w:sz="4" w:space="0"/>
            </w:tcBorders>
            <w:vAlign w:val="center"/>
          </w:tcPr>
          <w:p>
            <w:pPr>
              <w:snapToGrid w:val="0"/>
              <w:spacing w:line="360" w:lineRule="exact"/>
              <w:jc w:val="center"/>
              <w:rPr>
                <w:rFonts w:hint="eastAsia" w:ascii="宋体" w:hAnsi="宋体" w:eastAsia="宋体" w:cs="宋体"/>
                <w:color w:val="0000FF"/>
                <w:lang w:eastAsia="zh-CN"/>
              </w:rPr>
            </w:pPr>
            <w:r>
              <w:rPr>
                <w:rFonts w:hint="eastAsia" w:ascii="宋体" w:hAnsi="宋体" w:cs="宋体"/>
                <w:color w:val="0000FF"/>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611" w:type="dxa"/>
            <w:vMerge w:val="continue"/>
            <w:textDirection w:val="tbRlV"/>
            <w:vAlign w:val="center"/>
          </w:tcPr>
          <w:p>
            <w:pPr>
              <w:spacing w:before="156" w:beforeLines="50" w:after="156" w:afterLines="50" w:line="360" w:lineRule="exact"/>
              <w:jc w:val="center"/>
              <w:rPr>
                <w:rFonts w:hint="eastAsia" w:ascii="宋体" w:hAnsi="宋体" w:cs="宋体"/>
                <w:color w:val="auto"/>
              </w:rPr>
            </w:pPr>
          </w:p>
        </w:tc>
        <w:tc>
          <w:tcPr>
            <w:tcW w:w="875" w:type="dxa"/>
            <w:vMerge w:val="continue"/>
            <w:vAlign w:val="center"/>
          </w:tcPr>
          <w:p>
            <w:pPr>
              <w:spacing w:line="360" w:lineRule="exact"/>
              <w:jc w:val="center"/>
              <w:rPr>
                <w:rFonts w:hint="eastAsia" w:ascii="宋体" w:hAnsi="宋体" w:cs="宋体"/>
                <w:color w:val="auto"/>
              </w:rPr>
            </w:pPr>
          </w:p>
        </w:tc>
        <w:tc>
          <w:tcPr>
            <w:tcW w:w="7805" w:type="dxa"/>
            <w:tcBorders>
              <w:top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w:t>
            </w:r>
            <w:r>
              <w:rPr>
                <w:rFonts w:hint="eastAsia" w:ascii="宋体" w:hAnsi="宋体" w:cs="宋体"/>
                <w:color w:val="auto"/>
                <w:lang w:val="en-US" w:eastAsia="zh-CN"/>
              </w:rPr>
              <w:t>2</w:t>
            </w:r>
            <w:r>
              <w:rPr>
                <w:rFonts w:hint="eastAsia" w:ascii="宋体" w:hAnsi="宋体" w:cs="宋体"/>
                <w:color w:val="auto"/>
              </w:rPr>
              <w:t>）根据投标人针对</w:t>
            </w:r>
            <w:r>
              <w:rPr>
                <w:rFonts w:hint="eastAsia" w:hAnsi="宋体" w:eastAsia="宋体" w:cs="宋体"/>
                <w:color w:val="auto"/>
                <w:sz w:val="21"/>
              </w:rPr>
              <w:t>数字孪生建筑实体底座建设的关键点和难点</w:t>
            </w:r>
            <w:r>
              <w:rPr>
                <w:rFonts w:hint="eastAsia" w:ascii="宋体" w:hAnsi="宋体" w:cs="宋体"/>
                <w:color w:val="auto"/>
                <w:lang w:val="en-US" w:eastAsia="zh-CN"/>
              </w:rPr>
              <w:t>的</w:t>
            </w:r>
            <w:r>
              <w:rPr>
                <w:rFonts w:hint="eastAsia" w:ascii="宋体" w:hAnsi="宋体" w:cs="宋体"/>
                <w:color w:val="auto"/>
              </w:rPr>
              <w:t xml:space="preserve">分析及解决方案进行评议。 </w:t>
            </w:r>
          </w:p>
          <w:p>
            <w:pPr>
              <w:spacing w:line="360" w:lineRule="exact"/>
              <w:rPr>
                <w:rFonts w:hint="eastAsia" w:ascii="宋体" w:hAnsi="宋体" w:eastAsia="宋体" w:cs="宋体"/>
                <w:color w:val="auto"/>
                <w:kern w:val="2"/>
                <w:sz w:val="21"/>
                <w:szCs w:val="24"/>
                <w:lang w:val="en-US" w:eastAsia="zh-CN" w:bidi="ar-SA"/>
              </w:rPr>
            </w:pPr>
            <w:r>
              <w:rPr>
                <w:rFonts w:hint="eastAsia" w:ascii="宋体" w:hAnsi="宋体" w:cs="宋体"/>
                <w:color w:val="auto"/>
              </w:rPr>
              <w:t>重难点分析准确，解决方案内容详实、措施有力的得</w:t>
            </w:r>
            <w:r>
              <w:rPr>
                <w:rFonts w:hint="eastAsia" w:ascii="宋体" w:hAnsi="宋体" w:cs="宋体"/>
                <w:color w:val="auto"/>
                <w:lang w:val="en-US" w:eastAsia="zh-CN"/>
              </w:rPr>
              <w:t>5</w:t>
            </w:r>
            <w:r>
              <w:rPr>
                <w:rFonts w:hint="eastAsia" w:ascii="宋体" w:hAnsi="宋体" w:cs="宋体"/>
                <w:color w:val="auto"/>
              </w:rPr>
              <w:t>分；重难点分析较为准确，解决方案内容比较详细、措施适当的得</w:t>
            </w:r>
            <w:r>
              <w:rPr>
                <w:rFonts w:hint="eastAsia" w:ascii="宋体" w:hAnsi="宋体" w:cs="宋体"/>
                <w:color w:val="auto"/>
                <w:lang w:val="en-US" w:eastAsia="zh-CN"/>
              </w:rPr>
              <w:t>3</w:t>
            </w:r>
            <w:r>
              <w:rPr>
                <w:rFonts w:hint="eastAsia" w:ascii="宋体" w:hAnsi="宋体" w:cs="宋体"/>
                <w:color w:val="auto"/>
              </w:rPr>
              <w:t>分；重点和难点分析不够准确，解决方案笼统，措施不足的得</w:t>
            </w:r>
            <w:r>
              <w:rPr>
                <w:rFonts w:hint="eastAsia" w:ascii="宋体" w:hAnsi="宋体" w:cs="宋体"/>
                <w:color w:val="auto"/>
                <w:lang w:val="en-US" w:eastAsia="zh-CN"/>
              </w:rPr>
              <w:t>1</w:t>
            </w:r>
            <w:r>
              <w:rPr>
                <w:rFonts w:hint="eastAsia" w:ascii="宋体" w:hAnsi="宋体" w:cs="宋体"/>
                <w:color w:val="auto"/>
              </w:rPr>
              <w:t>分；未提供的不得分。</w:t>
            </w:r>
          </w:p>
        </w:tc>
        <w:tc>
          <w:tcPr>
            <w:tcW w:w="630" w:type="dxa"/>
            <w:tcBorders>
              <w:top w:val="single" w:color="auto" w:sz="4" w:space="0"/>
              <w:bottom w:val="single" w:color="auto" w:sz="4" w:space="0"/>
            </w:tcBorders>
            <w:vAlign w:val="center"/>
          </w:tcPr>
          <w:p>
            <w:pPr>
              <w:snapToGrid w:val="0"/>
              <w:spacing w:line="36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611" w:type="dxa"/>
            <w:vMerge w:val="continue"/>
            <w:textDirection w:val="tbRlV"/>
            <w:vAlign w:val="center"/>
          </w:tcPr>
          <w:p>
            <w:pPr>
              <w:spacing w:before="156" w:beforeLines="50" w:after="156" w:afterLines="50" w:line="360" w:lineRule="exact"/>
              <w:jc w:val="center"/>
              <w:rPr>
                <w:rFonts w:hint="eastAsia" w:ascii="宋体" w:hAnsi="宋体" w:cs="宋体"/>
                <w:color w:val="auto"/>
              </w:rPr>
            </w:pPr>
          </w:p>
        </w:tc>
        <w:tc>
          <w:tcPr>
            <w:tcW w:w="875" w:type="dxa"/>
            <w:vMerge w:val="restart"/>
            <w:tcBorders>
              <w:top w:val="single" w:color="auto" w:sz="4" w:space="0"/>
            </w:tcBorders>
            <w:vAlign w:val="center"/>
          </w:tcPr>
          <w:p>
            <w:pPr>
              <w:spacing w:before="156" w:beforeLines="50" w:after="156" w:afterLines="50" w:line="360" w:lineRule="exact"/>
              <w:jc w:val="center"/>
              <w:rPr>
                <w:rFonts w:hint="eastAsia" w:ascii="宋体" w:hAnsi="宋体" w:cs="宋体"/>
                <w:color w:val="auto"/>
                <w:lang w:val="en-US" w:eastAsia="zh-CN"/>
              </w:rPr>
            </w:pPr>
            <w:r>
              <w:rPr>
                <w:rFonts w:hint="eastAsia" w:ascii="宋体" w:hAnsi="宋体" w:cs="宋体"/>
                <w:color w:val="auto"/>
                <w:lang w:val="en-US" w:eastAsia="zh-CN"/>
              </w:rPr>
              <w:t>项目</w:t>
            </w:r>
          </w:p>
          <w:p>
            <w:pPr>
              <w:spacing w:before="156" w:beforeLines="50" w:after="156" w:afterLines="50" w:line="360" w:lineRule="exact"/>
              <w:jc w:val="center"/>
              <w:rPr>
                <w:rFonts w:hint="eastAsia" w:ascii="宋体" w:hAnsi="宋体" w:cs="宋体"/>
                <w:color w:val="auto"/>
              </w:rPr>
            </w:pPr>
            <w:r>
              <w:rPr>
                <w:rFonts w:hint="eastAsia" w:ascii="宋体" w:hAnsi="宋体" w:cs="宋体"/>
                <w:color w:val="auto"/>
              </w:rPr>
              <w:t>方案</w:t>
            </w:r>
          </w:p>
        </w:tc>
        <w:tc>
          <w:tcPr>
            <w:tcW w:w="7805" w:type="dxa"/>
            <w:tcBorders>
              <w:top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w:t>
            </w:r>
            <w:r>
              <w:rPr>
                <w:rFonts w:hint="eastAsia" w:ascii="宋体" w:hAnsi="宋体" w:cs="宋体"/>
                <w:color w:val="auto"/>
                <w:lang w:val="en-US" w:eastAsia="zh-CN"/>
              </w:rPr>
              <w:t>1</w:t>
            </w:r>
            <w:r>
              <w:rPr>
                <w:rFonts w:hint="eastAsia" w:ascii="宋体" w:hAnsi="宋体" w:cs="宋体"/>
                <w:color w:val="auto"/>
              </w:rPr>
              <w:t>）根据投标人提供的</w:t>
            </w:r>
            <w:r>
              <w:rPr>
                <w:rFonts w:hint="eastAsia" w:ascii="宋体" w:hAnsi="宋体" w:cs="宋体"/>
                <w:color w:val="auto"/>
                <w:lang w:val="en-US" w:eastAsia="zh-CN"/>
              </w:rPr>
              <w:t>整体</w:t>
            </w:r>
            <w:r>
              <w:rPr>
                <w:rFonts w:hint="eastAsia" w:ascii="宋体" w:hAnsi="宋体" w:cs="宋体"/>
                <w:color w:val="auto"/>
              </w:rPr>
              <w:t>技术方案（包括但不限于相关规范理解、技术路线、整体思路、建筑、院落实体建设、三维建模数据采集、处理及优化方案、建设内容的梳理提炼）进行综合评议。</w:t>
            </w:r>
          </w:p>
          <w:p>
            <w:pPr>
              <w:spacing w:line="360" w:lineRule="exact"/>
              <w:rPr>
                <w:rFonts w:hint="eastAsia" w:ascii="宋体" w:hAnsi="宋体" w:eastAsia="宋体" w:cs="宋体"/>
                <w:color w:val="auto"/>
                <w:kern w:val="2"/>
                <w:sz w:val="21"/>
                <w:szCs w:val="24"/>
                <w:lang w:val="en-US" w:eastAsia="zh-CN" w:bidi="ar-SA"/>
              </w:rPr>
            </w:pPr>
            <w:r>
              <w:rPr>
                <w:rFonts w:hint="eastAsia" w:ascii="宋体" w:hAnsi="宋体" w:cs="宋体"/>
                <w:color w:val="auto"/>
              </w:rPr>
              <w:t>方案内容完整，条理清晰，表述准确到位的得</w:t>
            </w:r>
            <w:r>
              <w:rPr>
                <w:rFonts w:hint="eastAsia" w:ascii="宋体" w:hAnsi="宋体" w:cs="宋体"/>
                <w:color w:val="auto"/>
                <w:lang w:val="en-US" w:eastAsia="zh-CN"/>
              </w:rPr>
              <w:t>6</w:t>
            </w:r>
            <w:r>
              <w:rPr>
                <w:rFonts w:hint="eastAsia" w:ascii="宋体" w:hAnsi="宋体" w:cs="宋体"/>
                <w:color w:val="auto"/>
              </w:rPr>
              <w:t xml:space="preserve"> 分；方案内容较完整，条理较清晰，表述基本到位的得</w:t>
            </w:r>
            <w:r>
              <w:rPr>
                <w:rFonts w:hint="eastAsia" w:ascii="宋体" w:hAnsi="宋体" w:cs="宋体"/>
                <w:color w:val="auto"/>
                <w:lang w:val="en-US" w:eastAsia="zh-CN"/>
              </w:rPr>
              <w:t>4</w:t>
            </w:r>
            <w:r>
              <w:rPr>
                <w:rFonts w:hint="eastAsia" w:ascii="宋体" w:hAnsi="宋体" w:cs="宋体"/>
                <w:color w:val="auto"/>
              </w:rPr>
              <w:t>分；方案内容不完整，条理欠清晰，表述基本到位的得</w:t>
            </w:r>
            <w:r>
              <w:rPr>
                <w:rFonts w:hint="eastAsia" w:ascii="宋体" w:hAnsi="宋体" w:cs="宋体"/>
                <w:color w:val="auto"/>
                <w:lang w:val="en-US" w:eastAsia="zh-CN"/>
              </w:rPr>
              <w:t>2</w:t>
            </w:r>
            <w:r>
              <w:rPr>
                <w:rFonts w:hint="eastAsia" w:ascii="宋体" w:hAnsi="宋体" w:cs="宋体"/>
                <w:color w:val="auto"/>
              </w:rPr>
              <w:t>分；未提供的不得分。</w:t>
            </w:r>
          </w:p>
        </w:tc>
        <w:tc>
          <w:tcPr>
            <w:tcW w:w="630" w:type="dxa"/>
            <w:tcBorders>
              <w:top w:val="single" w:color="auto" w:sz="4" w:space="0"/>
              <w:bottom w:val="single" w:color="auto" w:sz="4" w:space="0"/>
            </w:tcBorders>
            <w:vAlign w:val="center"/>
          </w:tcPr>
          <w:p>
            <w:pPr>
              <w:snapToGrid w:val="0"/>
              <w:spacing w:line="36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611" w:type="dxa"/>
            <w:vMerge w:val="continue"/>
            <w:textDirection w:val="tbRlV"/>
            <w:vAlign w:val="center"/>
          </w:tcPr>
          <w:p>
            <w:pPr>
              <w:spacing w:before="156" w:beforeLines="50" w:after="156" w:afterLines="50" w:line="360" w:lineRule="exact"/>
              <w:jc w:val="center"/>
              <w:rPr>
                <w:rFonts w:hint="eastAsia" w:ascii="宋体" w:hAnsi="宋体" w:cs="宋体"/>
                <w:color w:val="auto"/>
              </w:rPr>
            </w:pPr>
          </w:p>
        </w:tc>
        <w:tc>
          <w:tcPr>
            <w:tcW w:w="875" w:type="dxa"/>
            <w:vMerge w:val="continue"/>
            <w:vAlign w:val="center"/>
          </w:tcPr>
          <w:p>
            <w:pPr>
              <w:numPr>
                <w:ilvl w:val="1"/>
                <w:numId w:val="11"/>
              </w:numPr>
              <w:spacing w:before="156" w:beforeLines="50" w:after="156" w:afterLines="50" w:line="360" w:lineRule="exact"/>
              <w:ind w:left="194" w:firstLine="0"/>
              <w:rPr>
                <w:rFonts w:hint="eastAsia" w:ascii="宋体" w:hAnsi="宋体" w:cs="宋体"/>
                <w:color w:val="auto"/>
              </w:rPr>
            </w:pPr>
          </w:p>
        </w:tc>
        <w:tc>
          <w:tcPr>
            <w:tcW w:w="7805" w:type="dxa"/>
            <w:tcBorders>
              <w:top w:val="single" w:color="auto" w:sz="4" w:space="0"/>
            </w:tcBorders>
            <w:vAlign w:val="center"/>
          </w:tcPr>
          <w:p>
            <w:pPr>
              <w:rPr>
                <w:rFonts w:hint="eastAsia"/>
                <w:color w:val="auto"/>
                <w:lang w:val="en-US" w:eastAsia="zh-CN"/>
              </w:rPr>
            </w:pPr>
            <w:r>
              <w:rPr>
                <w:rFonts w:hint="eastAsia"/>
                <w:color w:val="auto"/>
                <w:lang w:val="en-US" w:eastAsia="zh-CN"/>
              </w:rPr>
              <w:t>（2）根据投标人提供的实景三维数据脱敏脱密技术方案的方案完整性、技术可行性综合评议。</w:t>
            </w:r>
          </w:p>
          <w:p>
            <w:pPr>
              <w:rPr>
                <w:rFonts w:hint="default"/>
                <w:color w:val="auto"/>
                <w:lang w:val="en-US" w:eastAsia="zh-CN"/>
              </w:rPr>
            </w:pPr>
            <w:r>
              <w:rPr>
                <w:rFonts w:hint="eastAsia"/>
                <w:color w:val="auto"/>
                <w:lang w:val="en-US" w:eastAsia="zh-CN"/>
              </w:rPr>
              <w:t>实景三维数据脱敏脱密技术方案完整，技术可行的得6分；实景三维数据脱敏脱密技术方案比较完整，技术比较可行的得4分；实景三维数据脱敏脱密技术方案不完整，技术存在缺陷的得2分；</w:t>
            </w:r>
            <w:r>
              <w:rPr>
                <w:rFonts w:hint="eastAsia" w:ascii="宋体" w:hAnsi="宋体" w:cs="宋体"/>
                <w:color w:val="auto"/>
              </w:rPr>
              <w:t>未提供的不得分。</w:t>
            </w:r>
          </w:p>
        </w:tc>
        <w:tc>
          <w:tcPr>
            <w:tcW w:w="630" w:type="dxa"/>
            <w:tcBorders>
              <w:top w:val="single" w:color="auto" w:sz="4" w:space="0"/>
            </w:tcBorders>
            <w:vAlign w:val="center"/>
          </w:tcPr>
          <w:p>
            <w:pPr>
              <w:snapToGrid w:val="0"/>
              <w:spacing w:line="360" w:lineRule="exact"/>
              <w:jc w:val="center"/>
              <w:rPr>
                <w:rFonts w:hint="eastAsia" w:ascii="宋体" w:hAnsi="宋体" w:eastAsia="宋体" w:cs="宋体"/>
                <w:color w:val="auto"/>
                <w:lang w:val="en-US"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611" w:type="dxa"/>
            <w:vMerge w:val="continue"/>
            <w:textDirection w:val="tbRlV"/>
            <w:vAlign w:val="center"/>
          </w:tcPr>
          <w:p>
            <w:pPr>
              <w:spacing w:before="156" w:beforeLines="50" w:after="156" w:afterLines="50" w:line="360" w:lineRule="exact"/>
              <w:jc w:val="center"/>
              <w:rPr>
                <w:rFonts w:hint="eastAsia"/>
              </w:rPr>
            </w:pPr>
          </w:p>
          <w:p>
            <w:pPr>
              <w:pStyle w:val="2"/>
              <w:rPr>
                <w:rFonts w:hint="eastAsia"/>
              </w:rPr>
            </w:pPr>
          </w:p>
        </w:tc>
        <w:tc>
          <w:tcPr>
            <w:tcW w:w="875" w:type="dxa"/>
            <w:vMerge w:val="continue"/>
            <w:vAlign w:val="center"/>
          </w:tcPr>
          <w:p>
            <w:pPr>
              <w:numPr>
                <w:ilvl w:val="1"/>
                <w:numId w:val="11"/>
              </w:numPr>
              <w:spacing w:before="156" w:beforeLines="50" w:after="156" w:afterLines="50" w:line="360" w:lineRule="exact"/>
              <w:ind w:left="194" w:firstLine="0"/>
              <w:rPr>
                <w:rFonts w:hint="eastAsia" w:ascii="宋体" w:hAnsi="宋体" w:cs="宋体"/>
                <w:color w:val="auto"/>
              </w:rPr>
            </w:pPr>
          </w:p>
        </w:tc>
        <w:tc>
          <w:tcPr>
            <w:tcW w:w="7805" w:type="dxa"/>
            <w:tcBorders>
              <w:top w:val="single" w:color="auto" w:sz="4" w:space="0"/>
            </w:tcBorders>
            <w:vAlign w:val="center"/>
          </w:tcPr>
          <w:p>
            <w:pPr>
              <w:numPr>
                <w:ilvl w:val="-1"/>
                <w:numId w:val="0"/>
              </w:numPr>
              <w:spacing w:line="360" w:lineRule="exact"/>
              <w:rPr>
                <w:rFonts w:hint="eastAsia"/>
                <w:color w:val="auto"/>
                <w:lang w:val="en-US" w:eastAsia="zh-CN"/>
              </w:rPr>
            </w:pPr>
            <w:r>
              <w:rPr>
                <w:rFonts w:hint="eastAsia"/>
                <w:color w:val="auto"/>
                <w:lang w:val="en-US" w:eastAsia="zh-CN"/>
              </w:rPr>
              <w:t>（3）根据投标人提供的</w:t>
            </w:r>
            <w:r>
              <w:rPr>
                <w:rFonts w:hint="eastAsia"/>
                <w:color w:val="auto"/>
              </w:rPr>
              <w:t>数字孪生空间底座建设</w:t>
            </w:r>
            <w:r>
              <w:rPr>
                <w:rFonts w:hint="eastAsia"/>
                <w:color w:val="auto"/>
                <w:lang w:val="en-US" w:eastAsia="zh-CN"/>
              </w:rPr>
              <w:t>实施方案的完整性、技术可行性综合评议。</w:t>
            </w:r>
          </w:p>
          <w:p>
            <w:pPr>
              <w:pStyle w:val="2"/>
              <w:rPr>
                <w:rFonts w:hint="default"/>
                <w:color w:val="auto"/>
                <w:lang w:val="en-US" w:eastAsia="zh-CN"/>
              </w:rPr>
            </w:pPr>
            <w:r>
              <w:rPr>
                <w:rFonts w:hint="eastAsia" w:ascii="宋体" w:hAnsi="宋体" w:eastAsia="宋体" w:cs="宋体"/>
                <w:b w:val="0"/>
                <w:bCs w:val="0"/>
                <w:color w:val="auto"/>
                <w:sz w:val="21"/>
                <w:szCs w:val="21"/>
              </w:rPr>
              <w:t>数字孪生空间底座建设</w:t>
            </w:r>
            <w:r>
              <w:rPr>
                <w:rFonts w:hint="eastAsia" w:ascii="宋体" w:hAnsi="宋体" w:eastAsia="宋体" w:cs="宋体"/>
                <w:b w:val="0"/>
                <w:bCs w:val="0"/>
                <w:color w:val="auto"/>
                <w:sz w:val="21"/>
                <w:szCs w:val="21"/>
                <w:lang w:val="en-US" w:eastAsia="zh-CN"/>
              </w:rPr>
              <w:t>实施</w:t>
            </w:r>
            <w:r>
              <w:rPr>
                <w:rFonts w:hint="eastAsia" w:ascii="宋体" w:hAnsi="宋体" w:cs="宋体"/>
                <w:color w:val="auto"/>
                <w:sz w:val="21"/>
                <w:szCs w:val="21"/>
                <w:lang w:val="en-US" w:eastAsia="zh-CN"/>
              </w:rPr>
              <w:t>方案完</w:t>
            </w:r>
            <w:r>
              <w:rPr>
                <w:rFonts w:hint="eastAsia"/>
                <w:color w:val="auto"/>
                <w:sz w:val="21"/>
                <w:szCs w:val="21"/>
                <w:lang w:val="en-US" w:eastAsia="zh-CN"/>
              </w:rPr>
              <w:t>整、技术可行的得6分；</w:t>
            </w:r>
            <w:r>
              <w:rPr>
                <w:rFonts w:hint="eastAsia" w:ascii="宋体" w:hAnsi="宋体" w:eastAsia="宋体" w:cs="宋体"/>
                <w:b w:val="0"/>
                <w:bCs w:val="0"/>
                <w:color w:val="auto"/>
                <w:sz w:val="21"/>
                <w:szCs w:val="21"/>
              </w:rPr>
              <w:t>数字孪生空间底座建设</w:t>
            </w:r>
            <w:r>
              <w:rPr>
                <w:rFonts w:hint="eastAsia" w:ascii="宋体" w:hAnsi="宋体" w:eastAsia="宋体" w:cs="宋体"/>
                <w:b w:val="0"/>
                <w:bCs w:val="0"/>
                <w:color w:val="auto"/>
                <w:sz w:val="21"/>
                <w:szCs w:val="21"/>
                <w:lang w:val="en-US" w:eastAsia="zh-CN"/>
              </w:rPr>
              <w:t>实施</w:t>
            </w:r>
            <w:r>
              <w:rPr>
                <w:rFonts w:hint="eastAsia" w:ascii="宋体" w:hAnsi="宋体" w:cs="宋体"/>
                <w:color w:val="auto"/>
                <w:sz w:val="21"/>
                <w:szCs w:val="21"/>
                <w:lang w:val="en-US" w:eastAsia="zh-CN"/>
              </w:rPr>
              <w:t>方案比较完</w:t>
            </w:r>
            <w:r>
              <w:rPr>
                <w:rFonts w:hint="eastAsia"/>
                <w:color w:val="auto"/>
                <w:sz w:val="21"/>
                <w:szCs w:val="21"/>
                <w:lang w:val="en-US" w:eastAsia="zh-CN"/>
              </w:rPr>
              <w:t>整性、技术比较可行的得4分；</w:t>
            </w:r>
            <w:r>
              <w:rPr>
                <w:rFonts w:hint="eastAsia" w:ascii="宋体" w:hAnsi="宋体" w:eastAsia="宋体" w:cs="宋体"/>
                <w:b w:val="0"/>
                <w:bCs w:val="0"/>
                <w:color w:val="auto"/>
                <w:sz w:val="21"/>
                <w:szCs w:val="21"/>
              </w:rPr>
              <w:t>数字孪生空间底座建设</w:t>
            </w:r>
            <w:r>
              <w:rPr>
                <w:rFonts w:hint="eastAsia" w:ascii="宋体" w:hAnsi="宋体" w:eastAsia="宋体" w:cs="宋体"/>
                <w:b w:val="0"/>
                <w:bCs w:val="0"/>
                <w:color w:val="auto"/>
                <w:sz w:val="21"/>
                <w:szCs w:val="21"/>
                <w:lang w:val="en-US" w:eastAsia="zh-CN"/>
              </w:rPr>
              <w:t>实施</w:t>
            </w:r>
            <w:r>
              <w:rPr>
                <w:rFonts w:hint="eastAsia" w:ascii="宋体" w:hAnsi="宋体" w:cs="宋体"/>
                <w:color w:val="auto"/>
                <w:sz w:val="21"/>
                <w:szCs w:val="21"/>
                <w:lang w:val="en-US" w:eastAsia="zh-CN"/>
              </w:rPr>
              <w:t>方案的不完</w:t>
            </w:r>
            <w:r>
              <w:rPr>
                <w:rFonts w:hint="eastAsia"/>
                <w:color w:val="auto"/>
                <w:sz w:val="21"/>
                <w:szCs w:val="21"/>
                <w:lang w:val="en-US" w:eastAsia="zh-CN"/>
              </w:rPr>
              <w:t>整、技术存在缺陷的得2分。</w:t>
            </w:r>
          </w:p>
        </w:tc>
        <w:tc>
          <w:tcPr>
            <w:tcW w:w="630" w:type="dxa"/>
            <w:tcBorders>
              <w:top w:val="single" w:color="auto" w:sz="4" w:space="0"/>
            </w:tcBorders>
            <w:vAlign w:val="center"/>
          </w:tcPr>
          <w:p>
            <w:pPr>
              <w:snapToGrid w:val="0"/>
              <w:spacing w:line="360" w:lineRule="exact"/>
              <w:jc w:val="center"/>
              <w:rPr>
                <w:rFonts w:hint="eastAsia" w:ascii="宋体" w:hAnsi="宋体" w:eastAsia="宋体" w:cs="宋体"/>
                <w:color w:val="auto"/>
                <w:lang w:val="en-US"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284" w:hRule="atLeast"/>
        </w:trPr>
        <w:tc>
          <w:tcPr>
            <w:tcW w:w="611" w:type="dxa"/>
            <w:vMerge w:val="continue"/>
            <w:textDirection w:val="tbRlV"/>
            <w:vAlign w:val="center"/>
          </w:tcPr>
          <w:p>
            <w:pPr>
              <w:pStyle w:val="2"/>
              <w:rPr>
                <w:rFonts w:hint="eastAsia"/>
              </w:rPr>
            </w:pPr>
          </w:p>
        </w:tc>
        <w:tc>
          <w:tcPr>
            <w:tcW w:w="875" w:type="dxa"/>
            <w:vMerge w:val="continue"/>
            <w:vAlign w:val="center"/>
          </w:tcPr>
          <w:p>
            <w:pPr>
              <w:numPr>
                <w:ilvl w:val="1"/>
                <w:numId w:val="11"/>
              </w:numPr>
              <w:spacing w:before="156" w:beforeLines="50" w:after="156" w:afterLines="50" w:line="360" w:lineRule="exact"/>
              <w:ind w:left="194" w:firstLine="0"/>
              <w:rPr>
                <w:rFonts w:hint="eastAsia" w:ascii="宋体" w:hAnsi="宋体" w:cs="宋体"/>
                <w:color w:val="auto"/>
              </w:rPr>
            </w:pPr>
          </w:p>
        </w:tc>
        <w:tc>
          <w:tcPr>
            <w:tcW w:w="7805" w:type="dxa"/>
            <w:tcBorders>
              <w:top w:val="single" w:color="auto" w:sz="4" w:space="0"/>
            </w:tcBorders>
            <w:vAlign w:val="center"/>
          </w:tcPr>
          <w:p>
            <w:pPr>
              <w:rPr>
                <w:rFonts w:hint="eastAsia"/>
                <w:color w:val="auto"/>
                <w:lang w:eastAsia="zh-CN"/>
              </w:rPr>
            </w:pPr>
            <w:r>
              <w:rPr>
                <w:rFonts w:hint="eastAsia"/>
                <w:color w:val="auto"/>
                <w:lang w:val="en-US" w:eastAsia="zh-CN"/>
              </w:rPr>
              <w:t>（4）根据投标人提供的</w:t>
            </w:r>
            <w:r>
              <w:rPr>
                <w:rFonts w:hint="eastAsia"/>
                <w:color w:val="auto"/>
                <w:lang w:eastAsia="zh-CN"/>
              </w:rPr>
              <w:t>全市实景三维数据</w:t>
            </w:r>
            <w:r>
              <w:rPr>
                <w:rFonts w:hint="eastAsia"/>
                <w:color w:val="auto"/>
                <w:lang w:val="en-US" w:eastAsia="zh-CN"/>
              </w:rPr>
              <w:t>整合方案的完整性、技术可行性综合评议。</w:t>
            </w:r>
          </w:p>
          <w:p>
            <w:pPr>
              <w:rPr>
                <w:rFonts w:hint="eastAsia"/>
                <w:color w:val="auto"/>
                <w:lang w:eastAsia="zh-CN"/>
              </w:rPr>
            </w:pPr>
            <w:r>
              <w:rPr>
                <w:rFonts w:hint="default"/>
                <w:color w:val="auto"/>
                <w:lang w:eastAsia="zh-CN"/>
              </w:rPr>
              <w:t>数据处理方案全面合理的得</w:t>
            </w:r>
            <w:r>
              <w:rPr>
                <w:rFonts w:hint="eastAsia"/>
                <w:color w:val="auto"/>
                <w:lang w:val="en-US" w:eastAsia="zh-CN"/>
              </w:rPr>
              <w:t>6</w:t>
            </w:r>
            <w:r>
              <w:rPr>
                <w:rFonts w:hint="default"/>
                <w:color w:val="auto"/>
                <w:lang w:eastAsia="zh-CN"/>
              </w:rPr>
              <w:t>分，数据处理方案基本全面合理的得</w:t>
            </w:r>
            <w:r>
              <w:rPr>
                <w:rFonts w:hint="eastAsia"/>
                <w:color w:val="auto"/>
                <w:lang w:val="en-US" w:eastAsia="zh-CN"/>
              </w:rPr>
              <w:t>4</w:t>
            </w:r>
            <w:r>
              <w:rPr>
                <w:rFonts w:hint="default"/>
                <w:color w:val="auto"/>
                <w:lang w:eastAsia="zh-CN"/>
              </w:rPr>
              <w:t>分，数据处理方案较差的得</w:t>
            </w:r>
            <w:r>
              <w:rPr>
                <w:rFonts w:hint="eastAsia"/>
                <w:color w:val="auto"/>
                <w:lang w:val="en-US" w:eastAsia="zh-CN"/>
              </w:rPr>
              <w:t>2</w:t>
            </w:r>
            <w:r>
              <w:rPr>
                <w:rFonts w:hint="default"/>
                <w:color w:val="auto"/>
                <w:lang w:eastAsia="zh-CN"/>
              </w:rPr>
              <w:t>分，未提供的不得分。</w:t>
            </w:r>
          </w:p>
        </w:tc>
        <w:tc>
          <w:tcPr>
            <w:tcW w:w="630" w:type="dxa"/>
            <w:tcBorders>
              <w:top w:val="single" w:color="auto" w:sz="4" w:space="0"/>
            </w:tcBorders>
            <w:vAlign w:val="center"/>
          </w:tcPr>
          <w:p>
            <w:pPr>
              <w:snapToGrid w:val="0"/>
              <w:spacing w:line="360" w:lineRule="exact"/>
              <w:jc w:val="center"/>
              <w:rPr>
                <w:rFonts w:hint="default" w:ascii="宋体" w:hAnsi="宋体" w:cs="宋体"/>
                <w:color w:val="auto"/>
                <w:lang w:val="en-US"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402" w:hRule="atLeast"/>
        </w:trPr>
        <w:tc>
          <w:tcPr>
            <w:tcW w:w="611" w:type="dxa"/>
            <w:vMerge w:val="continue"/>
            <w:textDirection w:val="tbRlV"/>
            <w:vAlign w:val="center"/>
          </w:tcPr>
          <w:p>
            <w:pPr>
              <w:spacing w:before="156" w:beforeLines="50" w:after="156" w:afterLines="50" w:line="360" w:lineRule="exact"/>
              <w:jc w:val="center"/>
              <w:rPr>
                <w:rFonts w:hint="eastAsia" w:ascii="宋体" w:hAnsi="宋体" w:cs="宋体"/>
                <w:color w:val="auto"/>
              </w:rPr>
            </w:pPr>
          </w:p>
        </w:tc>
        <w:tc>
          <w:tcPr>
            <w:tcW w:w="875" w:type="dxa"/>
            <w:vMerge w:val="continue"/>
            <w:vAlign w:val="center"/>
          </w:tcPr>
          <w:p>
            <w:pPr>
              <w:numPr>
                <w:ilvl w:val="1"/>
                <w:numId w:val="11"/>
              </w:numPr>
              <w:spacing w:before="156" w:beforeLines="50" w:after="156" w:afterLines="50" w:line="360" w:lineRule="exact"/>
              <w:ind w:left="194" w:firstLine="0"/>
              <w:rPr>
                <w:rFonts w:hint="eastAsia" w:ascii="宋体" w:hAnsi="宋体" w:cs="宋体"/>
                <w:color w:val="auto"/>
              </w:rPr>
            </w:pPr>
          </w:p>
        </w:tc>
        <w:tc>
          <w:tcPr>
            <w:tcW w:w="7805" w:type="dxa"/>
            <w:tcBorders>
              <w:top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w:t>
            </w:r>
            <w:r>
              <w:rPr>
                <w:rFonts w:hint="eastAsia" w:ascii="宋体" w:hAnsi="宋体" w:cs="宋体"/>
                <w:color w:val="auto"/>
                <w:lang w:val="en-US" w:eastAsia="zh-CN"/>
              </w:rPr>
              <w:t>5</w:t>
            </w:r>
            <w:r>
              <w:rPr>
                <w:rFonts w:hint="eastAsia" w:ascii="宋体" w:hAnsi="宋体" w:cs="宋体"/>
                <w:color w:val="auto"/>
              </w:rPr>
              <w:t>）根据投标人提供的项目组织方案（包括但不限于工作程序与流程、管理组织、项目实施规范和管理制度系）进行综合评议。</w:t>
            </w:r>
          </w:p>
          <w:p>
            <w:pPr>
              <w:spacing w:line="360" w:lineRule="exact"/>
              <w:rPr>
                <w:rFonts w:hint="eastAsia" w:ascii="宋体" w:hAnsi="宋体" w:cs="宋体"/>
                <w:color w:val="auto"/>
                <w:kern w:val="1"/>
              </w:rPr>
            </w:pPr>
            <w:r>
              <w:rPr>
                <w:rFonts w:hint="eastAsia" w:ascii="宋体" w:hAnsi="宋体" w:cs="宋体"/>
                <w:color w:val="auto"/>
              </w:rPr>
              <w:t>方案内容完整，条理清晰，表述准确到位的得</w:t>
            </w:r>
            <w:r>
              <w:rPr>
                <w:rFonts w:hint="eastAsia" w:ascii="宋体" w:hAnsi="宋体" w:cs="宋体"/>
                <w:color w:val="auto"/>
                <w:lang w:val="en-US" w:eastAsia="zh-CN"/>
              </w:rPr>
              <w:t>6</w:t>
            </w:r>
            <w:r>
              <w:rPr>
                <w:rFonts w:hint="eastAsia" w:ascii="宋体" w:hAnsi="宋体" w:cs="宋体"/>
                <w:color w:val="auto"/>
              </w:rPr>
              <w:t>分；方案内容较完整，条理较清晰，表述基本到位的得</w:t>
            </w:r>
            <w:r>
              <w:rPr>
                <w:rFonts w:hint="eastAsia" w:ascii="宋体" w:hAnsi="宋体" w:cs="宋体"/>
                <w:color w:val="auto"/>
                <w:lang w:val="en-US" w:eastAsia="zh-CN"/>
              </w:rPr>
              <w:t>4</w:t>
            </w:r>
            <w:r>
              <w:rPr>
                <w:rFonts w:hint="eastAsia" w:ascii="宋体" w:hAnsi="宋体" w:cs="宋体"/>
                <w:color w:val="auto"/>
              </w:rPr>
              <w:t>分</w:t>
            </w:r>
            <w:r>
              <w:rPr>
                <w:rFonts w:hint="eastAsia" w:ascii="宋体" w:hAnsi="宋体" w:cs="宋体"/>
                <w:color w:val="auto"/>
                <w:lang w:eastAsia="zh-CN"/>
              </w:rPr>
              <w:t>；</w:t>
            </w:r>
            <w:r>
              <w:rPr>
                <w:rFonts w:hint="eastAsia" w:ascii="宋体" w:hAnsi="宋体" w:cs="宋体"/>
                <w:color w:val="auto"/>
              </w:rPr>
              <w:t>方案内容不完整，条理欠清晰，表述基本到位的得</w:t>
            </w:r>
            <w:r>
              <w:rPr>
                <w:rFonts w:hint="eastAsia" w:ascii="宋体" w:hAnsi="宋体" w:cs="宋体"/>
                <w:color w:val="auto"/>
                <w:lang w:val="en-US" w:eastAsia="zh-CN"/>
              </w:rPr>
              <w:t>2</w:t>
            </w:r>
            <w:r>
              <w:rPr>
                <w:rFonts w:hint="eastAsia" w:ascii="宋体" w:hAnsi="宋体" w:cs="宋体"/>
                <w:color w:val="auto"/>
              </w:rPr>
              <w:t>分；未提供的不得分。</w:t>
            </w:r>
          </w:p>
        </w:tc>
        <w:tc>
          <w:tcPr>
            <w:tcW w:w="630" w:type="dxa"/>
            <w:tcBorders>
              <w:top w:val="single" w:color="auto" w:sz="4" w:space="0"/>
            </w:tcBorders>
            <w:vAlign w:val="center"/>
          </w:tcPr>
          <w:p>
            <w:pPr>
              <w:snapToGrid w:val="0"/>
              <w:spacing w:line="36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608" w:hRule="atLeast"/>
        </w:trPr>
        <w:tc>
          <w:tcPr>
            <w:tcW w:w="611" w:type="dxa"/>
            <w:vMerge w:val="continue"/>
            <w:vAlign w:val="center"/>
          </w:tcPr>
          <w:p>
            <w:pPr>
              <w:spacing w:before="156" w:beforeLines="50" w:after="156" w:afterLines="50" w:line="360" w:lineRule="exact"/>
              <w:jc w:val="center"/>
              <w:rPr>
                <w:rFonts w:hint="eastAsia" w:ascii="宋体" w:hAnsi="宋体" w:cs="宋体"/>
                <w:color w:val="auto"/>
              </w:rPr>
            </w:pPr>
          </w:p>
        </w:tc>
        <w:tc>
          <w:tcPr>
            <w:tcW w:w="875" w:type="dxa"/>
            <w:tcBorders>
              <w:right w:val="single" w:color="auto" w:sz="4" w:space="0"/>
            </w:tcBorders>
            <w:vAlign w:val="center"/>
          </w:tcPr>
          <w:p>
            <w:pPr>
              <w:spacing w:line="360" w:lineRule="exact"/>
              <w:jc w:val="center"/>
              <w:rPr>
                <w:rFonts w:hint="eastAsia" w:ascii="宋体" w:hAnsi="宋体" w:cs="宋体"/>
                <w:color w:val="auto"/>
              </w:rPr>
            </w:pPr>
            <w:r>
              <w:rPr>
                <w:rFonts w:hint="eastAsia" w:ascii="宋体" w:hAnsi="宋体" w:cs="宋体"/>
                <w:color w:val="auto"/>
              </w:rPr>
              <w:t>进度保障措施</w:t>
            </w:r>
          </w:p>
        </w:tc>
        <w:tc>
          <w:tcPr>
            <w:tcW w:w="7805" w:type="dxa"/>
            <w:tcBorders>
              <w:lef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评委根据投标人提供的项目进度计划及保障措施进行综合评议。</w:t>
            </w:r>
          </w:p>
          <w:p>
            <w:pPr>
              <w:spacing w:line="360" w:lineRule="exact"/>
              <w:rPr>
                <w:rFonts w:hint="eastAsia" w:ascii="宋体" w:hAnsi="宋体" w:cs="宋体"/>
                <w:color w:val="auto"/>
              </w:rPr>
            </w:pPr>
            <w:r>
              <w:rPr>
                <w:rFonts w:hint="eastAsia" w:ascii="宋体" w:hAnsi="宋体" w:cs="宋体"/>
                <w:color w:val="auto"/>
              </w:rPr>
              <w:t>进度安排计划及保障措施清楚、详细，考虑全面、切实可行的得</w:t>
            </w:r>
            <w:r>
              <w:rPr>
                <w:rFonts w:hint="eastAsia" w:ascii="宋体" w:hAnsi="宋体" w:cs="宋体"/>
                <w:color w:val="auto"/>
                <w:lang w:val="en-US" w:eastAsia="zh-CN"/>
              </w:rPr>
              <w:t>6</w:t>
            </w:r>
            <w:r>
              <w:rPr>
                <w:rFonts w:hint="eastAsia" w:ascii="宋体" w:hAnsi="宋体" w:cs="宋体"/>
                <w:color w:val="auto"/>
              </w:rPr>
              <w:t xml:space="preserve">分；进度安排计划及保障措施较清楚、详细，考虑较全面、相对可行的得 </w:t>
            </w:r>
            <w:r>
              <w:rPr>
                <w:rFonts w:hint="eastAsia" w:ascii="宋体" w:hAnsi="宋体" w:cs="宋体"/>
                <w:color w:val="auto"/>
                <w:lang w:val="en-US" w:eastAsia="zh-CN"/>
              </w:rPr>
              <w:t>4</w:t>
            </w:r>
            <w:r>
              <w:rPr>
                <w:rFonts w:hint="eastAsia" w:ascii="宋体" w:hAnsi="宋体" w:cs="宋体"/>
                <w:color w:val="auto"/>
              </w:rPr>
              <w:t>分；进度安排计划及保障措施清楚但不详细，考虑不完整、可行性不足的得</w:t>
            </w:r>
            <w:r>
              <w:rPr>
                <w:rFonts w:hint="eastAsia" w:ascii="宋体" w:hAnsi="宋体" w:cs="宋体"/>
                <w:color w:val="auto"/>
                <w:lang w:val="en-US" w:eastAsia="zh-CN"/>
              </w:rPr>
              <w:t>2</w:t>
            </w:r>
            <w:r>
              <w:rPr>
                <w:rFonts w:hint="eastAsia" w:ascii="宋体" w:hAnsi="宋体" w:cs="宋体"/>
                <w:color w:val="auto"/>
              </w:rPr>
              <w:t>分</w:t>
            </w:r>
            <w:r>
              <w:rPr>
                <w:rFonts w:hint="eastAsia" w:ascii="宋体" w:hAnsi="宋体" w:cs="宋体"/>
                <w:color w:val="auto"/>
                <w:lang w:eastAsia="zh-CN"/>
              </w:rPr>
              <w:t>；</w:t>
            </w:r>
            <w:r>
              <w:rPr>
                <w:rFonts w:hint="eastAsia" w:ascii="宋体" w:hAnsi="宋体" w:cs="宋体"/>
                <w:color w:val="auto"/>
              </w:rPr>
              <w:t>未提供的不得分。</w:t>
            </w:r>
          </w:p>
        </w:tc>
        <w:tc>
          <w:tcPr>
            <w:tcW w:w="630" w:type="dxa"/>
            <w:vAlign w:val="center"/>
          </w:tcPr>
          <w:p>
            <w:pPr>
              <w:snapToGrid w:val="0"/>
              <w:spacing w:line="36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486" w:hRule="atLeast"/>
        </w:trPr>
        <w:tc>
          <w:tcPr>
            <w:tcW w:w="611" w:type="dxa"/>
            <w:vMerge w:val="continue"/>
            <w:vAlign w:val="center"/>
          </w:tcPr>
          <w:p>
            <w:pPr>
              <w:spacing w:before="156" w:beforeLines="50" w:after="156" w:afterLines="50" w:line="360" w:lineRule="exact"/>
              <w:jc w:val="center"/>
              <w:rPr>
                <w:rFonts w:hint="eastAsia" w:ascii="宋体" w:hAnsi="宋体" w:cs="宋体"/>
                <w:color w:val="auto"/>
              </w:rPr>
            </w:pPr>
          </w:p>
        </w:tc>
        <w:tc>
          <w:tcPr>
            <w:tcW w:w="875" w:type="dxa"/>
            <w:tcBorders>
              <w:right w:val="single" w:color="auto" w:sz="4" w:space="0"/>
            </w:tcBorders>
            <w:vAlign w:val="center"/>
          </w:tcPr>
          <w:p>
            <w:pPr>
              <w:spacing w:before="156" w:beforeLines="50" w:after="156" w:afterLines="50" w:line="360" w:lineRule="exact"/>
              <w:jc w:val="center"/>
              <w:rPr>
                <w:rFonts w:hint="eastAsia" w:ascii="宋体" w:hAnsi="宋体" w:cs="宋体"/>
                <w:color w:val="auto"/>
              </w:rPr>
            </w:pPr>
            <w:r>
              <w:rPr>
                <w:rFonts w:hint="eastAsia" w:ascii="宋体" w:hAnsi="宋体" w:cs="宋体"/>
                <w:color w:val="auto"/>
              </w:rPr>
              <w:t>质量保障措施</w:t>
            </w:r>
          </w:p>
        </w:tc>
        <w:tc>
          <w:tcPr>
            <w:tcW w:w="7805" w:type="dxa"/>
            <w:tcBorders>
              <w:lef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根据投标人提供的针对本项目的成果质量保证措施进行综合评分。</w:t>
            </w:r>
          </w:p>
          <w:p>
            <w:pPr>
              <w:spacing w:line="360" w:lineRule="exact"/>
              <w:rPr>
                <w:rFonts w:hint="eastAsia" w:ascii="宋体" w:hAnsi="宋体" w:cs="宋体"/>
                <w:color w:val="auto"/>
              </w:rPr>
            </w:pPr>
            <w:r>
              <w:rPr>
                <w:rFonts w:hint="eastAsia" w:ascii="宋体" w:hAnsi="宋体" w:cs="宋体"/>
                <w:color w:val="auto"/>
              </w:rPr>
              <w:t>服务成果质量保证方案内容完善、措施得力的得</w:t>
            </w:r>
            <w:r>
              <w:rPr>
                <w:rFonts w:hint="eastAsia" w:ascii="宋体" w:hAnsi="宋体" w:cs="宋体"/>
                <w:color w:val="auto"/>
                <w:lang w:val="en-US" w:eastAsia="zh-CN"/>
              </w:rPr>
              <w:t>6</w:t>
            </w:r>
            <w:r>
              <w:rPr>
                <w:rFonts w:hint="eastAsia" w:ascii="宋体" w:hAnsi="宋体" w:cs="宋体"/>
                <w:color w:val="auto"/>
              </w:rPr>
              <w:t>分；服务成果质量保证方案内容较完善、措施适当的得</w:t>
            </w:r>
            <w:r>
              <w:rPr>
                <w:rFonts w:hint="eastAsia" w:ascii="宋体" w:hAnsi="宋体" w:cs="宋体"/>
                <w:color w:val="auto"/>
                <w:lang w:val="en-US" w:eastAsia="zh-CN"/>
              </w:rPr>
              <w:t>4</w:t>
            </w:r>
            <w:r>
              <w:rPr>
                <w:rFonts w:hint="eastAsia" w:ascii="宋体" w:hAnsi="宋体" w:cs="宋体"/>
                <w:color w:val="auto"/>
              </w:rPr>
              <w:t>分；服务成果质量保证方案内容完善程度不高、措施不力的得</w:t>
            </w:r>
            <w:r>
              <w:rPr>
                <w:rFonts w:hint="eastAsia" w:ascii="宋体" w:hAnsi="宋体" w:cs="宋体"/>
                <w:color w:val="auto"/>
                <w:lang w:val="en-US" w:eastAsia="zh-CN"/>
              </w:rPr>
              <w:t>2</w:t>
            </w:r>
            <w:r>
              <w:rPr>
                <w:rFonts w:hint="eastAsia" w:ascii="宋体" w:hAnsi="宋体" w:cs="宋体"/>
                <w:color w:val="auto"/>
              </w:rPr>
              <w:t xml:space="preserve">分；未提供的不得分。 </w:t>
            </w:r>
          </w:p>
        </w:tc>
        <w:tc>
          <w:tcPr>
            <w:tcW w:w="630" w:type="dxa"/>
            <w:vAlign w:val="center"/>
          </w:tcPr>
          <w:p>
            <w:pPr>
              <w:snapToGrid w:val="0"/>
              <w:spacing w:line="36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0" w:hRule="atLeast"/>
        </w:trPr>
        <w:tc>
          <w:tcPr>
            <w:tcW w:w="611" w:type="dxa"/>
            <w:vMerge w:val="continue"/>
            <w:vAlign w:val="center"/>
          </w:tcPr>
          <w:p>
            <w:pPr>
              <w:snapToGrid w:val="0"/>
              <w:spacing w:line="360" w:lineRule="exact"/>
              <w:ind w:firstLine="336" w:firstLineChars="200"/>
              <w:rPr>
                <w:rFonts w:hint="eastAsia" w:ascii="宋体" w:hAnsi="宋体" w:cs="宋体"/>
                <w:color w:val="auto"/>
                <w:w w:val="80"/>
              </w:rPr>
            </w:pPr>
          </w:p>
        </w:tc>
        <w:tc>
          <w:tcPr>
            <w:tcW w:w="875" w:type="dxa"/>
            <w:tcBorders>
              <w:right w:val="single" w:color="auto" w:sz="4" w:space="0"/>
            </w:tcBorders>
            <w:vAlign w:val="center"/>
          </w:tcPr>
          <w:p>
            <w:pPr>
              <w:snapToGrid w:val="0"/>
              <w:spacing w:line="360" w:lineRule="exact"/>
              <w:jc w:val="center"/>
              <w:rPr>
                <w:rFonts w:hint="eastAsia" w:ascii="宋体" w:hAnsi="宋体" w:cs="宋体"/>
                <w:color w:val="auto"/>
              </w:rPr>
            </w:pPr>
            <w:r>
              <w:rPr>
                <w:rFonts w:hint="eastAsia" w:ascii="宋体" w:hAnsi="宋体" w:cs="宋体"/>
                <w:color w:val="auto"/>
              </w:rPr>
              <w:t>应急响应方案</w:t>
            </w:r>
          </w:p>
        </w:tc>
        <w:tc>
          <w:tcPr>
            <w:tcW w:w="7805" w:type="dxa"/>
            <w:tcBorders>
              <w:lef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根据投标人提供的应急响应方案进行综合评议。</w:t>
            </w:r>
          </w:p>
          <w:p>
            <w:pPr>
              <w:spacing w:line="360" w:lineRule="exact"/>
              <w:rPr>
                <w:rFonts w:hint="eastAsia" w:ascii="宋体" w:hAnsi="宋体" w:cs="宋体"/>
                <w:color w:val="auto"/>
              </w:rPr>
            </w:pPr>
            <w:r>
              <w:rPr>
                <w:rFonts w:hint="eastAsia" w:ascii="宋体" w:hAnsi="宋体" w:cs="宋体"/>
                <w:color w:val="auto"/>
              </w:rPr>
              <w:t>方案内容详实，调理清晰可行性高的，得</w:t>
            </w:r>
            <w:r>
              <w:rPr>
                <w:rFonts w:hint="eastAsia" w:ascii="宋体" w:hAnsi="宋体" w:cs="宋体"/>
                <w:color w:val="auto"/>
                <w:lang w:val="en-US" w:eastAsia="zh-CN"/>
              </w:rPr>
              <w:t>6</w:t>
            </w:r>
            <w:r>
              <w:rPr>
                <w:rFonts w:hint="eastAsia" w:ascii="宋体" w:hAnsi="宋体" w:cs="宋体"/>
                <w:color w:val="auto"/>
              </w:rPr>
              <w:t>分；方案内容较为详实，可行性较高的，得</w:t>
            </w:r>
            <w:r>
              <w:rPr>
                <w:rFonts w:hint="eastAsia" w:ascii="宋体" w:hAnsi="宋体" w:cs="宋体"/>
                <w:color w:val="auto"/>
                <w:lang w:val="en-US" w:eastAsia="zh-CN"/>
              </w:rPr>
              <w:t>4</w:t>
            </w:r>
            <w:r>
              <w:rPr>
                <w:rFonts w:hint="eastAsia" w:ascii="宋体" w:hAnsi="宋体" w:cs="宋体"/>
                <w:color w:val="auto"/>
              </w:rPr>
              <w:t>分；方案内容有不足之处，可行性一般的，得</w:t>
            </w:r>
            <w:r>
              <w:rPr>
                <w:rFonts w:hint="eastAsia" w:ascii="宋体" w:hAnsi="宋体" w:cs="宋体"/>
                <w:color w:val="auto"/>
                <w:lang w:val="en-US" w:eastAsia="zh-CN"/>
              </w:rPr>
              <w:t>2</w:t>
            </w:r>
            <w:r>
              <w:rPr>
                <w:rFonts w:hint="eastAsia" w:ascii="宋体" w:hAnsi="宋体" w:cs="宋体"/>
                <w:color w:val="auto"/>
              </w:rPr>
              <w:t>分；未提供不得分。</w:t>
            </w:r>
          </w:p>
        </w:tc>
        <w:tc>
          <w:tcPr>
            <w:tcW w:w="630" w:type="dxa"/>
            <w:vAlign w:val="center"/>
          </w:tcPr>
          <w:p>
            <w:pPr>
              <w:snapToGrid w:val="0"/>
              <w:spacing w:line="36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07" w:hRule="atLeast"/>
        </w:trPr>
        <w:tc>
          <w:tcPr>
            <w:tcW w:w="611" w:type="dxa"/>
            <w:vMerge w:val="continue"/>
            <w:vAlign w:val="center"/>
          </w:tcPr>
          <w:p>
            <w:pPr>
              <w:snapToGrid w:val="0"/>
              <w:spacing w:line="360" w:lineRule="exact"/>
              <w:ind w:firstLine="336" w:firstLineChars="200"/>
              <w:rPr>
                <w:rFonts w:hint="eastAsia" w:ascii="宋体" w:hAnsi="宋体" w:cs="宋体"/>
                <w:color w:val="auto"/>
                <w:w w:val="80"/>
              </w:rPr>
            </w:pPr>
          </w:p>
        </w:tc>
        <w:tc>
          <w:tcPr>
            <w:tcW w:w="875" w:type="dxa"/>
            <w:tcBorders>
              <w:right w:val="single" w:color="auto" w:sz="4" w:space="0"/>
            </w:tcBorders>
            <w:vAlign w:val="center"/>
          </w:tcPr>
          <w:p>
            <w:pPr>
              <w:spacing w:line="360" w:lineRule="exact"/>
              <w:jc w:val="center"/>
              <w:rPr>
                <w:rFonts w:hint="eastAsia" w:ascii="宋体" w:hAnsi="宋体" w:cs="宋体"/>
                <w:color w:val="auto"/>
              </w:rPr>
            </w:pPr>
            <w:r>
              <w:rPr>
                <w:rFonts w:hint="eastAsia" w:ascii="宋体" w:hAnsi="宋体" w:cs="宋体"/>
                <w:color w:val="auto"/>
              </w:rPr>
              <w:t>保密</w:t>
            </w:r>
          </w:p>
          <w:p>
            <w:pPr>
              <w:spacing w:line="360" w:lineRule="exact"/>
              <w:jc w:val="center"/>
              <w:rPr>
                <w:rFonts w:hint="eastAsia" w:ascii="宋体" w:hAnsi="宋体" w:cs="宋体"/>
                <w:color w:val="auto"/>
              </w:rPr>
            </w:pPr>
            <w:r>
              <w:rPr>
                <w:rFonts w:hint="eastAsia" w:ascii="宋体" w:hAnsi="宋体" w:cs="宋体"/>
                <w:color w:val="auto"/>
              </w:rPr>
              <w:t>安全</w:t>
            </w:r>
          </w:p>
        </w:tc>
        <w:tc>
          <w:tcPr>
            <w:tcW w:w="7805" w:type="dxa"/>
            <w:tcBorders>
              <w:lef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根据投标人提供的保密安全方案（包含保密制度和拟提供保密设备）进行综合评议。</w:t>
            </w:r>
          </w:p>
          <w:p>
            <w:pPr>
              <w:spacing w:line="360" w:lineRule="exact"/>
              <w:rPr>
                <w:rFonts w:hint="eastAsia" w:ascii="宋体" w:hAnsi="宋体" w:cs="宋体"/>
                <w:color w:val="auto"/>
              </w:rPr>
            </w:pPr>
            <w:r>
              <w:rPr>
                <w:rFonts w:hint="eastAsia" w:ascii="宋体" w:hAnsi="宋体" w:cs="宋体"/>
                <w:color w:val="auto"/>
              </w:rPr>
              <w:t>方案内容条理清晰、保密措施有力，可行性高的，得</w:t>
            </w:r>
            <w:r>
              <w:rPr>
                <w:rFonts w:hint="eastAsia" w:ascii="宋体" w:hAnsi="宋体" w:cs="宋体"/>
                <w:color w:val="auto"/>
                <w:lang w:val="en-US" w:eastAsia="zh-CN"/>
              </w:rPr>
              <w:t>6</w:t>
            </w:r>
            <w:r>
              <w:rPr>
                <w:rFonts w:hint="eastAsia" w:ascii="宋体" w:hAnsi="宋体" w:cs="宋体"/>
                <w:color w:val="auto"/>
              </w:rPr>
              <w:t>分；方案内容条理较为清晰、保密措施合理，可行性较高的，得</w:t>
            </w:r>
            <w:r>
              <w:rPr>
                <w:rFonts w:hint="eastAsia" w:ascii="宋体" w:hAnsi="宋体" w:cs="宋体"/>
                <w:color w:val="auto"/>
                <w:lang w:val="en-US" w:eastAsia="zh-CN"/>
              </w:rPr>
              <w:t>4</w:t>
            </w:r>
            <w:r>
              <w:rPr>
                <w:rFonts w:hint="eastAsia" w:ascii="宋体" w:hAnsi="宋体" w:cs="宋体"/>
                <w:color w:val="auto"/>
              </w:rPr>
              <w:t>分；方案内容有不足之处，可行性一般的，得</w:t>
            </w:r>
            <w:r>
              <w:rPr>
                <w:rFonts w:hint="eastAsia" w:ascii="宋体" w:hAnsi="宋体" w:cs="宋体"/>
                <w:color w:val="auto"/>
                <w:lang w:val="en-US" w:eastAsia="zh-CN"/>
              </w:rPr>
              <w:t>2</w:t>
            </w:r>
            <w:r>
              <w:rPr>
                <w:rFonts w:hint="eastAsia" w:ascii="宋体" w:hAnsi="宋体" w:cs="宋体"/>
                <w:color w:val="auto"/>
              </w:rPr>
              <w:t>分；未提供不得分。</w:t>
            </w:r>
          </w:p>
          <w:p>
            <w:pPr>
              <w:spacing w:line="360" w:lineRule="exact"/>
              <w:rPr>
                <w:rFonts w:hint="eastAsia" w:ascii="宋体" w:hAnsi="宋体" w:cs="宋体"/>
                <w:color w:val="auto"/>
              </w:rPr>
            </w:pPr>
            <w:r>
              <w:rPr>
                <w:rFonts w:hint="eastAsia" w:ascii="宋体" w:hAnsi="宋体" w:cs="宋体"/>
                <w:color w:val="auto"/>
              </w:rPr>
              <w:t>（拟提供保密设备需提供保密设备清单、采购合同或发票复印件加盖单位公章）</w:t>
            </w:r>
          </w:p>
        </w:tc>
        <w:tc>
          <w:tcPr>
            <w:tcW w:w="630" w:type="dxa"/>
            <w:vAlign w:val="center"/>
          </w:tcPr>
          <w:p>
            <w:pPr>
              <w:snapToGrid w:val="0"/>
              <w:spacing w:line="36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07" w:hRule="atLeast"/>
        </w:trPr>
        <w:tc>
          <w:tcPr>
            <w:tcW w:w="611" w:type="dxa"/>
            <w:vMerge w:val="continue"/>
            <w:vAlign w:val="center"/>
          </w:tcPr>
          <w:p>
            <w:pPr>
              <w:snapToGrid w:val="0"/>
              <w:spacing w:line="360" w:lineRule="exact"/>
              <w:ind w:firstLine="336" w:firstLineChars="200"/>
              <w:rPr>
                <w:rFonts w:hint="eastAsia" w:ascii="宋体" w:hAnsi="宋体" w:cs="宋体"/>
                <w:color w:val="auto"/>
                <w:w w:val="80"/>
              </w:rPr>
            </w:pPr>
          </w:p>
        </w:tc>
        <w:tc>
          <w:tcPr>
            <w:tcW w:w="875" w:type="dxa"/>
            <w:tcBorders>
              <w:right w:val="single" w:color="auto" w:sz="4" w:space="0"/>
            </w:tcBorders>
            <w:vAlign w:val="center"/>
          </w:tcPr>
          <w:p>
            <w:pPr>
              <w:spacing w:line="36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rPr>
              <w:t>研发、软硬件保障能力</w:t>
            </w:r>
          </w:p>
        </w:tc>
        <w:tc>
          <w:tcPr>
            <w:tcW w:w="7805" w:type="dxa"/>
            <w:tcBorders>
              <w:lef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（1）投标人具和本项目相关的软件著作权，每取得一项得1分，最多得3分；</w:t>
            </w:r>
          </w:p>
          <w:p>
            <w:pPr>
              <w:spacing w:line="360" w:lineRule="exact"/>
              <w:rPr>
                <w:rFonts w:hint="eastAsia" w:ascii="宋体" w:hAnsi="宋体" w:cs="宋体"/>
                <w:color w:val="auto"/>
              </w:rPr>
            </w:pPr>
            <w:r>
              <w:rPr>
                <w:rFonts w:hint="eastAsia" w:ascii="宋体" w:hAnsi="宋体" w:cs="宋体"/>
                <w:color w:val="auto"/>
              </w:rPr>
              <w:t>（2）投标人自主具有和项目相关的硬件（无人机系统、倾斜摄影数码航摄仪）、三维测图等相关软件，每提供一套得1分，最多得3分。</w:t>
            </w:r>
          </w:p>
          <w:p>
            <w:pPr>
              <w:spacing w:line="360" w:lineRule="exact"/>
              <w:rPr>
                <w:rFonts w:hint="eastAsia" w:ascii="宋体" w:hAnsi="宋体" w:eastAsia="宋体" w:cs="宋体"/>
                <w:color w:val="auto"/>
                <w:kern w:val="2"/>
                <w:sz w:val="21"/>
                <w:szCs w:val="24"/>
                <w:lang w:val="en-US" w:eastAsia="zh-CN" w:bidi="ar-SA"/>
              </w:rPr>
            </w:pPr>
            <w:r>
              <w:rPr>
                <w:rFonts w:hint="eastAsia" w:ascii="宋体" w:hAnsi="宋体" w:cs="宋体"/>
                <w:color w:val="auto"/>
              </w:rPr>
              <w:t>（设备采购需提供发票复印件并加盖公章；知识产权需提供证书复印件加盖公章）</w:t>
            </w:r>
          </w:p>
        </w:tc>
        <w:tc>
          <w:tcPr>
            <w:tcW w:w="630" w:type="dxa"/>
            <w:vAlign w:val="center"/>
          </w:tcPr>
          <w:p>
            <w:pPr>
              <w:snapToGrid w:val="0"/>
              <w:spacing w:line="360" w:lineRule="exact"/>
              <w:jc w:val="center"/>
              <w:rPr>
                <w:rFonts w:hint="eastAsia" w:ascii="宋体" w:hAnsi="宋体" w:eastAsia="宋体" w:cs="宋体"/>
                <w:color w:val="auto"/>
                <w:kern w:val="2"/>
                <w:sz w:val="21"/>
                <w:szCs w:val="24"/>
                <w:lang w:val="en-US" w:eastAsia="zh-CN" w:bidi="ar-SA"/>
              </w:rPr>
            </w:pPr>
            <w:r>
              <w:rPr>
                <w:rFonts w:hint="eastAsia" w:ascii="宋体" w:hAnsi="宋体" w:cs="宋体"/>
                <w:color w:val="auto"/>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369" w:hRule="atLeast"/>
        </w:trPr>
        <w:tc>
          <w:tcPr>
            <w:tcW w:w="611" w:type="dxa"/>
            <w:vMerge w:val="continue"/>
            <w:vAlign w:val="center"/>
          </w:tcPr>
          <w:p>
            <w:pPr>
              <w:snapToGrid w:val="0"/>
              <w:spacing w:line="360" w:lineRule="exact"/>
              <w:ind w:firstLine="336" w:firstLineChars="200"/>
              <w:rPr>
                <w:rFonts w:hint="eastAsia" w:ascii="宋体" w:hAnsi="宋体" w:cs="宋体"/>
                <w:color w:val="auto"/>
                <w:w w:val="80"/>
              </w:rPr>
            </w:pPr>
          </w:p>
        </w:tc>
        <w:tc>
          <w:tcPr>
            <w:tcW w:w="875" w:type="dxa"/>
            <w:tcBorders>
              <w:right w:val="single" w:color="auto" w:sz="4" w:space="0"/>
            </w:tcBorders>
            <w:vAlign w:val="center"/>
          </w:tcPr>
          <w:p>
            <w:pPr>
              <w:spacing w:line="360" w:lineRule="exact"/>
              <w:jc w:val="center"/>
              <w:rPr>
                <w:rFonts w:hint="eastAsia" w:ascii="宋体" w:hAnsi="宋体" w:cs="宋体"/>
                <w:color w:val="auto"/>
              </w:rPr>
            </w:pPr>
            <w:r>
              <w:rPr>
                <w:rFonts w:hint="eastAsia" w:ascii="宋体" w:hAnsi="宋体" w:cs="宋体"/>
                <w:color w:val="auto"/>
              </w:rPr>
              <w:t>服务</w:t>
            </w:r>
          </w:p>
          <w:p>
            <w:pPr>
              <w:spacing w:line="360" w:lineRule="exact"/>
              <w:jc w:val="center"/>
              <w:rPr>
                <w:rFonts w:hint="eastAsia" w:ascii="宋体" w:hAnsi="宋体" w:cs="宋体"/>
                <w:color w:val="auto"/>
              </w:rPr>
            </w:pPr>
            <w:r>
              <w:rPr>
                <w:rFonts w:hint="eastAsia" w:ascii="宋体" w:hAnsi="宋体" w:cs="宋体"/>
                <w:color w:val="auto"/>
              </w:rPr>
              <w:t>响应</w:t>
            </w:r>
          </w:p>
        </w:tc>
        <w:tc>
          <w:tcPr>
            <w:tcW w:w="7805" w:type="dxa"/>
            <w:tcBorders>
              <w:lef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根据投标人提供的服务方案及措施（包含售后响应时间，人员解决问题的效率）科学性，可行性进行综合评议。</w:t>
            </w:r>
          </w:p>
          <w:p>
            <w:pPr>
              <w:spacing w:line="360" w:lineRule="exact"/>
              <w:rPr>
                <w:rFonts w:hint="eastAsia" w:ascii="宋体" w:hAnsi="宋体" w:cs="宋体"/>
                <w:color w:val="auto"/>
              </w:rPr>
            </w:pPr>
            <w:r>
              <w:rPr>
                <w:rFonts w:hint="eastAsia" w:ascii="宋体" w:hAnsi="宋体" w:cs="宋体"/>
                <w:color w:val="auto"/>
              </w:rPr>
              <w:t>方案及措施科学合理、可行性高的，得</w:t>
            </w:r>
            <w:r>
              <w:rPr>
                <w:rFonts w:hint="eastAsia" w:ascii="宋体" w:hAnsi="宋体" w:cs="宋体"/>
                <w:color w:val="auto"/>
                <w:lang w:val="en-US" w:eastAsia="zh-CN"/>
              </w:rPr>
              <w:t>6</w:t>
            </w:r>
            <w:r>
              <w:rPr>
                <w:rFonts w:hint="eastAsia" w:ascii="宋体" w:hAnsi="宋体" w:cs="宋体"/>
                <w:color w:val="auto"/>
              </w:rPr>
              <w:t>分；方案及措施较为科学合理、可行性较高的，得</w:t>
            </w:r>
            <w:r>
              <w:rPr>
                <w:rFonts w:hint="eastAsia" w:ascii="宋体" w:hAnsi="宋体" w:cs="宋体"/>
                <w:color w:val="auto"/>
                <w:lang w:val="en-US" w:eastAsia="zh-CN"/>
              </w:rPr>
              <w:t>4</w:t>
            </w:r>
            <w:r>
              <w:rPr>
                <w:rFonts w:hint="eastAsia" w:ascii="宋体" w:hAnsi="宋体" w:cs="宋体"/>
                <w:color w:val="auto"/>
              </w:rPr>
              <w:t>分；方案及措施合理性一般、可行性一般的，得</w:t>
            </w:r>
            <w:r>
              <w:rPr>
                <w:rFonts w:hint="eastAsia" w:ascii="宋体" w:hAnsi="宋体" w:cs="宋体"/>
                <w:color w:val="auto"/>
                <w:lang w:val="en-US" w:eastAsia="zh-CN"/>
              </w:rPr>
              <w:t>2</w:t>
            </w:r>
            <w:r>
              <w:rPr>
                <w:rFonts w:hint="eastAsia" w:ascii="宋体" w:hAnsi="宋体" w:cs="宋体"/>
                <w:color w:val="auto"/>
              </w:rPr>
              <w:t>分；未提供不得分。</w:t>
            </w:r>
          </w:p>
        </w:tc>
        <w:tc>
          <w:tcPr>
            <w:tcW w:w="630" w:type="dxa"/>
            <w:vAlign w:val="center"/>
          </w:tcPr>
          <w:p>
            <w:pPr>
              <w:snapToGrid w:val="0"/>
              <w:spacing w:line="36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445" w:hRule="atLeast"/>
        </w:trPr>
        <w:tc>
          <w:tcPr>
            <w:tcW w:w="611" w:type="dxa"/>
            <w:vMerge w:val="continue"/>
            <w:vAlign w:val="center"/>
          </w:tcPr>
          <w:p>
            <w:pPr>
              <w:snapToGrid w:val="0"/>
              <w:spacing w:line="360" w:lineRule="exact"/>
              <w:ind w:firstLine="336" w:firstLineChars="200"/>
              <w:rPr>
                <w:rFonts w:hint="eastAsia" w:ascii="宋体" w:hAnsi="宋体" w:cs="宋体"/>
                <w:color w:val="auto"/>
                <w:w w:val="80"/>
              </w:rPr>
            </w:pPr>
          </w:p>
        </w:tc>
        <w:tc>
          <w:tcPr>
            <w:tcW w:w="875" w:type="dxa"/>
            <w:vMerge w:val="restart"/>
            <w:tcBorders>
              <w:right w:val="single" w:color="auto" w:sz="4" w:space="0"/>
            </w:tcBorders>
            <w:vAlign w:val="center"/>
          </w:tcPr>
          <w:p>
            <w:pPr>
              <w:spacing w:line="360" w:lineRule="exact"/>
              <w:jc w:val="center"/>
              <w:rPr>
                <w:rFonts w:hint="eastAsia" w:ascii="宋体" w:hAnsi="宋体" w:cs="宋体"/>
                <w:color w:val="auto"/>
              </w:rPr>
            </w:pPr>
            <w:r>
              <w:rPr>
                <w:rFonts w:hint="eastAsia" w:ascii="宋体" w:hAnsi="宋体" w:cs="宋体"/>
                <w:color w:val="auto"/>
              </w:rPr>
              <w:t>项目</w:t>
            </w:r>
          </w:p>
          <w:p>
            <w:pPr>
              <w:spacing w:line="360" w:lineRule="exact"/>
              <w:jc w:val="center"/>
              <w:rPr>
                <w:rFonts w:hint="eastAsia" w:ascii="宋体" w:hAnsi="宋体" w:cs="宋体"/>
                <w:color w:val="auto"/>
              </w:rPr>
            </w:pPr>
            <w:r>
              <w:rPr>
                <w:rFonts w:hint="eastAsia" w:ascii="宋体" w:hAnsi="宋体" w:cs="宋体"/>
                <w:color w:val="auto"/>
              </w:rPr>
              <w:t>团队</w:t>
            </w:r>
          </w:p>
        </w:tc>
        <w:tc>
          <w:tcPr>
            <w:tcW w:w="7805" w:type="dxa"/>
            <w:tcBorders>
              <w:left w:val="single" w:color="auto" w:sz="4" w:space="0"/>
              <w:bottom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项目负责人：</w:t>
            </w:r>
          </w:p>
          <w:p>
            <w:pPr>
              <w:spacing w:line="360" w:lineRule="exact"/>
              <w:rPr>
                <w:rFonts w:hint="eastAsia" w:ascii="宋体" w:hAnsi="宋体" w:cs="宋体"/>
                <w:color w:val="auto"/>
              </w:rPr>
            </w:pPr>
            <w:r>
              <w:rPr>
                <w:rFonts w:hint="eastAsia" w:ascii="宋体" w:hAnsi="宋体" w:cs="宋体"/>
                <w:color w:val="auto"/>
              </w:rPr>
              <w:t xml:space="preserve">（1）同时具有注册测绘师资格和正高级工程师（测绘类）职称的，得3分，仅具有以上职称其中一项的，得1分,否则不得分； </w:t>
            </w:r>
          </w:p>
          <w:p>
            <w:pPr>
              <w:spacing w:line="360" w:lineRule="exact"/>
              <w:rPr>
                <w:rFonts w:hint="eastAsia" w:ascii="宋体" w:hAnsi="宋体" w:cs="宋体"/>
                <w:color w:val="auto"/>
              </w:rPr>
            </w:pPr>
            <w:r>
              <w:rPr>
                <w:rFonts w:hint="eastAsia" w:ascii="宋体" w:hAnsi="宋体" w:cs="宋体"/>
                <w:color w:val="auto"/>
              </w:rPr>
              <w:t>（2）2019年1月1日以来项目负责人获得过地理信息类项目科技进步奖或优秀工程奖金奖（一等奖）及以上的，提供相关证明资料，每个得1分，最高得2分。</w:t>
            </w:r>
          </w:p>
          <w:p>
            <w:pPr>
              <w:spacing w:line="360" w:lineRule="exact"/>
              <w:rPr>
                <w:rFonts w:hint="eastAsia" w:ascii="宋体" w:hAnsi="宋体" w:cs="宋体"/>
                <w:color w:val="auto"/>
              </w:rPr>
            </w:pPr>
            <w:r>
              <w:rPr>
                <w:rFonts w:hint="eastAsia" w:ascii="宋体" w:hAnsi="宋体" w:cs="宋体"/>
                <w:color w:val="auto"/>
              </w:rPr>
              <w:t>（提供2022年1月以来任意一个月人员社保证明、证书证明资料复印件并加盖单位公章）</w:t>
            </w:r>
          </w:p>
        </w:tc>
        <w:tc>
          <w:tcPr>
            <w:tcW w:w="630" w:type="dxa"/>
            <w:vAlign w:val="center"/>
          </w:tcPr>
          <w:p>
            <w:pPr>
              <w:snapToGrid w:val="0"/>
              <w:spacing w:line="360" w:lineRule="exact"/>
              <w:jc w:val="center"/>
              <w:rPr>
                <w:rFonts w:hint="eastAsia" w:ascii="宋体" w:hAnsi="宋体" w:cs="宋体"/>
                <w:color w:val="auto"/>
              </w:rPr>
            </w:pPr>
            <w:r>
              <w:rPr>
                <w:rFonts w:hint="eastAsia" w:ascii="宋体" w:hAnsi="宋体" w:cs="宋体"/>
                <w:color w:val="auto"/>
              </w:rPr>
              <w:t>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489" w:hRule="atLeast"/>
        </w:trPr>
        <w:tc>
          <w:tcPr>
            <w:tcW w:w="611" w:type="dxa"/>
            <w:vMerge w:val="continue"/>
            <w:vAlign w:val="center"/>
          </w:tcPr>
          <w:p>
            <w:pPr>
              <w:snapToGrid w:val="0"/>
              <w:spacing w:line="360" w:lineRule="exact"/>
              <w:ind w:firstLine="336" w:firstLineChars="200"/>
              <w:rPr>
                <w:rFonts w:hint="eastAsia" w:ascii="宋体" w:hAnsi="宋体" w:cs="宋体"/>
                <w:color w:val="auto"/>
                <w:w w:val="80"/>
              </w:rPr>
            </w:pPr>
          </w:p>
        </w:tc>
        <w:tc>
          <w:tcPr>
            <w:tcW w:w="875" w:type="dxa"/>
            <w:vMerge w:val="continue"/>
            <w:tcBorders>
              <w:right w:val="single" w:color="auto" w:sz="4" w:space="0"/>
            </w:tcBorders>
            <w:vAlign w:val="center"/>
          </w:tcPr>
          <w:p>
            <w:pPr>
              <w:spacing w:line="360" w:lineRule="exact"/>
              <w:jc w:val="center"/>
              <w:rPr>
                <w:rFonts w:hint="eastAsia" w:ascii="宋体" w:hAnsi="宋体" w:cs="宋体"/>
                <w:color w:val="auto"/>
              </w:rPr>
            </w:pPr>
          </w:p>
        </w:tc>
        <w:tc>
          <w:tcPr>
            <w:tcW w:w="7805" w:type="dxa"/>
            <w:tcBorders>
              <w:top w:val="single" w:color="auto" w:sz="4" w:space="0"/>
              <w:left w:val="single" w:color="auto" w:sz="4" w:space="0"/>
              <w:bottom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项目组成员（除项目负责人）：</w:t>
            </w:r>
          </w:p>
          <w:p>
            <w:pPr>
              <w:spacing w:line="360" w:lineRule="exact"/>
              <w:rPr>
                <w:rFonts w:hint="eastAsia" w:ascii="宋体" w:hAnsi="宋体" w:cs="宋体"/>
                <w:color w:val="auto"/>
              </w:rPr>
            </w:pPr>
            <w:r>
              <w:rPr>
                <w:rFonts w:hint="eastAsia" w:ascii="宋体" w:hAnsi="宋体" w:cs="宋体"/>
                <w:color w:val="auto"/>
              </w:rPr>
              <w:t>（1）具有中级工程师（测绘类），每1人得0.5分；最高得2分；</w:t>
            </w:r>
          </w:p>
          <w:p>
            <w:pPr>
              <w:spacing w:line="360" w:lineRule="exact"/>
              <w:rPr>
                <w:rFonts w:hint="eastAsia" w:ascii="宋体" w:hAnsi="宋体" w:cs="宋体"/>
                <w:color w:val="auto"/>
              </w:rPr>
            </w:pPr>
            <w:r>
              <w:rPr>
                <w:rFonts w:hint="eastAsia" w:ascii="宋体" w:hAnsi="宋体" w:cs="宋体"/>
                <w:color w:val="auto"/>
              </w:rPr>
              <w:t>（2）具有高级工程师（测绘类），每1人得1分，最高得3分；（证书按高计分，不重复得分）</w:t>
            </w:r>
          </w:p>
          <w:p>
            <w:pPr>
              <w:spacing w:line="360" w:lineRule="exact"/>
              <w:rPr>
                <w:rFonts w:hint="eastAsia" w:ascii="宋体" w:hAnsi="宋体" w:cs="宋体"/>
                <w:color w:val="auto"/>
              </w:rPr>
            </w:pPr>
            <w:r>
              <w:rPr>
                <w:rFonts w:hint="eastAsia" w:ascii="宋体" w:hAnsi="宋体" w:cs="宋体"/>
                <w:color w:val="auto"/>
              </w:rPr>
              <w:t>（3）具有地理信息安全保密培训合格证明，每提供1个可得1分，最高得3分。</w:t>
            </w:r>
          </w:p>
          <w:p>
            <w:pPr>
              <w:spacing w:line="360" w:lineRule="exact"/>
              <w:rPr>
                <w:rFonts w:hint="eastAsia" w:ascii="宋体" w:hAnsi="宋体" w:cs="宋体"/>
                <w:color w:val="auto"/>
              </w:rPr>
            </w:pPr>
            <w:r>
              <w:rPr>
                <w:rFonts w:hint="eastAsia" w:ascii="宋体" w:hAnsi="宋体" w:cs="宋体"/>
                <w:color w:val="auto"/>
              </w:rPr>
              <w:t>（提供2022年1月以来任意一个月人员社保证明、证书证明资料复印件加盖单位公章）。</w:t>
            </w:r>
          </w:p>
        </w:tc>
        <w:tc>
          <w:tcPr>
            <w:tcW w:w="630" w:type="dxa"/>
            <w:vAlign w:val="center"/>
          </w:tcPr>
          <w:p>
            <w:pPr>
              <w:snapToGrid w:val="0"/>
              <w:spacing w:line="360" w:lineRule="exact"/>
              <w:jc w:val="center"/>
              <w:rPr>
                <w:rFonts w:hint="eastAsia" w:ascii="宋体" w:hAnsi="宋体" w:cs="宋体"/>
                <w:color w:val="auto"/>
              </w:rPr>
            </w:pPr>
            <w:r>
              <w:rPr>
                <w:rFonts w:hint="eastAsia" w:ascii="宋体" w:hAnsi="宋体" w:cs="宋体"/>
                <w:color w:val="auto"/>
              </w:rPr>
              <w:t>8</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128" w:hRule="atLeast"/>
        </w:trPr>
        <w:tc>
          <w:tcPr>
            <w:tcW w:w="611" w:type="dxa"/>
            <w:vMerge w:val="continue"/>
            <w:vAlign w:val="center"/>
          </w:tcPr>
          <w:p>
            <w:pPr>
              <w:snapToGrid w:val="0"/>
              <w:spacing w:line="360" w:lineRule="exact"/>
              <w:ind w:firstLine="336" w:firstLineChars="200"/>
              <w:rPr>
                <w:rFonts w:hint="eastAsia" w:ascii="宋体" w:hAnsi="宋体" w:cs="宋体"/>
                <w:color w:val="auto"/>
                <w:w w:val="80"/>
              </w:rPr>
            </w:pPr>
          </w:p>
        </w:tc>
        <w:tc>
          <w:tcPr>
            <w:tcW w:w="875" w:type="dxa"/>
            <w:tcBorders>
              <w:right w:val="single" w:color="auto" w:sz="4" w:space="0"/>
            </w:tcBorders>
            <w:vAlign w:val="center"/>
          </w:tcPr>
          <w:p>
            <w:pPr>
              <w:spacing w:line="360" w:lineRule="exact"/>
              <w:jc w:val="center"/>
              <w:rPr>
                <w:rFonts w:hint="eastAsia" w:ascii="宋体" w:hAnsi="宋体" w:cs="宋体"/>
                <w:color w:val="auto"/>
              </w:rPr>
            </w:pPr>
            <w:r>
              <w:rPr>
                <w:rFonts w:hint="eastAsia" w:ascii="宋体" w:hAnsi="宋体" w:cs="宋体"/>
                <w:color w:val="auto"/>
              </w:rPr>
              <w:t>同类</w:t>
            </w:r>
          </w:p>
          <w:p>
            <w:pPr>
              <w:spacing w:line="360" w:lineRule="exact"/>
              <w:jc w:val="center"/>
              <w:rPr>
                <w:rFonts w:hint="eastAsia" w:ascii="宋体" w:hAnsi="宋体" w:cs="宋体"/>
                <w:color w:val="auto"/>
              </w:rPr>
            </w:pPr>
            <w:r>
              <w:rPr>
                <w:rFonts w:hint="eastAsia" w:ascii="宋体" w:hAnsi="宋体" w:cs="宋体"/>
                <w:color w:val="auto"/>
              </w:rPr>
              <w:t>业绩</w:t>
            </w:r>
          </w:p>
        </w:tc>
        <w:tc>
          <w:tcPr>
            <w:tcW w:w="7805" w:type="dxa"/>
            <w:tcBorders>
              <w:lef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2019年1月1日至今，投标人具有同类项目业绩的，每提供一个得0.5分，最高得1分。</w:t>
            </w:r>
          </w:p>
          <w:p>
            <w:pPr>
              <w:spacing w:line="360" w:lineRule="exact"/>
              <w:rPr>
                <w:rFonts w:hint="eastAsia" w:ascii="宋体" w:hAnsi="宋体" w:cs="宋体"/>
                <w:color w:val="auto"/>
              </w:rPr>
            </w:pPr>
            <w:r>
              <w:rPr>
                <w:rFonts w:hint="eastAsia" w:ascii="宋体" w:hAnsi="宋体" w:cs="宋体"/>
                <w:color w:val="auto"/>
              </w:rPr>
              <w:t>（以合同签订时间为准，须提供完整清晰的合同复印件等证明材料加盖投标人公章）</w:t>
            </w:r>
          </w:p>
        </w:tc>
        <w:tc>
          <w:tcPr>
            <w:tcW w:w="630" w:type="dxa"/>
            <w:vAlign w:val="center"/>
          </w:tcPr>
          <w:p>
            <w:pPr>
              <w:snapToGrid w:val="0"/>
              <w:spacing w:line="360" w:lineRule="exact"/>
              <w:jc w:val="center"/>
              <w:rPr>
                <w:rFonts w:hint="eastAsia" w:ascii="宋体" w:hAnsi="宋体" w:cs="宋体"/>
                <w:color w:val="auto"/>
              </w:rPr>
            </w:pPr>
            <w:r>
              <w:rPr>
                <w:rFonts w:hint="eastAsia" w:ascii="宋体" w:hAnsi="宋体" w:cs="宋体"/>
                <w:color w:val="auto"/>
              </w:rPr>
              <w:t>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440" w:hRule="atLeast"/>
        </w:trPr>
        <w:tc>
          <w:tcPr>
            <w:tcW w:w="611" w:type="dxa"/>
            <w:textDirection w:val="tbRlV"/>
            <w:vAlign w:val="center"/>
          </w:tcPr>
          <w:p>
            <w:pPr>
              <w:snapToGrid w:val="0"/>
              <w:spacing w:line="360" w:lineRule="exact"/>
              <w:ind w:firstLine="420" w:firstLineChars="200"/>
              <w:jc w:val="center"/>
              <w:rPr>
                <w:rFonts w:hint="eastAsia" w:ascii="宋体" w:hAnsi="宋体" w:cs="宋体"/>
                <w:color w:val="auto"/>
                <w:w w:val="150"/>
              </w:rPr>
            </w:pPr>
            <w:r>
              <w:rPr>
                <w:rFonts w:hint="eastAsia" w:ascii="宋体" w:hAnsi="宋体" w:cs="宋体"/>
                <w:color w:val="auto"/>
              </w:rPr>
              <w:t>价格10分</w:t>
            </w:r>
          </w:p>
        </w:tc>
        <w:tc>
          <w:tcPr>
            <w:tcW w:w="8680" w:type="dxa"/>
            <w:gridSpan w:val="2"/>
            <w:vAlign w:val="center"/>
          </w:tcPr>
          <w:p>
            <w:pPr>
              <w:rPr>
                <w:rFonts w:ascii="宋体" w:hAnsi="宋体" w:cs="宋体"/>
                <w:szCs w:val="21"/>
              </w:rPr>
            </w:pPr>
            <w:r>
              <w:rPr>
                <w:rFonts w:hint="eastAsia" w:ascii="宋体" w:hAnsi="宋体" w:cs="宋体"/>
                <w:szCs w:val="21"/>
              </w:rPr>
              <w:t>评标基准价=满足招标文件要求且投标价格最低的投标报价</w:t>
            </w:r>
          </w:p>
          <w:p>
            <w:pPr>
              <w:rPr>
                <w:rFonts w:ascii="宋体" w:hAnsi="宋体" w:cs="宋体"/>
                <w:szCs w:val="21"/>
              </w:rPr>
            </w:pPr>
            <w:r>
              <w:rPr>
                <w:rFonts w:hint="eastAsia" w:ascii="宋体" w:hAnsi="宋体" w:cs="宋体"/>
                <w:szCs w:val="21"/>
              </w:rPr>
              <w:t>投标报价等于基准价的得分为满分10分。</w:t>
            </w:r>
          </w:p>
          <w:p>
            <w:pPr>
              <w:rPr>
                <w:rFonts w:ascii="宋体" w:hAnsi="宋体" w:cs="宋体"/>
                <w:szCs w:val="21"/>
              </w:rPr>
            </w:pPr>
            <w:r>
              <w:rPr>
                <w:rFonts w:hint="eastAsia" w:ascii="宋体" w:hAnsi="宋体" w:cs="宋体"/>
                <w:szCs w:val="21"/>
              </w:rPr>
              <w:t>投标报价得分=（评标基准价/投标报价）×价格权重（10%）×100</w:t>
            </w:r>
          </w:p>
          <w:p>
            <w:pPr>
              <w:rPr>
                <w:rFonts w:ascii="宋体" w:hAnsi="宋体" w:cs="宋体"/>
                <w:szCs w:val="21"/>
              </w:rPr>
            </w:pPr>
            <w:r>
              <w:rPr>
                <w:rFonts w:hint="eastAsia" w:ascii="宋体" w:hAnsi="宋体" w:cs="宋体"/>
                <w:szCs w:val="21"/>
              </w:rPr>
              <w:t>投标报价得分以四舍五入保留小数点后两位。</w:t>
            </w:r>
          </w:p>
          <w:p>
            <w:pPr>
              <w:spacing w:line="360" w:lineRule="exact"/>
              <w:rPr>
                <w:rFonts w:hint="eastAsia" w:ascii="宋体" w:hAnsi="宋体" w:cs="宋体"/>
                <w:color w:val="auto"/>
                <w:w w:val="80"/>
              </w:rPr>
            </w:pPr>
            <w:r>
              <w:rPr>
                <w:rFonts w:hint="eastAsia" w:ascii="宋体" w:hAnsi="宋体" w:cs="宋体"/>
                <w:szCs w:val="21"/>
              </w:rPr>
              <w:t>投标人满足小微企业的，扣除投标报价的20%，用扣除后价格参与评审。</w:t>
            </w:r>
          </w:p>
        </w:tc>
        <w:tc>
          <w:tcPr>
            <w:tcW w:w="630" w:type="dxa"/>
            <w:vAlign w:val="center"/>
          </w:tcPr>
          <w:p>
            <w:pPr>
              <w:snapToGrid w:val="0"/>
              <w:spacing w:line="360" w:lineRule="exact"/>
              <w:jc w:val="center"/>
              <w:rPr>
                <w:rFonts w:hint="eastAsia" w:ascii="宋体" w:hAnsi="宋体" w:cs="宋体"/>
                <w:color w:val="auto"/>
              </w:rPr>
            </w:pPr>
            <w:r>
              <w:rPr>
                <w:rFonts w:hint="eastAsia" w:ascii="宋体" w:hAnsi="宋体" w:cs="宋体"/>
                <w:color w:val="auto"/>
              </w:rPr>
              <w:t>10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412" w:hRule="atLeast"/>
        </w:trPr>
        <w:tc>
          <w:tcPr>
            <w:tcW w:w="9921" w:type="dxa"/>
            <w:gridSpan w:val="4"/>
            <w:tcBorders>
              <w:top w:val="single" w:color="auto" w:sz="4" w:space="0"/>
              <w:bottom w:val="single" w:color="auto" w:sz="4" w:space="0"/>
            </w:tcBorders>
            <w:vAlign w:val="center"/>
          </w:tcPr>
          <w:p>
            <w:pPr>
              <w:spacing w:line="360" w:lineRule="exact"/>
              <w:ind w:left="194"/>
              <w:jc w:val="center"/>
              <w:rPr>
                <w:rFonts w:hint="eastAsia" w:ascii="宋体" w:hAnsi="宋体" w:cs="宋体"/>
                <w:color w:val="auto"/>
                <w:w w:val="80"/>
              </w:rPr>
            </w:pPr>
            <w:r>
              <w:rPr>
                <w:rFonts w:hint="eastAsia" w:ascii="宋体" w:hAnsi="宋体" w:cs="宋体"/>
                <w:color w:val="auto"/>
              </w:rPr>
              <w:t>综合评分得分（满分100分）</w:t>
            </w:r>
          </w:p>
        </w:tc>
      </w:tr>
    </w:tbl>
    <w:p>
      <w:pPr>
        <w:spacing w:line="360" w:lineRule="exact"/>
        <w:rPr>
          <w:rFonts w:ascii="宋体" w:hAnsi="宋体" w:cs="宋体"/>
          <w:szCs w:val="21"/>
        </w:rPr>
      </w:pPr>
      <w:r>
        <w:rPr>
          <w:rFonts w:hint="eastAsia" w:ascii="宋体" w:hAnsi="宋体" w:cs="宋体"/>
          <w:szCs w:val="21"/>
        </w:rPr>
        <w:t>以上各项得分磋商小组成员评分时保留小数点后一位小数，汇总计算时保留小数点二位。</w:t>
      </w:r>
    </w:p>
    <w:p>
      <w:pPr>
        <w:pStyle w:val="6"/>
        <w:pageBreakBefore w:val="0"/>
        <w:numPr>
          <w:ilvl w:val="0"/>
          <w:numId w:val="0"/>
        </w:numPr>
        <w:tabs>
          <w:tab w:val="clear" w:pos="576"/>
        </w:tabs>
        <w:kinsoku/>
        <w:wordWrap/>
        <w:overflowPunct/>
        <w:topLinePunct w:val="0"/>
        <w:autoSpaceDE/>
        <w:autoSpaceDN/>
        <w:bidi w:val="0"/>
        <w:adjustRightInd/>
        <w:spacing w:before="0" w:after="0" w:line="400" w:lineRule="exact"/>
        <w:jc w:val="left"/>
        <w:textAlignment w:val="auto"/>
        <w:rPr>
          <w:rFonts w:ascii="Times New Roman" w:hAnsi="Times New Roman" w:eastAsia="宋体"/>
          <w:sz w:val="21"/>
          <w:szCs w:val="21"/>
        </w:rPr>
      </w:pPr>
      <w:bookmarkStart w:id="267" w:name="_Toc27971"/>
      <w:r>
        <w:rPr>
          <w:rFonts w:hint="eastAsia" w:ascii="Times New Roman" w:hAnsi="Times New Roman" w:eastAsia="宋体"/>
          <w:sz w:val="21"/>
          <w:szCs w:val="21"/>
        </w:rPr>
        <w:t>七、</w:t>
      </w:r>
      <w:r>
        <w:rPr>
          <w:rFonts w:ascii="Times New Roman" w:hAnsi="Times New Roman" w:eastAsia="宋体"/>
          <w:sz w:val="21"/>
          <w:szCs w:val="21"/>
        </w:rPr>
        <w:t>定标</w:t>
      </w:r>
      <w:bookmarkEnd w:id="261"/>
      <w:bookmarkEnd w:id="262"/>
      <w:bookmarkEnd w:id="263"/>
      <w:bookmarkEnd w:id="264"/>
      <w:bookmarkEnd w:id="265"/>
      <w:bookmarkEnd w:id="266"/>
      <w:bookmarkEnd w:id="267"/>
    </w:p>
    <w:p>
      <w:pPr>
        <w:pageBreakBefore w:val="0"/>
        <w:widowControl/>
        <w:kinsoku/>
        <w:wordWrap/>
        <w:overflowPunct/>
        <w:topLinePunct w:val="0"/>
        <w:autoSpaceDE/>
        <w:autoSpaceDN/>
        <w:bidi w:val="0"/>
        <w:adjustRightInd/>
        <w:spacing w:line="400" w:lineRule="exact"/>
        <w:ind w:firstLine="420" w:firstLineChars="200"/>
        <w:jc w:val="left"/>
        <w:textAlignment w:val="auto"/>
        <w:rPr>
          <w:szCs w:val="21"/>
        </w:rPr>
      </w:pPr>
      <w:r>
        <w:rPr>
          <w:rFonts w:hint="eastAsia"/>
          <w:szCs w:val="21"/>
        </w:rPr>
        <w:t>（一）</w:t>
      </w:r>
      <w:r>
        <w:rPr>
          <w:szCs w:val="21"/>
        </w:rPr>
        <w:t>评标委员会根据投标人的综合得分高低排定顺序，推荐综合得分排名第一的投标人为本项目的中标候选人。如投标人综合得分相同则价格低者优先中标；若技术商务得分</w:t>
      </w:r>
      <w:r>
        <w:rPr>
          <w:rFonts w:hint="eastAsia"/>
          <w:szCs w:val="21"/>
        </w:rPr>
        <w:t>与报价分皆相同</w:t>
      </w:r>
      <w:r>
        <w:rPr>
          <w:szCs w:val="21"/>
        </w:rPr>
        <w:t>，</w:t>
      </w:r>
      <w:r>
        <w:rPr>
          <w:rFonts w:ascii="宋体" w:hAnsi="宋体"/>
          <w:szCs w:val="21"/>
        </w:rPr>
        <w:t>投标文件满足招标文件全部实质性要求，且按照评审因素的量化指标评审得分最高的投标人为排名第一的中标候选人。</w:t>
      </w:r>
    </w:p>
    <w:p>
      <w:pPr>
        <w:pStyle w:val="21"/>
        <w:pageBreakBefore w:val="0"/>
        <w:widowControl/>
        <w:kinsoku/>
        <w:wordWrap/>
        <w:overflowPunct/>
        <w:topLinePunct w:val="0"/>
        <w:autoSpaceDE/>
        <w:autoSpaceDN/>
        <w:bidi w:val="0"/>
        <w:adjustRightInd/>
        <w:spacing w:beforeLines="0" w:afterLines="0" w:line="400" w:lineRule="exact"/>
        <w:ind w:firstLine="420" w:firstLineChars="200"/>
        <w:jc w:val="left"/>
        <w:textAlignment w:val="auto"/>
        <w:rPr>
          <w:rFonts w:ascii="Times New Roman"/>
          <w:sz w:val="21"/>
          <w:szCs w:val="21"/>
        </w:rPr>
      </w:pPr>
      <w:r>
        <w:rPr>
          <w:rFonts w:hint="eastAsia" w:ascii="Times New Roman"/>
          <w:sz w:val="21"/>
          <w:szCs w:val="21"/>
        </w:rPr>
        <w:t>（二）</w:t>
      </w:r>
      <w:r>
        <w:rPr>
          <w:rFonts w:ascii="Times New Roman"/>
          <w:sz w:val="21"/>
          <w:szCs w:val="21"/>
        </w:rP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21"/>
        <w:pageBreakBefore w:val="0"/>
        <w:widowControl/>
        <w:kinsoku/>
        <w:wordWrap/>
        <w:overflowPunct/>
        <w:topLinePunct w:val="0"/>
        <w:autoSpaceDE/>
        <w:autoSpaceDN/>
        <w:bidi w:val="0"/>
        <w:adjustRightInd/>
        <w:spacing w:beforeLines="0" w:afterLines="0" w:line="400" w:lineRule="exact"/>
        <w:ind w:firstLine="420" w:firstLineChars="200"/>
        <w:jc w:val="left"/>
        <w:textAlignment w:val="auto"/>
        <w:rPr>
          <w:rFonts w:ascii="Times New Roman"/>
          <w:sz w:val="21"/>
          <w:szCs w:val="21"/>
        </w:rPr>
      </w:pPr>
      <w:r>
        <w:rPr>
          <w:rFonts w:hint="eastAsia" w:ascii="Times New Roman"/>
          <w:sz w:val="21"/>
          <w:szCs w:val="21"/>
        </w:rPr>
        <w:t>（三）</w:t>
      </w:r>
      <w:r>
        <w:rPr>
          <w:rFonts w:ascii="Times New Roman"/>
          <w:sz w:val="21"/>
          <w:szCs w:val="21"/>
        </w:rPr>
        <w:t>采购代理机构自中标人确定之日起2个工作日内，在发布招标公告的网站上对中标结果进行公示，中标结果公告期限为1个工作日</w:t>
      </w:r>
      <w:r>
        <w:rPr>
          <w:rFonts w:hint="eastAsia" w:ascii="Times New Roman"/>
          <w:sz w:val="21"/>
          <w:szCs w:val="21"/>
        </w:rPr>
        <w:t>，在公告中标结果的同时，向中标人发出中标通知书。</w:t>
      </w:r>
    </w:p>
    <w:p>
      <w:pPr>
        <w:pStyle w:val="21"/>
        <w:pageBreakBefore w:val="0"/>
        <w:widowControl/>
        <w:kinsoku/>
        <w:wordWrap/>
        <w:overflowPunct/>
        <w:topLinePunct w:val="0"/>
        <w:autoSpaceDE/>
        <w:autoSpaceDN/>
        <w:bidi w:val="0"/>
        <w:adjustRightInd/>
        <w:spacing w:beforeLines="0" w:afterLines="0" w:line="400" w:lineRule="exact"/>
        <w:ind w:firstLine="420" w:firstLineChars="200"/>
        <w:jc w:val="left"/>
        <w:textAlignment w:val="auto"/>
        <w:rPr>
          <w:rFonts w:ascii="Times New Roman"/>
          <w:sz w:val="21"/>
          <w:szCs w:val="21"/>
        </w:rPr>
      </w:pPr>
      <w:r>
        <w:rPr>
          <w:rFonts w:hint="eastAsia" w:ascii="Times New Roman"/>
          <w:sz w:val="21"/>
          <w:szCs w:val="21"/>
        </w:rPr>
        <w:t>（四）</w:t>
      </w:r>
      <w:r>
        <w:rPr>
          <w:rFonts w:ascii="Times New Roman"/>
          <w:sz w:val="21"/>
          <w:szCs w:val="21"/>
        </w:rPr>
        <w:t>凡发现中标人有下列行为之一的，将移交政府采购监督管理部门依法处理：</w:t>
      </w:r>
    </w:p>
    <w:p>
      <w:pPr>
        <w:pageBreakBefore w:val="0"/>
        <w:kinsoku/>
        <w:wordWrap/>
        <w:overflowPunct/>
        <w:topLinePunct w:val="0"/>
        <w:autoSpaceDE/>
        <w:autoSpaceDN/>
        <w:bidi w:val="0"/>
        <w:adjustRightInd/>
        <w:spacing w:line="400" w:lineRule="exact"/>
        <w:ind w:left="420" w:firstLine="210" w:firstLineChars="100"/>
        <w:textAlignment w:val="auto"/>
        <w:rPr>
          <w:szCs w:val="21"/>
        </w:rPr>
      </w:pPr>
      <w:r>
        <w:rPr>
          <w:rFonts w:hint="eastAsia"/>
          <w:szCs w:val="21"/>
        </w:rPr>
        <w:t>1.</w:t>
      </w:r>
      <w:r>
        <w:rPr>
          <w:szCs w:val="21"/>
        </w:rPr>
        <w:t>提供虚假材料谋取中标的</w:t>
      </w:r>
      <w:r>
        <w:rPr>
          <w:rFonts w:hint="eastAsia"/>
          <w:szCs w:val="21"/>
        </w:rPr>
        <w:t>；</w:t>
      </w:r>
    </w:p>
    <w:p>
      <w:pPr>
        <w:pageBreakBefore w:val="0"/>
        <w:kinsoku/>
        <w:wordWrap/>
        <w:overflowPunct/>
        <w:topLinePunct w:val="0"/>
        <w:autoSpaceDE/>
        <w:autoSpaceDN/>
        <w:bidi w:val="0"/>
        <w:adjustRightInd/>
        <w:spacing w:line="400" w:lineRule="exact"/>
        <w:ind w:left="420" w:firstLine="210" w:firstLineChars="100"/>
        <w:textAlignment w:val="auto"/>
        <w:rPr>
          <w:szCs w:val="21"/>
        </w:rPr>
      </w:pPr>
      <w:r>
        <w:rPr>
          <w:rFonts w:hint="eastAsia"/>
          <w:szCs w:val="21"/>
        </w:rPr>
        <w:t>2.</w:t>
      </w:r>
      <w:r>
        <w:rPr>
          <w:szCs w:val="21"/>
        </w:rPr>
        <w:t>采取不正当手段诋毁、排挤其他投标人的</w:t>
      </w:r>
      <w:r>
        <w:rPr>
          <w:rFonts w:hint="eastAsia"/>
          <w:szCs w:val="21"/>
        </w:rPr>
        <w:t>；</w:t>
      </w:r>
    </w:p>
    <w:p>
      <w:pPr>
        <w:pageBreakBefore w:val="0"/>
        <w:kinsoku/>
        <w:wordWrap/>
        <w:overflowPunct/>
        <w:topLinePunct w:val="0"/>
        <w:autoSpaceDE/>
        <w:autoSpaceDN/>
        <w:bidi w:val="0"/>
        <w:adjustRightInd/>
        <w:spacing w:line="400" w:lineRule="exact"/>
        <w:ind w:left="420" w:firstLine="210" w:firstLineChars="100"/>
        <w:textAlignment w:val="auto"/>
        <w:rPr>
          <w:szCs w:val="21"/>
        </w:rPr>
      </w:pPr>
      <w:r>
        <w:rPr>
          <w:rFonts w:hint="eastAsia"/>
          <w:szCs w:val="21"/>
        </w:rPr>
        <w:t>3.</w:t>
      </w:r>
      <w:r>
        <w:rPr>
          <w:szCs w:val="21"/>
        </w:rPr>
        <w:t>与采购人、其他投标人或者采购代理机构工作人员恶意串通的</w:t>
      </w:r>
      <w:r>
        <w:rPr>
          <w:rFonts w:hint="eastAsia"/>
          <w:szCs w:val="21"/>
        </w:rPr>
        <w:t>；</w:t>
      </w:r>
    </w:p>
    <w:p>
      <w:pPr>
        <w:pageBreakBefore w:val="0"/>
        <w:kinsoku/>
        <w:wordWrap/>
        <w:overflowPunct/>
        <w:topLinePunct w:val="0"/>
        <w:autoSpaceDE/>
        <w:autoSpaceDN/>
        <w:bidi w:val="0"/>
        <w:adjustRightInd/>
        <w:spacing w:line="400" w:lineRule="exact"/>
        <w:ind w:left="420" w:firstLine="210" w:firstLineChars="100"/>
        <w:textAlignment w:val="auto"/>
        <w:rPr>
          <w:szCs w:val="21"/>
        </w:rPr>
      </w:pPr>
      <w:r>
        <w:rPr>
          <w:rFonts w:hint="eastAsia"/>
          <w:szCs w:val="21"/>
        </w:rPr>
        <w:t>4.</w:t>
      </w:r>
      <w:r>
        <w:rPr>
          <w:szCs w:val="21"/>
        </w:rPr>
        <w:t>向采购人或采购代理机构人员行贿或者提供其他不正当利益的</w:t>
      </w:r>
      <w:r>
        <w:rPr>
          <w:rFonts w:hint="eastAsia"/>
          <w:szCs w:val="21"/>
        </w:rPr>
        <w:t>；</w:t>
      </w:r>
    </w:p>
    <w:p>
      <w:pPr>
        <w:pageBreakBefore w:val="0"/>
        <w:kinsoku/>
        <w:wordWrap/>
        <w:overflowPunct/>
        <w:topLinePunct w:val="0"/>
        <w:autoSpaceDE/>
        <w:autoSpaceDN/>
        <w:bidi w:val="0"/>
        <w:adjustRightInd/>
        <w:spacing w:line="400" w:lineRule="exact"/>
        <w:ind w:left="420" w:firstLine="210" w:firstLineChars="100"/>
        <w:textAlignment w:val="auto"/>
        <w:rPr>
          <w:szCs w:val="21"/>
        </w:rPr>
      </w:pPr>
      <w:r>
        <w:rPr>
          <w:rFonts w:hint="eastAsia"/>
          <w:szCs w:val="21"/>
        </w:rPr>
        <w:t>5.</w:t>
      </w:r>
      <w:r>
        <w:rPr>
          <w:szCs w:val="21"/>
        </w:rPr>
        <w:t>拒绝有关部门监督检查或者提供虚假情况的</w:t>
      </w:r>
      <w:r>
        <w:rPr>
          <w:rFonts w:hint="eastAsia"/>
          <w:szCs w:val="21"/>
        </w:rPr>
        <w:t>；</w:t>
      </w:r>
    </w:p>
    <w:p>
      <w:pPr>
        <w:pageBreakBefore w:val="0"/>
        <w:kinsoku/>
        <w:wordWrap/>
        <w:overflowPunct/>
        <w:topLinePunct w:val="0"/>
        <w:autoSpaceDE/>
        <w:autoSpaceDN/>
        <w:bidi w:val="0"/>
        <w:adjustRightInd/>
        <w:spacing w:line="400" w:lineRule="exact"/>
        <w:ind w:left="420" w:firstLine="210" w:firstLineChars="100"/>
        <w:textAlignment w:val="auto"/>
        <w:rPr>
          <w:szCs w:val="21"/>
        </w:rPr>
      </w:pPr>
      <w:r>
        <w:rPr>
          <w:rFonts w:hint="eastAsia"/>
          <w:szCs w:val="21"/>
        </w:rPr>
        <w:t>6.</w:t>
      </w:r>
      <w:r>
        <w:rPr>
          <w:szCs w:val="21"/>
        </w:rPr>
        <w:t>有法律、法规规定的其他损害采购人利益和社会公共利益情形的。</w:t>
      </w:r>
    </w:p>
    <w:p>
      <w:pPr>
        <w:pStyle w:val="6"/>
        <w:pageBreakBefore w:val="0"/>
        <w:numPr>
          <w:ilvl w:val="0"/>
          <w:numId w:val="0"/>
        </w:numPr>
        <w:tabs>
          <w:tab w:val="clear" w:pos="576"/>
        </w:tabs>
        <w:kinsoku/>
        <w:wordWrap/>
        <w:overflowPunct/>
        <w:topLinePunct w:val="0"/>
        <w:autoSpaceDE/>
        <w:autoSpaceDN/>
        <w:bidi w:val="0"/>
        <w:adjustRightInd/>
        <w:spacing w:before="0" w:after="0" w:line="400" w:lineRule="exact"/>
        <w:ind w:firstLine="422" w:firstLineChars="200"/>
        <w:jc w:val="left"/>
        <w:textAlignment w:val="auto"/>
        <w:rPr>
          <w:rFonts w:ascii="Times New Roman" w:hAnsi="Times New Roman" w:eastAsia="宋体"/>
          <w:sz w:val="21"/>
          <w:szCs w:val="21"/>
        </w:rPr>
      </w:pPr>
      <w:bookmarkStart w:id="268" w:name="_Toc28530"/>
      <w:bookmarkStart w:id="269" w:name="_Toc79395470"/>
      <w:bookmarkStart w:id="270" w:name="_Toc21438"/>
      <w:bookmarkStart w:id="271" w:name="_Toc13820"/>
      <w:bookmarkStart w:id="272" w:name="_Toc13586"/>
      <w:bookmarkStart w:id="273" w:name="_Toc17707947"/>
      <w:r>
        <w:rPr>
          <w:rFonts w:hint="eastAsia" w:ascii="Times New Roman" w:hAnsi="Times New Roman" w:eastAsia="宋体"/>
          <w:sz w:val="21"/>
          <w:szCs w:val="21"/>
        </w:rPr>
        <w:t>八</w:t>
      </w:r>
      <w:r>
        <w:rPr>
          <w:rFonts w:ascii="Times New Roman" w:hAnsi="Times New Roman" w:eastAsia="宋体"/>
          <w:sz w:val="21"/>
          <w:szCs w:val="21"/>
        </w:rPr>
        <w:t>、评标过程的监控</w:t>
      </w:r>
      <w:bookmarkEnd w:id="268"/>
      <w:bookmarkEnd w:id="269"/>
      <w:bookmarkEnd w:id="270"/>
      <w:bookmarkEnd w:id="271"/>
      <w:bookmarkEnd w:id="272"/>
      <w:bookmarkEnd w:id="273"/>
    </w:p>
    <w:p>
      <w:pPr>
        <w:pageBreakBefore w:val="0"/>
        <w:kinsoku/>
        <w:wordWrap/>
        <w:overflowPunct/>
        <w:topLinePunct w:val="0"/>
        <w:autoSpaceDE/>
        <w:autoSpaceDN/>
        <w:bidi w:val="0"/>
        <w:adjustRightInd/>
        <w:snapToGrid w:val="0"/>
        <w:spacing w:line="400" w:lineRule="exact"/>
        <w:ind w:firstLine="420" w:firstLineChars="200"/>
        <w:jc w:val="left"/>
        <w:textAlignment w:val="auto"/>
        <w:rPr>
          <w:szCs w:val="21"/>
        </w:rPr>
      </w:pPr>
      <w:r>
        <w:rPr>
          <w:bCs/>
          <w:szCs w:val="21"/>
        </w:rPr>
        <w:t>本项目评标过程实行全程录音、录像监控，投标人在评标过程中所进行的试图影响评标结果的不公正活动，可能导致其投标被拒绝。</w:t>
      </w:r>
    </w:p>
    <w:p>
      <w:pPr>
        <w:pStyle w:val="6"/>
        <w:pageBreakBefore w:val="0"/>
        <w:numPr>
          <w:ilvl w:val="0"/>
          <w:numId w:val="0"/>
        </w:numPr>
        <w:tabs>
          <w:tab w:val="clear" w:pos="576"/>
        </w:tabs>
        <w:kinsoku/>
        <w:wordWrap/>
        <w:overflowPunct/>
        <w:topLinePunct w:val="0"/>
        <w:autoSpaceDE/>
        <w:autoSpaceDN/>
        <w:bidi w:val="0"/>
        <w:adjustRightInd/>
        <w:spacing w:before="0" w:after="0" w:line="400" w:lineRule="exact"/>
        <w:ind w:firstLine="422" w:firstLineChars="200"/>
        <w:jc w:val="left"/>
        <w:textAlignment w:val="auto"/>
        <w:rPr>
          <w:rFonts w:ascii="Times New Roman" w:hAnsi="Times New Roman" w:eastAsia="宋体"/>
          <w:sz w:val="21"/>
          <w:szCs w:val="21"/>
        </w:rPr>
      </w:pPr>
      <w:bookmarkStart w:id="274" w:name="_Toc460416664"/>
      <w:bookmarkStart w:id="275" w:name="_Toc8418"/>
      <w:bookmarkStart w:id="276" w:name="_Toc79395471"/>
      <w:bookmarkStart w:id="277" w:name="_Toc17707948"/>
      <w:bookmarkStart w:id="278" w:name="_Toc27507"/>
      <w:bookmarkStart w:id="279" w:name="_Toc460857934"/>
      <w:bookmarkStart w:id="280" w:name="_Toc30381"/>
      <w:bookmarkStart w:id="281" w:name="_Toc460416359"/>
      <w:bookmarkStart w:id="282" w:name="_Toc29517"/>
      <w:r>
        <w:rPr>
          <w:rFonts w:hint="eastAsia" w:ascii="Times New Roman" w:hAnsi="Times New Roman" w:eastAsia="宋体"/>
          <w:sz w:val="21"/>
          <w:szCs w:val="21"/>
        </w:rPr>
        <w:t>九</w:t>
      </w:r>
      <w:r>
        <w:rPr>
          <w:rFonts w:ascii="Times New Roman" w:hAnsi="Times New Roman" w:eastAsia="宋体"/>
          <w:sz w:val="21"/>
          <w:szCs w:val="21"/>
        </w:rPr>
        <w:t>、合同授予</w:t>
      </w:r>
      <w:bookmarkEnd w:id="274"/>
      <w:bookmarkEnd w:id="275"/>
      <w:bookmarkEnd w:id="276"/>
      <w:bookmarkEnd w:id="277"/>
      <w:bookmarkEnd w:id="278"/>
      <w:bookmarkEnd w:id="279"/>
      <w:bookmarkEnd w:id="280"/>
      <w:bookmarkEnd w:id="281"/>
      <w:bookmarkEnd w:id="282"/>
    </w:p>
    <w:p>
      <w:pPr>
        <w:pageBreakBefore w:val="0"/>
        <w:kinsoku/>
        <w:wordWrap/>
        <w:overflowPunct/>
        <w:topLinePunct w:val="0"/>
        <w:autoSpaceDE/>
        <w:autoSpaceDN/>
        <w:bidi w:val="0"/>
        <w:adjustRightInd/>
        <w:snapToGrid w:val="0"/>
        <w:spacing w:line="400" w:lineRule="exact"/>
        <w:ind w:firstLine="420" w:firstLineChars="200"/>
        <w:textAlignment w:val="auto"/>
        <w:rPr>
          <w:szCs w:val="21"/>
        </w:rPr>
      </w:pPr>
      <w:r>
        <w:rPr>
          <w:szCs w:val="21"/>
        </w:rPr>
        <w:t>1</w:t>
      </w:r>
      <w:r>
        <w:rPr>
          <w:rFonts w:hint="eastAsia"/>
          <w:szCs w:val="21"/>
        </w:rPr>
        <w:t>.</w:t>
      </w:r>
      <w:r>
        <w:rPr>
          <w:szCs w:val="21"/>
        </w:rPr>
        <w:t>采购人应当自中标通知书发出之日起30日内，按照采购文件和中标人投标文件的规定，与中标人签订书面合同。所签订的合同不得对采购文件确定的事项和中标人投标文件作实质性修改。</w:t>
      </w:r>
    </w:p>
    <w:p>
      <w:pPr>
        <w:pageBreakBefore w:val="0"/>
        <w:kinsoku/>
        <w:wordWrap/>
        <w:overflowPunct/>
        <w:topLinePunct w:val="0"/>
        <w:autoSpaceDE/>
        <w:autoSpaceDN/>
        <w:bidi w:val="0"/>
        <w:adjustRightInd/>
        <w:snapToGrid w:val="0"/>
        <w:spacing w:line="400" w:lineRule="exact"/>
        <w:ind w:firstLine="420" w:firstLineChars="200"/>
        <w:textAlignment w:val="auto"/>
        <w:rPr>
          <w:szCs w:val="21"/>
        </w:rPr>
      </w:pPr>
      <w:r>
        <w:rPr>
          <w:szCs w:val="21"/>
        </w:rPr>
        <w:t>采购人不得向中标人提出任何不合理的要求作为签订合同的条件。</w:t>
      </w:r>
    </w:p>
    <w:p>
      <w:pPr>
        <w:pStyle w:val="21"/>
        <w:pageBreakBefore w:val="0"/>
        <w:kinsoku/>
        <w:wordWrap/>
        <w:overflowPunct/>
        <w:topLinePunct w:val="0"/>
        <w:autoSpaceDE/>
        <w:autoSpaceDN/>
        <w:bidi w:val="0"/>
        <w:adjustRightInd/>
        <w:snapToGrid w:val="0"/>
        <w:spacing w:beforeLines="0" w:afterLines="0" w:line="400" w:lineRule="exact"/>
        <w:ind w:firstLine="411" w:firstLineChars="196"/>
        <w:textAlignment w:val="auto"/>
        <w:rPr>
          <w:rFonts w:ascii="Times New Roman"/>
          <w:kern w:val="2"/>
          <w:sz w:val="21"/>
          <w:szCs w:val="21"/>
        </w:rPr>
      </w:pPr>
      <w:r>
        <w:rPr>
          <w:rFonts w:ascii="Times New Roman"/>
          <w:kern w:val="2"/>
          <w:sz w:val="21"/>
          <w:szCs w:val="21"/>
        </w:rPr>
        <w:t>2</w:t>
      </w:r>
      <w:r>
        <w:rPr>
          <w:rFonts w:hint="eastAsia" w:ascii="Times New Roman"/>
          <w:kern w:val="2"/>
          <w:sz w:val="21"/>
          <w:szCs w:val="21"/>
        </w:rPr>
        <w:t>.</w:t>
      </w:r>
      <w:r>
        <w:rPr>
          <w:rFonts w:ascii="Times New Roman"/>
          <w:kern w:val="2"/>
          <w:sz w:val="21"/>
          <w:szCs w:val="21"/>
        </w:rPr>
        <w:t>采购人在签订合同时，在合同金额变更范围内，如需审批的办理相关审批手续。有权变更采购项目的数量和服务内容，但不能对单价或其他条款和条件作任何改变。</w:t>
      </w:r>
    </w:p>
    <w:p>
      <w:pPr>
        <w:pStyle w:val="21"/>
        <w:pageBreakBefore w:val="0"/>
        <w:kinsoku/>
        <w:wordWrap/>
        <w:overflowPunct/>
        <w:topLinePunct w:val="0"/>
        <w:autoSpaceDE/>
        <w:autoSpaceDN/>
        <w:bidi w:val="0"/>
        <w:adjustRightInd/>
        <w:snapToGrid w:val="0"/>
        <w:spacing w:beforeLines="0" w:afterLines="0" w:line="400" w:lineRule="exact"/>
        <w:ind w:firstLine="411" w:firstLineChars="196"/>
        <w:textAlignment w:val="auto"/>
        <w:rPr>
          <w:rFonts w:ascii="Times New Roman"/>
          <w:kern w:val="2"/>
          <w:sz w:val="21"/>
          <w:szCs w:val="21"/>
        </w:rPr>
      </w:pPr>
      <w:r>
        <w:rPr>
          <w:rFonts w:ascii="Times New Roman"/>
          <w:kern w:val="2"/>
          <w:sz w:val="21"/>
          <w:szCs w:val="21"/>
        </w:rPr>
        <w:t>3</w:t>
      </w:r>
      <w:r>
        <w:rPr>
          <w:rFonts w:hint="eastAsia" w:ascii="Times New Roman"/>
          <w:kern w:val="2"/>
          <w:sz w:val="21"/>
          <w:szCs w:val="21"/>
        </w:rPr>
        <w:t>.</w:t>
      </w:r>
      <w:r>
        <w:rPr>
          <w:rFonts w:ascii="Times New Roman"/>
          <w:kern w:val="2"/>
          <w:sz w:val="21"/>
          <w:szCs w:val="21"/>
        </w:rPr>
        <w:t>采购文件、中标供应商的投标文件及评标过程中有关的澄清文件均应作为合同签订的附件。</w:t>
      </w:r>
    </w:p>
    <w:p>
      <w:pPr>
        <w:pStyle w:val="21"/>
        <w:pageBreakBefore w:val="0"/>
        <w:kinsoku/>
        <w:wordWrap/>
        <w:overflowPunct/>
        <w:topLinePunct w:val="0"/>
        <w:autoSpaceDE/>
        <w:autoSpaceDN/>
        <w:bidi w:val="0"/>
        <w:adjustRightInd/>
        <w:snapToGrid w:val="0"/>
        <w:spacing w:beforeLines="0" w:afterLines="0" w:line="400" w:lineRule="exact"/>
        <w:ind w:firstLine="411" w:firstLineChars="196"/>
        <w:textAlignment w:val="auto"/>
        <w:rPr>
          <w:rFonts w:ascii="Times New Roman"/>
          <w:kern w:val="2"/>
          <w:sz w:val="21"/>
          <w:szCs w:val="21"/>
        </w:rPr>
      </w:pPr>
      <w:r>
        <w:rPr>
          <w:rFonts w:ascii="Times New Roman"/>
          <w:kern w:val="2"/>
          <w:sz w:val="21"/>
          <w:szCs w:val="21"/>
        </w:rPr>
        <w:t>4</w:t>
      </w:r>
      <w:r>
        <w:rPr>
          <w:rFonts w:hint="eastAsia" w:ascii="Times New Roman"/>
          <w:kern w:val="2"/>
          <w:sz w:val="21"/>
          <w:szCs w:val="21"/>
        </w:rPr>
        <w:t>.</w:t>
      </w:r>
      <w:r>
        <w:rPr>
          <w:rFonts w:ascii="Times New Roman"/>
          <w:kern w:val="2"/>
          <w:sz w:val="21"/>
          <w:szCs w:val="21"/>
        </w:rPr>
        <w:t>中标或者成交供应商拒绝与采购人签订合同的，</w:t>
      </w:r>
      <w:r>
        <w:rPr>
          <w:rFonts w:hint="eastAsia" w:ascii="Times New Roman"/>
          <w:kern w:val="2"/>
          <w:sz w:val="21"/>
          <w:szCs w:val="21"/>
        </w:rPr>
        <w:t>采购人可以选择排名第二的候选供应商作为成交供应商并签订政府采购合同，也可以重新开展采购活动。排名第二的候选供应商拒绝签订政府采购合同的，采购人可以选择排名第三的候选供应商作为成交供应商并签订政府采购合同，也可以重新开展采购活动。拒绝签订政府采购合同的成交供应商不得参加对该项目重新开展的采购活动。</w:t>
      </w:r>
    </w:p>
    <w:p>
      <w:pPr>
        <w:pageBreakBefore w:val="0"/>
        <w:kinsoku/>
        <w:wordWrap/>
        <w:overflowPunct/>
        <w:topLinePunct w:val="0"/>
        <w:autoSpaceDE/>
        <w:autoSpaceDN/>
        <w:bidi w:val="0"/>
        <w:adjustRightInd/>
        <w:snapToGrid w:val="0"/>
        <w:spacing w:line="400" w:lineRule="exact"/>
        <w:ind w:firstLine="420" w:firstLineChars="200"/>
        <w:jc w:val="left"/>
        <w:textAlignment w:val="auto"/>
        <w:rPr>
          <w:szCs w:val="21"/>
        </w:rPr>
      </w:pPr>
      <w:r>
        <w:rPr>
          <w:szCs w:val="21"/>
        </w:rPr>
        <w:t>5</w:t>
      </w:r>
      <w:r>
        <w:rPr>
          <w:rFonts w:hint="eastAsia"/>
          <w:szCs w:val="21"/>
        </w:rPr>
        <w:t>.</w:t>
      </w:r>
      <w:r>
        <w:rPr>
          <w:szCs w:val="21"/>
        </w:rPr>
        <w:t>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ageBreakBefore w:val="0"/>
        <w:kinsoku/>
        <w:wordWrap/>
        <w:overflowPunct/>
        <w:topLinePunct w:val="0"/>
        <w:autoSpaceDE/>
        <w:autoSpaceDN/>
        <w:bidi w:val="0"/>
        <w:adjustRightInd/>
        <w:snapToGrid w:val="0"/>
        <w:spacing w:line="400" w:lineRule="exact"/>
        <w:ind w:firstLine="413" w:firstLineChars="196"/>
        <w:textAlignment w:val="auto"/>
        <w:rPr>
          <w:rFonts w:ascii="宋体" w:hAnsi="宋体" w:cs="宋体"/>
          <w:b/>
          <w:szCs w:val="21"/>
        </w:rPr>
      </w:pPr>
      <w:r>
        <w:rPr>
          <w:rFonts w:hint="eastAsia"/>
          <w:b/>
          <w:bCs/>
          <w:szCs w:val="21"/>
        </w:rPr>
        <w:t>十、</w:t>
      </w:r>
      <w:r>
        <w:rPr>
          <w:rFonts w:hint="eastAsia" w:ascii="宋体" w:hAnsi="宋体" w:cs="宋体"/>
          <w:b/>
          <w:bCs/>
          <w:szCs w:val="21"/>
        </w:rPr>
        <w:t>履约验收</w:t>
      </w:r>
      <w:r>
        <w:rPr>
          <w:rFonts w:hint="eastAsia" w:ascii="宋体" w:hAnsi="宋体" w:cs="宋体"/>
          <w:b/>
          <w:szCs w:val="21"/>
        </w:rPr>
        <w:t>：</w:t>
      </w:r>
    </w:p>
    <w:p>
      <w:pPr>
        <w:pStyle w:val="12"/>
        <w:pageBreakBefore w:val="0"/>
        <w:numPr>
          <w:ilvl w:val="0"/>
          <w:numId w:val="0"/>
        </w:numPr>
        <w:kinsoku/>
        <w:wordWrap/>
        <w:overflowPunct/>
        <w:topLinePunct w:val="0"/>
        <w:autoSpaceDE/>
        <w:autoSpaceDN/>
        <w:bidi w:val="0"/>
        <w:adjustRightInd/>
        <w:spacing w:line="400" w:lineRule="exact"/>
        <w:ind w:firstLine="420" w:firstLineChars="200"/>
        <w:textAlignment w:val="auto"/>
      </w:pPr>
      <w:r>
        <w:rPr>
          <w:rFonts w:hint="eastAsia" w:ascii="宋体" w:hAnsi="宋体" w:cs="宋体"/>
          <w:bCs/>
          <w:szCs w:val="21"/>
        </w:rPr>
        <w:t>采购人负责对中标人的履约行为进行验收。政府向社会公众提供的公共服务项目，验收时应当邀请服务对象参与并出具意见，验收结果应当向社会公告。</w:t>
      </w:r>
    </w:p>
    <w:p>
      <w:pPr>
        <w:pStyle w:val="168"/>
        <w:spacing w:line="360" w:lineRule="auto"/>
        <w:ind w:firstLine="480"/>
        <w:jc w:val="center"/>
        <w:rPr>
          <w:rFonts w:ascii="宋体" w:hAnsi="宋体" w:cs="宋体"/>
          <w:color w:val="auto"/>
          <w:sz w:val="28"/>
          <w:szCs w:val="28"/>
        </w:rPr>
        <w:sectPr>
          <w:footerReference r:id="rId8" w:type="default"/>
          <w:pgSz w:w="11906" w:h="16838"/>
          <w:pgMar w:top="1440" w:right="1800" w:bottom="1440" w:left="1304" w:header="851" w:footer="992" w:gutter="0"/>
          <w:pgNumType w:fmt="decimal" w:start="1"/>
          <w:cols w:space="720" w:num="1"/>
          <w:docGrid w:type="lines" w:linePitch="312" w:charSpace="0"/>
        </w:sectPr>
      </w:pPr>
      <w:r>
        <w:rPr>
          <w:b/>
          <w:color w:val="auto"/>
          <w:szCs w:val="21"/>
        </w:rPr>
        <w:br w:type="page"/>
      </w:r>
    </w:p>
    <w:p>
      <w:pPr>
        <w:pStyle w:val="5"/>
        <w:spacing w:before="0" w:after="0" w:line="360" w:lineRule="auto"/>
        <w:jc w:val="center"/>
        <w:rPr>
          <w:sz w:val="30"/>
        </w:rPr>
      </w:pPr>
      <w:bookmarkStart w:id="283" w:name="_Toc68086648"/>
      <w:bookmarkStart w:id="284" w:name="_Toc3258"/>
      <w:bookmarkStart w:id="285" w:name="_Toc15760"/>
      <w:bookmarkStart w:id="286" w:name="_Toc22500"/>
      <w:r>
        <w:rPr>
          <w:sz w:val="30"/>
        </w:rPr>
        <w:t>第五章  采购合同主要条款</w:t>
      </w:r>
      <w:bookmarkEnd w:id="283"/>
      <w:bookmarkEnd w:id="284"/>
      <w:bookmarkEnd w:id="285"/>
      <w:bookmarkEnd w:id="286"/>
    </w:p>
    <w:p>
      <w:pPr>
        <w:spacing w:line="240" w:lineRule="exact"/>
        <w:rPr>
          <w:rFonts w:ascii="宋体" w:hAnsi="宋体" w:cs="宋体"/>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21"/>
          <w:szCs w:val="21"/>
        </w:rPr>
      </w:pPr>
      <w:r>
        <w:rPr>
          <w:rFonts w:hint="eastAsia"/>
          <w:sz w:val="21"/>
          <w:szCs w:val="21"/>
        </w:rPr>
        <w:t>（参考合同，具体细则以采购人及中标人双方签订为准。）</w:t>
      </w:r>
    </w:p>
    <w:p>
      <w:pPr>
        <w:keepNext w:val="0"/>
        <w:keepLines w:val="0"/>
        <w:pageBreakBefore w:val="0"/>
        <w:kinsoku/>
        <w:wordWrap/>
        <w:overflowPunct/>
        <w:topLinePunct w:val="0"/>
        <w:autoSpaceDE/>
        <w:autoSpaceDN/>
        <w:bidi w:val="0"/>
        <w:adjustRightInd/>
        <w:snapToGrid/>
        <w:spacing w:line="400" w:lineRule="exact"/>
        <w:jc w:val="center"/>
        <w:textAlignment w:val="auto"/>
        <w:rPr>
          <w:rFonts w:eastAsia="黑体"/>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rPr>
      </w:pPr>
      <w:bookmarkStart w:id="287" w:name="_Toc13055"/>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b/>
          <w:bCs/>
          <w:sz w:val="21"/>
          <w:szCs w:val="21"/>
        </w:rPr>
      </w:pPr>
      <w:r>
        <w:rPr>
          <w:rFonts w:hint="eastAsia" w:ascii="宋体" w:hAnsi="宋体" w:cs="宋体"/>
          <w:b/>
          <w:bCs/>
          <w:sz w:val="21"/>
          <w:szCs w:val="21"/>
        </w:rPr>
        <w:t>技术服务合同</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r>
        <w:rPr>
          <w:rFonts w:hint="eastAsia" w:ascii="宋体" w:hAnsi="宋体" w:cs="宋体"/>
          <w:sz w:val="21"/>
          <w:szCs w:val="21"/>
        </w:rPr>
        <w:t>项目名称：</w:t>
      </w:r>
      <w:r>
        <w:rPr>
          <w:rFonts w:hint="eastAsia" w:ascii="宋体" w:hAnsi="宋体" w:cs="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r>
        <w:rPr>
          <w:rFonts w:hint="eastAsia" w:ascii="宋体" w:hAnsi="宋体" w:cs="宋体"/>
          <w:sz w:val="21"/>
          <w:szCs w:val="21"/>
        </w:rPr>
        <w:t>委 托 方：</w:t>
      </w:r>
      <w:r>
        <w:rPr>
          <w:rFonts w:hint="eastAsia" w:ascii="宋体" w:hAnsi="宋体" w:cs="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r>
        <w:rPr>
          <w:rFonts w:hint="eastAsia" w:ascii="宋体" w:hAnsi="宋体" w:cs="宋体"/>
          <w:sz w:val="21"/>
          <w:szCs w:val="21"/>
        </w:rPr>
        <w:t>（甲 方）</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r>
        <w:rPr>
          <w:rFonts w:hint="eastAsia" w:ascii="宋体" w:hAnsi="宋体" w:cs="宋体"/>
          <w:sz w:val="21"/>
          <w:szCs w:val="21"/>
        </w:rPr>
        <w:t>受 托 方：</w:t>
      </w:r>
      <w:r>
        <w:rPr>
          <w:rFonts w:hint="eastAsia" w:ascii="宋体" w:hAnsi="宋体" w:cs="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r>
        <w:rPr>
          <w:rFonts w:hint="eastAsia" w:ascii="宋体" w:hAnsi="宋体" w:cs="宋体"/>
          <w:sz w:val="21"/>
          <w:szCs w:val="21"/>
        </w:rPr>
        <w:t>（乙 方）</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u w:val="single"/>
        </w:rPr>
      </w:pPr>
      <w:r>
        <w:rPr>
          <w:rFonts w:hint="eastAsia" w:ascii="宋体" w:hAnsi="宋体" w:cs="宋体"/>
          <w:sz w:val="21"/>
          <w:szCs w:val="21"/>
        </w:rPr>
        <w:t>签订时间：</w:t>
      </w:r>
      <w:r>
        <w:rPr>
          <w:rFonts w:hint="eastAsia" w:ascii="宋体" w:hAnsi="宋体" w:cs="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r>
        <w:rPr>
          <w:rFonts w:hint="eastAsia" w:ascii="宋体" w:hAnsi="宋体" w:cs="宋体"/>
          <w:sz w:val="21"/>
          <w:szCs w:val="21"/>
        </w:rPr>
        <w:t>签订地点：</w:t>
      </w:r>
      <w:r>
        <w:rPr>
          <w:rFonts w:hint="eastAsia" w:ascii="宋体" w:hAnsi="宋体" w:cs="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r>
        <w:rPr>
          <w:rFonts w:hint="eastAsia" w:ascii="宋体" w:hAnsi="宋体" w:cs="宋体"/>
          <w:sz w:val="21"/>
          <w:szCs w:val="21"/>
        </w:rPr>
        <w:t>有效期限：</w:t>
      </w:r>
      <w:r>
        <w:rPr>
          <w:rFonts w:hint="eastAsia" w:ascii="宋体" w:hAnsi="宋体" w:cs="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s="宋体"/>
          <w:sz w:val="21"/>
          <w:szCs w:val="21"/>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p>
    <w:p>
      <w:pPr>
        <w:pStyle w:val="2"/>
        <w:rPr>
          <w:rFonts w:ascii="宋体" w:hAnsi="宋体" w:cs="宋体"/>
          <w:sz w:val="21"/>
          <w:szCs w:val="21"/>
        </w:rPr>
      </w:pPr>
    </w:p>
    <w:p>
      <w:pPr>
        <w:pStyle w:val="3"/>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30"/>
        </w:rPr>
      </w:pPr>
      <w:r>
        <w:rPr>
          <w:rFonts w:hint="eastAsia" w:ascii="宋体" w:hAnsi="宋体" w:cs="宋体"/>
          <w:sz w:val="21"/>
          <w:szCs w:val="21"/>
        </w:rPr>
        <w:t>中华人民共和国科学技术部印制</w:t>
      </w:r>
      <w:r>
        <w:rPr>
          <w:rFonts w:hint="eastAsia" w:ascii="宋体" w:hAnsi="宋体" w:cs="宋体"/>
          <w:sz w:val="28"/>
          <w:szCs w:val="28"/>
        </w:rPr>
        <w:br w:type="page"/>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b/>
          <w:bCs/>
          <w:sz w:val="24"/>
          <w:szCs w:val="24"/>
        </w:rPr>
      </w:pPr>
      <w:r>
        <w:rPr>
          <w:rFonts w:hint="eastAsia" w:ascii="宋体" w:hAnsi="宋体" w:cs="宋体"/>
          <w:b/>
          <w:bCs/>
          <w:sz w:val="24"/>
          <w:szCs w:val="24"/>
        </w:rPr>
        <w:t>填写说明</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r>
        <w:rPr>
          <w:rFonts w:hint="eastAsia" w:ascii="宋体" w:hAnsi="宋体" w:cs="宋体"/>
          <w:sz w:val="21"/>
          <w:szCs w:val="21"/>
        </w:rPr>
        <w:t>一、本合同为中华人民共和国科学技术部印制的技术服务合同示范文本，各技术合同认定登记机构可推介技术合同当事人参照使用。</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r>
        <w:rPr>
          <w:rFonts w:hint="eastAsia" w:ascii="宋体" w:hAnsi="宋体" w:cs="宋体"/>
          <w:sz w:val="21"/>
          <w:szCs w:val="21"/>
        </w:rPr>
        <w:t>二、本合同书适用于一方当事人（受托方）以技术知识为另一方（委托方）解决特定技术问题所订立的合同。</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r>
        <w:rPr>
          <w:rFonts w:hint="eastAsia" w:ascii="宋体" w:hAnsi="宋体" w:cs="宋体"/>
          <w:sz w:val="21"/>
          <w:szCs w:val="21"/>
        </w:rPr>
        <w:t>三、签约一方为多个当事人的，可按各自在合同关系中的作用等，在“委托方”、“受托方”项下（增页）分别排列为共同委托人或共同受托人。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 w:val="21"/>
          <w:szCs w:val="21"/>
        </w:rPr>
      </w:pPr>
      <w:r>
        <w:rPr>
          <w:rFonts w:hint="eastAsia" w:ascii="宋体" w:hAnsi="宋体" w:cs="宋体"/>
          <w:sz w:val="21"/>
          <w:szCs w:val="21"/>
        </w:rPr>
        <w:t>四、本合同书未尽事项，可由当事人附页另行约定，并作为本合同的组成部分。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 w:val="21"/>
          <w:szCs w:val="21"/>
        </w:rPr>
        <w:sectPr>
          <w:headerReference r:id="rId9" w:type="default"/>
          <w:footerReference r:id="rId10" w:type="default"/>
          <w:pgSz w:w="11906" w:h="16838"/>
          <w:pgMar w:top="1440" w:right="1800" w:bottom="1440" w:left="1803" w:header="851" w:footer="992" w:gutter="0"/>
          <w:pgNumType w:fmt="decimal"/>
          <w:cols w:space="720" w:num="1"/>
          <w:docGrid w:type="lines" w:linePitch="312" w:charSpace="0"/>
        </w:sectPr>
      </w:pPr>
      <w:r>
        <w:rPr>
          <w:rFonts w:hint="eastAsia" w:ascii="宋体" w:hAnsi="宋体" w:cs="宋体"/>
          <w:sz w:val="21"/>
          <w:szCs w:val="21"/>
        </w:rPr>
        <w:t>五、当事人使用本合同书时约定无需填写的条款，应在该条款处注明“无”等字样。</w:t>
      </w:r>
    </w:p>
    <w:p>
      <w:pPr>
        <w:keepNext w:val="0"/>
        <w:keepLines w:val="0"/>
        <w:pageBreakBefore w:val="0"/>
        <w:kinsoku/>
        <w:wordWrap/>
        <w:overflowPunct/>
        <w:topLinePunct w:val="0"/>
        <w:autoSpaceDE/>
        <w:autoSpaceDN/>
        <w:bidi w:val="0"/>
        <w:adjustRightInd/>
        <w:snapToGrid/>
        <w:spacing w:line="400" w:lineRule="exact"/>
        <w:jc w:val="center"/>
        <w:textAlignment w:val="auto"/>
        <w:rPr>
          <w:rFonts w:eastAsia="黑体"/>
          <w:sz w:val="4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b/>
          <w:bCs/>
          <w:sz w:val="21"/>
          <w:szCs w:val="21"/>
        </w:rPr>
      </w:pPr>
      <w:r>
        <w:rPr>
          <w:rFonts w:hint="eastAsia" w:ascii="宋体" w:hAnsi="宋体" w:cs="宋体"/>
          <w:b/>
          <w:bCs/>
          <w:sz w:val="21"/>
          <w:szCs w:val="21"/>
        </w:rPr>
        <w:t>技术服务合同</w:t>
      </w: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u w:val="single"/>
        </w:rPr>
      </w:pPr>
      <w:r>
        <w:rPr>
          <w:rFonts w:hint="eastAsia" w:ascii="宋体" w:hAnsi="宋体" w:cs="宋体"/>
          <w:szCs w:val="21"/>
        </w:rPr>
        <w:t>委托方（甲方）：</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ab/>
      </w:r>
      <w:r>
        <w:rPr>
          <w:rFonts w:hint="eastAsia" w:ascii="宋体" w:hAnsi="宋体" w:cs="宋体"/>
          <w:szCs w:val="21"/>
        </w:rPr>
        <w:t>住  所  地：</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ab/>
      </w:r>
      <w:r>
        <w:rPr>
          <w:rFonts w:hint="eastAsia" w:ascii="宋体" w:hAnsi="宋体" w:cs="宋体"/>
          <w:szCs w:val="21"/>
        </w:rPr>
        <w:t>法定代表人：</w:t>
      </w:r>
      <w:r>
        <w:rPr>
          <w:rFonts w:hint="eastAsia" w:ascii="宋体" w:hAnsi="宋体" w:cs="宋体"/>
          <w:szCs w:val="21"/>
          <w:u w:val="single"/>
        </w:rPr>
        <w:t xml:space="preserve">                                                 </w:t>
      </w:r>
    </w:p>
    <w:p>
      <w:pPr>
        <w:keepNext w:val="0"/>
        <w:keepLines w:val="0"/>
        <w:pageBreakBefore w:val="0"/>
        <w:widowControl w:val="0"/>
        <w:tabs>
          <w:tab w:val="left" w:pos="1050"/>
        </w:tabs>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项目联系人：</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rPr>
      </w:pPr>
      <w:r>
        <w:rPr>
          <w:rFonts w:hint="eastAsia" w:ascii="宋体" w:hAnsi="宋体" w:cs="宋体"/>
          <w:szCs w:val="21"/>
        </w:rPr>
        <w:tab/>
      </w:r>
      <w:r>
        <w:rPr>
          <w:rFonts w:hint="eastAsia" w:ascii="宋体" w:hAnsi="宋体" w:cs="宋体"/>
          <w:szCs w:val="21"/>
        </w:rPr>
        <w:t xml:space="preserve">联系方式 ： </w:t>
      </w:r>
      <w:r>
        <w:rPr>
          <w:rFonts w:hint="eastAsia" w:ascii="宋体" w:hAnsi="宋体" w:cs="宋体"/>
          <w:szCs w:val="21"/>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通讯地址：</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传真：</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电子信箱：</w:t>
      </w:r>
      <w:r>
        <w:rPr>
          <w:rFonts w:hint="eastAsia" w:ascii="宋体" w:hAnsi="宋体" w:cs="宋体"/>
          <w:szCs w:val="21"/>
          <w:u w:val="single"/>
        </w:rPr>
        <w:t xml:space="preserve">                                                   </w:t>
      </w:r>
      <w:r>
        <w:rPr>
          <w:rFonts w:hint="eastAsia" w:ascii="宋体" w:hAnsi="宋体" w:cs="宋体"/>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受托方（乙方）：</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住  所  地：</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法定代表人：</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项目联系人：</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联系方式 ：__________________________</w:t>
      </w:r>
      <w:r>
        <w:rPr>
          <w:rFonts w:hint="eastAsia" w:ascii="宋体" w:hAnsi="宋体" w:cs="宋体"/>
          <w:szCs w:val="21"/>
          <w:u w:val="single"/>
        </w:rPr>
        <w:t xml:space="preserve">                        </w:t>
      </w:r>
    </w:p>
    <w:p>
      <w:pPr>
        <w:keepNext w:val="0"/>
        <w:keepLines w:val="0"/>
        <w:pageBreakBefore w:val="0"/>
        <w:widowControl w:val="0"/>
        <w:tabs>
          <w:tab w:val="left" w:pos="8100"/>
        </w:tabs>
        <w:kinsoku/>
        <w:wordWrap/>
        <w:overflowPunct/>
        <w:topLinePunct w:val="0"/>
        <w:autoSpaceDE/>
        <w:autoSpaceDN/>
        <w:bidi w:val="0"/>
        <w:adjustRightInd/>
        <w:snapToGrid/>
        <w:spacing w:line="400" w:lineRule="exact"/>
        <w:jc w:val="left"/>
        <w:textAlignment w:val="auto"/>
        <w:rPr>
          <w:rFonts w:ascii="宋体" w:hAnsi="宋体" w:cs="宋体"/>
          <w:szCs w:val="21"/>
          <w:u w:val="single"/>
        </w:rPr>
      </w:pP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通讯地址：</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hint="eastAsia"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r>
        <w:rPr>
          <w:rFonts w:hint="eastAsia" w:ascii="宋体" w:hAnsi="宋体" w:cs="宋体"/>
          <w:szCs w:val="21"/>
        </w:rPr>
        <w:t xml:space="preserve"> 传真： </w:t>
      </w:r>
      <w:r>
        <w:rPr>
          <w:rFonts w:hint="eastAsia" w:ascii="宋体" w:hAnsi="宋体" w:cs="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jc w:val="left"/>
        <w:textAlignment w:val="auto"/>
        <w:rPr>
          <w:rFonts w:ascii="宋体" w:hAnsi="宋体" w:cs="宋体"/>
          <w:szCs w:val="21"/>
          <w:u w:val="single"/>
        </w:rPr>
      </w:pPr>
      <w:r>
        <w:rPr>
          <w:rFonts w:hint="eastAsia" w:ascii="宋体" w:hAnsi="宋体" w:cs="宋体"/>
          <w:szCs w:val="21"/>
        </w:rPr>
        <w:t>电子信箱：</w:t>
      </w:r>
      <w:r>
        <w:rPr>
          <w:rFonts w:hint="eastAsia" w:ascii="宋体" w:hAnsi="宋体" w:cs="宋体"/>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left="1"/>
        <w:jc w:val="left"/>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spacing w:line="400" w:lineRule="exact"/>
        <w:ind w:left="1"/>
        <w:textAlignment w:val="auto"/>
        <w:rPr>
          <w:rFonts w:ascii="宋体" w:hAnsi="宋体"/>
          <w:sz w:val="21"/>
          <w:szCs w:val="21"/>
        </w:rPr>
      </w:pP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sz w:val="21"/>
          <w:szCs w:val="21"/>
        </w:rPr>
      </w:pPr>
      <w:r>
        <w:rPr>
          <w:rFonts w:ascii="宋体" w:hAnsi="宋体"/>
          <w:sz w:val="21"/>
          <w:szCs w:val="21"/>
        </w:rPr>
        <w:br w:type="page"/>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本合同甲方委托乙方就</w:t>
      </w:r>
      <w:r>
        <w:rPr>
          <w:rFonts w:ascii="宋体" w:hAnsi="宋体"/>
          <w:sz w:val="21"/>
          <w:szCs w:val="21"/>
          <w:u w:val="single"/>
        </w:rPr>
        <w:t xml:space="preserve">            </w:t>
      </w:r>
      <w:r>
        <w:rPr>
          <w:rFonts w:hint="eastAsia" w:ascii="宋体" w:hAnsi="宋体"/>
          <w:sz w:val="21"/>
          <w:szCs w:val="21"/>
        </w:rPr>
        <w:t>项目进行的专项技术服务，并支付相应的技术服务报酬。双方经过平等协商，在真实、充分地表达各自意愿的基础上，根据《民法典》的规定，达成如下协议，并由双方共同恪守。</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第一条：</w:t>
      </w:r>
      <w:r>
        <w:rPr>
          <w:rFonts w:hint="eastAsia" w:ascii="宋体" w:hAnsi="宋体"/>
          <w:sz w:val="21"/>
          <w:szCs w:val="21"/>
        </w:rPr>
        <w:t>甲方委托乙方进行技术服务的内容如下：</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ascii="宋体" w:hAnsi="宋体"/>
          <w:sz w:val="21"/>
          <w:szCs w:val="21"/>
          <w:u w:val="single"/>
        </w:rPr>
      </w:pPr>
      <w:r>
        <w:rPr>
          <w:rFonts w:hint="eastAsia" w:ascii="宋体" w:hAnsi="宋体"/>
          <w:sz w:val="21"/>
          <w:szCs w:val="21"/>
        </w:rPr>
        <w:t>1.技术服务的范围：</w:t>
      </w:r>
      <w:r>
        <w:rPr>
          <w:rFonts w:hint="eastAsia" w:ascii="宋体" w:hAnsi="宋体"/>
          <w:sz w:val="21"/>
          <w:szCs w:val="21"/>
          <w:u w:val="single"/>
        </w:rPr>
        <w:t xml:space="preserve">                                                </w:t>
      </w:r>
      <w:r>
        <w:rPr>
          <w:rFonts w:hint="eastAsia" w:ascii="宋体" w:hAnsi="宋体"/>
          <w:sz w:val="21"/>
          <w:szCs w:val="21"/>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ascii="宋体" w:hAnsi="宋体"/>
          <w:sz w:val="21"/>
          <w:szCs w:val="21"/>
          <w:u w:val="single"/>
        </w:rPr>
      </w:pPr>
      <w:r>
        <w:rPr>
          <w:rFonts w:hint="eastAsia" w:ascii="宋体" w:hAnsi="宋体"/>
          <w:sz w:val="21"/>
          <w:szCs w:val="21"/>
        </w:rPr>
        <w:t>2.技术服务的内容：</w:t>
      </w:r>
      <w:r>
        <w:rPr>
          <w:rFonts w:hint="eastAsia" w:ascii="宋体" w:hAnsi="宋体"/>
          <w:sz w:val="21"/>
          <w:szCs w:val="21"/>
          <w:u w:val="single"/>
        </w:rPr>
        <w:t xml:space="preserve">                                                </w:t>
      </w:r>
      <w:r>
        <w:rPr>
          <w:rFonts w:hint="eastAsia" w:ascii="宋体" w:hAnsi="宋体"/>
          <w:sz w:val="21"/>
          <w:szCs w:val="21"/>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outlineLvl w:val="0"/>
        <w:rPr>
          <w:rFonts w:ascii="宋体" w:hAnsi="宋体"/>
          <w:sz w:val="21"/>
          <w:szCs w:val="21"/>
        </w:rPr>
      </w:pPr>
      <w:bookmarkStart w:id="288" w:name="_Toc15907"/>
      <w:r>
        <w:rPr>
          <w:rFonts w:hint="eastAsia" w:ascii="宋体" w:hAnsi="宋体"/>
          <w:sz w:val="21"/>
          <w:szCs w:val="21"/>
        </w:rPr>
        <w:t>3.技术服务的方式：</w:t>
      </w:r>
      <w:bookmarkEnd w:id="288"/>
      <w:r>
        <w:rPr>
          <w:rFonts w:hint="eastAsia"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2" w:firstLineChars="200"/>
        <w:jc w:val="left"/>
        <w:textAlignment w:val="auto"/>
        <w:outlineLvl w:val="0"/>
        <w:rPr>
          <w:rFonts w:ascii="宋体" w:hAnsi="宋体"/>
          <w:sz w:val="21"/>
          <w:szCs w:val="21"/>
        </w:rPr>
      </w:pPr>
      <w:bookmarkStart w:id="289" w:name="_Toc20418"/>
      <w:r>
        <w:rPr>
          <w:rFonts w:hint="eastAsia" w:ascii="宋体" w:hAnsi="宋体"/>
          <w:b/>
          <w:sz w:val="21"/>
          <w:szCs w:val="21"/>
        </w:rPr>
        <w:t>第二条：</w:t>
      </w:r>
      <w:r>
        <w:rPr>
          <w:rFonts w:hint="eastAsia" w:ascii="宋体" w:hAnsi="宋体"/>
          <w:sz w:val="21"/>
          <w:szCs w:val="21"/>
        </w:rPr>
        <w:t>乙方应按下列要求完成技术服务工作：</w:t>
      </w:r>
      <w:bookmarkEnd w:id="289"/>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u w:val="single"/>
        </w:rPr>
      </w:pPr>
      <w:r>
        <w:rPr>
          <w:rFonts w:hint="eastAsia" w:ascii="宋体" w:hAnsi="宋体"/>
          <w:sz w:val="21"/>
          <w:szCs w:val="21"/>
        </w:rPr>
        <w:t>1．技术服务地点：</w:t>
      </w:r>
      <w:r>
        <w:rPr>
          <w:rFonts w:hint="eastAsia" w:ascii="宋体" w:hAnsi="宋体"/>
          <w:sz w:val="21"/>
          <w:szCs w:val="21"/>
          <w:u w:val="single"/>
        </w:rPr>
        <w:t xml:space="preserve"> </w:t>
      </w:r>
      <w:r>
        <w:rPr>
          <w:rFonts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u w:val="single"/>
        </w:rPr>
      </w:pPr>
      <w:r>
        <w:rPr>
          <w:rFonts w:hint="eastAsia" w:ascii="宋体" w:hAnsi="宋体"/>
          <w:sz w:val="21"/>
          <w:szCs w:val="21"/>
        </w:rPr>
        <w:t>2．技术服务期限：</w:t>
      </w:r>
      <w:r>
        <w:rPr>
          <w:rFonts w:hint="eastAsia" w:ascii="宋体" w:hAnsi="宋体"/>
          <w:sz w:val="21"/>
          <w:szCs w:val="21"/>
          <w:u w:val="single"/>
        </w:rPr>
        <w:t xml:space="preserve"> </w:t>
      </w:r>
      <w:r>
        <w:rPr>
          <w:rFonts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b/>
          <w:sz w:val="21"/>
          <w:szCs w:val="21"/>
          <w:u w:val="single"/>
        </w:rPr>
      </w:pPr>
      <w:r>
        <w:rPr>
          <w:rFonts w:hint="eastAsia" w:ascii="宋体" w:hAnsi="宋体"/>
          <w:sz w:val="21"/>
          <w:szCs w:val="21"/>
        </w:rPr>
        <w:t>3．技术服务质量要求：</w:t>
      </w:r>
      <w:r>
        <w:rPr>
          <w:rFonts w:hint="eastAsia" w:ascii="宋体" w:hAnsi="宋体"/>
          <w:sz w:val="21"/>
          <w:szCs w:val="21"/>
          <w:u w:val="single"/>
        </w:rPr>
        <w:t xml:space="preserve"> </w:t>
      </w:r>
      <w:r>
        <w:rPr>
          <w:rFonts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u w:val="single"/>
        </w:rPr>
      </w:pPr>
      <w:r>
        <w:rPr>
          <w:rFonts w:hint="eastAsia" w:ascii="宋体" w:hAnsi="宋体"/>
          <w:sz w:val="21"/>
          <w:szCs w:val="21"/>
        </w:rPr>
        <w:t>4.执行技术标准和规定：</w:t>
      </w:r>
      <w:r>
        <w:rPr>
          <w:rFonts w:hint="eastAsia" w:ascii="宋体" w:hAnsi="宋体"/>
          <w:sz w:val="21"/>
          <w:szCs w:val="21"/>
          <w:u w:val="single"/>
        </w:rPr>
        <w:t xml:space="preserve"> </w:t>
      </w:r>
      <w:r>
        <w:rPr>
          <w:rFonts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ascii="宋体" w:hAnsi="宋体"/>
          <w:sz w:val="21"/>
          <w:szCs w:val="21"/>
          <w:u w:val="single"/>
        </w:rPr>
      </w:pPr>
      <w:r>
        <w:rPr>
          <w:rFonts w:hint="eastAsia" w:ascii="宋体" w:hAnsi="宋体"/>
          <w:sz w:val="21"/>
          <w:szCs w:val="21"/>
        </w:rPr>
        <w:t>5</w:t>
      </w:r>
      <w:r>
        <w:rPr>
          <w:rFonts w:ascii="宋体" w:hAnsi="宋体"/>
          <w:sz w:val="21"/>
          <w:szCs w:val="21"/>
        </w:rPr>
        <w:t>.</w:t>
      </w:r>
      <w:r>
        <w:rPr>
          <w:rFonts w:hint="eastAsia" w:ascii="宋体" w:hAnsi="宋体"/>
          <w:sz w:val="21"/>
          <w:szCs w:val="21"/>
        </w:rPr>
        <w:t>进度</w:t>
      </w:r>
      <w:r>
        <w:rPr>
          <w:rFonts w:hint="eastAsia" w:ascii="宋体" w:hAnsi="宋体"/>
          <w:sz w:val="21"/>
          <w:szCs w:val="21"/>
          <w:lang w:val="en-US" w:eastAsia="zh-CN"/>
        </w:rPr>
        <w:t>计划</w:t>
      </w:r>
      <w:r>
        <w:rPr>
          <w:rFonts w:hint="eastAsia" w:ascii="宋体" w:hAnsi="宋体"/>
          <w:sz w:val="21"/>
          <w:szCs w:val="21"/>
        </w:rPr>
        <w:t>：</w:t>
      </w:r>
      <w:r>
        <w:rPr>
          <w:rFonts w:hint="eastAsia"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第三条：</w:t>
      </w:r>
      <w:r>
        <w:rPr>
          <w:rFonts w:hint="eastAsia" w:ascii="宋体" w:hAnsi="宋体"/>
          <w:sz w:val="21"/>
          <w:szCs w:val="21"/>
        </w:rPr>
        <w:t>为保证乙方有效进行技术服务工作，甲方应当向乙方提供下列工作条件和协作事项：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1.指定专人负责协调合同执行过程中的问题；</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2.甲方明确项目范围和工作要求；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3.按期支付项目费用。</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第四条：</w:t>
      </w:r>
      <w:r>
        <w:rPr>
          <w:rFonts w:hint="eastAsia" w:ascii="宋体" w:hAnsi="宋体"/>
          <w:sz w:val="21"/>
          <w:szCs w:val="21"/>
        </w:rPr>
        <w:t>甲方向乙方支付技术服务报酬及支付方式为：</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1．技术服务费：项目经费合计：</w:t>
      </w:r>
      <w:r>
        <w:rPr>
          <w:rFonts w:hint="eastAsia" w:ascii="宋体" w:hAnsi="宋体"/>
          <w:sz w:val="21"/>
          <w:szCs w:val="21"/>
          <w:u w:val="single"/>
        </w:rPr>
        <w:t xml:space="preserve">    </w:t>
      </w:r>
      <w:r>
        <w:rPr>
          <w:rFonts w:hint="eastAsia" w:ascii="宋体" w:hAnsi="宋体"/>
          <w:sz w:val="21"/>
          <w:szCs w:val="21"/>
        </w:rPr>
        <w:t>万元人民币。大写：人民币</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整，包干结算。</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2．技术服务费由甲方</w:t>
      </w:r>
      <w:r>
        <w:rPr>
          <w:rFonts w:hint="eastAsia" w:ascii="宋体" w:hAnsi="宋体"/>
          <w:sz w:val="21"/>
          <w:szCs w:val="21"/>
          <w:u w:val="single"/>
        </w:rPr>
        <w:t>分期</w:t>
      </w:r>
      <w:r>
        <w:rPr>
          <w:rFonts w:hint="eastAsia" w:ascii="宋体" w:hAnsi="宋体"/>
          <w:sz w:val="21"/>
          <w:szCs w:val="21"/>
        </w:rPr>
        <w:t xml:space="preserve">支付乙方。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1"/>
          <w:szCs w:val="21"/>
        </w:rPr>
      </w:pPr>
      <w:r>
        <w:rPr>
          <w:rFonts w:hint="eastAsia" w:ascii="宋体" w:hAnsi="宋体"/>
          <w:sz w:val="21"/>
          <w:szCs w:val="21"/>
        </w:rPr>
        <w:t xml:space="preserve">    具体支付方式和时间如下：</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u w:val="single"/>
        </w:rPr>
      </w:pPr>
      <w:r>
        <w:rPr>
          <w:rFonts w:hint="eastAsia" w:ascii="宋体" w:hAnsi="宋体"/>
          <w:sz w:val="21"/>
          <w:szCs w:val="21"/>
        </w:rPr>
        <w:t>（1）合同签订后</w:t>
      </w:r>
      <w:r>
        <w:rPr>
          <w:rFonts w:ascii="宋体" w:hAnsi="宋体"/>
          <w:sz w:val="21"/>
          <w:szCs w:val="21"/>
          <w:u w:val="single"/>
        </w:rPr>
        <w:t>7</w:t>
      </w:r>
      <w:r>
        <w:rPr>
          <w:rFonts w:hint="eastAsia" w:ascii="宋体" w:hAnsi="宋体"/>
          <w:sz w:val="21"/>
          <w:szCs w:val="21"/>
        </w:rPr>
        <w:t>日内</w:t>
      </w:r>
      <w:r>
        <w:rPr>
          <w:rFonts w:ascii="宋体" w:hAnsi="宋体"/>
          <w:sz w:val="21"/>
          <w:szCs w:val="21"/>
        </w:rPr>
        <w:t>,</w:t>
      </w:r>
      <w:bookmarkStart w:id="290" w:name="_Hlk68688883"/>
      <w:r>
        <w:rPr>
          <w:rFonts w:hint="eastAsia" w:ascii="宋体" w:hAnsi="宋体"/>
          <w:sz w:val="21"/>
          <w:szCs w:val="21"/>
        </w:rPr>
        <w:t>甲方向乙方支付合同总金额的</w:t>
      </w:r>
      <w:r>
        <w:rPr>
          <w:rFonts w:hint="eastAsia" w:ascii="宋体" w:hAnsi="宋体"/>
          <w:sz w:val="21"/>
          <w:szCs w:val="21"/>
          <w:u w:val="single"/>
          <w:lang w:val="en-US" w:eastAsia="zh-CN"/>
        </w:rPr>
        <w:t>4</w:t>
      </w:r>
      <w:r>
        <w:rPr>
          <w:rFonts w:ascii="宋体" w:hAnsi="宋体"/>
          <w:sz w:val="21"/>
          <w:szCs w:val="21"/>
          <w:u w:val="single"/>
        </w:rPr>
        <w:t>0%</w:t>
      </w:r>
      <w:r>
        <w:rPr>
          <w:rFonts w:hint="eastAsia" w:ascii="宋体" w:hAnsi="宋体"/>
          <w:sz w:val="21"/>
          <w:szCs w:val="21"/>
        </w:rPr>
        <w:t>计</w:t>
      </w:r>
      <w:r>
        <w:rPr>
          <w:rFonts w:hint="eastAsia" w:ascii="宋体" w:hAnsi="宋体"/>
          <w:sz w:val="21"/>
          <w:szCs w:val="21"/>
          <w:u w:val="single"/>
        </w:rPr>
        <w:t xml:space="preserve">      万</w:t>
      </w:r>
      <w:r>
        <w:rPr>
          <w:rFonts w:ascii="宋体" w:hAnsi="宋体"/>
          <w:sz w:val="21"/>
          <w:szCs w:val="21"/>
          <w:u w:val="single"/>
        </w:rPr>
        <w:t xml:space="preserve"> </w:t>
      </w:r>
      <w:r>
        <w:rPr>
          <w:rFonts w:hint="eastAsia" w:ascii="宋体" w:hAnsi="宋体"/>
          <w:sz w:val="21"/>
          <w:szCs w:val="21"/>
          <w:u w:val="single"/>
        </w:rPr>
        <w:t>元</w:t>
      </w:r>
      <w:r>
        <w:rPr>
          <w:rFonts w:ascii="宋体" w:hAnsi="宋体"/>
          <w:sz w:val="21"/>
          <w:szCs w:val="21"/>
          <w:u w:val="single"/>
        </w:rPr>
        <w:t>(</w:t>
      </w:r>
      <w:r>
        <w:rPr>
          <w:rFonts w:hint="eastAsia" w:ascii="宋体" w:hAnsi="宋体"/>
          <w:sz w:val="21"/>
          <w:szCs w:val="21"/>
          <w:u w:val="single"/>
        </w:rPr>
        <w:t>大写</w:t>
      </w:r>
      <w:r>
        <w:rPr>
          <w:rFonts w:ascii="宋体" w:hAnsi="宋体"/>
          <w:sz w:val="21"/>
          <w:szCs w:val="21"/>
          <w:u w:val="single"/>
        </w:rPr>
        <w:t>:人民币</w:t>
      </w:r>
      <w:r>
        <w:rPr>
          <w:rFonts w:hint="eastAsia" w:ascii="宋体" w:hAnsi="宋体"/>
          <w:sz w:val="21"/>
          <w:szCs w:val="21"/>
          <w:u w:val="single"/>
        </w:rPr>
        <w:t xml:space="preserve">      </w:t>
      </w:r>
      <w:r>
        <w:rPr>
          <w:rFonts w:ascii="宋体" w:hAnsi="宋体"/>
          <w:sz w:val="21"/>
          <w:szCs w:val="21"/>
          <w:u w:val="single"/>
        </w:rPr>
        <w:t>)</w:t>
      </w:r>
      <w:r>
        <w:rPr>
          <w:rFonts w:hint="eastAsia" w:ascii="宋体" w:hAnsi="宋体"/>
          <w:sz w:val="21"/>
          <w:szCs w:val="21"/>
          <w:u w:val="single"/>
        </w:rPr>
        <w:t>；</w:t>
      </w:r>
      <w:bookmarkEnd w:id="290"/>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b/>
          <w:sz w:val="21"/>
          <w:szCs w:val="21"/>
        </w:rPr>
      </w:pPr>
      <w:r>
        <w:rPr>
          <w:rFonts w:hint="eastAsia" w:ascii="宋体" w:hAnsi="宋体"/>
          <w:sz w:val="21"/>
          <w:szCs w:val="21"/>
        </w:rPr>
        <w:t>（2）根据项目进度计划要求，基本完成项目内容，甲方向乙方支付合同总金额的</w:t>
      </w:r>
      <w:r>
        <w:rPr>
          <w:rFonts w:hint="eastAsia" w:ascii="宋体" w:hAnsi="宋体"/>
          <w:sz w:val="21"/>
          <w:szCs w:val="21"/>
          <w:u w:val="single"/>
          <w:lang w:val="en-US" w:eastAsia="zh-CN"/>
        </w:rPr>
        <w:t xml:space="preserve">   </w:t>
      </w:r>
      <w:r>
        <w:rPr>
          <w:rFonts w:ascii="宋体" w:hAnsi="宋体"/>
          <w:sz w:val="21"/>
          <w:szCs w:val="21"/>
          <w:u w:val="single"/>
        </w:rPr>
        <w:t>%</w:t>
      </w:r>
      <w:r>
        <w:rPr>
          <w:rFonts w:hint="eastAsia" w:ascii="宋体" w:hAnsi="宋体"/>
          <w:sz w:val="21"/>
          <w:szCs w:val="21"/>
        </w:rPr>
        <w:t>计</w:t>
      </w:r>
      <w:r>
        <w:rPr>
          <w:rFonts w:ascii="宋体" w:hAnsi="宋体"/>
          <w:sz w:val="21"/>
          <w:szCs w:val="21"/>
          <w:u w:val="single"/>
        </w:rPr>
        <w:t xml:space="preserve"> </w:t>
      </w:r>
      <w:r>
        <w:rPr>
          <w:rFonts w:hint="eastAsia" w:ascii="宋体" w:hAnsi="宋体"/>
          <w:sz w:val="21"/>
          <w:szCs w:val="21"/>
          <w:u w:val="single"/>
        </w:rPr>
        <w:t xml:space="preserve">   万</w:t>
      </w:r>
      <w:r>
        <w:rPr>
          <w:rFonts w:ascii="宋体" w:hAnsi="宋体"/>
          <w:sz w:val="21"/>
          <w:szCs w:val="21"/>
          <w:u w:val="single"/>
        </w:rPr>
        <w:t xml:space="preserve"> </w:t>
      </w:r>
      <w:r>
        <w:rPr>
          <w:rFonts w:hint="eastAsia" w:ascii="宋体" w:hAnsi="宋体"/>
          <w:sz w:val="21"/>
          <w:szCs w:val="21"/>
          <w:u w:val="single"/>
        </w:rPr>
        <w:t>元</w:t>
      </w:r>
      <w:r>
        <w:rPr>
          <w:rFonts w:ascii="宋体" w:hAnsi="宋体"/>
          <w:sz w:val="21"/>
          <w:szCs w:val="21"/>
          <w:u w:val="single"/>
        </w:rPr>
        <w:t>(</w:t>
      </w:r>
      <w:r>
        <w:rPr>
          <w:rFonts w:hint="eastAsia" w:ascii="宋体" w:hAnsi="宋体"/>
          <w:sz w:val="21"/>
          <w:szCs w:val="21"/>
          <w:u w:val="single"/>
        </w:rPr>
        <w:t>大写</w:t>
      </w:r>
      <w:r>
        <w:rPr>
          <w:rFonts w:ascii="宋体" w:hAnsi="宋体"/>
          <w:sz w:val="21"/>
          <w:szCs w:val="21"/>
          <w:u w:val="single"/>
        </w:rPr>
        <w:t>:人民币</w:t>
      </w:r>
      <w:r>
        <w:rPr>
          <w:rFonts w:hint="eastAsia" w:ascii="宋体" w:hAnsi="宋体"/>
          <w:sz w:val="21"/>
          <w:szCs w:val="21"/>
          <w:u w:val="single"/>
        </w:rPr>
        <w:t xml:space="preserve">       </w:t>
      </w:r>
      <w:r>
        <w:rPr>
          <w:rFonts w:ascii="宋体" w:hAnsi="宋体"/>
          <w:sz w:val="21"/>
          <w:szCs w:val="21"/>
          <w:u w:val="single"/>
        </w:rPr>
        <w:t>)</w:t>
      </w:r>
      <w:r>
        <w:rPr>
          <w:rFonts w:hint="eastAsia" w:ascii="宋体" w:hAnsi="宋体"/>
          <w:sz w:val="21"/>
          <w:szCs w:val="21"/>
          <w:u w:val="single"/>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u w:val="single"/>
        </w:rPr>
      </w:pPr>
      <w:r>
        <w:rPr>
          <w:rFonts w:hint="eastAsia" w:ascii="宋体" w:hAnsi="宋体"/>
          <w:sz w:val="21"/>
          <w:szCs w:val="21"/>
        </w:rPr>
        <w:t>（3）项目完成后</w:t>
      </w:r>
      <w:r>
        <w:rPr>
          <w:rFonts w:hint="eastAsia" w:ascii="宋体" w:hAnsi="宋体"/>
          <w:sz w:val="21"/>
          <w:szCs w:val="21"/>
          <w:u w:val="single"/>
        </w:rPr>
        <w:t>7</w:t>
      </w:r>
      <w:r>
        <w:rPr>
          <w:rFonts w:hint="eastAsia" w:ascii="宋体" w:hAnsi="宋体"/>
          <w:sz w:val="21"/>
          <w:szCs w:val="21"/>
        </w:rPr>
        <w:t>个日内</w:t>
      </w:r>
      <w:r>
        <w:rPr>
          <w:rFonts w:ascii="宋体" w:hAnsi="宋体"/>
          <w:sz w:val="21"/>
          <w:szCs w:val="21"/>
        </w:rPr>
        <w:t>,</w:t>
      </w:r>
      <w:r>
        <w:rPr>
          <w:rFonts w:hint="eastAsia" w:ascii="宋体" w:hAnsi="宋体"/>
          <w:sz w:val="21"/>
          <w:szCs w:val="21"/>
        </w:rPr>
        <w:t>甲方向乙方一次性支付合同总金额的</w:t>
      </w:r>
      <w:r>
        <w:rPr>
          <w:rFonts w:hint="eastAsia" w:ascii="宋体" w:hAnsi="宋体"/>
          <w:sz w:val="21"/>
          <w:szCs w:val="21"/>
          <w:u w:val="single"/>
          <w:lang w:val="en-US" w:eastAsia="zh-CN"/>
        </w:rPr>
        <w:t xml:space="preserve">   </w:t>
      </w:r>
      <w:r>
        <w:rPr>
          <w:rFonts w:ascii="宋体" w:hAnsi="宋体"/>
          <w:sz w:val="21"/>
          <w:szCs w:val="21"/>
          <w:u w:val="single"/>
        </w:rPr>
        <w:t xml:space="preserve"> %</w:t>
      </w:r>
      <w:r>
        <w:rPr>
          <w:rFonts w:hint="eastAsia" w:ascii="宋体" w:hAnsi="宋体"/>
          <w:sz w:val="21"/>
          <w:szCs w:val="21"/>
        </w:rPr>
        <w:t>计</w:t>
      </w:r>
      <w:r>
        <w:rPr>
          <w:rFonts w:hint="eastAsia" w:ascii="宋体" w:hAnsi="宋体"/>
          <w:sz w:val="21"/>
          <w:szCs w:val="21"/>
          <w:u w:val="single"/>
        </w:rPr>
        <w:t xml:space="preserve">    万</w:t>
      </w:r>
      <w:r>
        <w:rPr>
          <w:rFonts w:ascii="宋体" w:hAnsi="宋体"/>
          <w:sz w:val="21"/>
          <w:szCs w:val="21"/>
          <w:u w:val="single"/>
        </w:rPr>
        <w:t xml:space="preserve"> </w:t>
      </w:r>
      <w:r>
        <w:rPr>
          <w:rFonts w:hint="eastAsia" w:ascii="宋体" w:hAnsi="宋体"/>
          <w:sz w:val="21"/>
          <w:szCs w:val="21"/>
          <w:u w:val="single"/>
        </w:rPr>
        <w:t>元</w:t>
      </w:r>
      <w:r>
        <w:rPr>
          <w:rFonts w:ascii="宋体" w:hAnsi="宋体"/>
          <w:sz w:val="21"/>
          <w:szCs w:val="21"/>
          <w:u w:val="single"/>
        </w:rPr>
        <w:t>(</w:t>
      </w:r>
      <w:r>
        <w:rPr>
          <w:rFonts w:hint="eastAsia" w:ascii="宋体" w:hAnsi="宋体"/>
          <w:sz w:val="21"/>
          <w:szCs w:val="21"/>
          <w:u w:val="single"/>
        </w:rPr>
        <w:t>大写</w:t>
      </w:r>
      <w:r>
        <w:rPr>
          <w:rFonts w:ascii="宋体" w:hAnsi="宋体"/>
          <w:sz w:val="21"/>
          <w:szCs w:val="21"/>
          <w:u w:val="single"/>
        </w:rPr>
        <w:t>:人民币</w:t>
      </w:r>
      <w:r>
        <w:rPr>
          <w:rFonts w:hint="eastAsia" w:ascii="宋体" w:hAnsi="宋体"/>
          <w:sz w:val="21"/>
          <w:szCs w:val="21"/>
          <w:u w:val="single"/>
        </w:rPr>
        <w:t xml:space="preserve">      </w:t>
      </w:r>
      <w:r>
        <w:rPr>
          <w:rFonts w:ascii="宋体" w:hAnsi="宋体"/>
          <w:sz w:val="21"/>
          <w:szCs w:val="21"/>
          <w:u w:val="single"/>
        </w:rPr>
        <w:t>)</w:t>
      </w:r>
      <w:r>
        <w:rPr>
          <w:rFonts w:hint="eastAsia" w:ascii="宋体" w:hAnsi="宋体"/>
          <w:sz w:val="21"/>
          <w:szCs w:val="21"/>
          <w:u w:val="single"/>
        </w:rPr>
        <w:t>。</w:t>
      </w:r>
    </w:p>
    <w:p>
      <w:pPr>
        <w:keepNext w:val="0"/>
        <w:keepLines w:val="0"/>
        <w:pageBreakBefore w:val="0"/>
        <w:tabs>
          <w:tab w:val="left" w:pos="851"/>
          <w:tab w:val="left" w:pos="993"/>
        </w:tabs>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4.乙方开户银行名称、地址和帐号为：</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1"/>
          <w:szCs w:val="21"/>
          <w:u w:val="single"/>
        </w:rPr>
      </w:pP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开户银行：</w:t>
      </w:r>
      <w:r>
        <w:rPr>
          <w:rFonts w:hint="eastAsia"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1"/>
          <w:szCs w:val="21"/>
          <w:u w:val="single"/>
        </w:rPr>
      </w:pP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地    址：</w:t>
      </w:r>
      <w:r>
        <w:rPr>
          <w:rFonts w:hint="eastAsia"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1"/>
          <w:szCs w:val="21"/>
          <w:u w:val="single"/>
        </w:rPr>
      </w:pP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帐    号：</w:t>
      </w:r>
      <w:r>
        <w:rPr>
          <w:rFonts w:hint="eastAsia"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第五条：</w:t>
      </w:r>
      <w:r>
        <w:rPr>
          <w:rFonts w:hint="eastAsia" w:ascii="宋体" w:hAnsi="宋体"/>
          <w:sz w:val="21"/>
          <w:szCs w:val="21"/>
        </w:rPr>
        <w:t>双方确定因履行本合同应遵守的保密义务如下：</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1. 甲、乙双方应对技术服务过程中涉及的商业秘密、所使用的基础地理信息数据按照国家有关保密法律法规的要求，采取有效的保密措施，严防泄密。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2．甲、乙双方有义务保证各自参与本技术服务的工作人员履行保密责任，否则应承担相应法律责任。</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第六条：</w:t>
      </w:r>
      <w:r>
        <w:rPr>
          <w:rFonts w:hint="eastAsia" w:ascii="宋体" w:hAnsi="宋体"/>
          <w:sz w:val="21"/>
          <w:szCs w:val="21"/>
        </w:rPr>
        <w:t>项目成果使用权归甲方所有。</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第七条</w:t>
      </w:r>
      <w:r>
        <w:rPr>
          <w:rFonts w:hint="eastAsia" w:ascii="宋体" w:hAnsi="宋体"/>
          <w:sz w:val="21"/>
          <w:szCs w:val="21"/>
        </w:rPr>
        <w:t>：双方确定以下列标准和方式对乙方的技术服务工作成果进行验收：</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ascii="宋体" w:hAnsi="宋体"/>
          <w:sz w:val="21"/>
          <w:szCs w:val="21"/>
          <w:u w:val="single"/>
        </w:rPr>
      </w:pPr>
      <w:r>
        <w:rPr>
          <w:rFonts w:hint="eastAsia" w:ascii="宋体" w:hAnsi="宋体"/>
          <w:sz w:val="21"/>
          <w:szCs w:val="21"/>
        </w:rPr>
        <w:t>1.乙方完成技术服务工作的形式：</w:t>
      </w:r>
      <w:r>
        <w:rPr>
          <w:rFonts w:hint="eastAsia" w:ascii="宋体" w:hAnsi="宋体"/>
          <w:sz w:val="21"/>
          <w:szCs w:val="21"/>
          <w:u w:val="single"/>
        </w:rPr>
        <w:t xml:space="preserve">                                      </w:t>
      </w:r>
      <w:r>
        <w:rPr>
          <w:rFonts w:hint="eastAsia" w:ascii="宋体" w:hAnsi="宋体"/>
          <w:sz w:val="21"/>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sz w:val="21"/>
          <w:szCs w:val="21"/>
          <w:u w:val="single"/>
        </w:rPr>
      </w:pPr>
      <w:r>
        <w:rPr>
          <w:rFonts w:hint="eastAsia" w:ascii="宋体" w:hAnsi="宋体"/>
          <w:sz w:val="21"/>
          <w:szCs w:val="21"/>
        </w:rPr>
        <w:t>2．技术服务工作成果质量标准：</w:t>
      </w:r>
      <w:r>
        <w:rPr>
          <w:rFonts w:hint="eastAsia" w:ascii="宋体" w:hAnsi="宋体"/>
          <w:sz w:val="21"/>
          <w:szCs w:val="21"/>
          <w:u w:val="single"/>
        </w:rPr>
        <w:t xml:space="preserve">满足项目设计的要求。 </w:t>
      </w: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ascii="宋体" w:hAnsi="宋体"/>
          <w:sz w:val="21"/>
          <w:szCs w:val="21"/>
        </w:rPr>
      </w:pPr>
      <w:r>
        <w:rPr>
          <w:rFonts w:hint="eastAsia" w:ascii="宋体" w:hAnsi="宋体"/>
          <w:sz w:val="21"/>
          <w:szCs w:val="21"/>
        </w:rPr>
        <w:t>3．成果提交时间和地点：</w:t>
      </w:r>
      <w:r>
        <w:rPr>
          <w:rFonts w:ascii="宋体" w:hAnsi="宋体"/>
          <w:sz w:val="21"/>
          <w:szCs w:val="21"/>
          <w:u w:val="single"/>
        </w:rPr>
        <w:t xml:space="preserve">                                             </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第八条：</w:t>
      </w:r>
      <w:r>
        <w:rPr>
          <w:rFonts w:hint="eastAsia" w:ascii="宋体" w:hAnsi="宋体"/>
          <w:sz w:val="21"/>
          <w:szCs w:val="21"/>
        </w:rPr>
        <w:t>双方确定，按以下约定承担各自的义务和违约责任：</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0"/>
        <w:rPr>
          <w:rFonts w:ascii="宋体" w:hAnsi="宋体"/>
          <w:sz w:val="21"/>
          <w:szCs w:val="21"/>
        </w:rPr>
      </w:pPr>
      <w:bookmarkStart w:id="291" w:name="_Toc3215"/>
      <w:r>
        <w:rPr>
          <w:rFonts w:hint="eastAsia" w:ascii="宋体" w:hAnsi="宋体"/>
          <w:sz w:val="21"/>
          <w:szCs w:val="21"/>
        </w:rPr>
        <w:t>1. 甲方的义务</w:t>
      </w:r>
      <w:bookmarkEnd w:id="291"/>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ascii="宋体" w:hAnsi="宋体"/>
          <w:sz w:val="21"/>
          <w:szCs w:val="21"/>
        </w:rPr>
      </w:pPr>
      <w:r>
        <w:rPr>
          <w:rFonts w:hint="eastAsia" w:ascii="宋体" w:hAnsi="宋体"/>
          <w:sz w:val="21"/>
          <w:szCs w:val="21"/>
        </w:rPr>
        <w:t>（1）及时向乙方提供明确的项目需求和项目开展必须的数据成果；</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outlineLvl w:val="0"/>
        <w:rPr>
          <w:rFonts w:ascii="宋体" w:hAnsi="宋体"/>
          <w:sz w:val="21"/>
          <w:szCs w:val="21"/>
        </w:rPr>
      </w:pPr>
      <w:bookmarkStart w:id="292" w:name="_Toc15896"/>
      <w:r>
        <w:rPr>
          <w:rFonts w:hint="eastAsia" w:ascii="宋体" w:hAnsi="宋体"/>
          <w:sz w:val="21"/>
          <w:szCs w:val="21"/>
        </w:rPr>
        <w:t>（2）及时组织项目设计书的评审并向乙方反馈评审意见；</w:t>
      </w:r>
      <w:bookmarkEnd w:id="292"/>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ascii="宋体" w:hAnsi="宋体"/>
          <w:sz w:val="21"/>
          <w:szCs w:val="21"/>
        </w:rPr>
      </w:pPr>
      <w:r>
        <w:rPr>
          <w:rFonts w:hint="eastAsia" w:ascii="宋体" w:hAnsi="宋体"/>
          <w:sz w:val="21"/>
          <w:szCs w:val="21"/>
        </w:rPr>
        <w:t>（3）保证该项目项目款项按合同约定进行支付。</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0"/>
        <w:rPr>
          <w:rFonts w:ascii="宋体" w:hAnsi="宋体"/>
          <w:sz w:val="21"/>
          <w:szCs w:val="21"/>
        </w:rPr>
      </w:pPr>
      <w:bookmarkStart w:id="293" w:name="_Toc31452"/>
      <w:r>
        <w:rPr>
          <w:rFonts w:hint="eastAsia" w:ascii="宋体" w:hAnsi="宋体"/>
          <w:sz w:val="21"/>
          <w:szCs w:val="21"/>
        </w:rPr>
        <w:t>2. 乙方的义务</w:t>
      </w:r>
      <w:bookmarkEnd w:id="293"/>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ascii="宋体" w:hAnsi="宋体"/>
          <w:sz w:val="21"/>
          <w:szCs w:val="21"/>
        </w:rPr>
      </w:pPr>
      <w:r>
        <w:rPr>
          <w:rFonts w:hint="eastAsia" w:ascii="宋体" w:hAnsi="宋体"/>
          <w:sz w:val="21"/>
          <w:szCs w:val="21"/>
        </w:rPr>
        <w:t>（1）定期向甲方汇报项目进展情况；</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ascii="宋体" w:hAnsi="宋体"/>
          <w:sz w:val="21"/>
          <w:szCs w:val="21"/>
        </w:rPr>
      </w:pPr>
      <w:r>
        <w:rPr>
          <w:rFonts w:hint="eastAsia" w:ascii="宋体" w:hAnsi="宋体"/>
          <w:sz w:val="21"/>
          <w:szCs w:val="21"/>
        </w:rPr>
        <w:t>（2）严格按照项目采购文件、合同内容编制项目设计书，报甲方同意后按照项目设计书的技术和进度要求认真组织项目实施；</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ascii="宋体" w:hAnsi="宋体"/>
          <w:sz w:val="21"/>
          <w:szCs w:val="21"/>
        </w:rPr>
      </w:pPr>
      <w:r>
        <w:rPr>
          <w:rFonts w:hint="eastAsia" w:ascii="宋体" w:hAnsi="宋体"/>
          <w:sz w:val="21"/>
          <w:szCs w:val="21"/>
        </w:rPr>
        <w:t>（3） 接受甲方的质量和进度监督，按时提交符合项目设计书要求的成果资料；</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ascii="宋体" w:hAnsi="宋体"/>
          <w:sz w:val="21"/>
          <w:szCs w:val="21"/>
        </w:rPr>
      </w:pPr>
      <w:r>
        <w:rPr>
          <w:rFonts w:hint="eastAsia" w:ascii="宋体" w:hAnsi="宋体"/>
          <w:sz w:val="21"/>
          <w:szCs w:val="21"/>
        </w:rPr>
        <w:t>（4）对于甲方提出的质量质疑或问题，应当及时给予回复；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eastAsia="宋体"/>
          <w:lang w:val="en-US" w:eastAsia="zh-CN"/>
        </w:rPr>
      </w:pPr>
      <w:r>
        <w:rPr>
          <w:rFonts w:hint="eastAsia" w:ascii="宋体" w:hAnsi="宋体"/>
          <w:sz w:val="21"/>
          <w:szCs w:val="21"/>
          <w:lang w:val="en-US" w:eastAsia="zh-CN"/>
        </w:rPr>
        <w:t xml:space="preserve">  （5）</w:t>
      </w:r>
      <w:r>
        <w:rPr>
          <w:rFonts w:hint="eastAsia" w:ascii="宋体" w:hAnsi="宋体" w:eastAsia="宋体" w:cs="宋体"/>
          <w:color w:val="auto"/>
          <w:kern w:val="2"/>
          <w:sz w:val="21"/>
          <w:szCs w:val="24"/>
          <w:lang w:val="en-US" w:eastAsia="zh-CN" w:bidi="ar-SA"/>
        </w:rPr>
        <w:t>合同履行期间</w:t>
      </w:r>
      <w:r>
        <w:rPr>
          <w:rFonts w:hint="eastAsia" w:ascii="宋体" w:hAnsi="宋体" w:cs="宋体"/>
          <w:color w:val="auto"/>
          <w:kern w:val="2"/>
          <w:sz w:val="21"/>
          <w:szCs w:val="24"/>
          <w:lang w:val="en-US" w:eastAsia="zh-CN" w:bidi="ar-SA"/>
        </w:rPr>
        <w:t>项目业务骨干</w:t>
      </w:r>
      <w:r>
        <w:rPr>
          <w:rFonts w:hint="eastAsia" w:ascii="宋体" w:hAnsi="宋体" w:eastAsia="宋体" w:cs="宋体"/>
          <w:color w:val="auto"/>
          <w:kern w:val="2"/>
          <w:sz w:val="21"/>
          <w:szCs w:val="24"/>
          <w:lang w:val="en-US" w:eastAsia="zh-CN" w:bidi="ar-SA"/>
        </w:rPr>
        <w:t>须常</w:t>
      </w:r>
      <w:r>
        <w:rPr>
          <w:rFonts w:hint="eastAsia" w:ascii="宋体" w:hAnsi="宋体" w:cs="宋体"/>
          <w:color w:val="auto"/>
          <w:kern w:val="2"/>
          <w:sz w:val="21"/>
          <w:szCs w:val="24"/>
          <w:lang w:val="en-US" w:eastAsia="zh-CN" w:bidi="ar-SA"/>
        </w:rPr>
        <w:t>驻</w:t>
      </w:r>
      <w:r>
        <w:rPr>
          <w:rFonts w:hint="eastAsia" w:ascii="宋体" w:hAnsi="宋体" w:eastAsia="宋体" w:cs="宋体"/>
          <w:color w:val="auto"/>
          <w:kern w:val="2"/>
          <w:sz w:val="21"/>
          <w:szCs w:val="24"/>
          <w:lang w:val="en-US" w:eastAsia="zh-CN" w:bidi="ar-SA"/>
        </w:rPr>
        <w:t>宁波</w:t>
      </w:r>
      <w:r>
        <w:rPr>
          <w:rFonts w:hint="eastAsia" w:ascii="宋体" w:hAnsi="宋体" w:cs="宋体"/>
          <w:color w:val="auto"/>
          <w:kern w:val="2"/>
          <w:sz w:val="21"/>
          <w:szCs w:val="24"/>
          <w:lang w:val="en-US" w:eastAsia="zh-CN" w:bidi="ar-SA"/>
        </w:rPr>
        <w:t>市自然资源和规划局调查监测处</w:t>
      </w:r>
      <w:r>
        <w:rPr>
          <w:rFonts w:hint="eastAsia" w:ascii="宋体" w:hAnsi="宋体" w:eastAsia="宋体" w:cs="宋体"/>
          <w:color w:val="auto"/>
          <w:kern w:val="2"/>
          <w:sz w:val="21"/>
          <w:szCs w:val="24"/>
          <w:lang w:val="en-US" w:eastAsia="zh-CN" w:bidi="ar-SA"/>
        </w:rPr>
        <w:t>办公。</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0"/>
        <w:rPr>
          <w:rFonts w:ascii="宋体" w:hAnsi="宋体"/>
          <w:sz w:val="21"/>
          <w:szCs w:val="21"/>
        </w:rPr>
      </w:pPr>
      <w:bookmarkStart w:id="294" w:name="_Toc29924"/>
      <w:r>
        <w:rPr>
          <w:rFonts w:hint="eastAsia" w:ascii="宋体" w:hAnsi="宋体"/>
          <w:sz w:val="21"/>
          <w:szCs w:val="21"/>
        </w:rPr>
        <w:t>3. 甲方的违约责任</w:t>
      </w:r>
      <w:bookmarkEnd w:id="294"/>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（1）本合同履行期间,由于甲方单方面原因造成项目停止而终止合同的，乙方未进入现场工作前,甲方应向乙方偿付预算项目费的5%；乙方已进入现场工作,甲方应按完成的实际工作量支付项目价款；</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ascii="宋体" w:hAnsi="宋体"/>
          <w:sz w:val="21"/>
          <w:szCs w:val="21"/>
        </w:rPr>
      </w:pPr>
      <w:r>
        <w:rPr>
          <w:rFonts w:hint="eastAsia" w:ascii="宋体" w:hAnsi="宋体"/>
          <w:sz w:val="21"/>
          <w:szCs w:val="21"/>
        </w:rPr>
        <w:t>（2）如因甲方变更委托技术服务的项目、规模、条件、或因提供基础资料重大错误、或因所指定工作区域后又作较大修改，以致造成乙方需返工时，甲方需按乙方所完成实际工作量向乙方支付工作费用；</w:t>
      </w:r>
    </w:p>
    <w:p>
      <w:pPr>
        <w:keepNext w:val="0"/>
        <w:keepLines w:val="0"/>
        <w:pageBreakBefore w:val="0"/>
        <w:kinsoku/>
        <w:wordWrap/>
        <w:overflowPunct/>
        <w:topLinePunct w:val="0"/>
        <w:autoSpaceDE/>
        <w:autoSpaceDN/>
        <w:bidi w:val="0"/>
        <w:adjustRightInd/>
        <w:snapToGrid/>
        <w:spacing w:line="400" w:lineRule="exact"/>
        <w:ind w:firstLine="210" w:firstLineChars="100"/>
        <w:textAlignment w:val="auto"/>
        <w:rPr>
          <w:rFonts w:ascii="宋体" w:hAnsi="宋体"/>
          <w:sz w:val="21"/>
          <w:szCs w:val="21"/>
        </w:rPr>
      </w:pPr>
      <w:r>
        <w:rPr>
          <w:rFonts w:hint="eastAsia" w:ascii="宋体" w:hAnsi="宋体"/>
          <w:sz w:val="21"/>
          <w:szCs w:val="21"/>
        </w:rPr>
        <w:t>（3）甲方未按合同约定支付项目费用的，甲方应向乙方支付不低于同期银行利率的违约滞纳金。</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0"/>
        <w:rPr>
          <w:rFonts w:ascii="宋体" w:hAnsi="宋体"/>
          <w:sz w:val="21"/>
          <w:szCs w:val="21"/>
        </w:rPr>
      </w:pPr>
      <w:bookmarkStart w:id="295" w:name="_Toc18558"/>
      <w:r>
        <w:rPr>
          <w:rFonts w:hint="eastAsia" w:ascii="宋体" w:hAnsi="宋体"/>
          <w:sz w:val="21"/>
          <w:szCs w:val="21"/>
        </w:rPr>
        <w:t>4. 乙方的违约责任</w:t>
      </w:r>
      <w:bookmarkEnd w:id="295"/>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（1）本合同履行期间,如乙方擅自中途停止或解除合同,乙方应向甲方赔偿已付项目价款的5%，并归还甲方支付的全部项目款；</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2）乙方未能按合同规定的日期提交成果时,应向甲方赔偿拖期损失费,每天的拖期损失费按合同约定的预算项目总价款的0.1%计算。因天气、交通、政府行为等影响作业的客观原因造成的工期拖期，乙方不承担赔偿责任；</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（3）乙方提供的成果质量不合格的,乙方应负责无偿予以重测或采取补救措施,以达到质量要求。</w:t>
      </w:r>
    </w:p>
    <w:p>
      <w:pPr>
        <w:pStyle w:val="2"/>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pStyle w:val="3"/>
      </w:pP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第九条：</w:t>
      </w:r>
      <w:r>
        <w:rPr>
          <w:rFonts w:hint="eastAsia" w:ascii="宋体" w:hAnsi="宋体"/>
          <w:sz w:val="21"/>
          <w:szCs w:val="21"/>
        </w:rPr>
        <w:t>双方确定，出现下列情形，致使本合同的履行成为不必要或不可能的，可以解除本合同：</w:t>
      </w:r>
      <w:r>
        <w:rPr>
          <w:rFonts w:hint="eastAsia" w:ascii="宋体" w:hAnsi="宋体"/>
          <w:sz w:val="21"/>
          <w:szCs w:val="21"/>
          <w:u w:val="single"/>
        </w:rPr>
        <w:t>不可抗力。（“不可抗力”指地震、台风、水灾、火灾、战争以及其它本合同各方不能预见，并且对其发生和后果不能防止或不能避免且不可克服的客观情况）</w:t>
      </w:r>
      <w:r>
        <w:rPr>
          <w:rFonts w:hint="eastAsia" w:ascii="宋体" w:hAnsi="宋体"/>
          <w:sz w:val="21"/>
          <w:szCs w:val="21"/>
        </w:rPr>
        <w:t>。</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第十条：</w:t>
      </w:r>
      <w:r>
        <w:rPr>
          <w:rFonts w:hint="eastAsia" w:ascii="宋体" w:hAnsi="宋体"/>
          <w:sz w:val="21"/>
          <w:szCs w:val="21"/>
        </w:rPr>
        <w:t>双方因履行本合同而发生的争议，应协商、调解解决。协商、调解不成的，确定按以下第</w:t>
      </w:r>
      <w:r>
        <w:rPr>
          <w:rFonts w:hint="eastAsia" w:ascii="宋体" w:hAnsi="宋体"/>
          <w:sz w:val="21"/>
          <w:szCs w:val="21"/>
          <w:u w:val="single"/>
        </w:rPr>
        <w:t xml:space="preserve"> 1 </w:t>
      </w:r>
      <w:r>
        <w:rPr>
          <w:rFonts w:hint="eastAsia" w:ascii="宋体" w:hAnsi="宋体"/>
          <w:sz w:val="21"/>
          <w:szCs w:val="21"/>
        </w:rPr>
        <w:t>种方式处理：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1．提交</w:t>
      </w:r>
      <w:r>
        <w:rPr>
          <w:rFonts w:hint="eastAsia" w:ascii="宋体" w:hAnsi="宋体"/>
          <w:b/>
          <w:sz w:val="21"/>
          <w:szCs w:val="21"/>
          <w:u w:val="single"/>
        </w:rPr>
        <w:t xml:space="preserve"> </w:t>
      </w:r>
      <w:r>
        <w:rPr>
          <w:rFonts w:hint="eastAsia" w:ascii="宋体" w:hAnsi="宋体"/>
          <w:sz w:val="21"/>
          <w:szCs w:val="21"/>
          <w:u w:val="single"/>
        </w:rPr>
        <w:t xml:space="preserve">宁波 </w:t>
      </w:r>
      <w:r>
        <w:rPr>
          <w:rFonts w:hint="eastAsia" w:ascii="宋体" w:hAnsi="宋体"/>
          <w:sz w:val="21"/>
          <w:szCs w:val="21"/>
        </w:rPr>
        <w:t>仲裁委员会仲裁；</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sz w:val="21"/>
          <w:szCs w:val="21"/>
        </w:rPr>
      </w:pPr>
      <w:r>
        <w:rPr>
          <w:rFonts w:hint="eastAsia" w:ascii="宋体" w:hAnsi="宋体"/>
          <w:sz w:val="21"/>
          <w:szCs w:val="21"/>
        </w:rPr>
        <w:t>2．依法向人民法院起诉。</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第十一条：</w:t>
      </w:r>
      <w:r>
        <w:rPr>
          <w:rFonts w:hint="eastAsia" w:ascii="宋体" w:hAnsi="宋体"/>
          <w:sz w:val="21"/>
          <w:szCs w:val="21"/>
        </w:rPr>
        <w:t>双方约定本合同其他相关事项为：</w:t>
      </w:r>
      <w:r>
        <w:rPr>
          <w:rFonts w:hint="eastAsia" w:ascii="宋体" w:hAnsi="宋体"/>
          <w:sz w:val="21"/>
          <w:szCs w:val="21"/>
          <w:u w:val="single"/>
        </w:rPr>
        <w:t>本合同执行过程中的未尽事宜，双方应本着实事求是友好协商的态度加以解决。双方协商一致的,签订补充协议,补充协议与本合同具有同等效力。</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第十二条：</w:t>
      </w:r>
      <w:r>
        <w:rPr>
          <w:rFonts w:hint="eastAsia" w:ascii="宋体" w:hAnsi="宋体"/>
          <w:sz w:val="21"/>
          <w:szCs w:val="21"/>
        </w:rPr>
        <w:t>本合同一式</w:t>
      </w:r>
      <w:r>
        <w:rPr>
          <w:rFonts w:hint="eastAsia" w:ascii="宋体" w:hAnsi="宋体"/>
          <w:sz w:val="21"/>
          <w:szCs w:val="21"/>
          <w:u w:val="single"/>
        </w:rPr>
        <w:t>陆</w:t>
      </w:r>
      <w:r>
        <w:rPr>
          <w:rFonts w:hint="eastAsia" w:ascii="宋体" w:hAnsi="宋体"/>
          <w:sz w:val="21"/>
          <w:szCs w:val="21"/>
        </w:rPr>
        <w:t>份, 甲方</w:t>
      </w:r>
      <w:r>
        <w:rPr>
          <w:rFonts w:hint="eastAsia" w:ascii="宋体" w:hAnsi="宋体"/>
          <w:sz w:val="21"/>
          <w:szCs w:val="21"/>
          <w:u w:val="single"/>
        </w:rPr>
        <w:t>叁</w:t>
      </w:r>
      <w:r>
        <w:rPr>
          <w:rFonts w:hint="eastAsia" w:ascii="宋体" w:hAnsi="宋体"/>
          <w:sz w:val="21"/>
          <w:szCs w:val="21"/>
        </w:rPr>
        <w:t>份，乙方</w:t>
      </w:r>
      <w:r>
        <w:rPr>
          <w:rFonts w:hint="eastAsia" w:ascii="宋体" w:hAnsi="宋体"/>
          <w:sz w:val="21"/>
          <w:szCs w:val="21"/>
          <w:u w:val="single"/>
        </w:rPr>
        <w:t>叁</w:t>
      </w:r>
      <w:r>
        <w:rPr>
          <w:rFonts w:hint="eastAsia" w:ascii="宋体" w:hAnsi="宋体"/>
          <w:sz w:val="21"/>
          <w:szCs w:val="21"/>
        </w:rPr>
        <w:t>份，具有同等法律效力。</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ascii="宋体" w:hAnsi="宋体"/>
          <w:sz w:val="21"/>
          <w:szCs w:val="21"/>
        </w:rPr>
      </w:pPr>
      <w:r>
        <w:rPr>
          <w:rFonts w:hint="eastAsia" w:ascii="宋体" w:hAnsi="宋体"/>
          <w:b/>
          <w:sz w:val="21"/>
          <w:szCs w:val="21"/>
        </w:rPr>
        <w:t>第十三条：</w:t>
      </w:r>
      <w:r>
        <w:rPr>
          <w:rFonts w:hint="eastAsia" w:ascii="宋体" w:hAnsi="宋体"/>
          <w:sz w:val="21"/>
          <w:szCs w:val="21"/>
        </w:rPr>
        <w:t>本合同由双方代表签字,加盖双方公章或合同专用章后生效,全部成果交接完毕和项目费结算完成后,本合同终止。</w:t>
      </w:r>
    </w:p>
    <w:p>
      <w:pPr>
        <w:keepNext w:val="0"/>
        <w:keepLines w:val="0"/>
        <w:pageBreakBefore w:val="0"/>
        <w:kinsoku/>
        <w:wordWrap/>
        <w:overflowPunct/>
        <w:topLinePunct w:val="0"/>
        <w:autoSpaceDE/>
        <w:autoSpaceDN/>
        <w:bidi w:val="0"/>
        <w:adjustRightInd/>
        <w:snapToGrid/>
        <w:spacing w:line="400" w:lineRule="exact"/>
        <w:ind w:firstLine="211" w:firstLineChars="100"/>
        <w:jc w:val="center"/>
        <w:textAlignment w:val="auto"/>
        <w:outlineLvl w:val="0"/>
        <w:rPr>
          <w:rFonts w:hint="eastAsia" w:ascii="宋体" w:hAnsi="宋体"/>
          <w:b/>
          <w:bCs/>
          <w:sz w:val="21"/>
          <w:szCs w:val="21"/>
        </w:rPr>
      </w:pPr>
    </w:p>
    <w:p>
      <w:pPr>
        <w:keepNext w:val="0"/>
        <w:keepLines w:val="0"/>
        <w:pageBreakBefore w:val="0"/>
        <w:kinsoku/>
        <w:wordWrap/>
        <w:overflowPunct/>
        <w:topLinePunct w:val="0"/>
        <w:autoSpaceDE/>
        <w:autoSpaceDN/>
        <w:bidi w:val="0"/>
        <w:adjustRightInd/>
        <w:snapToGrid/>
        <w:spacing w:line="400" w:lineRule="exact"/>
        <w:ind w:firstLine="211" w:firstLineChars="100"/>
        <w:jc w:val="center"/>
        <w:textAlignment w:val="auto"/>
        <w:outlineLvl w:val="0"/>
        <w:rPr>
          <w:rFonts w:ascii="宋体" w:hAnsi="宋体"/>
          <w:b/>
          <w:bCs/>
          <w:sz w:val="21"/>
          <w:szCs w:val="21"/>
        </w:rPr>
      </w:pPr>
      <w:bookmarkStart w:id="296" w:name="_Toc20621"/>
      <w:r>
        <w:rPr>
          <w:rFonts w:hint="eastAsia" w:ascii="宋体" w:hAnsi="宋体"/>
          <w:b/>
          <w:bCs/>
          <w:sz w:val="21"/>
          <w:szCs w:val="21"/>
        </w:rPr>
        <w:t>（正文完）</w:t>
      </w:r>
      <w:bookmarkEnd w:id="296"/>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sz w:val="21"/>
          <w:szCs w:val="21"/>
        </w:rPr>
      </w:pPr>
    </w:p>
    <w:p>
      <w:pPr>
        <w:pStyle w:val="2"/>
        <w:rPr>
          <w:rFonts w:ascii="宋体" w:hAnsi="宋体"/>
          <w:sz w:val="21"/>
          <w:szCs w:val="21"/>
        </w:rPr>
      </w:pPr>
    </w:p>
    <w:p>
      <w:pPr>
        <w:pStyle w:val="3"/>
      </w:pPr>
    </w:p>
    <w:p>
      <w:pPr>
        <w:keepNext w:val="0"/>
        <w:keepLines w:val="0"/>
        <w:pageBreakBefore w:val="0"/>
        <w:kinsoku/>
        <w:wordWrap/>
        <w:overflowPunct/>
        <w:topLinePunct w:val="0"/>
        <w:autoSpaceDE/>
        <w:autoSpaceDN/>
        <w:bidi w:val="0"/>
        <w:adjustRightInd/>
        <w:snapToGrid/>
        <w:spacing w:line="400" w:lineRule="exact"/>
        <w:textAlignment w:val="auto"/>
        <w:rPr>
          <w:sz w:val="21"/>
          <w:szCs w:val="21"/>
          <w:u w:val="single"/>
        </w:rPr>
      </w:pPr>
      <w:r>
        <w:rPr>
          <w:rFonts w:hint="eastAsia"/>
          <w:sz w:val="21"/>
          <w:szCs w:val="21"/>
        </w:rPr>
        <w:t>甲方：</w:t>
      </w:r>
      <w:r>
        <w:rPr>
          <w:rFonts w:hint="eastAsia"/>
          <w:sz w:val="21"/>
          <w:szCs w:val="21"/>
          <w:u w:val="single"/>
        </w:rPr>
        <w:t xml:space="preserve">                                                （盖章）</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r>
        <w:rPr>
          <w:rFonts w:hint="eastAsia"/>
          <w:sz w:val="21"/>
          <w:szCs w:val="21"/>
        </w:rPr>
        <w:t>法定代表人／委托代理人：</w:t>
      </w:r>
      <w:r>
        <w:rPr>
          <w:rFonts w:hint="eastAsia"/>
          <w:sz w:val="21"/>
          <w:szCs w:val="21"/>
          <w:u w:val="single"/>
        </w:rPr>
        <w:t>　　　　　　　　            （签名）</w:t>
      </w:r>
      <w:r>
        <w:rPr>
          <w:rFonts w:hint="eastAsia"/>
          <w:sz w:val="21"/>
          <w:szCs w:val="21"/>
        </w:rPr>
        <w:t>　</w:t>
      </w:r>
    </w:p>
    <w:p>
      <w:pPr>
        <w:keepNext w:val="0"/>
        <w:keepLines w:val="0"/>
        <w:pageBreakBefore w:val="0"/>
        <w:kinsoku/>
        <w:wordWrap/>
        <w:overflowPunct/>
        <w:topLinePunct w:val="0"/>
        <w:autoSpaceDE/>
        <w:autoSpaceDN/>
        <w:bidi w:val="0"/>
        <w:adjustRightInd/>
        <w:snapToGrid/>
        <w:spacing w:line="400" w:lineRule="exact"/>
        <w:ind w:firstLine="1260" w:firstLineChars="600"/>
        <w:jc w:val="right"/>
        <w:textAlignment w:val="auto"/>
        <w:rPr>
          <w:sz w:val="21"/>
          <w:szCs w:val="21"/>
        </w:rPr>
      </w:pPr>
      <w:r>
        <w:rPr>
          <w:rFonts w:hint="eastAsia"/>
          <w:sz w:val="21"/>
          <w:szCs w:val="21"/>
        </w:rPr>
        <w:t>年   月   日</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pStyle w:val="2"/>
      </w:pPr>
    </w:p>
    <w:p>
      <w:pPr>
        <w:keepNext w:val="0"/>
        <w:keepLines w:val="0"/>
        <w:pageBreakBefore w:val="0"/>
        <w:kinsoku/>
        <w:wordWrap/>
        <w:overflowPunct/>
        <w:topLinePunct w:val="0"/>
        <w:autoSpaceDE/>
        <w:autoSpaceDN/>
        <w:bidi w:val="0"/>
        <w:adjustRightInd/>
        <w:snapToGrid/>
        <w:spacing w:line="400" w:lineRule="exact"/>
        <w:textAlignment w:val="auto"/>
        <w:rPr>
          <w:sz w:val="21"/>
          <w:szCs w:val="21"/>
        </w:rPr>
      </w:pPr>
    </w:p>
    <w:p>
      <w:pPr>
        <w:keepNext w:val="0"/>
        <w:keepLines w:val="0"/>
        <w:pageBreakBefore w:val="0"/>
        <w:kinsoku/>
        <w:wordWrap/>
        <w:overflowPunct/>
        <w:topLinePunct w:val="0"/>
        <w:autoSpaceDE/>
        <w:autoSpaceDN/>
        <w:bidi w:val="0"/>
        <w:adjustRightInd/>
        <w:snapToGrid/>
        <w:spacing w:line="400" w:lineRule="exact"/>
        <w:textAlignment w:val="auto"/>
        <w:rPr>
          <w:sz w:val="21"/>
          <w:szCs w:val="21"/>
          <w:u w:val="single"/>
        </w:rPr>
      </w:pPr>
      <w:r>
        <w:rPr>
          <w:rFonts w:hint="eastAsia"/>
          <w:sz w:val="21"/>
          <w:szCs w:val="21"/>
        </w:rPr>
        <w:t>乙方：</w:t>
      </w:r>
      <w:r>
        <w:rPr>
          <w:rFonts w:hint="eastAsia"/>
          <w:sz w:val="21"/>
          <w:szCs w:val="21"/>
          <w:u w:val="single"/>
        </w:rPr>
        <w:t xml:space="preserve">                                               （盖章）</w:t>
      </w:r>
    </w:p>
    <w:p>
      <w:pPr>
        <w:keepNext w:val="0"/>
        <w:keepLines w:val="0"/>
        <w:pageBreakBefore w:val="0"/>
        <w:kinsoku/>
        <w:wordWrap/>
        <w:overflowPunct/>
        <w:topLinePunct w:val="0"/>
        <w:autoSpaceDE/>
        <w:autoSpaceDN/>
        <w:bidi w:val="0"/>
        <w:adjustRightInd/>
        <w:snapToGrid/>
        <w:spacing w:line="400" w:lineRule="exact"/>
        <w:textAlignment w:val="auto"/>
        <w:rPr>
          <w:sz w:val="21"/>
          <w:szCs w:val="21"/>
          <w:u w:val="single"/>
        </w:rPr>
      </w:pPr>
      <w:r>
        <w:rPr>
          <w:rFonts w:hint="eastAsia"/>
          <w:sz w:val="21"/>
          <w:szCs w:val="21"/>
        </w:rPr>
        <w:t>法定代表人／委托代理人：</w:t>
      </w:r>
      <w:r>
        <w:rPr>
          <w:rFonts w:hint="eastAsia"/>
          <w:sz w:val="21"/>
          <w:szCs w:val="21"/>
          <w:u w:val="single"/>
        </w:rPr>
        <w:t>　　　　　　　　           （签名）</w:t>
      </w:r>
    </w:p>
    <w:p>
      <w:pPr>
        <w:keepNext w:val="0"/>
        <w:keepLines w:val="0"/>
        <w:pageBreakBefore w:val="0"/>
        <w:kinsoku/>
        <w:wordWrap/>
        <w:overflowPunct/>
        <w:topLinePunct w:val="0"/>
        <w:autoSpaceDE/>
        <w:autoSpaceDN/>
        <w:bidi w:val="0"/>
        <w:adjustRightInd/>
        <w:snapToGrid/>
        <w:spacing w:line="400" w:lineRule="exact"/>
        <w:ind w:firstLine="525" w:firstLineChars="250"/>
        <w:jc w:val="right"/>
        <w:textAlignment w:val="auto"/>
        <w:rPr>
          <w:sz w:val="21"/>
          <w:szCs w:val="21"/>
        </w:rPr>
      </w:pPr>
      <w:r>
        <w:rPr>
          <w:rFonts w:hint="eastAsia"/>
          <w:sz w:val="21"/>
          <w:szCs w:val="21"/>
        </w:rPr>
        <w:t>年   月   日</w:t>
      </w:r>
    </w:p>
    <w:bookmarkEnd w:id="287"/>
    <w:p>
      <w:pPr>
        <w:spacing w:line="240" w:lineRule="exact"/>
        <w:ind w:firstLine="420" w:firstLineChars="200"/>
        <w:rPr>
          <w:sz w:val="21"/>
          <w:szCs w:val="21"/>
        </w:rPr>
      </w:pPr>
      <w:r>
        <w:rPr>
          <w:rFonts w:hint="eastAsia" w:ascii="宋体" w:hAnsi="宋体" w:cs="宋体"/>
          <w:sz w:val="21"/>
          <w:szCs w:val="21"/>
        </w:rPr>
        <w:t xml:space="preserve">   </w:t>
      </w:r>
      <w:bookmarkStart w:id="297" w:name="_Toc18229"/>
      <w:bookmarkStart w:id="298" w:name="_Toc5495"/>
      <w:bookmarkStart w:id="299" w:name="_Toc76771840"/>
      <w:bookmarkStart w:id="300" w:name="_Toc79395485"/>
    </w:p>
    <w:p>
      <w:pPr>
        <w:rPr>
          <w:sz w:val="30"/>
        </w:rPr>
      </w:pPr>
      <w:r>
        <w:rPr>
          <w:sz w:val="30"/>
        </w:rPr>
        <w:br w:type="page"/>
      </w:r>
    </w:p>
    <w:p>
      <w:pPr>
        <w:pStyle w:val="5"/>
        <w:spacing w:before="0" w:after="0" w:line="360" w:lineRule="auto"/>
        <w:jc w:val="center"/>
        <w:rPr>
          <w:b w:val="0"/>
          <w:bCs w:val="0"/>
          <w:sz w:val="28"/>
          <w:szCs w:val="28"/>
        </w:rPr>
      </w:pPr>
      <w:bookmarkStart w:id="301" w:name="_Toc6138"/>
      <w:r>
        <w:rPr>
          <w:sz w:val="30"/>
        </w:rPr>
        <w:t>第六章</w:t>
      </w:r>
      <w:r>
        <w:rPr>
          <w:rFonts w:hint="eastAsia"/>
          <w:sz w:val="30"/>
        </w:rPr>
        <w:t xml:space="preserve">  </w:t>
      </w:r>
      <w:r>
        <w:rPr>
          <w:sz w:val="30"/>
        </w:rPr>
        <w:t>投标文件格式</w:t>
      </w:r>
      <w:bookmarkEnd w:id="297"/>
      <w:bookmarkEnd w:id="298"/>
      <w:bookmarkEnd w:id="299"/>
      <w:bookmarkEnd w:id="300"/>
      <w:bookmarkEnd w:id="301"/>
    </w:p>
    <w:p>
      <w:pPr>
        <w:rPr>
          <w:rFonts w:ascii="宋体" w:hAnsi="宋体" w:cs="宋体"/>
        </w:rPr>
      </w:pPr>
      <w:bookmarkStart w:id="302" w:name="_Toc12981"/>
      <w:bookmarkStart w:id="303" w:name="_Toc24563"/>
      <w:bookmarkStart w:id="304" w:name="_Toc9889"/>
      <w:bookmarkStart w:id="305" w:name="_Toc460857946"/>
    </w:p>
    <w:p>
      <w:pPr>
        <w:rPr>
          <w:rFonts w:ascii="宋体" w:hAnsi="宋体" w:cs="宋体"/>
          <w:bCs/>
          <w:szCs w:val="21"/>
        </w:rPr>
      </w:pPr>
      <w:bookmarkStart w:id="306" w:name="_Toc4426"/>
      <w:bookmarkStart w:id="307" w:name="_Toc18324"/>
      <w:bookmarkStart w:id="308" w:name="_Toc29895"/>
      <w:r>
        <w:rPr>
          <w:b/>
        </w:rPr>
        <w:t>格式一</w:t>
      </w:r>
      <w:r>
        <w:rPr>
          <w:rFonts w:hint="eastAsia" w:ascii="宋体" w:hAnsi="宋体" w:cs="宋体"/>
          <w:b/>
          <w:szCs w:val="21"/>
        </w:rPr>
        <w:t>、外包装格式</w:t>
      </w:r>
      <w:bookmarkEnd w:id="306"/>
      <w:bookmarkEnd w:id="307"/>
      <w:bookmarkEnd w:id="308"/>
      <w:r>
        <w:rPr>
          <w:rFonts w:hint="eastAsia" w:ascii="宋体" w:hAnsi="宋体" w:cs="宋体"/>
          <w:bCs/>
          <w:szCs w:val="21"/>
        </w:rPr>
        <w:t>（提供电子备份投标文件信封密封时使用）</w:t>
      </w:r>
    </w:p>
    <w:p>
      <w:pPr>
        <w:snapToGrid w:val="0"/>
        <w:spacing w:before="120" w:beforeLines="50" w:after="50" w:line="360" w:lineRule="auto"/>
        <w:jc w:val="center"/>
        <w:rPr>
          <w:rFonts w:ascii="宋体" w:hAnsi="宋体" w:cs="宋体"/>
          <w:b/>
          <w:bCs/>
          <w:szCs w:val="21"/>
        </w:rPr>
      </w:pPr>
      <w:r>
        <w:rPr>
          <w:rFonts w:hint="eastAsia" w:ascii="宋体" w:hAnsi="宋体" w:cs="宋体"/>
          <w:b/>
          <w:bCs/>
          <w:szCs w:val="21"/>
        </w:rPr>
        <w:t>电子备份投标文件</w:t>
      </w:r>
    </w:p>
    <w:p>
      <w:pPr>
        <w:snapToGrid w:val="0"/>
        <w:spacing w:before="120" w:beforeLines="50" w:after="50" w:line="360" w:lineRule="auto"/>
        <w:ind w:firstLine="338" w:firstLineChars="161"/>
        <w:rPr>
          <w:rFonts w:ascii="宋体" w:hAnsi="宋体" w:cs="宋体"/>
          <w:bCs/>
          <w:szCs w:val="21"/>
        </w:rPr>
      </w:pPr>
      <w:r>
        <w:rPr>
          <w:rFonts w:hint="eastAsia" w:ascii="宋体" w:hAnsi="宋体" w:cs="宋体"/>
          <w:bCs/>
          <w:szCs w:val="21"/>
        </w:rPr>
        <w:t>项目名称：</w:t>
      </w:r>
    </w:p>
    <w:p>
      <w:pPr>
        <w:snapToGrid w:val="0"/>
        <w:spacing w:before="120" w:beforeLines="50" w:after="50" w:line="360" w:lineRule="auto"/>
        <w:ind w:firstLine="338" w:firstLineChars="161"/>
        <w:rPr>
          <w:rFonts w:ascii="宋体" w:hAnsi="宋体" w:cs="宋体"/>
          <w:kern w:val="0"/>
          <w:szCs w:val="21"/>
        </w:rPr>
      </w:pPr>
      <w:r>
        <w:rPr>
          <w:rFonts w:hint="eastAsia" w:ascii="宋体" w:hAnsi="宋体" w:cs="宋体"/>
          <w:bCs/>
          <w:szCs w:val="21"/>
        </w:rPr>
        <w:t>项目编号：</w:t>
      </w:r>
    </w:p>
    <w:p>
      <w:pPr>
        <w:snapToGrid w:val="0"/>
        <w:spacing w:before="120" w:beforeLines="50" w:after="50" w:line="360" w:lineRule="auto"/>
        <w:ind w:firstLine="338" w:firstLineChars="161"/>
        <w:rPr>
          <w:rFonts w:ascii="宋体" w:hAnsi="宋体" w:cs="宋体"/>
          <w:bCs/>
          <w:szCs w:val="21"/>
        </w:rPr>
      </w:pPr>
      <w:r>
        <w:rPr>
          <w:rFonts w:hint="eastAsia" w:ascii="宋体" w:hAnsi="宋体" w:cs="宋体"/>
          <w:bCs/>
          <w:szCs w:val="21"/>
        </w:rPr>
        <w:t>投标人名称（加盖公章）：</w:t>
      </w:r>
    </w:p>
    <w:p>
      <w:pPr>
        <w:snapToGrid w:val="0"/>
        <w:spacing w:before="120" w:beforeLines="50" w:after="50" w:line="360" w:lineRule="auto"/>
        <w:ind w:firstLine="338" w:firstLineChars="161"/>
        <w:rPr>
          <w:rFonts w:ascii="宋体" w:hAnsi="宋体" w:cs="宋体"/>
          <w:bCs/>
          <w:szCs w:val="21"/>
        </w:rPr>
      </w:pPr>
      <w:r>
        <w:rPr>
          <w:rFonts w:hint="eastAsia" w:ascii="宋体" w:hAnsi="宋体" w:cs="宋体"/>
          <w:bCs/>
          <w:szCs w:val="21"/>
        </w:rPr>
        <w:t>投标人地址：</w:t>
      </w:r>
    </w:p>
    <w:p>
      <w:pPr>
        <w:snapToGrid w:val="0"/>
        <w:spacing w:before="120" w:beforeLines="50" w:after="50" w:line="360" w:lineRule="auto"/>
        <w:ind w:firstLine="339" w:firstLineChars="161"/>
        <w:jc w:val="center"/>
        <w:rPr>
          <w:rFonts w:ascii="宋体" w:hAnsi="宋体" w:cs="宋体"/>
          <w:b/>
          <w:szCs w:val="21"/>
        </w:rPr>
      </w:pPr>
      <w:r>
        <w:rPr>
          <w:rFonts w:hint="eastAsia" w:ascii="宋体" w:hAnsi="宋体" w:cs="宋体"/>
          <w:b/>
          <w:szCs w:val="21"/>
        </w:rPr>
        <w:t>（投标截止时间前不得启封）</w:t>
      </w:r>
    </w:p>
    <w:p>
      <w:pPr>
        <w:snapToGrid w:val="0"/>
        <w:spacing w:before="120" w:beforeLines="50" w:after="50" w:line="360" w:lineRule="auto"/>
        <w:rPr>
          <w:rFonts w:ascii="宋体" w:hAnsi="宋体" w:cs="宋体"/>
          <w:bCs/>
          <w:szCs w:val="21"/>
        </w:rPr>
      </w:pPr>
      <w:r>
        <w:rPr>
          <w:rFonts w:hint="eastAsia" w:ascii="宋体" w:hAnsi="宋体" w:cs="宋体"/>
          <w:bCs/>
          <w:szCs w:val="21"/>
        </w:rPr>
        <w:t xml:space="preserve">                                                            年  月  日</w:t>
      </w:r>
    </w:p>
    <w:p>
      <w:pPr>
        <w:pStyle w:val="32"/>
        <w:ind w:left="420"/>
        <w:rPr>
          <w:rFonts w:ascii="宋体" w:hAnsi="宋体" w:cs="宋体"/>
          <w:bCs/>
          <w:szCs w:val="21"/>
        </w:rPr>
      </w:pPr>
    </w:p>
    <w:p>
      <w:pPr>
        <w:rPr>
          <w:rFonts w:ascii="宋体" w:hAnsi="宋体" w:cs="宋体"/>
          <w:bCs/>
          <w:szCs w:val="21"/>
        </w:rPr>
      </w:pPr>
    </w:p>
    <w:p>
      <w:pPr>
        <w:pStyle w:val="32"/>
        <w:ind w:left="420"/>
        <w:rPr>
          <w:rFonts w:ascii="宋体" w:hAnsi="宋体" w:cs="宋体"/>
        </w:rPr>
      </w:pPr>
    </w:p>
    <w:p>
      <w:pPr>
        <w:pStyle w:val="32"/>
        <w:ind w:left="420"/>
        <w:rPr>
          <w:rFonts w:ascii="宋体" w:hAnsi="宋体" w:cs="宋体"/>
        </w:rPr>
      </w:pPr>
    </w:p>
    <w:p>
      <w:pPr>
        <w:rPr>
          <w:b/>
          <w:bCs/>
        </w:rPr>
      </w:pPr>
      <w:bookmarkStart w:id="309" w:name="_Toc14932"/>
      <w:bookmarkStart w:id="310" w:name="_Toc28033"/>
      <w:bookmarkStart w:id="311" w:name="_Toc22946"/>
      <w:bookmarkStart w:id="312" w:name="_Toc19186"/>
      <w:r>
        <w:rPr>
          <w:rFonts w:hint="eastAsia"/>
          <w:b/>
          <w:bCs/>
        </w:rPr>
        <w:t>2.投标文件封面格式</w:t>
      </w:r>
      <w:bookmarkEnd w:id="309"/>
      <w:bookmarkEnd w:id="310"/>
      <w:bookmarkEnd w:id="311"/>
      <w:bookmarkEnd w:id="312"/>
      <w:r>
        <w:rPr>
          <w:rFonts w:hint="eastAsia"/>
          <w:b/>
          <w:bCs/>
        </w:rPr>
        <w:t xml:space="preserve">                                                     正/副本</w:t>
      </w:r>
    </w:p>
    <w:p>
      <w:pPr>
        <w:snapToGrid w:val="0"/>
        <w:spacing w:before="120" w:beforeLines="50" w:after="50"/>
        <w:rPr>
          <w:rFonts w:ascii="宋体" w:hAnsi="宋体" w:cs="宋体"/>
          <w:b/>
          <w:bCs/>
          <w:szCs w:val="21"/>
        </w:rPr>
      </w:pPr>
      <w:r>
        <w:rPr>
          <w:rFonts w:hint="eastAsia" w:ascii="宋体" w:hAnsi="宋体" w:cs="宋体"/>
          <w:b/>
          <w:bCs/>
          <w:szCs w:val="21"/>
        </w:rPr>
        <w:t xml:space="preserve">                                                                      </w:t>
      </w:r>
    </w:p>
    <w:p>
      <w:pPr>
        <w:snapToGrid w:val="0"/>
        <w:spacing w:before="120" w:beforeLines="50" w:after="50"/>
        <w:jc w:val="center"/>
        <w:rPr>
          <w:rFonts w:ascii="宋体" w:hAnsi="宋体" w:cs="宋体"/>
          <w:b/>
          <w:bCs/>
          <w:szCs w:val="21"/>
        </w:rPr>
      </w:pPr>
      <w:r>
        <w:rPr>
          <w:rFonts w:hint="eastAsia" w:ascii="宋体" w:hAnsi="宋体" w:cs="宋体"/>
          <w:b/>
          <w:bCs/>
          <w:szCs w:val="21"/>
        </w:rPr>
        <w:t>资格文件/商务技术文件/报价文件</w:t>
      </w:r>
    </w:p>
    <w:p>
      <w:pPr>
        <w:snapToGrid w:val="0"/>
        <w:spacing w:before="120" w:beforeLines="50" w:after="50"/>
        <w:ind w:firstLine="6078" w:firstLineChars="2883"/>
        <w:jc w:val="center"/>
        <w:rPr>
          <w:rFonts w:ascii="宋体" w:hAnsi="宋体" w:cs="宋体"/>
          <w:b/>
          <w:bCs/>
          <w:szCs w:val="21"/>
        </w:rPr>
      </w:pPr>
    </w:p>
    <w:p>
      <w:pPr>
        <w:snapToGrid w:val="0"/>
        <w:spacing w:before="120" w:beforeLines="50" w:after="50" w:line="360" w:lineRule="auto"/>
        <w:ind w:firstLine="338" w:firstLineChars="161"/>
        <w:rPr>
          <w:rFonts w:ascii="宋体" w:hAnsi="宋体" w:cs="宋体"/>
          <w:bCs/>
          <w:szCs w:val="21"/>
        </w:rPr>
      </w:pPr>
      <w:r>
        <w:rPr>
          <w:rFonts w:hint="eastAsia" w:ascii="宋体" w:hAnsi="宋体" w:cs="宋体"/>
          <w:bCs/>
          <w:szCs w:val="21"/>
        </w:rPr>
        <w:t>项目名称：</w:t>
      </w:r>
    </w:p>
    <w:p>
      <w:pPr>
        <w:snapToGrid w:val="0"/>
        <w:spacing w:before="120" w:beforeLines="50" w:after="50" w:line="360" w:lineRule="auto"/>
        <w:ind w:firstLine="338" w:firstLineChars="161"/>
        <w:rPr>
          <w:rFonts w:ascii="宋体" w:hAnsi="宋体" w:cs="宋体"/>
          <w:kern w:val="0"/>
          <w:szCs w:val="21"/>
        </w:rPr>
      </w:pPr>
      <w:r>
        <w:rPr>
          <w:rFonts w:hint="eastAsia" w:ascii="宋体" w:hAnsi="宋体" w:cs="宋体"/>
          <w:bCs/>
          <w:szCs w:val="21"/>
        </w:rPr>
        <w:t>项目编号：</w:t>
      </w:r>
    </w:p>
    <w:p>
      <w:pPr>
        <w:snapToGrid w:val="0"/>
        <w:spacing w:before="120" w:beforeLines="50" w:after="50" w:line="360" w:lineRule="auto"/>
        <w:ind w:firstLine="338" w:firstLineChars="161"/>
        <w:rPr>
          <w:rFonts w:ascii="宋体" w:hAnsi="宋体" w:cs="宋体"/>
          <w:bCs/>
          <w:szCs w:val="21"/>
        </w:rPr>
      </w:pPr>
      <w:r>
        <w:rPr>
          <w:rFonts w:hint="eastAsia" w:ascii="宋体" w:hAnsi="宋体" w:cs="宋体"/>
          <w:bCs/>
          <w:szCs w:val="21"/>
        </w:rPr>
        <w:t>投标人名称（加盖公章）：</w:t>
      </w:r>
    </w:p>
    <w:p>
      <w:pPr>
        <w:snapToGrid w:val="0"/>
        <w:spacing w:before="120" w:beforeLines="50" w:after="50" w:line="360" w:lineRule="auto"/>
        <w:ind w:firstLine="338" w:firstLineChars="161"/>
        <w:rPr>
          <w:rFonts w:ascii="宋体" w:hAnsi="宋体" w:cs="宋体"/>
          <w:bCs/>
          <w:szCs w:val="21"/>
        </w:rPr>
      </w:pPr>
      <w:r>
        <w:rPr>
          <w:rFonts w:hint="eastAsia" w:ascii="宋体" w:hAnsi="宋体" w:cs="宋体"/>
          <w:bCs/>
          <w:szCs w:val="21"/>
        </w:rPr>
        <w:t>投标人地址：</w:t>
      </w:r>
    </w:p>
    <w:p>
      <w:pPr>
        <w:snapToGrid w:val="0"/>
        <w:spacing w:before="120" w:beforeLines="50" w:after="50" w:line="360" w:lineRule="auto"/>
        <w:ind w:firstLine="3570" w:firstLineChars="1700"/>
        <w:rPr>
          <w:rFonts w:ascii="宋体" w:hAnsi="宋体" w:cs="宋体"/>
          <w:bCs/>
          <w:szCs w:val="21"/>
        </w:rPr>
      </w:pPr>
    </w:p>
    <w:p>
      <w:pPr>
        <w:snapToGrid w:val="0"/>
        <w:spacing w:before="120" w:beforeLines="50" w:after="50" w:line="360" w:lineRule="auto"/>
        <w:ind w:firstLine="645"/>
        <w:jc w:val="center"/>
        <w:rPr>
          <w:rFonts w:ascii="宋体" w:hAnsi="宋体" w:cs="宋体"/>
          <w:bCs/>
          <w:szCs w:val="21"/>
        </w:rPr>
      </w:pPr>
      <w:r>
        <w:rPr>
          <w:rFonts w:hint="eastAsia" w:ascii="宋体" w:hAnsi="宋体" w:cs="宋体"/>
          <w:bCs/>
          <w:szCs w:val="21"/>
        </w:rPr>
        <w:t xml:space="preserve">                                      年  月  日</w:t>
      </w:r>
    </w:p>
    <w:p>
      <w:pPr>
        <w:pStyle w:val="28"/>
        <w:tabs>
          <w:tab w:val="right" w:leader="dot" w:pos="8504"/>
        </w:tabs>
        <w:spacing w:line="500" w:lineRule="exact"/>
        <w:rPr>
          <w:rFonts w:ascii="宋体" w:hAnsi="宋体" w:cs="宋体"/>
          <w:bCs/>
          <w:szCs w:val="21"/>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adjustRightInd w:val="0"/>
        <w:snapToGrid w:val="0"/>
        <w:jc w:val="left"/>
        <w:outlineLvl w:val="1"/>
        <w:rPr>
          <w:b/>
        </w:rPr>
      </w:pPr>
    </w:p>
    <w:p>
      <w:pPr>
        <w:rPr>
          <w:b/>
        </w:rPr>
      </w:pPr>
      <w:r>
        <w:rPr>
          <w:b/>
        </w:rPr>
        <w:br w:type="page"/>
      </w:r>
    </w:p>
    <w:p>
      <w:pPr>
        <w:adjustRightInd w:val="0"/>
        <w:snapToGrid w:val="0"/>
        <w:jc w:val="left"/>
        <w:outlineLvl w:val="1"/>
        <w:rPr>
          <w:b/>
          <w:szCs w:val="21"/>
        </w:rPr>
      </w:pPr>
      <w:bookmarkStart w:id="313" w:name="_Toc10835"/>
      <w:r>
        <w:rPr>
          <w:b/>
        </w:rPr>
        <w:t>格式</w:t>
      </w:r>
      <w:r>
        <w:rPr>
          <w:rFonts w:hint="eastAsia"/>
          <w:b/>
        </w:rPr>
        <w:t>二</w:t>
      </w:r>
      <w:r>
        <w:rPr>
          <w:b/>
        </w:rPr>
        <w:t>：</w:t>
      </w:r>
      <w:bookmarkEnd w:id="302"/>
      <w:bookmarkEnd w:id="303"/>
      <w:bookmarkEnd w:id="304"/>
      <w:bookmarkEnd w:id="313"/>
    </w:p>
    <w:p>
      <w:pPr>
        <w:jc w:val="center"/>
        <w:rPr>
          <w:rFonts w:hint="eastAsia"/>
          <w:b/>
          <w:sz w:val="32"/>
          <w:szCs w:val="40"/>
        </w:rPr>
      </w:pPr>
      <w:r>
        <w:rPr>
          <w:rFonts w:hint="eastAsia"/>
          <w:b/>
          <w:sz w:val="32"/>
          <w:szCs w:val="40"/>
        </w:rPr>
        <w:t>资格证明材料承诺函</w:t>
      </w:r>
    </w:p>
    <w:p>
      <w:pPr>
        <w:widowControl/>
        <w:adjustRightInd w:val="0"/>
        <w:snapToGrid w:val="0"/>
        <w:spacing w:line="480" w:lineRule="exact"/>
        <w:rPr>
          <w:rFonts w:hint="eastAsia" w:ascii="宋体" w:hAnsi="宋体"/>
          <w:szCs w:val="21"/>
        </w:rPr>
      </w:pPr>
    </w:p>
    <w:p>
      <w:pPr>
        <w:widowControl/>
        <w:adjustRightInd w:val="0"/>
        <w:snapToGrid w:val="0"/>
        <w:spacing w:line="48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w:t>
      </w:r>
    </w:p>
    <w:p>
      <w:pPr>
        <w:widowControl/>
        <w:adjustRightInd w:val="0"/>
        <w:snapToGrid w:val="0"/>
        <w:spacing w:line="480" w:lineRule="exact"/>
        <w:ind w:firstLine="420"/>
        <w:rPr>
          <w:rFonts w:ascii="宋体" w:hAnsi="宋体"/>
          <w:szCs w:val="21"/>
        </w:rPr>
      </w:pPr>
      <w:r>
        <w:rPr>
          <w:rFonts w:hint="eastAsia" w:ascii="宋体" w:hAnsi="宋体"/>
          <w:szCs w:val="21"/>
        </w:rPr>
        <w:t>我</w:t>
      </w:r>
      <w:r>
        <w:rPr>
          <w:rFonts w:ascii="宋体" w:hAnsi="宋体"/>
          <w:szCs w:val="21"/>
          <w:u w:val="single"/>
        </w:rPr>
        <w:t xml:space="preserve">                      </w:t>
      </w:r>
      <w:r>
        <w:rPr>
          <w:rFonts w:hint="eastAsia" w:ascii="宋体" w:hAnsi="宋体"/>
          <w:szCs w:val="21"/>
        </w:rPr>
        <w:t>（供应商名称）已认真阅读</w:t>
      </w:r>
      <w:r>
        <w:rPr>
          <w:rFonts w:hint="eastAsia" w:ascii="宋体" w:hAnsi="宋体" w:cs="宋体"/>
          <w:kern w:val="0"/>
          <w:szCs w:val="21"/>
        </w:rPr>
        <w:t>《中华人民共和国政府采购法》及《采购</w:t>
      </w:r>
      <w:r>
        <w:rPr>
          <w:rFonts w:hint="eastAsia" w:ascii="宋体" w:hAnsi="宋体"/>
          <w:szCs w:val="21"/>
        </w:rPr>
        <w:t>文件</w:t>
      </w:r>
      <w:r>
        <w:rPr>
          <w:rFonts w:hint="eastAsia" w:ascii="宋体" w:hAnsi="宋体" w:cs="宋体"/>
          <w:kern w:val="0"/>
          <w:szCs w:val="21"/>
        </w:rPr>
        <w:t>》[</w:t>
      </w:r>
      <w:r>
        <w:rPr>
          <w:rFonts w:ascii="宋体" w:hAnsi="宋体"/>
          <w:szCs w:val="21"/>
          <w:u w:val="single"/>
        </w:rPr>
        <w:t xml:space="preserve">                       </w:t>
      </w:r>
      <w:r>
        <w:rPr>
          <w:rFonts w:hint="eastAsia" w:ascii="宋体" w:hAnsi="宋体"/>
          <w:szCs w:val="21"/>
        </w:rPr>
        <w:t>（项目名称），政府采购编号：</w:t>
      </w:r>
      <w:r>
        <w:rPr>
          <w:rFonts w:ascii="宋体" w:hAnsi="宋体"/>
          <w:szCs w:val="21"/>
          <w:u w:val="single"/>
        </w:rPr>
        <w:t xml:space="preserve">          </w:t>
      </w:r>
      <w:r>
        <w:rPr>
          <w:rFonts w:hint="eastAsia" w:ascii="宋体" w:hAnsi="宋体"/>
          <w:szCs w:val="21"/>
        </w:rPr>
        <w:t>]相关内容，知悉供应商参加政府采购活动应当具备的条件。此次按《采购文件》要求提交的供应商资格证明材料，已经认真核对和检查，全部内容真实、合法、准确和完整，我们对此负责，并愿承担由此引起的法律责任。</w:t>
      </w:r>
    </w:p>
    <w:p>
      <w:pPr>
        <w:adjustRightInd w:val="0"/>
        <w:snapToGrid w:val="0"/>
        <w:spacing w:line="480" w:lineRule="exact"/>
        <w:ind w:firstLine="420"/>
        <w:rPr>
          <w:rFonts w:ascii="宋体" w:hAnsi="宋体"/>
          <w:szCs w:val="21"/>
        </w:rPr>
      </w:pPr>
      <w:r>
        <w:rPr>
          <w:rFonts w:hint="eastAsia" w:ascii="宋体" w:hAnsi="宋体"/>
          <w:szCs w:val="21"/>
        </w:rPr>
        <w:t xml:space="preserve">一、我方在此声明： </w:t>
      </w:r>
    </w:p>
    <w:p>
      <w:pPr>
        <w:adjustRightInd w:val="0"/>
        <w:snapToGrid w:val="0"/>
        <w:spacing w:line="480" w:lineRule="exact"/>
        <w:ind w:firstLine="420"/>
        <w:rPr>
          <w:rFonts w:ascii="宋体" w:hAnsi="宋体"/>
          <w:szCs w:val="21"/>
        </w:rPr>
      </w:pPr>
      <w:r>
        <w:rPr>
          <w:rFonts w:hint="eastAsia" w:ascii="宋体" w:hAnsi="宋体"/>
          <w:szCs w:val="21"/>
        </w:rPr>
        <w:t>（一）我</w:t>
      </w:r>
      <w:r>
        <w:rPr>
          <w:rFonts w:ascii="宋体" w:hAnsi="宋体"/>
          <w:szCs w:val="21"/>
        </w:rPr>
        <w:t>方</w:t>
      </w:r>
      <w:r>
        <w:rPr>
          <w:rFonts w:hint="eastAsia" w:ascii="宋体" w:hAnsi="宋体"/>
          <w:szCs w:val="21"/>
        </w:rPr>
        <w:t>具有独立承担民事责任的能力；</w:t>
      </w:r>
    </w:p>
    <w:p>
      <w:pPr>
        <w:adjustRightInd w:val="0"/>
        <w:snapToGrid w:val="0"/>
        <w:spacing w:line="480" w:lineRule="exact"/>
        <w:ind w:firstLine="420"/>
        <w:rPr>
          <w:rFonts w:ascii="宋体" w:hAnsi="宋体"/>
          <w:szCs w:val="21"/>
        </w:rPr>
      </w:pPr>
      <w:r>
        <w:rPr>
          <w:rFonts w:hint="eastAsia" w:ascii="宋体" w:hAnsi="宋体"/>
          <w:szCs w:val="21"/>
        </w:rPr>
        <w:t>（二）我</w:t>
      </w:r>
      <w:r>
        <w:rPr>
          <w:rFonts w:ascii="宋体" w:hAnsi="宋体"/>
          <w:szCs w:val="21"/>
        </w:rPr>
        <w:t>方</w:t>
      </w:r>
      <w:r>
        <w:rPr>
          <w:rFonts w:hint="eastAsia" w:ascii="宋体" w:hAnsi="宋体"/>
          <w:szCs w:val="21"/>
        </w:rPr>
        <w:t>具有良好的商业信誉和健全的财务会计制度；</w:t>
      </w:r>
    </w:p>
    <w:p>
      <w:pPr>
        <w:adjustRightInd w:val="0"/>
        <w:snapToGrid w:val="0"/>
        <w:spacing w:line="480" w:lineRule="exact"/>
        <w:ind w:firstLine="420"/>
        <w:rPr>
          <w:rFonts w:ascii="宋体" w:hAnsi="宋体"/>
          <w:szCs w:val="21"/>
        </w:rPr>
      </w:pPr>
      <w:r>
        <w:rPr>
          <w:rFonts w:hint="eastAsia" w:ascii="宋体" w:hAnsi="宋体"/>
          <w:szCs w:val="21"/>
        </w:rPr>
        <w:t>（三）我</w:t>
      </w:r>
      <w:r>
        <w:rPr>
          <w:rFonts w:ascii="宋体" w:hAnsi="宋体"/>
          <w:szCs w:val="21"/>
        </w:rPr>
        <w:t>方</w:t>
      </w:r>
      <w:r>
        <w:rPr>
          <w:rFonts w:hint="eastAsia" w:ascii="宋体" w:hAnsi="宋体"/>
          <w:szCs w:val="21"/>
        </w:rPr>
        <w:t>具有履行合同所必需的设备和专业技术能力；</w:t>
      </w:r>
    </w:p>
    <w:p>
      <w:pPr>
        <w:adjustRightInd w:val="0"/>
        <w:snapToGrid w:val="0"/>
        <w:spacing w:line="480" w:lineRule="exact"/>
        <w:ind w:firstLine="420"/>
        <w:rPr>
          <w:rFonts w:ascii="宋体" w:hAnsi="宋体"/>
          <w:szCs w:val="21"/>
        </w:rPr>
      </w:pPr>
      <w:r>
        <w:rPr>
          <w:rFonts w:hint="eastAsia" w:ascii="宋体" w:hAnsi="宋体"/>
          <w:szCs w:val="21"/>
        </w:rPr>
        <w:t>（四）我方与采购人或采购代理机构不存在</w:t>
      </w:r>
      <w:r>
        <w:rPr>
          <w:rFonts w:hint="eastAsia" w:ascii="宋体" w:hAnsi="宋体"/>
          <w:bCs/>
          <w:szCs w:val="21"/>
        </w:rPr>
        <w:t>隶属关系或者其他利害关系</w:t>
      </w:r>
      <w:r>
        <w:rPr>
          <w:rFonts w:hint="eastAsia" w:ascii="宋体" w:hAnsi="宋体"/>
          <w:szCs w:val="21"/>
        </w:rPr>
        <w:t>。</w:t>
      </w:r>
    </w:p>
    <w:p>
      <w:pPr>
        <w:adjustRightInd w:val="0"/>
        <w:snapToGrid w:val="0"/>
        <w:spacing w:line="480" w:lineRule="exact"/>
        <w:ind w:firstLine="420"/>
        <w:rPr>
          <w:rFonts w:ascii="宋体" w:hAnsi="宋体"/>
          <w:szCs w:val="21"/>
        </w:rPr>
      </w:pPr>
      <w:r>
        <w:rPr>
          <w:rFonts w:hint="eastAsia" w:ascii="宋体" w:hAnsi="宋体"/>
          <w:szCs w:val="21"/>
        </w:rPr>
        <w:t>（五）我方与参加本项目的其他供应商不存在控股、关联关系，或者与其他供应商单位负责人（或者负责人）为同一人。</w:t>
      </w:r>
    </w:p>
    <w:p>
      <w:pPr>
        <w:adjustRightInd w:val="0"/>
        <w:snapToGrid w:val="0"/>
        <w:spacing w:line="480" w:lineRule="exact"/>
        <w:ind w:firstLine="420"/>
        <w:rPr>
          <w:rFonts w:ascii="宋体" w:hAnsi="宋体"/>
          <w:szCs w:val="21"/>
        </w:rPr>
      </w:pPr>
      <w:r>
        <w:rPr>
          <w:rFonts w:hint="eastAsia" w:ascii="宋体" w:hAnsi="宋体"/>
          <w:szCs w:val="21"/>
        </w:rPr>
        <w:t>（六）我方未为本项目前期准备提供设计或咨询服务。</w:t>
      </w:r>
    </w:p>
    <w:p>
      <w:pPr>
        <w:adjustRightInd w:val="0"/>
        <w:snapToGrid w:val="0"/>
        <w:spacing w:line="480" w:lineRule="exact"/>
        <w:ind w:firstLine="420"/>
        <w:rPr>
          <w:rFonts w:ascii="宋体" w:hAnsi="宋体" w:cs="Courier New"/>
          <w:szCs w:val="21"/>
        </w:rPr>
      </w:pPr>
      <w:r>
        <w:rPr>
          <w:rFonts w:hint="eastAsia" w:ascii="宋体" w:hAnsi="宋体" w:cs="Courier New"/>
          <w:szCs w:val="21"/>
        </w:rPr>
        <w:t>二、我方承诺：</w:t>
      </w:r>
    </w:p>
    <w:p>
      <w:pPr>
        <w:adjustRightInd w:val="0"/>
        <w:snapToGrid w:val="0"/>
        <w:spacing w:line="480" w:lineRule="exact"/>
        <w:ind w:left="1" w:firstLine="420"/>
        <w:rPr>
          <w:rFonts w:ascii="宋体" w:hAnsi="宋体"/>
          <w:szCs w:val="21"/>
        </w:rPr>
      </w:pPr>
      <w:r>
        <w:rPr>
          <w:rFonts w:hint="eastAsia" w:ascii="宋体" w:hAnsi="宋体"/>
          <w:bCs/>
          <w:szCs w:val="21"/>
        </w:rPr>
        <w:t>（一）我方</w:t>
      </w:r>
      <w:r>
        <w:rPr>
          <w:rFonts w:hint="eastAsia" w:ascii="宋体" w:hAnsi="宋体"/>
          <w:szCs w:val="21"/>
        </w:rPr>
        <w:t>依法缴纳了各项税费及各项社会保障资金，没有偷税、漏税及欠缴行为。</w:t>
      </w:r>
    </w:p>
    <w:p>
      <w:pPr>
        <w:adjustRightInd w:val="0"/>
        <w:snapToGrid w:val="0"/>
        <w:spacing w:line="480" w:lineRule="exact"/>
        <w:ind w:firstLine="420"/>
        <w:rPr>
          <w:rFonts w:ascii="宋体" w:hAnsi="宋体"/>
          <w:bCs/>
          <w:szCs w:val="21"/>
        </w:rPr>
      </w:pPr>
      <w:r>
        <w:rPr>
          <w:rFonts w:hint="eastAsia" w:ascii="宋体" w:hAnsi="宋体"/>
          <w:bCs/>
          <w:szCs w:val="21"/>
        </w:rPr>
        <w:t>（二）我方（承诺期：成立三年以上的，为提交投标文件截止时间前三年内；成立不足三年的，为实际时间）在经营活动中没有存在下列重大违法记录：</w:t>
      </w:r>
    </w:p>
    <w:p>
      <w:pPr>
        <w:adjustRightInd w:val="0"/>
        <w:snapToGrid w:val="0"/>
        <w:spacing w:line="480" w:lineRule="exact"/>
        <w:ind w:firstLine="420"/>
        <w:rPr>
          <w:rFonts w:ascii="宋体" w:hAnsi="宋体"/>
          <w:bCs/>
          <w:szCs w:val="21"/>
        </w:rPr>
      </w:pPr>
      <w:r>
        <w:rPr>
          <w:rFonts w:hint="eastAsia" w:ascii="宋体" w:hAnsi="宋体"/>
          <w:bCs/>
          <w:szCs w:val="21"/>
        </w:rPr>
        <w:t>1、受到刑事处罚；</w:t>
      </w:r>
    </w:p>
    <w:p>
      <w:pPr>
        <w:adjustRightInd w:val="0"/>
        <w:snapToGrid w:val="0"/>
        <w:spacing w:line="480" w:lineRule="exact"/>
        <w:ind w:left="1" w:firstLine="420"/>
        <w:rPr>
          <w:rFonts w:ascii="宋体" w:hAnsi="宋体"/>
          <w:szCs w:val="21"/>
        </w:rPr>
      </w:pPr>
      <w:r>
        <w:rPr>
          <w:rFonts w:hint="eastAsia" w:ascii="宋体" w:hAnsi="宋体"/>
          <w:szCs w:val="21"/>
        </w:rPr>
        <w:t>2、责令停产停业、吊销许可证或者执照、较大数额罚款等行政处罚。</w:t>
      </w:r>
    </w:p>
    <w:p>
      <w:pPr>
        <w:adjustRightInd w:val="0"/>
        <w:snapToGrid w:val="0"/>
        <w:spacing w:line="480" w:lineRule="exact"/>
        <w:ind w:left="1" w:firstLine="420"/>
        <w:rPr>
          <w:rFonts w:ascii="宋体" w:hAnsi="宋体"/>
          <w:szCs w:val="21"/>
        </w:rPr>
      </w:pPr>
      <w:r>
        <w:rPr>
          <w:rFonts w:hint="eastAsia" w:ascii="宋体" w:hAnsi="宋体"/>
          <w:szCs w:val="21"/>
        </w:rPr>
        <w:t>（三）我方未被列入</w:t>
      </w:r>
      <w:r>
        <w:rPr>
          <w:rFonts w:ascii="宋体" w:hAnsi="宋体"/>
          <w:szCs w:val="21"/>
        </w:rPr>
        <w:t>“信用中国”（www.creditchina.gov.cn）、中国政府采购网（www.ccgp.gov.cn）列入失信被执行人、重大税收违法案件当事人名单、政府采购严重违法失信行为记录名单</w:t>
      </w:r>
      <w:r>
        <w:rPr>
          <w:rFonts w:hint="eastAsia" w:ascii="宋体" w:hAnsi="宋体"/>
          <w:szCs w:val="21"/>
        </w:rPr>
        <w:t>；</w:t>
      </w:r>
    </w:p>
    <w:p>
      <w:pPr>
        <w:pStyle w:val="236"/>
        <w:ind w:firstLine="420"/>
        <w:rPr>
          <w:rFonts w:ascii="宋体" w:hAnsi="宋体"/>
        </w:rPr>
      </w:pPr>
    </w:p>
    <w:p>
      <w:pPr>
        <w:spacing w:line="480" w:lineRule="exact"/>
        <w:ind w:firstLine="4678" w:firstLineChars="2228"/>
        <w:rPr>
          <w:rFonts w:ascii="宋体" w:hAnsi="宋体"/>
          <w:u w:val="single"/>
        </w:rPr>
      </w:pPr>
      <w:r>
        <w:rPr>
          <w:rFonts w:hint="eastAsia" w:ascii="宋体" w:hAnsi="宋体"/>
          <w:szCs w:val="21"/>
        </w:rPr>
        <w:t>投标人名称（盖单位章）：</w:t>
      </w:r>
      <w:r>
        <w:rPr>
          <w:rFonts w:hint="eastAsia" w:ascii="宋体" w:hAnsi="宋体"/>
          <w:szCs w:val="21"/>
          <w:u w:val="single"/>
        </w:rPr>
        <w:t xml:space="preserve">                   </w:t>
      </w:r>
    </w:p>
    <w:p>
      <w:pPr>
        <w:spacing w:line="480" w:lineRule="exact"/>
        <w:ind w:firstLine="4678" w:firstLineChars="2228"/>
        <w:rPr>
          <w:rFonts w:ascii="宋体" w:hAnsi="宋体"/>
          <w:szCs w:val="21"/>
          <w:u w:val="single"/>
        </w:rPr>
      </w:pPr>
      <w:r>
        <w:rPr>
          <w:rFonts w:hint="eastAsia" w:ascii="宋体" w:hAnsi="宋体"/>
          <w:szCs w:val="21"/>
        </w:rPr>
        <w:t>单位负责人或授权代表（签名）：</w:t>
      </w:r>
      <w:r>
        <w:rPr>
          <w:rFonts w:hint="eastAsia" w:ascii="宋体" w:hAnsi="宋体"/>
          <w:szCs w:val="21"/>
          <w:u w:val="single"/>
        </w:rPr>
        <w:t xml:space="preserve">             </w:t>
      </w:r>
    </w:p>
    <w:p>
      <w:pPr>
        <w:spacing w:line="480" w:lineRule="exact"/>
        <w:ind w:firstLine="4676" w:firstLineChars="2227"/>
        <w:jc w:val="left"/>
        <w:rPr>
          <w:rFonts w:ascii="宋体" w:hAnsi="宋体"/>
          <w:szCs w:val="21"/>
        </w:rPr>
      </w:pPr>
      <w:r>
        <w:rPr>
          <w:rFonts w:hint="eastAsia" w:ascii="宋体" w:hAnsi="宋体"/>
        </w:rPr>
        <w:t>日期：</w:t>
      </w:r>
      <w:r>
        <w:rPr>
          <w:rFonts w:hint="eastAsia" w:ascii="宋体" w:hAnsi="宋体"/>
          <w:u w:val="single"/>
        </w:rPr>
        <w:t xml:space="preserve">       </w:t>
      </w:r>
      <w:r>
        <w:rPr>
          <w:rFonts w:hint="eastAsia" w:ascii="宋体" w:hAnsi="宋体"/>
        </w:rPr>
        <w:t xml:space="preserve">年 </w:t>
      </w:r>
      <w:r>
        <w:rPr>
          <w:rFonts w:hint="eastAsia" w:ascii="宋体" w:hAnsi="宋体"/>
          <w:u w:val="single"/>
        </w:rPr>
        <w:t xml:space="preserve">     </w:t>
      </w:r>
      <w:r>
        <w:rPr>
          <w:rFonts w:hint="eastAsia" w:ascii="宋体" w:hAnsi="宋体"/>
        </w:rPr>
        <w:t xml:space="preserve"> 月</w:t>
      </w:r>
      <w:r>
        <w:rPr>
          <w:rFonts w:hint="eastAsia" w:ascii="宋体" w:hAnsi="宋体"/>
          <w:u w:val="single"/>
        </w:rPr>
        <w:t xml:space="preserve">     </w:t>
      </w:r>
      <w:r>
        <w:rPr>
          <w:rFonts w:hint="eastAsia" w:ascii="宋体" w:hAnsi="宋体"/>
        </w:rPr>
        <w:t>日</w:t>
      </w:r>
    </w:p>
    <w:p>
      <w:pPr>
        <w:spacing w:line="360" w:lineRule="auto"/>
        <w:ind w:firstLine="720" w:firstLineChars="300"/>
      </w:pPr>
      <w:r>
        <w:rPr>
          <w:sz w:val="24"/>
          <w:szCs w:val="21"/>
        </w:rPr>
        <w:br w:type="page"/>
      </w:r>
    </w:p>
    <w:p>
      <w:pPr>
        <w:outlineLvl w:val="1"/>
        <w:rPr>
          <w:b/>
        </w:rPr>
      </w:pPr>
      <w:bookmarkStart w:id="314" w:name="_Toc14066"/>
      <w:bookmarkStart w:id="315" w:name="_Toc8697"/>
      <w:bookmarkStart w:id="316" w:name="_Toc5093"/>
      <w:bookmarkStart w:id="317" w:name="_Toc25371"/>
      <w:r>
        <w:rPr>
          <w:b/>
        </w:rPr>
        <w:t>格式</w:t>
      </w:r>
      <w:r>
        <w:rPr>
          <w:rFonts w:hint="eastAsia"/>
          <w:b/>
        </w:rPr>
        <w:t>三</w:t>
      </w:r>
      <w:r>
        <w:rPr>
          <w:b/>
        </w:rPr>
        <w:t>：</w:t>
      </w:r>
      <w:bookmarkEnd w:id="314"/>
      <w:bookmarkEnd w:id="315"/>
      <w:bookmarkEnd w:id="316"/>
      <w:bookmarkEnd w:id="317"/>
    </w:p>
    <w:p>
      <w:pPr>
        <w:jc w:val="center"/>
      </w:pPr>
    </w:p>
    <w:p>
      <w:pPr>
        <w:jc w:val="center"/>
        <w:rPr>
          <w:b/>
          <w:sz w:val="32"/>
          <w:szCs w:val="40"/>
        </w:rPr>
      </w:pPr>
      <w:r>
        <w:rPr>
          <w:rFonts w:hint="eastAsia"/>
          <w:b/>
          <w:sz w:val="32"/>
          <w:szCs w:val="40"/>
        </w:rPr>
        <w:t>评委打分索引表</w:t>
      </w:r>
    </w:p>
    <w:p>
      <w:pPr>
        <w:jc w:val="center"/>
        <w:rPr>
          <w:b/>
        </w:rPr>
      </w:pPr>
    </w:p>
    <w:tbl>
      <w:tblPr>
        <w:tblStyle w:val="4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742"/>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序号</w:t>
            </w:r>
          </w:p>
        </w:tc>
        <w:tc>
          <w:tcPr>
            <w:tcW w:w="3742" w:type="dxa"/>
            <w:vAlign w:val="center"/>
          </w:tcPr>
          <w:p>
            <w:pPr>
              <w:spacing w:line="300" w:lineRule="exact"/>
              <w:jc w:val="center"/>
              <w:rPr>
                <w:rFonts w:ascii="宋体" w:hAnsi="宋体"/>
                <w:szCs w:val="21"/>
              </w:rPr>
            </w:pPr>
            <w:r>
              <w:rPr>
                <w:rFonts w:hint="eastAsia" w:ascii="宋体" w:hAnsi="宋体"/>
                <w:szCs w:val="21"/>
              </w:rPr>
              <w:t>评分项目</w:t>
            </w:r>
          </w:p>
        </w:tc>
        <w:tc>
          <w:tcPr>
            <w:tcW w:w="1701" w:type="dxa"/>
            <w:vAlign w:val="center"/>
          </w:tcPr>
          <w:p>
            <w:pPr>
              <w:spacing w:line="300" w:lineRule="exact"/>
              <w:jc w:val="center"/>
              <w:rPr>
                <w:rFonts w:ascii="宋体" w:hAnsi="宋体"/>
                <w:szCs w:val="21"/>
              </w:rPr>
            </w:pPr>
            <w:r>
              <w:rPr>
                <w:rFonts w:hint="eastAsia" w:ascii="宋体" w:hAnsi="宋体"/>
                <w:szCs w:val="21"/>
              </w:rPr>
              <w:t>文件或证明材料所在页码区间</w:t>
            </w:r>
          </w:p>
        </w:tc>
        <w:tc>
          <w:tcPr>
            <w:tcW w:w="2693" w:type="dxa"/>
            <w:vAlign w:val="center"/>
          </w:tcPr>
          <w:p>
            <w:pPr>
              <w:spacing w:line="300" w:lineRule="exact"/>
              <w:jc w:val="center"/>
              <w:rPr>
                <w:rFonts w:ascii="宋体" w:hAnsi="宋体"/>
                <w:szCs w:val="21"/>
              </w:rPr>
            </w:pPr>
            <w:r>
              <w:rPr>
                <w:rFonts w:hint="eastAsia" w:ascii="宋体" w:hAnsi="宋体"/>
                <w:szCs w:val="21"/>
              </w:rPr>
              <w:t>自评得分（主观评审部分不用填写自评得分）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1</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2</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3</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4</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5</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693" w:type="dxa"/>
            <w:vAlign w:val="center"/>
          </w:tcPr>
          <w:p>
            <w:pPr>
              <w:spacing w:line="300" w:lineRule="exact"/>
              <w:jc w:val="center"/>
              <w:rPr>
                <w:rFonts w:ascii="宋体" w:hAnsi="宋体"/>
                <w:szCs w:val="21"/>
              </w:rPr>
            </w:pPr>
          </w:p>
        </w:tc>
      </w:tr>
    </w:tbl>
    <w:p>
      <w:pPr>
        <w:pStyle w:val="17"/>
        <w:spacing w:before="120" w:beforeLines="50" w:line="360" w:lineRule="auto"/>
        <w:ind w:left="141" w:leftChars="67"/>
        <w:rPr>
          <w:rFonts w:hAnsi="宋体"/>
          <w:sz w:val="21"/>
          <w:szCs w:val="21"/>
        </w:rPr>
      </w:pPr>
      <w:r>
        <w:rPr>
          <w:rFonts w:hint="eastAsia" w:hAnsi="宋体"/>
          <w:sz w:val="21"/>
          <w:szCs w:val="21"/>
        </w:rPr>
        <w:t>注：（1）按照评委打分表内容逐项填写</w:t>
      </w:r>
      <w:r>
        <w:rPr>
          <w:rFonts w:hint="eastAsia" w:asciiTheme="minorEastAsia" w:hAnsiTheme="minorEastAsia" w:eastAsiaTheme="minorEastAsia"/>
          <w:sz w:val="21"/>
          <w:szCs w:val="21"/>
        </w:rPr>
        <w:t>，报价项无需列入</w:t>
      </w:r>
      <w:r>
        <w:rPr>
          <w:rFonts w:hint="eastAsia" w:hAnsi="宋体"/>
          <w:sz w:val="21"/>
          <w:szCs w:val="21"/>
        </w:rPr>
        <w:t>。</w:t>
      </w:r>
    </w:p>
    <w:p>
      <w:pPr>
        <w:pStyle w:val="17"/>
        <w:spacing w:before="120" w:beforeLines="50" w:line="360" w:lineRule="auto"/>
        <w:ind w:left="141" w:leftChars="67" w:firstLine="692" w:firstLineChars="343"/>
        <w:rPr>
          <w:rFonts w:hAnsi="宋体"/>
          <w:sz w:val="21"/>
          <w:szCs w:val="21"/>
        </w:rPr>
      </w:pPr>
      <w:r>
        <w:rPr>
          <w:rFonts w:hint="eastAsia" w:hAnsi="宋体"/>
          <w:sz w:val="21"/>
          <w:szCs w:val="21"/>
        </w:rPr>
        <w:t>（2）自评得分仅针对于客观分部分，主观分部分无需填写。</w:t>
      </w:r>
    </w:p>
    <w:p>
      <w:pPr>
        <w:widowControl/>
        <w:jc w:val="left"/>
        <w:rPr>
          <w:b/>
        </w:rPr>
      </w:pPr>
      <w:r>
        <w:br w:type="page"/>
      </w:r>
      <w:bookmarkEnd w:id="305"/>
    </w:p>
    <w:p>
      <w:pPr>
        <w:spacing w:line="360" w:lineRule="auto"/>
        <w:jc w:val="left"/>
        <w:outlineLvl w:val="1"/>
        <w:rPr>
          <w:szCs w:val="21"/>
        </w:rPr>
      </w:pPr>
      <w:bookmarkStart w:id="318" w:name="_Toc2268"/>
      <w:bookmarkStart w:id="319" w:name="_Toc26487"/>
      <w:bookmarkStart w:id="320" w:name="_Toc19451"/>
      <w:bookmarkStart w:id="321" w:name="_Toc11321"/>
      <w:r>
        <w:rPr>
          <w:b/>
        </w:rPr>
        <w:t>格式</w:t>
      </w:r>
      <w:r>
        <w:rPr>
          <w:rFonts w:hint="eastAsia"/>
          <w:b/>
        </w:rPr>
        <w:t>四</w:t>
      </w:r>
      <w:r>
        <w:rPr>
          <w:b/>
        </w:rPr>
        <w:t>：</w:t>
      </w:r>
      <w:bookmarkEnd w:id="318"/>
      <w:bookmarkEnd w:id="319"/>
      <w:bookmarkEnd w:id="320"/>
      <w:bookmarkEnd w:id="321"/>
    </w:p>
    <w:p>
      <w:pPr>
        <w:spacing w:line="320" w:lineRule="exact"/>
        <w:jc w:val="center"/>
        <w:rPr>
          <w:b/>
          <w:sz w:val="32"/>
          <w:szCs w:val="32"/>
        </w:rPr>
      </w:pPr>
      <w:r>
        <w:rPr>
          <w:b/>
          <w:sz w:val="32"/>
          <w:szCs w:val="32"/>
        </w:rPr>
        <w:t>法定代表人身份证明</w:t>
      </w:r>
    </w:p>
    <w:p>
      <w:pPr>
        <w:spacing w:line="480" w:lineRule="auto"/>
        <w:jc w:val="center"/>
        <w:rPr>
          <w:bCs/>
          <w:sz w:val="24"/>
        </w:rPr>
      </w:pPr>
    </w:p>
    <w:p>
      <w:pPr>
        <w:spacing w:line="480" w:lineRule="auto"/>
        <w:ind w:firstLine="420" w:firstLineChars="200"/>
        <w:rPr>
          <w:szCs w:val="21"/>
        </w:rPr>
      </w:pPr>
      <w:r>
        <w:rPr>
          <w:szCs w:val="21"/>
        </w:rPr>
        <w:t>供应商名称：</w:t>
      </w:r>
    </w:p>
    <w:p>
      <w:pPr>
        <w:spacing w:line="480" w:lineRule="auto"/>
        <w:ind w:firstLine="420" w:firstLineChars="200"/>
        <w:rPr>
          <w:szCs w:val="21"/>
        </w:rPr>
      </w:pPr>
      <w:r>
        <w:rPr>
          <w:szCs w:val="21"/>
        </w:rPr>
        <w:t>单位性质：</w:t>
      </w:r>
    </w:p>
    <w:p>
      <w:pPr>
        <w:spacing w:line="480" w:lineRule="auto"/>
        <w:ind w:firstLine="420" w:firstLineChars="200"/>
        <w:rPr>
          <w:szCs w:val="21"/>
        </w:rPr>
      </w:pPr>
      <w:r>
        <w:rPr>
          <w:szCs w:val="21"/>
        </w:rPr>
        <w:t>地址：</w:t>
      </w:r>
    </w:p>
    <w:p>
      <w:pPr>
        <w:spacing w:line="480" w:lineRule="auto"/>
        <w:ind w:firstLine="420" w:firstLineChars="200"/>
        <w:rPr>
          <w:szCs w:val="21"/>
        </w:rPr>
      </w:pPr>
      <w:r>
        <w:rPr>
          <w:szCs w:val="21"/>
        </w:rPr>
        <w:t>成立时间：</w:t>
      </w:r>
      <w:r>
        <w:rPr>
          <w:rFonts w:hint="eastAsia"/>
          <w:szCs w:val="21"/>
          <w:u w:val="single"/>
        </w:rPr>
        <w:t xml:space="preserve">   </w:t>
      </w:r>
      <w:r>
        <w:rPr>
          <w:szCs w:val="21"/>
        </w:rPr>
        <w:t>年</w:t>
      </w:r>
      <w:r>
        <w:rPr>
          <w:rFonts w:hint="eastAsia"/>
          <w:szCs w:val="21"/>
          <w:u w:val="single"/>
        </w:rPr>
        <w:t xml:space="preserve">   </w:t>
      </w:r>
      <w:r>
        <w:rPr>
          <w:szCs w:val="21"/>
        </w:rPr>
        <w:t>月＿日</w:t>
      </w:r>
    </w:p>
    <w:p>
      <w:pPr>
        <w:spacing w:line="480" w:lineRule="auto"/>
        <w:ind w:firstLine="420" w:firstLineChars="200"/>
        <w:rPr>
          <w:szCs w:val="21"/>
        </w:rPr>
      </w:pPr>
      <w:r>
        <w:rPr>
          <w:szCs w:val="21"/>
        </w:rPr>
        <w:t>经营期限：</w:t>
      </w:r>
    </w:p>
    <w:p>
      <w:pPr>
        <w:spacing w:line="480" w:lineRule="auto"/>
        <w:ind w:firstLine="420" w:firstLineChars="200"/>
        <w:rPr>
          <w:rFonts w:hint="eastAsia"/>
          <w:szCs w:val="21"/>
          <w:u w:val="single"/>
          <w:lang w:val="en-US" w:eastAsia="zh-CN"/>
        </w:rPr>
      </w:pPr>
      <w:r>
        <w:rPr>
          <w:szCs w:val="21"/>
        </w:rPr>
        <w:t>姓名：</w:t>
      </w:r>
      <w:r>
        <w:rPr>
          <w:rFonts w:hint="eastAsia"/>
          <w:szCs w:val="21"/>
          <w:u w:val="single"/>
        </w:rPr>
        <w:t xml:space="preserve">     </w:t>
      </w:r>
      <w:r>
        <w:rPr>
          <w:szCs w:val="21"/>
        </w:rPr>
        <w:t>性别：</w:t>
      </w:r>
      <w:r>
        <w:rPr>
          <w:rFonts w:hint="eastAsia"/>
          <w:szCs w:val="21"/>
          <w:u w:val="single"/>
        </w:rPr>
        <w:t xml:space="preserve">     </w:t>
      </w:r>
      <w:r>
        <w:rPr>
          <w:szCs w:val="21"/>
        </w:rPr>
        <w:t>年龄：</w:t>
      </w:r>
      <w:r>
        <w:rPr>
          <w:rFonts w:hint="eastAsia"/>
          <w:szCs w:val="21"/>
          <w:u w:val="single"/>
        </w:rPr>
        <w:t xml:space="preserve">      </w:t>
      </w:r>
      <w:r>
        <w:rPr>
          <w:szCs w:val="21"/>
          <w:u w:val="single"/>
        </w:rPr>
        <w:t>周岁</w:t>
      </w:r>
      <w:r>
        <w:rPr>
          <w:rFonts w:hint="eastAsia"/>
          <w:szCs w:val="21"/>
        </w:rPr>
        <w:t xml:space="preserve"> </w:t>
      </w:r>
      <w:r>
        <w:rPr>
          <w:rFonts w:hint="eastAsia"/>
          <w:szCs w:val="21"/>
          <w:lang w:val="en-US" w:eastAsia="zh-CN"/>
        </w:rPr>
        <w:t xml:space="preserve">      </w:t>
      </w:r>
      <w:r>
        <w:rPr>
          <w:szCs w:val="21"/>
        </w:rPr>
        <w:t>职务：</w:t>
      </w:r>
      <w:r>
        <w:rPr>
          <w:rFonts w:hint="eastAsia"/>
          <w:szCs w:val="21"/>
          <w:u w:val="single"/>
          <w:lang w:val="en-US" w:eastAsia="zh-CN"/>
        </w:rPr>
        <w:t xml:space="preserve">            </w:t>
      </w:r>
    </w:p>
    <w:p>
      <w:pPr>
        <w:spacing w:line="480" w:lineRule="auto"/>
        <w:ind w:firstLine="420" w:firstLineChars="200"/>
        <w:rPr>
          <w:rFonts w:hint="eastAsia"/>
          <w:szCs w:val="21"/>
          <w:u w:val="single"/>
          <w:lang w:val="en-US" w:eastAsia="zh-CN"/>
        </w:rPr>
      </w:pPr>
      <w:r>
        <w:rPr>
          <w:szCs w:val="21"/>
        </w:rPr>
        <w:t>身份证号码：</w:t>
      </w:r>
      <w:r>
        <w:rPr>
          <w:rFonts w:hint="eastAsia"/>
          <w:szCs w:val="21"/>
          <w:u w:val="single"/>
          <w:lang w:val="en-US" w:eastAsia="zh-CN"/>
        </w:rPr>
        <w:t xml:space="preserve">                 </w:t>
      </w:r>
    </w:p>
    <w:p>
      <w:pPr>
        <w:spacing w:line="480" w:lineRule="auto"/>
        <w:ind w:firstLine="420" w:firstLineChars="200"/>
        <w:rPr>
          <w:szCs w:val="21"/>
        </w:rPr>
      </w:pPr>
      <w:r>
        <w:rPr>
          <w:szCs w:val="21"/>
        </w:rPr>
        <w:t>系（供应商名称）的法定代表人。</w:t>
      </w:r>
    </w:p>
    <w:p>
      <w:pPr>
        <w:spacing w:line="480" w:lineRule="auto"/>
        <w:ind w:firstLine="840" w:firstLineChars="400"/>
        <w:rPr>
          <w:szCs w:val="21"/>
        </w:rPr>
      </w:pPr>
      <w:r>
        <w:rPr>
          <w:szCs w:val="21"/>
        </w:rPr>
        <w:t>特此证明。</w:t>
      </w:r>
    </w:p>
    <w:p>
      <w:pPr>
        <w:spacing w:line="360" w:lineRule="auto"/>
        <w:ind w:firstLine="420" w:firstLineChars="200"/>
        <w:rPr>
          <w:szCs w:val="21"/>
        </w:rPr>
      </w:pPr>
    </w:p>
    <w:p>
      <w:pPr>
        <w:spacing w:line="360" w:lineRule="auto"/>
        <w:ind w:firstLine="420" w:firstLineChars="200"/>
        <w:rPr>
          <w:szCs w:val="21"/>
        </w:rPr>
      </w:pPr>
    </w:p>
    <w:p>
      <w:pPr>
        <w:wordWrap w:val="0"/>
        <w:spacing w:line="360" w:lineRule="auto"/>
        <w:ind w:right="420" w:firstLine="3045" w:firstLineChars="1450"/>
        <w:rPr>
          <w:szCs w:val="21"/>
        </w:rPr>
      </w:pPr>
      <w:r>
        <w:rPr>
          <w:rFonts w:hint="eastAsia"/>
          <w:szCs w:val="21"/>
          <w:lang w:val="en-US" w:eastAsia="zh-CN"/>
        </w:rPr>
        <w:t>投标人</w:t>
      </w:r>
      <w:r>
        <w:rPr>
          <w:szCs w:val="21"/>
        </w:rPr>
        <w:t>：（盖单位公章）</w:t>
      </w:r>
    </w:p>
    <w:p>
      <w:pPr>
        <w:spacing w:line="360" w:lineRule="auto"/>
        <w:ind w:firstLine="4515" w:firstLineChars="2150"/>
        <w:rPr>
          <w:szCs w:val="21"/>
          <w:u w:val="single"/>
        </w:rPr>
      </w:pPr>
    </w:p>
    <w:p>
      <w:pPr>
        <w:spacing w:line="360" w:lineRule="auto"/>
        <w:ind w:firstLine="3675" w:firstLineChars="1750"/>
        <w:rPr>
          <w:szCs w:val="21"/>
        </w:rPr>
      </w:pPr>
      <w:r>
        <w:rPr>
          <w:szCs w:val="21"/>
        </w:rPr>
        <w:t>年</w:t>
      </w:r>
      <w:r>
        <w:rPr>
          <w:rFonts w:hint="eastAsia"/>
          <w:szCs w:val="21"/>
        </w:rPr>
        <w:t xml:space="preserve">  </w:t>
      </w:r>
      <w:r>
        <w:rPr>
          <w:szCs w:val="21"/>
        </w:rPr>
        <w:t>月</w:t>
      </w:r>
      <w:r>
        <w:rPr>
          <w:rFonts w:hint="eastAsia"/>
          <w:szCs w:val="21"/>
        </w:rPr>
        <w:t xml:space="preserve">  </w:t>
      </w:r>
      <w:r>
        <w:rPr>
          <w:szCs w:val="21"/>
        </w:rPr>
        <w:t>日</w:t>
      </w:r>
    </w:p>
    <w:p>
      <w:pPr>
        <w:spacing w:line="360" w:lineRule="auto"/>
        <w:ind w:firstLine="3689" w:firstLineChars="1750"/>
        <w:rPr>
          <w:b/>
          <w:szCs w:val="21"/>
        </w:rPr>
      </w:pPr>
    </w:p>
    <w:p>
      <w:pPr>
        <w:spacing w:line="360" w:lineRule="auto"/>
        <w:ind w:firstLine="3689" w:firstLineChars="1750"/>
        <w:rPr>
          <w:b/>
          <w:szCs w:val="21"/>
        </w:rPr>
      </w:pPr>
    </w:p>
    <w:p>
      <w:pPr>
        <w:spacing w:line="360" w:lineRule="auto"/>
        <w:jc w:val="left"/>
        <w:rPr>
          <w:b/>
          <w:szCs w:val="21"/>
        </w:rPr>
      </w:pPr>
      <w:r>
        <w:rPr>
          <w:b/>
          <w:szCs w:val="21"/>
        </w:rPr>
        <w:t>附法定代表人身份证复印件</w:t>
      </w:r>
      <w:r>
        <w:rPr>
          <w:rFonts w:hint="eastAsia"/>
          <w:b/>
          <w:szCs w:val="21"/>
        </w:rPr>
        <w:t>加盖公章</w:t>
      </w:r>
      <w:r>
        <w:rPr>
          <w:b/>
          <w:szCs w:val="21"/>
        </w:rPr>
        <w:t>（正反面）：</w:t>
      </w:r>
    </w:p>
    <w:p/>
    <w:p>
      <w:pPr>
        <w:jc w:val="left"/>
        <w:rPr>
          <w:b/>
          <w:sz w:val="32"/>
          <w:szCs w:val="32"/>
        </w:rPr>
      </w:pPr>
    </w:p>
    <w:p>
      <w:pPr>
        <w:jc w:val="left"/>
        <w:outlineLvl w:val="1"/>
        <w:rPr>
          <w:b/>
          <w:szCs w:val="21"/>
        </w:rPr>
      </w:pPr>
      <w:r>
        <w:rPr>
          <w:szCs w:val="21"/>
        </w:rPr>
        <w:br w:type="page"/>
      </w:r>
      <w:bookmarkStart w:id="322" w:name="_Toc14313"/>
      <w:bookmarkStart w:id="323" w:name="_Toc31513"/>
      <w:bookmarkStart w:id="324" w:name="_Toc28082"/>
      <w:bookmarkStart w:id="325" w:name="_Toc27525"/>
      <w:r>
        <w:rPr>
          <w:b/>
          <w:szCs w:val="21"/>
        </w:rPr>
        <w:t>格式</w:t>
      </w:r>
      <w:r>
        <w:rPr>
          <w:rFonts w:hint="eastAsia"/>
          <w:b/>
          <w:szCs w:val="21"/>
        </w:rPr>
        <w:t>五</w:t>
      </w:r>
      <w:r>
        <w:rPr>
          <w:b/>
          <w:szCs w:val="21"/>
        </w:rPr>
        <w:t>：</w:t>
      </w:r>
      <w:bookmarkEnd w:id="322"/>
      <w:bookmarkEnd w:id="323"/>
      <w:bookmarkEnd w:id="324"/>
      <w:bookmarkEnd w:id="325"/>
    </w:p>
    <w:p>
      <w:pPr>
        <w:pStyle w:val="76"/>
      </w:pPr>
    </w:p>
    <w:p>
      <w:pPr>
        <w:spacing w:line="340" w:lineRule="exact"/>
        <w:jc w:val="center"/>
        <w:rPr>
          <w:b/>
          <w:sz w:val="32"/>
          <w:szCs w:val="32"/>
        </w:rPr>
      </w:pPr>
      <w:r>
        <w:rPr>
          <w:b/>
          <w:sz w:val="32"/>
          <w:szCs w:val="32"/>
        </w:rPr>
        <w:t>法定代表人授权委托书</w:t>
      </w:r>
    </w:p>
    <w:p>
      <w:pPr>
        <w:jc w:val="center"/>
        <w:rPr>
          <w:bCs/>
          <w:sz w:val="24"/>
        </w:rPr>
      </w:pPr>
    </w:p>
    <w:p>
      <w:pPr>
        <w:jc w:val="center"/>
        <w:rPr>
          <w:b/>
          <w:sz w:val="32"/>
          <w:szCs w:val="32"/>
        </w:rPr>
      </w:pPr>
      <w:r>
        <w:rPr>
          <w:bCs/>
          <w:sz w:val="24"/>
        </w:rPr>
        <w:t>（</w:t>
      </w:r>
      <w:r>
        <w:rPr>
          <w:rFonts w:hint="eastAsia"/>
          <w:bCs/>
          <w:sz w:val="24"/>
        </w:rPr>
        <w:t>非法定代表人参与投标</w:t>
      </w:r>
      <w:r>
        <w:rPr>
          <w:bCs/>
          <w:sz w:val="24"/>
        </w:rPr>
        <w:t>用</w:t>
      </w:r>
      <w:r>
        <w:rPr>
          <w:rFonts w:hint="eastAsia"/>
          <w:bCs/>
          <w:sz w:val="24"/>
        </w:rPr>
        <w:t>此表</w:t>
      </w:r>
      <w:r>
        <w:rPr>
          <w:bCs/>
          <w:sz w:val="24"/>
        </w:rPr>
        <w:t>）</w:t>
      </w:r>
    </w:p>
    <w:p>
      <w:pPr>
        <w:snapToGrid w:val="0"/>
        <w:spacing w:line="360" w:lineRule="auto"/>
        <w:rPr>
          <w:bCs/>
          <w:szCs w:val="21"/>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szCs w:val="21"/>
        </w:rPr>
      </w:pPr>
      <w:r>
        <w:rPr>
          <w:bCs/>
          <w:szCs w:val="21"/>
        </w:rPr>
        <w:t>致：</w:t>
      </w:r>
      <w:r>
        <w:rPr>
          <w:szCs w:val="21"/>
        </w:rPr>
        <w:t>（采购单位名称）：</w:t>
      </w:r>
    </w:p>
    <w:p>
      <w:pPr>
        <w:keepNext w:val="0"/>
        <w:keepLines w:val="0"/>
        <w:pageBreakBefore w:val="0"/>
        <w:widowControl w:val="0"/>
        <w:kinsoku/>
        <w:wordWrap/>
        <w:overflowPunct/>
        <w:topLinePunct w:val="0"/>
        <w:autoSpaceDE/>
        <w:autoSpaceDN/>
        <w:bidi w:val="0"/>
        <w:adjustRightInd/>
        <w:snapToGrid w:val="0"/>
        <w:spacing w:line="400" w:lineRule="exact"/>
        <w:ind w:firstLine="525" w:firstLineChars="250"/>
        <w:textAlignment w:val="auto"/>
        <w:rPr>
          <w:szCs w:val="21"/>
          <w:u w:val="single"/>
        </w:rPr>
      </w:pPr>
      <w:r>
        <w:rPr>
          <w:szCs w:val="21"/>
        </w:rPr>
        <w:t>我（姓名）系（供应商名称）的法定代表人，现授权委托本单位在职职工（姓名）以我方的名义参加</w:t>
      </w:r>
      <w:r>
        <w:rPr>
          <w:rFonts w:hint="eastAsia"/>
          <w:szCs w:val="21"/>
          <w:u w:val="single"/>
        </w:rPr>
        <w:t xml:space="preserve">  项目名称、项目编号  </w:t>
      </w:r>
      <w:r>
        <w:rPr>
          <w:szCs w:val="21"/>
        </w:rPr>
        <w:t>的投标活动，并代表我方全权办理针对上述项目的投标、开标、评标、签约等具体事务和签署相关文件。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u w:val="single"/>
        </w:rPr>
      </w:pPr>
      <w:r>
        <w:rPr>
          <w:szCs w:val="21"/>
        </w:rPr>
        <w:t>我方对被授权人的签名事项负全部责任。</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szCs w:val="21"/>
        </w:rPr>
      </w:pPr>
      <w:r>
        <w:rPr>
          <w:szCs w:val="21"/>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line="400" w:lineRule="exact"/>
        <w:ind w:firstLine="480"/>
        <w:textAlignment w:val="auto"/>
        <w:rPr>
          <w:szCs w:val="21"/>
        </w:rPr>
      </w:pPr>
      <w:r>
        <w:rPr>
          <w:szCs w:val="21"/>
        </w:rPr>
        <w:t>被授权人无转委托权，特此委托。</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szCs w:val="21"/>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szCs w:val="21"/>
        </w:r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szCs w:val="21"/>
          <w:u w:val="single"/>
        </w:rPr>
      </w:pPr>
      <w:r>
        <w:rPr>
          <w:szCs w:val="21"/>
        </w:rPr>
        <w:t>被授权人签名：</w:t>
      </w:r>
      <w:r>
        <w:rPr>
          <w:rFonts w:hint="eastAsia"/>
          <w:szCs w:val="21"/>
        </w:rPr>
        <w:t xml:space="preserve">                         </w:t>
      </w:r>
      <w:r>
        <w:rPr>
          <w:szCs w:val="21"/>
        </w:rPr>
        <w:t>法定代表人签名</w:t>
      </w:r>
      <w:r>
        <w:rPr>
          <w:rFonts w:hint="eastAsia"/>
          <w:szCs w:val="21"/>
        </w:rPr>
        <w:t>或盖章</w:t>
      </w:r>
      <w:r>
        <w:rPr>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840" w:firstLineChars="400"/>
        <w:textAlignment w:val="auto"/>
        <w:rPr>
          <w:szCs w:val="21"/>
        </w:rPr>
      </w:pPr>
      <w:r>
        <w:rPr>
          <w:szCs w:val="21"/>
        </w:rPr>
        <w:t>职务：</w:t>
      </w:r>
      <w:r>
        <w:rPr>
          <w:rFonts w:hint="eastAsia"/>
          <w:szCs w:val="21"/>
        </w:rPr>
        <w:t xml:space="preserve">                                         </w:t>
      </w:r>
      <w:r>
        <w:rPr>
          <w:szCs w:val="21"/>
        </w:rPr>
        <w:t>职务：</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szCs w:val="21"/>
        </w:rPr>
      </w:pPr>
      <w:r>
        <w:rPr>
          <w:szCs w:val="21"/>
        </w:rPr>
        <w:t>被授权人身份证号码：</w:t>
      </w:r>
    </w:p>
    <w:p>
      <w:pPr>
        <w:keepNext w:val="0"/>
        <w:keepLines w:val="0"/>
        <w:pageBreakBefore w:val="0"/>
        <w:widowControl w:val="0"/>
        <w:kinsoku/>
        <w:wordWrap/>
        <w:overflowPunct/>
        <w:topLinePunct w:val="0"/>
        <w:autoSpaceDE/>
        <w:autoSpaceDN/>
        <w:bidi w:val="0"/>
        <w:adjustRightInd/>
        <w:snapToGrid w:val="0"/>
        <w:spacing w:line="400" w:lineRule="exact"/>
        <w:ind w:firstLine="4830" w:firstLineChars="2300"/>
        <w:textAlignment w:val="auto"/>
        <w:rPr>
          <w:szCs w:val="21"/>
        </w:rPr>
      </w:pPr>
    </w:p>
    <w:p>
      <w:pPr>
        <w:keepNext w:val="0"/>
        <w:keepLines w:val="0"/>
        <w:pageBreakBefore w:val="0"/>
        <w:widowControl w:val="0"/>
        <w:kinsoku/>
        <w:wordWrap/>
        <w:overflowPunct/>
        <w:topLinePunct w:val="0"/>
        <w:autoSpaceDE/>
        <w:autoSpaceDN/>
        <w:bidi w:val="0"/>
        <w:adjustRightInd/>
        <w:snapToGrid w:val="0"/>
        <w:spacing w:line="400" w:lineRule="exact"/>
        <w:ind w:firstLine="4830" w:firstLineChars="2300"/>
        <w:textAlignment w:val="auto"/>
        <w:rPr>
          <w:szCs w:val="21"/>
        </w:rPr>
      </w:pPr>
      <w:r>
        <w:rPr>
          <w:rFonts w:hint="eastAsia"/>
          <w:szCs w:val="21"/>
          <w:lang w:val="en-US" w:eastAsia="zh-CN"/>
        </w:rPr>
        <w:t>投标人</w:t>
      </w:r>
      <w:r>
        <w:rPr>
          <w:szCs w:val="21"/>
        </w:rPr>
        <w:t>公章：</w:t>
      </w:r>
    </w:p>
    <w:p>
      <w:pPr>
        <w:keepNext w:val="0"/>
        <w:keepLines w:val="0"/>
        <w:pageBreakBefore w:val="0"/>
        <w:widowControl w:val="0"/>
        <w:kinsoku/>
        <w:wordWrap/>
        <w:overflowPunct/>
        <w:topLinePunct w:val="0"/>
        <w:autoSpaceDE/>
        <w:autoSpaceDN/>
        <w:bidi w:val="0"/>
        <w:adjustRightInd/>
        <w:snapToGrid w:val="0"/>
        <w:spacing w:line="400" w:lineRule="exact"/>
        <w:ind w:firstLine="4830" w:firstLineChars="2300"/>
        <w:textAlignment w:val="auto"/>
        <w:rPr>
          <w:szCs w:val="21"/>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szCs w:val="21"/>
        </w:rPr>
      </w:pP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pPr>
        <w:pStyle w:val="76"/>
        <w:keepNext w:val="0"/>
        <w:keepLines w:val="0"/>
        <w:pageBreakBefore w:val="0"/>
        <w:widowControl w:val="0"/>
        <w:kinsoku/>
        <w:wordWrap/>
        <w:overflowPunct/>
        <w:topLinePunct w:val="0"/>
        <w:autoSpaceDE/>
        <w:autoSpaceDN/>
        <w:bidi w:val="0"/>
        <w:adjustRightInd/>
        <w:spacing w:line="400" w:lineRule="exact"/>
        <w:textAlignment w:val="auto"/>
        <w:rPr>
          <w:szCs w:val="21"/>
        </w:rPr>
      </w:pPr>
    </w:p>
    <w:p>
      <w:pPr>
        <w:pStyle w:val="76"/>
        <w:keepNext w:val="0"/>
        <w:keepLines w:val="0"/>
        <w:pageBreakBefore w:val="0"/>
        <w:widowControl w:val="0"/>
        <w:kinsoku/>
        <w:wordWrap/>
        <w:overflowPunct/>
        <w:topLinePunct w:val="0"/>
        <w:autoSpaceDE/>
        <w:autoSpaceDN/>
        <w:bidi w:val="0"/>
        <w:adjustRightInd/>
        <w:spacing w:line="400" w:lineRule="exact"/>
        <w:textAlignment w:val="auto"/>
        <w:rPr>
          <w:szCs w:val="21"/>
        </w:rPr>
      </w:pPr>
    </w:p>
    <w:p>
      <w:pPr>
        <w:keepNext w:val="0"/>
        <w:keepLines w:val="0"/>
        <w:pageBreakBefore w:val="0"/>
        <w:widowControl w:val="0"/>
        <w:kinsoku/>
        <w:wordWrap/>
        <w:overflowPunct/>
        <w:topLinePunct w:val="0"/>
        <w:autoSpaceDE/>
        <w:autoSpaceDN/>
        <w:bidi w:val="0"/>
        <w:adjustRightInd/>
        <w:spacing w:line="400" w:lineRule="exact"/>
        <w:ind w:firstLine="103" w:firstLineChars="49"/>
        <w:textAlignment w:val="auto"/>
        <w:rPr>
          <w:b/>
          <w:szCs w:val="21"/>
        </w:rPr>
      </w:pPr>
      <w:r>
        <w:rPr>
          <w:b/>
          <w:szCs w:val="21"/>
        </w:rPr>
        <w:t>附：</w:t>
      </w:r>
      <w:r>
        <w:rPr>
          <w:rFonts w:hint="eastAsia"/>
          <w:b/>
          <w:szCs w:val="21"/>
        </w:rPr>
        <w:t>法定代表人、被授权人</w:t>
      </w:r>
      <w:r>
        <w:rPr>
          <w:b/>
          <w:szCs w:val="21"/>
        </w:rPr>
        <w:t>身份证复印件</w:t>
      </w:r>
      <w:r>
        <w:rPr>
          <w:rFonts w:hint="eastAsia"/>
          <w:b/>
          <w:szCs w:val="21"/>
        </w:rPr>
        <w:t>加盖公章</w:t>
      </w:r>
      <w:r>
        <w:rPr>
          <w:b/>
          <w:szCs w:val="21"/>
        </w:rPr>
        <w:t>（正反面）</w:t>
      </w:r>
    </w:p>
    <w:p>
      <w:pPr>
        <w:widowControl/>
        <w:jc w:val="left"/>
        <w:rPr>
          <w:b/>
          <w:szCs w:val="21"/>
        </w:rPr>
      </w:pPr>
      <w:r>
        <w:rPr>
          <w:b/>
          <w:szCs w:val="21"/>
        </w:rPr>
        <w:br w:type="page"/>
      </w:r>
    </w:p>
    <w:p>
      <w:pPr>
        <w:outlineLvl w:val="1"/>
      </w:pPr>
      <w:bookmarkStart w:id="326" w:name="_Toc22094"/>
      <w:bookmarkStart w:id="327" w:name="_Toc11578"/>
      <w:bookmarkStart w:id="328" w:name="_Toc8242"/>
      <w:bookmarkStart w:id="329" w:name="_Toc5007"/>
      <w:r>
        <w:rPr>
          <w:b/>
          <w:szCs w:val="21"/>
        </w:rPr>
        <w:t>格式</w:t>
      </w:r>
      <w:r>
        <w:rPr>
          <w:rFonts w:hint="eastAsia"/>
          <w:b/>
          <w:szCs w:val="21"/>
        </w:rPr>
        <w:t>六</w:t>
      </w:r>
      <w:r>
        <w:rPr>
          <w:b/>
          <w:szCs w:val="21"/>
        </w:rPr>
        <w:t>：</w:t>
      </w:r>
      <w:bookmarkEnd w:id="326"/>
      <w:bookmarkEnd w:id="327"/>
      <w:bookmarkEnd w:id="328"/>
      <w:bookmarkEnd w:id="329"/>
    </w:p>
    <w:p>
      <w:pPr>
        <w:spacing w:line="360" w:lineRule="auto"/>
        <w:jc w:val="center"/>
        <w:rPr>
          <w:b/>
          <w:sz w:val="32"/>
          <w:szCs w:val="32"/>
        </w:rPr>
      </w:pPr>
      <w:bookmarkStart w:id="330" w:name="_Toc110393361"/>
      <w:bookmarkStart w:id="331" w:name="_Toc479927873"/>
      <w:bookmarkStart w:id="332" w:name="_Toc225223761"/>
      <w:bookmarkStart w:id="333" w:name="_Toc14746861"/>
      <w:bookmarkStart w:id="334" w:name="_Toc483379796"/>
      <w:bookmarkStart w:id="335" w:name="_Toc488936100"/>
      <w:r>
        <w:rPr>
          <w:b/>
          <w:sz w:val="32"/>
          <w:szCs w:val="32"/>
        </w:rPr>
        <w:t>投标人基本情况说明</w:t>
      </w:r>
      <w:bookmarkEnd w:id="330"/>
      <w:bookmarkEnd w:id="331"/>
      <w:bookmarkEnd w:id="332"/>
      <w:bookmarkEnd w:id="333"/>
      <w:bookmarkEnd w:id="334"/>
      <w:bookmarkEnd w:id="335"/>
    </w:p>
    <w:tbl>
      <w:tblPr>
        <w:tblStyle w:val="40"/>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单位名称</w:t>
            </w:r>
          </w:p>
        </w:tc>
        <w:tc>
          <w:tcPr>
            <w:tcW w:w="3675" w:type="dxa"/>
            <w:gridSpan w:val="3"/>
            <w:vAlign w:val="center"/>
          </w:tcPr>
          <w:p>
            <w:pPr>
              <w:spacing w:line="360" w:lineRule="auto"/>
              <w:jc w:val="center"/>
              <w:rPr>
                <w:szCs w:val="21"/>
              </w:rPr>
            </w:pPr>
          </w:p>
        </w:tc>
        <w:tc>
          <w:tcPr>
            <w:tcW w:w="1785" w:type="dxa"/>
            <w:vAlign w:val="center"/>
          </w:tcPr>
          <w:p>
            <w:pPr>
              <w:spacing w:line="360" w:lineRule="auto"/>
              <w:jc w:val="center"/>
              <w:rPr>
                <w:szCs w:val="21"/>
              </w:rPr>
            </w:pPr>
            <w:r>
              <w:rPr>
                <w:szCs w:val="21"/>
              </w:rPr>
              <w:t>组织机构代码</w:t>
            </w:r>
          </w:p>
        </w:tc>
        <w:tc>
          <w:tcPr>
            <w:tcW w:w="22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注册地址</w:t>
            </w:r>
          </w:p>
        </w:tc>
        <w:tc>
          <w:tcPr>
            <w:tcW w:w="3675" w:type="dxa"/>
            <w:gridSpan w:val="3"/>
            <w:vAlign w:val="center"/>
          </w:tcPr>
          <w:p>
            <w:pPr>
              <w:spacing w:line="360" w:lineRule="auto"/>
              <w:jc w:val="center"/>
              <w:rPr>
                <w:szCs w:val="21"/>
              </w:rPr>
            </w:pPr>
          </w:p>
        </w:tc>
        <w:tc>
          <w:tcPr>
            <w:tcW w:w="1785" w:type="dxa"/>
            <w:vAlign w:val="center"/>
          </w:tcPr>
          <w:p>
            <w:pPr>
              <w:spacing w:line="360" w:lineRule="auto"/>
              <w:jc w:val="center"/>
              <w:rPr>
                <w:szCs w:val="21"/>
              </w:rPr>
            </w:pPr>
            <w:r>
              <w:rPr>
                <w:szCs w:val="21"/>
              </w:rPr>
              <w:t>注册登记号</w:t>
            </w:r>
          </w:p>
        </w:tc>
        <w:tc>
          <w:tcPr>
            <w:tcW w:w="22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经营地址</w:t>
            </w:r>
          </w:p>
        </w:tc>
        <w:tc>
          <w:tcPr>
            <w:tcW w:w="3675" w:type="dxa"/>
            <w:gridSpan w:val="3"/>
            <w:vAlign w:val="center"/>
          </w:tcPr>
          <w:p>
            <w:pPr>
              <w:spacing w:line="360" w:lineRule="auto"/>
              <w:jc w:val="center"/>
              <w:rPr>
                <w:szCs w:val="21"/>
              </w:rPr>
            </w:pPr>
          </w:p>
        </w:tc>
        <w:tc>
          <w:tcPr>
            <w:tcW w:w="1785" w:type="dxa"/>
            <w:vAlign w:val="center"/>
          </w:tcPr>
          <w:p>
            <w:pPr>
              <w:spacing w:line="360" w:lineRule="auto"/>
              <w:jc w:val="center"/>
              <w:rPr>
                <w:spacing w:val="30"/>
                <w:szCs w:val="21"/>
              </w:rPr>
            </w:pPr>
            <w:r>
              <w:rPr>
                <w:szCs w:val="21"/>
              </w:rPr>
              <w:t>税务登记证号</w:t>
            </w:r>
          </w:p>
        </w:tc>
        <w:tc>
          <w:tcPr>
            <w:tcW w:w="22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单位性质</w:t>
            </w:r>
          </w:p>
        </w:tc>
        <w:tc>
          <w:tcPr>
            <w:tcW w:w="3675" w:type="dxa"/>
            <w:gridSpan w:val="3"/>
            <w:vAlign w:val="center"/>
          </w:tcPr>
          <w:p>
            <w:pPr>
              <w:pStyle w:val="185"/>
              <w:widowControl w:val="0"/>
              <w:spacing w:before="0" w:beforeAutospacing="0" w:after="0" w:afterAutospacing="0" w:line="360" w:lineRule="auto"/>
              <w:ind w:left="1320" w:firstLine="420"/>
              <w:rPr>
                <w:rFonts w:ascii="Times New Roman" w:hAnsi="Times New Roman" w:eastAsia="宋体"/>
                <w:kern w:val="2"/>
                <w:sz w:val="21"/>
                <w:szCs w:val="21"/>
              </w:rPr>
            </w:pPr>
          </w:p>
        </w:tc>
        <w:tc>
          <w:tcPr>
            <w:tcW w:w="1785" w:type="dxa"/>
            <w:vAlign w:val="center"/>
          </w:tcPr>
          <w:p>
            <w:pPr>
              <w:spacing w:line="360" w:lineRule="auto"/>
              <w:jc w:val="center"/>
              <w:rPr>
                <w:spacing w:val="34"/>
                <w:szCs w:val="21"/>
              </w:rPr>
            </w:pPr>
            <w:r>
              <w:rPr>
                <w:spacing w:val="34"/>
                <w:szCs w:val="21"/>
              </w:rPr>
              <w:t>注册资本</w:t>
            </w:r>
          </w:p>
        </w:tc>
        <w:tc>
          <w:tcPr>
            <w:tcW w:w="22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经营范围</w:t>
            </w:r>
          </w:p>
        </w:tc>
        <w:tc>
          <w:tcPr>
            <w:tcW w:w="3675" w:type="dxa"/>
            <w:gridSpan w:val="3"/>
            <w:vAlign w:val="center"/>
          </w:tcPr>
          <w:p>
            <w:pPr>
              <w:spacing w:line="360" w:lineRule="auto"/>
              <w:jc w:val="center"/>
              <w:rPr>
                <w:szCs w:val="21"/>
              </w:rPr>
            </w:pPr>
          </w:p>
        </w:tc>
        <w:tc>
          <w:tcPr>
            <w:tcW w:w="1785" w:type="dxa"/>
            <w:vAlign w:val="center"/>
          </w:tcPr>
          <w:p>
            <w:pPr>
              <w:spacing w:line="360" w:lineRule="auto"/>
              <w:jc w:val="center"/>
              <w:rPr>
                <w:szCs w:val="21"/>
              </w:rPr>
            </w:pPr>
            <w:r>
              <w:rPr>
                <w:szCs w:val="21"/>
              </w:rPr>
              <w:t>营业期限</w:t>
            </w:r>
          </w:p>
        </w:tc>
        <w:tc>
          <w:tcPr>
            <w:tcW w:w="2234" w:type="dxa"/>
            <w:vAlign w:val="center"/>
          </w:tcPr>
          <w:p>
            <w:pPr>
              <w:spacing w:line="360" w:lineRule="auto"/>
              <w:jc w:val="center"/>
              <w:rPr>
                <w:szCs w:val="21"/>
              </w:rPr>
            </w:pPr>
            <w:r>
              <w:rPr>
                <w:szCs w:val="21"/>
              </w:rPr>
              <w:t>年月-  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资质情况</w:t>
            </w:r>
          </w:p>
        </w:tc>
        <w:tc>
          <w:tcPr>
            <w:tcW w:w="7694" w:type="dxa"/>
            <w:gridSpan w:val="5"/>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员工数量</w:t>
            </w:r>
          </w:p>
        </w:tc>
        <w:tc>
          <w:tcPr>
            <w:tcW w:w="7694" w:type="dxa"/>
            <w:gridSpan w:val="5"/>
            <w:vAlign w:val="center"/>
          </w:tcPr>
          <w:p>
            <w:pPr>
              <w:spacing w:line="360" w:lineRule="auto"/>
              <w:rPr>
                <w:szCs w:val="21"/>
              </w:rPr>
            </w:pPr>
            <w:r>
              <w:rPr>
                <w:szCs w:val="21"/>
              </w:rPr>
              <w:t>共</w:t>
            </w:r>
            <w:r>
              <w:rPr>
                <w:rFonts w:hint="eastAsia"/>
                <w:szCs w:val="21"/>
                <w:u w:val="single"/>
                <w:lang w:val="en-US" w:eastAsia="zh-CN"/>
              </w:rPr>
              <w:t xml:space="preserve">  </w:t>
            </w:r>
            <w:r>
              <w:rPr>
                <w:szCs w:val="21"/>
              </w:rPr>
              <w:t>人，其中，高级职称</w:t>
            </w:r>
            <w:r>
              <w:rPr>
                <w:rFonts w:hint="eastAsia"/>
                <w:szCs w:val="21"/>
                <w:u w:val="single"/>
                <w:lang w:val="en-US" w:eastAsia="zh-CN"/>
              </w:rPr>
              <w:t xml:space="preserve">  </w:t>
            </w:r>
            <w:r>
              <w:rPr>
                <w:szCs w:val="21"/>
              </w:rPr>
              <w:t>人，中级职称</w:t>
            </w:r>
            <w:r>
              <w:rPr>
                <w:rFonts w:hint="eastAsia"/>
                <w:szCs w:val="21"/>
                <w:u w:val="single"/>
                <w:lang w:val="en-US" w:eastAsia="zh-CN"/>
              </w:rPr>
              <w:t xml:space="preserve">  </w:t>
            </w:r>
            <w:r>
              <w:rPr>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联系电话</w:t>
            </w:r>
          </w:p>
        </w:tc>
        <w:tc>
          <w:tcPr>
            <w:tcW w:w="3675" w:type="dxa"/>
            <w:gridSpan w:val="3"/>
            <w:vAlign w:val="center"/>
          </w:tcPr>
          <w:p>
            <w:pPr>
              <w:spacing w:line="360" w:lineRule="auto"/>
              <w:jc w:val="center"/>
              <w:rPr>
                <w:szCs w:val="21"/>
              </w:rPr>
            </w:pPr>
          </w:p>
        </w:tc>
        <w:tc>
          <w:tcPr>
            <w:tcW w:w="1785" w:type="dxa"/>
            <w:vAlign w:val="center"/>
          </w:tcPr>
          <w:p>
            <w:pPr>
              <w:spacing w:line="360" w:lineRule="auto"/>
              <w:jc w:val="center"/>
              <w:rPr>
                <w:szCs w:val="21"/>
              </w:rPr>
            </w:pPr>
            <w:r>
              <w:rPr>
                <w:szCs w:val="21"/>
              </w:rPr>
              <w:t>传真</w:t>
            </w:r>
          </w:p>
        </w:tc>
        <w:tc>
          <w:tcPr>
            <w:tcW w:w="22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70" w:type="dxa"/>
            <w:vAlign w:val="center"/>
          </w:tcPr>
          <w:p>
            <w:pPr>
              <w:spacing w:line="360" w:lineRule="auto"/>
              <w:jc w:val="center"/>
              <w:rPr>
                <w:szCs w:val="21"/>
              </w:rPr>
            </w:pPr>
            <w:r>
              <w:rPr>
                <w:szCs w:val="21"/>
              </w:rPr>
              <w:t>主要业绩</w:t>
            </w:r>
          </w:p>
        </w:tc>
        <w:tc>
          <w:tcPr>
            <w:tcW w:w="7694" w:type="dxa"/>
            <w:gridSpan w:val="5"/>
            <w:vAlign w:val="center"/>
          </w:tcPr>
          <w:p>
            <w:pPr>
              <w:spacing w:line="360" w:lineRule="auto"/>
              <w:rPr>
                <w:szCs w:val="21"/>
              </w:rPr>
            </w:pPr>
          </w:p>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4" w:type="dxa"/>
            <w:gridSpan w:val="6"/>
            <w:vAlign w:val="center"/>
          </w:tcPr>
          <w:p>
            <w:pPr>
              <w:spacing w:line="360" w:lineRule="auto"/>
              <w:jc w:val="center"/>
              <w:rPr>
                <w:szCs w:val="21"/>
              </w:rPr>
            </w:pPr>
            <w:r>
              <w:rPr>
                <w:szCs w:val="21"/>
              </w:rPr>
              <w:t>法定代表人基本情况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姓名</w:t>
            </w:r>
          </w:p>
        </w:tc>
        <w:tc>
          <w:tcPr>
            <w:tcW w:w="3675" w:type="dxa"/>
            <w:gridSpan w:val="3"/>
            <w:vAlign w:val="center"/>
          </w:tcPr>
          <w:p>
            <w:pPr>
              <w:spacing w:line="360" w:lineRule="auto"/>
              <w:jc w:val="center"/>
              <w:rPr>
                <w:szCs w:val="21"/>
              </w:rPr>
            </w:pPr>
          </w:p>
        </w:tc>
        <w:tc>
          <w:tcPr>
            <w:tcW w:w="1785" w:type="dxa"/>
            <w:vAlign w:val="center"/>
          </w:tcPr>
          <w:p>
            <w:pPr>
              <w:spacing w:line="360" w:lineRule="auto"/>
              <w:jc w:val="center"/>
              <w:rPr>
                <w:szCs w:val="21"/>
              </w:rPr>
            </w:pPr>
            <w:r>
              <w:rPr>
                <w:szCs w:val="21"/>
              </w:rPr>
              <w:t>身份证号码</w:t>
            </w:r>
          </w:p>
        </w:tc>
        <w:tc>
          <w:tcPr>
            <w:tcW w:w="22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0" w:type="dxa"/>
            <w:vAlign w:val="center"/>
          </w:tcPr>
          <w:p>
            <w:pPr>
              <w:spacing w:line="360" w:lineRule="auto"/>
              <w:jc w:val="center"/>
              <w:rPr>
                <w:szCs w:val="21"/>
              </w:rPr>
            </w:pPr>
            <w:r>
              <w:rPr>
                <w:szCs w:val="21"/>
              </w:rPr>
              <w:t>职务</w:t>
            </w:r>
          </w:p>
        </w:tc>
        <w:tc>
          <w:tcPr>
            <w:tcW w:w="1680" w:type="dxa"/>
            <w:vAlign w:val="center"/>
          </w:tcPr>
          <w:p>
            <w:pPr>
              <w:spacing w:line="360" w:lineRule="auto"/>
              <w:jc w:val="center"/>
              <w:rPr>
                <w:szCs w:val="21"/>
              </w:rPr>
            </w:pPr>
          </w:p>
        </w:tc>
        <w:tc>
          <w:tcPr>
            <w:tcW w:w="1050" w:type="dxa"/>
            <w:vAlign w:val="center"/>
          </w:tcPr>
          <w:p>
            <w:pPr>
              <w:spacing w:line="360" w:lineRule="auto"/>
              <w:jc w:val="center"/>
              <w:rPr>
                <w:szCs w:val="21"/>
              </w:rPr>
            </w:pPr>
            <w:r>
              <w:rPr>
                <w:szCs w:val="21"/>
              </w:rPr>
              <w:t>职称</w:t>
            </w:r>
          </w:p>
        </w:tc>
        <w:tc>
          <w:tcPr>
            <w:tcW w:w="945" w:type="dxa"/>
            <w:vAlign w:val="center"/>
          </w:tcPr>
          <w:p>
            <w:pPr>
              <w:spacing w:line="360" w:lineRule="auto"/>
              <w:jc w:val="center"/>
              <w:rPr>
                <w:szCs w:val="21"/>
              </w:rPr>
            </w:pPr>
          </w:p>
        </w:tc>
        <w:tc>
          <w:tcPr>
            <w:tcW w:w="1785" w:type="dxa"/>
            <w:vAlign w:val="center"/>
          </w:tcPr>
          <w:p>
            <w:pPr>
              <w:spacing w:line="360" w:lineRule="auto"/>
              <w:jc w:val="center"/>
              <w:rPr>
                <w:szCs w:val="21"/>
              </w:rPr>
            </w:pPr>
            <w:r>
              <w:rPr>
                <w:szCs w:val="21"/>
              </w:rPr>
              <w:t>学历</w:t>
            </w:r>
          </w:p>
        </w:tc>
        <w:tc>
          <w:tcPr>
            <w:tcW w:w="2234" w:type="dxa"/>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164" w:type="dxa"/>
            <w:gridSpan w:val="6"/>
          </w:tcPr>
          <w:p>
            <w:pPr>
              <w:spacing w:line="360" w:lineRule="auto"/>
              <w:rPr>
                <w:szCs w:val="21"/>
              </w:rPr>
            </w:pPr>
            <w:r>
              <w:rPr>
                <w:szCs w:val="21"/>
              </w:rPr>
              <w:t>备注</w:t>
            </w:r>
            <w:r>
              <w:rPr>
                <w:rFonts w:hint="eastAsia"/>
                <w:szCs w:val="21"/>
              </w:rPr>
              <w:t>：</w:t>
            </w:r>
          </w:p>
        </w:tc>
      </w:tr>
    </w:tbl>
    <w:p>
      <w:pPr>
        <w:spacing w:line="360" w:lineRule="auto"/>
        <w:rPr>
          <w:b/>
          <w:szCs w:val="21"/>
        </w:rPr>
      </w:pPr>
      <w:r>
        <w:rPr>
          <w:b/>
          <w:szCs w:val="21"/>
        </w:rPr>
        <w:t>兹证明上述声明是真实、正确的，并提供了全部能提供的资料和数据，我们同意遵照贵方要求出示有关证明文件。</w:t>
      </w:r>
    </w:p>
    <w:p>
      <w:pPr>
        <w:spacing w:line="360" w:lineRule="auto"/>
        <w:rPr>
          <w:b/>
        </w:rPr>
      </w:pPr>
    </w:p>
    <w:p/>
    <w:p>
      <w:pPr>
        <w:widowControl/>
        <w:spacing w:line="360" w:lineRule="auto"/>
        <w:ind w:firstLine="4620" w:firstLineChars="2200"/>
        <w:jc w:val="left"/>
        <w:rPr>
          <w:sz w:val="21"/>
          <w:szCs w:val="21"/>
        </w:rPr>
      </w:pPr>
      <w:r>
        <w:rPr>
          <w:sz w:val="21"/>
          <w:szCs w:val="21"/>
        </w:rPr>
        <w:t>投标人（盖章）：</w:t>
      </w:r>
    </w:p>
    <w:p>
      <w:pPr>
        <w:pStyle w:val="17"/>
        <w:widowControl/>
        <w:spacing w:line="360" w:lineRule="auto"/>
        <w:ind w:firstLine="4708" w:firstLineChars="2242"/>
        <w:jc w:val="left"/>
        <w:rPr>
          <w:rFonts w:ascii="Times New Roman"/>
          <w:spacing w:val="0"/>
          <w:sz w:val="21"/>
          <w:szCs w:val="21"/>
        </w:rPr>
      </w:pPr>
      <w:r>
        <w:rPr>
          <w:rFonts w:ascii="Times New Roman"/>
          <w:spacing w:val="0"/>
          <w:sz w:val="21"/>
          <w:szCs w:val="21"/>
        </w:rPr>
        <w:t>日</w:t>
      </w:r>
      <w:r>
        <w:rPr>
          <w:rFonts w:hint="eastAsia" w:ascii="Times New Roman"/>
          <w:spacing w:val="0"/>
          <w:sz w:val="21"/>
          <w:szCs w:val="21"/>
        </w:rPr>
        <w:t xml:space="preserve">   </w:t>
      </w:r>
      <w:r>
        <w:rPr>
          <w:rFonts w:ascii="Times New Roman"/>
          <w:spacing w:val="0"/>
          <w:sz w:val="21"/>
          <w:szCs w:val="21"/>
        </w:rPr>
        <w:t>期：</w:t>
      </w:r>
    </w:p>
    <w:p/>
    <w:p>
      <w:pPr>
        <w:spacing w:line="360" w:lineRule="auto"/>
        <w:ind w:firstLine="103" w:firstLineChars="49"/>
        <w:rPr>
          <w:b/>
          <w:szCs w:val="21"/>
        </w:rPr>
      </w:pPr>
    </w:p>
    <w:p>
      <w:pPr>
        <w:snapToGrid w:val="0"/>
        <w:spacing w:line="360" w:lineRule="auto"/>
        <w:rPr>
          <w:szCs w:val="21"/>
        </w:rPr>
      </w:pPr>
    </w:p>
    <w:p>
      <w:pPr>
        <w:spacing w:line="360" w:lineRule="auto"/>
        <w:rPr>
          <w:sz w:val="24"/>
          <w:szCs w:val="21"/>
        </w:rPr>
        <w:sectPr>
          <w:footerReference r:id="rId11" w:type="default"/>
          <w:pgSz w:w="11907" w:h="16840"/>
          <w:pgMar w:top="1276" w:right="1474" w:bottom="567" w:left="1474" w:header="720" w:footer="720" w:gutter="0"/>
          <w:pgNumType w:fmt="decimal"/>
          <w:cols w:space="720" w:num="1"/>
          <w:docGrid w:linePitch="285" w:charSpace="0"/>
        </w:sectPr>
      </w:pPr>
    </w:p>
    <w:p>
      <w:pPr>
        <w:pStyle w:val="17"/>
        <w:spacing w:line="400" w:lineRule="exact"/>
        <w:ind w:left="0" w:leftChars="0" w:firstLine="0" w:firstLineChars="0"/>
        <w:jc w:val="left"/>
        <w:outlineLvl w:val="1"/>
        <w:rPr>
          <w:rFonts w:ascii="Times New Roman"/>
          <w:b/>
          <w:sz w:val="21"/>
          <w:szCs w:val="21"/>
        </w:rPr>
      </w:pPr>
      <w:bookmarkStart w:id="336" w:name="_Toc4362"/>
      <w:bookmarkStart w:id="337" w:name="_Toc7051"/>
      <w:bookmarkStart w:id="338" w:name="_Toc4983"/>
      <w:bookmarkStart w:id="339" w:name="_Toc5979"/>
      <w:r>
        <w:rPr>
          <w:rFonts w:ascii="Times New Roman"/>
          <w:b/>
          <w:sz w:val="21"/>
          <w:szCs w:val="21"/>
        </w:rPr>
        <w:t>格式</w:t>
      </w:r>
      <w:r>
        <w:rPr>
          <w:rFonts w:hint="eastAsia" w:ascii="Times New Roman"/>
          <w:b/>
          <w:sz w:val="21"/>
          <w:szCs w:val="21"/>
        </w:rPr>
        <w:t>七</w:t>
      </w:r>
      <w:r>
        <w:rPr>
          <w:rFonts w:ascii="Times New Roman"/>
          <w:b/>
          <w:sz w:val="21"/>
          <w:szCs w:val="21"/>
        </w:rPr>
        <w:t>：</w:t>
      </w:r>
      <w:bookmarkEnd w:id="336"/>
      <w:bookmarkEnd w:id="337"/>
      <w:bookmarkEnd w:id="338"/>
      <w:bookmarkEnd w:id="339"/>
    </w:p>
    <w:p>
      <w:pPr>
        <w:spacing w:before="120" w:after="120"/>
        <w:jc w:val="center"/>
        <w:rPr>
          <w:b/>
          <w:bCs/>
          <w:spacing w:val="20"/>
          <w:sz w:val="32"/>
          <w:szCs w:val="32"/>
        </w:rPr>
      </w:pPr>
      <w:r>
        <w:rPr>
          <w:b/>
          <w:bCs/>
          <w:spacing w:val="20"/>
          <w:sz w:val="32"/>
          <w:szCs w:val="32"/>
        </w:rPr>
        <w:t>类似项目业绩表</w:t>
      </w:r>
    </w:p>
    <w:p>
      <w:pPr>
        <w:rPr>
          <w:rFonts w:eastAsia="华文细黑"/>
          <w:sz w:val="28"/>
        </w:rPr>
      </w:pPr>
    </w:p>
    <w:p>
      <w:pPr>
        <w:spacing w:line="360" w:lineRule="auto"/>
        <w:rPr>
          <w:szCs w:val="21"/>
        </w:rPr>
      </w:pPr>
      <w:r>
        <w:rPr>
          <w:szCs w:val="21"/>
        </w:rPr>
        <w:t>项目名称：</w:t>
      </w:r>
      <w:r>
        <w:rPr>
          <w:szCs w:val="21"/>
          <w:u w:val="single"/>
        </w:rPr>
        <w:t xml:space="preserve">              </w:t>
      </w:r>
      <w:r>
        <w:rPr>
          <w:szCs w:val="21"/>
        </w:rPr>
        <w:t xml:space="preserve"> 招标编号：</w:t>
      </w:r>
      <w:r>
        <w:rPr>
          <w:szCs w:val="21"/>
          <w:u w:val="single"/>
        </w:rPr>
        <w:t xml:space="preserve">             </w:t>
      </w:r>
      <w:r>
        <w:rPr>
          <w:szCs w:val="21"/>
        </w:rPr>
        <w:t xml:space="preserve"> </w:t>
      </w:r>
    </w:p>
    <w:tbl>
      <w:tblPr>
        <w:tblStyle w:val="40"/>
        <w:tblW w:w="9131" w:type="dxa"/>
        <w:tblInd w:w="-29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6"/>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716" w:type="dxa"/>
            <w:tcBorders>
              <w:top w:val="single" w:color="auto" w:sz="4" w:space="0"/>
              <w:bottom w:val="single" w:color="auto" w:sz="4" w:space="0"/>
            </w:tcBorders>
            <w:tcMar>
              <w:left w:w="0" w:type="dxa"/>
              <w:right w:w="0" w:type="dxa"/>
            </w:tcMar>
            <w:vAlign w:val="center"/>
          </w:tcPr>
          <w:p>
            <w:pPr>
              <w:spacing w:line="0" w:lineRule="atLeast"/>
              <w:ind w:left="-115" w:right="-107"/>
              <w:jc w:val="center"/>
              <w:rPr>
                <w:szCs w:val="21"/>
              </w:rPr>
            </w:pPr>
            <w:r>
              <w:rPr>
                <w:szCs w:val="21"/>
              </w:rPr>
              <w:t>序号</w:t>
            </w:r>
          </w:p>
        </w:tc>
        <w:tc>
          <w:tcPr>
            <w:tcW w:w="1932" w:type="dxa"/>
            <w:tcBorders>
              <w:top w:val="single" w:color="auto" w:sz="4" w:space="0"/>
              <w:bottom w:val="single" w:color="auto" w:sz="4" w:space="0"/>
            </w:tcBorders>
            <w:tcMar>
              <w:left w:w="0" w:type="dxa"/>
              <w:right w:w="0" w:type="dxa"/>
            </w:tcMar>
            <w:vAlign w:val="center"/>
          </w:tcPr>
          <w:p>
            <w:pPr>
              <w:spacing w:line="0" w:lineRule="atLeast"/>
              <w:jc w:val="center"/>
              <w:rPr>
                <w:szCs w:val="21"/>
              </w:rPr>
            </w:pPr>
            <w:r>
              <w:rPr>
                <w:szCs w:val="21"/>
              </w:rPr>
              <w:t>项目名称</w:t>
            </w:r>
          </w:p>
        </w:tc>
        <w:tc>
          <w:tcPr>
            <w:tcW w:w="2028" w:type="dxa"/>
            <w:tcBorders>
              <w:top w:val="single" w:color="auto" w:sz="4" w:space="0"/>
              <w:bottom w:val="single" w:color="auto" w:sz="4" w:space="0"/>
            </w:tcBorders>
            <w:tcMar>
              <w:left w:w="0" w:type="dxa"/>
              <w:right w:w="0" w:type="dxa"/>
            </w:tcMar>
            <w:vAlign w:val="center"/>
          </w:tcPr>
          <w:p>
            <w:pPr>
              <w:spacing w:line="0" w:lineRule="atLeast"/>
              <w:ind w:left="-115" w:right="-107"/>
              <w:jc w:val="center"/>
              <w:rPr>
                <w:szCs w:val="21"/>
              </w:rPr>
            </w:pPr>
            <w:r>
              <w:rPr>
                <w:szCs w:val="21"/>
              </w:rPr>
              <w:t>用户名称</w:t>
            </w:r>
          </w:p>
        </w:tc>
        <w:tc>
          <w:tcPr>
            <w:tcW w:w="1143" w:type="dxa"/>
            <w:tcBorders>
              <w:top w:val="single" w:color="auto" w:sz="4" w:space="0"/>
              <w:bottom w:val="single" w:color="auto" w:sz="4" w:space="0"/>
            </w:tcBorders>
            <w:tcMar>
              <w:left w:w="0" w:type="dxa"/>
              <w:right w:w="0" w:type="dxa"/>
            </w:tcMar>
            <w:vAlign w:val="center"/>
          </w:tcPr>
          <w:p>
            <w:pPr>
              <w:spacing w:line="0" w:lineRule="atLeast"/>
              <w:ind w:left="-115" w:right="-107"/>
              <w:jc w:val="center"/>
              <w:rPr>
                <w:szCs w:val="21"/>
              </w:rPr>
            </w:pPr>
            <w:r>
              <w:rPr>
                <w:szCs w:val="21"/>
              </w:rPr>
              <w:t>合同金额</w:t>
            </w:r>
          </w:p>
        </w:tc>
        <w:tc>
          <w:tcPr>
            <w:tcW w:w="1260" w:type="dxa"/>
            <w:tcBorders>
              <w:top w:val="single" w:color="auto" w:sz="4" w:space="0"/>
              <w:bottom w:val="single" w:color="auto" w:sz="4" w:space="0"/>
            </w:tcBorders>
            <w:tcMar>
              <w:left w:w="0" w:type="dxa"/>
              <w:right w:w="0" w:type="dxa"/>
            </w:tcMar>
            <w:vAlign w:val="center"/>
          </w:tcPr>
          <w:p>
            <w:pPr>
              <w:spacing w:line="0" w:lineRule="atLeast"/>
              <w:ind w:left="-115" w:right="-107"/>
              <w:jc w:val="center"/>
              <w:rPr>
                <w:szCs w:val="21"/>
              </w:rPr>
            </w:pPr>
            <w:r>
              <w:rPr>
                <w:szCs w:val="21"/>
              </w:rPr>
              <w:t>合同签订时间</w:t>
            </w:r>
          </w:p>
        </w:tc>
        <w:tc>
          <w:tcPr>
            <w:tcW w:w="2052" w:type="dxa"/>
            <w:tcBorders>
              <w:top w:val="single" w:color="auto" w:sz="4" w:space="0"/>
              <w:bottom w:val="single" w:color="auto" w:sz="4" w:space="0"/>
            </w:tcBorders>
            <w:tcMar>
              <w:left w:w="0" w:type="dxa"/>
              <w:right w:w="0" w:type="dxa"/>
            </w:tcMar>
            <w:vAlign w:val="center"/>
          </w:tcPr>
          <w:p>
            <w:pPr>
              <w:spacing w:line="0" w:lineRule="atLeast"/>
              <w:ind w:left="-115" w:right="-107"/>
              <w:jc w:val="center"/>
              <w:rPr>
                <w:szCs w:val="21"/>
              </w:rPr>
            </w:pPr>
            <w:r>
              <w:rPr>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Borders>
              <w:top w:val="single" w:color="auto" w:sz="4" w:space="0"/>
            </w:tcBorders>
            <w:tcMar>
              <w:left w:w="0" w:type="dxa"/>
              <w:right w:w="0" w:type="dxa"/>
            </w:tcMar>
            <w:vAlign w:val="center"/>
          </w:tcPr>
          <w:p>
            <w:pPr>
              <w:spacing w:line="0" w:lineRule="atLeast"/>
              <w:jc w:val="center"/>
              <w:rPr>
                <w:rFonts w:eastAsia="仿宋_GB2312"/>
                <w:szCs w:val="21"/>
              </w:rPr>
            </w:pPr>
          </w:p>
        </w:tc>
        <w:tc>
          <w:tcPr>
            <w:tcW w:w="1932" w:type="dxa"/>
            <w:tcBorders>
              <w:top w:val="single" w:color="auto" w:sz="4" w:space="0"/>
            </w:tcBorders>
            <w:tcMar>
              <w:left w:w="0" w:type="dxa"/>
              <w:right w:w="0" w:type="dxa"/>
            </w:tcMar>
            <w:vAlign w:val="center"/>
          </w:tcPr>
          <w:p>
            <w:pPr>
              <w:spacing w:line="0" w:lineRule="atLeast"/>
              <w:jc w:val="center"/>
              <w:rPr>
                <w:rFonts w:eastAsia="仿宋_GB2312"/>
                <w:szCs w:val="21"/>
              </w:rPr>
            </w:pPr>
          </w:p>
        </w:tc>
        <w:tc>
          <w:tcPr>
            <w:tcW w:w="2028" w:type="dxa"/>
            <w:tcBorders>
              <w:top w:val="single" w:color="auto" w:sz="4" w:space="0"/>
            </w:tcBorders>
            <w:tcMar>
              <w:left w:w="0" w:type="dxa"/>
              <w:right w:w="0" w:type="dxa"/>
            </w:tcMar>
            <w:vAlign w:val="center"/>
          </w:tcPr>
          <w:p>
            <w:pPr>
              <w:spacing w:line="0" w:lineRule="atLeast"/>
              <w:jc w:val="center"/>
              <w:rPr>
                <w:rFonts w:eastAsia="仿宋_GB2312"/>
                <w:szCs w:val="21"/>
              </w:rPr>
            </w:pPr>
          </w:p>
        </w:tc>
        <w:tc>
          <w:tcPr>
            <w:tcW w:w="1143" w:type="dxa"/>
            <w:tcBorders>
              <w:top w:val="single" w:color="auto" w:sz="4" w:space="0"/>
            </w:tcBorders>
            <w:tcMar>
              <w:left w:w="0" w:type="dxa"/>
              <w:right w:w="0" w:type="dxa"/>
            </w:tcMar>
            <w:vAlign w:val="center"/>
          </w:tcPr>
          <w:p>
            <w:pPr>
              <w:spacing w:line="0" w:lineRule="atLeast"/>
              <w:jc w:val="center"/>
              <w:rPr>
                <w:rFonts w:eastAsia="仿宋_GB2312"/>
                <w:szCs w:val="21"/>
              </w:rPr>
            </w:pPr>
          </w:p>
        </w:tc>
        <w:tc>
          <w:tcPr>
            <w:tcW w:w="1260" w:type="dxa"/>
            <w:tcBorders>
              <w:top w:val="single" w:color="auto" w:sz="4" w:space="0"/>
            </w:tcBorders>
            <w:tcMar>
              <w:left w:w="0" w:type="dxa"/>
              <w:right w:w="0" w:type="dxa"/>
            </w:tcMar>
            <w:vAlign w:val="center"/>
          </w:tcPr>
          <w:p>
            <w:pPr>
              <w:spacing w:line="0" w:lineRule="atLeast"/>
              <w:jc w:val="center"/>
              <w:rPr>
                <w:rFonts w:eastAsia="仿宋_GB2312"/>
                <w:szCs w:val="21"/>
              </w:rPr>
            </w:pPr>
          </w:p>
        </w:tc>
        <w:tc>
          <w:tcPr>
            <w:tcW w:w="2052" w:type="dxa"/>
            <w:tcBorders>
              <w:top w:val="single" w:color="auto" w:sz="4" w:space="0"/>
            </w:tcBorders>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716" w:type="dxa"/>
            <w:tcMar>
              <w:left w:w="0" w:type="dxa"/>
              <w:right w:w="0" w:type="dxa"/>
            </w:tcMar>
            <w:vAlign w:val="center"/>
          </w:tcPr>
          <w:p>
            <w:pPr>
              <w:spacing w:line="0" w:lineRule="atLeast"/>
              <w:jc w:val="center"/>
              <w:rPr>
                <w:rFonts w:eastAsia="仿宋_GB2312"/>
                <w:szCs w:val="21"/>
              </w:rPr>
            </w:pPr>
          </w:p>
        </w:tc>
        <w:tc>
          <w:tcPr>
            <w:tcW w:w="1932" w:type="dxa"/>
            <w:tcMar>
              <w:left w:w="0" w:type="dxa"/>
              <w:right w:w="0" w:type="dxa"/>
            </w:tcMar>
            <w:vAlign w:val="center"/>
          </w:tcPr>
          <w:p>
            <w:pPr>
              <w:spacing w:line="0" w:lineRule="atLeast"/>
              <w:jc w:val="center"/>
              <w:rPr>
                <w:rFonts w:eastAsia="仿宋_GB2312"/>
                <w:szCs w:val="21"/>
              </w:rPr>
            </w:pPr>
          </w:p>
        </w:tc>
        <w:tc>
          <w:tcPr>
            <w:tcW w:w="2028" w:type="dxa"/>
            <w:tcMar>
              <w:left w:w="0" w:type="dxa"/>
              <w:right w:w="0" w:type="dxa"/>
            </w:tcMar>
            <w:vAlign w:val="center"/>
          </w:tcPr>
          <w:p>
            <w:pPr>
              <w:spacing w:line="0" w:lineRule="atLeast"/>
              <w:jc w:val="center"/>
              <w:rPr>
                <w:rFonts w:eastAsia="仿宋_GB2312"/>
                <w:szCs w:val="21"/>
              </w:rPr>
            </w:pPr>
          </w:p>
        </w:tc>
        <w:tc>
          <w:tcPr>
            <w:tcW w:w="1143" w:type="dxa"/>
            <w:tcMar>
              <w:left w:w="0" w:type="dxa"/>
              <w:right w:w="0" w:type="dxa"/>
            </w:tcMar>
            <w:vAlign w:val="center"/>
          </w:tcPr>
          <w:p>
            <w:pPr>
              <w:spacing w:line="0" w:lineRule="atLeast"/>
              <w:jc w:val="center"/>
              <w:rPr>
                <w:rFonts w:eastAsia="仿宋_GB2312"/>
                <w:szCs w:val="21"/>
              </w:rPr>
            </w:pPr>
          </w:p>
        </w:tc>
        <w:tc>
          <w:tcPr>
            <w:tcW w:w="1260" w:type="dxa"/>
            <w:tcMar>
              <w:left w:w="0" w:type="dxa"/>
              <w:right w:w="0" w:type="dxa"/>
            </w:tcMar>
            <w:vAlign w:val="center"/>
          </w:tcPr>
          <w:p>
            <w:pPr>
              <w:spacing w:line="0" w:lineRule="atLeast"/>
              <w:jc w:val="center"/>
              <w:rPr>
                <w:rFonts w:eastAsia="仿宋_GB2312"/>
                <w:szCs w:val="21"/>
              </w:rPr>
            </w:pPr>
          </w:p>
        </w:tc>
        <w:tc>
          <w:tcPr>
            <w:tcW w:w="2052" w:type="dxa"/>
            <w:tcMar>
              <w:left w:w="0" w:type="dxa"/>
              <w:right w:w="0" w:type="dxa"/>
            </w:tcMar>
            <w:vAlign w:val="center"/>
          </w:tcPr>
          <w:p>
            <w:pPr>
              <w:spacing w:line="0" w:lineRule="atLeast"/>
              <w:jc w:val="center"/>
              <w:rPr>
                <w:rFonts w:eastAsia="仿宋_GB2312"/>
                <w:szCs w:val="21"/>
              </w:rPr>
            </w:pPr>
          </w:p>
        </w:tc>
      </w:tr>
    </w:tbl>
    <w:p>
      <w:pPr>
        <w:spacing w:line="0" w:lineRule="atLeast"/>
        <w:rPr>
          <w:rFonts w:eastAsia="仿宋_GB2312"/>
          <w:sz w:val="24"/>
        </w:rPr>
      </w:pPr>
    </w:p>
    <w:p>
      <w:pPr>
        <w:spacing w:line="0" w:lineRule="atLeast"/>
        <w:rPr>
          <w:rFonts w:eastAsia="仿宋_GB2312"/>
          <w:sz w:val="24"/>
        </w:rPr>
      </w:pPr>
    </w:p>
    <w:p>
      <w:pPr>
        <w:widowControl/>
        <w:spacing w:line="360" w:lineRule="auto"/>
        <w:ind w:firstLine="5040" w:firstLineChars="2400"/>
        <w:jc w:val="left"/>
        <w:rPr>
          <w:sz w:val="21"/>
          <w:szCs w:val="21"/>
        </w:rPr>
      </w:pPr>
      <w:r>
        <w:rPr>
          <w:sz w:val="21"/>
          <w:szCs w:val="21"/>
        </w:rPr>
        <w:t>投 标 人（盖章）：</w:t>
      </w:r>
    </w:p>
    <w:p>
      <w:pPr>
        <w:snapToGrid w:val="0"/>
        <w:spacing w:before="120" w:beforeLines="50" w:after="120" w:afterLines="50" w:line="360" w:lineRule="auto"/>
        <w:ind w:firstLine="5040" w:firstLineChars="2400"/>
        <w:jc w:val="left"/>
        <w:rPr>
          <w:sz w:val="21"/>
          <w:szCs w:val="21"/>
        </w:rPr>
      </w:pPr>
      <w:r>
        <w:rPr>
          <w:sz w:val="21"/>
          <w:szCs w:val="21"/>
        </w:rPr>
        <w:t>日    期：</w:t>
      </w:r>
    </w:p>
    <w:p>
      <w:pPr>
        <w:pStyle w:val="38"/>
        <w:ind w:firstLine="404"/>
      </w:pPr>
      <w:r>
        <w:br w:type="page"/>
      </w:r>
    </w:p>
    <w:p>
      <w:pPr>
        <w:outlineLvl w:val="1"/>
        <w:rPr>
          <w:b/>
          <w:sz w:val="24"/>
          <w:szCs w:val="21"/>
        </w:rPr>
      </w:pPr>
      <w:bookmarkStart w:id="340" w:name="_Toc460857952"/>
      <w:bookmarkStart w:id="341" w:name="_Toc16688"/>
      <w:bookmarkStart w:id="342" w:name="_Toc25323"/>
      <w:bookmarkStart w:id="343" w:name="_Toc8247"/>
      <w:bookmarkStart w:id="344" w:name="_Toc9104"/>
      <w:r>
        <w:rPr>
          <w:b/>
        </w:rPr>
        <w:t>格式</w:t>
      </w:r>
      <w:bookmarkEnd w:id="340"/>
      <w:r>
        <w:rPr>
          <w:rFonts w:hint="eastAsia"/>
          <w:b/>
        </w:rPr>
        <w:t>八</w:t>
      </w:r>
      <w:r>
        <w:rPr>
          <w:b/>
        </w:rPr>
        <w:t>：</w:t>
      </w:r>
      <w:bookmarkEnd w:id="341"/>
      <w:bookmarkEnd w:id="342"/>
      <w:bookmarkEnd w:id="343"/>
      <w:bookmarkEnd w:id="344"/>
    </w:p>
    <w:p>
      <w:pPr>
        <w:spacing w:line="360" w:lineRule="auto"/>
        <w:jc w:val="center"/>
        <w:rPr>
          <w:b/>
          <w:sz w:val="32"/>
          <w:szCs w:val="32"/>
        </w:rPr>
      </w:pPr>
      <w:r>
        <w:rPr>
          <w:b/>
          <w:sz w:val="32"/>
          <w:szCs w:val="32"/>
        </w:rPr>
        <w:t>商务条款偏离表</w:t>
      </w:r>
    </w:p>
    <w:p>
      <w:pPr>
        <w:spacing w:line="360" w:lineRule="auto"/>
        <w:ind w:firstLine="3089"/>
        <w:rPr>
          <w:b/>
          <w:sz w:val="24"/>
          <w:szCs w:val="21"/>
        </w:rPr>
      </w:pPr>
    </w:p>
    <w:p>
      <w:pPr>
        <w:spacing w:after="120" w:afterLines="50" w:line="360" w:lineRule="auto"/>
        <w:rPr>
          <w:b/>
          <w:bCs/>
          <w:sz w:val="21"/>
          <w:szCs w:val="21"/>
        </w:rPr>
      </w:pPr>
      <w:r>
        <w:rPr>
          <w:b/>
          <w:bCs/>
          <w:sz w:val="21"/>
          <w:szCs w:val="21"/>
        </w:rPr>
        <w:t>项目名称：</w:t>
      </w:r>
      <w:r>
        <w:rPr>
          <w:b w:val="0"/>
          <w:bCs w:val="0"/>
          <w:sz w:val="21"/>
          <w:szCs w:val="21"/>
          <w:u w:val="single"/>
        </w:rPr>
        <w:t xml:space="preserve">                </w:t>
      </w:r>
      <w:r>
        <w:rPr>
          <w:b/>
          <w:bCs/>
          <w:sz w:val="21"/>
          <w:szCs w:val="21"/>
        </w:rPr>
        <w:t>招标编号：</w:t>
      </w:r>
      <w:r>
        <w:rPr>
          <w:b w:val="0"/>
          <w:bCs w:val="0"/>
          <w:sz w:val="21"/>
          <w:szCs w:val="21"/>
          <w:u w:val="single"/>
        </w:rPr>
        <w:t xml:space="preserve">                </w:t>
      </w:r>
      <w:r>
        <w:rPr>
          <w:b/>
          <w:bCs/>
          <w:sz w:val="21"/>
          <w:szCs w:val="21"/>
        </w:rPr>
        <w:t xml:space="preserve"> </w:t>
      </w:r>
    </w:p>
    <w:tbl>
      <w:tblPr>
        <w:tblStyle w:val="40"/>
        <w:tblW w:w="9213" w:type="dxa"/>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0"/>
        <w:gridCol w:w="3098"/>
        <w:gridCol w:w="2694"/>
        <w:gridCol w:w="25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vAlign w:val="center"/>
          </w:tcPr>
          <w:p>
            <w:pPr>
              <w:pStyle w:val="21"/>
              <w:spacing w:beforeLines="0" w:afterLines="0"/>
              <w:rPr>
                <w:rFonts w:ascii="Times New Roman"/>
                <w:sz w:val="21"/>
              </w:rPr>
            </w:pPr>
            <w:r>
              <w:rPr>
                <w:rFonts w:ascii="Times New Roman"/>
                <w:sz w:val="21"/>
              </w:rPr>
              <w:t>序号</w:t>
            </w:r>
          </w:p>
        </w:tc>
        <w:tc>
          <w:tcPr>
            <w:tcW w:w="3098" w:type="dxa"/>
            <w:vAlign w:val="center"/>
          </w:tcPr>
          <w:p>
            <w:pPr>
              <w:pStyle w:val="21"/>
              <w:spacing w:beforeLines="0" w:afterLines="0"/>
              <w:rPr>
                <w:rFonts w:ascii="Times New Roman"/>
                <w:sz w:val="21"/>
              </w:rPr>
            </w:pPr>
            <w:r>
              <w:rPr>
                <w:rFonts w:ascii="Times New Roman"/>
                <w:sz w:val="21"/>
              </w:rPr>
              <w:t>招标文件的商务条款</w:t>
            </w:r>
          </w:p>
        </w:tc>
        <w:tc>
          <w:tcPr>
            <w:tcW w:w="2694" w:type="dxa"/>
            <w:vAlign w:val="center"/>
          </w:tcPr>
          <w:p>
            <w:pPr>
              <w:pStyle w:val="21"/>
              <w:spacing w:beforeLines="0" w:afterLines="0"/>
              <w:rPr>
                <w:rFonts w:ascii="Times New Roman"/>
                <w:sz w:val="21"/>
              </w:rPr>
            </w:pPr>
            <w:r>
              <w:rPr>
                <w:rFonts w:ascii="Times New Roman"/>
                <w:sz w:val="21"/>
              </w:rPr>
              <w:t>投标文件的商务条款</w:t>
            </w:r>
          </w:p>
        </w:tc>
        <w:tc>
          <w:tcPr>
            <w:tcW w:w="2551" w:type="dxa"/>
            <w:vAlign w:val="center"/>
          </w:tcPr>
          <w:p>
            <w:pPr>
              <w:pStyle w:val="21"/>
              <w:spacing w:beforeLines="0" w:afterLines="0"/>
              <w:rPr>
                <w:rFonts w:ascii="Times New Roman"/>
                <w:sz w:val="21"/>
              </w:rPr>
            </w:pPr>
            <w:r>
              <w:rPr>
                <w:rFonts w:ascii="Times New Roman"/>
                <w:sz w:val="21"/>
              </w:rPr>
              <w:t>说明（填写：正偏离/负偏离/</w:t>
            </w:r>
            <w:r>
              <w:rPr>
                <w:rFonts w:hint="eastAsia" w:ascii="Times New Roman"/>
                <w:sz w:val="21"/>
                <w:lang w:val="en-US" w:eastAsia="zh-CN"/>
              </w:rPr>
              <w:t>无偏离</w:t>
            </w:r>
            <w:r>
              <w:rPr>
                <w:rFonts w:ascii="Times New Roman"/>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3"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2" w:hRule="atLeast"/>
        </w:trPr>
        <w:tc>
          <w:tcPr>
            <w:tcW w:w="870" w:type="dxa"/>
          </w:tcPr>
          <w:p>
            <w:pPr>
              <w:pStyle w:val="21"/>
              <w:snapToGrid w:val="0"/>
              <w:spacing w:before="120" w:beforeLines="0" w:after="120" w:afterLines="0"/>
              <w:ind w:firstLine="542"/>
              <w:rPr>
                <w:rFonts w:ascii="Times New Roman"/>
                <w:u w:val="single"/>
              </w:rPr>
            </w:pPr>
          </w:p>
        </w:tc>
        <w:tc>
          <w:tcPr>
            <w:tcW w:w="3098" w:type="dxa"/>
          </w:tcPr>
          <w:p>
            <w:pPr>
              <w:pStyle w:val="21"/>
              <w:snapToGrid w:val="0"/>
              <w:spacing w:before="120" w:beforeLines="0" w:after="120" w:afterLines="0"/>
              <w:ind w:firstLine="542"/>
              <w:rPr>
                <w:rFonts w:ascii="Times New Roman"/>
                <w:u w:val="single"/>
              </w:rPr>
            </w:pPr>
          </w:p>
        </w:tc>
        <w:tc>
          <w:tcPr>
            <w:tcW w:w="2694" w:type="dxa"/>
          </w:tcPr>
          <w:p>
            <w:pPr>
              <w:pStyle w:val="21"/>
              <w:snapToGrid w:val="0"/>
              <w:spacing w:before="120" w:beforeLines="0" w:after="120" w:afterLines="0"/>
              <w:ind w:firstLine="542"/>
              <w:rPr>
                <w:rFonts w:ascii="Times New Roman"/>
                <w:u w:val="single"/>
              </w:rPr>
            </w:pPr>
          </w:p>
        </w:tc>
        <w:tc>
          <w:tcPr>
            <w:tcW w:w="2551" w:type="dxa"/>
          </w:tcPr>
          <w:p>
            <w:pPr>
              <w:pStyle w:val="21"/>
              <w:snapToGrid w:val="0"/>
              <w:spacing w:before="120" w:beforeLines="0" w:after="120" w:afterLines="0"/>
              <w:ind w:firstLine="542"/>
              <w:rPr>
                <w:rFonts w:ascii="Times New Roman"/>
                <w:u w:val="single"/>
              </w:rPr>
            </w:pPr>
          </w:p>
        </w:tc>
      </w:tr>
    </w:tbl>
    <w:p>
      <w:pPr>
        <w:snapToGrid w:val="0"/>
        <w:spacing w:line="360" w:lineRule="auto"/>
        <w:rPr>
          <w:b/>
          <w:szCs w:val="21"/>
        </w:rPr>
      </w:pPr>
      <w:r>
        <w:rPr>
          <w:b/>
          <w:szCs w:val="21"/>
        </w:rPr>
        <w:t>注：对照招标文件第二章招标需求</w:t>
      </w:r>
      <w:r>
        <w:rPr>
          <w:rFonts w:hint="eastAsia"/>
          <w:b/>
          <w:szCs w:val="21"/>
        </w:rPr>
        <w:t>中</w:t>
      </w:r>
      <w:r>
        <w:rPr>
          <w:b/>
          <w:szCs w:val="21"/>
        </w:rPr>
        <w:t>“商务需求”要求逐条填写，并在“偏离情况”栏注明“正偏离”、“负偏离”或“无偏离”。</w:t>
      </w:r>
    </w:p>
    <w:p>
      <w:pPr>
        <w:pStyle w:val="17"/>
        <w:spacing w:line="360" w:lineRule="auto"/>
        <w:ind w:left="404" w:hanging="404" w:hangingChars="200"/>
        <w:rPr>
          <w:rFonts w:ascii="Times New Roman"/>
          <w:sz w:val="21"/>
          <w:szCs w:val="21"/>
        </w:rPr>
      </w:pPr>
    </w:p>
    <w:p>
      <w:pPr>
        <w:widowControl/>
        <w:spacing w:line="360" w:lineRule="auto"/>
        <w:jc w:val="left"/>
        <w:rPr>
          <w:sz w:val="24"/>
        </w:rPr>
      </w:pPr>
    </w:p>
    <w:p>
      <w:pPr>
        <w:widowControl/>
        <w:spacing w:line="360" w:lineRule="auto"/>
        <w:ind w:firstLine="2940" w:firstLineChars="1400"/>
        <w:jc w:val="left"/>
        <w:rPr>
          <w:sz w:val="21"/>
          <w:szCs w:val="21"/>
        </w:rPr>
      </w:pPr>
      <w:r>
        <w:rPr>
          <w:sz w:val="21"/>
          <w:szCs w:val="21"/>
        </w:rPr>
        <w:t>投 标 人（盖章）：</w:t>
      </w:r>
    </w:p>
    <w:p>
      <w:pPr>
        <w:pStyle w:val="17"/>
        <w:spacing w:line="360" w:lineRule="auto"/>
        <w:ind w:left="479" w:leftChars="228" w:firstLine="2520" w:firstLineChars="1200"/>
        <w:rPr>
          <w:rFonts w:ascii="Times New Roman"/>
          <w:sz w:val="21"/>
          <w:szCs w:val="21"/>
        </w:rPr>
      </w:pPr>
      <w:r>
        <w:rPr>
          <w:rFonts w:ascii="Times New Roman"/>
          <w:spacing w:val="0"/>
          <w:sz w:val="21"/>
          <w:szCs w:val="21"/>
        </w:rPr>
        <w:t>日    期：</w:t>
      </w:r>
    </w:p>
    <w:p>
      <w:pPr>
        <w:widowControl/>
        <w:spacing w:line="360" w:lineRule="auto"/>
        <w:jc w:val="left"/>
        <w:rPr>
          <w:sz w:val="24"/>
        </w:rPr>
      </w:pPr>
    </w:p>
    <w:p>
      <w:pPr>
        <w:widowControl/>
        <w:jc w:val="left"/>
        <w:outlineLvl w:val="1"/>
        <w:rPr>
          <w:b/>
        </w:rPr>
      </w:pPr>
      <w:r>
        <w:rPr>
          <w:sz w:val="24"/>
        </w:rPr>
        <w:br w:type="page"/>
      </w:r>
      <w:bookmarkStart w:id="345" w:name="_Toc460857953"/>
      <w:bookmarkStart w:id="346" w:name="_Toc23363"/>
      <w:bookmarkStart w:id="347" w:name="_Toc32616"/>
      <w:bookmarkStart w:id="348" w:name="_Toc6470"/>
      <w:bookmarkStart w:id="349" w:name="_Toc29118"/>
      <w:r>
        <w:rPr>
          <w:b/>
        </w:rPr>
        <w:t>格式</w:t>
      </w:r>
      <w:r>
        <w:rPr>
          <w:rFonts w:hint="eastAsia"/>
          <w:b/>
        </w:rPr>
        <w:t>九</w:t>
      </w:r>
      <w:r>
        <w:rPr>
          <w:b/>
        </w:rPr>
        <w:t>：</w:t>
      </w:r>
      <w:bookmarkEnd w:id="345"/>
      <w:bookmarkEnd w:id="346"/>
      <w:bookmarkEnd w:id="347"/>
      <w:bookmarkEnd w:id="348"/>
      <w:bookmarkEnd w:id="349"/>
    </w:p>
    <w:p>
      <w:pPr>
        <w:spacing w:before="120" w:after="120"/>
        <w:jc w:val="center"/>
        <w:rPr>
          <w:b/>
          <w:bCs/>
          <w:spacing w:val="20"/>
          <w:sz w:val="32"/>
          <w:szCs w:val="32"/>
        </w:rPr>
      </w:pPr>
      <w:r>
        <w:rPr>
          <w:b/>
          <w:bCs/>
          <w:spacing w:val="20"/>
          <w:sz w:val="32"/>
          <w:szCs w:val="32"/>
        </w:rPr>
        <w:t>项目负责人简历表</w:t>
      </w:r>
    </w:p>
    <w:p>
      <w:pPr>
        <w:spacing w:before="120" w:after="120"/>
        <w:jc w:val="center"/>
        <w:rPr>
          <w:b/>
          <w:bCs/>
          <w:spacing w:val="20"/>
          <w:sz w:val="24"/>
        </w:rPr>
      </w:pPr>
    </w:p>
    <w:tbl>
      <w:tblPr>
        <w:tblStyle w:val="4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508"/>
        <w:gridCol w:w="720"/>
        <w:gridCol w:w="193"/>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szCs w:val="21"/>
              </w:rPr>
            </w:pPr>
            <w:r>
              <w:rPr>
                <w:szCs w:val="21"/>
              </w:rPr>
              <w:t>姓    名</w:t>
            </w:r>
          </w:p>
        </w:tc>
        <w:tc>
          <w:tcPr>
            <w:tcW w:w="1420" w:type="dxa"/>
          </w:tcPr>
          <w:p>
            <w:pPr>
              <w:spacing w:line="500" w:lineRule="exact"/>
              <w:ind w:right="25" w:rightChars="12"/>
              <w:jc w:val="center"/>
              <w:rPr>
                <w:szCs w:val="21"/>
              </w:rPr>
            </w:pPr>
          </w:p>
        </w:tc>
        <w:tc>
          <w:tcPr>
            <w:tcW w:w="1421" w:type="dxa"/>
            <w:gridSpan w:val="3"/>
          </w:tcPr>
          <w:p>
            <w:pPr>
              <w:spacing w:line="500" w:lineRule="exact"/>
              <w:ind w:right="25" w:rightChars="12"/>
              <w:jc w:val="center"/>
              <w:rPr>
                <w:szCs w:val="21"/>
              </w:rPr>
            </w:pPr>
            <w:r>
              <w:rPr>
                <w:szCs w:val="21"/>
              </w:rPr>
              <w:t>性   别</w:t>
            </w:r>
          </w:p>
        </w:tc>
        <w:tc>
          <w:tcPr>
            <w:tcW w:w="1420" w:type="dxa"/>
          </w:tcPr>
          <w:p>
            <w:pPr>
              <w:spacing w:line="500" w:lineRule="exact"/>
              <w:ind w:right="25" w:rightChars="12"/>
              <w:jc w:val="center"/>
              <w:rPr>
                <w:szCs w:val="21"/>
              </w:rPr>
            </w:pPr>
          </w:p>
        </w:tc>
        <w:tc>
          <w:tcPr>
            <w:tcW w:w="1420" w:type="dxa"/>
          </w:tcPr>
          <w:p>
            <w:pPr>
              <w:spacing w:line="500" w:lineRule="exact"/>
              <w:ind w:right="25" w:rightChars="12"/>
              <w:jc w:val="center"/>
              <w:rPr>
                <w:szCs w:val="21"/>
              </w:rPr>
            </w:pPr>
            <w:r>
              <w:rPr>
                <w:szCs w:val="21"/>
              </w:rPr>
              <w:t>出生年月</w:t>
            </w:r>
          </w:p>
        </w:tc>
        <w:tc>
          <w:tcPr>
            <w:tcW w:w="1421" w:type="dxa"/>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szCs w:val="21"/>
              </w:rPr>
            </w:pPr>
            <w:r>
              <w:rPr>
                <w:szCs w:val="21"/>
              </w:rPr>
              <w:t>专    业</w:t>
            </w:r>
          </w:p>
        </w:tc>
        <w:tc>
          <w:tcPr>
            <w:tcW w:w="1420" w:type="dxa"/>
          </w:tcPr>
          <w:p>
            <w:pPr>
              <w:spacing w:line="500" w:lineRule="exact"/>
              <w:ind w:right="25" w:rightChars="12"/>
              <w:jc w:val="center"/>
              <w:rPr>
                <w:szCs w:val="21"/>
              </w:rPr>
            </w:pPr>
          </w:p>
        </w:tc>
        <w:tc>
          <w:tcPr>
            <w:tcW w:w="1421" w:type="dxa"/>
            <w:gridSpan w:val="3"/>
          </w:tcPr>
          <w:p>
            <w:pPr>
              <w:spacing w:line="500" w:lineRule="exact"/>
              <w:ind w:right="25" w:rightChars="12"/>
              <w:jc w:val="center"/>
              <w:rPr>
                <w:szCs w:val="21"/>
              </w:rPr>
            </w:pPr>
            <w:r>
              <w:rPr>
                <w:szCs w:val="21"/>
              </w:rPr>
              <w:t>学   历</w:t>
            </w:r>
          </w:p>
        </w:tc>
        <w:tc>
          <w:tcPr>
            <w:tcW w:w="1420" w:type="dxa"/>
          </w:tcPr>
          <w:p>
            <w:pPr>
              <w:spacing w:line="500" w:lineRule="exact"/>
              <w:ind w:right="25" w:rightChars="12"/>
              <w:jc w:val="center"/>
              <w:rPr>
                <w:szCs w:val="21"/>
              </w:rPr>
            </w:pPr>
          </w:p>
        </w:tc>
        <w:tc>
          <w:tcPr>
            <w:tcW w:w="1420" w:type="dxa"/>
          </w:tcPr>
          <w:p>
            <w:pPr>
              <w:spacing w:line="500" w:lineRule="exact"/>
              <w:ind w:right="25" w:rightChars="12"/>
              <w:jc w:val="center"/>
              <w:rPr>
                <w:szCs w:val="21"/>
              </w:rPr>
            </w:pPr>
            <w:r>
              <w:rPr>
                <w:szCs w:val="21"/>
              </w:rPr>
              <w:t>职     称</w:t>
            </w:r>
          </w:p>
        </w:tc>
        <w:tc>
          <w:tcPr>
            <w:tcW w:w="1421" w:type="dxa"/>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szCs w:val="21"/>
              </w:rPr>
            </w:pPr>
            <w:r>
              <w:rPr>
                <w:szCs w:val="21"/>
              </w:rPr>
              <w:t>何时参加工作</w:t>
            </w:r>
          </w:p>
        </w:tc>
        <w:tc>
          <w:tcPr>
            <w:tcW w:w="7102" w:type="dxa"/>
            <w:gridSpan w:val="7"/>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szCs w:val="21"/>
              </w:rPr>
            </w:pPr>
            <w:r>
              <w:rPr>
                <w:szCs w:val="21"/>
              </w:rPr>
              <w:t>何时进入公司</w:t>
            </w:r>
          </w:p>
        </w:tc>
        <w:tc>
          <w:tcPr>
            <w:tcW w:w="7102" w:type="dxa"/>
            <w:gridSpan w:val="7"/>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szCs w:val="21"/>
              </w:rPr>
            </w:pPr>
            <w:r>
              <w:rPr>
                <w:szCs w:val="21"/>
              </w:rPr>
              <w:t>从事项目年限</w:t>
            </w:r>
          </w:p>
        </w:tc>
        <w:tc>
          <w:tcPr>
            <w:tcW w:w="7102" w:type="dxa"/>
            <w:gridSpan w:val="7"/>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gridSpan w:val="8"/>
          </w:tcPr>
          <w:p>
            <w:pPr>
              <w:spacing w:line="500" w:lineRule="exact"/>
              <w:ind w:right="25" w:rightChars="12"/>
              <w:jc w:val="center"/>
              <w:rPr>
                <w:b/>
                <w:szCs w:val="21"/>
              </w:rPr>
            </w:pPr>
            <w:r>
              <w:rPr>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00" w:lineRule="exact"/>
              <w:ind w:right="25" w:rightChars="12"/>
              <w:jc w:val="center"/>
              <w:rPr>
                <w:szCs w:val="21"/>
              </w:rPr>
            </w:pPr>
            <w:r>
              <w:rPr>
                <w:szCs w:val="21"/>
              </w:rPr>
              <w:t>业主单位</w:t>
            </w:r>
          </w:p>
        </w:tc>
        <w:tc>
          <w:tcPr>
            <w:tcW w:w="1928" w:type="dxa"/>
            <w:gridSpan w:val="2"/>
          </w:tcPr>
          <w:p>
            <w:pPr>
              <w:spacing w:line="500" w:lineRule="exact"/>
              <w:ind w:right="25" w:rightChars="12"/>
              <w:jc w:val="center"/>
              <w:rPr>
                <w:szCs w:val="21"/>
              </w:rPr>
            </w:pPr>
            <w:r>
              <w:rPr>
                <w:szCs w:val="21"/>
              </w:rPr>
              <w:t>项目名称</w:t>
            </w:r>
          </w:p>
        </w:tc>
        <w:tc>
          <w:tcPr>
            <w:tcW w:w="720" w:type="dxa"/>
          </w:tcPr>
          <w:p>
            <w:pPr>
              <w:spacing w:line="500" w:lineRule="exact"/>
              <w:ind w:right="25" w:rightChars="12"/>
              <w:jc w:val="center"/>
              <w:rPr>
                <w:szCs w:val="21"/>
              </w:rPr>
            </w:pPr>
            <w:r>
              <w:rPr>
                <w:szCs w:val="21"/>
              </w:rPr>
              <w:t>规模</w:t>
            </w:r>
          </w:p>
        </w:tc>
        <w:tc>
          <w:tcPr>
            <w:tcW w:w="1613" w:type="dxa"/>
            <w:gridSpan w:val="2"/>
          </w:tcPr>
          <w:p>
            <w:pPr>
              <w:spacing w:line="500" w:lineRule="exact"/>
              <w:ind w:right="25" w:rightChars="12"/>
              <w:jc w:val="center"/>
              <w:rPr>
                <w:szCs w:val="21"/>
              </w:rPr>
            </w:pPr>
            <w:r>
              <w:rPr>
                <w:szCs w:val="21"/>
              </w:rPr>
              <w:t>合同时间</w:t>
            </w:r>
          </w:p>
        </w:tc>
        <w:tc>
          <w:tcPr>
            <w:tcW w:w="2841" w:type="dxa"/>
            <w:gridSpan w:val="2"/>
          </w:tcPr>
          <w:p>
            <w:pPr>
              <w:spacing w:line="500" w:lineRule="exact"/>
              <w:ind w:right="25" w:rightChars="12"/>
              <w:jc w:val="center"/>
              <w:rPr>
                <w:szCs w:val="21"/>
              </w:rPr>
            </w:pPr>
            <w:r>
              <w:rPr>
                <w:szCs w:val="21"/>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360" w:lineRule="auto"/>
              <w:ind w:right="25" w:rightChars="12"/>
              <w:jc w:val="center"/>
              <w:rPr>
                <w:b/>
                <w:szCs w:val="21"/>
              </w:rPr>
            </w:pPr>
          </w:p>
        </w:tc>
        <w:tc>
          <w:tcPr>
            <w:tcW w:w="1928" w:type="dxa"/>
            <w:gridSpan w:val="2"/>
          </w:tcPr>
          <w:p>
            <w:pPr>
              <w:spacing w:line="360" w:lineRule="auto"/>
              <w:ind w:right="25" w:rightChars="12"/>
              <w:jc w:val="center"/>
              <w:rPr>
                <w:b/>
                <w:szCs w:val="21"/>
              </w:rPr>
            </w:pPr>
          </w:p>
        </w:tc>
        <w:tc>
          <w:tcPr>
            <w:tcW w:w="720" w:type="dxa"/>
          </w:tcPr>
          <w:p>
            <w:pPr>
              <w:spacing w:line="360" w:lineRule="auto"/>
              <w:ind w:right="25" w:rightChars="12"/>
              <w:jc w:val="center"/>
              <w:rPr>
                <w:b/>
                <w:szCs w:val="21"/>
              </w:rPr>
            </w:pPr>
          </w:p>
        </w:tc>
        <w:tc>
          <w:tcPr>
            <w:tcW w:w="1613" w:type="dxa"/>
            <w:gridSpan w:val="2"/>
          </w:tcPr>
          <w:p>
            <w:pPr>
              <w:spacing w:line="360" w:lineRule="auto"/>
              <w:ind w:right="25" w:rightChars="12"/>
              <w:jc w:val="center"/>
              <w:rPr>
                <w:b/>
                <w:szCs w:val="21"/>
              </w:rPr>
            </w:pPr>
          </w:p>
        </w:tc>
        <w:tc>
          <w:tcPr>
            <w:tcW w:w="2841" w:type="dxa"/>
            <w:gridSpan w:val="2"/>
          </w:tcPr>
          <w:p>
            <w:pPr>
              <w:spacing w:line="360" w:lineRule="auto"/>
              <w:ind w:right="25" w:rightChars="12"/>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b/>
                <w:szCs w:val="21"/>
              </w:rPr>
            </w:pPr>
          </w:p>
        </w:tc>
        <w:tc>
          <w:tcPr>
            <w:tcW w:w="1928" w:type="dxa"/>
            <w:gridSpan w:val="2"/>
          </w:tcPr>
          <w:p>
            <w:pPr>
              <w:spacing w:line="580" w:lineRule="exact"/>
              <w:ind w:right="25" w:rightChars="12"/>
              <w:jc w:val="center"/>
              <w:rPr>
                <w:b/>
                <w:szCs w:val="21"/>
              </w:rPr>
            </w:pPr>
          </w:p>
        </w:tc>
        <w:tc>
          <w:tcPr>
            <w:tcW w:w="720" w:type="dxa"/>
          </w:tcPr>
          <w:p>
            <w:pPr>
              <w:spacing w:line="580" w:lineRule="exact"/>
              <w:ind w:right="25" w:rightChars="12"/>
              <w:jc w:val="center"/>
              <w:rPr>
                <w:b/>
                <w:szCs w:val="21"/>
              </w:rPr>
            </w:pPr>
          </w:p>
        </w:tc>
        <w:tc>
          <w:tcPr>
            <w:tcW w:w="1613" w:type="dxa"/>
            <w:gridSpan w:val="2"/>
          </w:tcPr>
          <w:p>
            <w:pPr>
              <w:spacing w:line="580" w:lineRule="exact"/>
              <w:ind w:right="25" w:rightChars="12"/>
              <w:jc w:val="center"/>
              <w:rPr>
                <w:b/>
                <w:szCs w:val="21"/>
              </w:rPr>
            </w:pPr>
          </w:p>
        </w:tc>
        <w:tc>
          <w:tcPr>
            <w:tcW w:w="2841" w:type="dxa"/>
            <w:gridSpan w:val="2"/>
          </w:tcPr>
          <w:p>
            <w:pPr>
              <w:spacing w:line="580" w:lineRule="exact"/>
              <w:ind w:right="25" w:rightChars="12"/>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b/>
                <w:szCs w:val="21"/>
              </w:rPr>
            </w:pPr>
          </w:p>
        </w:tc>
        <w:tc>
          <w:tcPr>
            <w:tcW w:w="1928" w:type="dxa"/>
            <w:gridSpan w:val="2"/>
          </w:tcPr>
          <w:p>
            <w:pPr>
              <w:spacing w:line="580" w:lineRule="exact"/>
              <w:ind w:right="25" w:rightChars="12"/>
              <w:jc w:val="center"/>
              <w:rPr>
                <w:b/>
                <w:szCs w:val="21"/>
              </w:rPr>
            </w:pPr>
          </w:p>
        </w:tc>
        <w:tc>
          <w:tcPr>
            <w:tcW w:w="720" w:type="dxa"/>
          </w:tcPr>
          <w:p>
            <w:pPr>
              <w:spacing w:line="580" w:lineRule="exact"/>
              <w:ind w:right="25" w:rightChars="12"/>
              <w:jc w:val="center"/>
              <w:rPr>
                <w:b/>
                <w:szCs w:val="21"/>
              </w:rPr>
            </w:pPr>
          </w:p>
        </w:tc>
        <w:tc>
          <w:tcPr>
            <w:tcW w:w="1613" w:type="dxa"/>
            <w:gridSpan w:val="2"/>
          </w:tcPr>
          <w:p>
            <w:pPr>
              <w:spacing w:line="580" w:lineRule="exact"/>
              <w:ind w:right="25" w:rightChars="12"/>
              <w:jc w:val="center"/>
              <w:rPr>
                <w:b/>
                <w:szCs w:val="21"/>
              </w:rPr>
            </w:pPr>
          </w:p>
        </w:tc>
        <w:tc>
          <w:tcPr>
            <w:tcW w:w="2841" w:type="dxa"/>
            <w:gridSpan w:val="2"/>
          </w:tcPr>
          <w:p>
            <w:pPr>
              <w:spacing w:line="580" w:lineRule="exact"/>
              <w:ind w:right="25" w:rightChars="12"/>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b/>
                <w:szCs w:val="21"/>
              </w:rPr>
            </w:pPr>
          </w:p>
        </w:tc>
        <w:tc>
          <w:tcPr>
            <w:tcW w:w="1928" w:type="dxa"/>
            <w:gridSpan w:val="2"/>
          </w:tcPr>
          <w:p>
            <w:pPr>
              <w:spacing w:line="580" w:lineRule="exact"/>
              <w:ind w:right="25" w:rightChars="12"/>
              <w:jc w:val="center"/>
              <w:rPr>
                <w:b/>
                <w:szCs w:val="21"/>
              </w:rPr>
            </w:pPr>
          </w:p>
        </w:tc>
        <w:tc>
          <w:tcPr>
            <w:tcW w:w="720" w:type="dxa"/>
          </w:tcPr>
          <w:p>
            <w:pPr>
              <w:spacing w:line="580" w:lineRule="exact"/>
              <w:ind w:right="25" w:rightChars="12"/>
              <w:jc w:val="center"/>
              <w:rPr>
                <w:b/>
                <w:szCs w:val="21"/>
              </w:rPr>
            </w:pPr>
          </w:p>
        </w:tc>
        <w:tc>
          <w:tcPr>
            <w:tcW w:w="1613" w:type="dxa"/>
            <w:gridSpan w:val="2"/>
          </w:tcPr>
          <w:p>
            <w:pPr>
              <w:spacing w:line="580" w:lineRule="exact"/>
              <w:ind w:right="25" w:rightChars="12"/>
              <w:jc w:val="center"/>
              <w:rPr>
                <w:b/>
                <w:szCs w:val="21"/>
              </w:rPr>
            </w:pPr>
          </w:p>
        </w:tc>
        <w:tc>
          <w:tcPr>
            <w:tcW w:w="2841" w:type="dxa"/>
            <w:gridSpan w:val="2"/>
          </w:tcPr>
          <w:p>
            <w:pPr>
              <w:spacing w:line="580" w:lineRule="exact"/>
              <w:ind w:right="25" w:rightChars="12"/>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b/>
                <w:szCs w:val="21"/>
              </w:rPr>
            </w:pPr>
          </w:p>
        </w:tc>
        <w:tc>
          <w:tcPr>
            <w:tcW w:w="1928" w:type="dxa"/>
            <w:gridSpan w:val="2"/>
          </w:tcPr>
          <w:p>
            <w:pPr>
              <w:spacing w:line="580" w:lineRule="exact"/>
              <w:ind w:right="25" w:rightChars="12"/>
              <w:jc w:val="center"/>
              <w:rPr>
                <w:b/>
                <w:szCs w:val="21"/>
              </w:rPr>
            </w:pPr>
          </w:p>
        </w:tc>
        <w:tc>
          <w:tcPr>
            <w:tcW w:w="720" w:type="dxa"/>
          </w:tcPr>
          <w:p>
            <w:pPr>
              <w:spacing w:line="580" w:lineRule="exact"/>
              <w:ind w:right="25" w:rightChars="12"/>
              <w:jc w:val="center"/>
              <w:rPr>
                <w:b/>
                <w:szCs w:val="21"/>
              </w:rPr>
            </w:pPr>
          </w:p>
        </w:tc>
        <w:tc>
          <w:tcPr>
            <w:tcW w:w="1613" w:type="dxa"/>
            <w:gridSpan w:val="2"/>
          </w:tcPr>
          <w:p>
            <w:pPr>
              <w:spacing w:line="580" w:lineRule="exact"/>
              <w:ind w:right="25" w:rightChars="12"/>
              <w:jc w:val="center"/>
              <w:rPr>
                <w:b/>
                <w:szCs w:val="21"/>
              </w:rPr>
            </w:pPr>
          </w:p>
        </w:tc>
        <w:tc>
          <w:tcPr>
            <w:tcW w:w="2841" w:type="dxa"/>
            <w:gridSpan w:val="2"/>
          </w:tcPr>
          <w:p>
            <w:pPr>
              <w:spacing w:line="580" w:lineRule="exact"/>
              <w:ind w:right="25" w:rightChars="12"/>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b/>
                <w:szCs w:val="21"/>
              </w:rPr>
            </w:pPr>
          </w:p>
        </w:tc>
        <w:tc>
          <w:tcPr>
            <w:tcW w:w="1928" w:type="dxa"/>
            <w:gridSpan w:val="2"/>
          </w:tcPr>
          <w:p>
            <w:pPr>
              <w:spacing w:line="580" w:lineRule="exact"/>
              <w:ind w:right="25" w:rightChars="12"/>
              <w:jc w:val="center"/>
              <w:rPr>
                <w:b/>
                <w:szCs w:val="21"/>
              </w:rPr>
            </w:pPr>
          </w:p>
        </w:tc>
        <w:tc>
          <w:tcPr>
            <w:tcW w:w="720" w:type="dxa"/>
          </w:tcPr>
          <w:p>
            <w:pPr>
              <w:spacing w:line="580" w:lineRule="exact"/>
              <w:ind w:right="25" w:rightChars="12"/>
              <w:jc w:val="center"/>
              <w:rPr>
                <w:b/>
                <w:szCs w:val="21"/>
              </w:rPr>
            </w:pPr>
          </w:p>
        </w:tc>
        <w:tc>
          <w:tcPr>
            <w:tcW w:w="1613" w:type="dxa"/>
            <w:gridSpan w:val="2"/>
          </w:tcPr>
          <w:p>
            <w:pPr>
              <w:spacing w:line="580" w:lineRule="exact"/>
              <w:ind w:right="25" w:rightChars="12"/>
              <w:jc w:val="center"/>
              <w:rPr>
                <w:b/>
                <w:szCs w:val="21"/>
              </w:rPr>
            </w:pPr>
          </w:p>
        </w:tc>
        <w:tc>
          <w:tcPr>
            <w:tcW w:w="2841" w:type="dxa"/>
            <w:gridSpan w:val="2"/>
          </w:tcPr>
          <w:p>
            <w:pPr>
              <w:spacing w:line="580" w:lineRule="exact"/>
              <w:ind w:right="25" w:rightChars="12"/>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20" w:type="dxa"/>
          </w:tcPr>
          <w:p>
            <w:pPr>
              <w:spacing w:line="580" w:lineRule="exact"/>
              <w:ind w:right="25" w:rightChars="12"/>
              <w:jc w:val="center"/>
              <w:rPr>
                <w:b/>
                <w:szCs w:val="21"/>
              </w:rPr>
            </w:pPr>
          </w:p>
        </w:tc>
        <w:tc>
          <w:tcPr>
            <w:tcW w:w="1928" w:type="dxa"/>
            <w:gridSpan w:val="2"/>
          </w:tcPr>
          <w:p>
            <w:pPr>
              <w:spacing w:line="580" w:lineRule="exact"/>
              <w:ind w:right="25" w:rightChars="12"/>
              <w:jc w:val="center"/>
              <w:rPr>
                <w:b/>
                <w:szCs w:val="21"/>
              </w:rPr>
            </w:pPr>
          </w:p>
        </w:tc>
        <w:tc>
          <w:tcPr>
            <w:tcW w:w="720" w:type="dxa"/>
          </w:tcPr>
          <w:p>
            <w:pPr>
              <w:spacing w:line="580" w:lineRule="exact"/>
              <w:ind w:right="25" w:rightChars="12"/>
              <w:jc w:val="center"/>
              <w:rPr>
                <w:b/>
                <w:szCs w:val="21"/>
              </w:rPr>
            </w:pPr>
          </w:p>
        </w:tc>
        <w:tc>
          <w:tcPr>
            <w:tcW w:w="1613" w:type="dxa"/>
            <w:gridSpan w:val="2"/>
          </w:tcPr>
          <w:p>
            <w:pPr>
              <w:spacing w:line="580" w:lineRule="exact"/>
              <w:ind w:right="25" w:rightChars="12"/>
              <w:jc w:val="center"/>
              <w:rPr>
                <w:b/>
                <w:szCs w:val="21"/>
              </w:rPr>
            </w:pPr>
          </w:p>
        </w:tc>
        <w:tc>
          <w:tcPr>
            <w:tcW w:w="2841" w:type="dxa"/>
            <w:gridSpan w:val="2"/>
          </w:tcPr>
          <w:p>
            <w:pPr>
              <w:spacing w:line="580" w:lineRule="exact"/>
              <w:ind w:right="25" w:rightChars="12"/>
              <w:jc w:val="center"/>
              <w:rPr>
                <w:b/>
                <w:szCs w:val="21"/>
              </w:rPr>
            </w:pPr>
          </w:p>
        </w:tc>
      </w:tr>
    </w:tbl>
    <w:p>
      <w:pPr>
        <w:rPr>
          <w:sz w:val="24"/>
        </w:rPr>
      </w:pPr>
    </w:p>
    <w:p>
      <w:pPr>
        <w:spacing w:line="0" w:lineRule="atLeast"/>
        <w:rPr>
          <w:rFonts w:eastAsia="仿宋_GB2312"/>
          <w:sz w:val="24"/>
        </w:rPr>
      </w:pPr>
    </w:p>
    <w:p>
      <w:pPr>
        <w:widowControl/>
        <w:spacing w:line="360" w:lineRule="auto"/>
        <w:ind w:firstLine="4200" w:firstLineChars="2000"/>
        <w:jc w:val="left"/>
        <w:rPr>
          <w:sz w:val="21"/>
          <w:szCs w:val="21"/>
        </w:rPr>
      </w:pPr>
      <w:r>
        <w:rPr>
          <w:sz w:val="21"/>
          <w:szCs w:val="21"/>
        </w:rPr>
        <w:t>投 标 人（盖章）：</w:t>
      </w:r>
    </w:p>
    <w:p>
      <w:pPr>
        <w:pStyle w:val="17"/>
        <w:widowControl/>
        <w:spacing w:line="360" w:lineRule="auto"/>
        <w:ind w:firstLine="4200" w:firstLineChars="2000"/>
        <w:jc w:val="left"/>
        <w:rPr>
          <w:rFonts w:ascii="Times New Roman"/>
          <w:spacing w:val="0"/>
          <w:sz w:val="21"/>
          <w:szCs w:val="21"/>
        </w:rPr>
      </w:pPr>
      <w:r>
        <w:rPr>
          <w:rFonts w:ascii="Times New Roman"/>
          <w:spacing w:val="0"/>
          <w:sz w:val="21"/>
          <w:szCs w:val="21"/>
        </w:rPr>
        <w:t>日    期：</w:t>
      </w:r>
    </w:p>
    <w:p>
      <w:pPr>
        <w:widowControl/>
        <w:jc w:val="left"/>
        <w:outlineLvl w:val="1"/>
        <w:rPr>
          <w:szCs w:val="21"/>
        </w:rPr>
      </w:pPr>
      <w:r>
        <w:rPr>
          <w:rStyle w:val="116"/>
          <w:sz w:val="21"/>
          <w:szCs w:val="21"/>
        </w:rPr>
        <w:br w:type="page"/>
      </w:r>
      <w:bookmarkStart w:id="350" w:name="_Toc23301"/>
      <w:bookmarkStart w:id="351" w:name="_Toc2964"/>
      <w:bookmarkStart w:id="352" w:name="_Toc13121"/>
      <w:bookmarkStart w:id="353" w:name="_Toc16242"/>
      <w:r>
        <w:rPr>
          <w:b/>
        </w:rPr>
        <w:t>格式</w:t>
      </w:r>
      <w:r>
        <w:rPr>
          <w:rFonts w:hint="eastAsia"/>
          <w:b/>
        </w:rPr>
        <w:t>十</w:t>
      </w:r>
      <w:r>
        <w:rPr>
          <w:b/>
        </w:rPr>
        <w:t>：</w:t>
      </w:r>
      <w:bookmarkEnd w:id="350"/>
      <w:bookmarkEnd w:id="351"/>
      <w:bookmarkEnd w:id="352"/>
      <w:bookmarkEnd w:id="353"/>
    </w:p>
    <w:p>
      <w:pPr>
        <w:spacing w:before="120" w:after="120"/>
        <w:jc w:val="center"/>
        <w:rPr>
          <w:b/>
          <w:bCs/>
          <w:spacing w:val="20"/>
          <w:sz w:val="32"/>
          <w:szCs w:val="32"/>
        </w:rPr>
      </w:pPr>
      <w:r>
        <w:rPr>
          <w:b/>
          <w:bCs/>
          <w:spacing w:val="20"/>
          <w:sz w:val="32"/>
          <w:szCs w:val="32"/>
        </w:rPr>
        <w:t>项目人员配置表</w:t>
      </w:r>
    </w:p>
    <w:tbl>
      <w:tblPr>
        <w:tblStyle w:val="40"/>
        <w:tblW w:w="8931" w:type="dxa"/>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c>
          <w:tcPr>
            <w:tcW w:w="567"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Cs w:val="21"/>
              </w:rPr>
            </w:pPr>
            <w:r>
              <w:rPr>
                <w:szCs w:val="21"/>
              </w:rPr>
              <w:t>序号</w:t>
            </w:r>
          </w:p>
        </w:tc>
        <w:tc>
          <w:tcPr>
            <w:tcW w:w="1134"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Cs w:val="21"/>
              </w:rPr>
            </w:pPr>
            <w:r>
              <w:rPr>
                <w:szCs w:val="21"/>
              </w:rPr>
              <w:t>姓名</w:t>
            </w:r>
          </w:p>
        </w:tc>
        <w:tc>
          <w:tcPr>
            <w:tcW w:w="709"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Cs w:val="21"/>
              </w:rPr>
            </w:pPr>
            <w:r>
              <w:rPr>
                <w:szCs w:val="21"/>
              </w:rPr>
              <w:t>性别</w:t>
            </w:r>
          </w:p>
        </w:tc>
        <w:tc>
          <w:tcPr>
            <w:tcW w:w="1418"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Cs w:val="21"/>
              </w:rPr>
            </w:pPr>
            <w:r>
              <w:rPr>
                <w:szCs w:val="21"/>
              </w:rPr>
              <w:t>职称</w:t>
            </w:r>
          </w:p>
        </w:tc>
        <w:tc>
          <w:tcPr>
            <w:tcW w:w="1559"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Cs w:val="21"/>
              </w:rPr>
            </w:pPr>
            <w:r>
              <w:rPr>
                <w:szCs w:val="21"/>
              </w:rPr>
              <w:t>专业</w:t>
            </w:r>
          </w:p>
        </w:tc>
        <w:tc>
          <w:tcPr>
            <w:tcW w:w="1984"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Cs w:val="21"/>
              </w:rPr>
            </w:pPr>
            <w:r>
              <w:rPr>
                <w:szCs w:val="21"/>
              </w:rPr>
              <w:t>联系电话</w:t>
            </w:r>
          </w:p>
        </w:tc>
        <w:tc>
          <w:tcPr>
            <w:tcW w:w="1560" w:type="dxa"/>
            <w:tcBorders>
              <w:top w:val="single" w:color="auto" w:sz="4" w:space="0"/>
              <w:bottom w:val="single" w:color="auto" w:sz="4" w:space="0"/>
            </w:tcBorders>
            <w:tcMar>
              <w:left w:w="28" w:type="dxa"/>
              <w:right w:w="28" w:type="dxa"/>
            </w:tcMar>
            <w:vAlign w:val="center"/>
          </w:tcPr>
          <w:p>
            <w:pPr>
              <w:spacing w:line="500" w:lineRule="exact"/>
              <w:ind w:right="25" w:rightChars="12"/>
              <w:jc w:val="center"/>
              <w:rPr>
                <w:szCs w:val="21"/>
              </w:rPr>
            </w:pPr>
            <w:r>
              <w:rPr>
                <w:szCs w:val="21"/>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Borders>
              <w:top w:val="single" w:color="auto" w:sz="4" w:space="0"/>
            </w:tcBorders>
            <w:tcMar>
              <w:left w:w="28" w:type="dxa"/>
              <w:right w:w="28" w:type="dxa"/>
            </w:tcMar>
            <w:vAlign w:val="center"/>
          </w:tcPr>
          <w:p>
            <w:pPr>
              <w:spacing w:line="500" w:lineRule="exact"/>
              <w:ind w:right="25" w:rightChars="12"/>
              <w:jc w:val="center"/>
              <w:rPr>
                <w:szCs w:val="21"/>
              </w:rPr>
            </w:pPr>
            <w:r>
              <w:rPr>
                <w:szCs w:val="21"/>
              </w:rPr>
              <w:t>1</w:t>
            </w:r>
          </w:p>
        </w:tc>
        <w:tc>
          <w:tcPr>
            <w:tcW w:w="1134" w:type="dxa"/>
            <w:tcBorders>
              <w:top w:val="single" w:color="auto" w:sz="4" w:space="0"/>
            </w:tcBorders>
            <w:tcMar>
              <w:left w:w="28" w:type="dxa"/>
              <w:right w:w="28" w:type="dxa"/>
            </w:tcMar>
            <w:vAlign w:val="center"/>
          </w:tcPr>
          <w:p>
            <w:pPr>
              <w:spacing w:line="500" w:lineRule="exact"/>
              <w:ind w:right="25" w:rightChars="12"/>
              <w:jc w:val="center"/>
              <w:rPr>
                <w:szCs w:val="21"/>
              </w:rPr>
            </w:pPr>
          </w:p>
        </w:tc>
        <w:tc>
          <w:tcPr>
            <w:tcW w:w="709" w:type="dxa"/>
            <w:tcBorders>
              <w:top w:val="single" w:color="auto" w:sz="4" w:space="0"/>
            </w:tcBorders>
            <w:tcMar>
              <w:left w:w="28" w:type="dxa"/>
              <w:right w:w="28" w:type="dxa"/>
            </w:tcMar>
            <w:vAlign w:val="center"/>
          </w:tcPr>
          <w:p>
            <w:pPr>
              <w:spacing w:line="500" w:lineRule="exact"/>
              <w:ind w:right="25" w:rightChars="12"/>
              <w:jc w:val="center"/>
              <w:rPr>
                <w:szCs w:val="21"/>
              </w:rPr>
            </w:pPr>
          </w:p>
        </w:tc>
        <w:tc>
          <w:tcPr>
            <w:tcW w:w="1418" w:type="dxa"/>
            <w:tcBorders>
              <w:top w:val="single" w:color="auto" w:sz="4" w:space="0"/>
            </w:tcBorders>
            <w:tcMar>
              <w:left w:w="28" w:type="dxa"/>
              <w:right w:w="28" w:type="dxa"/>
            </w:tcMar>
            <w:vAlign w:val="center"/>
          </w:tcPr>
          <w:p>
            <w:pPr>
              <w:spacing w:line="500" w:lineRule="exact"/>
              <w:ind w:right="25" w:rightChars="12"/>
              <w:jc w:val="center"/>
              <w:rPr>
                <w:szCs w:val="21"/>
              </w:rPr>
            </w:pPr>
          </w:p>
        </w:tc>
        <w:tc>
          <w:tcPr>
            <w:tcW w:w="1559" w:type="dxa"/>
            <w:tcBorders>
              <w:top w:val="single" w:color="auto" w:sz="4" w:space="0"/>
            </w:tcBorders>
            <w:tcMar>
              <w:left w:w="28" w:type="dxa"/>
              <w:right w:w="28" w:type="dxa"/>
            </w:tcMar>
            <w:vAlign w:val="center"/>
          </w:tcPr>
          <w:p>
            <w:pPr>
              <w:spacing w:line="500" w:lineRule="exact"/>
              <w:ind w:right="25" w:rightChars="12"/>
              <w:jc w:val="center"/>
              <w:rPr>
                <w:szCs w:val="21"/>
              </w:rPr>
            </w:pPr>
          </w:p>
        </w:tc>
        <w:tc>
          <w:tcPr>
            <w:tcW w:w="1984" w:type="dxa"/>
            <w:tcBorders>
              <w:top w:val="single" w:color="auto" w:sz="4" w:space="0"/>
            </w:tcBorders>
            <w:tcMar>
              <w:left w:w="28" w:type="dxa"/>
              <w:right w:w="28" w:type="dxa"/>
            </w:tcMar>
            <w:vAlign w:val="center"/>
          </w:tcPr>
          <w:p>
            <w:pPr>
              <w:spacing w:line="500" w:lineRule="exact"/>
              <w:ind w:right="25" w:rightChars="12"/>
              <w:jc w:val="center"/>
              <w:rPr>
                <w:szCs w:val="21"/>
              </w:rPr>
            </w:pPr>
          </w:p>
        </w:tc>
        <w:tc>
          <w:tcPr>
            <w:tcW w:w="1560" w:type="dxa"/>
            <w:tcBorders>
              <w:top w:val="single" w:color="auto" w:sz="4" w:space="0"/>
            </w:tcBorders>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r>
              <w:rPr>
                <w:szCs w:val="21"/>
              </w:rPr>
              <w:t>2</w:t>
            </w: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r>
              <w:rPr>
                <w:szCs w:val="21"/>
              </w:rPr>
              <w:t>3</w:t>
            </w: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r>
              <w:rPr>
                <w:szCs w:val="21"/>
              </w:rPr>
              <w:t>4</w:t>
            </w: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r>
              <w:rPr>
                <w:szCs w:val="21"/>
              </w:rPr>
              <w:t>5</w:t>
            </w: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r>
              <w:rPr>
                <w:szCs w:val="21"/>
              </w:rPr>
              <w:t>6</w:t>
            </w: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r>
              <w:rPr>
                <w:szCs w:val="21"/>
              </w:rPr>
              <w:t>7</w:t>
            </w: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spacing w:line="500" w:lineRule="exact"/>
              <w:ind w:right="25" w:rightChars="12"/>
              <w:jc w:val="center"/>
              <w:rPr>
                <w:szCs w:val="21"/>
              </w:rPr>
            </w:pPr>
          </w:p>
        </w:tc>
        <w:tc>
          <w:tcPr>
            <w:tcW w:w="1134" w:type="dxa"/>
            <w:tcMar>
              <w:left w:w="28" w:type="dxa"/>
              <w:right w:w="28" w:type="dxa"/>
            </w:tcMar>
            <w:vAlign w:val="center"/>
          </w:tcPr>
          <w:p>
            <w:pPr>
              <w:spacing w:line="500" w:lineRule="exact"/>
              <w:ind w:right="25" w:rightChars="12"/>
              <w:jc w:val="center"/>
              <w:rPr>
                <w:szCs w:val="21"/>
              </w:rPr>
            </w:pPr>
          </w:p>
        </w:tc>
        <w:tc>
          <w:tcPr>
            <w:tcW w:w="709" w:type="dxa"/>
            <w:tcMar>
              <w:left w:w="28" w:type="dxa"/>
              <w:right w:w="28" w:type="dxa"/>
            </w:tcMar>
            <w:vAlign w:val="center"/>
          </w:tcPr>
          <w:p>
            <w:pPr>
              <w:spacing w:line="500" w:lineRule="exact"/>
              <w:ind w:right="25" w:rightChars="12"/>
              <w:jc w:val="center"/>
              <w:rPr>
                <w:szCs w:val="21"/>
              </w:rPr>
            </w:pPr>
          </w:p>
        </w:tc>
        <w:tc>
          <w:tcPr>
            <w:tcW w:w="1418" w:type="dxa"/>
            <w:tcMar>
              <w:left w:w="28" w:type="dxa"/>
              <w:right w:w="28" w:type="dxa"/>
            </w:tcMar>
            <w:vAlign w:val="center"/>
          </w:tcPr>
          <w:p>
            <w:pPr>
              <w:spacing w:line="500" w:lineRule="exact"/>
              <w:ind w:right="25" w:rightChars="12"/>
              <w:jc w:val="center"/>
              <w:rPr>
                <w:szCs w:val="21"/>
              </w:rPr>
            </w:pPr>
          </w:p>
        </w:tc>
        <w:tc>
          <w:tcPr>
            <w:tcW w:w="1559" w:type="dxa"/>
            <w:tcMar>
              <w:left w:w="28" w:type="dxa"/>
              <w:right w:w="28" w:type="dxa"/>
            </w:tcMar>
            <w:vAlign w:val="center"/>
          </w:tcPr>
          <w:p>
            <w:pPr>
              <w:spacing w:line="500" w:lineRule="exact"/>
              <w:ind w:right="25" w:rightChars="12"/>
              <w:jc w:val="center"/>
              <w:rPr>
                <w:szCs w:val="21"/>
              </w:rPr>
            </w:pPr>
          </w:p>
        </w:tc>
        <w:tc>
          <w:tcPr>
            <w:tcW w:w="1984" w:type="dxa"/>
            <w:tcMar>
              <w:left w:w="28" w:type="dxa"/>
              <w:right w:w="28" w:type="dxa"/>
            </w:tcMar>
            <w:vAlign w:val="center"/>
          </w:tcPr>
          <w:p>
            <w:pPr>
              <w:spacing w:line="500" w:lineRule="exact"/>
              <w:ind w:right="25" w:rightChars="12"/>
              <w:jc w:val="center"/>
              <w:rPr>
                <w:szCs w:val="21"/>
              </w:rPr>
            </w:pPr>
          </w:p>
        </w:tc>
        <w:tc>
          <w:tcPr>
            <w:tcW w:w="1560" w:type="dxa"/>
            <w:tcMar>
              <w:left w:w="28" w:type="dxa"/>
              <w:right w:w="28" w:type="dxa"/>
            </w:tcMar>
            <w:vAlign w:val="center"/>
          </w:tcPr>
          <w:p>
            <w:pPr>
              <w:spacing w:line="500" w:lineRule="exact"/>
              <w:ind w:right="25" w:rightChars="1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w w:val="80"/>
                <w:szCs w:val="21"/>
              </w:rPr>
            </w:pPr>
          </w:p>
        </w:tc>
        <w:tc>
          <w:tcPr>
            <w:tcW w:w="1134" w:type="dxa"/>
            <w:tcMar>
              <w:left w:w="28" w:type="dxa"/>
              <w:right w:w="28" w:type="dxa"/>
            </w:tcMar>
            <w:vAlign w:val="center"/>
          </w:tcPr>
          <w:p>
            <w:pPr>
              <w:jc w:val="center"/>
              <w:rPr>
                <w:w w:val="80"/>
                <w:szCs w:val="21"/>
              </w:rPr>
            </w:pPr>
          </w:p>
        </w:tc>
        <w:tc>
          <w:tcPr>
            <w:tcW w:w="709" w:type="dxa"/>
            <w:tcMar>
              <w:left w:w="28" w:type="dxa"/>
              <w:right w:w="28" w:type="dxa"/>
            </w:tcMar>
            <w:vAlign w:val="center"/>
          </w:tcPr>
          <w:p>
            <w:pPr>
              <w:jc w:val="center"/>
              <w:rPr>
                <w:w w:val="80"/>
                <w:szCs w:val="21"/>
              </w:rPr>
            </w:pPr>
          </w:p>
        </w:tc>
        <w:tc>
          <w:tcPr>
            <w:tcW w:w="1418" w:type="dxa"/>
            <w:tcMar>
              <w:left w:w="28" w:type="dxa"/>
              <w:right w:w="28" w:type="dxa"/>
            </w:tcMar>
            <w:vAlign w:val="center"/>
          </w:tcPr>
          <w:p>
            <w:pPr>
              <w:jc w:val="center"/>
              <w:rPr>
                <w:w w:val="80"/>
                <w:szCs w:val="21"/>
              </w:rPr>
            </w:pPr>
          </w:p>
        </w:tc>
        <w:tc>
          <w:tcPr>
            <w:tcW w:w="1559" w:type="dxa"/>
            <w:tcMar>
              <w:left w:w="28" w:type="dxa"/>
              <w:right w:w="28" w:type="dxa"/>
            </w:tcMar>
            <w:vAlign w:val="center"/>
          </w:tcPr>
          <w:p>
            <w:pPr>
              <w:jc w:val="center"/>
              <w:rPr>
                <w:w w:val="80"/>
                <w:szCs w:val="21"/>
              </w:rPr>
            </w:pPr>
          </w:p>
        </w:tc>
        <w:tc>
          <w:tcPr>
            <w:tcW w:w="1984" w:type="dxa"/>
            <w:tcMar>
              <w:left w:w="28" w:type="dxa"/>
              <w:right w:w="28" w:type="dxa"/>
            </w:tcMar>
            <w:vAlign w:val="center"/>
          </w:tcPr>
          <w:p>
            <w:pPr>
              <w:jc w:val="center"/>
              <w:rPr>
                <w:w w:val="80"/>
                <w:szCs w:val="21"/>
              </w:rPr>
            </w:pPr>
          </w:p>
        </w:tc>
        <w:tc>
          <w:tcPr>
            <w:tcW w:w="1560" w:type="dxa"/>
            <w:tcMar>
              <w:left w:w="28" w:type="dxa"/>
              <w:right w:w="28" w:type="dxa"/>
            </w:tcMar>
            <w:vAlign w:val="center"/>
          </w:tcPr>
          <w:p>
            <w:pPr>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w w:val="80"/>
                <w:szCs w:val="21"/>
              </w:rPr>
            </w:pPr>
          </w:p>
        </w:tc>
        <w:tc>
          <w:tcPr>
            <w:tcW w:w="1134" w:type="dxa"/>
            <w:tcMar>
              <w:left w:w="28" w:type="dxa"/>
              <w:right w:w="28" w:type="dxa"/>
            </w:tcMar>
            <w:vAlign w:val="center"/>
          </w:tcPr>
          <w:p>
            <w:pPr>
              <w:jc w:val="center"/>
              <w:rPr>
                <w:w w:val="80"/>
                <w:szCs w:val="21"/>
              </w:rPr>
            </w:pPr>
          </w:p>
        </w:tc>
        <w:tc>
          <w:tcPr>
            <w:tcW w:w="709" w:type="dxa"/>
            <w:tcMar>
              <w:left w:w="28" w:type="dxa"/>
              <w:right w:w="28" w:type="dxa"/>
            </w:tcMar>
            <w:vAlign w:val="center"/>
          </w:tcPr>
          <w:p>
            <w:pPr>
              <w:jc w:val="center"/>
              <w:rPr>
                <w:w w:val="80"/>
                <w:szCs w:val="21"/>
              </w:rPr>
            </w:pPr>
          </w:p>
        </w:tc>
        <w:tc>
          <w:tcPr>
            <w:tcW w:w="1418" w:type="dxa"/>
            <w:tcMar>
              <w:left w:w="28" w:type="dxa"/>
              <w:right w:w="28" w:type="dxa"/>
            </w:tcMar>
            <w:vAlign w:val="center"/>
          </w:tcPr>
          <w:p>
            <w:pPr>
              <w:jc w:val="center"/>
              <w:rPr>
                <w:w w:val="80"/>
                <w:szCs w:val="21"/>
              </w:rPr>
            </w:pPr>
          </w:p>
        </w:tc>
        <w:tc>
          <w:tcPr>
            <w:tcW w:w="1559" w:type="dxa"/>
            <w:tcMar>
              <w:left w:w="28" w:type="dxa"/>
              <w:right w:w="28" w:type="dxa"/>
            </w:tcMar>
            <w:vAlign w:val="center"/>
          </w:tcPr>
          <w:p>
            <w:pPr>
              <w:jc w:val="center"/>
              <w:rPr>
                <w:w w:val="80"/>
                <w:szCs w:val="21"/>
              </w:rPr>
            </w:pPr>
          </w:p>
        </w:tc>
        <w:tc>
          <w:tcPr>
            <w:tcW w:w="1984" w:type="dxa"/>
            <w:tcMar>
              <w:left w:w="28" w:type="dxa"/>
              <w:right w:w="28" w:type="dxa"/>
            </w:tcMar>
            <w:vAlign w:val="center"/>
          </w:tcPr>
          <w:p>
            <w:pPr>
              <w:jc w:val="center"/>
              <w:rPr>
                <w:w w:val="80"/>
                <w:szCs w:val="21"/>
              </w:rPr>
            </w:pPr>
          </w:p>
        </w:tc>
        <w:tc>
          <w:tcPr>
            <w:tcW w:w="1560" w:type="dxa"/>
            <w:tcMar>
              <w:left w:w="28" w:type="dxa"/>
              <w:right w:w="28" w:type="dxa"/>
            </w:tcMar>
            <w:vAlign w:val="center"/>
          </w:tcPr>
          <w:p>
            <w:pPr>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w w:val="80"/>
                <w:szCs w:val="21"/>
              </w:rPr>
            </w:pPr>
          </w:p>
        </w:tc>
        <w:tc>
          <w:tcPr>
            <w:tcW w:w="1134" w:type="dxa"/>
            <w:tcMar>
              <w:left w:w="28" w:type="dxa"/>
              <w:right w:w="28" w:type="dxa"/>
            </w:tcMar>
            <w:vAlign w:val="center"/>
          </w:tcPr>
          <w:p>
            <w:pPr>
              <w:jc w:val="center"/>
              <w:rPr>
                <w:w w:val="80"/>
                <w:szCs w:val="21"/>
              </w:rPr>
            </w:pPr>
          </w:p>
        </w:tc>
        <w:tc>
          <w:tcPr>
            <w:tcW w:w="709" w:type="dxa"/>
            <w:tcMar>
              <w:left w:w="28" w:type="dxa"/>
              <w:right w:w="28" w:type="dxa"/>
            </w:tcMar>
            <w:vAlign w:val="center"/>
          </w:tcPr>
          <w:p>
            <w:pPr>
              <w:jc w:val="center"/>
              <w:rPr>
                <w:w w:val="80"/>
                <w:szCs w:val="21"/>
              </w:rPr>
            </w:pPr>
          </w:p>
        </w:tc>
        <w:tc>
          <w:tcPr>
            <w:tcW w:w="1418" w:type="dxa"/>
            <w:tcMar>
              <w:left w:w="28" w:type="dxa"/>
              <w:right w:w="28" w:type="dxa"/>
            </w:tcMar>
            <w:vAlign w:val="center"/>
          </w:tcPr>
          <w:p>
            <w:pPr>
              <w:jc w:val="center"/>
              <w:rPr>
                <w:w w:val="80"/>
                <w:szCs w:val="21"/>
              </w:rPr>
            </w:pPr>
          </w:p>
        </w:tc>
        <w:tc>
          <w:tcPr>
            <w:tcW w:w="1559" w:type="dxa"/>
            <w:tcMar>
              <w:left w:w="28" w:type="dxa"/>
              <w:right w:w="28" w:type="dxa"/>
            </w:tcMar>
            <w:vAlign w:val="center"/>
          </w:tcPr>
          <w:p>
            <w:pPr>
              <w:jc w:val="center"/>
              <w:rPr>
                <w:w w:val="80"/>
                <w:szCs w:val="21"/>
              </w:rPr>
            </w:pPr>
          </w:p>
        </w:tc>
        <w:tc>
          <w:tcPr>
            <w:tcW w:w="1984" w:type="dxa"/>
            <w:tcMar>
              <w:left w:w="28" w:type="dxa"/>
              <w:right w:w="28" w:type="dxa"/>
            </w:tcMar>
            <w:vAlign w:val="center"/>
          </w:tcPr>
          <w:p>
            <w:pPr>
              <w:jc w:val="center"/>
              <w:rPr>
                <w:w w:val="80"/>
                <w:szCs w:val="21"/>
              </w:rPr>
            </w:pPr>
          </w:p>
        </w:tc>
        <w:tc>
          <w:tcPr>
            <w:tcW w:w="1560" w:type="dxa"/>
            <w:tcMar>
              <w:left w:w="28" w:type="dxa"/>
              <w:right w:w="28" w:type="dxa"/>
            </w:tcMar>
            <w:vAlign w:val="center"/>
          </w:tcPr>
          <w:p>
            <w:pPr>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w w:val="80"/>
                <w:szCs w:val="21"/>
              </w:rPr>
            </w:pPr>
          </w:p>
        </w:tc>
        <w:tc>
          <w:tcPr>
            <w:tcW w:w="1134" w:type="dxa"/>
            <w:tcMar>
              <w:left w:w="28" w:type="dxa"/>
              <w:right w:w="28" w:type="dxa"/>
            </w:tcMar>
            <w:vAlign w:val="center"/>
          </w:tcPr>
          <w:p>
            <w:pPr>
              <w:jc w:val="center"/>
              <w:rPr>
                <w:w w:val="80"/>
                <w:szCs w:val="21"/>
              </w:rPr>
            </w:pPr>
          </w:p>
        </w:tc>
        <w:tc>
          <w:tcPr>
            <w:tcW w:w="709" w:type="dxa"/>
            <w:tcMar>
              <w:left w:w="28" w:type="dxa"/>
              <w:right w:w="28" w:type="dxa"/>
            </w:tcMar>
            <w:vAlign w:val="center"/>
          </w:tcPr>
          <w:p>
            <w:pPr>
              <w:jc w:val="center"/>
              <w:rPr>
                <w:w w:val="80"/>
                <w:szCs w:val="21"/>
              </w:rPr>
            </w:pPr>
          </w:p>
        </w:tc>
        <w:tc>
          <w:tcPr>
            <w:tcW w:w="1418" w:type="dxa"/>
            <w:tcMar>
              <w:left w:w="28" w:type="dxa"/>
              <w:right w:w="28" w:type="dxa"/>
            </w:tcMar>
            <w:vAlign w:val="center"/>
          </w:tcPr>
          <w:p>
            <w:pPr>
              <w:jc w:val="center"/>
              <w:rPr>
                <w:w w:val="80"/>
                <w:szCs w:val="21"/>
              </w:rPr>
            </w:pPr>
          </w:p>
        </w:tc>
        <w:tc>
          <w:tcPr>
            <w:tcW w:w="1559" w:type="dxa"/>
            <w:tcMar>
              <w:left w:w="28" w:type="dxa"/>
              <w:right w:w="28" w:type="dxa"/>
            </w:tcMar>
            <w:vAlign w:val="center"/>
          </w:tcPr>
          <w:p>
            <w:pPr>
              <w:jc w:val="center"/>
              <w:rPr>
                <w:w w:val="80"/>
                <w:szCs w:val="21"/>
              </w:rPr>
            </w:pPr>
          </w:p>
        </w:tc>
        <w:tc>
          <w:tcPr>
            <w:tcW w:w="1984" w:type="dxa"/>
            <w:tcMar>
              <w:left w:w="28" w:type="dxa"/>
              <w:right w:w="28" w:type="dxa"/>
            </w:tcMar>
            <w:vAlign w:val="center"/>
          </w:tcPr>
          <w:p>
            <w:pPr>
              <w:jc w:val="center"/>
              <w:rPr>
                <w:w w:val="80"/>
                <w:szCs w:val="21"/>
              </w:rPr>
            </w:pPr>
          </w:p>
        </w:tc>
        <w:tc>
          <w:tcPr>
            <w:tcW w:w="1560" w:type="dxa"/>
            <w:tcMar>
              <w:left w:w="28" w:type="dxa"/>
              <w:right w:w="28" w:type="dxa"/>
            </w:tcMar>
            <w:vAlign w:val="center"/>
          </w:tcPr>
          <w:p>
            <w:pPr>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567" w:type="dxa"/>
            <w:tcMar>
              <w:left w:w="28" w:type="dxa"/>
              <w:right w:w="28" w:type="dxa"/>
            </w:tcMar>
            <w:vAlign w:val="center"/>
          </w:tcPr>
          <w:p>
            <w:pPr>
              <w:jc w:val="center"/>
              <w:rPr>
                <w:w w:val="80"/>
                <w:szCs w:val="21"/>
              </w:rPr>
            </w:pPr>
          </w:p>
        </w:tc>
        <w:tc>
          <w:tcPr>
            <w:tcW w:w="1134" w:type="dxa"/>
            <w:tcMar>
              <w:left w:w="28" w:type="dxa"/>
              <w:right w:w="28" w:type="dxa"/>
            </w:tcMar>
            <w:vAlign w:val="center"/>
          </w:tcPr>
          <w:p>
            <w:pPr>
              <w:jc w:val="center"/>
              <w:rPr>
                <w:w w:val="80"/>
                <w:szCs w:val="21"/>
              </w:rPr>
            </w:pPr>
          </w:p>
        </w:tc>
        <w:tc>
          <w:tcPr>
            <w:tcW w:w="709" w:type="dxa"/>
            <w:tcMar>
              <w:left w:w="28" w:type="dxa"/>
              <w:right w:w="28" w:type="dxa"/>
            </w:tcMar>
            <w:vAlign w:val="center"/>
          </w:tcPr>
          <w:p>
            <w:pPr>
              <w:jc w:val="center"/>
              <w:rPr>
                <w:w w:val="80"/>
                <w:szCs w:val="21"/>
              </w:rPr>
            </w:pPr>
          </w:p>
        </w:tc>
        <w:tc>
          <w:tcPr>
            <w:tcW w:w="1418" w:type="dxa"/>
            <w:tcMar>
              <w:left w:w="28" w:type="dxa"/>
              <w:right w:w="28" w:type="dxa"/>
            </w:tcMar>
            <w:vAlign w:val="center"/>
          </w:tcPr>
          <w:p>
            <w:pPr>
              <w:jc w:val="center"/>
              <w:rPr>
                <w:w w:val="80"/>
                <w:szCs w:val="21"/>
              </w:rPr>
            </w:pPr>
          </w:p>
        </w:tc>
        <w:tc>
          <w:tcPr>
            <w:tcW w:w="1559" w:type="dxa"/>
            <w:tcMar>
              <w:left w:w="28" w:type="dxa"/>
              <w:right w:w="28" w:type="dxa"/>
            </w:tcMar>
            <w:vAlign w:val="center"/>
          </w:tcPr>
          <w:p>
            <w:pPr>
              <w:jc w:val="center"/>
              <w:rPr>
                <w:w w:val="80"/>
                <w:szCs w:val="21"/>
              </w:rPr>
            </w:pPr>
          </w:p>
        </w:tc>
        <w:tc>
          <w:tcPr>
            <w:tcW w:w="1984" w:type="dxa"/>
            <w:tcMar>
              <w:left w:w="28" w:type="dxa"/>
              <w:right w:w="28" w:type="dxa"/>
            </w:tcMar>
            <w:vAlign w:val="center"/>
          </w:tcPr>
          <w:p>
            <w:pPr>
              <w:jc w:val="center"/>
              <w:rPr>
                <w:w w:val="80"/>
                <w:szCs w:val="21"/>
              </w:rPr>
            </w:pPr>
          </w:p>
        </w:tc>
        <w:tc>
          <w:tcPr>
            <w:tcW w:w="1560" w:type="dxa"/>
            <w:tcMar>
              <w:left w:w="28" w:type="dxa"/>
              <w:right w:w="28" w:type="dxa"/>
            </w:tcMar>
            <w:vAlign w:val="center"/>
          </w:tcPr>
          <w:p>
            <w:pPr>
              <w:jc w:val="center"/>
              <w:rPr>
                <w:w w:val="80"/>
                <w:szCs w:val="21"/>
              </w:rPr>
            </w:pPr>
          </w:p>
        </w:tc>
      </w:tr>
    </w:tbl>
    <w:p>
      <w:pPr>
        <w:pStyle w:val="17"/>
        <w:widowControl/>
        <w:spacing w:line="360" w:lineRule="auto"/>
        <w:ind w:firstLine="0"/>
        <w:jc w:val="left"/>
        <w:rPr>
          <w:rFonts w:ascii="Times New Roman"/>
          <w:b/>
        </w:rPr>
      </w:pPr>
    </w:p>
    <w:p>
      <w:pPr>
        <w:pStyle w:val="17"/>
        <w:widowControl/>
        <w:spacing w:line="360" w:lineRule="auto"/>
        <w:ind w:firstLine="0"/>
        <w:jc w:val="left"/>
        <w:rPr>
          <w:rFonts w:ascii="Times New Roman"/>
          <w:b/>
        </w:rPr>
      </w:pPr>
    </w:p>
    <w:p>
      <w:pPr>
        <w:spacing w:line="0" w:lineRule="atLeast"/>
        <w:rPr>
          <w:rFonts w:eastAsia="仿宋_GB2312"/>
          <w:sz w:val="24"/>
        </w:rPr>
      </w:pPr>
    </w:p>
    <w:p>
      <w:pPr>
        <w:widowControl/>
        <w:spacing w:line="360" w:lineRule="auto"/>
        <w:ind w:firstLine="4200" w:firstLineChars="2000"/>
        <w:jc w:val="left"/>
        <w:rPr>
          <w:sz w:val="21"/>
          <w:szCs w:val="21"/>
        </w:rPr>
      </w:pPr>
      <w:r>
        <w:rPr>
          <w:sz w:val="21"/>
          <w:szCs w:val="21"/>
        </w:rPr>
        <w:t>投 标 人（盖章）：</w:t>
      </w:r>
    </w:p>
    <w:p>
      <w:pPr>
        <w:ind w:firstLine="4200" w:firstLineChars="2000"/>
        <w:rPr>
          <w:b/>
        </w:rPr>
      </w:pPr>
      <w:r>
        <w:rPr>
          <w:sz w:val="21"/>
          <w:szCs w:val="21"/>
        </w:rPr>
        <w:t>日    期：</w:t>
      </w:r>
      <w:r>
        <w:br w:type="page"/>
      </w:r>
    </w:p>
    <w:p>
      <w:pPr>
        <w:outlineLvl w:val="1"/>
        <w:rPr>
          <w:rStyle w:val="116"/>
          <w:szCs w:val="21"/>
        </w:rPr>
      </w:pPr>
      <w:bookmarkStart w:id="354" w:name="_Toc2199"/>
      <w:bookmarkStart w:id="355" w:name="_Toc6958"/>
      <w:bookmarkStart w:id="356" w:name="_Toc28487"/>
      <w:bookmarkStart w:id="357" w:name="_Toc13349"/>
      <w:r>
        <w:rPr>
          <w:b/>
        </w:rPr>
        <w:t>格式十</w:t>
      </w:r>
      <w:bookmarkEnd w:id="354"/>
      <w:bookmarkEnd w:id="355"/>
      <w:bookmarkEnd w:id="356"/>
      <w:r>
        <w:rPr>
          <w:rFonts w:hint="eastAsia"/>
          <w:b/>
        </w:rPr>
        <w:t>一：</w:t>
      </w:r>
      <w:bookmarkEnd w:id="357"/>
    </w:p>
    <w:p>
      <w:pPr>
        <w:snapToGrid w:val="0"/>
        <w:spacing w:line="360" w:lineRule="auto"/>
        <w:jc w:val="center"/>
        <w:rPr>
          <w:b/>
          <w:sz w:val="32"/>
        </w:rPr>
      </w:pPr>
      <w:r>
        <w:rPr>
          <w:b/>
          <w:sz w:val="32"/>
        </w:rPr>
        <w:t>技术条款偏离表</w:t>
      </w:r>
    </w:p>
    <w:p>
      <w:pPr>
        <w:snapToGrid w:val="0"/>
        <w:spacing w:line="360" w:lineRule="auto"/>
        <w:rPr>
          <w:b/>
          <w:bCs/>
          <w:sz w:val="21"/>
          <w:szCs w:val="21"/>
        </w:rPr>
      </w:pPr>
      <w:r>
        <w:rPr>
          <w:b/>
          <w:bCs/>
          <w:sz w:val="21"/>
          <w:szCs w:val="21"/>
        </w:rPr>
        <w:t>项目名称：</w:t>
      </w:r>
      <w:r>
        <w:rPr>
          <w:b w:val="0"/>
          <w:bCs w:val="0"/>
          <w:sz w:val="21"/>
          <w:szCs w:val="21"/>
          <w:u w:val="single"/>
        </w:rPr>
        <w:t xml:space="preserve">                </w:t>
      </w:r>
      <w:r>
        <w:rPr>
          <w:b/>
          <w:bCs/>
          <w:sz w:val="21"/>
          <w:szCs w:val="21"/>
        </w:rPr>
        <w:t>招标编号：</w:t>
      </w:r>
      <w:r>
        <w:rPr>
          <w:b w:val="0"/>
          <w:bCs w:val="0"/>
          <w:sz w:val="21"/>
          <w:szCs w:val="21"/>
          <w:u w:val="single"/>
        </w:rPr>
        <w:t xml:space="preserve">                </w:t>
      </w:r>
      <w:r>
        <w:rPr>
          <w:b w:val="0"/>
          <w:bCs w:val="0"/>
          <w:sz w:val="21"/>
          <w:szCs w:val="21"/>
        </w:rPr>
        <w:t xml:space="preserve"> </w:t>
      </w:r>
    </w:p>
    <w:tbl>
      <w:tblPr>
        <w:tblStyle w:val="40"/>
        <w:tblW w:w="889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85"/>
        <w:gridCol w:w="2892"/>
        <w:gridCol w:w="2410"/>
        <w:gridCol w:w="24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8" w:hRule="atLeast"/>
          <w:tblHeader/>
        </w:trPr>
        <w:tc>
          <w:tcPr>
            <w:tcW w:w="1185" w:type="dxa"/>
            <w:vAlign w:val="center"/>
          </w:tcPr>
          <w:p>
            <w:pPr>
              <w:spacing w:line="400" w:lineRule="exact"/>
              <w:jc w:val="center"/>
            </w:pPr>
            <w:r>
              <w:rPr>
                <w:b/>
                <w:bCs/>
                <w:szCs w:val="21"/>
              </w:rPr>
              <w:t>序号</w:t>
            </w:r>
          </w:p>
        </w:tc>
        <w:tc>
          <w:tcPr>
            <w:tcW w:w="2892" w:type="dxa"/>
            <w:vAlign w:val="center"/>
          </w:tcPr>
          <w:p>
            <w:pPr>
              <w:spacing w:line="400" w:lineRule="exact"/>
              <w:jc w:val="center"/>
            </w:pPr>
            <w:r>
              <w:rPr>
                <w:b/>
                <w:bCs/>
                <w:szCs w:val="21"/>
              </w:rPr>
              <w:t>招标要求</w:t>
            </w:r>
          </w:p>
        </w:tc>
        <w:tc>
          <w:tcPr>
            <w:tcW w:w="2410" w:type="dxa"/>
            <w:vAlign w:val="center"/>
          </w:tcPr>
          <w:p>
            <w:pPr>
              <w:spacing w:line="400" w:lineRule="exact"/>
              <w:jc w:val="center"/>
              <w:rPr>
                <w:b/>
                <w:bCs/>
                <w:szCs w:val="21"/>
              </w:rPr>
            </w:pPr>
            <w:r>
              <w:rPr>
                <w:b/>
                <w:bCs/>
                <w:szCs w:val="21"/>
              </w:rPr>
              <w:t>投标响应</w:t>
            </w:r>
          </w:p>
        </w:tc>
        <w:tc>
          <w:tcPr>
            <w:tcW w:w="2410" w:type="dxa"/>
            <w:vAlign w:val="center"/>
          </w:tcPr>
          <w:p>
            <w:pPr>
              <w:spacing w:line="400" w:lineRule="exact"/>
              <w:jc w:val="center"/>
              <w:rPr>
                <w:b/>
                <w:bCs/>
                <w:szCs w:val="21"/>
              </w:rPr>
            </w:pPr>
            <w:r>
              <w:rPr>
                <w:b/>
                <w:bCs/>
                <w:szCs w:val="21"/>
              </w:rPr>
              <w:t>偏离情况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6" w:hRule="atLeast"/>
        </w:trPr>
        <w:tc>
          <w:tcPr>
            <w:tcW w:w="1185" w:type="dxa"/>
            <w:vAlign w:val="center"/>
          </w:tcPr>
          <w:p>
            <w:pPr>
              <w:widowControl/>
              <w:tabs>
                <w:tab w:val="left" w:pos="180"/>
                <w:tab w:val="left" w:pos="540"/>
              </w:tabs>
              <w:spacing w:line="400" w:lineRule="exact"/>
              <w:jc w:val="center"/>
            </w:pPr>
          </w:p>
        </w:tc>
        <w:tc>
          <w:tcPr>
            <w:tcW w:w="2892" w:type="dxa"/>
          </w:tcPr>
          <w:p>
            <w:pPr>
              <w:widowControl/>
              <w:tabs>
                <w:tab w:val="left" w:pos="180"/>
                <w:tab w:val="left" w:pos="540"/>
              </w:tabs>
              <w:spacing w:line="400" w:lineRule="exact"/>
              <w:jc w:val="lef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pPr>
          </w:p>
        </w:tc>
        <w:tc>
          <w:tcPr>
            <w:tcW w:w="2892" w:type="dxa"/>
            <w:vAlign w:val="center"/>
          </w:tcPr>
          <w:p>
            <w:pPr>
              <w:widowControl/>
              <w:tabs>
                <w:tab w:val="left" w:pos="180"/>
                <w:tab w:val="left" w:pos="540"/>
              </w:tabs>
              <w:spacing w:line="400" w:lineRule="exact"/>
              <w:jc w:val="lef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pPr>
          </w:p>
        </w:tc>
        <w:tc>
          <w:tcPr>
            <w:tcW w:w="2892" w:type="dxa"/>
            <w:vAlign w:val="center"/>
          </w:tcPr>
          <w:p>
            <w:pPr>
              <w:widowControl/>
              <w:tabs>
                <w:tab w:val="left" w:pos="180"/>
                <w:tab w:val="left" w:pos="540"/>
              </w:tabs>
              <w:spacing w:line="400" w:lineRule="exact"/>
              <w:jc w:val="lef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tabs>
                <w:tab w:val="left" w:pos="180"/>
                <w:tab w:val="left" w:pos="540"/>
              </w:tabs>
              <w:spacing w:line="400" w:lineRule="exact"/>
              <w:jc w:val="center"/>
            </w:pPr>
          </w:p>
        </w:tc>
        <w:tc>
          <w:tcPr>
            <w:tcW w:w="2892" w:type="dxa"/>
            <w:vAlign w:val="center"/>
          </w:tcPr>
          <w:p>
            <w:pPr>
              <w:widowControl/>
              <w:tabs>
                <w:tab w:val="left" w:pos="180"/>
                <w:tab w:val="left" w:pos="540"/>
              </w:tabs>
              <w:spacing w:line="400" w:lineRule="exact"/>
              <w:jc w:val="lef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185" w:type="dxa"/>
            <w:vAlign w:val="center"/>
          </w:tcPr>
          <w:p>
            <w:pPr>
              <w:widowControl/>
              <w:spacing w:line="400" w:lineRule="exact"/>
              <w:jc w:val="center"/>
            </w:pPr>
          </w:p>
        </w:tc>
        <w:tc>
          <w:tcPr>
            <w:tcW w:w="2892" w:type="dxa"/>
            <w:vAlign w:val="center"/>
          </w:tcPr>
          <w:p>
            <w:pPr>
              <w:widowControl/>
              <w:spacing w:line="400" w:lineRule="exact"/>
            </w:pPr>
          </w:p>
        </w:tc>
        <w:tc>
          <w:tcPr>
            <w:tcW w:w="2410" w:type="dxa"/>
          </w:tcPr>
          <w:p>
            <w:pPr>
              <w:widowControl/>
              <w:spacing w:line="400" w:lineRule="exact"/>
              <w:rPr>
                <w:b/>
                <w:bCs/>
                <w:szCs w:val="21"/>
              </w:rPr>
            </w:pPr>
          </w:p>
        </w:tc>
        <w:tc>
          <w:tcPr>
            <w:tcW w:w="2410" w:type="dxa"/>
          </w:tcPr>
          <w:p>
            <w:pPr>
              <w:widowControl/>
              <w:spacing w:line="400" w:lineRule="exact"/>
              <w:rPr>
                <w:b/>
                <w:bCs/>
                <w:szCs w:val="21"/>
              </w:rPr>
            </w:pPr>
          </w:p>
        </w:tc>
      </w:tr>
    </w:tbl>
    <w:p>
      <w:pPr>
        <w:snapToGrid w:val="0"/>
        <w:spacing w:line="360" w:lineRule="auto"/>
        <w:rPr>
          <w:b/>
          <w:szCs w:val="21"/>
        </w:rPr>
      </w:pPr>
      <w:r>
        <w:rPr>
          <w:b/>
          <w:szCs w:val="21"/>
        </w:rPr>
        <w:t>注：投标人应根据投标产品的性能指标、对照招标文件第二章招标需求</w:t>
      </w:r>
      <w:r>
        <w:rPr>
          <w:rFonts w:hint="eastAsia"/>
          <w:b/>
          <w:szCs w:val="21"/>
        </w:rPr>
        <w:t>中</w:t>
      </w:r>
      <w:r>
        <w:rPr>
          <w:b/>
          <w:szCs w:val="21"/>
        </w:rPr>
        <w:t>“技术需求”要求逐条填写，并在“偏离情况”栏注明“正偏离”、“负偏离”或“无偏离”。</w:t>
      </w:r>
    </w:p>
    <w:p>
      <w:pPr>
        <w:snapToGrid w:val="0"/>
        <w:spacing w:line="360" w:lineRule="auto"/>
        <w:jc w:val="center"/>
        <w:rPr>
          <w:b/>
          <w:bCs/>
          <w:sz w:val="24"/>
          <w:szCs w:val="21"/>
        </w:rPr>
      </w:pPr>
    </w:p>
    <w:p>
      <w:pPr>
        <w:snapToGrid w:val="0"/>
        <w:spacing w:line="360" w:lineRule="auto"/>
        <w:jc w:val="center"/>
        <w:rPr>
          <w:b/>
          <w:bCs/>
          <w:sz w:val="24"/>
          <w:szCs w:val="21"/>
        </w:rPr>
      </w:pPr>
    </w:p>
    <w:p>
      <w:pPr>
        <w:widowControl/>
        <w:spacing w:line="360" w:lineRule="auto"/>
        <w:ind w:firstLine="3990" w:firstLineChars="1900"/>
        <w:jc w:val="left"/>
        <w:rPr>
          <w:sz w:val="21"/>
          <w:szCs w:val="21"/>
        </w:rPr>
      </w:pPr>
      <w:r>
        <w:rPr>
          <w:sz w:val="21"/>
          <w:szCs w:val="21"/>
        </w:rPr>
        <w:t>投 标 人（盖章）：</w:t>
      </w:r>
    </w:p>
    <w:p>
      <w:pPr>
        <w:pStyle w:val="17"/>
        <w:snapToGrid w:val="0"/>
        <w:spacing w:line="360" w:lineRule="auto"/>
        <w:ind w:firstLine="3360" w:firstLineChars="1600"/>
        <w:rPr>
          <w:rFonts w:ascii="Times New Roman"/>
          <w:spacing w:val="0"/>
          <w:sz w:val="21"/>
          <w:szCs w:val="21"/>
        </w:rPr>
      </w:pPr>
    </w:p>
    <w:p>
      <w:pPr>
        <w:snapToGrid w:val="0"/>
        <w:spacing w:before="120" w:beforeLines="50" w:after="120" w:afterLines="50" w:line="360" w:lineRule="auto"/>
        <w:ind w:firstLine="3990" w:firstLineChars="1900"/>
        <w:jc w:val="left"/>
        <w:rPr>
          <w:b/>
          <w:bCs/>
          <w:sz w:val="21"/>
          <w:szCs w:val="21"/>
        </w:rPr>
      </w:pPr>
      <w:r>
        <w:rPr>
          <w:sz w:val="21"/>
          <w:szCs w:val="21"/>
        </w:rPr>
        <w:t>日    期：</w:t>
      </w:r>
    </w:p>
    <w:p>
      <w:pPr>
        <w:snapToGrid w:val="0"/>
        <w:spacing w:before="50" w:after="120" w:afterLines="50"/>
        <w:jc w:val="left"/>
        <w:rPr>
          <w:sz w:val="21"/>
          <w:szCs w:val="21"/>
        </w:rPr>
        <w:sectPr>
          <w:pgSz w:w="11907" w:h="16840"/>
          <w:pgMar w:top="1276" w:right="1474" w:bottom="1242" w:left="1474" w:header="851" w:footer="851" w:gutter="0"/>
          <w:pgNumType w:fmt="decimal"/>
          <w:cols w:space="720" w:num="1"/>
          <w:docGrid w:linePitch="312" w:charSpace="0"/>
        </w:sectPr>
      </w:pPr>
    </w:p>
    <w:p>
      <w:pPr>
        <w:widowControl/>
        <w:jc w:val="left"/>
        <w:outlineLvl w:val="1"/>
        <w:rPr>
          <w:b/>
        </w:rPr>
      </w:pPr>
      <w:bookmarkStart w:id="358" w:name="_Toc9902"/>
      <w:bookmarkStart w:id="359" w:name="_Toc27584"/>
      <w:bookmarkStart w:id="360" w:name="_Toc16851"/>
      <w:bookmarkStart w:id="361" w:name="_Toc27168"/>
      <w:r>
        <w:rPr>
          <w:b/>
        </w:rPr>
        <w:t>格式十</w:t>
      </w:r>
      <w:r>
        <w:rPr>
          <w:rFonts w:hint="eastAsia"/>
          <w:b/>
        </w:rPr>
        <w:t>二</w:t>
      </w:r>
      <w:r>
        <w:rPr>
          <w:b/>
        </w:rPr>
        <w:t>：</w:t>
      </w:r>
      <w:bookmarkEnd w:id="358"/>
      <w:bookmarkEnd w:id="359"/>
      <w:bookmarkEnd w:id="360"/>
      <w:bookmarkEnd w:id="361"/>
    </w:p>
    <w:p>
      <w:pPr>
        <w:widowControl/>
        <w:spacing w:line="400" w:lineRule="exact"/>
        <w:jc w:val="center"/>
        <w:rPr>
          <w:b/>
          <w:sz w:val="32"/>
        </w:rPr>
      </w:pPr>
      <w:r>
        <w:rPr>
          <w:b/>
          <w:sz w:val="32"/>
        </w:rPr>
        <w:t>投标函</w:t>
      </w:r>
    </w:p>
    <w:p>
      <w:pPr>
        <w:widowControl/>
        <w:spacing w:line="400" w:lineRule="exact"/>
        <w:jc w:val="center"/>
        <w:rPr>
          <w:b/>
          <w:sz w:val="24"/>
        </w:rPr>
      </w:pPr>
    </w:p>
    <w:p>
      <w:pPr>
        <w:pStyle w:val="17"/>
        <w:keepNext w:val="0"/>
        <w:keepLines w:val="0"/>
        <w:pageBreakBefore w:val="0"/>
        <w:widowControl/>
        <w:kinsoku/>
        <w:wordWrap/>
        <w:overflowPunct/>
        <w:topLinePunct w:val="0"/>
        <w:autoSpaceDE/>
        <w:autoSpaceDN/>
        <w:bidi w:val="0"/>
        <w:adjustRightInd/>
        <w:spacing w:line="400" w:lineRule="exact"/>
        <w:ind w:firstLine="0"/>
        <w:jc w:val="left"/>
        <w:textAlignment w:val="auto"/>
        <w:rPr>
          <w:rFonts w:ascii="Times New Roman"/>
          <w:sz w:val="21"/>
          <w:szCs w:val="21"/>
        </w:rPr>
      </w:pPr>
      <w:r>
        <w:rPr>
          <w:rFonts w:ascii="Times New Roman"/>
          <w:sz w:val="21"/>
          <w:szCs w:val="21"/>
        </w:rPr>
        <w:t>致：</w:t>
      </w:r>
      <w:r>
        <w:rPr>
          <w:rFonts w:hint="eastAsia" w:ascii="Times New Roman"/>
          <w:sz w:val="21"/>
          <w:szCs w:val="21"/>
        </w:rPr>
        <w:t>宁波中穗招标有限公司</w:t>
      </w:r>
    </w:p>
    <w:p>
      <w:pPr>
        <w:pStyle w:val="17"/>
        <w:keepNext w:val="0"/>
        <w:keepLines w:val="0"/>
        <w:pageBreakBefore w:val="0"/>
        <w:widowControl/>
        <w:kinsoku/>
        <w:wordWrap/>
        <w:overflowPunct/>
        <w:topLinePunct w:val="0"/>
        <w:autoSpaceDE/>
        <w:autoSpaceDN/>
        <w:bidi w:val="0"/>
        <w:adjustRightInd/>
        <w:spacing w:line="400" w:lineRule="exact"/>
        <w:ind w:firstLine="404" w:firstLineChars="200"/>
        <w:jc w:val="left"/>
        <w:textAlignment w:val="auto"/>
        <w:rPr>
          <w:rFonts w:ascii="Times New Roman"/>
          <w:sz w:val="21"/>
          <w:szCs w:val="21"/>
        </w:rPr>
      </w:pPr>
      <w:r>
        <w:rPr>
          <w:rFonts w:ascii="Times New Roman"/>
          <w:sz w:val="21"/>
          <w:szCs w:val="21"/>
          <w:u w:val="single"/>
        </w:rPr>
        <w:t>（投标人全称）</w:t>
      </w:r>
      <w:r>
        <w:rPr>
          <w:rFonts w:ascii="Times New Roman"/>
          <w:sz w:val="21"/>
          <w:szCs w:val="21"/>
        </w:rPr>
        <w:t>授权</w:t>
      </w:r>
      <w:r>
        <w:rPr>
          <w:rFonts w:ascii="Times New Roman"/>
          <w:sz w:val="21"/>
          <w:szCs w:val="21"/>
          <w:u w:val="single"/>
        </w:rPr>
        <w:t>（授权代表姓名、职务）</w:t>
      </w:r>
      <w:r>
        <w:rPr>
          <w:rFonts w:ascii="Times New Roman"/>
          <w:sz w:val="21"/>
          <w:szCs w:val="21"/>
        </w:rPr>
        <w:t>为本公司合法代理人，参加贵方组织的</w:t>
      </w:r>
      <w:r>
        <w:rPr>
          <w:rFonts w:ascii="Times New Roman"/>
          <w:sz w:val="21"/>
          <w:szCs w:val="21"/>
          <w:u w:val="single"/>
        </w:rPr>
        <w:t>（招标编号、项目名称）</w:t>
      </w:r>
      <w:r>
        <w:rPr>
          <w:rFonts w:ascii="Times New Roman"/>
          <w:sz w:val="21"/>
          <w:szCs w:val="21"/>
        </w:rPr>
        <w:t>招投标活动，代表本公司（单位）处理招投标活动中的一切事宜，在此：</w:t>
      </w:r>
    </w:p>
    <w:p>
      <w:pPr>
        <w:pStyle w:val="17"/>
        <w:keepNext w:val="0"/>
        <w:keepLines w:val="0"/>
        <w:pageBreakBefore w:val="0"/>
        <w:widowControl/>
        <w:kinsoku/>
        <w:wordWrap/>
        <w:overflowPunct/>
        <w:topLinePunct w:val="0"/>
        <w:autoSpaceDE/>
        <w:autoSpaceDN/>
        <w:bidi w:val="0"/>
        <w:adjustRightInd/>
        <w:spacing w:line="400" w:lineRule="exact"/>
        <w:ind w:firstLine="0"/>
        <w:jc w:val="left"/>
        <w:textAlignment w:val="auto"/>
        <w:rPr>
          <w:rFonts w:ascii="Times New Roman"/>
          <w:sz w:val="21"/>
          <w:szCs w:val="21"/>
        </w:rPr>
      </w:pPr>
      <w:r>
        <w:rPr>
          <w:rFonts w:ascii="Times New Roman"/>
          <w:sz w:val="21"/>
          <w:szCs w:val="21"/>
        </w:rPr>
        <w:t>1、提供招标文件中“投标须知”规定的全部投标文件：</w:t>
      </w:r>
    </w:p>
    <w:p>
      <w:pPr>
        <w:pStyle w:val="17"/>
        <w:keepNext w:val="0"/>
        <w:keepLines w:val="0"/>
        <w:pageBreakBefore w:val="0"/>
        <w:widowControl/>
        <w:kinsoku/>
        <w:wordWrap/>
        <w:overflowPunct/>
        <w:topLinePunct w:val="0"/>
        <w:autoSpaceDE/>
        <w:autoSpaceDN/>
        <w:bidi w:val="0"/>
        <w:adjustRightInd/>
        <w:spacing w:line="400" w:lineRule="exact"/>
        <w:jc w:val="left"/>
        <w:textAlignment w:val="auto"/>
        <w:rPr>
          <w:rFonts w:ascii="Times New Roman"/>
          <w:sz w:val="21"/>
          <w:szCs w:val="21"/>
        </w:rPr>
      </w:pPr>
      <w:r>
        <w:rPr>
          <w:rFonts w:ascii="Times New Roman"/>
          <w:sz w:val="21"/>
          <w:szCs w:val="21"/>
        </w:rPr>
        <w:t>（1）上传到政府采购云平台的电子投标文件（含资格证明文件、商务技术文件、报价文件）1份。</w:t>
      </w:r>
    </w:p>
    <w:p>
      <w:pPr>
        <w:pStyle w:val="17"/>
        <w:keepNext w:val="0"/>
        <w:keepLines w:val="0"/>
        <w:pageBreakBefore w:val="0"/>
        <w:widowControl/>
        <w:kinsoku/>
        <w:wordWrap/>
        <w:overflowPunct/>
        <w:topLinePunct w:val="0"/>
        <w:autoSpaceDE/>
        <w:autoSpaceDN/>
        <w:bidi w:val="0"/>
        <w:adjustRightInd/>
        <w:spacing w:line="400" w:lineRule="exact"/>
        <w:jc w:val="left"/>
        <w:textAlignment w:val="auto"/>
        <w:rPr>
          <w:rFonts w:ascii="Times New Roman"/>
          <w:sz w:val="21"/>
          <w:szCs w:val="21"/>
        </w:rPr>
      </w:pPr>
      <w:r>
        <w:rPr>
          <w:rFonts w:ascii="Times New Roman"/>
          <w:sz w:val="21"/>
          <w:szCs w:val="21"/>
        </w:rPr>
        <w:t>（2）以U盘存储的电子备份投标文件（含资格证明文件、商务技术文件、报价文件）1份。</w:t>
      </w:r>
    </w:p>
    <w:p>
      <w:pPr>
        <w:pStyle w:val="17"/>
        <w:keepNext w:val="0"/>
        <w:keepLines w:val="0"/>
        <w:pageBreakBefore w:val="0"/>
        <w:widowControl/>
        <w:kinsoku/>
        <w:wordWrap/>
        <w:overflowPunct/>
        <w:topLinePunct w:val="0"/>
        <w:autoSpaceDE/>
        <w:autoSpaceDN/>
        <w:bidi w:val="0"/>
        <w:adjustRightInd/>
        <w:spacing w:line="400" w:lineRule="exact"/>
        <w:ind w:firstLine="0"/>
        <w:jc w:val="left"/>
        <w:textAlignment w:val="auto"/>
        <w:rPr>
          <w:rFonts w:ascii="Times New Roman"/>
          <w:sz w:val="21"/>
          <w:szCs w:val="21"/>
        </w:rPr>
      </w:pPr>
      <w:r>
        <w:rPr>
          <w:rFonts w:ascii="Times New Roman"/>
          <w:sz w:val="21"/>
          <w:szCs w:val="21"/>
        </w:rPr>
        <w:t>2、据此函，签字代表宣布并承诺如下：</w:t>
      </w:r>
    </w:p>
    <w:p>
      <w:pPr>
        <w:pStyle w:val="17"/>
        <w:keepNext w:val="0"/>
        <w:keepLines w:val="0"/>
        <w:pageBreakBefore w:val="0"/>
        <w:widowControl/>
        <w:numPr>
          <w:ilvl w:val="0"/>
          <w:numId w:val="12"/>
        </w:numPr>
        <w:kinsoku/>
        <w:wordWrap/>
        <w:overflowPunct/>
        <w:topLinePunct w:val="0"/>
        <w:autoSpaceDE/>
        <w:autoSpaceDN/>
        <w:bidi w:val="0"/>
        <w:adjustRightInd/>
        <w:spacing w:line="400" w:lineRule="exact"/>
        <w:jc w:val="left"/>
        <w:textAlignment w:val="auto"/>
        <w:rPr>
          <w:rFonts w:ascii="Times New Roman"/>
          <w:sz w:val="21"/>
          <w:szCs w:val="21"/>
          <w:u w:val="single"/>
        </w:rPr>
      </w:pPr>
      <w:r>
        <w:rPr>
          <w:rFonts w:ascii="Times New Roman"/>
          <w:sz w:val="21"/>
          <w:szCs w:val="21"/>
        </w:rPr>
        <w:t>我方对招标项目愿以投标价为（大写）：</w:t>
      </w:r>
      <w:r>
        <w:rPr>
          <w:rFonts w:ascii="Times New Roman"/>
          <w:sz w:val="21"/>
          <w:szCs w:val="21"/>
          <w:u w:val="single"/>
        </w:rPr>
        <w:t xml:space="preserve">     </w:t>
      </w:r>
      <w:r>
        <w:rPr>
          <w:rFonts w:ascii="Times New Roman"/>
          <w:sz w:val="21"/>
          <w:szCs w:val="21"/>
        </w:rPr>
        <w:t>、（小写）：</w:t>
      </w:r>
      <w:r>
        <w:rPr>
          <w:rFonts w:ascii="Times New Roman"/>
          <w:sz w:val="21"/>
          <w:szCs w:val="21"/>
          <w:u w:val="single"/>
        </w:rPr>
        <w:t xml:space="preserve">      </w:t>
      </w:r>
      <w:r>
        <w:rPr>
          <w:rFonts w:ascii="Times New Roman"/>
          <w:sz w:val="21"/>
          <w:szCs w:val="21"/>
        </w:rPr>
        <w:t>承担招标文件规定内容。</w:t>
      </w:r>
    </w:p>
    <w:p>
      <w:pPr>
        <w:pStyle w:val="17"/>
        <w:keepNext w:val="0"/>
        <w:keepLines w:val="0"/>
        <w:pageBreakBefore w:val="0"/>
        <w:widowControl/>
        <w:kinsoku/>
        <w:wordWrap/>
        <w:overflowPunct/>
        <w:topLinePunct w:val="0"/>
        <w:autoSpaceDE/>
        <w:autoSpaceDN/>
        <w:bidi w:val="0"/>
        <w:adjustRightInd/>
        <w:spacing w:line="400" w:lineRule="exact"/>
        <w:ind w:left="715" w:leftChars="100" w:hanging="505" w:hangingChars="250"/>
        <w:jc w:val="left"/>
        <w:textAlignment w:val="auto"/>
        <w:rPr>
          <w:rFonts w:ascii="Times New Roman"/>
          <w:sz w:val="21"/>
          <w:szCs w:val="21"/>
        </w:rPr>
      </w:pPr>
      <w:r>
        <w:rPr>
          <w:rFonts w:ascii="Times New Roman"/>
          <w:sz w:val="21"/>
          <w:szCs w:val="21"/>
        </w:rPr>
        <w:t>（2）本报价已经包含了所供</w:t>
      </w:r>
      <w:r>
        <w:rPr>
          <w:rFonts w:hint="eastAsia" w:ascii="Times New Roman"/>
          <w:sz w:val="21"/>
          <w:szCs w:val="21"/>
        </w:rPr>
        <w:t>服务</w:t>
      </w:r>
      <w:r>
        <w:rPr>
          <w:rFonts w:ascii="Times New Roman"/>
          <w:sz w:val="21"/>
          <w:szCs w:val="21"/>
        </w:rPr>
        <w:t>应纳的税金及招标文件规定的报价方式应包含的其它费用。本报价在投标有效期内固定不变，并在合同有效期内不受利率波动的影响。</w:t>
      </w:r>
    </w:p>
    <w:p>
      <w:pPr>
        <w:pStyle w:val="17"/>
        <w:keepNext w:val="0"/>
        <w:keepLines w:val="0"/>
        <w:pageBreakBefore w:val="0"/>
        <w:widowControl/>
        <w:kinsoku/>
        <w:wordWrap/>
        <w:overflowPunct/>
        <w:topLinePunct w:val="0"/>
        <w:autoSpaceDE/>
        <w:autoSpaceDN/>
        <w:bidi w:val="0"/>
        <w:adjustRightInd/>
        <w:spacing w:line="400" w:lineRule="exact"/>
        <w:ind w:firstLine="202" w:firstLineChars="100"/>
        <w:jc w:val="left"/>
        <w:textAlignment w:val="auto"/>
        <w:rPr>
          <w:rFonts w:ascii="Times New Roman"/>
          <w:sz w:val="21"/>
          <w:szCs w:val="21"/>
        </w:rPr>
      </w:pPr>
      <w:r>
        <w:rPr>
          <w:rFonts w:ascii="Times New Roman"/>
          <w:sz w:val="21"/>
          <w:szCs w:val="21"/>
        </w:rPr>
        <w:t>（3）本投标自开标之日起</w:t>
      </w:r>
      <w:r>
        <w:rPr>
          <w:rFonts w:ascii="Times New Roman"/>
          <w:sz w:val="21"/>
          <w:szCs w:val="21"/>
          <w:u w:val="single"/>
        </w:rPr>
        <w:t xml:space="preserve"> </w:t>
      </w:r>
      <w:r>
        <w:rPr>
          <w:rFonts w:hint="eastAsia" w:ascii="Times New Roman"/>
          <w:sz w:val="21"/>
          <w:szCs w:val="21"/>
          <w:u w:val="single"/>
        </w:rPr>
        <w:t>90</w:t>
      </w:r>
      <w:r>
        <w:rPr>
          <w:rFonts w:ascii="Times New Roman"/>
          <w:sz w:val="21"/>
          <w:szCs w:val="21"/>
          <w:u w:val="single"/>
        </w:rPr>
        <w:t xml:space="preserve"> </w:t>
      </w:r>
      <w:r>
        <w:rPr>
          <w:rFonts w:ascii="Times New Roman"/>
          <w:sz w:val="21"/>
          <w:szCs w:val="21"/>
        </w:rPr>
        <w:t>天内有效。</w:t>
      </w:r>
    </w:p>
    <w:p>
      <w:pPr>
        <w:pStyle w:val="17"/>
        <w:keepNext w:val="0"/>
        <w:keepLines w:val="0"/>
        <w:pageBreakBefore w:val="0"/>
        <w:widowControl/>
        <w:kinsoku/>
        <w:wordWrap/>
        <w:overflowPunct/>
        <w:topLinePunct w:val="0"/>
        <w:autoSpaceDE/>
        <w:autoSpaceDN/>
        <w:bidi w:val="0"/>
        <w:adjustRightInd/>
        <w:spacing w:line="400" w:lineRule="exact"/>
        <w:ind w:left="715" w:leftChars="100" w:hanging="505" w:hangingChars="250"/>
        <w:jc w:val="left"/>
        <w:textAlignment w:val="auto"/>
        <w:rPr>
          <w:rFonts w:ascii="Times New Roman"/>
          <w:sz w:val="21"/>
          <w:szCs w:val="21"/>
        </w:rPr>
      </w:pPr>
      <w:r>
        <w:rPr>
          <w:rFonts w:ascii="Times New Roman"/>
          <w:sz w:val="21"/>
          <w:szCs w:val="21"/>
        </w:rPr>
        <w:t>（4）我们已详细审查全部招标文件及有关的澄清/修改文件</w:t>
      </w:r>
      <w:r>
        <w:rPr>
          <w:rFonts w:hint="eastAsia" w:ascii="Times New Roman"/>
          <w:sz w:val="21"/>
          <w:szCs w:val="21"/>
        </w:rPr>
        <w:t>（</w:t>
      </w:r>
      <w:r>
        <w:rPr>
          <w:rFonts w:ascii="Times New Roman"/>
          <w:sz w:val="21"/>
          <w:szCs w:val="21"/>
        </w:rPr>
        <w:t>若有的话</w:t>
      </w:r>
      <w:r>
        <w:rPr>
          <w:rFonts w:hint="eastAsia" w:ascii="Times New Roman"/>
          <w:sz w:val="21"/>
          <w:szCs w:val="21"/>
        </w:rPr>
        <w:t>）</w:t>
      </w:r>
      <w:r>
        <w:rPr>
          <w:rFonts w:ascii="Times New Roman"/>
          <w:sz w:val="21"/>
          <w:szCs w:val="21"/>
        </w:rPr>
        <w:t>，我们完全理解并同意放弃对这方面提出任何异议的权利。保证遵守招标文件有关条款规定。</w:t>
      </w:r>
    </w:p>
    <w:p>
      <w:pPr>
        <w:pStyle w:val="17"/>
        <w:keepNext w:val="0"/>
        <w:keepLines w:val="0"/>
        <w:pageBreakBefore w:val="0"/>
        <w:widowControl/>
        <w:kinsoku/>
        <w:wordWrap/>
        <w:overflowPunct/>
        <w:topLinePunct w:val="0"/>
        <w:autoSpaceDE/>
        <w:autoSpaceDN/>
        <w:bidi w:val="0"/>
        <w:adjustRightInd/>
        <w:spacing w:line="400" w:lineRule="exact"/>
        <w:ind w:left="715" w:leftChars="100" w:hanging="505" w:hangingChars="250"/>
        <w:jc w:val="left"/>
        <w:textAlignment w:val="auto"/>
        <w:rPr>
          <w:rFonts w:ascii="Times New Roman"/>
          <w:sz w:val="21"/>
          <w:szCs w:val="21"/>
        </w:rPr>
      </w:pPr>
      <w:r>
        <w:rPr>
          <w:rFonts w:ascii="Times New Roman"/>
          <w:sz w:val="21"/>
          <w:szCs w:val="21"/>
        </w:rPr>
        <w:t>（5）保证在中标后忠实地执行与招标人所签署的合同，并承担合同规定的责任义务。保证在中标后按照招标文件的规定支付中标服务费。</w:t>
      </w:r>
    </w:p>
    <w:p>
      <w:pPr>
        <w:pStyle w:val="17"/>
        <w:keepNext w:val="0"/>
        <w:keepLines w:val="0"/>
        <w:pageBreakBefore w:val="0"/>
        <w:widowControl/>
        <w:kinsoku/>
        <w:wordWrap/>
        <w:overflowPunct/>
        <w:topLinePunct w:val="0"/>
        <w:autoSpaceDE/>
        <w:autoSpaceDN/>
        <w:bidi w:val="0"/>
        <w:adjustRightInd/>
        <w:spacing w:line="400" w:lineRule="exact"/>
        <w:ind w:firstLine="202" w:firstLineChars="100"/>
        <w:jc w:val="left"/>
        <w:textAlignment w:val="auto"/>
        <w:rPr>
          <w:rFonts w:ascii="Times New Roman"/>
          <w:sz w:val="21"/>
          <w:szCs w:val="21"/>
        </w:rPr>
      </w:pPr>
      <w:r>
        <w:rPr>
          <w:rFonts w:ascii="Times New Roman"/>
          <w:sz w:val="21"/>
          <w:szCs w:val="21"/>
        </w:rPr>
        <w:t>（6）承诺应贵方要求提供任何与该项目投标有关的数据、情况和技术资料。</w:t>
      </w:r>
    </w:p>
    <w:p>
      <w:pPr>
        <w:pStyle w:val="17"/>
        <w:keepNext w:val="0"/>
        <w:keepLines w:val="0"/>
        <w:pageBreakBefore w:val="0"/>
        <w:widowControl/>
        <w:kinsoku/>
        <w:wordWrap/>
        <w:overflowPunct/>
        <w:topLinePunct w:val="0"/>
        <w:autoSpaceDE/>
        <w:autoSpaceDN/>
        <w:bidi w:val="0"/>
        <w:adjustRightInd/>
        <w:snapToGrid/>
        <w:spacing w:line="400" w:lineRule="exact"/>
        <w:ind w:left="614" w:leftChars="100" w:hanging="404" w:hangingChars="200"/>
        <w:jc w:val="left"/>
        <w:textAlignment w:val="auto"/>
        <w:rPr>
          <w:rFonts w:ascii="Times New Roman"/>
          <w:sz w:val="21"/>
          <w:szCs w:val="21"/>
        </w:rPr>
      </w:pPr>
      <w:r>
        <w:rPr>
          <w:rFonts w:ascii="Times New Roman"/>
          <w:sz w:val="21"/>
          <w:szCs w:val="21"/>
        </w:rPr>
        <w:t>（7）我们承诺，与为招标人采购本次招标的</w:t>
      </w:r>
      <w:r>
        <w:rPr>
          <w:rFonts w:hint="eastAsia" w:ascii="Times New Roman"/>
          <w:sz w:val="21"/>
          <w:szCs w:val="21"/>
        </w:rPr>
        <w:t>服务</w:t>
      </w:r>
      <w:r>
        <w:rPr>
          <w:rFonts w:ascii="Times New Roman"/>
          <w:sz w:val="21"/>
          <w:szCs w:val="21"/>
        </w:rPr>
        <w:t>进行设计、编制规范和其他文件所委托的咨询公司或其附属机构无任何直接或间接的关联。</w:t>
      </w:r>
    </w:p>
    <w:p>
      <w:pPr>
        <w:keepNext w:val="0"/>
        <w:keepLines w:val="0"/>
        <w:pageBreakBefore w:val="0"/>
        <w:kinsoku/>
        <w:wordWrap/>
        <w:overflowPunct/>
        <w:topLinePunct w:val="0"/>
        <w:autoSpaceDE/>
        <w:autoSpaceDN/>
        <w:bidi w:val="0"/>
        <w:adjustRightInd/>
        <w:snapToGrid/>
        <w:spacing w:line="400" w:lineRule="exact"/>
        <w:textAlignment w:val="auto"/>
      </w:pPr>
      <w:r>
        <w:t>4、我们郑重声明：</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pPr>
      <w:r>
        <w:t>我公司符合有关法律法规规定的参加采购活动应当具备的条件：具有健全的财务会计制度、依法缴纳税收和社会保障资金、参加本次采购活动之前的三年内，在经营活动中无重大违法活动。</w:t>
      </w:r>
    </w:p>
    <w:p>
      <w:pPr>
        <w:keepNext w:val="0"/>
        <w:keepLines w:val="0"/>
        <w:pageBreakBefore w:val="0"/>
        <w:kinsoku/>
        <w:wordWrap/>
        <w:overflowPunct/>
        <w:topLinePunct w:val="0"/>
        <w:autoSpaceDE/>
        <w:autoSpaceDN/>
        <w:bidi w:val="0"/>
        <w:adjustRightInd/>
        <w:snapToGrid/>
        <w:spacing w:line="400" w:lineRule="exact"/>
        <w:textAlignment w:val="auto"/>
      </w:pPr>
      <w:r>
        <w:t>5、与本投标有关的一切往来通讯请寄：</w:t>
      </w:r>
    </w:p>
    <w:p>
      <w:pPr>
        <w:pStyle w:val="17"/>
        <w:keepNext w:val="0"/>
        <w:keepLines w:val="0"/>
        <w:pageBreakBefore w:val="0"/>
        <w:widowControl/>
        <w:kinsoku/>
        <w:wordWrap/>
        <w:overflowPunct/>
        <w:topLinePunct w:val="0"/>
        <w:autoSpaceDE/>
        <w:autoSpaceDN/>
        <w:bidi w:val="0"/>
        <w:adjustRightInd/>
        <w:spacing w:line="400" w:lineRule="exact"/>
        <w:jc w:val="left"/>
        <w:textAlignment w:val="auto"/>
        <w:rPr>
          <w:rFonts w:ascii="Times New Roman"/>
          <w:sz w:val="21"/>
          <w:szCs w:val="21"/>
        </w:rPr>
      </w:pPr>
      <w:r>
        <w:rPr>
          <w:rFonts w:ascii="Times New Roman"/>
          <w:sz w:val="21"/>
          <w:szCs w:val="21"/>
        </w:rPr>
        <w:t>地址：</w:t>
      </w:r>
    </w:p>
    <w:p>
      <w:pPr>
        <w:pStyle w:val="17"/>
        <w:keepNext w:val="0"/>
        <w:keepLines w:val="0"/>
        <w:pageBreakBefore w:val="0"/>
        <w:widowControl/>
        <w:kinsoku/>
        <w:wordWrap/>
        <w:overflowPunct/>
        <w:topLinePunct w:val="0"/>
        <w:autoSpaceDE/>
        <w:autoSpaceDN/>
        <w:bidi w:val="0"/>
        <w:adjustRightInd/>
        <w:spacing w:line="400" w:lineRule="exact"/>
        <w:jc w:val="left"/>
        <w:textAlignment w:val="auto"/>
        <w:rPr>
          <w:rFonts w:ascii="Times New Roman"/>
          <w:sz w:val="21"/>
          <w:szCs w:val="21"/>
          <w:u w:val="single"/>
        </w:rPr>
      </w:pPr>
      <w:r>
        <w:rPr>
          <w:rFonts w:ascii="Times New Roman"/>
          <w:sz w:val="21"/>
          <w:szCs w:val="21"/>
        </w:rPr>
        <w:t>邮编：电话：传真：</w:t>
      </w:r>
    </w:p>
    <w:p>
      <w:pPr>
        <w:pStyle w:val="17"/>
        <w:keepNext w:val="0"/>
        <w:keepLines w:val="0"/>
        <w:pageBreakBefore w:val="0"/>
        <w:widowControl/>
        <w:kinsoku/>
        <w:wordWrap/>
        <w:overflowPunct/>
        <w:topLinePunct w:val="0"/>
        <w:autoSpaceDE/>
        <w:autoSpaceDN/>
        <w:bidi w:val="0"/>
        <w:adjustRightInd/>
        <w:spacing w:line="400" w:lineRule="exact"/>
        <w:ind w:firstLine="0"/>
        <w:jc w:val="left"/>
        <w:textAlignment w:val="auto"/>
        <w:rPr>
          <w:rFonts w:ascii="Times New Roman"/>
          <w:sz w:val="21"/>
          <w:szCs w:val="21"/>
        </w:rPr>
      </w:pPr>
    </w:p>
    <w:p>
      <w:pPr>
        <w:pStyle w:val="17"/>
        <w:keepNext w:val="0"/>
        <w:keepLines w:val="0"/>
        <w:pageBreakBefore w:val="0"/>
        <w:kinsoku/>
        <w:wordWrap/>
        <w:overflowPunct/>
        <w:topLinePunct w:val="0"/>
        <w:autoSpaceDE/>
        <w:autoSpaceDN/>
        <w:bidi w:val="0"/>
        <w:adjustRightInd/>
        <w:snapToGrid w:val="0"/>
        <w:spacing w:line="400" w:lineRule="exact"/>
        <w:ind w:firstLine="3518" w:firstLineChars="1742"/>
        <w:textAlignment w:val="auto"/>
        <w:rPr>
          <w:rFonts w:ascii="Times New Roman"/>
          <w:sz w:val="21"/>
          <w:szCs w:val="21"/>
        </w:rPr>
      </w:pPr>
      <w:r>
        <w:rPr>
          <w:rFonts w:ascii="Times New Roman"/>
          <w:sz w:val="21"/>
          <w:szCs w:val="21"/>
        </w:rPr>
        <w:t>投标人（盖章）：</w:t>
      </w:r>
    </w:p>
    <w:p>
      <w:pPr>
        <w:pStyle w:val="17"/>
        <w:keepNext w:val="0"/>
        <w:keepLines w:val="0"/>
        <w:pageBreakBefore w:val="0"/>
        <w:widowControl/>
        <w:kinsoku/>
        <w:wordWrap/>
        <w:overflowPunct/>
        <w:topLinePunct w:val="0"/>
        <w:autoSpaceDE/>
        <w:autoSpaceDN/>
        <w:bidi w:val="0"/>
        <w:adjustRightInd/>
        <w:spacing w:line="400" w:lineRule="exact"/>
        <w:ind w:firstLine="3518" w:firstLineChars="1742"/>
        <w:jc w:val="left"/>
        <w:textAlignment w:val="auto"/>
        <w:rPr>
          <w:rFonts w:ascii="Times New Roman"/>
          <w:sz w:val="21"/>
          <w:szCs w:val="21"/>
        </w:rPr>
      </w:pPr>
      <w:r>
        <w:rPr>
          <w:rFonts w:ascii="Times New Roman"/>
          <w:sz w:val="21"/>
          <w:szCs w:val="21"/>
        </w:rPr>
        <w:t>日</w:t>
      </w:r>
      <w:r>
        <w:rPr>
          <w:rFonts w:hint="eastAsia" w:ascii="Times New Roman"/>
          <w:sz w:val="21"/>
          <w:szCs w:val="21"/>
        </w:rPr>
        <w:t xml:space="preserve">    </w:t>
      </w:r>
      <w:r>
        <w:rPr>
          <w:rFonts w:ascii="Times New Roman"/>
          <w:sz w:val="21"/>
          <w:szCs w:val="21"/>
        </w:rPr>
        <w:t>期：</w:t>
      </w:r>
    </w:p>
    <w:p>
      <w:pPr>
        <w:spacing w:line="240" w:lineRule="exact"/>
        <w:outlineLvl w:val="1"/>
        <w:rPr>
          <w:b/>
          <w:szCs w:val="21"/>
        </w:rPr>
      </w:pPr>
      <w:r>
        <w:rPr>
          <w:sz w:val="24"/>
        </w:rPr>
        <w:br w:type="page"/>
      </w:r>
      <w:bookmarkStart w:id="362" w:name="_Toc14167"/>
      <w:bookmarkStart w:id="363" w:name="_Toc4021"/>
      <w:bookmarkStart w:id="364" w:name="_Toc10162"/>
      <w:bookmarkStart w:id="365" w:name="_Toc17256"/>
      <w:r>
        <w:rPr>
          <w:b/>
        </w:rPr>
        <w:t>格式十</w:t>
      </w:r>
      <w:r>
        <w:rPr>
          <w:rFonts w:hint="eastAsia"/>
          <w:b/>
        </w:rPr>
        <w:t>三</w:t>
      </w:r>
      <w:r>
        <w:rPr>
          <w:b/>
        </w:rPr>
        <w:t>：</w:t>
      </w:r>
      <w:bookmarkEnd w:id="362"/>
      <w:bookmarkEnd w:id="363"/>
      <w:bookmarkEnd w:id="364"/>
      <w:bookmarkEnd w:id="365"/>
    </w:p>
    <w:p>
      <w:pPr>
        <w:spacing w:line="360" w:lineRule="auto"/>
        <w:jc w:val="center"/>
        <w:rPr>
          <w:b/>
          <w:sz w:val="32"/>
          <w:szCs w:val="32"/>
        </w:rPr>
      </w:pPr>
      <w:r>
        <w:rPr>
          <w:b/>
          <w:sz w:val="32"/>
          <w:szCs w:val="32"/>
        </w:rPr>
        <w:t>开标一览表</w:t>
      </w:r>
    </w:p>
    <w:p>
      <w:pPr>
        <w:pStyle w:val="17"/>
        <w:spacing w:line="360" w:lineRule="auto"/>
        <w:ind w:left="-178" w:leftChars="-85" w:firstLine="525" w:firstLineChars="250"/>
        <w:rPr>
          <w:rFonts w:ascii="Times New Roman"/>
          <w:b/>
          <w:bCs/>
          <w:spacing w:val="0"/>
          <w:kern w:val="2"/>
          <w:sz w:val="21"/>
          <w:szCs w:val="21"/>
        </w:rPr>
      </w:pPr>
      <w:r>
        <w:rPr>
          <w:rFonts w:ascii="Times New Roman"/>
          <w:spacing w:val="0"/>
          <w:kern w:val="2"/>
          <w:sz w:val="21"/>
          <w:szCs w:val="21"/>
        </w:rPr>
        <w:t>项目编号：</w:t>
      </w:r>
      <w:r>
        <w:rPr>
          <w:rFonts w:ascii="Times New Roman"/>
          <w:spacing w:val="0"/>
          <w:kern w:val="2"/>
          <w:sz w:val="21"/>
          <w:szCs w:val="21"/>
          <w:u w:val="single"/>
        </w:rPr>
        <w:t xml:space="preserve">                  </w:t>
      </w:r>
      <w:r>
        <w:rPr>
          <w:rFonts w:ascii="Times New Roman"/>
          <w:spacing w:val="0"/>
          <w:kern w:val="2"/>
          <w:sz w:val="21"/>
          <w:szCs w:val="21"/>
        </w:rPr>
        <w:t>项目名称：</w:t>
      </w:r>
      <w:r>
        <w:rPr>
          <w:rFonts w:ascii="Times New Roman"/>
          <w:spacing w:val="0"/>
          <w:kern w:val="2"/>
          <w:sz w:val="21"/>
          <w:szCs w:val="21"/>
          <w:u w:val="single"/>
        </w:rPr>
        <w:t xml:space="preserve">                       </w:t>
      </w:r>
      <w:r>
        <w:rPr>
          <w:rFonts w:ascii="Times New Roman"/>
          <w:spacing w:val="0"/>
          <w:kern w:val="2"/>
          <w:sz w:val="21"/>
          <w:szCs w:val="21"/>
        </w:rPr>
        <w:t>单位：元</w:t>
      </w:r>
    </w:p>
    <w:tbl>
      <w:tblPr>
        <w:tblStyle w:val="40"/>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2148"/>
        <w:gridCol w:w="3573"/>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pStyle w:val="35"/>
              <w:widowControl w:val="0"/>
              <w:snapToGrid w:val="0"/>
              <w:spacing w:before="0" w:beforeAutospacing="0" w:after="120" w:afterAutospacing="0" w:line="360" w:lineRule="auto"/>
              <w:jc w:val="center"/>
              <w:rPr>
                <w:b/>
                <w:bCs/>
                <w:sz w:val="21"/>
                <w:szCs w:val="21"/>
              </w:rPr>
            </w:pPr>
            <w:r>
              <w:rPr>
                <w:rFonts w:hint="eastAsia"/>
                <w:b/>
                <w:bCs/>
                <w:spacing w:val="-4"/>
                <w:kern w:val="2"/>
                <w:sz w:val="21"/>
                <w:szCs w:val="21"/>
                <w:lang w:bidi="ar"/>
              </w:rPr>
              <w:t>序号</w:t>
            </w:r>
          </w:p>
        </w:tc>
        <w:tc>
          <w:tcPr>
            <w:tcW w:w="2148" w:type="dxa"/>
            <w:tcBorders>
              <w:top w:val="single" w:color="auto" w:sz="4" w:space="0"/>
              <w:left w:val="single" w:color="auto" w:sz="4" w:space="0"/>
              <w:bottom w:val="single" w:color="auto" w:sz="4" w:space="0"/>
              <w:right w:val="single" w:color="auto" w:sz="4" w:space="0"/>
            </w:tcBorders>
            <w:vAlign w:val="center"/>
          </w:tcPr>
          <w:p>
            <w:pPr>
              <w:pStyle w:val="35"/>
              <w:widowControl w:val="0"/>
              <w:snapToGrid w:val="0"/>
              <w:spacing w:before="0" w:beforeAutospacing="0" w:after="120" w:afterAutospacing="0" w:line="360" w:lineRule="auto"/>
              <w:jc w:val="center"/>
              <w:rPr>
                <w:b/>
                <w:bCs/>
                <w:spacing w:val="-4"/>
                <w:kern w:val="2"/>
                <w:sz w:val="21"/>
                <w:szCs w:val="21"/>
                <w:lang w:bidi="ar"/>
              </w:rPr>
            </w:pPr>
            <w:r>
              <w:rPr>
                <w:b/>
                <w:bCs/>
                <w:spacing w:val="-4"/>
                <w:kern w:val="2"/>
                <w:sz w:val="21"/>
                <w:szCs w:val="21"/>
                <w:lang w:bidi="ar"/>
              </w:rPr>
              <w:t>采购内容</w:t>
            </w:r>
          </w:p>
        </w:tc>
        <w:tc>
          <w:tcPr>
            <w:tcW w:w="3573" w:type="dxa"/>
            <w:tcBorders>
              <w:top w:val="single" w:color="auto" w:sz="4" w:space="0"/>
              <w:left w:val="single" w:color="auto" w:sz="4" w:space="0"/>
              <w:right w:val="single" w:color="auto" w:sz="4" w:space="0"/>
            </w:tcBorders>
            <w:vAlign w:val="center"/>
          </w:tcPr>
          <w:p>
            <w:pPr>
              <w:pStyle w:val="35"/>
              <w:widowControl w:val="0"/>
              <w:snapToGrid w:val="0"/>
              <w:spacing w:before="0" w:beforeAutospacing="0" w:after="120" w:afterAutospacing="0" w:line="360" w:lineRule="auto"/>
              <w:jc w:val="center"/>
              <w:rPr>
                <w:b/>
                <w:bCs/>
                <w:spacing w:val="-4"/>
                <w:kern w:val="2"/>
                <w:sz w:val="21"/>
                <w:szCs w:val="21"/>
                <w:lang w:bidi="ar"/>
              </w:rPr>
            </w:pPr>
            <w:r>
              <w:rPr>
                <w:b/>
                <w:bCs/>
                <w:spacing w:val="-4"/>
                <w:kern w:val="2"/>
                <w:sz w:val="21"/>
                <w:szCs w:val="21"/>
                <w:lang w:bidi="ar"/>
              </w:rPr>
              <w:t>投标报价</w:t>
            </w:r>
          </w:p>
        </w:tc>
        <w:tc>
          <w:tcPr>
            <w:tcW w:w="2348" w:type="dxa"/>
            <w:tcBorders>
              <w:top w:val="single" w:color="auto" w:sz="4" w:space="0"/>
              <w:left w:val="single" w:color="auto" w:sz="4" w:space="0"/>
              <w:bottom w:val="single" w:color="auto" w:sz="4" w:space="0"/>
              <w:right w:val="single" w:color="auto" w:sz="4" w:space="0"/>
            </w:tcBorders>
            <w:vAlign w:val="center"/>
          </w:tcPr>
          <w:p>
            <w:pPr>
              <w:pStyle w:val="35"/>
              <w:widowControl w:val="0"/>
              <w:snapToGrid w:val="0"/>
              <w:spacing w:before="0" w:beforeAutospacing="0" w:after="120" w:afterAutospacing="0" w:line="360" w:lineRule="auto"/>
              <w:jc w:val="center"/>
              <w:rPr>
                <w:b/>
                <w:bCs/>
                <w:spacing w:val="-4"/>
                <w:sz w:val="21"/>
                <w:szCs w:val="21"/>
              </w:rPr>
            </w:pPr>
            <w:r>
              <w:rPr>
                <w:b/>
                <w:bCs/>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pStyle w:val="35"/>
              <w:widowControl w:val="0"/>
              <w:snapToGrid w:val="0"/>
              <w:spacing w:before="0" w:beforeAutospacing="0" w:after="120" w:afterAutospacing="0" w:line="360" w:lineRule="auto"/>
              <w:ind w:firstLine="420"/>
              <w:jc w:val="both"/>
              <w:rPr>
                <w:sz w:val="21"/>
                <w:szCs w:val="21"/>
              </w:rPr>
            </w:pPr>
          </w:p>
        </w:tc>
        <w:tc>
          <w:tcPr>
            <w:tcW w:w="2148" w:type="dxa"/>
            <w:tcBorders>
              <w:top w:val="single" w:color="auto" w:sz="4" w:space="0"/>
              <w:left w:val="single" w:color="auto" w:sz="4" w:space="0"/>
              <w:bottom w:val="single" w:color="auto" w:sz="4" w:space="0"/>
              <w:right w:val="single" w:color="auto" w:sz="4" w:space="0"/>
            </w:tcBorders>
            <w:vAlign w:val="center"/>
          </w:tcPr>
          <w:p>
            <w:pPr>
              <w:pStyle w:val="35"/>
              <w:widowControl w:val="0"/>
              <w:spacing w:before="0" w:beforeAutospacing="0" w:after="120" w:afterAutospacing="0" w:line="360" w:lineRule="auto"/>
              <w:jc w:val="both"/>
              <w:rPr>
                <w:sz w:val="21"/>
                <w:szCs w:val="21"/>
              </w:rPr>
            </w:pPr>
          </w:p>
        </w:tc>
        <w:tc>
          <w:tcPr>
            <w:tcW w:w="3573" w:type="dxa"/>
            <w:tcBorders>
              <w:left w:val="single" w:color="auto" w:sz="4" w:space="0"/>
              <w:bottom w:val="single" w:color="auto" w:sz="4" w:space="0"/>
              <w:right w:val="single" w:color="auto" w:sz="4" w:space="0"/>
            </w:tcBorders>
            <w:vAlign w:val="center"/>
          </w:tcPr>
          <w:p>
            <w:pPr>
              <w:pStyle w:val="35"/>
              <w:widowControl w:val="0"/>
              <w:spacing w:before="0" w:beforeAutospacing="0" w:after="120" w:afterAutospacing="0" w:line="360" w:lineRule="auto"/>
              <w:jc w:val="both"/>
              <w:rPr>
                <w:sz w:val="21"/>
                <w:szCs w:val="21"/>
              </w:rPr>
            </w:pPr>
            <w:r>
              <w:rPr>
                <w:sz w:val="21"/>
                <w:szCs w:val="21"/>
              </w:rPr>
              <w:t>小写</w:t>
            </w:r>
            <w:r>
              <w:rPr>
                <w:rFonts w:hint="eastAsia"/>
                <w:sz w:val="21"/>
                <w:szCs w:val="21"/>
              </w:rPr>
              <w:t>：</w:t>
            </w:r>
          </w:p>
          <w:p>
            <w:pPr>
              <w:pStyle w:val="35"/>
              <w:widowControl w:val="0"/>
              <w:spacing w:before="0" w:beforeAutospacing="0" w:after="120" w:afterAutospacing="0" w:line="360" w:lineRule="auto"/>
              <w:jc w:val="both"/>
              <w:rPr>
                <w:sz w:val="21"/>
                <w:szCs w:val="21"/>
              </w:rPr>
            </w:pPr>
          </w:p>
          <w:p>
            <w:pPr>
              <w:pStyle w:val="35"/>
              <w:widowControl w:val="0"/>
              <w:spacing w:before="0" w:beforeAutospacing="0" w:after="120" w:afterAutospacing="0" w:line="360" w:lineRule="auto"/>
              <w:jc w:val="both"/>
              <w:rPr>
                <w:sz w:val="21"/>
                <w:szCs w:val="21"/>
              </w:rPr>
            </w:pPr>
            <w:r>
              <w:rPr>
                <w:sz w:val="21"/>
                <w:szCs w:val="21"/>
              </w:rPr>
              <w:t>大写：</w:t>
            </w:r>
          </w:p>
        </w:tc>
        <w:tc>
          <w:tcPr>
            <w:tcW w:w="2348" w:type="dxa"/>
            <w:tcBorders>
              <w:top w:val="single" w:color="auto" w:sz="4" w:space="0"/>
              <w:left w:val="single" w:color="auto" w:sz="4" w:space="0"/>
              <w:bottom w:val="single" w:color="auto" w:sz="4" w:space="0"/>
              <w:right w:val="single" w:color="auto" w:sz="4" w:space="0"/>
            </w:tcBorders>
            <w:vAlign w:val="center"/>
          </w:tcPr>
          <w:p>
            <w:pPr>
              <w:pStyle w:val="35"/>
              <w:widowControl w:val="0"/>
              <w:spacing w:before="0" w:beforeAutospacing="0" w:after="120" w:afterAutospacing="0" w:line="360" w:lineRule="auto"/>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427" w:type="dxa"/>
            <w:gridSpan w:val="2"/>
            <w:tcBorders>
              <w:top w:val="single" w:color="auto" w:sz="4" w:space="0"/>
              <w:left w:val="single" w:color="auto" w:sz="4" w:space="0"/>
              <w:bottom w:val="single" w:color="auto" w:sz="4" w:space="0"/>
              <w:right w:val="single" w:color="auto" w:sz="4" w:space="0"/>
            </w:tcBorders>
            <w:vAlign w:val="center"/>
          </w:tcPr>
          <w:p>
            <w:pPr>
              <w:pStyle w:val="35"/>
              <w:widowControl w:val="0"/>
              <w:snapToGrid w:val="0"/>
              <w:spacing w:before="0" w:beforeAutospacing="0" w:after="120" w:afterAutospacing="0" w:line="360" w:lineRule="auto"/>
              <w:ind w:firstLine="404"/>
              <w:jc w:val="center"/>
              <w:rPr>
                <w:spacing w:val="-4"/>
                <w:kern w:val="2"/>
                <w:sz w:val="21"/>
                <w:szCs w:val="21"/>
                <w:lang w:bidi="ar"/>
              </w:rPr>
            </w:pPr>
            <w:r>
              <w:rPr>
                <w:spacing w:val="-4"/>
                <w:kern w:val="2"/>
                <w:sz w:val="21"/>
                <w:szCs w:val="21"/>
                <w:lang w:bidi="ar"/>
              </w:rPr>
              <w:t>投标声明</w:t>
            </w:r>
          </w:p>
        </w:tc>
        <w:tc>
          <w:tcPr>
            <w:tcW w:w="5921" w:type="dxa"/>
            <w:gridSpan w:val="2"/>
            <w:tcBorders>
              <w:top w:val="single" w:color="auto" w:sz="4" w:space="0"/>
              <w:left w:val="single" w:color="auto" w:sz="4" w:space="0"/>
              <w:bottom w:val="single" w:color="auto" w:sz="4" w:space="0"/>
              <w:right w:val="single" w:color="auto" w:sz="4" w:space="0"/>
            </w:tcBorders>
            <w:vAlign w:val="center"/>
          </w:tcPr>
          <w:p>
            <w:pPr>
              <w:pStyle w:val="35"/>
              <w:widowControl w:val="0"/>
              <w:spacing w:before="0" w:beforeAutospacing="0" w:after="120" w:afterAutospacing="0" w:line="360" w:lineRule="auto"/>
              <w:ind w:firstLine="404"/>
              <w:rPr>
                <w:spacing w:val="-4"/>
                <w:kern w:val="2"/>
                <w:sz w:val="21"/>
                <w:szCs w:val="21"/>
                <w:lang w:bidi="ar"/>
              </w:rPr>
            </w:pPr>
          </w:p>
        </w:tc>
      </w:tr>
    </w:tbl>
    <w:p>
      <w:pPr>
        <w:keepNext w:val="0"/>
        <w:keepLines w:val="0"/>
        <w:pageBreakBefore w:val="0"/>
        <w:kinsoku/>
        <w:wordWrap/>
        <w:overflowPunct/>
        <w:topLinePunct w:val="0"/>
        <w:autoSpaceDE/>
        <w:autoSpaceDN/>
        <w:bidi w:val="0"/>
        <w:adjustRightInd/>
        <w:snapToGrid w:val="0"/>
        <w:spacing w:before="50" w:after="50" w:line="400" w:lineRule="exact"/>
        <w:jc w:val="left"/>
        <w:textAlignment w:val="auto"/>
        <w:rPr>
          <w:sz w:val="21"/>
          <w:szCs w:val="21"/>
        </w:rPr>
      </w:pPr>
      <w:r>
        <w:rPr>
          <w:sz w:val="21"/>
          <w:szCs w:val="21"/>
        </w:rPr>
        <w:t>注</w:t>
      </w:r>
      <w:r>
        <w:rPr>
          <w:rFonts w:hint="eastAsia"/>
          <w:sz w:val="21"/>
          <w:szCs w:val="21"/>
        </w:rPr>
        <w:t>：</w:t>
      </w:r>
      <w:r>
        <w:rPr>
          <w:sz w:val="21"/>
          <w:szCs w:val="21"/>
        </w:rPr>
        <w:t xml:space="preserve"> 1、报价一经涂改，应在涂改处加盖单位公章或者由法定代表人或授权委托人签字或盖章，否则其投标作无效标处理。</w:t>
      </w:r>
    </w:p>
    <w:p>
      <w:pPr>
        <w:keepNext w:val="0"/>
        <w:keepLines w:val="0"/>
        <w:pageBreakBefore w:val="0"/>
        <w:kinsoku/>
        <w:wordWrap/>
        <w:overflowPunct/>
        <w:topLinePunct w:val="0"/>
        <w:autoSpaceDE/>
        <w:autoSpaceDN/>
        <w:bidi w:val="0"/>
        <w:adjustRightInd/>
        <w:snapToGrid w:val="0"/>
        <w:spacing w:before="50" w:after="50" w:line="400" w:lineRule="exact"/>
        <w:ind w:firstLine="420" w:firstLineChars="200"/>
        <w:jc w:val="left"/>
        <w:textAlignment w:val="auto"/>
        <w:rPr>
          <w:sz w:val="21"/>
          <w:szCs w:val="21"/>
        </w:rPr>
      </w:pPr>
      <w:r>
        <w:rPr>
          <w:sz w:val="21"/>
          <w:szCs w:val="21"/>
        </w:rPr>
        <w:t>2、以上报价合计应与“投标分项报价表”中的“投标总价”相一致。</w:t>
      </w:r>
    </w:p>
    <w:p>
      <w:pPr>
        <w:pStyle w:val="17"/>
        <w:keepNext w:val="0"/>
        <w:keepLines w:val="0"/>
        <w:pageBreakBefore w:val="0"/>
        <w:kinsoku/>
        <w:wordWrap/>
        <w:overflowPunct/>
        <w:topLinePunct w:val="0"/>
        <w:autoSpaceDE/>
        <w:autoSpaceDN/>
        <w:bidi w:val="0"/>
        <w:adjustRightInd/>
        <w:spacing w:line="400" w:lineRule="exact"/>
        <w:ind w:left="-178" w:leftChars="-85" w:firstLine="505" w:firstLineChars="250"/>
        <w:textAlignment w:val="auto"/>
        <w:rPr>
          <w:rFonts w:ascii="Times New Roman"/>
          <w:sz w:val="21"/>
          <w:szCs w:val="21"/>
        </w:rPr>
      </w:pPr>
    </w:p>
    <w:p>
      <w:pPr>
        <w:keepNext w:val="0"/>
        <w:keepLines w:val="0"/>
        <w:pageBreakBefore w:val="0"/>
        <w:kinsoku/>
        <w:wordWrap/>
        <w:overflowPunct/>
        <w:topLinePunct w:val="0"/>
        <w:autoSpaceDE/>
        <w:autoSpaceDN/>
        <w:bidi w:val="0"/>
        <w:adjustRightInd/>
        <w:spacing w:line="400" w:lineRule="exact"/>
        <w:textAlignment w:val="auto"/>
        <w:rPr>
          <w:sz w:val="21"/>
          <w:szCs w:val="21"/>
        </w:rPr>
      </w:pPr>
    </w:p>
    <w:p>
      <w:pPr>
        <w:keepNext w:val="0"/>
        <w:keepLines w:val="0"/>
        <w:pageBreakBefore w:val="0"/>
        <w:widowControl/>
        <w:kinsoku/>
        <w:wordWrap/>
        <w:overflowPunct/>
        <w:topLinePunct w:val="0"/>
        <w:autoSpaceDE/>
        <w:autoSpaceDN/>
        <w:bidi w:val="0"/>
        <w:adjustRightInd/>
        <w:spacing w:line="400" w:lineRule="exact"/>
        <w:ind w:firstLine="2730" w:firstLineChars="1300"/>
        <w:jc w:val="left"/>
        <w:textAlignment w:val="auto"/>
        <w:rPr>
          <w:sz w:val="21"/>
          <w:szCs w:val="21"/>
        </w:rPr>
      </w:pPr>
      <w:r>
        <w:rPr>
          <w:sz w:val="21"/>
          <w:szCs w:val="21"/>
        </w:rPr>
        <w:t>投 标 人（盖章）：</w:t>
      </w:r>
    </w:p>
    <w:p>
      <w:pPr>
        <w:pStyle w:val="17"/>
        <w:keepNext w:val="0"/>
        <w:keepLines w:val="0"/>
        <w:pageBreakBefore w:val="0"/>
        <w:widowControl/>
        <w:kinsoku/>
        <w:wordWrap/>
        <w:overflowPunct/>
        <w:topLinePunct w:val="0"/>
        <w:autoSpaceDE/>
        <w:autoSpaceDN/>
        <w:bidi w:val="0"/>
        <w:adjustRightInd/>
        <w:spacing w:line="400" w:lineRule="exact"/>
        <w:ind w:firstLine="2730" w:firstLineChars="1300"/>
        <w:jc w:val="left"/>
        <w:textAlignment w:val="auto"/>
        <w:rPr>
          <w:rFonts w:ascii="Times New Roman"/>
          <w:spacing w:val="0"/>
          <w:sz w:val="21"/>
          <w:szCs w:val="21"/>
        </w:rPr>
      </w:pPr>
      <w:r>
        <w:rPr>
          <w:rFonts w:ascii="Times New Roman"/>
          <w:spacing w:val="0"/>
          <w:sz w:val="21"/>
          <w:szCs w:val="21"/>
        </w:rPr>
        <w:t>日    期：</w:t>
      </w:r>
    </w:p>
    <w:p>
      <w:pPr>
        <w:widowControl/>
        <w:outlineLvl w:val="1"/>
        <w:rPr>
          <w:sz w:val="24"/>
          <w:szCs w:val="21"/>
        </w:rPr>
      </w:pPr>
      <w:r>
        <w:rPr>
          <w:szCs w:val="21"/>
        </w:rPr>
        <w:br w:type="page"/>
      </w:r>
      <w:bookmarkStart w:id="366" w:name="_Toc16973"/>
      <w:bookmarkStart w:id="367" w:name="_Toc27480"/>
      <w:bookmarkStart w:id="368" w:name="_Toc5718"/>
      <w:bookmarkStart w:id="369" w:name="_Toc12827"/>
      <w:bookmarkStart w:id="370" w:name="_Toc460857948"/>
      <w:r>
        <w:rPr>
          <w:b/>
        </w:rPr>
        <w:t>格式十</w:t>
      </w:r>
      <w:r>
        <w:rPr>
          <w:rFonts w:hint="eastAsia"/>
          <w:b/>
        </w:rPr>
        <w:t>四</w:t>
      </w:r>
      <w:r>
        <w:rPr>
          <w:b/>
        </w:rPr>
        <w:t>：</w:t>
      </w:r>
      <w:bookmarkEnd w:id="366"/>
      <w:bookmarkEnd w:id="367"/>
      <w:bookmarkEnd w:id="368"/>
      <w:bookmarkEnd w:id="369"/>
      <w:bookmarkEnd w:id="370"/>
    </w:p>
    <w:p>
      <w:pPr>
        <w:jc w:val="center"/>
        <w:rPr>
          <w:b/>
          <w:sz w:val="32"/>
          <w:szCs w:val="32"/>
        </w:rPr>
      </w:pPr>
      <w:r>
        <w:rPr>
          <w:b/>
          <w:sz w:val="32"/>
          <w:szCs w:val="32"/>
        </w:rPr>
        <w:t>投标分项报价表</w:t>
      </w:r>
    </w:p>
    <w:p>
      <w:pPr>
        <w:jc w:val="center"/>
        <w:rPr>
          <w:b/>
          <w:sz w:val="24"/>
          <w:szCs w:val="21"/>
        </w:rPr>
      </w:pPr>
    </w:p>
    <w:p>
      <w:pPr>
        <w:snapToGrid w:val="0"/>
        <w:spacing w:before="50" w:after="50"/>
        <w:rPr>
          <w:szCs w:val="21"/>
        </w:rPr>
      </w:pPr>
      <w:r>
        <w:rPr>
          <w:szCs w:val="21"/>
        </w:rPr>
        <w:t>项目编号：</w:t>
      </w:r>
      <w:r>
        <w:rPr>
          <w:szCs w:val="21"/>
          <w:u w:val="single"/>
        </w:rPr>
        <w:t xml:space="preserve">                  </w:t>
      </w:r>
      <w:r>
        <w:rPr>
          <w:bCs/>
          <w:szCs w:val="21"/>
        </w:rPr>
        <w:t>项目名称</w:t>
      </w:r>
      <w:r>
        <w:rPr>
          <w:szCs w:val="21"/>
        </w:rPr>
        <w:t>：</w:t>
      </w:r>
      <w:r>
        <w:rPr>
          <w:szCs w:val="21"/>
          <w:u w:val="single"/>
        </w:rPr>
        <w:t xml:space="preserve">                    </w:t>
      </w:r>
      <w:r>
        <w:rPr>
          <w:szCs w:val="21"/>
        </w:rPr>
        <w:t xml:space="preserve">   </w:t>
      </w:r>
    </w:p>
    <w:p>
      <w:pPr>
        <w:wordWrap w:val="0"/>
        <w:spacing w:line="400" w:lineRule="exact"/>
        <w:jc w:val="right"/>
        <w:rPr>
          <w:rFonts w:ascii="宋体" w:hAnsi="宋体"/>
          <w:szCs w:val="21"/>
          <w:u w:val="single"/>
        </w:rPr>
      </w:pPr>
    </w:p>
    <w:tbl>
      <w:tblPr>
        <w:tblStyle w:val="40"/>
        <w:tblW w:w="0" w:type="auto"/>
        <w:tblInd w:w="0" w:type="dxa"/>
        <w:tblLayout w:type="fixed"/>
        <w:tblCellMar>
          <w:top w:w="0" w:type="dxa"/>
          <w:left w:w="108" w:type="dxa"/>
          <w:bottom w:w="0" w:type="dxa"/>
          <w:right w:w="108" w:type="dxa"/>
        </w:tblCellMar>
      </w:tblPr>
      <w:tblGrid>
        <w:gridCol w:w="817"/>
        <w:gridCol w:w="3119"/>
        <w:gridCol w:w="850"/>
        <w:gridCol w:w="1305"/>
        <w:gridCol w:w="1672"/>
        <w:gridCol w:w="1701"/>
      </w:tblGrid>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jc w:val="center"/>
              <w:rPr>
                <w:b/>
              </w:rPr>
            </w:pPr>
            <w:r>
              <w:rPr>
                <w:rFonts w:hint="eastAsia"/>
                <w:b/>
              </w:rPr>
              <w:t>序号</w:t>
            </w:r>
          </w:p>
        </w:tc>
        <w:tc>
          <w:tcPr>
            <w:tcW w:w="3119" w:type="dxa"/>
            <w:tcBorders>
              <w:top w:val="single" w:color="auto" w:sz="8" w:space="0"/>
              <w:left w:val="single" w:color="auto" w:sz="8" w:space="0"/>
              <w:bottom w:val="single" w:color="auto" w:sz="8" w:space="0"/>
              <w:right w:val="single" w:color="auto" w:sz="8" w:space="0"/>
            </w:tcBorders>
            <w:vAlign w:val="center"/>
          </w:tcPr>
          <w:p>
            <w:pPr>
              <w:jc w:val="center"/>
              <w:rPr>
                <w:b/>
              </w:rPr>
            </w:pPr>
            <w:r>
              <w:rPr>
                <w:rFonts w:hint="eastAsia"/>
                <w:b/>
              </w:rPr>
              <w:t>项目名称</w:t>
            </w: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b/>
              </w:rPr>
            </w:pPr>
            <w:r>
              <w:rPr>
                <w:rFonts w:hint="eastAsia"/>
                <w:b/>
              </w:rPr>
              <w:t>单位</w:t>
            </w:r>
          </w:p>
        </w:tc>
        <w:tc>
          <w:tcPr>
            <w:tcW w:w="1305" w:type="dxa"/>
            <w:tcBorders>
              <w:top w:val="single" w:color="auto" w:sz="8" w:space="0"/>
              <w:left w:val="single" w:color="auto" w:sz="8" w:space="0"/>
              <w:bottom w:val="single" w:color="auto" w:sz="8" w:space="0"/>
              <w:right w:val="single" w:color="auto" w:sz="4" w:space="0"/>
            </w:tcBorders>
            <w:vAlign w:val="center"/>
          </w:tcPr>
          <w:p>
            <w:pPr>
              <w:jc w:val="center"/>
              <w:rPr>
                <w:b/>
              </w:rPr>
            </w:pPr>
            <w:r>
              <w:rPr>
                <w:rFonts w:hint="eastAsia"/>
                <w:b/>
              </w:rPr>
              <w:t>数量</w:t>
            </w:r>
          </w:p>
        </w:tc>
        <w:tc>
          <w:tcPr>
            <w:tcW w:w="1672" w:type="dxa"/>
            <w:tcBorders>
              <w:top w:val="single" w:color="auto" w:sz="8" w:space="0"/>
              <w:left w:val="single" w:color="auto" w:sz="4" w:space="0"/>
              <w:bottom w:val="single" w:color="auto" w:sz="8" w:space="0"/>
              <w:right w:val="single" w:color="auto" w:sz="8" w:space="0"/>
            </w:tcBorders>
            <w:vAlign w:val="center"/>
          </w:tcPr>
          <w:p>
            <w:pPr>
              <w:jc w:val="center"/>
              <w:rPr>
                <w:b/>
              </w:rPr>
            </w:pPr>
            <w:r>
              <w:rPr>
                <w:rFonts w:hint="eastAsia"/>
                <w:b/>
              </w:rPr>
              <w:t>单价（元）</w:t>
            </w: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b/>
              </w:rPr>
            </w:pPr>
            <w:r>
              <w:rPr>
                <w:rFonts w:hint="eastAsia"/>
                <w:b/>
              </w:rPr>
              <w:t>总价（元）</w:t>
            </w: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1</w:t>
            </w:r>
          </w:p>
        </w:tc>
        <w:tc>
          <w:tcPr>
            <w:tcW w:w="3119" w:type="dxa"/>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05"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1672"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2</w:t>
            </w:r>
          </w:p>
        </w:tc>
        <w:tc>
          <w:tcPr>
            <w:tcW w:w="3119" w:type="dxa"/>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05"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1672"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3</w:t>
            </w:r>
          </w:p>
        </w:tc>
        <w:tc>
          <w:tcPr>
            <w:tcW w:w="3119" w:type="dxa"/>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05"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1672"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c>
          <w:tcPr>
            <w:tcW w:w="311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t>……</w:t>
            </w: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05"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1672"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atLeast"/>
        </w:trPr>
        <w:tc>
          <w:tcPr>
            <w:tcW w:w="817"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c>
          <w:tcPr>
            <w:tcW w:w="3119" w:type="dxa"/>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305"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p>
        </w:tc>
        <w:tc>
          <w:tcPr>
            <w:tcW w:w="1672"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CellMar>
            <w:top w:w="0" w:type="dxa"/>
            <w:left w:w="108" w:type="dxa"/>
            <w:bottom w:w="0" w:type="dxa"/>
            <w:right w:w="108" w:type="dxa"/>
          </w:tblCellMar>
        </w:tblPrEx>
        <w:trPr>
          <w:trHeight w:val="680" w:hRule="atLeast"/>
        </w:trPr>
        <w:tc>
          <w:tcPr>
            <w:tcW w:w="7763" w:type="dxa"/>
            <w:gridSpan w:val="5"/>
            <w:tcBorders>
              <w:left w:val="single" w:color="auto" w:sz="8" w:space="0"/>
              <w:bottom w:val="single" w:color="auto" w:sz="8" w:space="0"/>
              <w:right w:val="single" w:color="auto" w:sz="4" w:space="0"/>
            </w:tcBorders>
            <w:vAlign w:val="center"/>
          </w:tcPr>
          <w:p>
            <w:pPr>
              <w:jc w:val="center"/>
              <w:rPr>
                <w:rFonts w:ascii="宋体" w:hAnsi="宋体"/>
                <w:sz w:val="24"/>
              </w:rPr>
            </w:pPr>
            <w:r>
              <w:rPr>
                <w:rFonts w:hint="eastAsia" w:ascii="宋体" w:hAnsi="宋体"/>
                <w:sz w:val="21"/>
                <w:szCs w:val="21"/>
              </w:rPr>
              <w:t>总计</w:t>
            </w:r>
          </w:p>
        </w:tc>
        <w:tc>
          <w:tcPr>
            <w:tcW w:w="1701" w:type="dxa"/>
            <w:tcBorders>
              <w:top w:val="single" w:color="auto" w:sz="4" w:space="0"/>
              <w:left w:val="single" w:color="auto" w:sz="4" w:space="0"/>
              <w:bottom w:val="single" w:color="auto" w:sz="8" w:space="0"/>
              <w:right w:val="single" w:color="auto" w:sz="8" w:space="0"/>
            </w:tcBorders>
            <w:vAlign w:val="center"/>
          </w:tcPr>
          <w:p>
            <w:pPr>
              <w:rPr>
                <w:rFonts w:ascii="宋体" w:hAnsi="宋体"/>
                <w:b/>
                <w:sz w:val="24"/>
              </w:rPr>
            </w:pPr>
          </w:p>
        </w:tc>
      </w:tr>
    </w:tbl>
    <w:p>
      <w:pPr>
        <w:ind w:firstLine="210" w:firstLineChars="100"/>
        <w:rPr>
          <w:szCs w:val="21"/>
        </w:rPr>
      </w:pPr>
    </w:p>
    <w:p>
      <w:pPr>
        <w:rPr>
          <w:szCs w:val="21"/>
        </w:rPr>
      </w:pPr>
      <w:r>
        <w:rPr>
          <w:szCs w:val="21"/>
        </w:rPr>
        <w:t>备注：此表</w:t>
      </w:r>
      <w:r>
        <w:rPr>
          <w:rFonts w:hint="eastAsia"/>
          <w:szCs w:val="21"/>
        </w:rPr>
        <w:t>在不改变版式的情况下，内容</w:t>
      </w:r>
      <w:r>
        <w:rPr>
          <w:szCs w:val="21"/>
        </w:rPr>
        <w:t>可根据实际情况调整。</w:t>
      </w:r>
    </w:p>
    <w:p>
      <w:pPr>
        <w:pStyle w:val="38"/>
        <w:ind w:firstLine="404"/>
      </w:pPr>
    </w:p>
    <w:p>
      <w:pPr>
        <w:pStyle w:val="38"/>
        <w:ind w:firstLine="404"/>
      </w:pPr>
    </w:p>
    <w:p>
      <w:pPr>
        <w:widowControl/>
        <w:spacing w:line="360" w:lineRule="auto"/>
        <w:ind w:firstLine="4410" w:firstLineChars="2100"/>
        <w:jc w:val="left"/>
        <w:rPr>
          <w:sz w:val="21"/>
          <w:szCs w:val="21"/>
        </w:rPr>
      </w:pPr>
      <w:r>
        <w:rPr>
          <w:sz w:val="21"/>
          <w:szCs w:val="21"/>
        </w:rPr>
        <w:t>投 标 人（盖章）：</w:t>
      </w:r>
    </w:p>
    <w:p>
      <w:pPr>
        <w:pStyle w:val="17"/>
        <w:widowControl/>
        <w:spacing w:line="360" w:lineRule="auto"/>
        <w:ind w:firstLine="4410" w:firstLineChars="2100"/>
        <w:jc w:val="left"/>
        <w:rPr>
          <w:rFonts w:ascii="Times New Roman"/>
          <w:sz w:val="21"/>
          <w:szCs w:val="21"/>
        </w:rPr>
      </w:pPr>
      <w:r>
        <w:rPr>
          <w:rFonts w:ascii="Times New Roman"/>
          <w:spacing w:val="0"/>
          <w:sz w:val="21"/>
          <w:szCs w:val="21"/>
        </w:rPr>
        <w:t>日    期：</w:t>
      </w:r>
    </w:p>
    <w:p>
      <w:pPr>
        <w:pStyle w:val="17"/>
        <w:widowControl/>
        <w:spacing w:line="360" w:lineRule="auto"/>
        <w:ind w:firstLine="0"/>
        <w:jc w:val="left"/>
        <w:rPr>
          <w:rFonts w:ascii="Times New Roman"/>
          <w:b/>
          <w:sz w:val="21"/>
          <w:szCs w:val="21"/>
        </w:rPr>
        <w:sectPr>
          <w:headerReference r:id="rId12" w:type="default"/>
          <w:footerReference r:id="rId13" w:type="default"/>
          <w:pgSz w:w="11907" w:h="16840"/>
          <w:pgMar w:top="1276" w:right="1474" w:bottom="1242" w:left="1474" w:header="851" w:footer="851" w:gutter="0"/>
          <w:pgNumType w:fmt="decimal"/>
          <w:cols w:space="720" w:num="1"/>
          <w:titlePg/>
          <w:docGrid w:linePitch="312" w:charSpace="0"/>
        </w:sectPr>
      </w:pPr>
    </w:p>
    <w:p>
      <w:pPr>
        <w:outlineLvl w:val="1"/>
        <w:rPr>
          <w:b/>
        </w:rPr>
      </w:pPr>
      <w:bookmarkStart w:id="371" w:name="_Toc460857950"/>
      <w:bookmarkStart w:id="372" w:name="_Toc24368"/>
      <w:bookmarkStart w:id="373" w:name="_Toc18970"/>
      <w:bookmarkStart w:id="374" w:name="_Toc23257"/>
      <w:bookmarkStart w:id="375" w:name="_Toc20463"/>
      <w:r>
        <w:rPr>
          <w:b/>
        </w:rPr>
        <w:t>格式十</w:t>
      </w:r>
      <w:r>
        <w:rPr>
          <w:rFonts w:hint="eastAsia"/>
          <w:b/>
        </w:rPr>
        <w:t>五</w:t>
      </w:r>
      <w:r>
        <w:rPr>
          <w:b/>
        </w:rPr>
        <w:t>：</w:t>
      </w:r>
      <w:bookmarkEnd w:id="371"/>
      <w:bookmarkEnd w:id="372"/>
      <w:bookmarkEnd w:id="373"/>
      <w:bookmarkEnd w:id="374"/>
      <w:bookmarkEnd w:id="375"/>
    </w:p>
    <w:p>
      <w:pPr>
        <w:spacing w:line="411" w:lineRule="exact"/>
        <w:ind w:right="6"/>
        <w:jc w:val="center"/>
        <w:rPr>
          <w:b/>
          <w:sz w:val="30"/>
          <w:szCs w:val="30"/>
        </w:rPr>
      </w:pPr>
      <w:r>
        <w:rPr>
          <w:b/>
          <w:sz w:val="30"/>
          <w:szCs w:val="30"/>
        </w:rPr>
        <w:t>中小企业声明函</w:t>
      </w:r>
    </w:p>
    <w:p>
      <w:pPr>
        <w:spacing w:line="200" w:lineRule="exact"/>
        <w:rPr>
          <w:rFonts w:eastAsia="Times New Roman"/>
        </w:rPr>
      </w:pPr>
    </w:p>
    <w:p>
      <w:pPr>
        <w:spacing w:line="200" w:lineRule="exact"/>
        <w:rPr>
          <w:rFonts w:eastAsia="Times New Roman"/>
        </w:rPr>
      </w:pPr>
    </w:p>
    <w:p>
      <w:pPr>
        <w:spacing w:line="318" w:lineRule="exact"/>
        <w:rPr>
          <w:rFonts w:eastAsia="Times New Roman"/>
        </w:rPr>
      </w:pPr>
    </w:p>
    <w:p>
      <w:pPr>
        <w:keepNext w:val="0"/>
        <w:keepLines w:val="0"/>
        <w:pageBreakBefore w:val="0"/>
        <w:widowControl w:val="0"/>
        <w:kinsoku/>
        <w:wordWrap/>
        <w:overflowPunct/>
        <w:topLinePunct w:val="0"/>
        <w:autoSpaceDE/>
        <w:autoSpaceDN/>
        <w:bidi w:val="0"/>
        <w:adjustRightInd/>
        <w:snapToGrid/>
        <w:spacing w:line="400" w:lineRule="exact"/>
        <w:ind w:left="360" w:right="366" w:firstLine="641"/>
        <w:textAlignment w:val="auto"/>
        <w:rPr>
          <w:szCs w:val="21"/>
        </w:rPr>
      </w:pPr>
      <w:r>
        <w:rPr>
          <w:szCs w:val="21"/>
        </w:rPr>
        <w:t>本公司（联合体）郑重声明，根据《政府采购促进中小企业发展管理办法》（财库﹝2020﹞46号）的规定，本公司（联合体）参加</w:t>
      </w:r>
      <w:r>
        <w:rPr>
          <w:szCs w:val="21"/>
          <w:u w:val="single"/>
        </w:rPr>
        <w:t>（单位名称）</w:t>
      </w:r>
      <w:r>
        <w:rPr>
          <w:szCs w:val="21"/>
        </w:rPr>
        <w:t>的</w:t>
      </w:r>
      <w:r>
        <w:rPr>
          <w:szCs w:val="21"/>
          <w:u w:val="single"/>
        </w:rPr>
        <w:t>（项目名称）</w:t>
      </w:r>
      <w:r>
        <w:rPr>
          <w:szCs w:val="21"/>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00" w:lineRule="exact"/>
        <w:ind w:left="360" w:right="366" w:firstLine="641"/>
        <w:textAlignment w:val="auto"/>
        <w:rPr>
          <w:szCs w:val="21"/>
        </w:rPr>
      </w:pPr>
      <w:r>
        <w:rPr>
          <w:szCs w:val="21"/>
        </w:rPr>
        <w:t>1</w:t>
      </w:r>
      <w:r>
        <w:rPr>
          <w:rFonts w:hint="eastAsia"/>
          <w:szCs w:val="21"/>
        </w:rPr>
        <w:t>、</w:t>
      </w:r>
      <w:r>
        <w:rPr>
          <w:szCs w:val="21"/>
          <w:u w:val="single"/>
        </w:rPr>
        <w:t>（标的名称）</w:t>
      </w:r>
      <w:r>
        <w:rPr>
          <w:szCs w:val="21"/>
        </w:rPr>
        <w:t>，属于</w:t>
      </w:r>
      <w:r>
        <w:rPr>
          <w:rFonts w:hint="eastAsia"/>
          <w:szCs w:val="21"/>
          <w:u w:val="single"/>
        </w:rPr>
        <w:t xml:space="preserve">          </w:t>
      </w:r>
      <w:r>
        <w:rPr>
          <w:szCs w:val="21"/>
        </w:rPr>
        <w:t>；承接企业为</w:t>
      </w:r>
      <w:r>
        <w:rPr>
          <w:szCs w:val="21"/>
          <w:u w:val="single"/>
        </w:rPr>
        <w:t>（企业名称）</w:t>
      </w:r>
      <w:r>
        <w:rPr>
          <w:szCs w:val="21"/>
        </w:rPr>
        <w:t>，从业人员</w:t>
      </w:r>
      <w:r>
        <w:rPr>
          <w:szCs w:val="21"/>
          <w:u w:val="single"/>
        </w:rPr>
        <w:t xml:space="preserve">  </w:t>
      </w:r>
      <w:r>
        <w:rPr>
          <w:szCs w:val="21"/>
        </w:rPr>
        <w:t>人，营业 收入为</w:t>
      </w:r>
      <w:r>
        <w:rPr>
          <w:szCs w:val="21"/>
          <w:u w:val="single"/>
        </w:rPr>
        <w:t xml:space="preserve">  </w:t>
      </w:r>
      <w:r>
        <w:rPr>
          <w:szCs w:val="21"/>
        </w:rPr>
        <w:t>万元，资产总额为</w:t>
      </w:r>
      <w:r>
        <w:rPr>
          <w:szCs w:val="21"/>
          <w:u w:val="single"/>
        </w:rPr>
        <w:t xml:space="preserve">   </w:t>
      </w:r>
      <w:r>
        <w:rPr>
          <w:szCs w:val="21"/>
        </w:rPr>
        <w:t xml:space="preserve">万元，属于 </w:t>
      </w:r>
      <w:r>
        <w:rPr>
          <w:szCs w:val="21"/>
          <w:u w:val="single"/>
        </w:rPr>
        <w:t>（中型企业、小型企业、微型企业）</w:t>
      </w:r>
      <w:r>
        <w:rPr>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360" w:right="366" w:firstLine="641"/>
        <w:textAlignment w:val="auto"/>
        <w:rPr>
          <w:szCs w:val="21"/>
        </w:rPr>
      </w:pPr>
      <w:r>
        <w:rPr>
          <w:szCs w:val="21"/>
        </w:rPr>
        <w:t>……</w:t>
      </w:r>
    </w:p>
    <w:p>
      <w:pPr>
        <w:keepNext w:val="0"/>
        <w:keepLines w:val="0"/>
        <w:pageBreakBefore w:val="0"/>
        <w:widowControl w:val="0"/>
        <w:kinsoku/>
        <w:wordWrap/>
        <w:overflowPunct/>
        <w:topLinePunct w:val="0"/>
        <w:autoSpaceDE/>
        <w:autoSpaceDN/>
        <w:bidi w:val="0"/>
        <w:adjustRightInd/>
        <w:snapToGrid/>
        <w:spacing w:line="400" w:lineRule="exact"/>
        <w:ind w:left="360" w:right="366" w:firstLine="646"/>
        <w:textAlignment w:val="auto"/>
        <w:rPr>
          <w:szCs w:val="21"/>
        </w:rPr>
      </w:pPr>
      <w:r>
        <w:rPr>
          <w:szCs w:val="21"/>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p>
      <w:pPr>
        <w:keepNext w:val="0"/>
        <w:keepLines w:val="0"/>
        <w:pageBreakBefore w:val="0"/>
        <w:widowControl w:val="0"/>
        <w:kinsoku/>
        <w:wordWrap/>
        <w:overflowPunct/>
        <w:topLinePunct w:val="0"/>
        <w:autoSpaceDE/>
        <w:autoSpaceDN/>
        <w:bidi w:val="0"/>
        <w:adjustRightInd/>
        <w:snapToGrid/>
        <w:spacing w:line="400" w:lineRule="exact"/>
        <w:ind w:left="360" w:right="366" w:firstLine="641"/>
        <w:textAlignment w:val="auto"/>
        <w:rPr>
          <w:szCs w:val="21"/>
        </w:rPr>
      </w:pPr>
      <w:r>
        <w:rPr>
          <w:szCs w:val="21"/>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p>
      <w:pPr>
        <w:keepNext w:val="0"/>
        <w:keepLines w:val="0"/>
        <w:pageBreakBefore w:val="0"/>
        <w:widowControl w:val="0"/>
        <w:kinsoku/>
        <w:wordWrap/>
        <w:overflowPunct/>
        <w:topLinePunct w:val="0"/>
        <w:autoSpaceDE/>
        <w:autoSpaceDN/>
        <w:bidi w:val="0"/>
        <w:adjustRightInd/>
        <w:snapToGrid/>
        <w:spacing w:line="400" w:lineRule="exact"/>
        <w:ind w:left="4200" w:firstLine="210" w:firstLineChars="100"/>
        <w:textAlignment w:val="auto"/>
        <w:rPr>
          <w:szCs w:val="21"/>
        </w:rPr>
      </w:pPr>
    </w:p>
    <w:p>
      <w:pPr>
        <w:keepNext w:val="0"/>
        <w:keepLines w:val="0"/>
        <w:pageBreakBefore w:val="0"/>
        <w:widowControl w:val="0"/>
        <w:kinsoku/>
        <w:wordWrap/>
        <w:overflowPunct/>
        <w:topLinePunct w:val="0"/>
        <w:autoSpaceDE/>
        <w:autoSpaceDN/>
        <w:bidi w:val="0"/>
        <w:adjustRightInd/>
        <w:snapToGrid/>
        <w:spacing w:line="400" w:lineRule="exact"/>
        <w:ind w:left="4200" w:firstLine="210" w:firstLineChars="100"/>
        <w:textAlignment w:val="auto"/>
        <w:rPr>
          <w:szCs w:val="21"/>
        </w:rPr>
      </w:pPr>
    </w:p>
    <w:p>
      <w:pPr>
        <w:keepNext w:val="0"/>
        <w:keepLines w:val="0"/>
        <w:pageBreakBefore w:val="0"/>
        <w:widowControl w:val="0"/>
        <w:kinsoku/>
        <w:wordWrap/>
        <w:overflowPunct/>
        <w:topLinePunct w:val="0"/>
        <w:autoSpaceDE/>
        <w:autoSpaceDN/>
        <w:bidi w:val="0"/>
        <w:adjustRightInd/>
        <w:snapToGrid/>
        <w:spacing w:line="400" w:lineRule="exact"/>
        <w:ind w:left="4200" w:firstLine="210" w:firstLineChars="100"/>
        <w:textAlignment w:val="auto"/>
        <w:rPr>
          <w:szCs w:val="21"/>
        </w:rPr>
      </w:pPr>
      <w:r>
        <w:rPr>
          <w:szCs w:val="21"/>
        </w:rPr>
        <w:t>企业名称（盖章）：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410" w:firstLineChars="2100"/>
        <w:textAlignment w:val="auto"/>
        <w:rPr>
          <w:szCs w:val="21"/>
        </w:rPr>
      </w:pPr>
      <w:r>
        <w:rPr>
          <w:szCs w:val="21"/>
        </w:rPr>
        <w:t>日</w:t>
      </w:r>
      <w:r>
        <w:rPr>
          <w:rFonts w:hint="eastAsia"/>
          <w:szCs w:val="21"/>
        </w:rPr>
        <w:t xml:space="preserve">  </w:t>
      </w:r>
      <w:r>
        <w:rPr>
          <w:szCs w:val="21"/>
        </w:rPr>
        <w:t>期：</w:t>
      </w:r>
    </w:p>
    <w:p>
      <w:pPr>
        <w:pStyle w:val="76"/>
        <w:keepNext w:val="0"/>
        <w:keepLines w:val="0"/>
        <w:pageBreakBefore w:val="0"/>
        <w:widowControl w:val="0"/>
        <w:kinsoku/>
        <w:wordWrap/>
        <w:overflowPunct/>
        <w:topLinePunct w:val="0"/>
        <w:autoSpaceDE/>
        <w:autoSpaceDN/>
        <w:bidi w:val="0"/>
        <w:adjustRightInd/>
        <w:snapToGrid/>
        <w:spacing w:line="400" w:lineRule="exact"/>
        <w:textAlignment w:val="auto"/>
        <w:rPr>
          <w:szCs w:val="21"/>
        </w:rPr>
      </w:pPr>
    </w:p>
    <w:p>
      <w:pPr>
        <w:pStyle w:val="76"/>
        <w:rPr>
          <w:szCs w:val="21"/>
        </w:rPr>
      </w:pPr>
    </w:p>
    <w:p>
      <w:pPr>
        <w:pStyle w:val="76"/>
        <w:rPr>
          <w:szCs w:val="21"/>
        </w:rPr>
      </w:pPr>
    </w:p>
    <w:p>
      <w:pPr>
        <w:pStyle w:val="76"/>
        <w:rPr>
          <w:szCs w:val="21"/>
        </w:rPr>
      </w:pPr>
    </w:p>
    <w:p>
      <w:pPr>
        <w:pStyle w:val="76"/>
        <w:rPr>
          <w:szCs w:val="21"/>
        </w:rPr>
      </w:pPr>
    </w:p>
    <w:p>
      <w:pPr>
        <w:pStyle w:val="76"/>
        <w:rPr>
          <w:szCs w:val="21"/>
        </w:rPr>
      </w:pPr>
    </w:p>
    <w:p>
      <w:pPr>
        <w:snapToGrid w:val="0"/>
        <w:spacing w:line="360" w:lineRule="auto"/>
        <w:jc w:val="left"/>
        <w:rPr>
          <w:spacing w:val="6"/>
          <w:szCs w:val="21"/>
        </w:rPr>
      </w:pPr>
      <w:r>
        <w:rPr>
          <w:b/>
          <w:bCs/>
          <w:spacing w:val="6"/>
          <w:szCs w:val="21"/>
        </w:rPr>
        <w:t xml:space="preserve"> 说明：</w:t>
      </w:r>
    </w:p>
    <w:p>
      <w:pPr>
        <w:snapToGrid w:val="0"/>
        <w:spacing w:line="360" w:lineRule="auto"/>
        <w:jc w:val="left"/>
        <w:rPr>
          <w:spacing w:val="6"/>
          <w:szCs w:val="21"/>
        </w:rPr>
      </w:pPr>
      <w:r>
        <w:rPr>
          <w:spacing w:val="6"/>
          <w:szCs w:val="21"/>
        </w:rPr>
        <w:t>1从业人员、营业收入、资产总额填报上一年度数据，无上一年度数据的新成立企业可不填报。</w:t>
      </w:r>
    </w:p>
    <w:p>
      <w:pPr>
        <w:snapToGrid w:val="0"/>
        <w:spacing w:line="360" w:lineRule="auto"/>
        <w:jc w:val="left"/>
        <w:rPr>
          <w:spacing w:val="6"/>
          <w:szCs w:val="21"/>
        </w:rPr>
      </w:pPr>
      <w:r>
        <w:rPr>
          <w:spacing w:val="6"/>
          <w:szCs w:val="21"/>
        </w:rPr>
        <w:t>2、供应商根据采购文件规定的采购标的对应的中小企业划分标准所属行业，对照中小微行业划型标准规定（根据工信部联企业〔2011〕300号制定）如实填写。</w:t>
      </w:r>
    </w:p>
    <w:p>
      <w:pPr>
        <w:snapToGrid w:val="0"/>
        <w:spacing w:line="360" w:lineRule="auto"/>
        <w:jc w:val="left"/>
        <w:rPr>
          <w:spacing w:val="6"/>
          <w:szCs w:val="21"/>
        </w:rPr>
        <w:sectPr>
          <w:headerReference r:id="rId14" w:type="default"/>
          <w:footerReference r:id="rId15" w:type="default"/>
          <w:pgSz w:w="11907" w:h="16840"/>
          <w:pgMar w:top="1276" w:right="1474" w:bottom="1242" w:left="1474" w:header="720" w:footer="720" w:gutter="0"/>
          <w:pgNumType w:fmt="decimal"/>
          <w:cols w:space="720" w:num="1"/>
          <w:docGrid w:linePitch="285" w:charSpace="0"/>
        </w:sectPr>
      </w:pPr>
      <w:r>
        <w:rPr>
          <w:spacing w:val="6"/>
          <w:szCs w:val="21"/>
        </w:rPr>
        <w:t>3、投标人提供的声明函与事实不符的，依据《政府采购法》第七十七条第一款的规定追究法律责任</w:t>
      </w:r>
      <w:r>
        <w:rPr>
          <w:rFonts w:hint="eastAsia"/>
          <w:spacing w:val="6"/>
          <w:szCs w:val="21"/>
        </w:rPr>
        <w:t>，</w:t>
      </w:r>
      <w:r>
        <w:rPr>
          <w:spacing w:val="6"/>
          <w:szCs w:val="21"/>
        </w:rPr>
        <w:t>如若中标本声明函随中标结果予以公示。</w:t>
      </w:r>
    </w:p>
    <w:p>
      <w:pPr>
        <w:jc w:val="center"/>
        <w:rPr>
          <w:rFonts w:ascii="宋体" w:hAnsi="宋体" w:cs="宋体"/>
          <w:b/>
          <w:sz w:val="30"/>
          <w:szCs w:val="30"/>
        </w:rPr>
      </w:pPr>
      <w:r>
        <w:rPr>
          <w:rFonts w:hint="eastAsia" w:ascii="宋体" w:hAnsi="宋体" w:cs="宋体"/>
          <w:b/>
          <w:sz w:val="30"/>
          <w:szCs w:val="30"/>
        </w:rPr>
        <w:t>中小企业划型标准规定（工信部联企业[2011]300号）</w:t>
      </w:r>
    </w:p>
    <w:p>
      <w:pPr>
        <w:pStyle w:val="193"/>
        <w:snapToGrid w:val="0"/>
        <w:spacing w:before="120" w:after="120" w:line="440" w:lineRule="exact"/>
        <w:jc w:val="center"/>
        <w:rPr>
          <w:rFonts w:hAnsi="宋体" w:cs="宋体"/>
          <w:b/>
          <w:sz w:val="28"/>
          <w:szCs w:val="28"/>
        </w:rPr>
      </w:pPr>
      <w:r>
        <w:rPr>
          <w:rFonts w:hint="eastAsia" w:hAnsi="宋体" w:cs="宋体"/>
        </w:rPr>
        <w:drawing>
          <wp:anchor distT="0" distB="0" distL="114300" distR="114300" simplePos="0" relativeHeight="251663360" behindDoc="1" locked="0" layoutInCell="1" allowOverlap="1">
            <wp:simplePos x="0" y="0"/>
            <wp:positionH relativeFrom="column">
              <wp:posOffset>265430</wp:posOffset>
            </wp:positionH>
            <wp:positionV relativeFrom="page">
              <wp:posOffset>1236980</wp:posOffset>
            </wp:positionV>
            <wp:extent cx="8989060" cy="5436870"/>
            <wp:effectExtent l="0" t="0" r="2540" b="1143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7"/>
                    <a:stretch>
                      <a:fillRect/>
                    </a:stretch>
                  </pic:blipFill>
                  <pic:spPr>
                    <a:xfrm>
                      <a:off x="0" y="0"/>
                      <a:ext cx="8989060" cy="5436870"/>
                    </a:xfrm>
                    <a:prstGeom prst="rect">
                      <a:avLst/>
                    </a:prstGeom>
                    <a:noFill/>
                    <a:ln>
                      <a:noFill/>
                    </a:ln>
                  </pic:spPr>
                </pic:pic>
              </a:graphicData>
            </a:graphic>
          </wp:anchor>
        </w:drawing>
      </w:r>
    </w:p>
    <w:p>
      <w:pPr>
        <w:pStyle w:val="76"/>
        <w:sectPr>
          <w:pgSz w:w="16840" w:h="11907" w:orient="landscape"/>
          <w:pgMar w:top="1474" w:right="1276" w:bottom="1474" w:left="1242" w:header="720" w:footer="720" w:gutter="0"/>
          <w:pgNumType w:fmt="decimal"/>
          <w:cols w:space="720" w:num="1"/>
          <w:docGrid w:linePitch="285" w:charSpace="0"/>
        </w:sectPr>
      </w:pPr>
    </w:p>
    <w:p>
      <w:pPr>
        <w:widowControl/>
        <w:spacing w:line="360" w:lineRule="auto"/>
        <w:jc w:val="left"/>
        <w:outlineLvl w:val="1"/>
        <w:rPr>
          <w:rFonts w:ascii="Times New Roman"/>
          <w:b/>
          <w:sz w:val="21"/>
          <w:szCs w:val="21"/>
        </w:rPr>
      </w:pPr>
      <w:bookmarkStart w:id="376" w:name="_Toc14917"/>
      <w:bookmarkStart w:id="377" w:name="_Toc24552"/>
      <w:bookmarkStart w:id="378" w:name="_Toc14107"/>
      <w:bookmarkStart w:id="379" w:name="_Toc21746"/>
      <w:bookmarkStart w:id="380" w:name="OLE_LINK13"/>
      <w:bookmarkStart w:id="381" w:name="OLE_LINK14"/>
      <w:r>
        <w:rPr>
          <w:b/>
        </w:rPr>
        <w:t>格式十</w:t>
      </w:r>
      <w:r>
        <w:rPr>
          <w:rFonts w:hint="eastAsia"/>
          <w:b/>
        </w:rPr>
        <w:t>六</w:t>
      </w:r>
      <w:r>
        <w:rPr>
          <w:b/>
        </w:rPr>
        <w:t>：</w:t>
      </w:r>
      <w:bookmarkEnd w:id="376"/>
      <w:bookmarkEnd w:id="377"/>
      <w:bookmarkEnd w:id="378"/>
      <w:bookmarkEnd w:id="379"/>
    </w:p>
    <w:p>
      <w:pPr>
        <w:pStyle w:val="17"/>
        <w:spacing w:line="520" w:lineRule="exact"/>
        <w:jc w:val="center"/>
        <w:rPr>
          <w:rFonts w:ascii="Times New Roman"/>
          <w:b/>
          <w:sz w:val="32"/>
          <w:szCs w:val="32"/>
        </w:rPr>
      </w:pPr>
      <w:r>
        <w:rPr>
          <w:rFonts w:ascii="Times New Roman"/>
          <w:b/>
          <w:sz w:val="32"/>
          <w:szCs w:val="32"/>
        </w:rPr>
        <w:t>残疾人福利性单位声明函</w:t>
      </w:r>
    </w:p>
    <w:bookmarkEnd w:id="380"/>
    <w:bookmarkEnd w:id="381"/>
    <w:p>
      <w:pPr>
        <w:spacing w:line="588" w:lineRule="exact"/>
        <w:rPr>
          <w:b/>
          <w:spacing w:val="6"/>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44" w:firstLineChars="200"/>
        <w:textAlignment w:val="auto"/>
        <w:rPr>
          <w:spacing w:val="6"/>
          <w:szCs w:val="21"/>
        </w:rPr>
      </w:pPr>
      <w:r>
        <w:rPr>
          <w:spacing w:val="6"/>
          <w:szCs w:val="21"/>
        </w:rPr>
        <w:t>本单位郑重声明，根据《财政部民政部中国残疾人联合会关于促进残疾人就业政府采购政策的通知》（财库</w:t>
      </w:r>
      <w:r>
        <w:rPr>
          <w:szCs w:val="21"/>
        </w:rPr>
        <w:t>〔2017〕 141</w:t>
      </w:r>
      <w:r>
        <w:rPr>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00" w:lineRule="exact"/>
        <w:ind w:firstLine="444" w:firstLineChars="200"/>
        <w:textAlignment w:val="auto"/>
        <w:rPr>
          <w:spacing w:val="6"/>
          <w:szCs w:val="21"/>
        </w:rPr>
      </w:pPr>
      <w:r>
        <w:rPr>
          <w:spacing w:val="6"/>
          <w:szCs w:val="21"/>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44" w:firstLineChars="200"/>
        <w:textAlignment w:val="auto"/>
        <w:rPr>
          <w:spacing w:val="6"/>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44" w:firstLineChars="200"/>
        <w:textAlignment w:val="auto"/>
        <w:rPr>
          <w:spacing w:val="6"/>
          <w:szCs w:val="21"/>
        </w:rPr>
      </w:pPr>
    </w:p>
    <w:p>
      <w:pPr>
        <w:keepNext w:val="0"/>
        <w:keepLines w:val="0"/>
        <w:pageBreakBefore w:val="0"/>
        <w:widowControl w:val="0"/>
        <w:tabs>
          <w:tab w:val="left" w:pos="4860"/>
        </w:tabs>
        <w:kinsoku/>
        <w:wordWrap/>
        <w:overflowPunct/>
        <w:topLinePunct w:val="0"/>
        <w:autoSpaceDE/>
        <w:autoSpaceDN/>
        <w:bidi w:val="0"/>
        <w:adjustRightInd/>
        <w:snapToGrid/>
        <w:spacing w:line="400" w:lineRule="exact"/>
        <w:ind w:right="1560" w:firstLine="504" w:firstLineChars="200"/>
        <w:jc w:val="center"/>
        <w:textAlignment w:val="auto"/>
        <w:rPr>
          <w:spacing w:val="6"/>
          <w:sz w:val="21"/>
          <w:szCs w:val="21"/>
        </w:rPr>
      </w:pPr>
      <w:r>
        <w:rPr>
          <w:rFonts w:hint="eastAsia"/>
          <w:spacing w:val="6"/>
          <w:sz w:val="24"/>
        </w:rPr>
        <w:t xml:space="preserve">                     </w:t>
      </w:r>
      <w:r>
        <w:rPr>
          <w:rFonts w:hint="eastAsia"/>
          <w:spacing w:val="6"/>
          <w:sz w:val="21"/>
          <w:szCs w:val="21"/>
        </w:rPr>
        <w:t xml:space="preserve">  </w:t>
      </w:r>
      <w:r>
        <w:rPr>
          <w:spacing w:val="6"/>
          <w:sz w:val="21"/>
          <w:szCs w:val="21"/>
        </w:rPr>
        <w:t>单位名称（盖章）：</w:t>
      </w:r>
    </w:p>
    <w:p>
      <w:pPr>
        <w:keepNext w:val="0"/>
        <w:keepLines w:val="0"/>
        <w:pageBreakBefore w:val="0"/>
        <w:widowControl w:val="0"/>
        <w:tabs>
          <w:tab w:val="left" w:pos="4860"/>
        </w:tabs>
        <w:kinsoku/>
        <w:wordWrap/>
        <w:overflowPunct/>
        <w:topLinePunct w:val="0"/>
        <w:autoSpaceDE/>
        <w:autoSpaceDN/>
        <w:bidi w:val="0"/>
        <w:adjustRightInd/>
        <w:snapToGrid/>
        <w:spacing w:line="400" w:lineRule="exact"/>
        <w:ind w:right="1560" w:firstLine="444" w:firstLineChars="200"/>
        <w:jc w:val="center"/>
        <w:textAlignment w:val="auto"/>
        <w:rPr>
          <w:spacing w:val="6"/>
          <w:sz w:val="21"/>
          <w:szCs w:val="21"/>
        </w:rPr>
      </w:pPr>
      <w:r>
        <w:rPr>
          <w:rFonts w:hint="eastAsia"/>
          <w:spacing w:val="6"/>
          <w:sz w:val="21"/>
          <w:szCs w:val="21"/>
        </w:rPr>
        <w:t xml:space="preserve">            </w:t>
      </w:r>
      <w:r>
        <w:rPr>
          <w:rFonts w:hint="eastAsia"/>
          <w:spacing w:val="6"/>
          <w:sz w:val="21"/>
          <w:szCs w:val="21"/>
          <w:lang w:val="en-US" w:eastAsia="zh-CN"/>
        </w:rPr>
        <w:t xml:space="preserve">   </w:t>
      </w:r>
      <w:r>
        <w:rPr>
          <w:rFonts w:hint="eastAsia"/>
          <w:spacing w:val="6"/>
          <w:sz w:val="21"/>
          <w:szCs w:val="21"/>
        </w:rPr>
        <w:t xml:space="preserve">   </w:t>
      </w:r>
      <w:r>
        <w:rPr>
          <w:spacing w:val="6"/>
          <w:sz w:val="21"/>
          <w:szCs w:val="21"/>
        </w:rPr>
        <w:t>日</w:t>
      </w:r>
      <w:r>
        <w:rPr>
          <w:rFonts w:hint="eastAsia"/>
          <w:spacing w:val="6"/>
          <w:sz w:val="21"/>
          <w:szCs w:val="21"/>
        </w:rPr>
        <w:t xml:space="preserve">    </w:t>
      </w:r>
      <w:r>
        <w:rPr>
          <w:spacing w:val="6"/>
          <w:sz w:val="21"/>
          <w:szCs w:val="21"/>
        </w:rPr>
        <w:t>期：</w:t>
      </w:r>
    </w:p>
    <w:p>
      <w:pPr>
        <w:pStyle w:val="76"/>
        <w:rPr>
          <w:spacing w:val="6"/>
          <w:sz w:val="24"/>
        </w:rPr>
      </w:pPr>
    </w:p>
    <w:p>
      <w:pPr>
        <w:pStyle w:val="76"/>
        <w:rPr>
          <w:spacing w:val="6"/>
          <w:sz w:val="24"/>
        </w:rPr>
      </w:pPr>
    </w:p>
    <w:p>
      <w:pPr>
        <w:pStyle w:val="76"/>
        <w:rPr>
          <w:spacing w:val="6"/>
          <w:sz w:val="24"/>
        </w:rPr>
      </w:pPr>
    </w:p>
    <w:p>
      <w:pPr>
        <w:pStyle w:val="76"/>
        <w:rPr>
          <w:spacing w:val="6"/>
          <w:sz w:val="24"/>
        </w:rPr>
      </w:pPr>
    </w:p>
    <w:p>
      <w:pPr>
        <w:pStyle w:val="76"/>
        <w:rPr>
          <w:spacing w:val="6"/>
          <w:sz w:val="24"/>
        </w:rPr>
      </w:pPr>
    </w:p>
    <w:p>
      <w:pPr>
        <w:pStyle w:val="76"/>
        <w:rPr>
          <w:spacing w:val="6"/>
          <w:sz w:val="24"/>
        </w:rPr>
      </w:pPr>
    </w:p>
    <w:p>
      <w:pPr>
        <w:pStyle w:val="76"/>
        <w:rPr>
          <w:spacing w:val="6"/>
          <w:sz w:val="24"/>
        </w:rPr>
      </w:pPr>
    </w:p>
    <w:p>
      <w:pPr>
        <w:rPr>
          <w:sz w:val="24"/>
        </w:rPr>
      </w:pPr>
    </w:p>
    <w:p>
      <w:pPr>
        <w:rPr>
          <w:b/>
          <w:bCs/>
        </w:rPr>
      </w:pPr>
      <w:bookmarkStart w:id="382" w:name="_Toc12969"/>
      <w:r>
        <w:rPr>
          <w:b/>
          <w:bCs/>
        </w:rPr>
        <w:t>享受政府采购支持政策的残疾人福利性单位应当同时满足以下条件：</w:t>
      </w:r>
      <w:bookmarkEnd w:id="382"/>
    </w:p>
    <w:p>
      <w:bookmarkStart w:id="383" w:name="_Toc25652"/>
      <w:r>
        <w:t>（一）安置的残疾人占本单位在职职工人数的比例不低于25%（含25%），并且安置的残疾人人数不少于10人（含10人）；</w:t>
      </w:r>
      <w:bookmarkEnd w:id="383"/>
    </w:p>
    <w:p>
      <w:bookmarkStart w:id="384" w:name="_Toc9051"/>
      <w:r>
        <w:t>（二）依法与安置的每位残疾人签订了一年以上（含一年）的劳动合同或服务协议；</w:t>
      </w:r>
      <w:bookmarkEnd w:id="384"/>
    </w:p>
    <w:p>
      <w:bookmarkStart w:id="385" w:name="_Toc16065"/>
      <w:r>
        <w:t>（三）为安置的每位残疾人按月足额缴纳了基本养老保险、基本医疗保险、失业保险、工伤保险和生育保险等社会保险费；</w:t>
      </w:r>
      <w:bookmarkEnd w:id="385"/>
    </w:p>
    <w:p>
      <w:bookmarkStart w:id="386" w:name="_Toc9585"/>
      <w:r>
        <w:t>（四）通过银行等金融机构向安置的每位残疾人，按月支付了不低于单位所在区县适用的经省级人民政府批准的月最低工资标准的工资；</w:t>
      </w:r>
      <w:bookmarkEnd w:id="386"/>
    </w:p>
    <w:p>
      <w:bookmarkStart w:id="387" w:name="_Toc15466"/>
      <w:r>
        <w:t>（五）提供本单位制造的货物、承担的工程或者服务（以下简称产品），或者提供其他残疾人福利性单位制造的货物（不包括使用非残疾人福利性单位注册商标的货物）。</w:t>
      </w:r>
      <w:bookmarkEnd w:id="387"/>
    </w:p>
    <w:p>
      <w:pPr>
        <w:rPr>
          <w:sz w:val="24"/>
          <w:szCs w:val="44"/>
        </w:rPr>
      </w:pPr>
      <w:bookmarkStart w:id="388" w:name="_Toc30032"/>
      <w: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bookmarkEnd w:id="388"/>
    </w:p>
    <w:p>
      <w:pPr>
        <w:pStyle w:val="5"/>
        <w:spacing w:before="0" w:after="0" w:line="360" w:lineRule="auto"/>
        <w:jc w:val="center"/>
        <w:rPr>
          <w:rFonts w:ascii="宋体" w:hAnsi="宋体" w:cs="宋体"/>
          <w:sz w:val="18"/>
          <w:szCs w:val="18"/>
        </w:rPr>
      </w:pPr>
    </w:p>
    <w:p>
      <w:pPr>
        <w:pStyle w:val="5"/>
        <w:spacing w:before="0" w:after="0" w:line="360" w:lineRule="auto"/>
        <w:jc w:val="center"/>
        <w:rPr>
          <w:rFonts w:ascii="宋体" w:hAnsi="宋体" w:cs="宋体"/>
          <w:sz w:val="18"/>
          <w:szCs w:val="18"/>
        </w:rPr>
      </w:pPr>
    </w:p>
    <w:sectPr>
      <w:pgSz w:w="11907" w:h="16840"/>
      <w:pgMar w:top="1276" w:right="1474" w:bottom="1242" w:left="1474" w:header="720" w:footer="720" w:gutter="0"/>
      <w:pgNumType w:fmt="decimal"/>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ヒラギノ角ゴ Pro W3">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46</w:t>
    </w:r>
    <w:r>
      <w:rPr>
        <w:lang w:val="zh-CN"/>
      </w:rP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26</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jc w:val="center"/>
                          </w:pPr>
                        </w:p>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mE8mbCAQAAjgMAAA4AAAAAAAAAAQAgAAAAHgEAAGRycy9lMm9Eb2MueG1sUEsF&#10;BgAAAAAGAAYAWQEAAFIFA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ind w:firstLine="480"/>
                            <w:jc w:val="center"/>
                          </w:pPr>
                        </w:p>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qqHGMIBAACO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y&#10;JuvTB6gx7T5gYhre+gG3ZvYDOjPtQUWbv0iIYBzVPV/VlUMiIj9ar9brCkMCY/MF8dnD8xAhvZPe&#10;kmw0NOL4iqr89AHSmDqn5GrO32ljygiN+8uBmNnDcu9jj9lKw36YCO19e0Y+PU6+oQ4XnRLz3qGw&#10;eUlmI87GfjJyDQhvjgkLl34y6gg1FcMxFUbTSuU9eHwvWQ+/0f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KqhxjCAQAAjgMAAA4AAAAAAAAAAQAgAAAAHgEAAGRycy9lMm9Eb2MueG1sUEsF&#10;BgAAAAAGAAYAWQEAAFIFAAAAAA==&#10;">
              <v:fill on="f" focussize="0,0"/>
              <v:stroke on="f"/>
              <v:imagedata o:title=""/>
              <o:lock v:ext="edit" aspectratio="f"/>
              <v:textbox inset="0mm,0mm,0mm,0mm" style="mso-fit-shape-to-text:t;">
                <w:txbxContent>
                  <w:p>
                    <w:pPr>
                      <w:pStyle w:val="25"/>
                      <w:ind w:firstLine="480"/>
                      <w:jc w:val="center"/>
                    </w:pPr>
                  </w:p>
                  <w:p/>
                </w:txbxContent>
              </v:textbox>
            </v:shape>
          </w:pict>
        </mc:Fallback>
      </mc:AlternateContent>
    </w:r>
  </w:p>
  <w:p>
    <w:pPr>
      <w:pStyle w:val="25"/>
      <w:ind w:firstLine="4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5"/>
                    </w:pPr>
                    <w:r>
                      <w:fldChar w:fldCharType="begin"/>
                    </w:r>
                    <w:r>
                      <w:instrText xml:space="preserve"> PAGE  \* MERGEFORMAT </w:instrText>
                    </w:r>
                    <w:r>
                      <w:fldChar w:fldCharType="separate"/>
                    </w:r>
                    <w:r>
                      <w:t>45</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jc w:val="center"/>
                          </w:pPr>
                        </w:p>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S9uMIBAACO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jy&#10;JuvTB6gx7T5gYhre+gG3ZvYDOjPtQUWbv0iIYBzVPV/VlUMiIj9ar9brCkMCY/MF8dnD8xAhvZPe&#10;kmw0NOL4iqr89AHSmDqn5GrO32ljygiN+8uBmNnDcu9jj9lKw36YCO19e0Y+PU6+oQ4XnRLz3qGw&#10;eUlmI87GfjJyDQhvjgkLl34y6gg1FcMxFUbTSuU9eHwvWQ+/0f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kvbjCAQAAjgMAAA4AAAAAAAAAAQAgAAAAHgEAAGRycy9lMm9Eb2MueG1sUEsF&#10;BgAAAAAGAAYAWQEAAFIFAAAAAA==&#10;">
              <v:fill on="f" focussize="0,0"/>
              <v:stroke on="f"/>
              <v:imagedata o:title=""/>
              <o:lock v:ext="edit" aspectratio="f"/>
              <v:textbox inset="0mm,0mm,0mm,0mm" style="mso-fit-shape-to-text:t;">
                <w:txbxContent>
                  <w:p>
                    <w:pPr>
                      <w:pStyle w:val="25"/>
                      <w:jc w:val="center"/>
                    </w:pPr>
                  </w:p>
                  <w:p/>
                </w:txbxContent>
              </v:textbox>
            </v:shape>
          </w:pict>
        </mc:Fallback>
      </mc:AlternateConten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4109A"/>
    <w:multiLevelType w:val="multilevel"/>
    <w:tmpl w:val="D684109A"/>
    <w:lvl w:ilvl="0" w:tentative="0">
      <w:start w:val="1"/>
      <w:numFmt w:val="decimal"/>
      <w:lvlText w:val="（%1）"/>
      <w:lvlJc w:val="left"/>
      <w:pPr>
        <w:tabs>
          <w:tab w:val="left" w:pos="715"/>
        </w:tabs>
        <w:ind w:left="715" w:hanging="505"/>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
    <w:nsid w:val="E8951F4E"/>
    <w:multiLevelType w:val="singleLevel"/>
    <w:tmpl w:val="E8951F4E"/>
    <w:lvl w:ilvl="0" w:tentative="0">
      <w:start w:val="6"/>
      <w:numFmt w:val="chineseCounting"/>
      <w:suff w:val="nothing"/>
      <w:lvlText w:val="%1、"/>
      <w:lvlJc w:val="left"/>
      <w:rPr>
        <w:rFonts w:hint="eastAsia"/>
      </w:rPr>
    </w:lvl>
  </w:abstractNum>
  <w:abstractNum w:abstractNumId="2">
    <w:nsid w:val="0FFFFF7C"/>
    <w:multiLevelType w:val="singleLevel"/>
    <w:tmpl w:val="0FFFFF7C"/>
    <w:lvl w:ilvl="0" w:tentative="0">
      <w:start w:val="1"/>
      <w:numFmt w:val="decimal"/>
      <w:pStyle w:val="12"/>
      <w:lvlText w:val="%1."/>
      <w:lvlJc w:val="left"/>
      <w:pPr>
        <w:tabs>
          <w:tab w:val="left" w:pos="2040"/>
        </w:tabs>
        <w:ind w:left="2040" w:hanging="360"/>
      </w:pPr>
    </w:lvl>
  </w:abstractNum>
  <w:abstractNum w:abstractNumId="3">
    <w:nsid w:val="0FFFFF7D"/>
    <w:multiLevelType w:val="singleLevel"/>
    <w:tmpl w:val="0FFFFF7D"/>
    <w:lvl w:ilvl="0" w:tentative="0">
      <w:start w:val="1"/>
      <w:numFmt w:val="decimal"/>
      <w:pStyle w:val="16"/>
      <w:lvlText w:val="%1."/>
      <w:lvlJc w:val="left"/>
      <w:pPr>
        <w:tabs>
          <w:tab w:val="left" w:pos="1620"/>
        </w:tabs>
        <w:ind w:left="1620" w:hanging="360"/>
      </w:pPr>
    </w:lvl>
  </w:abstractNum>
  <w:abstractNum w:abstractNumId="4">
    <w:nsid w:val="0FFFFF7F"/>
    <w:multiLevelType w:val="singleLevel"/>
    <w:tmpl w:val="0FFFFF7F"/>
    <w:lvl w:ilvl="0" w:tentative="0">
      <w:start w:val="1"/>
      <w:numFmt w:val="decimal"/>
      <w:pStyle w:val="13"/>
      <w:lvlText w:val="%1."/>
      <w:lvlJc w:val="left"/>
      <w:pPr>
        <w:tabs>
          <w:tab w:val="left" w:pos="780"/>
        </w:tabs>
        <w:ind w:left="780" w:hanging="360"/>
      </w:pPr>
    </w:lvl>
  </w:abstractNum>
  <w:abstractNum w:abstractNumId="5">
    <w:nsid w:val="0FFFFF80"/>
    <w:multiLevelType w:val="singleLevel"/>
    <w:tmpl w:val="0FFFFF80"/>
    <w:lvl w:ilvl="0" w:tentative="0">
      <w:start w:val="1"/>
      <w:numFmt w:val="bullet"/>
      <w:pStyle w:val="22"/>
      <w:lvlText w:val=""/>
      <w:lvlJc w:val="left"/>
      <w:pPr>
        <w:tabs>
          <w:tab w:val="left" w:pos="2040"/>
        </w:tabs>
        <w:ind w:left="2040" w:hanging="360"/>
      </w:pPr>
      <w:rPr>
        <w:rFonts w:hint="default" w:ascii="Wingdings" w:hAnsi="Wingdings"/>
      </w:rPr>
    </w:lvl>
  </w:abstractNum>
  <w:abstractNum w:abstractNumId="6">
    <w:nsid w:val="0FFFFF81"/>
    <w:multiLevelType w:val="singleLevel"/>
    <w:tmpl w:val="0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7">
    <w:nsid w:val="0FFFFF83"/>
    <w:multiLevelType w:val="singleLevel"/>
    <w:tmpl w:val="0FFFFF83"/>
    <w:lvl w:ilvl="0" w:tentative="0">
      <w:start w:val="1"/>
      <w:numFmt w:val="bullet"/>
      <w:pStyle w:val="31"/>
      <w:lvlText w:val=""/>
      <w:lvlJc w:val="left"/>
      <w:pPr>
        <w:tabs>
          <w:tab w:val="left" w:pos="780"/>
        </w:tabs>
        <w:ind w:left="780" w:hanging="360"/>
      </w:pPr>
      <w:rPr>
        <w:rFonts w:hint="default" w:ascii="Wingdings" w:hAnsi="Wingdings"/>
      </w:rPr>
    </w:lvl>
  </w:abstractNum>
  <w:abstractNum w:abstractNumId="8">
    <w:nsid w:val="0FFFFF89"/>
    <w:multiLevelType w:val="singleLevel"/>
    <w:tmpl w:val="0FFFFF89"/>
    <w:lvl w:ilvl="0" w:tentative="0">
      <w:start w:val="1"/>
      <w:numFmt w:val="bullet"/>
      <w:pStyle w:val="233"/>
      <w:lvlText w:val=""/>
      <w:lvlJc w:val="left"/>
      <w:pPr>
        <w:tabs>
          <w:tab w:val="left" w:pos="360"/>
        </w:tabs>
        <w:ind w:left="360" w:hanging="360"/>
      </w:pPr>
      <w:rPr>
        <w:rFonts w:hint="default" w:ascii="Wingdings" w:hAnsi="Wingdings"/>
      </w:rPr>
    </w:lvl>
  </w:abstractNum>
  <w:abstractNum w:abstractNumId="9">
    <w:nsid w:val="1FA524CA"/>
    <w:multiLevelType w:val="singleLevel"/>
    <w:tmpl w:val="1FA524CA"/>
    <w:lvl w:ilvl="0" w:tentative="0">
      <w:start w:val="1"/>
      <w:numFmt w:val="chineseCounting"/>
      <w:suff w:val="nothing"/>
      <w:lvlText w:val="%1、"/>
      <w:lvlJc w:val="left"/>
      <w:rPr>
        <w:rFonts w:hint="eastAsia"/>
        <w:b/>
        <w:bCs/>
      </w:rPr>
    </w:lvl>
  </w:abstractNum>
  <w:abstractNum w:abstractNumId="10">
    <w:nsid w:val="235B2340"/>
    <w:multiLevelType w:val="multilevel"/>
    <w:tmpl w:val="235B2340"/>
    <w:lvl w:ilvl="0" w:tentative="0">
      <w:start w:val="1"/>
      <w:numFmt w:val="decimal"/>
      <w:lvlText w:val="%1."/>
      <w:lvlJc w:val="center"/>
      <w:pPr>
        <w:ind w:left="420" w:hanging="420"/>
      </w:pPr>
      <w:rPr>
        <w:rFonts w:hint="eastAsia"/>
      </w:rPr>
    </w:lvl>
    <w:lvl w:ilvl="1" w:tentative="0">
      <w:start w:val="1"/>
      <w:numFmt w:val="decimal"/>
      <w:lvlText w:val="%2."/>
      <w:lvlJc w:val="left"/>
      <w:pPr>
        <w:ind w:left="1696" w:hanging="420"/>
      </w:pPr>
      <w:rPr>
        <w:rFonts w:hint="eastAsia"/>
      </w:rPr>
    </w:lvl>
    <w:lvl w:ilvl="2" w:tentative="0">
      <w:start w:val="7"/>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6"/>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1"/>
  </w:num>
  <w:num w:numId="2">
    <w:abstractNumId w:val="2"/>
  </w:num>
  <w:num w:numId="3">
    <w:abstractNumId w:val="4"/>
  </w:num>
  <w:num w:numId="4">
    <w:abstractNumId w:val="3"/>
  </w:num>
  <w:num w:numId="5">
    <w:abstractNumId w:val="6"/>
  </w:num>
  <w:num w:numId="6">
    <w:abstractNumId w:val="5"/>
  </w:num>
  <w:num w:numId="7">
    <w:abstractNumId w:val="7"/>
  </w:num>
  <w:num w:numId="8">
    <w:abstractNumId w:val="8"/>
  </w:num>
  <w:num w:numId="9">
    <w:abstractNumId w:val="9"/>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OTNkZWI5MTFjMGI2YWIzNDY3YmNmMGI5MGFjNGUifQ=="/>
  </w:docVars>
  <w:rsids>
    <w:rsidRoot w:val="001439E3"/>
    <w:rsid w:val="000018F6"/>
    <w:rsid w:val="00007555"/>
    <w:rsid w:val="00007C20"/>
    <w:rsid w:val="00007E5F"/>
    <w:rsid w:val="00012349"/>
    <w:rsid w:val="00012AEE"/>
    <w:rsid w:val="00012BF3"/>
    <w:rsid w:val="00012C9F"/>
    <w:rsid w:val="00013191"/>
    <w:rsid w:val="000152BD"/>
    <w:rsid w:val="00016E5B"/>
    <w:rsid w:val="0001776C"/>
    <w:rsid w:val="00017ADD"/>
    <w:rsid w:val="0002373B"/>
    <w:rsid w:val="00024329"/>
    <w:rsid w:val="000256D8"/>
    <w:rsid w:val="00026B94"/>
    <w:rsid w:val="000271E7"/>
    <w:rsid w:val="00027255"/>
    <w:rsid w:val="000276D0"/>
    <w:rsid w:val="000279D7"/>
    <w:rsid w:val="00027B64"/>
    <w:rsid w:val="00030A43"/>
    <w:rsid w:val="00031FDB"/>
    <w:rsid w:val="00033F5E"/>
    <w:rsid w:val="00041D53"/>
    <w:rsid w:val="0004351F"/>
    <w:rsid w:val="0004418C"/>
    <w:rsid w:val="00045734"/>
    <w:rsid w:val="000460B6"/>
    <w:rsid w:val="00046A9C"/>
    <w:rsid w:val="000479FF"/>
    <w:rsid w:val="00051AE2"/>
    <w:rsid w:val="0005301B"/>
    <w:rsid w:val="000540F4"/>
    <w:rsid w:val="0005509D"/>
    <w:rsid w:val="00056633"/>
    <w:rsid w:val="000568C4"/>
    <w:rsid w:val="000572B3"/>
    <w:rsid w:val="00060411"/>
    <w:rsid w:val="0006085B"/>
    <w:rsid w:val="0006493A"/>
    <w:rsid w:val="00065D58"/>
    <w:rsid w:val="00065FC4"/>
    <w:rsid w:val="000660AC"/>
    <w:rsid w:val="00066102"/>
    <w:rsid w:val="000667FD"/>
    <w:rsid w:val="000704DD"/>
    <w:rsid w:val="00073814"/>
    <w:rsid w:val="00074067"/>
    <w:rsid w:val="00074B96"/>
    <w:rsid w:val="00075EFA"/>
    <w:rsid w:val="00076D74"/>
    <w:rsid w:val="00076D9F"/>
    <w:rsid w:val="000771F8"/>
    <w:rsid w:val="00080C31"/>
    <w:rsid w:val="00081328"/>
    <w:rsid w:val="000815A6"/>
    <w:rsid w:val="00081F25"/>
    <w:rsid w:val="000824AE"/>
    <w:rsid w:val="00083E1A"/>
    <w:rsid w:val="00084A00"/>
    <w:rsid w:val="00085239"/>
    <w:rsid w:val="00086FBB"/>
    <w:rsid w:val="0008743B"/>
    <w:rsid w:val="00093C6D"/>
    <w:rsid w:val="0009619A"/>
    <w:rsid w:val="000A0D3B"/>
    <w:rsid w:val="000A253C"/>
    <w:rsid w:val="000A3965"/>
    <w:rsid w:val="000A3985"/>
    <w:rsid w:val="000A3B0D"/>
    <w:rsid w:val="000A40C6"/>
    <w:rsid w:val="000A4754"/>
    <w:rsid w:val="000A7433"/>
    <w:rsid w:val="000A74AD"/>
    <w:rsid w:val="000A796B"/>
    <w:rsid w:val="000B0334"/>
    <w:rsid w:val="000B0B05"/>
    <w:rsid w:val="000B0B8E"/>
    <w:rsid w:val="000B0D00"/>
    <w:rsid w:val="000B0DF4"/>
    <w:rsid w:val="000B1AC7"/>
    <w:rsid w:val="000B1DFC"/>
    <w:rsid w:val="000B3D29"/>
    <w:rsid w:val="000B5B96"/>
    <w:rsid w:val="000B794A"/>
    <w:rsid w:val="000C0DBC"/>
    <w:rsid w:val="000C16D5"/>
    <w:rsid w:val="000C5EC0"/>
    <w:rsid w:val="000C6496"/>
    <w:rsid w:val="000C76F6"/>
    <w:rsid w:val="000C7C45"/>
    <w:rsid w:val="000D03D2"/>
    <w:rsid w:val="000D06C1"/>
    <w:rsid w:val="000D06DD"/>
    <w:rsid w:val="000D074E"/>
    <w:rsid w:val="000D1716"/>
    <w:rsid w:val="000D3E4C"/>
    <w:rsid w:val="000D43DF"/>
    <w:rsid w:val="000D442A"/>
    <w:rsid w:val="000D5A6F"/>
    <w:rsid w:val="000D7001"/>
    <w:rsid w:val="000E02E9"/>
    <w:rsid w:val="000E282D"/>
    <w:rsid w:val="000E28C4"/>
    <w:rsid w:val="000E339F"/>
    <w:rsid w:val="000E3FF9"/>
    <w:rsid w:val="000E4396"/>
    <w:rsid w:val="000F02DE"/>
    <w:rsid w:val="000F1862"/>
    <w:rsid w:val="000F18E1"/>
    <w:rsid w:val="000F25BB"/>
    <w:rsid w:val="000F2B61"/>
    <w:rsid w:val="000F3A18"/>
    <w:rsid w:val="000F432C"/>
    <w:rsid w:val="000F576E"/>
    <w:rsid w:val="000F664C"/>
    <w:rsid w:val="000F72AD"/>
    <w:rsid w:val="00101555"/>
    <w:rsid w:val="00101E31"/>
    <w:rsid w:val="001026FD"/>
    <w:rsid w:val="00103245"/>
    <w:rsid w:val="0010383D"/>
    <w:rsid w:val="0010556B"/>
    <w:rsid w:val="001062F0"/>
    <w:rsid w:val="0011033E"/>
    <w:rsid w:val="001128F6"/>
    <w:rsid w:val="00112D3B"/>
    <w:rsid w:val="001138CE"/>
    <w:rsid w:val="0011512C"/>
    <w:rsid w:val="0011515B"/>
    <w:rsid w:val="00115A71"/>
    <w:rsid w:val="001169A0"/>
    <w:rsid w:val="001175DB"/>
    <w:rsid w:val="00120C9D"/>
    <w:rsid w:val="00120FF4"/>
    <w:rsid w:val="00122125"/>
    <w:rsid w:val="00123804"/>
    <w:rsid w:val="00124FE1"/>
    <w:rsid w:val="0012576B"/>
    <w:rsid w:val="00127E5A"/>
    <w:rsid w:val="001301B5"/>
    <w:rsid w:val="0013096D"/>
    <w:rsid w:val="001318FC"/>
    <w:rsid w:val="0013194A"/>
    <w:rsid w:val="0013241C"/>
    <w:rsid w:val="00133B7C"/>
    <w:rsid w:val="001362B9"/>
    <w:rsid w:val="00137501"/>
    <w:rsid w:val="001439E3"/>
    <w:rsid w:val="001440ED"/>
    <w:rsid w:val="00144532"/>
    <w:rsid w:val="001447D0"/>
    <w:rsid w:val="00145635"/>
    <w:rsid w:val="0015027D"/>
    <w:rsid w:val="00151365"/>
    <w:rsid w:val="00151612"/>
    <w:rsid w:val="00152DCB"/>
    <w:rsid w:val="00153406"/>
    <w:rsid w:val="00153EE1"/>
    <w:rsid w:val="001541B4"/>
    <w:rsid w:val="0015432B"/>
    <w:rsid w:val="00160224"/>
    <w:rsid w:val="001610FE"/>
    <w:rsid w:val="0016304F"/>
    <w:rsid w:val="00167419"/>
    <w:rsid w:val="00170223"/>
    <w:rsid w:val="00172432"/>
    <w:rsid w:val="00172516"/>
    <w:rsid w:val="00173BD2"/>
    <w:rsid w:val="00173E58"/>
    <w:rsid w:val="0017411F"/>
    <w:rsid w:val="00174AF7"/>
    <w:rsid w:val="001753FF"/>
    <w:rsid w:val="00176612"/>
    <w:rsid w:val="00177A7E"/>
    <w:rsid w:val="001808F6"/>
    <w:rsid w:val="00180F4E"/>
    <w:rsid w:val="00180F90"/>
    <w:rsid w:val="00183754"/>
    <w:rsid w:val="00184457"/>
    <w:rsid w:val="001845F0"/>
    <w:rsid w:val="00184D0F"/>
    <w:rsid w:val="00184F9A"/>
    <w:rsid w:val="00185522"/>
    <w:rsid w:val="00185829"/>
    <w:rsid w:val="001862BA"/>
    <w:rsid w:val="0018688D"/>
    <w:rsid w:val="00186F4E"/>
    <w:rsid w:val="001874BA"/>
    <w:rsid w:val="001904AB"/>
    <w:rsid w:val="00191903"/>
    <w:rsid w:val="00193198"/>
    <w:rsid w:val="001945CA"/>
    <w:rsid w:val="00194EA5"/>
    <w:rsid w:val="00197956"/>
    <w:rsid w:val="00197991"/>
    <w:rsid w:val="001A29A1"/>
    <w:rsid w:val="001A3082"/>
    <w:rsid w:val="001A36F1"/>
    <w:rsid w:val="001A58AC"/>
    <w:rsid w:val="001A765D"/>
    <w:rsid w:val="001A78ED"/>
    <w:rsid w:val="001A7B63"/>
    <w:rsid w:val="001B0677"/>
    <w:rsid w:val="001B0C9C"/>
    <w:rsid w:val="001B1699"/>
    <w:rsid w:val="001B29B2"/>
    <w:rsid w:val="001B6A36"/>
    <w:rsid w:val="001B7CC3"/>
    <w:rsid w:val="001C048E"/>
    <w:rsid w:val="001C37E4"/>
    <w:rsid w:val="001C5394"/>
    <w:rsid w:val="001C6618"/>
    <w:rsid w:val="001C6911"/>
    <w:rsid w:val="001D226F"/>
    <w:rsid w:val="001D34D0"/>
    <w:rsid w:val="001D545A"/>
    <w:rsid w:val="001D74EE"/>
    <w:rsid w:val="001D764D"/>
    <w:rsid w:val="001E030C"/>
    <w:rsid w:val="001E0984"/>
    <w:rsid w:val="001E2B27"/>
    <w:rsid w:val="001E5FC5"/>
    <w:rsid w:val="001E7042"/>
    <w:rsid w:val="001F041C"/>
    <w:rsid w:val="001F062C"/>
    <w:rsid w:val="001F4C7C"/>
    <w:rsid w:val="001F4F06"/>
    <w:rsid w:val="001F60B3"/>
    <w:rsid w:val="001F60F0"/>
    <w:rsid w:val="001F670D"/>
    <w:rsid w:val="001F679D"/>
    <w:rsid w:val="001F78EC"/>
    <w:rsid w:val="001F7A6C"/>
    <w:rsid w:val="00200808"/>
    <w:rsid w:val="0020106F"/>
    <w:rsid w:val="002047C5"/>
    <w:rsid w:val="0020528F"/>
    <w:rsid w:val="00207898"/>
    <w:rsid w:val="00207960"/>
    <w:rsid w:val="00207983"/>
    <w:rsid w:val="0021092F"/>
    <w:rsid w:val="002111F5"/>
    <w:rsid w:val="00211449"/>
    <w:rsid w:val="00211F51"/>
    <w:rsid w:val="0021304A"/>
    <w:rsid w:val="00214501"/>
    <w:rsid w:val="002150E7"/>
    <w:rsid w:val="00215D5C"/>
    <w:rsid w:val="00216895"/>
    <w:rsid w:val="00217409"/>
    <w:rsid w:val="00217978"/>
    <w:rsid w:val="00220740"/>
    <w:rsid w:val="00221AE0"/>
    <w:rsid w:val="00224C68"/>
    <w:rsid w:val="00231F34"/>
    <w:rsid w:val="002322C1"/>
    <w:rsid w:val="00232CED"/>
    <w:rsid w:val="002363F8"/>
    <w:rsid w:val="0023688D"/>
    <w:rsid w:val="00236BBB"/>
    <w:rsid w:val="0023730C"/>
    <w:rsid w:val="002375DD"/>
    <w:rsid w:val="00237A6E"/>
    <w:rsid w:val="002405AE"/>
    <w:rsid w:val="00241FB9"/>
    <w:rsid w:val="002514F6"/>
    <w:rsid w:val="00251A5D"/>
    <w:rsid w:val="00251F7E"/>
    <w:rsid w:val="002521D9"/>
    <w:rsid w:val="00252BCD"/>
    <w:rsid w:val="0025587D"/>
    <w:rsid w:val="00256785"/>
    <w:rsid w:val="00256892"/>
    <w:rsid w:val="002568C3"/>
    <w:rsid w:val="00260985"/>
    <w:rsid w:val="002615CB"/>
    <w:rsid w:val="00262C52"/>
    <w:rsid w:val="00264886"/>
    <w:rsid w:val="0026526D"/>
    <w:rsid w:val="002653ED"/>
    <w:rsid w:val="00266542"/>
    <w:rsid w:val="0026723B"/>
    <w:rsid w:val="00267FF7"/>
    <w:rsid w:val="00272D08"/>
    <w:rsid w:val="00272D84"/>
    <w:rsid w:val="00273D49"/>
    <w:rsid w:val="00274181"/>
    <w:rsid w:val="00277823"/>
    <w:rsid w:val="0027787E"/>
    <w:rsid w:val="00277932"/>
    <w:rsid w:val="00277D7E"/>
    <w:rsid w:val="002813CF"/>
    <w:rsid w:val="00281AB0"/>
    <w:rsid w:val="00281E91"/>
    <w:rsid w:val="0028217D"/>
    <w:rsid w:val="00282492"/>
    <w:rsid w:val="002826B2"/>
    <w:rsid w:val="00282ED1"/>
    <w:rsid w:val="00284691"/>
    <w:rsid w:val="00284DDC"/>
    <w:rsid w:val="002851BF"/>
    <w:rsid w:val="00286876"/>
    <w:rsid w:val="00287F94"/>
    <w:rsid w:val="00290E7A"/>
    <w:rsid w:val="00291263"/>
    <w:rsid w:val="0029146B"/>
    <w:rsid w:val="00292F58"/>
    <w:rsid w:val="00293446"/>
    <w:rsid w:val="00293AD9"/>
    <w:rsid w:val="002945ED"/>
    <w:rsid w:val="00295033"/>
    <w:rsid w:val="00295D90"/>
    <w:rsid w:val="00296C48"/>
    <w:rsid w:val="002A3109"/>
    <w:rsid w:val="002A447D"/>
    <w:rsid w:val="002A57B8"/>
    <w:rsid w:val="002A667D"/>
    <w:rsid w:val="002A7CCC"/>
    <w:rsid w:val="002B1FEF"/>
    <w:rsid w:val="002B235D"/>
    <w:rsid w:val="002B2781"/>
    <w:rsid w:val="002B30AF"/>
    <w:rsid w:val="002B3D12"/>
    <w:rsid w:val="002B6DB9"/>
    <w:rsid w:val="002B7CF6"/>
    <w:rsid w:val="002C2250"/>
    <w:rsid w:val="002C23B8"/>
    <w:rsid w:val="002C292E"/>
    <w:rsid w:val="002C427D"/>
    <w:rsid w:val="002C5151"/>
    <w:rsid w:val="002C5A5F"/>
    <w:rsid w:val="002D1AA5"/>
    <w:rsid w:val="002D2CBB"/>
    <w:rsid w:val="002D38B1"/>
    <w:rsid w:val="002D40E3"/>
    <w:rsid w:val="002D4916"/>
    <w:rsid w:val="002D5699"/>
    <w:rsid w:val="002D5930"/>
    <w:rsid w:val="002D7EAE"/>
    <w:rsid w:val="002D7F2F"/>
    <w:rsid w:val="002E0BC4"/>
    <w:rsid w:val="002E2759"/>
    <w:rsid w:val="002E2AF1"/>
    <w:rsid w:val="002E2F07"/>
    <w:rsid w:val="002E3E0E"/>
    <w:rsid w:val="002E403B"/>
    <w:rsid w:val="002E45BD"/>
    <w:rsid w:val="002E4C09"/>
    <w:rsid w:val="002E620C"/>
    <w:rsid w:val="002E7C7C"/>
    <w:rsid w:val="002F0A83"/>
    <w:rsid w:val="002F2B41"/>
    <w:rsid w:val="002F38CA"/>
    <w:rsid w:val="002F4748"/>
    <w:rsid w:val="002F60AA"/>
    <w:rsid w:val="002F643A"/>
    <w:rsid w:val="002F6981"/>
    <w:rsid w:val="0030178B"/>
    <w:rsid w:val="003019A0"/>
    <w:rsid w:val="003034B6"/>
    <w:rsid w:val="0030395D"/>
    <w:rsid w:val="00303CF1"/>
    <w:rsid w:val="00303F77"/>
    <w:rsid w:val="0030638A"/>
    <w:rsid w:val="003069DB"/>
    <w:rsid w:val="00311469"/>
    <w:rsid w:val="00312462"/>
    <w:rsid w:val="00313052"/>
    <w:rsid w:val="003145C9"/>
    <w:rsid w:val="0031698E"/>
    <w:rsid w:val="0032127D"/>
    <w:rsid w:val="003221FD"/>
    <w:rsid w:val="003227DE"/>
    <w:rsid w:val="0032312C"/>
    <w:rsid w:val="00324281"/>
    <w:rsid w:val="0032516D"/>
    <w:rsid w:val="00331114"/>
    <w:rsid w:val="003313A7"/>
    <w:rsid w:val="00331865"/>
    <w:rsid w:val="003334E5"/>
    <w:rsid w:val="003351B7"/>
    <w:rsid w:val="003369F1"/>
    <w:rsid w:val="00341A1E"/>
    <w:rsid w:val="00342744"/>
    <w:rsid w:val="00344665"/>
    <w:rsid w:val="00346625"/>
    <w:rsid w:val="00347025"/>
    <w:rsid w:val="003475CD"/>
    <w:rsid w:val="00347FA7"/>
    <w:rsid w:val="00350EA5"/>
    <w:rsid w:val="003523EA"/>
    <w:rsid w:val="00354198"/>
    <w:rsid w:val="00355CE9"/>
    <w:rsid w:val="00356486"/>
    <w:rsid w:val="00357708"/>
    <w:rsid w:val="00357C0B"/>
    <w:rsid w:val="0036096C"/>
    <w:rsid w:val="0036116F"/>
    <w:rsid w:val="00361D31"/>
    <w:rsid w:val="003620E0"/>
    <w:rsid w:val="003637CC"/>
    <w:rsid w:val="00365364"/>
    <w:rsid w:val="00365555"/>
    <w:rsid w:val="0036649D"/>
    <w:rsid w:val="00366A29"/>
    <w:rsid w:val="003674BD"/>
    <w:rsid w:val="00367AE3"/>
    <w:rsid w:val="0037091D"/>
    <w:rsid w:val="003710EC"/>
    <w:rsid w:val="003714DC"/>
    <w:rsid w:val="0037261D"/>
    <w:rsid w:val="00373253"/>
    <w:rsid w:val="003746C1"/>
    <w:rsid w:val="00375368"/>
    <w:rsid w:val="00375CA8"/>
    <w:rsid w:val="00375E95"/>
    <w:rsid w:val="00375EA2"/>
    <w:rsid w:val="003763EE"/>
    <w:rsid w:val="0037666D"/>
    <w:rsid w:val="003775DD"/>
    <w:rsid w:val="00382A84"/>
    <w:rsid w:val="003831EC"/>
    <w:rsid w:val="0038398E"/>
    <w:rsid w:val="003839E7"/>
    <w:rsid w:val="00384447"/>
    <w:rsid w:val="003850D5"/>
    <w:rsid w:val="0038574B"/>
    <w:rsid w:val="00385AFE"/>
    <w:rsid w:val="003869D6"/>
    <w:rsid w:val="0039122B"/>
    <w:rsid w:val="00394438"/>
    <w:rsid w:val="00395739"/>
    <w:rsid w:val="00395889"/>
    <w:rsid w:val="00395B29"/>
    <w:rsid w:val="00396ED5"/>
    <w:rsid w:val="003A2651"/>
    <w:rsid w:val="003A26AB"/>
    <w:rsid w:val="003A5C6A"/>
    <w:rsid w:val="003A6FAF"/>
    <w:rsid w:val="003A73F0"/>
    <w:rsid w:val="003B2FAA"/>
    <w:rsid w:val="003B31CD"/>
    <w:rsid w:val="003B33CF"/>
    <w:rsid w:val="003B3F6B"/>
    <w:rsid w:val="003B492F"/>
    <w:rsid w:val="003B4E05"/>
    <w:rsid w:val="003B4E4B"/>
    <w:rsid w:val="003B52A6"/>
    <w:rsid w:val="003B6691"/>
    <w:rsid w:val="003C03D0"/>
    <w:rsid w:val="003C04DF"/>
    <w:rsid w:val="003C1003"/>
    <w:rsid w:val="003C1E9C"/>
    <w:rsid w:val="003C245B"/>
    <w:rsid w:val="003C2F7E"/>
    <w:rsid w:val="003C4454"/>
    <w:rsid w:val="003C559E"/>
    <w:rsid w:val="003C5622"/>
    <w:rsid w:val="003C7E14"/>
    <w:rsid w:val="003D01CC"/>
    <w:rsid w:val="003D12DE"/>
    <w:rsid w:val="003D1CFF"/>
    <w:rsid w:val="003D46D6"/>
    <w:rsid w:val="003D4E20"/>
    <w:rsid w:val="003D4FAE"/>
    <w:rsid w:val="003D5C49"/>
    <w:rsid w:val="003E0DF6"/>
    <w:rsid w:val="003E2C81"/>
    <w:rsid w:val="003E2FD9"/>
    <w:rsid w:val="003E47DD"/>
    <w:rsid w:val="003E602A"/>
    <w:rsid w:val="003E6A2B"/>
    <w:rsid w:val="003E6E04"/>
    <w:rsid w:val="003F25B6"/>
    <w:rsid w:val="003F2712"/>
    <w:rsid w:val="003F31A3"/>
    <w:rsid w:val="003F3D07"/>
    <w:rsid w:val="003F4550"/>
    <w:rsid w:val="003F49AE"/>
    <w:rsid w:val="003F5748"/>
    <w:rsid w:val="003F7149"/>
    <w:rsid w:val="003F7A3B"/>
    <w:rsid w:val="00400886"/>
    <w:rsid w:val="004029FC"/>
    <w:rsid w:val="0040305E"/>
    <w:rsid w:val="00404BFB"/>
    <w:rsid w:val="00404EAB"/>
    <w:rsid w:val="00405B1A"/>
    <w:rsid w:val="0041008E"/>
    <w:rsid w:val="0041370D"/>
    <w:rsid w:val="00417D3C"/>
    <w:rsid w:val="00417FFD"/>
    <w:rsid w:val="004200DD"/>
    <w:rsid w:val="0042106E"/>
    <w:rsid w:val="00422982"/>
    <w:rsid w:val="00422B4B"/>
    <w:rsid w:val="00423445"/>
    <w:rsid w:val="00430E82"/>
    <w:rsid w:val="00431E42"/>
    <w:rsid w:val="00432088"/>
    <w:rsid w:val="004320D8"/>
    <w:rsid w:val="00433C2F"/>
    <w:rsid w:val="00434717"/>
    <w:rsid w:val="00434DB7"/>
    <w:rsid w:val="004356B7"/>
    <w:rsid w:val="004364DD"/>
    <w:rsid w:val="00436E52"/>
    <w:rsid w:val="0044041E"/>
    <w:rsid w:val="004416D1"/>
    <w:rsid w:val="00444F7A"/>
    <w:rsid w:val="00445A51"/>
    <w:rsid w:val="00447304"/>
    <w:rsid w:val="004478D1"/>
    <w:rsid w:val="004515D1"/>
    <w:rsid w:val="00454654"/>
    <w:rsid w:val="004553FE"/>
    <w:rsid w:val="00456F6A"/>
    <w:rsid w:val="004571A2"/>
    <w:rsid w:val="00457434"/>
    <w:rsid w:val="00460546"/>
    <w:rsid w:val="00461416"/>
    <w:rsid w:val="00461678"/>
    <w:rsid w:val="004616EF"/>
    <w:rsid w:val="00461C1B"/>
    <w:rsid w:val="0046219F"/>
    <w:rsid w:val="004622BD"/>
    <w:rsid w:val="00462DBC"/>
    <w:rsid w:val="00463781"/>
    <w:rsid w:val="00464190"/>
    <w:rsid w:val="00467068"/>
    <w:rsid w:val="0047013A"/>
    <w:rsid w:val="00470AF6"/>
    <w:rsid w:val="00470DB8"/>
    <w:rsid w:val="004742BE"/>
    <w:rsid w:val="0048019C"/>
    <w:rsid w:val="00481054"/>
    <w:rsid w:val="00481C5B"/>
    <w:rsid w:val="00482763"/>
    <w:rsid w:val="004844B6"/>
    <w:rsid w:val="0048460A"/>
    <w:rsid w:val="0049163F"/>
    <w:rsid w:val="00492755"/>
    <w:rsid w:val="00492B48"/>
    <w:rsid w:val="004934EC"/>
    <w:rsid w:val="0049689A"/>
    <w:rsid w:val="004A0D8E"/>
    <w:rsid w:val="004A175D"/>
    <w:rsid w:val="004A346B"/>
    <w:rsid w:val="004A55F9"/>
    <w:rsid w:val="004A5912"/>
    <w:rsid w:val="004A5F61"/>
    <w:rsid w:val="004A7D75"/>
    <w:rsid w:val="004B0231"/>
    <w:rsid w:val="004B0638"/>
    <w:rsid w:val="004B08F8"/>
    <w:rsid w:val="004B13BB"/>
    <w:rsid w:val="004B1449"/>
    <w:rsid w:val="004B56BF"/>
    <w:rsid w:val="004B5D80"/>
    <w:rsid w:val="004B71BF"/>
    <w:rsid w:val="004B71CF"/>
    <w:rsid w:val="004C2180"/>
    <w:rsid w:val="004C2CD3"/>
    <w:rsid w:val="004C4872"/>
    <w:rsid w:val="004C7406"/>
    <w:rsid w:val="004D0AB1"/>
    <w:rsid w:val="004D1020"/>
    <w:rsid w:val="004D164A"/>
    <w:rsid w:val="004D3D86"/>
    <w:rsid w:val="004D4215"/>
    <w:rsid w:val="004D6457"/>
    <w:rsid w:val="004D75DD"/>
    <w:rsid w:val="004D7813"/>
    <w:rsid w:val="004E07D5"/>
    <w:rsid w:val="004E108F"/>
    <w:rsid w:val="004E3750"/>
    <w:rsid w:val="004E622F"/>
    <w:rsid w:val="004F0139"/>
    <w:rsid w:val="004F1883"/>
    <w:rsid w:val="004F27BA"/>
    <w:rsid w:val="004F432D"/>
    <w:rsid w:val="004F5A9F"/>
    <w:rsid w:val="004F720B"/>
    <w:rsid w:val="0050013E"/>
    <w:rsid w:val="00500570"/>
    <w:rsid w:val="00502C90"/>
    <w:rsid w:val="005049BE"/>
    <w:rsid w:val="00505DBF"/>
    <w:rsid w:val="0050662C"/>
    <w:rsid w:val="005069CC"/>
    <w:rsid w:val="00507D53"/>
    <w:rsid w:val="00507EFE"/>
    <w:rsid w:val="0051412D"/>
    <w:rsid w:val="0052196A"/>
    <w:rsid w:val="005221CB"/>
    <w:rsid w:val="00522806"/>
    <w:rsid w:val="00524377"/>
    <w:rsid w:val="00524491"/>
    <w:rsid w:val="00526460"/>
    <w:rsid w:val="00527FC0"/>
    <w:rsid w:val="00530621"/>
    <w:rsid w:val="00530944"/>
    <w:rsid w:val="00530EF8"/>
    <w:rsid w:val="00531C1E"/>
    <w:rsid w:val="00533AF8"/>
    <w:rsid w:val="005340D4"/>
    <w:rsid w:val="005341E7"/>
    <w:rsid w:val="0053511F"/>
    <w:rsid w:val="00535391"/>
    <w:rsid w:val="00535CFD"/>
    <w:rsid w:val="00536507"/>
    <w:rsid w:val="00537812"/>
    <w:rsid w:val="00541A3B"/>
    <w:rsid w:val="00541B5B"/>
    <w:rsid w:val="00541FFD"/>
    <w:rsid w:val="005428E0"/>
    <w:rsid w:val="00546DAA"/>
    <w:rsid w:val="00547683"/>
    <w:rsid w:val="005509CF"/>
    <w:rsid w:val="0055232E"/>
    <w:rsid w:val="005525A8"/>
    <w:rsid w:val="005539F5"/>
    <w:rsid w:val="00555588"/>
    <w:rsid w:val="005568C0"/>
    <w:rsid w:val="0055719E"/>
    <w:rsid w:val="0055736F"/>
    <w:rsid w:val="00561A6F"/>
    <w:rsid w:val="00562BD2"/>
    <w:rsid w:val="00562F32"/>
    <w:rsid w:val="00563B21"/>
    <w:rsid w:val="005644FC"/>
    <w:rsid w:val="00564796"/>
    <w:rsid w:val="00567069"/>
    <w:rsid w:val="00573260"/>
    <w:rsid w:val="005751B3"/>
    <w:rsid w:val="00576326"/>
    <w:rsid w:val="00577662"/>
    <w:rsid w:val="00582980"/>
    <w:rsid w:val="005835C7"/>
    <w:rsid w:val="00583BB5"/>
    <w:rsid w:val="00584049"/>
    <w:rsid w:val="0058444F"/>
    <w:rsid w:val="00584BC6"/>
    <w:rsid w:val="00584C5A"/>
    <w:rsid w:val="005850F1"/>
    <w:rsid w:val="0058533F"/>
    <w:rsid w:val="00585A1B"/>
    <w:rsid w:val="00586DDD"/>
    <w:rsid w:val="005870A9"/>
    <w:rsid w:val="0058741A"/>
    <w:rsid w:val="005874D9"/>
    <w:rsid w:val="005876C7"/>
    <w:rsid w:val="0059012B"/>
    <w:rsid w:val="0059167C"/>
    <w:rsid w:val="005922FD"/>
    <w:rsid w:val="005931A4"/>
    <w:rsid w:val="005931C5"/>
    <w:rsid w:val="00594917"/>
    <w:rsid w:val="0059533F"/>
    <w:rsid w:val="005A0748"/>
    <w:rsid w:val="005A1D44"/>
    <w:rsid w:val="005A1EBB"/>
    <w:rsid w:val="005A26D6"/>
    <w:rsid w:val="005A37E9"/>
    <w:rsid w:val="005A6B55"/>
    <w:rsid w:val="005A71D2"/>
    <w:rsid w:val="005A7E37"/>
    <w:rsid w:val="005B1705"/>
    <w:rsid w:val="005B1765"/>
    <w:rsid w:val="005B1EA6"/>
    <w:rsid w:val="005B2556"/>
    <w:rsid w:val="005B3170"/>
    <w:rsid w:val="005B42F4"/>
    <w:rsid w:val="005B46F3"/>
    <w:rsid w:val="005B53EC"/>
    <w:rsid w:val="005C1B9D"/>
    <w:rsid w:val="005C250E"/>
    <w:rsid w:val="005C2704"/>
    <w:rsid w:val="005C38F3"/>
    <w:rsid w:val="005C3A50"/>
    <w:rsid w:val="005C41CA"/>
    <w:rsid w:val="005C5AEA"/>
    <w:rsid w:val="005C6947"/>
    <w:rsid w:val="005D02C5"/>
    <w:rsid w:val="005D0FD0"/>
    <w:rsid w:val="005D1078"/>
    <w:rsid w:val="005D1E58"/>
    <w:rsid w:val="005D30B2"/>
    <w:rsid w:val="005D56EC"/>
    <w:rsid w:val="005D5CDC"/>
    <w:rsid w:val="005D6EBA"/>
    <w:rsid w:val="005E040C"/>
    <w:rsid w:val="005E121D"/>
    <w:rsid w:val="005E15EF"/>
    <w:rsid w:val="005E1C44"/>
    <w:rsid w:val="005E2260"/>
    <w:rsid w:val="005E3CCB"/>
    <w:rsid w:val="005E4CB0"/>
    <w:rsid w:val="005E6760"/>
    <w:rsid w:val="005E6E1B"/>
    <w:rsid w:val="005E73A0"/>
    <w:rsid w:val="005E76CC"/>
    <w:rsid w:val="005E7F47"/>
    <w:rsid w:val="005F004A"/>
    <w:rsid w:val="005F20A9"/>
    <w:rsid w:val="005F22FD"/>
    <w:rsid w:val="005F48D4"/>
    <w:rsid w:val="005F616E"/>
    <w:rsid w:val="005F757F"/>
    <w:rsid w:val="006001F5"/>
    <w:rsid w:val="00600424"/>
    <w:rsid w:val="00601478"/>
    <w:rsid w:val="00602332"/>
    <w:rsid w:val="00602E3C"/>
    <w:rsid w:val="006047F1"/>
    <w:rsid w:val="00605D81"/>
    <w:rsid w:val="00607495"/>
    <w:rsid w:val="0060789E"/>
    <w:rsid w:val="00607D86"/>
    <w:rsid w:val="006112B1"/>
    <w:rsid w:val="006141F7"/>
    <w:rsid w:val="00616DDA"/>
    <w:rsid w:val="006176F8"/>
    <w:rsid w:val="006220A2"/>
    <w:rsid w:val="006220E0"/>
    <w:rsid w:val="00622B02"/>
    <w:rsid w:val="006244F1"/>
    <w:rsid w:val="0062459A"/>
    <w:rsid w:val="006255CA"/>
    <w:rsid w:val="00625A78"/>
    <w:rsid w:val="00626050"/>
    <w:rsid w:val="006264CF"/>
    <w:rsid w:val="00627E6A"/>
    <w:rsid w:val="00630084"/>
    <w:rsid w:val="00630D4F"/>
    <w:rsid w:val="00631392"/>
    <w:rsid w:val="0063231F"/>
    <w:rsid w:val="006328C3"/>
    <w:rsid w:val="00632ECF"/>
    <w:rsid w:val="00633358"/>
    <w:rsid w:val="00635055"/>
    <w:rsid w:val="0063672E"/>
    <w:rsid w:val="006422D2"/>
    <w:rsid w:val="006436B3"/>
    <w:rsid w:val="00644001"/>
    <w:rsid w:val="0065103D"/>
    <w:rsid w:val="00651EE8"/>
    <w:rsid w:val="00654FE9"/>
    <w:rsid w:val="006562E3"/>
    <w:rsid w:val="00661547"/>
    <w:rsid w:val="0066173F"/>
    <w:rsid w:val="006635AF"/>
    <w:rsid w:val="00664854"/>
    <w:rsid w:val="00664BCC"/>
    <w:rsid w:val="00665DBB"/>
    <w:rsid w:val="00666B97"/>
    <w:rsid w:val="006679FE"/>
    <w:rsid w:val="00667EE7"/>
    <w:rsid w:val="006715ED"/>
    <w:rsid w:val="00674757"/>
    <w:rsid w:val="00683947"/>
    <w:rsid w:val="006844F1"/>
    <w:rsid w:val="00684C7C"/>
    <w:rsid w:val="00685003"/>
    <w:rsid w:val="00687533"/>
    <w:rsid w:val="0069134D"/>
    <w:rsid w:val="00691DA9"/>
    <w:rsid w:val="00691FCE"/>
    <w:rsid w:val="00692935"/>
    <w:rsid w:val="00693D6A"/>
    <w:rsid w:val="006947B0"/>
    <w:rsid w:val="00694D5B"/>
    <w:rsid w:val="00694E14"/>
    <w:rsid w:val="006968F1"/>
    <w:rsid w:val="00697CEC"/>
    <w:rsid w:val="006A0406"/>
    <w:rsid w:val="006A2C6F"/>
    <w:rsid w:val="006A6430"/>
    <w:rsid w:val="006A748A"/>
    <w:rsid w:val="006A7CCA"/>
    <w:rsid w:val="006B318A"/>
    <w:rsid w:val="006B3270"/>
    <w:rsid w:val="006B38D9"/>
    <w:rsid w:val="006B6A1B"/>
    <w:rsid w:val="006C1020"/>
    <w:rsid w:val="006C1102"/>
    <w:rsid w:val="006C1C9F"/>
    <w:rsid w:val="006C36AD"/>
    <w:rsid w:val="006C4D69"/>
    <w:rsid w:val="006C6991"/>
    <w:rsid w:val="006C6CD6"/>
    <w:rsid w:val="006C6F66"/>
    <w:rsid w:val="006C7F4C"/>
    <w:rsid w:val="006D04BC"/>
    <w:rsid w:val="006D0BD6"/>
    <w:rsid w:val="006D1642"/>
    <w:rsid w:val="006D265B"/>
    <w:rsid w:val="006D46DD"/>
    <w:rsid w:val="006D68A7"/>
    <w:rsid w:val="006E1DFF"/>
    <w:rsid w:val="006E5B89"/>
    <w:rsid w:val="006E5C30"/>
    <w:rsid w:val="006E5DFC"/>
    <w:rsid w:val="006E7D2C"/>
    <w:rsid w:val="006E7DD6"/>
    <w:rsid w:val="006F3589"/>
    <w:rsid w:val="006F3A86"/>
    <w:rsid w:val="006F4158"/>
    <w:rsid w:val="006F4A94"/>
    <w:rsid w:val="006F519E"/>
    <w:rsid w:val="006F5C3B"/>
    <w:rsid w:val="006F746E"/>
    <w:rsid w:val="006F7D23"/>
    <w:rsid w:val="006F7D57"/>
    <w:rsid w:val="0070183B"/>
    <w:rsid w:val="00702510"/>
    <w:rsid w:val="0070349E"/>
    <w:rsid w:val="007037B7"/>
    <w:rsid w:val="00706E2F"/>
    <w:rsid w:val="00707365"/>
    <w:rsid w:val="0070760B"/>
    <w:rsid w:val="00710933"/>
    <w:rsid w:val="007117DE"/>
    <w:rsid w:val="00711BF7"/>
    <w:rsid w:val="00712A88"/>
    <w:rsid w:val="007166FC"/>
    <w:rsid w:val="007208F2"/>
    <w:rsid w:val="00720BE6"/>
    <w:rsid w:val="0072231F"/>
    <w:rsid w:val="00722A64"/>
    <w:rsid w:val="007238E6"/>
    <w:rsid w:val="00723D99"/>
    <w:rsid w:val="00727BBD"/>
    <w:rsid w:val="00731214"/>
    <w:rsid w:val="007331F9"/>
    <w:rsid w:val="00733566"/>
    <w:rsid w:val="0073364E"/>
    <w:rsid w:val="00733DDC"/>
    <w:rsid w:val="007344A5"/>
    <w:rsid w:val="00735740"/>
    <w:rsid w:val="00736641"/>
    <w:rsid w:val="0073746A"/>
    <w:rsid w:val="007377CF"/>
    <w:rsid w:val="007416BB"/>
    <w:rsid w:val="0074174D"/>
    <w:rsid w:val="00741941"/>
    <w:rsid w:val="0074229D"/>
    <w:rsid w:val="0074244C"/>
    <w:rsid w:val="007433EA"/>
    <w:rsid w:val="00743D46"/>
    <w:rsid w:val="00746E76"/>
    <w:rsid w:val="007509AA"/>
    <w:rsid w:val="00751338"/>
    <w:rsid w:val="00752193"/>
    <w:rsid w:val="00752A4E"/>
    <w:rsid w:val="0075302F"/>
    <w:rsid w:val="0075437F"/>
    <w:rsid w:val="00754792"/>
    <w:rsid w:val="00755870"/>
    <w:rsid w:val="00757304"/>
    <w:rsid w:val="007623FB"/>
    <w:rsid w:val="0076471E"/>
    <w:rsid w:val="00765A9E"/>
    <w:rsid w:val="00767952"/>
    <w:rsid w:val="0077163C"/>
    <w:rsid w:val="00771B6F"/>
    <w:rsid w:val="00772A35"/>
    <w:rsid w:val="00772C46"/>
    <w:rsid w:val="00772CF1"/>
    <w:rsid w:val="00775D20"/>
    <w:rsid w:val="00781772"/>
    <w:rsid w:val="00784C18"/>
    <w:rsid w:val="00785832"/>
    <w:rsid w:val="00786107"/>
    <w:rsid w:val="007863BC"/>
    <w:rsid w:val="0078790B"/>
    <w:rsid w:val="007879B3"/>
    <w:rsid w:val="00792F73"/>
    <w:rsid w:val="0079543A"/>
    <w:rsid w:val="00795E11"/>
    <w:rsid w:val="0079625E"/>
    <w:rsid w:val="00796DA9"/>
    <w:rsid w:val="007A10B3"/>
    <w:rsid w:val="007A1645"/>
    <w:rsid w:val="007A1D31"/>
    <w:rsid w:val="007A30D8"/>
    <w:rsid w:val="007A3A01"/>
    <w:rsid w:val="007A3F36"/>
    <w:rsid w:val="007A5B03"/>
    <w:rsid w:val="007A6354"/>
    <w:rsid w:val="007A76D2"/>
    <w:rsid w:val="007A7D62"/>
    <w:rsid w:val="007B056A"/>
    <w:rsid w:val="007B0E8A"/>
    <w:rsid w:val="007B1114"/>
    <w:rsid w:val="007B16C7"/>
    <w:rsid w:val="007B2905"/>
    <w:rsid w:val="007B2F4A"/>
    <w:rsid w:val="007B3654"/>
    <w:rsid w:val="007B41BA"/>
    <w:rsid w:val="007B5FEB"/>
    <w:rsid w:val="007C021D"/>
    <w:rsid w:val="007C027B"/>
    <w:rsid w:val="007C1B16"/>
    <w:rsid w:val="007C302B"/>
    <w:rsid w:val="007C410A"/>
    <w:rsid w:val="007C411B"/>
    <w:rsid w:val="007C4BC3"/>
    <w:rsid w:val="007C5A9C"/>
    <w:rsid w:val="007C6500"/>
    <w:rsid w:val="007C716F"/>
    <w:rsid w:val="007C7553"/>
    <w:rsid w:val="007D138A"/>
    <w:rsid w:val="007D2980"/>
    <w:rsid w:val="007D2A8E"/>
    <w:rsid w:val="007D4940"/>
    <w:rsid w:val="007D50C6"/>
    <w:rsid w:val="007D5262"/>
    <w:rsid w:val="007D6837"/>
    <w:rsid w:val="007D708D"/>
    <w:rsid w:val="007D76D7"/>
    <w:rsid w:val="007E2F88"/>
    <w:rsid w:val="007F0FE8"/>
    <w:rsid w:val="007F4636"/>
    <w:rsid w:val="007F519A"/>
    <w:rsid w:val="007F53D0"/>
    <w:rsid w:val="007F57E7"/>
    <w:rsid w:val="008000C2"/>
    <w:rsid w:val="0080086E"/>
    <w:rsid w:val="00800AF8"/>
    <w:rsid w:val="00801F5C"/>
    <w:rsid w:val="00802742"/>
    <w:rsid w:val="0080314F"/>
    <w:rsid w:val="0080376C"/>
    <w:rsid w:val="00805AED"/>
    <w:rsid w:val="00811586"/>
    <w:rsid w:val="00814A7C"/>
    <w:rsid w:val="00816B35"/>
    <w:rsid w:val="0082130A"/>
    <w:rsid w:val="008228D6"/>
    <w:rsid w:val="008239D0"/>
    <w:rsid w:val="00825450"/>
    <w:rsid w:val="00830FAC"/>
    <w:rsid w:val="00831A3F"/>
    <w:rsid w:val="00835FEB"/>
    <w:rsid w:val="0083712D"/>
    <w:rsid w:val="00840242"/>
    <w:rsid w:val="00840392"/>
    <w:rsid w:val="00840907"/>
    <w:rsid w:val="0084093A"/>
    <w:rsid w:val="008417B0"/>
    <w:rsid w:val="0084222E"/>
    <w:rsid w:val="00842AAB"/>
    <w:rsid w:val="008447FA"/>
    <w:rsid w:val="008460E0"/>
    <w:rsid w:val="008467A0"/>
    <w:rsid w:val="00846C85"/>
    <w:rsid w:val="008470A4"/>
    <w:rsid w:val="0084740E"/>
    <w:rsid w:val="008505C7"/>
    <w:rsid w:val="00851559"/>
    <w:rsid w:val="00852044"/>
    <w:rsid w:val="00853259"/>
    <w:rsid w:val="00853432"/>
    <w:rsid w:val="008535FE"/>
    <w:rsid w:val="00853E4F"/>
    <w:rsid w:val="008541CE"/>
    <w:rsid w:val="00854269"/>
    <w:rsid w:val="008548AC"/>
    <w:rsid w:val="00856322"/>
    <w:rsid w:val="0086070F"/>
    <w:rsid w:val="00860F1A"/>
    <w:rsid w:val="008616A3"/>
    <w:rsid w:val="0086181A"/>
    <w:rsid w:val="00861924"/>
    <w:rsid w:val="0086258F"/>
    <w:rsid w:val="00862E26"/>
    <w:rsid w:val="00863DBE"/>
    <w:rsid w:val="00864751"/>
    <w:rsid w:val="00865129"/>
    <w:rsid w:val="00865AE5"/>
    <w:rsid w:val="008663AF"/>
    <w:rsid w:val="0086682E"/>
    <w:rsid w:val="00867496"/>
    <w:rsid w:val="0086765D"/>
    <w:rsid w:val="00870574"/>
    <w:rsid w:val="00870B08"/>
    <w:rsid w:val="00872315"/>
    <w:rsid w:val="00872D1D"/>
    <w:rsid w:val="00873125"/>
    <w:rsid w:val="0087340E"/>
    <w:rsid w:val="00874204"/>
    <w:rsid w:val="00874689"/>
    <w:rsid w:val="00874948"/>
    <w:rsid w:val="00874C06"/>
    <w:rsid w:val="008772E4"/>
    <w:rsid w:val="00877564"/>
    <w:rsid w:val="00877785"/>
    <w:rsid w:val="008803C7"/>
    <w:rsid w:val="0088074A"/>
    <w:rsid w:val="00881345"/>
    <w:rsid w:val="008814F4"/>
    <w:rsid w:val="00881A8E"/>
    <w:rsid w:val="00882390"/>
    <w:rsid w:val="00883B2F"/>
    <w:rsid w:val="008852F2"/>
    <w:rsid w:val="008862BC"/>
    <w:rsid w:val="00890406"/>
    <w:rsid w:val="00892B3B"/>
    <w:rsid w:val="00893C3B"/>
    <w:rsid w:val="00893C89"/>
    <w:rsid w:val="00893D34"/>
    <w:rsid w:val="008944DB"/>
    <w:rsid w:val="0089594D"/>
    <w:rsid w:val="008A0F94"/>
    <w:rsid w:val="008A294B"/>
    <w:rsid w:val="008A2E29"/>
    <w:rsid w:val="008A3B9D"/>
    <w:rsid w:val="008A6A7C"/>
    <w:rsid w:val="008A7641"/>
    <w:rsid w:val="008B145B"/>
    <w:rsid w:val="008B1766"/>
    <w:rsid w:val="008B23BA"/>
    <w:rsid w:val="008B4BC7"/>
    <w:rsid w:val="008B4D0A"/>
    <w:rsid w:val="008B5457"/>
    <w:rsid w:val="008B65D9"/>
    <w:rsid w:val="008B7953"/>
    <w:rsid w:val="008C0AAD"/>
    <w:rsid w:val="008C0B44"/>
    <w:rsid w:val="008C28E7"/>
    <w:rsid w:val="008C35F5"/>
    <w:rsid w:val="008C3B72"/>
    <w:rsid w:val="008C3E88"/>
    <w:rsid w:val="008C47E0"/>
    <w:rsid w:val="008C4C58"/>
    <w:rsid w:val="008C567F"/>
    <w:rsid w:val="008C6ABE"/>
    <w:rsid w:val="008C6F53"/>
    <w:rsid w:val="008C794D"/>
    <w:rsid w:val="008D379D"/>
    <w:rsid w:val="008D4631"/>
    <w:rsid w:val="008D4A63"/>
    <w:rsid w:val="008D6A1B"/>
    <w:rsid w:val="008E173B"/>
    <w:rsid w:val="008E1C37"/>
    <w:rsid w:val="008E23B8"/>
    <w:rsid w:val="008E2A03"/>
    <w:rsid w:val="008E523C"/>
    <w:rsid w:val="008E5E6E"/>
    <w:rsid w:val="008E6776"/>
    <w:rsid w:val="008E6B9A"/>
    <w:rsid w:val="008E7B77"/>
    <w:rsid w:val="008F0308"/>
    <w:rsid w:val="008F49D4"/>
    <w:rsid w:val="008F73C1"/>
    <w:rsid w:val="008F7F23"/>
    <w:rsid w:val="009006D0"/>
    <w:rsid w:val="00901550"/>
    <w:rsid w:val="00901BF1"/>
    <w:rsid w:val="0090332F"/>
    <w:rsid w:val="00903E72"/>
    <w:rsid w:val="00907C5C"/>
    <w:rsid w:val="00910699"/>
    <w:rsid w:val="00912A0D"/>
    <w:rsid w:val="00912D98"/>
    <w:rsid w:val="00916143"/>
    <w:rsid w:val="00917652"/>
    <w:rsid w:val="00921BEC"/>
    <w:rsid w:val="0092311A"/>
    <w:rsid w:val="009258DB"/>
    <w:rsid w:val="0092772C"/>
    <w:rsid w:val="00927796"/>
    <w:rsid w:val="009321E2"/>
    <w:rsid w:val="009332BB"/>
    <w:rsid w:val="00935318"/>
    <w:rsid w:val="00935B8D"/>
    <w:rsid w:val="0093617A"/>
    <w:rsid w:val="009366F4"/>
    <w:rsid w:val="00936DDC"/>
    <w:rsid w:val="009371ED"/>
    <w:rsid w:val="00937C77"/>
    <w:rsid w:val="00942117"/>
    <w:rsid w:val="009436FC"/>
    <w:rsid w:val="0094537A"/>
    <w:rsid w:val="00945845"/>
    <w:rsid w:val="0094591D"/>
    <w:rsid w:val="00950E5E"/>
    <w:rsid w:val="00950FD3"/>
    <w:rsid w:val="009522FD"/>
    <w:rsid w:val="0095447D"/>
    <w:rsid w:val="009544F5"/>
    <w:rsid w:val="00954B0A"/>
    <w:rsid w:val="0095605D"/>
    <w:rsid w:val="00956696"/>
    <w:rsid w:val="00956769"/>
    <w:rsid w:val="00956E98"/>
    <w:rsid w:val="009571A0"/>
    <w:rsid w:val="0096087E"/>
    <w:rsid w:val="0096146C"/>
    <w:rsid w:val="009626AA"/>
    <w:rsid w:val="009628C2"/>
    <w:rsid w:val="0096304C"/>
    <w:rsid w:val="009634FF"/>
    <w:rsid w:val="00963527"/>
    <w:rsid w:val="0096375D"/>
    <w:rsid w:val="00963E5A"/>
    <w:rsid w:val="00964626"/>
    <w:rsid w:val="00964C75"/>
    <w:rsid w:val="00964C9F"/>
    <w:rsid w:val="00965B8C"/>
    <w:rsid w:val="00966F27"/>
    <w:rsid w:val="00970325"/>
    <w:rsid w:val="009704FA"/>
    <w:rsid w:val="009708C6"/>
    <w:rsid w:val="00970B0C"/>
    <w:rsid w:val="00970FBD"/>
    <w:rsid w:val="00971A3A"/>
    <w:rsid w:val="00971C43"/>
    <w:rsid w:val="00972DEE"/>
    <w:rsid w:val="009746F5"/>
    <w:rsid w:val="009749DE"/>
    <w:rsid w:val="00974A4C"/>
    <w:rsid w:val="00975FAE"/>
    <w:rsid w:val="0097632E"/>
    <w:rsid w:val="00976B05"/>
    <w:rsid w:val="00976D3F"/>
    <w:rsid w:val="00977804"/>
    <w:rsid w:val="00977D20"/>
    <w:rsid w:val="009806D2"/>
    <w:rsid w:val="009823B5"/>
    <w:rsid w:val="009830D9"/>
    <w:rsid w:val="00985CCA"/>
    <w:rsid w:val="009879D8"/>
    <w:rsid w:val="00987EBF"/>
    <w:rsid w:val="00990D66"/>
    <w:rsid w:val="00990DE9"/>
    <w:rsid w:val="009914ED"/>
    <w:rsid w:val="009915A3"/>
    <w:rsid w:val="00992CAB"/>
    <w:rsid w:val="00994766"/>
    <w:rsid w:val="0099530A"/>
    <w:rsid w:val="00995CB9"/>
    <w:rsid w:val="00996DFF"/>
    <w:rsid w:val="009A14A8"/>
    <w:rsid w:val="009A1A0F"/>
    <w:rsid w:val="009A1F1E"/>
    <w:rsid w:val="009A232C"/>
    <w:rsid w:val="009A23FC"/>
    <w:rsid w:val="009A42C4"/>
    <w:rsid w:val="009A447B"/>
    <w:rsid w:val="009A4962"/>
    <w:rsid w:val="009A5713"/>
    <w:rsid w:val="009B0596"/>
    <w:rsid w:val="009B088C"/>
    <w:rsid w:val="009B1FCB"/>
    <w:rsid w:val="009B2A4A"/>
    <w:rsid w:val="009B31A9"/>
    <w:rsid w:val="009B400B"/>
    <w:rsid w:val="009B49F1"/>
    <w:rsid w:val="009B59F7"/>
    <w:rsid w:val="009B5E69"/>
    <w:rsid w:val="009B729E"/>
    <w:rsid w:val="009C106A"/>
    <w:rsid w:val="009C18CA"/>
    <w:rsid w:val="009C2151"/>
    <w:rsid w:val="009C36B8"/>
    <w:rsid w:val="009C4CA6"/>
    <w:rsid w:val="009C5CB6"/>
    <w:rsid w:val="009C5F6A"/>
    <w:rsid w:val="009C6C6A"/>
    <w:rsid w:val="009D2279"/>
    <w:rsid w:val="009D22D0"/>
    <w:rsid w:val="009D23D0"/>
    <w:rsid w:val="009D2A07"/>
    <w:rsid w:val="009D3ADF"/>
    <w:rsid w:val="009D4A69"/>
    <w:rsid w:val="009D77F1"/>
    <w:rsid w:val="009E397C"/>
    <w:rsid w:val="009E438D"/>
    <w:rsid w:val="009E4C92"/>
    <w:rsid w:val="009E6A2D"/>
    <w:rsid w:val="009E6A4C"/>
    <w:rsid w:val="009E6B07"/>
    <w:rsid w:val="009F0DAD"/>
    <w:rsid w:val="009F13DB"/>
    <w:rsid w:val="009F2059"/>
    <w:rsid w:val="009F37F1"/>
    <w:rsid w:val="009F41AF"/>
    <w:rsid w:val="009F6DEB"/>
    <w:rsid w:val="009F7FFB"/>
    <w:rsid w:val="00A0064B"/>
    <w:rsid w:val="00A01320"/>
    <w:rsid w:val="00A037AA"/>
    <w:rsid w:val="00A0479F"/>
    <w:rsid w:val="00A0593B"/>
    <w:rsid w:val="00A05C40"/>
    <w:rsid w:val="00A0606B"/>
    <w:rsid w:val="00A073F0"/>
    <w:rsid w:val="00A10848"/>
    <w:rsid w:val="00A11839"/>
    <w:rsid w:val="00A11EF4"/>
    <w:rsid w:val="00A122AA"/>
    <w:rsid w:val="00A1625F"/>
    <w:rsid w:val="00A174FB"/>
    <w:rsid w:val="00A178D3"/>
    <w:rsid w:val="00A2025A"/>
    <w:rsid w:val="00A21072"/>
    <w:rsid w:val="00A2140C"/>
    <w:rsid w:val="00A227E7"/>
    <w:rsid w:val="00A24754"/>
    <w:rsid w:val="00A2484F"/>
    <w:rsid w:val="00A25E37"/>
    <w:rsid w:val="00A263A8"/>
    <w:rsid w:val="00A310C5"/>
    <w:rsid w:val="00A313C9"/>
    <w:rsid w:val="00A31501"/>
    <w:rsid w:val="00A31A05"/>
    <w:rsid w:val="00A34611"/>
    <w:rsid w:val="00A3693F"/>
    <w:rsid w:val="00A37835"/>
    <w:rsid w:val="00A40B6B"/>
    <w:rsid w:val="00A416F3"/>
    <w:rsid w:val="00A42630"/>
    <w:rsid w:val="00A42631"/>
    <w:rsid w:val="00A428AC"/>
    <w:rsid w:val="00A43DA3"/>
    <w:rsid w:val="00A44119"/>
    <w:rsid w:val="00A4450E"/>
    <w:rsid w:val="00A4550E"/>
    <w:rsid w:val="00A45D5C"/>
    <w:rsid w:val="00A47C6D"/>
    <w:rsid w:val="00A51E8A"/>
    <w:rsid w:val="00A53EBB"/>
    <w:rsid w:val="00A55BED"/>
    <w:rsid w:val="00A571E2"/>
    <w:rsid w:val="00A57CA0"/>
    <w:rsid w:val="00A61302"/>
    <w:rsid w:val="00A61673"/>
    <w:rsid w:val="00A619A3"/>
    <w:rsid w:val="00A61D59"/>
    <w:rsid w:val="00A629A3"/>
    <w:rsid w:val="00A632FB"/>
    <w:rsid w:val="00A651C1"/>
    <w:rsid w:val="00A65954"/>
    <w:rsid w:val="00A70511"/>
    <w:rsid w:val="00A716CF"/>
    <w:rsid w:val="00A71F3C"/>
    <w:rsid w:val="00A72A2B"/>
    <w:rsid w:val="00A77589"/>
    <w:rsid w:val="00A8057D"/>
    <w:rsid w:val="00A824E0"/>
    <w:rsid w:val="00A825BA"/>
    <w:rsid w:val="00A84028"/>
    <w:rsid w:val="00A84995"/>
    <w:rsid w:val="00A84EF6"/>
    <w:rsid w:val="00A8601C"/>
    <w:rsid w:val="00A8729F"/>
    <w:rsid w:val="00A87CD6"/>
    <w:rsid w:val="00A916B9"/>
    <w:rsid w:val="00A91BF1"/>
    <w:rsid w:val="00A923F7"/>
    <w:rsid w:val="00A92738"/>
    <w:rsid w:val="00A93291"/>
    <w:rsid w:val="00A935F6"/>
    <w:rsid w:val="00A93B2C"/>
    <w:rsid w:val="00A93BFF"/>
    <w:rsid w:val="00A94DED"/>
    <w:rsid w:val="00A96376"/>
    <w:rsid w:val="00A968E7"/>
    <w:rsid w:val="00AA0FDE"/>
    <w:rsid w:val="00AA2A08"/>
    <w:rsid w:val="00AA4060"/>
    <w:rsid w:val="00AA6633"/>
    <w:rsid w:val="00AB1F9A"/>
    <w:rsid w:val="00AB275C"/>
    <w:rsid w:val="00AB3795"/>
    <w:rsid w:val="00AB52D9"/>
    <w:rsid w:val="00AB5373"/>
    <w:rsid w:val="00AB53B7"/>
    <w:rsid w:val="00AB6CA6"/>
    <w:rsid w:val="00AC1AD5"/>
    <w:rsid w:val="00AC226E"/>
    <w:rsid w:val="00AC3652"/>
    <w:rsid w:val="00AC4139"/>
    <w:rsid w:val="00AC52A1"/>
    <w:rsid w:val="00AC623B"/>
    <w:rsid w:val="00AC6311"/>
    <w:rsid w:val="00AD2AFD"/>
    <w:rsid w:val="00AD40D5"/>
    <w:rsid w:val="00AD587E"/>
    <w:rsid w:val="00AD5F6A"/>
    <w:rsid w:val="00AE1B09"/>
    <w:rsid w:val="00AE1D2D"/>
    <w:rsid w:val="00AE2679"/>
    <w:rsid w:val="00AE3198"/>
    <w:rsid w:val="00AE4B73"/>
    <w:rsid w:val="00AE5BF3"/>
    <w:rsid w:val="00AF0944"/>
    <w:rsid w:val="00AF2162"/>
    <w:rsid w:val="00AF2880"/>
    <w:rsid w:val="00AF4840"/>
    <w:rsid w:val="00AF4854"/>
    <w:rsid w:val="00AF48D6"/>
    <w:rsid w:val="00AF5076"/>
    <w:rsid w:val="00AF791F"/>
    <w:rsid w:val="00B00D8F"/>
    <w:rsid w:val="00B028DE"/>
    <w:rsid w:val="00B036C8"/>
    <w:rsid w:val="00B04301"/>
    <w:rsid w:val="00B06464"/>
    <w:rsid w:val="00B07C91"/>
    <w:rsid w:val="00B07F41"/>
    <w:rsid w:val="00B11BBC"/>
    <w:rsid w:val="00B11C35"/>
    <w:rsid w:val="00B12565"/>
    <w:rsid w:val="00B12AEC"/>
    <w:rsid w:val="00B12BE9"/>
    <w:rsid w:val="00B14795"/>
    <w:rsid w:val="00B15690"/>
    <w:rsid w:val="00B15BAB"/>
    <w:rsid w:val="00B1693C"/>
    <w:rsid w:val="00B16AA0"/>
    <w:rsid w:val="00B22CE4"/>
    <w:rsid w:val="00B25E2A"/>
    <w:rsid w:val="00B267B7"/>
    <w:rsid w:val="00B270C6"/>
    <w:rsid w:val="00B27A10"/>
    <w:rsid w:val="00B31180"/>
    <w:rsid w:val="00B31A46"/>
    <w:rsid w:val="00B33490"/>
    <w:rsid w:val="00B334F2"/>
    <w:rsid w:val="00B34451"/>
    <w:rsid w:val="00B34962"/>
    <w:rsid w:val="00B34E00"/>
    <w:rsid w:val="00B3683E"/>
    <w:rsid w:val="00B36A65"/>
    <w:rsid w:val="00B40D48"/>
    <w:rsid w:val="00B41761"/>
    <w:rsid w:val="00B429B5"/>
    <w:rsid w:val="00B42DAA"/>
    <w:rsid w:val="00B45982"/>
    <w:rsid w:val="00B51098"/>
    <w:rsid w:val="00B515E6"/>
    <w:rsid w:val="00B51664"/>
    <w:rsid w:val="00B51AE8"/>
    <w:rsid w:val="00B52A6B"/>
    <w:rsid w:val="00B54195"/>
    <w:rsid w:val="00B54768"/>
    <w:rsid w:val="00B5759C"/>
    <w:rsid w:val="00B60B92"/>
    <w:rsid w:val="00B60D1C"/>
    <w:rsid w:val="00B61DD4"/>
    <w:rsid w:val="00B634CA"/>
    <w:rsid w:val="00B6447E"/>
    <w:rsid w:val="00B65E95"/>
    <w:rsid w:val="00B66219"/>
    <w:rsid w:val="00B66E0B"/>
    <w:rsid w:val="00B67453"/>
    <w:rsid w:val="00B67D81"/>
    <w:rsid w:val="00B67E9E"/>
    <w:rsid w:val="00B67EA2"/>
    <w:rsid w:val="00B702B3"/>
    <w:rsid w:val="00B712C3"/>
    <w:rsid w:val="00B722F5"/>
    <w:rsid w:val="00B7271B"/>
    <w:rsid w:val="00B73028"/>
    <w:rsid w:val="00B74D55"/>
    <w:rsid w:val="00B77541"/>
    <w:rsid w:val="00B775B0"/>
    <w:rsid w:val="00B8102E"/>
    <w:rsid w:val="00B817E7"/>
    <w:rsid w:val="00B81D70"/>
    <w:rsid w:val="00B82DD8"/>
    <w:rsid w:val="00B838CA"/>
    <w:rsid w:val="00B83B05"/>
    <w:rsid w:val="00B83D01"/>
    <w:rsid w:val="00B84BB5"/>
    <w:rsid w:val="00B86244"/>
    <w:rsid w:val="00B905DE"/>
    <w:rsid w:val="00B90806"/>
    <w:rsid w:val="00B911C2"/>
    <w:rsid w:val="00B93F69"/>
    <w:rsid w:val="00B95289"/>
    <w:rsid w:val="00B95803"/>
    <w:rsid w:val="00B964E9"/>
    <w:rsid w:val="00B96D3A"/>
    <w:rsid w:val="00BA39E9"/>
    <w:rsid w:val="00BA74DE"/>
    <w:rsid w:val="00BA77D6"/>
    <w:rsid w:val="00BB00C9"/>
    <w:rsid w:val="00BB1058"/>
    <w:rsid w:val="00BB10E6"/>
    <w:rsid w:val="00BB3B46"/>
    <w:rsid w:val="00BB7820"/>
    <w:rsid w:val="00BC01E2"/>
    <w:rsid w:val="00BC1435"/>
    <w:rsid w:val="00BC37AE"/>
    <w:rsid w:val="00BC3E69"/>
    <w:rsid w:val="00BC57AD"/>
    <w:rsid w:val="00BC6D8B"/>
    <w:rsid w:val="00BC7657"/>
    <w:rsid w:val="00BD0E80"/>
    <w:rsid w:val="00BD0F57"/>
    <w:rsid w:val="00BD16C4"/>
    <w:rsid w:val="00BD1EED"/>
    <w:rsid w:val="00BD2BCF"/>
    <w:rsid w:val="00BD445A"/>
    <w:rsid w:val="00BD51DB"/>
    <w:rsid w:val="00BD6465"/>
    <w:rsid w:val="00BD66A8"/>
    <w:rsid w:val="00BD7BE7"/>
    <w:rsid w:val="00BE0BBA"/>
    <w:rsid w:val="00BE221B"/>
    <w:rsid w:val="00BE2D4F"/>
    <w:rsid w:val="00BE37ED"/>
    <w:rsid w:val="00BE59AD"/>
    <w:rsid w:val="00BE5BD3"/>
    <w:rsid w:val="00BE6EBE"/>
    <w:rsid w:val="00BE6F75"/>
    <w:rsid w:val="00BE7196"/>
    <w:rsid w:val="00BE71A4"/>
    <w:rsid w:val="00BE768B"/>
    <w:rsid w:val="00BF0007"/>
    <w:rsid w:val="00BF0018"/>
    <w:rsid w:val="00BF1774"/>
    <w:rsid w:val="00BF230B"/>
    <w:rsid w:val="00BF2E07"/>
    <w:rsid w:val="00BF3B36"/>
    <w:rsid w:val="00BF4B13"/>
    <w:rsid w:val="00BF6B0E"/>
    <w:rsid w:val="00C03957"/>
    <w:rsid w:val="00C048E6"/>
    <w:rsid w:val="00C0704E"/>
    <w:rsid w:val="00C070CB"/>
    <w:rsid w:val="00C10711"/>
    <w:rsid w:val="00C12562"/>
    <w:rsid w:val="00C12A15"/>
    <w:rsid w:val="00C1440D"/>
    <w:rsid w:val="00C15A36"/>
    <w:rsid w:val="00C16E9D"/>
    <w:rsid w:val="00C1756D"/>
    <w:rsid w:val="00C17646"/>
    <w:rsid w:val="00C207F9"/>
    <w:rsid w:val="00C22570"/>
    <w:rsid w:val="00C22A11"/>
    <w:rsid w:val="00C22C03"/>
    <w:rsid w:val="00C23949"/>
    <w:rsid w:val="00C2414F"/>
    <w:rsid w:val="00C3041F"/>
    <w:rsid w:val="00C30C4F"/>
    <w:rsid w:val="00C316B6"/>
    <w:rsid w:val="00C31B4E"/>
    <w:rsid w:val="00C31D44"/>
    <w:rsid w:val="00C370C4"/>
    <w:rsid w:val="00C40E93"/>
    <w:rsid w:val="00C419E7"/>
    <w:rsid w:val="00C42823"/>
    <w:rsid w:val="00C42F02"/>
    <w:rsid w:val="00C45C0E"/>
    <w:rsid w:val="00C462B0"/>
    <w:rsid w:val="00C504ED"/>
    <w:rsid w:val="00C5167C"/>
    <w:rsid w:val="00C51DE6"/>
    <w:rsid w:val="00C52333"/>
    <w:rsid w:val="00C548D1"/>
    <w:rsid w:val="00C61AB3"/>
    <w:rsid w:val="00C61B14"/>
    <w:rsid w:val="00C62341"/>
    <w:rsid w:val="00C62F6D"/>
    <w:rsid w:val="00C634EC"/>
    <w:rsid w:val="00C64A8B"/>
    <w:rsid w:val="00C66878"/>
    <w:rsid w:val="00C67260"/>
    <w:rsid w:val="00C702AE"/>
    <w:rsid w:val="00C704B4"/>
    <w:rsid w:val="00C7075E"/>
    <w:rsid w:val="00C707C7"/>
    <w:rsid w:val="00C70801"/>
    <w:rsid w:val="00C70BFC"/>
    <w:rsid w:val="00C70EAA"/>
    <w:rsid w:val="00C71278"/>
    <w:rsid w:val="00C71397"/>
    <w:rsid w:val="00C71DB3"/>
    <w:rsid w:val="00C74902"/>
    <w:rsid w:val="00C76AEA"/>
    <w:rsid w:val="00C77616"/>
    <w:rsid w:val="00C801D5"/>
    <w:rsid w:val="00C80407"/>
    <w:rsid w:val="00C805EB"/>
    <w:rsid w:val="00C81C8A"/>
    <w:rsid w:val="00C826E1"/>
    <w:rsid w:val="00C86951"/>
    <w:rsid w:val="00C875B3"/>
    <w:rsid w:val="00C8789D"/>
    <w:rsid w:val="00C93922"/>
    <w:rsid w:val="00C961D3"/>
    <w:rsid w:val="00C96378"/>
    <w:rsid w:val="00C97309"/>
    <w:rsid w:val="00CA1B3B"/>
    <w:rsid w:val="00CA2346"/>
    <w:rsid w:val="00CA278C"/>
    <w:rsid w:val="00CA3413"/>
    <w:rsid w:val="00CA3F2B"/>
    <w:rsid w:val="00CA42D3"/>
    <w:rsid w:val="00CA5D2A"/>
    <w:rsid w:val="00CB002E"/>
    <w:rsid w:val="00CB3B81"/>
    <w:rsid w:val="00CB3DBD"/>
    <w:rsid w:val="00CB674C"/>
    <w:rsid w:val="00CC24CB"/>
    <w:rsid w:val="00CC2E0C"/>
    <w:rsid w:val="00CC40B1"/>
    <w:rsid w:val="00CC4FE6"/>
    <w:rsid w:val="00CC5B1F"/>
    <w:rsid w:val="00CC7C59"/>
    <w:rsid w:val="00CC7D0E"/>
    <w:rsid w:val="00CD0176"/>
    <w:rsid w:val="00CD1484"/>
    <w:rsid w:val="00CD1CD4"/>
    <w:rsid w:val="00CD3930"/>
    <w:rsid w:val="00CD4D00"/>
    <w:rsid w:val="00CD56CE"/>
    <w:rsid w:val="00CD62DA"/>
    <w:rsid w:val="00CD6B0E"/>
    <w:rsid w:val="00CD6F64"/>
    <w:rsid w:val="00CE1222"/>
    <w:rsid w:val="00CE179E"/>
    <w:rsid w:val="00CE1D73"/>
    <w:rsid w:val="00CE3690"/>
    <w:rsid w:val="00CE4337"/>
    <w:rsid w:val="00CE6B9E"/>
    <w:rsid w:val="00CE6D42"/>
    <w:rsid w:val="00CE722C"/>
    <w:rsid w:val="00CE7846"/>
    <w:rsid w:val="00CF2E3A"/>
    <w:rsid w:val="00CF47A5"/>
    <w:rsid w:val="00CF4E1B"/>
    <w:rsid w:val="00CF5314"/>
    <w:rsid w:val="00CF5486"/>
    <w:rsid w:val="00CF61A0"/>
    <w:rsid w:val="00D01B24"/>
    <w:rsid w:val="00D027F3"/>
    <w:rsid w:val="00D028FF"/>
    <w:rsid w:val="00D02C5C"/>
    <w:rsid w:val="00D02DE1"/>
    <w:rsid w:val="00D03453"/>
    <w:rsid w:val="00D0358E"/>
    <w:rsid w:val="00D053C2"/>
    <w:rsid w:val="00D0768D"/>
    <w:rsid w:val="00D11DC6"/>
    <w:rsid w:val="00D11FC0"/>
    <w:rsid w:val="00D12D2F"/>
    <w:rsid w:val="00D13031"/>
    <w:rsid w:val="00D13FAE"/>
    <w:rsid w:val="00D1649D"/>
    <w:rsid w:val="00D21FBC"/>
    <w:rsid w:val="00D24FDA"/>
    <w:rsid w:val="00D26180"/>
    <w:rsid w:val="00D268D3"/>
    <w:rsid w:val="00D27713"/>
    <w:rsid w:val="00D27EDD"/>
    <w:rsid w:val="00D30304"/>
    <w:rsid w:val="00D313E8"/>
    <w:rsid w:val="00D32874"/>
    <w:rsid w:val="00D332AE"/>
    <w:rsid w:val="00D343B8"/>
    <w:rsid w:val="00D36018"/>
    <w:rsid w:val="00D362DB"/>
    <w:rsid w:val="00D3777E"/>
    <w:rsid w:val="00D411F2"/>
    <w:rsid w:val="00D41E88"/>
    <w:rsid w:val="00D43473"/>
    <w:rsid w:val="00D434CB"/>
    <w:rsid w:val="00D4381B"/>
    <w:rsid w:val="00D43BCF"/>
    <w:rsid w:val="00D43F1A"/>
    <w:rsid w:val="00D44FEE"/>
    <w:rsid w:val="00D45CC9"/>
    <w:rsid w:val="00D47684"/>
    <w:rsid w:val="00D50E09"/>
    <w:rsid w:val="00D51C7C"/>
    <w:rsid w:val="00D528D7"/>
    <w:rsid w:val="00D56EBE"/>
    <w:rsid w:val="00D575A2"/>
    <w:rsid w:val="00D57EA6"/>
    <w:rsid w:val="00D609EC"/>
    <w:rsid w:val="00D6129E"/>
    <w:rsid w:val="00D61F57"/>
    <w:rsid w:val="00D62AD0"/>
    <w:rsid w:val="00D63BB1"/>
    <w:rsid w:val="00D659E5"/>
    <w:rsid w:val="00D66146"/>
    <w:rsid w:val="00D66809"/>
    <w:rsid w:val="00D675B5"/>
    <w:rsid w:val="00D67BD1"/>
    <w:rsid w:val="00D703D2"/>
    <w:rsid w:val="00D708EE"/>
    <w:rsid w:val="00D71CFD"/>
    <w:rsid w:val="00D73C9A"/>
    <w:rsid w:val="00D74A2C"/>
    <w:rsid w:val="00D74EEA"/>
    <w:rsid w:val="00D75F64"/>
    <w:rsid w:val="00D77F08"/>
    <w:rsid w:val="00D81215"/>
    <w:rsid w:val="00D81E8B"/>
    <w:rsid w:val="00D82166"/>
    <w:rsid w:val="00D83F0A"/>
    <w:rsid w:val="00D84168"/>
    <w:rsid w:val="00D84650"/>
    <w:rsid w:val="00D86B70"/>
    <w:rsid w:val="00D87229"/>
    <w:rsid w:val="00D90B51"/>
    <w:rsid w:val="00D924C5"/>
    <w:rsid w:val="00D92B77"/>
    <w:rsid w:val="00D92FDA"/>
    <w:rsid w:val="00D94128"/>
    <w:rsid w:val="00D9783D"/>
    <w:rsid w:val="00D97B6F"/>
    <w:rsid w:val="00D97C72"/>
    <w:rsid w:val="00D97DB5"/>
    <w:rsid w:val="00DA107F"/>
    <w:rsid w:val="00DA18F2"/>
    <w:rsid w:val="00DA2615"/>
    <w:rsid w:val="00DA3EF2"/>
    <w:rsid w:val="00DA4377"/>
    <w:rsid w:val="00DB05F8"/>
    <w:rsid w:val="00DB0AF4"/>
    <w:rsid w:val="00DB0FE6"/>
    <w:rsid w:val="00DC1639"/>
    <w:rsid w:val="00DC1803"/>
    <w:rsid w:val="00DC2DD3"/>
    <w:rsid w:val="00DC36E4"/>
    <w:rsid w:val="00DC4755"/>
    <w:rsid w:val="00DC5F04"/>
    <w:rsid w:val="00DC71AE"/>
    <w:rsid w:val="00DD1988"/>
    <w:rsid w:val="00DD2CB3"/>
    <w:rsid w:val="00DD38DE"/>
    <w:rsid w:val="00DD45F6"/>
    <w:rsid w:val="00DD5631"/>
    <w:rsid w:val="00DD5FC9"/>
    <w:rsid w:val="00DD700D"/>
    <w:rsid w:val="00DE143A"/>
    <w:rsid w:val="00DE3796"/>
    <w:rsid w:val="00DE3A27"/>
    <w:rsid w:val="00DE5FAB"/>
    <w:rsid w:val="00DE64D2"/>
    <w:rsid w:val="00DE75E3"/>
    <w:rsid w:val="00DF175A"/>
    <w:rsid w:val="00DF1905"/>
    <w:rsid w:val="00DF1961"/>
    <w:rsid w:val="00DF30F3"/>
    <w:rsid w:val="00DF3B3C"/>
    <w:rsid w:val="00DF3B56"/>
    <w:rsid w:val="00DF3D56"/>
    <w:rsid w:val="00DF46D3"/>
    <w:rsid w:val="00DF60EA"/>
    <w:rsid w:val="00DF6EE2"/>
    <w:rsid w:val="00DF7B7E"/>
    <w:rsid w:val="00DF7C33"/>
    <w:rsid w:val="00E02A88"/>
    <w:rsid w:val="00E04933"/>
    <w:rsid w:val="00E04ED0"/>
    <w:rsid w:val="00E0583E"/>
    <w:rsid w:val="00E07310"/>
    <w:rsid w:val="00E07613"/>
    <w:rsid w:val="00E07CD6"/>
    <w:rsid w:val="00E11969"/>
    <w:rsid w:val="00E12D39"/>
    <w:rsid w:val="00E132D9"/>
    <w:rsid w:val="00E13A63"/>
    <w:rsid w:val="00E13ED5"/>
    <w:rsid w:val="00E153BA"/>
    <w:rsid w:val="00E15BFE"/>
    <w:rsid w:val="00E16E5C"/>
    <w:rsid w:val="00E1789A"/>
    <w:rsid w:val="00E211A0"/>
    <w:rsid w:val="00E21E41"/>
    <w:rsid w:val="00E22931"/>
    <w:rsid w:val="00E22CBE"/>
    <w:rsid w:val="00E24A2E"/>
    <w:rsid w:val="00E26D00"/>
    <w:rsid w:val="00E27F14"/>
    <w:rsid w:val="00E30D9A"/>
    <w:rsid w:val="00E31152"/>
    <w:rsid w:val="00E319A2"/>
    <w:rsid w:val="00E32138"/>
    <w:rsid w:val="00E32AA3"/>
    <w:rsid w:val="00E330FE"/>
    <w:rsid w:val="00E336DC"/>
    <w:rsid w:val="00E37B4C"/>
    <w:rsid w:val="00E37B74"/>
    <w:rsid w:val="00E37B95"/>
    <w:rsid w:val="00E402B7"/>
    <w:rsid w:val="00E40732"/>
    <w:rsid w:val="00E42E8D"/>
    <w:rsid w:val="00E46BF9"/>
    <w:rsid w:val="00E47A4A"/>
    <w:rsid w:val="00E47DB4"/>
    <w:rsid w:val="00E5043A"/>
    <w:rsid w:val="00E51C07"/>
    <w:rsid w:val="00E522FE"/>
    <w:rsid w:val="00E5295E"/>
    <w:rsid w:val="00E5395A"/>
    <w:rsid w:val="00E53D2B"/>
    <w:rsid w:val="00E54379"/>
    <w:rsid w:val="00E546D8"/>
    <w:rsid w:val="00E5472D"/>
    <w:rsid w:val="00E54E88"/>
    <w:rsid w:val="00E55560"/>
    <w:rsid w:val="00E560BB"/>
    <w:rsid w:val="00E57C45"/>
    <w:rsid w:val="00E602EB"/>
    <w:rsid w:val="00E60BB9"/>
    <w:rsid w:val="00E62ED7"/>
    <w:rsid w:val="00E64088"/>
    <w:rsid w:val="00E64350"/>
    <w:rsid w:val="00E643C1"/>
    <w:rsid w:val="00E64B6D"/>
    <w:rsid w:val="00E65380"/>
    <w:rsid w:val="00E657D7"/>
    <w:rsid w:val="00E66138"/>
    <w:rsid w:val="00E67178"/>
    <w:rsid w:val="00E70665"/>
    <w:rsid w:val="00E7290C"/>
    <w:rsid w:val="00E75635"/>
    <w:rsid w:val="00E7597B"/>
    <w:rsid w:val="00E76078"/>
    <w:rsid w:val="00E77FA0"/>
    <w:rsid w:val="00E80E34"/>
    <w:rsid w:val="00E8173C"/>
    <w:rsid w:val="00E81B51"/>
    <w:rsid w:val="00E81F45"/>
    <w:rsid w:val="00E82386"/>
    <w:rsid w:val="00E83487"/>
    <w:rsid w:val="00E834E9"/>
    <w:rsid w:val="00E85580"/>
    <w:rsid w:val="00E8602D"/>
    <w:rsid w:val="00E86249"/>
    <w:rsid w:val="00E8633D"/>
    <w:rsid w:val="00E914C1"/>
    <w:rsid w:val="00E92783"/>
    <w:rsid w:val="00E927A9"/>
    <w:rsid w:val="00E92829"/>
    <w:rsid w:val="00E95DA9"/>
    <w:rsid w:val="00E96544"/>
    <w:rsid w:val="00E96CB6"/>
    <w:rsid w:val="00EA0A73"/>
    <w:rsid w:val="00EA0FCB"/>
    <w:rsid w:val="00EA3F4F"/>
    <w:rsid w:val="00EA6662"/>
    <w:rsid w:val="00EA736B"/>
    <w:rsid w:val="00EB25D1"/>
    <w:rsid w:val="00EB2F2B"/>
    <w:rsid w:val="00EB2FA9"/>
    <w:rsid w:val="00EB30BA"/>
    <w:rsid w:val="00EB3985"/>
    <w:rsid w:val="00EB3F23"/>
    <w:rsid w:val="00EB6397"/>
    <w:rsid w:val="00EB6943"/>
    <w:rsid w:val="00EC25A2"/>
    <w:rsid w:val="00EC2B7E"/>
    <w:rsid w:val="00EC37D0"/>
    <w:rsid w:val="00EC4B06"/>
    <w:rsid w:val="00EC60DB"/>
    <w:rsid w:val="00EC7248"/>
    <w:rsid w:val="00EC7D2A"/>
    <w:rsid w:val="00ED1B84"/>
    <w:rsid w:val="00ED243F"/>
    <w:rsid w:val="00ED2E86"/>
    <w:rsid w:val="00ED38DB"/>
    <w:rsid w:val="00ED3B18"/>
    <w:rsid w:val="00ED515A"/>
    <w:rsid w:val="00ED7647"/>
    <w:rsid w:val="00EE0ADF"/>
    <w:rsid w:val="00EE2B32"/>
    <w:rsid w:val="00EE342A"/>
    <w:rsid w:val="00EE5510"/>
    <w:rsid w:val="00EE63BD"/>
    <w:rsid w:val="00EE644F"/>
    <w:rsid w:val="00EE6756"/>
    <w:rsid w:val="00EE68BC"/>
    <w:rsid w:val="00EE68C6"/>
    <w:rsid w:val="00EE7E9C"/>
    <w:rsid w:val="00EF2BC6"/>
    <w:rsid w:val="00EF426A"/>
    <w:rsid w:val="00EF4E89"/>
    <w:rsid w:val="00EF547E"/>
    <w:rsid w:val="00EF78AA"/>
    <w:rsid w:val="00EF7DB8"/>
    <w:rsid w:val="00F00B51"/>
    <w:rsid w:val="00F03FE9"/>
    <w:rsid w:val="00F047B2"/>
    <w:rsid w:val="00F06689"/>
    <w:rsid w:val="00F0788E"/>
    <w:rsid w:val="00F07CF8"/>
    <w:rsid w:val="00F10A12"/>
    <w:rsid w:val="00F1218A"/>
    <w:rsid w:val="00F12EC6"/>
    <w:rsid w:val="00F14C02"/>
    <w:rsid w:val="00F14E83"/>
    <w:rsid w:val="00F15EB6"/>
    <w:rsid w:val="00F1676C"/>
    <w:rsid w:val="00F214FF"/>
    <w:rsid w:val="00F223DB"/>
    <w:rsid w:val="00F224D3"/>
    <w:rsid w:val="00F22719"/>
    <w:rsid w:val="00F23C88"/>
    <w:rsid w:val="00F255D2"/>
    <w:rsid w:val="00F25C90"/>
    <w:rsid w:val="00F26647"/>
    <w:rsid w:val="00F26943"/>
    <w:rsid w:val="00F26A19"/>
    <w:rsid w:val="00F27F3E"/>
    <w:rsid w:val="00F3002C"/>
    <w:rsid w:val="00F30B92"/>
    <w:rsid w:val="00F3386F"/>
    <w:rsid w:val="00F33F86"/>
    <w:rsid w:val="00F352B9"/>
    <w:rsid w:val="00F358BB"/>
    <w:rsid w:val="00F35CC5"/>
    <w:rsid w:val="00F35E90"/>
    <w:rsid w:val="00F3680A"/>
    <w:rsid w:val="00F37F2A"/>
    <w:rsid w:val="00F42053"/>
    <w:rsid w:val="00F42624"/>
    <w:rsid w:val="00F43C83"/>
    <w:rsid w:val="00F43D29"/>
    <w:rsid w:val="00F454AA"/>
    <w:rsid w:val="00F45885"/>
    <w:rsid w:val="00F45890"/>
    <w:rsid w:val="00F47154"/>
    <w:rsid w:val="00F47BD8"/>
    <w:rsid w:val="00F50209"/>
    <w:rsid w:val="00F5085A"/>
    <w:rsid w:val="00F51095"/>
    <w:rsid w:val="00F52A8D"/>
    <w:rsid w:val="00F53460"/>
    <w:rsid w:val="00F536F6"/>
    <w:rsid w:val="00F543F0"/>
    <w:rsid w:val="00F54E88"/>
    <w:rsid w:val="00F558DA"/>
    <w:rsid w:val="00F55A30"/>
    <w:rsid w:val="00F60DD0"/>
    <w:rsid w:val="00F613DE"/>
    <w:rsid w:val="00F619E9"/>
    <w:rsid w:val="00F6267F"/>
    <w:rsid w:val="00F6300D"/>
    <w:rsid w:val="00F630BD"/>
    <w:rsid w:val="00F64EFF"/>
    <w:rsid w:val="00F66BE0"/>
    <w:rsid w:val="00F6752D"/>
    <w:rsid w:val="00F710DD"/>
    <w:rsid w:val="00F71B0F"/>
    <w:rsid w:val="00F73199"/>
    <w:rsid w:val="00F73229"/>
    <w:rsid w:val="00F740F2"/>
    <w:rsid w:val="00F745DC"/>
    <w:rsid w:val="00F7480E"/>
    <w:rsid w:val="00F74C34"/>
    <w:rsid w:val="00F763FF"/>
    <w:rsid w:val="00F7781A"/>
    <w:rsid w:val="00F77B84"/>
    <w:rsid w:val="00F80014"/>
    <w:rsid w:val="00F812FD"/>
    <w:rsid w:val="00F8224B"/>
    <w:rsid w:val="00F82A01"/>
    <w:rsid w:val="00F82A89"/>
    <w:rsid w:val="00F84E26"/>
    <w:rsid w:val="00F85C1A"/>
    <w:rsid w:val="00F86A2C"/>
    <w:rsid w:val="00F87D35"/>
    <w:rsid w:val="00F92578"/>
    <w:rsid w:val="00F93376"/>
    <w:rsid w:val="00F94E9F"/>
    <w:rsid w:val="00F95E4E"/>
    <w:rsid w:val="00F977BD"/>
    <w:rsid w:val="00FA11EB"/>
    <w:rsid w:val="00FA178E"/>
    <w:rsid w:val="00FA1C22"/>
    <w:rsid w:val="00FA30A6"/>
    <w:rsid w:val="00FA30DC"/>
    <w:rsid w:val="00FA442C"/>
    <w:rsid w:val="00FA4BC7"/>
    <w:rsid w:val="00FA6E45"/>
    <w:rsid w:val="00FB0B24"/>
    <w:rsid w:val="00FB0E98"/>
    <w:rsid w:val="00FB556A"/>
    <w:rsid w:val="00FC055B"/>
    <w:rsid w:val="00FC3EF1"/>
    <w:rsid w:val="00FC4DDE"/>
    <w:rsid w:val="00FC56DB"/>
    <w:rsid w:val="00FC5B1C"/>
    <w:rsid w:val="00FD0317"/>
    <w:rsid w:val="00FD0881"/>
    <w:rsid w:val="00FD1254"/>
    <w:rsid w:val="00FD21CD"/>
    <w:rsid w:val="00FD2372"/>
    <w:rsid w:val="00FD59EA"/>
    <w:rsid w:val="00FD6C1C"/>
    <w:rsid w:val="00FD72BE"/>
    <w:rsid w:val="00FE0A8F"/>
    <w:rsid w:val="00FE0EE9"/>
    <w:rsid w:val="00FE141F"/>
    <w:rsid w:val="00FE2A78"/>
    <w:rsid w:val="00FE2AA6"/>
    <w:rsid w:val="00FE2D93"/>
    <w:rsid w:val="00FE3D26"/>
    <w:rsid w:val="00FE4347"/>
    <w:rsid w:val="00FE4D69"/>
    <w:rsid w:val="00FE5C0A"/>
    <w:rsid w:val="00FE5CEA"/>
    <w:rsid w:val="00FF0446"/>
    <w:rsid w:val="00FF0A66"/>
    <w:rsid w:val="00FF4D6A"/>
    <w:rsid w:val="00FF5631"/>
    <w:rsid w:val="00FF6566"/>
    <w:rsid w:val="00FF6F35"/>
    <w:rsid w:val="01201F0E"/>
    <w:rsid w:val="01527EDF"/>
    <w:rsid w:val="018C3887"/>
    <w:rsid w:val="01962906"/>
    <w:rsid w:val="01F42C24"/>
    <w:rsid w:val="024F2124"/>
    <w:rsid w:val="025D6B3C"/>
    <w:rsid w:val="0278113C"/>
    <w:rsid w:val="027F7953"/>
    <w:rsid w:val="02FE3E7B"/>
    <w:rsid w:val="032058D0"/>
    <w:rsid w:val="0455562B"/>
    <w:rsid w:val="0462668B"/>
    <w:rsid w:val="046D5990"/>
    <w:rsid w:val="046F64E6"/>
    <w:rsid w:val="04963415"/>
    <w:rsid w:val="0518502E"/>
    <w:rsid w:val="05C45033"/>
    <w:rsid w:val="073B2203"/>
    <w:rsid w:val="073C75CA"/>
    <w:rsid w:val="075D1A9E"/>
    <w:rsid w:val="07E41AB2"/>
    <w:rsid w:val="07FF27C9"/>
    <w:rsid w:val="08047140"/>
    <w:rsid w:val="08353C69"/>
    <w:rsid w:val="085B1C26"/>
    <w:rsid w:val="08A90D2D"/>
    <w:rsid w:val="08EB572B"/>
    <w:rsid w:val="08EF1D82"/>
    <w:rsid w:val="092B1742"/>
    <w:rsid w:val="09444084"/>
    <w:rsid w:val="09752911"/>
    <w:rsid w:val="09756FC8"/>
    <w:rsid w:val="09A911B7"/>
    <w:rsid w:val="09AF4121"/>
    <w:rsid w:val="09FE6D22"/>
    <w:rsid w:val="0A011ECD"/>
    <w:rsid w:val="0A1001AF"/>
    <w:rsid w:val="0A195A3E"/>
    <w:rsid w:val="0A61019F"/>
    <w:rsid w:val="0A8B375B"/>
    <w:rsid w:val="0A8C6210"/>
    <w:rsid w:val="0AA25F39"/>
    <w:rsid w:val="0AAE4FC2"/>
    <w:rsid w:val="0AB023E6"/>
    <w:rsid w:val="0B71709D"/>
    <w:rsid w:val="0BF41C69"/>
    <w:rsid w:val="0C277824"/>
    <w:rsid w:val="0C626972"/>
    <w:rsid w:val="0CE35ED0"/>
    <w:rsid w:val="0CFD0FF0"/>
    <w:rsid w:val="0DF800F6"/>
    <w:rsid w:val="0E0A2F49"/>
    <w:rsid w:val="0E282263"/>
    <w:rsid w:val="0E453549"/>
    <w:rsid w:val="0EAB3DCA"/>
    <w:rsid w:val="0EBD352B"/>
    <w:rsid w:val="0EF319AC"/>
    <w:rsid w:val="0F000E74"/>
    <w:rsid w:val="0FA1275E"/>
    <w:rsid w:val="10085DA0"/>
    <w:rsid w:val="1021209A"/>
    <w:rsid w:val="10E723F2"/>
    <w:rsid w:val="11553800"/>
    <w:rsid w:val="118C7802"/>
    <w:rsid w:val="119B1E7C"/>
    <w:rsid w:val="11C042F5"/>
    <w:rsid w:val="128D2377"/>
    <w:rsid w:val="12C5264E"/>
    <w:rsid w:val="131C2DED"/>
    <w:rsid w:val="131F5965"/>
    <w:rsid w:val="1360023A"/>
    <w:rsid w:val="136961B1"/>
    <w:rsid w:val="145C30F7"/>
    <w:rsid w:val="148C5AA4"/>
    <w:rsid w:val="14D015FB"/>
    <w:rsid w:val="14F16AD5"/>
    <w:rsid w:val="1517701E"/>
    <w:rsid w:val="15B57A54"/>
    <w:rsid w:val="16565924"/>
    <w:rsid w:val="16B22AB8"/>
    <w:rsid w:val="16FA0B7D"/>
    <w:rsid w:val="171C5A0F"/>
    <w:rsid w:val="17E42FAE"/>
    <w:rsid w:val="18D14309"/>
    <w:rsid w:val="190E2CBA"/>
    <w:rsid w:val="19185113"/>
    <w:rsid w:val="19390925"/>
    <w:rsid w:val="198A0A0F"/>
    <w:rsid w:val="19D3104D"/>
    <w:rsid w:val="1A6C1351"/>
    <w:rsid w:val="1B420B2B"/>
    <w:rsid w:val="1BF11972"/>
    <w:rsid w:val="1C381E41"/>
    <w:rsid w:val="1C40482B"/>
    <w:rsid w:val="1C922ADA"/>
    <w:rsid w:val="1CC26834"/>
    <w:rsid w:val="1CDC00D8"/>
    <w:rsid w:val="1D2C4085"/>
    <w:rsid w:val="1D727CAC"/>
    <w:rsid w:val="1D8B0AA5"/>
    <w:rsid w:val="1DEF5844"/>
    <w:rsid w:val="1E214A6A"/>
    <w:rsid w:val="1E6B1AD7"/>
    <w:rsid w:val="1ECA451B"/>
    <w:rsid w:val="1ED71397"/>
    <w:rsid w:val="1F5D309B"/>
    <w:rsid w:val="205242F2"/>
    <w:rsid w:val="205E0474"/>
    <w:rsid w:val="207974F2"/>
    <w:rsid w:val="20B50E21"/>
    <w:rsid w:val="20B97221"/>
    <w:rsid w:val="20C928EC"/>
    <w:rsid w:val="217F41C9"/>
    <w:rsid w:val="21A54C65"/>
    <w:rsid w:val="21A553F5"/>
    <w:rsid w:val="220E6730"/>
    <w:rsid w:val="224C63B1"/>
    <w:rsid w:val="2289544B"/>
    <w:rsid w:val="22B37DF2"/>
    <w:rsid w:val="22FD3FC8"/>
    <w:rsid w:val="23654FF2"/>
    <w:rsid w:val="23DA26CA"/>
    <w:rsid w:val="240C37BD"/>
    <w:rsid w:val="24575689"/>
    <w:rsid w:val="24DA743A"/>
    <w:rsid w:val="24FE78B3"/>
    <w:rsid w:val="255B4D05"/>
    <w:rsid w:val="25A46DCB"/>
    <w:rsid w:val="260869BD"/>
    <w:rsid w:val="260A3B1D"/>
    <w:rsid w:val="26611C72"/>
    <w:rsid w:val="26EC1B4A"/>
    <w:rsid w:val="275C4704"/>
    <w:rsid w:val="27733806"/>
    <w:rsid w:val="277D5976"/>
    <w:rsid w:val="27A0322A"/>
    <w:rsid w:val="27B10D21"/>
    <w:rsid w:val="27E201A6"/>
    <w:rsid w:val="287D2D7A"/>
    <w:rsid w:val="29370A81"/>
    <w:rsid w:val="294511F9"/>
    <w:rsid w:val="29591217"/>
    <w:rsid w:val="29703647"/>
    <w:rsid w:val="29FB66AE"/>
    <w:rsid w:val="2A8923EA"/>
    <w:rsid w:val="2A923D24"/>
    <w:rsid w:val="2AFA3165"/>
    <w:rsid w:val="2AFE14AA"/>
    <w:rsid w:val="2B1033B6"/>
    <w:rsid w:val="2BDA58ED"/>
    <w:rsid w:val="2BFF2F3A"/>
    <w:rsid w:val="2C4A6FC0"/>
    <w:rsid w:val="2C7D1A05"/>
    <w:rsid w:val="2C9C00DD"/>
    <w:rsid w:val="2D053ED4"/>
    <w:rsid w:val="2DDC1FDE"/>
    <w:rsid w:val="2DE90247"/>
    <w:rsid w:val="2E01768D"/>
    <w:rsid w:val="2EB66D92"/>
    <w:rsid w:val="2F664EA5"/>
    <w:rsid w:val="2FA505D5"/>
    <w:rsid w:val="2FAB0637"/>
    <w:rsid w:val="2FBF1F67"/>
    <w:rsid w:val="2FC960B2"/>
    <w:rsid w:val="301F52AD"/>
    <w:rsid w:val="306F68A2"/>
    <w:rsid w:val="30D72A62"/>
    <w:rsid w:val="312D2B91"/>
    <w:rsid w:val="314B39CC"/>
    <w:rsid w:val="31F2256C"/>
    <w:rsid w:val="3239692A"/>
    <w:rsid w:val="324E00CB"/>
    <w:rsid w:val="325C7F92"/>
    <w:rsid w:val="33254853"/>
    <w:rsid w:val="33270476"/>
    <w:rsid w:val="33394D0A"/>
    <w:rsid w:val="333A412B"/>
    <w:rsid w:val="336B3469"/>
    <w:rsid w:val="33812585"/>
    <w:rsid w:val="33995376"/>
    <w:rsid w:val="33A1229F"/>
    <w:rsid w:val="33C13344"/>
    <w:rsid w:val="33D436D2"/>
    <w:rsid w:val="33F6464E"/>
    <w:rsid w:val="34331F89"/>
    <w:rsid w:val="351D5B33"/>
    <w:rsid w:val="352A429F"/>
    <w:rsid w:val="353B7F7E"/>
    <w:rsid w:val="355B39AE"/>
    <w:rsid w:val="35B24F50"/>
    <w:rsid w:val="36233D1A"/>
    <w:rsid w:val="365B2966"/>
    <w:rsid w:val="369E0013"/>
    <w:rsid w:val="36AB4220"/>
    <w:rsid w:val="36B24617"/>
    <w:rsid w:val="36D14CE5"/>
    <w:rsid w:val="37A53D82"/>
    <w:rsid w:val="38906094"/>
    <w:rsid w:val="38BA369A"/>
    <w:rsid w:val="391E791F"/>
    <w:rsid w:val="39A84565"/>
    <w:rsid w:val="39F806F0"/>
    <w:rsid w:val="3A15327D"/>
    <w:rsid w:val="3A3659E4"/>
    <w:rsid w:val="3A987D9D"/>
    <w:rsid w:val="3AA85D33"/>
    <w:rsid w:val="3ACA4B42"/>
    <w:rsid w:val="3AFF3D8E"/>
    <w:rsid w:val="3B266E38"/>
    <w:rsid w:val="3BADF5DD"/>
    <w:rsid w:val="3BC2523E"/>
    <w:rsid w:val="3C084E29"/>
    <w:rsid w:val="3C2A551A"/>
    <w:rsid w:val="3C4D5B55"/>
    <w:rsid w:val="3CC26750"/>
    <w:rsid w:val="3D001FC2"/>
    <w:rsid w:val="3D13120B"/>
    <w:rsid w:val="3D440FF8"/>
    <w:rsid w:val="3D98044D"/>
    <w:rsid w:val="3DB20341"/>
    <w:rsid w:val="3E0543FF"/>
    <w:rsid w:val="3E1D685B"/>
    <w:rsid w:val="3E9450B8"/>
    <w:rsid w:val="3EB3D5A7"/>
    <w:rsid w:val="3EBC0850"/>
    <w:rsid w:val="3F0E2561"/>
    <w:rsid w:val="3F1270C2"/>
    <w:rsid w:val="3F252D85"/>
    <w:rsid w:val="3F405508"/>
    <w:rsid w:val="3FD61FFF"/>
    <w:rsid w:val="3FF43934"/>
    <w:rsid w:val="405051A0"/>
    <w:rsid w:val="40BE25F5"/>
    <w:rsid w:val="414A7CB0"/>
    <w:rsid w:val="41A22F19"/>
    <w:rsid w:val="426E79CE"/>
    <w:rsid w:val="428D2FFF"/>
    <w:rsid w:val="42BD7535"/>
    <w:rsid w:val="432636BD"/>
    <w:rsid w:val="43903EB3"/>
    <w:rsid w:val="441508D3"/>
    <w:rsid w:val="443D3AFC"/>
    <w:rsid w:val="448F20A9"/>
    <w:rsid w:val="44DD0E3B"/>
    <w:rsid w:val="44FF28BE"/>
    <w:rsid w:val="45437C53"/>
    <w:rsid w:val="458549C3"/>
    <w:rsid w:val="45A42773"/>
    <w:rsid w:val="464F5D68"/>
    <w:rsid w:val="46507749"/>
    <w:rsid w:val="47121223"/>
    <w:rsid w:val="474B4782"/>
    <w:rsid w:val="477E5B3E"/>
    <w:rsid w:val="47E36768"/>
    <w:rsid w:val="48303924"/>
    <w:rsid w:val="48560562"/>
    <w:rsid w:val="485B50B0"/>
    <w:rsid w:val="48B819A3"/>
    <w:rsid w:val="48C86DFC"/>
    <w:rsid w:val="492B03C7"/>
    <w:rsid w:val="494D658F"/>
    <w:rsid w:val="499038BC"/>
    <w:rsid w:val="49962939"/>
    <w:rsid w:val="49FA378D"/>
    <w:rsid w:val="4A3B6D2F"/>
    <w:rsid w:val="4A7310D2"/>
    <w:rsid w:val="4A742241"/>
    <w:rsid w:val="4A984FE8"/>
    <w:rsid w:val="4A9D11F3"/>
    <w:rsid w:val="4B1D6435"/>
    <w:rsid w:val="4B726C78"/>
    <w:rsid w:val="4BD60159"/>
    <w:rsid w:val="4CBD1D9E"/>
    <w:rsid w:val="4CBE1552"/>
    <w:rsid w:val="4CFF52BD"/>
    <w:rsid w:val="4D94072D"/>
    <w:rsid w:val="4E7E0EBE"/>
    <w:rsid w:val="4E856251"/>
    <w:rsid w:val="4EA61AF4"/>
    <w:rsid w:val="4ECC2490"/>
    <w:rsid w:val="4EE74D90"/>
    <w:rsid w:val="4F215E18"/>
    <w:rsid w:val="4FBA24A4"/>
    <w:rsid w:val="4FCB6460"/>
    <w:rsid w:val="4FE46C9E"/>
    <w:rsid w:val="500C39B3"/>
    <w:rsid w:val="50744D49"/>
    <w:rsid w:val="50BA1169"/>
    <w:rsid w:val="50D636E3"/>
    <w:rsid w:val="510C0AB7"/>
    <w:rsid w:val="512C2E09"/>
    <w:rsid w:val="519B6C4F"/>
    <w:rsid w:val="51FE17FF"/>
    <w:rsid w:val="522309BA"/>
    <w:rsid w:val="526318B7"/>
    <w:rsid w:val="529C4870"/>
    <w:rsid w:val="529E574A"/>
    <w:rsid w:val="53194C5D"/>
    <w:rsid w:val="532F5220"/>
    <w:rsid w:val="535A1FA9"/>
    <w:rsid w:val="541B7D16"/>
    <w:rsid w:val="544A759D"/>
    <w:rsid w:val="545A5F13"/>
    <w:rsid w:val="547E7FB3"/>
    <w:rsid w:val="54AB4AB2"/>
    <w:rsid w:val="557D122B"/>
    <w:rsid w:val="55A231C5"/>
    <w:rsid w:val="55C26D39"/>
    <w:rsid w:val="56666AE7"/>
    <w:rsid w:val="56CA77C3"/>
    <w:rsid w:val="56D36F6E"/>
    <w:rsid w:val="56E80800"/>
    <w:rsid w:val="56FE41D4"/>
    <w:rsid w:val="573C2914"/>
    <w:rsid w:val="576356FC"/>
    <w:rsid w:val="579849AF"/>
    <w:rsid w:val="57DA5C46"/>
    <w:rsid w:val="57DF0482"/>
    <w:rsid w:val="58040CF4"/>
    <w:rsid w:val="58C779E0"/>
    <w:rsid w:val="58D14C0B"/>
    <w:rsid w:val="59075493"/>
    <w:rsid w:val="592F3F03"/>
    <w:rsid w:val="59487D11"/>
    <w:rsid w:val="597539D3"/>
    <w:rsid w:val="598D29D8"/>
    <w:rsid w:val="59947FB5"/>
    <w:rsid w:val="5A1A4E57"/>
    <w:rsid w:val="5A926519"/>
    <w:rsid w:val="5A9745F8"/>
    <w:rsid w:val="5AA432F6"/>
    <w:rsid w:val="5AC72703"/>
    <w:rsid w:val="5AC7773A"/>
    <w:rsid w:val="5ACF2C3A"/>
    <w:rsid w:val="5ADE0A5C"/>
    <w:rsid w:val="5ADF54B5"/>
    <w:rsid w:val="5B44290C"/>
    <w:rsid w:val="5B642DCB"/>
    <w:rsid w:val="5B6B68B1"/>
    <w:rsid w:val="5B7948C3"/>
    <w:rsid w:val="5B9F2591"/>
    <w:rsid w:val="5BA109BC"/>
    <w:rsid w:val="5BF5061D"/>
    <w:rsid w:val="5C703027"/>
    <w:rsid w:val="5C7E5EA4"/>
    <w:rsid w:val="5CC873ED"/>
    <w:rsid w:val="5CD76CF1"/>
    <w:rsid w:val="5CFD1C22"/>
    <w:rsid w:val="5D2927FF"/>
    <w:rsid w:val="5D2B5B3F"/>
    <w:rsid w:val="5DE03A1E"/>
    <w:rsid w:val="5EA10F4E"/>
    <w:rsid w:val="5EBF093E"/>
    <w:rsid w:val="5F2B66F1"/>
    <w:rsid w:val="5F715127"/>
    <w:rsid w:val="5F916F74"/>
    <w:rsid w:val="5FE71540"/>
    <w:rsid w:val="5FFF63C8"/>
    <w:rsid w:val="601A244F"/>
    <w:rsid w:val="601F1848"/>
    <w:rsid w:val="60D10BE7"/>
    <w:rsid w:val="60D970BA"/>
    <w:rsid w:val="614F78C9"/>
    <w:rsid w:val="616F16B7"/>
    <w:rsid w:val="62044D81"/>
    <w:rsid w:val="626F0F50"/>
    <w:rsid w:val="627E3805"/>
    <w:rsid w:val="629B40CC"/>
    <w:rsid w:val="62AC3ECF"/>
    <w:rsid w:val="62AC775F"/>
    <w:rsid w:val="62CE4A7A"/>
    <w:rsid w:val="62D741DA"/>
    <w:rsid w:val="62F228E1"/>
    <w:rsid w:val="63402994"/>
    <w:rsid w:val="63715118"/>
    <w:rsid w:val="63CC33A2"/>
    <w:rsid w:val="63E21506"/>
    <w:rsid w:val="642A5935"/>
    <w:rsid w:val="64731CBC"/>
    <w:rsid w:val="64B25724"/>
    <w:rsid w:val="64B25A4D"/>
    <w:rsid w:val="64C37868"/>
    <w:rsid w:val="65B5420A"/>
    <w:rsid w:val="65EB3B6F"/>
    <w:rsid w:val="662F17B4"/>
    <w:rsid w:val="6679056C"/>
    <w:rsid w:val="66A937BB"/>
    <w:rsid w:val="66DC6F96"/>
    <w:rsid w:val="66F9191C"/>
    <w:rsid w:val="670275BC"/>
    <w:rsid w:val="672B3125"/>
    <w:rsid w:val="677E39D8"/>
    <w:rsid w:val="67EC4487"/>
    <w:rsid w:val="67F87BB6"/>
    <w:rsid w:val="684A4EFC"/>
    <w:rsid w:val="68760A3A"/>
    <w:rsid w:val="69352E9F"/>
    <w:rsid w:val="698C05B6"/>
    <w:rsid w:val="69B35F1D"/>
    <w:rsid w:val="69C321BC"/>
    <w:rsid w:val="69DF5A6F"/>
    <w:rsid w:val="6A3328D3"/>
    <w:rsid w:val="6B040585"/>
    <w:rsid w:val="6B4C43FE"/>
    <w:rsid w:val="6B6E79DE"/>
    <w:rsid w:val="6BC90652"/>
    <w:rsid w:val="6C021003"/>
    <w:rsid w:val="6C2216A6"/>
    <w:rsid w:val="6C2E004A"/>
    <w:rsid w:val="6C354153"/>
    <w:rsid w:val="6C4F367C"/>
    <w:rsid w:val="6C92047A"/>
    <w:rsid w:val="6CBF6E0D"/>
    <w:rsid w:val="6D0C4D25"/>
    <w:rsid w:val="6DCA33AD"/>
    <w:rsid w:val="6E07328C"/>
    <w:rsid w:val="6E3A6114"/>
    <w:rsid w:val="6EB7D759"/>
    <w:rsid w:val="6F152DFC"/>
    <w:rsid w:val="6F4E7ED8"/>
    <w:rsid w:val="6F8A3E42"/>
    <w:rsid w:val="6F8A7483"/>
    <w:rsid w:val="6F957D9A"/>
    <w:rsid w:val="6FA177FA"/>
    <w:rsid w:val="6FDD6953"/>
    <w:rsid w:val="700C0CDB"/>
    <w:rsid w:val="70967F6C"/>
    <w:rsid w:val="70B678F6"/>
    <w:rsid w:val="70DF36C1"/>
    <w:rsid w:val="71285EA9"/>
    <w:rsid w:val="716233E1"/>
    <w:rsid w:val="71CB34A9"/>
    <w:rsid w:val="71F32927"/>
    <w:rsid w:val="71F40E3D"/>
    <w:rsid w:val="7250526E"/>
    <w:rsid w:val="7282400E"/>
    <w:rsid w:val="72C57F04"/>
    <w:rsid w:val="733759F0"/>
    <w:rsid w:val="73EF1744"/>
    <w:rsid w:val="74B81C7F"/>
    <w:rsid w:val="75567077"/>
    <w:rsid w:val="75CB0B10"/>
    <w:rsid w:val="75CD6CD9"/>
    <w:rsid w:val="75E9188C"/>
    <w:rsid w:val="75F407B2"/>
    <w:rsid w:val="76272E23"/>
    <w:rsid w:val="7681547F"/>
    <w:rsid w:val="76B03EE1"/>
    <w:rsid w:val="76C021E7"/>
    <w:rsid w:val="76C3080F"/>
    <w:rsid w:val="76F96D07"/>
    <w:rsid w:val="772C1C69"/>
    <w:rsid w:val="77492EAE"/>
    <w:rsid w:val="777F9F48"/>
    <w:rsid w:val="77D807CB"/>
    <w:rsid w:val="77F10A2D"/>
    <w:rsid w:val="77FE3A00"/>
    <w:rsid w:val="784142FD"/>
    <w:rsid w:val="786A6761"/>
    <w:rsid w:val="787C54EB"/>
    <w:rsid w:val="78C60264"/>
    <w:rsid w:val="78C6353E"/>
    <w:rsid w:val="78F51132"/>
    <w:rsid w:val="793C3951"/>
    <w:rsid w:val="795F6ED9"/>
    <w:rsid w:val="79766B8D"/>
    <w:rsid w:val="79A97746"/>
    <w:rsid w:val="79DF4732"/>
    <w:rsid w:val="7A1542B7"/>
    <w:rsid w:val="7A772BBC"/>
    <w:rsid w:val="7B551150"/>
    <w:rsid w:val="7B55315C"/>
    <w:rsid w:val="7B681E66"/>
    <w:rsid w:val="7B851DD5"/>
    <w:rsid w:val="7B911A04"/>
    <w:rsid w:val="7BFB6D89"/>
    <w:rsid w:val="7C594C70"/>
    <w:rsid w:val="7C6D47AC"/>
    <w:rsid w:val="7C9B5171"/>
    <w:rsid w:val="7CDFEF79"/>
    <w:rsid w:val="7D4B192B"/>
    <w:rsid w:val="7D6547B5"/>
    <w:rsid w:val="7E361165"/>
    <w:rsid w:val="7E972853"/>
    <w:rsid w:val="7EA95998"/>
    <w:rsid w:val="7ECB73D7"/>
    <w:rsid w:val="7EEC2333"/>
    <w:rsid w:val="7EF7625A"/>
    <w:rsid w:val="7F1E431F"/>
    <w:rsid w:val="7F4463AB"/>
    <w:rsid w:val="7F737FDB"/>
    <w:rsid w:val="7F7D6BCB"/>
    <w:rsid w:val="7F7F1556"/>
    <w:rsid w:val="7F8873BD"/>
    <w:rsid w:val="7FA7649F"/>
    <w:rsid w:val="7FB32B81"/>
    <w:rsid w:val="7FB87492"/>
    <w:rsid w:val="7FCB5142"/>
    <w:rsid w:val="7FFE219F"/>
    <w:rsid w:val="7FFFED8B"/>
    <w:rsid w:val="8F67E830"/>
    <w:rsid w:val="97CB62D3"/>
    <w:rsid w:val="BD3D4CDC"/>
    <w:rsid w:val="BDE72652"/>
    <w:rsid w:val="BFEB3F24"/>
    <w:rsid w:val="BFF5A9F4"/>
    <w:rsid w:val="C2FF773C"/>
    <w:rsid w:val="CBF9E0B4"/>
    <w:rsid w:val="D9FB8C98"/>
    <w:rsid w:val="DE97624A"/>
    <w:rsid w:val="DF763202"/>
    <w:rsid w:val="DFB5C16D"/>
    <w:rsid w:val="DFF73387"/>
    <w:rsid w:val="E5EE3E23"/>
    <w:rsid w:val="E7AE79B1"/>
    <w:rsid w:val="EFD709DA"/>
    <w:rsid w:val="F5E789E2"/>
    <w:rsid w:val="F7550B7B"/>
    <w:rsid w:val="F97B0194"/>
    <w:rsid w:val="FFBFA17E"/>
    <w:rsid w:val="FFF7C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5"/>
    <w:qFormat/>
    <w:uiPriority w:val="0"/>
    <w:pPr>
      <w:keepNext/>
      <w:keepLines/>
      <w:spacing w:before="340" w:after="330" w:line="576" w:lineRule="auto"/>
      <w:outlineLvl w:val="0"/>
    </w:pPr>
    <w:rPr>
      <w:b/>
      <w:bCs/>
      <w:kern w:val="44"/>
      <w:sz w:val="44"/>
      <w:szCs w:val="44"/>
    </w:rPr>
  </w:style>
  <w:style w:type="paragraph" w:styleId="6">
    <w:name w:val="heading 2"/>
    <w:basedOn w:val="1"/>
    <w:next w:val="1"/>
    <w:link w:val="56"/>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7">
    <w:name w:val="heading 3"/>
    <w:basedOn w:val="1"/>
    <w:next w:val="1"/>
    <w:link w:val="57"/>
    <w:qFormat/>
    <w:uiPriority w:val="0"/>
    <w:pPr>
      <w:keepNext/>
      <w:keepLines/>
      <w:numPr>
        <w:ilvl w:val="2"/>
        <w:numId w:val="1"/>
      </w:numPr>
      <w:spacing w:before="260" w:after="260" w:line="415" w:lineRule="auto"/>
      <w:outlineLvl w:val="2"/>
    </w:pPr>
    <w:rPr>
      <w:b/>
      <w:bCs/>
      <w:kern w:val="0"/>
      <w:sz w:val="32"/>
      <w:szCs w:val="32"/>
    </w:rPr>
  </w:style>
  <w:style w:type="paragraph" w:styleId="8">
    <w:name w:val="heading 4"/>
    <w:basedOn w:val="1"/>
    <w:next w:val="1"/>
    <w:link w:val="58"/>
    <w:qFormat/>
    <w:uiPriority w:val="0"/>
    <w:pPr>
      <w:keepNext/>
      <w:keepLines/>
      <w:spacing w:before="280" w:after="290" w:line="372" w:lineRule="auto"/>
      <w:outlineLvl w:val="3"/>
    </w:pPr>
    <w:rPr>
      <w:rFonts w:ascii="Arial" w:hAnsi="Arial" w:eastAsia="黑体"/>
      <w:b/>
      <w:bCs/>
      <w:kern w:val="0"/>
      <w:sz w:val="28"/>
      <w:szCs w:val="28"/>
    </w:rPr>
  </w:style>
  <w:style w:type="paragraph" w:styleId="9">
    <w:name w:val="heading 5"/>
    <w:basedOn w:val="1"/>
    <w:next w:val="1"/>
    <w:link w:val="59"/>
    <w:qFormat/>
    <w:uiPriority w:val="0"/>
    <w:pPr>
      <w:keepNext/>
      <w:keepLines/>
      <w:spacing w:before="280" w:after="290" w:line="372" w:lineRule="auto"/>
      <w:outlineLvl w:val="4"/>
    </w:pPr>
    <w:rPr>
      <w:b/>
      <w:bCs/>
      <w:kern w:val="0"/>
      <w:sz w:val="28"/>
      <w:szCs w:val="28"/>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4"/>
    <w:qFormat/>
    <w:uiPriority w:val="0"/>
    <w:pPr>
      <w:spacing w:after="120"/>
    </w:pPr>
    <w:rPr>
      <w:kern w:val="0"/>
      <w:sz w:val="28"/>
    </w:rPr>
  </w:style>
  <w:style w:type="paragraph" w:styleId="3">
    <w:name w:val="Body Text First Indent"/>
    <w:basedOn w:val="2"/>
    <w:next w:val="4"/>
    <w:qFormat/>
    <w:uiPriority w:val="0"/>
    <w:pPr>
      <w:ind w:firstLine="420" w:firstLineChars="100"/>
    </w:pPr>
  </w:style>
  <w:style w:type="paragraph" w:styleId="4">
    <w:name w:val="toc 6"/>
    <w:basedOn w:val="1"/>
    <w:next w:val="1"/>
    <w:qFormat/>
    <w:uiPriority w:val="0"/>
    <w:pPr>
      <w:ind w:left="1400"/>
    </w:pPr>
    <w:rPr>
      <w:rFonts w:ascii="Calibri"/>
      <w:sz w:val="18"/>
      <w:szCs w:val="18"/>
    </w:rPr>
  </w:style>
  <w:style w:type="paragraph" w:styleId="10">
    <w:name w:val="List 3"/>
    <w:basedOn w:val="1"/>
    <w:qFormat/>
    <w:uiPriority w:val="0"/>
    <w:pPr>
      <w:ind w:left="1260" w:hanging="420"/>
    </w:pPr>
  </w:style>
  <w:style w:type="paragraph" w:styleId="11">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2">
    <w:name w:val="Normal Indent"/>
    <w:basedOn w:val="1"/>
    <w:next w:val="1"/>
    <w:qFormat/>
    <w:uiPriority w:val="0"/>
    <w:pPr>
      <w:numPr>
        <w:ilvl w:val="0"/>
        <w:numId w:val="2"/>
      </w:numPr>
      <w:ind w:left="0" w:firstLine="420"/>
    </w:pPr>
    <w:rPr>
      <w:szCs w:val="20"/>
    </w:rPr>
  </w:style>
  <w:style w:type="paragraph" w:styleId="13">
    <w:name w:val="caption"/>
    <w:basedOn w:val="1"/>
    <w:next w:val="1"/>
    <w:qFormat/>
    <w:uiPriority w:val="0"/>
    <w:pPr>
      <w:numPr>
        <w:ilvl w:val="0"/>
        <w:numId w:val="3"/>
      </w:numPr>
      <w:spacing w:before="152" w:after="160"/>
      <w:ind w:left="0" w:firstLine="0"/>
    </w:pPr>
    <w:rPr>
      <w:rFonts w:ascii="Arial" w:hAnsi="Arial" w:eastAsia="黑体" w:cs="Arial"/>
      <w:sz w:val="20"/>
      <w:szCs w:val="20"/>
    </w:rPr>
  </w:style>
  <w:style w:type="paragraph" w:styleId="14">
    <w:name w:val="Document Map"/>
    <w:basedOn w:val="1"/>
    <w:link w:val="60"/>
    <w:qFormat/>
    <w:uiPriority w:val="0"/>
    <w:pPr>
      <w:shd w:val="clear" w:color="auto" w:fill="000080"/>
    </w:pPr>
    <w:rPr>
      <w:kern w:val="0"/>
      <w:sz w:val="20"/>
    </w:rPr>
  </w:style>
  <w:style w:type="paragraph" w:styleId="15">
    <w:name w:val="annotation text"/>
    <w:basedOn w:val="1"/>
    <w:link w:val="61"/>
    <w:qFormat/>
    <w:uiPriority w:val="0"/>
    <w:pPr>
      <w:jc w:val="left"/>
    </w:pPr>
    <w:rPr>
      <w:kern w:val="0"/>
      <w:sz w:val="20"/>
      <w:szCs w:val="20"/>
    </w:rPr>
  </w:style>
  <w:style w:type="paragraph" w:styleId="16">
    <w:name w:val="Body Text 3"/>
    <w:basedOn w:val="1"/>
    <w:link w:val="62"/>
    <w:qFormat/>
    <w:uiPriority w:val="0"/>
    <w:pPr>
      <w:numPr>
        <w:ilvl w:val="0"/>
        <w:numId w:val="4"/>
      </w:numPr>
      <w:snapToGrid w:val="0"/>
      <w:spacing w:before="50" w:after="50"/>
      <w:ind w:left="0" w:firstLine="0"/>
    </w:pPr>
    <w:rPr>
      <w:rFonts w:eastAsia="仿宋_GB2312"/>
      <w:b/>
      <w:bCs/>
      <w:kern w:val="0"/>
      <w:sz w:val="24"/>
      <w:szCs w:val="20"/>
    </w:rPr>
  </w:style>
  <w:style w:type="paragraph" w:styleId="17">
    <w:name w:val="Body Text Indent"/>
    <w:basedOn w:val="1"/>
    <w:next w:val="1"/>
    <w:link w:val="63"/>
    <w:qFormat/>
    <w:uiPriority w:val="0"/>
    <w:pPr>
      <w:spacing w:line="200" w:lineRule="exact"/>
      <w:ind w:firstLine="301"/>
    </w:pPr>
    <w:rPr>
      <w:rFonts w:ascii="宋体"/>
      <w:spacing w:val="-4"/>
      <w:kern w:val="0"/>
      <w:sz w:val="18"/>
      <w:szCs w:val="20"/>
    </w:rPr>
  </w:style>
  <w:style w:type="paragraph" w:styleId="18">
    <w:name w:val="List Number 3"/>
    <w:basedOn w:val="1"/>
    <w:qFormat/>
    <w:uiPriority w:val="0"/>
    <w:pPr>
      <w:tabs>
        <w:tab w:val="left" w:pos="1200"/>
      </w:tabs>
      <w:ind w:left="1200" w:hanging="360"/>
    </w:pPr>
  </w:style>
  <w:style w:type="paragraph" w:styleId="19">
    <w:name w:val="List 2"/>
    <w:basedOn w:val="1"/>
    <w:qFormat/>
    <w:uiPriority w:val="0"/>
    <w:pPr>
      <w:numPr>
        <w:ilvl w:val="0"/>
        <w:numId w:val="5"/>
      </w:numPr>
      <w:ind w:left="400" w:leftChars="200" w:hanging="200" w:hangingChars="200"/>
    </w:pPr>
    <w:rPr>
      <w:sz w:val="28"/>
    </w:rPr>
  </w:style>
  <w:style w:type="paragraph" w:styleId="20">
    <w:name w:val="toc 3"/>
    <w:basedOn w:val="1"/>
    <w:next w:val="1"/>
    <w:qFormat/>
    <w:uiPriority w:val="39"/>
    <w:pPr>
      <w:ind w:left="400" w:leftChars="400"/>
    </w:pPr>
  </w:style>
  <w:style w:type="paragraph" w:styleId="21">
    <w:name w:val="Plain Text"/>
    <w:basedOn w:val="1"/>
    <w:next w:val="1"/>
    <w:link w:val="64"/>
    <w:qFormat/>
    <w:uiPriority w:val="0"/>
    <w:pPr>
      <w:spacing w:beforeLines="50" w:afterLines="50" w:line="400" w:lineRule="exact"/>
    </w:pPr>
    <w:rPr>
      <w:rFonts w:ascii="宋体"/>
      <w:kern w:val="0"/>
      <w:sz w:val="24"/>
    </w:rPr>
  </w:style>
  <w:style w:type="paragraph" w:styleId="22">
    <w:name w:val="Date"/>
    <w:basedOn w:val="1"/>
    <w:next w:val="1"/>
    <w:link w:val="65"/>
    <w:qFormat/>
    <w:uiPriority w:val="0"/>
    <w:pPr>
      <w:numPr>
        <w:ilvl w:val="0"/>
        <w:numId w:val="6"/>
      </w:numPr>
      <w:ind w:left="2500" w:leftChars="2500" w:firstLine="0"/>
    </w:pPr>
    <w:rPr>
      <w:rFonts w:eastAsia="楷体_GB2312"/>
      <w:kern w:val="0"/>
      <w:sz w:val="32"/>
      <w:szCs w:val="20"/>
    </w:rPr>
  </w:style>
  <w:style w:type="paragraph" w:styleId="23">
    <w:name w:val="Body Text Indent 2"/>
    <w:basedOn w:val="1"/>
    <w:link w:val="66"/>
    <w:qFormat/>
    <w:uiPriority w:val="0"/>
    <w:pPr>
      <w:snapToGrid w:val="0"/>
      <w:ind w:firstLine="225" w:firstLineChars="225"/>
    </w:pPr>
    <w:rPr>
      <w:rFonts w:ascii="仿宋_GB2312" w:hAnsi="仿宋_GB2312"/>
      <w:b/>
      <w:bCs/>
      <w:color w:val="000000"/>
      <w:kern w:val="0"/>
      <w:sz w:val="24"/>
    </w:rPr>
  </w:style>
  <w:style w:type="paragraph" w:styleId="24">
    <w:name w:val="Balloon Text"/>
    <w:basedOn w:val="1"/>
    <w:link w:val="67"/>
    <w:qFormat/>
    <w:uiPriority w:val="99"/>
    <w:rPr>
      <w:kern w:val="0"/>
      <w:sz w:val="18"/>
      <w:szCs w:val="18"/>
    </w:rPr>
  </w:style>
  <w:style w:type="paragraph" w:styleId="25">
    <w:name w:val="footer"/>
    <w:basedOn w:val="1"/>
    <w:link w:val="68"/>
    <w:unhideWhenUsed/>
    <w:qFormat/>
    <w:uiPriority w:val="99"/>
    <w:pPr>
      <w:tabs>
        <w:tab w:val="center" w:pos="4153"/>
        <w:tab w:val="right" w:pos="8306"/>
      </w:tabs>
      <w:snapToGrid w:val="0"/>
      <w:jc w:val="left"/>
    </w:pPr>
    <w:rPr>
      <w:rFonts w:ascii="Calibri" w:hAnsi="Calibri"/>
      <w:kern w:val="0"/>
      <w:sz w:val="18"/>
      <w:szCs w:val="18"/>
    </w:rPr>
  </w:style>
  <w:style w:type="paragraph" w:styleId="26">
    <w:name w:val="envelope return"/>
    <w:basedOn w:val="1"/>
    <w:unhideWhenUsed/>
    <w:qFormat/>
    <w:uiPriority w:val="99"/>
    <w:pPr>
      <w:snapToGrid w:val="0"/>
      <w:spacing w:line="280" w:lineRule="exact"/>
    </w:pPr>
    <w:rPr>
      <w:rFonts w:ascii="Arial" w:hAnsi="Arial"/>
    </w:rPr>
  </w:style>
  <w:style w:type="paragraph" w:styleId="27">
    <w:name w:val="header"/>
    <w:basedOn w:val="1"/>
    <w:link w:val="69"/>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8">
    <w:name w:val="toc 1"/>
    <w:basedOn w:val="1"/>
    <w:next w:val="1"/>
    <w:qFormat/>
    <w:uiPriority w:val="39"/>
  </w:style>
  <w:style w:type="paragraph" w:styleId="29">
    <w:name w:val="Subtitle"/>
    <w:basedOn w:val="1"/>
    <w:next w:val="1"/>
    <w:link w:val="70"/>
    <w:qFormat/>
    <w:uiPriority w:val="0"/>
    <w:pPr>
      <w:spacing w:before="240" w:after="60" w:line="312" w:lineRule="auto"/>
      <w:jc w:val="center"/>
      <w:outlineLvl w:val="1"/>
    </w:pPr>
    <w:rPr>
      <w:rFonts w:ascii="Cambria" w:hAnsi="Cambria"/>
      <w:b/>
      <w:bCs/>
      <w:kern w:val="28"/>
      <w:sz w:val="32"/>
      <w:szCs w:val="32"/>
    </w:rPr>
  </w:style>
  <w:style w:type="paragraph" w:styleId="30">
    <w:name w:val="List"/>
    <w:basedOn w:val="1"/>
    <w:qFormat/>
    <w:uiPriority w:val="0"/>
    <w:pPr>
      <w:ind w:left="200" w:hanging="200" w:hangingChars="200"/>
    </w:pPr>
    <w:rPr>
      <w:sz w:val="28"/>
    </w:rPr>
  </w:style>
  <w:style w:type="paragraph" w:styleId="31">
    <w:name w:val="Body Text Indent 3"/>
    <w:basedOn w:val="1"/>
    <w:link w:val="71"/>
    <w:qFormat/>
    <w:uiPriority w:val="0"/>
    <w:pPr>
      <w:numPr>
        <w:ilvl w:val="0"/>
        <w:numId w:val="7"/>
      </w:numPr>
      <w:snapToGrid w:val="0"/>
      <w:ind w:left="0" w:firstLine="200" w:firstLineChars="200"/>
      <w:jc w:val="left"/>
    </w:pPr>
    <w:rPr>
      <w:rFonts w:ascii="仿宋_GB2312" w:eastAsia="仿宋_GB2312"/>
      <w:color w:val="000000"/>
      <w:kern w:val="0"/>
      <w:sz w:val="24"/>
    </w:rPr>
  </w:style>
  <w:style w:type="paragraph" w:styleId="32">
    <w:name w:val="toc 2"/>
    <w:basedOn w:val="1"/>
    <w:next w:val="1"/>
    <w:qFormat/>
    <w:uiPriority w:val="39"/>
    <w:pPr>
      <w:ind w:left="200" w:leftChars="200"/>
    </w:pPr>
  </w:style>
  <w:style w:type="paragraph" w:styleId="33">
    <w:name w:val="Body Text 2"/>
    <w:basedOn w:val="1"/>
    <w:link w:val="72"/>
    <w:qFormat/>
    <w:uiPriority w:val="0"/>
    <w:pPr>
      <w:widowControl/>
      <w:snapToGrid w:val="0"/>
      <w:spacing w:before="50" w:afterLines="50" w:line="400" w:lineRule="exact"/>
      <w:jc w:val="left"/>
    </w:pPr>
    <w:rPr>
      <w:rFonts w:ascii="宋体"/>
      <w:color w:val="000000"/>
      <w:kern w:val="0"/>
      <w:sz w:val="24"/>
    </w:rPr>
  </w:style>
  <w:style w:type="paragraph" w:styleId="34">
    <w:name w:val="HTML Preformatted"/>
    <w:basedOn w:val="1"/>
    <w:link w:val="7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5">
    <w:name w:val="Normal (Web)"/>
    <w:basedOn w:val="1"/>
    <w:qFormat/>
    <w:uiPriority w:val="0"/>
    <w:pPr>
      <w:widowControl/>
      <w:spacing w:before="100" w:beforeAutospacing="1" w:after="100" w:afterAutospacing="1"/>
      <w:jc w:val="left"/>
    </w:pPr>
    <w:rPr>
      <w:kern w:val="0"/>
      <w:sz w:val="24"/>
    </w:rPr>
  </w:style>
  <w:style w:type="paragraph" w:styleId="36">
    <w:name w:val="Title"/>
    <w:basedOn w:val="1"/>
    <w:next w:val="1"/>
    <w:qFormat/>
    <w:uiPriority w:val="0"/>
    <w:pPr>
      <w:spacing w:before="240" w:after="60"/>
      <w:jc w:val="center"/>
      <w:outlineLvl w:val="0"/>
    </w:pPr>
    <w:rPr>
      <w:rFonts w:ascii="Cambria" w:hAnsi="Cambria"/>
      <w:b/>
      <w:sz w:val="32"/>
    </w:rPr>
  </w:style>
  <w:style w:type="paragraph" w:styleId="37">
    <w:name w:val="annotation subject"/>
    <w:basedOn w:val="15"/>
    <w:next w:val="15"/>
    <w:link w:val="74"/>
    <w:qFormat/>
    <w:uiPriority w:val="0"/>
  </w:style>
  <w:style w:type="paragraph" w:styleId="38">
    <w:name w:val="Body Text First Indent 2"/>
    <w:basedOn w:val="17"/>
    <w:next w:val="39"/>
    <w:link w:val="75"/>
    <w:unhideWhenUsed/>
    <w:qFormat/>
    <w:uiPriority w:val="99"/>
    <w:pPr>
      <w:spacing w:after="120" w:line="240" w:lineRule="auto"/>
      <w:ind w:left="420" w:leftChars="200" w:firstLine="420" w:firstLineChars="200"/>
    </w:pPr>
    <w:rPr>
      <w:rFonts w:ascii="Times New Roman"/>
      <w:kern w:val="2"/>
      <w:sz w:val="21"/>
      <w:szCs w:val="24"/>
    </w:rPr>
  </w:style>
  <w:style w:type="paragraph" w:customStyle="1" w:styleId="39">
    <w:name w:val="样式 正文首行缩进 2 + Arial"/>
    <w:basedOn w:val="1"/>
    <w:next w:val="1"/>
    <w:qFormat/>
    <w:uiPriority w:val="0"/>
    <w:pPr>
      <w:spacing w:after="120" w:line="320" w:lineRule="atLeast"/>
      <w:ind w:firstLine="200"/>
    </w:pPr>
    <w:rPr>
      <w:rFonts w:ascii="Arial" w:hAnsi="Arial"/>
      <w:kern w:val="0"/>
    </w:rPr>
  </w:style>
  <w:style w:type="table" w:styleId="41">
    <w:name w:val="Table Grid"/>
    <w:basedOn w:val="4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qFormat/>
    <w:uiPriority w:val="0"/>
  </w:style>
  <w:style w:type="character" w:styleId="45">
    <w:name w:val="FollowedHyperlink"/>
    <w:qFormat/>
    <w:uiPriority w:val="99"/>
    <w:rPr>
      <w:color w:val="800080"/>
      <w:u w:val="single"/>
    </w:rPr>
  </w:style>
  <w:style w:type="character" w:styleId="46">
    <w:name w:val="Emphasis"/>
    <w:qFormat/>
    <w:uiPriority w:val="20"/>
    <w:rPr>
      <w:color w:val="CC0000"/>
    </w:rPr>
  </w:style>
  <w:style w:type="character" w:styleId="47">
    <w:name w:val="HTML Acronym"/>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paragraph" w:customStyle="1" w:styleId="50">
    <w:name w:val="Body Text First Indent 21"/>
    <w:basedOn w:val="51"/>
    <w:qFormat/>
    <w:uiPriority w:val="0"/>
    <w:pPr>
      <w:ind w:firstLine="420"/>
    </w:pPr>
    <w:rPr>
      <w:szCs w:val="21"/>
    </w:rPr>
  </w:style>
  <w:style w:type="paragraph" w:customStyle="1" w:styleId="51">
    <w:name w:val="Body Text Indent1"/>
    <w:basedOn w:val="1"/>
    <w:qFormat/>
    <w:uiPriority w:val="0"/>
    <w:pPr>
      <w:ind w:left="420" w:leftChars="200"/>
    </w:pPr>
  </w:style>
  <w:style w:type="paragraph" w:customStyle="1" w:styleId="52">
    <w:name w:val="公文"/>
    <w:basedOn w:val="1"/>
    <w:qFormat/>
    <w:uiPriority w:val="0"/>
    <w:pPr>
      <w:ind w:firstLine="640" w:firstLineChars="200"/>
    </w:pPr>
    <w:rPr>
      <w:rFonts w:ascii="仿宋_GB2312" w:hAnsi="仿宋_GB2312" w:eastAsia="仿宋_GB2312"/>
      <w:sz w:val="32"/>
    </w:rPr>
  </w:style>
  <w:style w:type="paragraph" w:customStyle="1" w:styleId="53">
    <w:name w:val="样式1"/>
    <w:basedOn w:val="8"/>
    <w:qFormat/>
    <w:uiPriority w:val="0"/>
  </w:style>
  <w:style w:type="character" w:customStyle="1" w:styleId="54">
    <w:name w:val="正文文本 字符"/>
    <w:link w:val="2"/>
    <w:qFormat/>
    <w:uiPriority w:val="0"/>
    <w:rPr>
      <w:rFonts w:ascii="Times New Roman" w:hAnsi="Times New Roman" w:eastAsia="宋体" w:cs="Times New Roman"/>
      <w:sz w:val="28"/>
      <w:szCs w:val="24"/>
    </w:rPr>
  </w:style>
  <w:style w:type="character" w:customStyle="1" w:styleId="55">
    <w:name w:val="标题 1 字符"/>
    <w:link w:val="5"/>
    <w:qFormat/>
    <w:uiPriority w:val="0"/>
    <w:rPr>
      <w:rFonts w:ascii="Times New Roman" w:hAnsi="Times New Roman" w:eastAsia="宋体" w:cs="Times New Roman"/>
      <w:b/>
      <w:bCs/>
      <w:kern w:val="44"/>
      <w:sz w:val="44"/>
      <w:szCs w:val="44"/>
    </w:rPr>
  </w:style>
  <w:style w:type="character" w:customStyle="1" w:styleId="56">
    <w:name w:val="标题 2 字符"/>
    <w:link w:val="6"/>
    <w:qFormat/>
    <w:uiPriority w:val="0"/>
    <w:rPr>
      <w:rFonts w:ascii="Arial" w:hAnsi="Arial" w:eastAsia="黑体"/>
      <w:b/>
      <w:bCs/>
      <w:sz w:val="32"/>
      <w:szCs w:val="32"/>
    </w:rPr>
  </w:style>
  <w:style w:type="character" w:customStyle="1" w:styleId="57">
    <w:name w:val="标题 3 字符"/>
    <w:link w:val="7"/>
    <w:qFormat/>
    <w:uiPriority w:val="0"/>
    <w:rPr>
      <w:rFonts w:ascii="Times New Roman" w:hAnsi="Times New Roman"/>
      <w:b/>
      <w:bCs/>
      <w:sz w:val="32"/>
      <w:szCs w:val="32"/>
    </w:rPr>
  </w:style>
  <w:style w:type="character" w:customStyle="1" w:styleId="58">
    <w:name w:val="标题 4 字符"/>
    <w:link w:val="8"/>
    <w:qFormat/>
    <w:uiPriority w:val="0"/>
    <w:rPr>
      <w:rFonts w:ascii="Arial" w:hAnsi="Arial" w:eastAsia="黑体" w:cs="Times New Roman"/>
      <w:b/>
      <w:bCs/>
      <w:sz w:val="28"/>
      <w:szCs w:val="28"/>
    </w:rPr>
  </w:style>
  <w:style w:type="character" w:customStyle="1" w:styleId="59">
    <w:name w:val="标题 5 字符"/>
    <w:link w:val="9"/>
    <w:qFormat/>
    <w:uiPriority w:val="0"/>
    <w:rPr>
      <w:rFonts w:ascii="Times New Roman" w:hAnsi="Times New Roman" w:eastAsia="宋体" w:cs="Times New Roman"/>
      <w:b/>
      <w:bCs/>
      <w:sz w:val="28"/>
      <w:szCs w:val="28"/>
    </w:rPr>
  </w:style>
  <w:style w:type="character" w:customStyle="1" w:styleId="60">
    <w:name w:val="文档结构图 字符"/>
    <w:link w:val="14"/>
    <w:qFormat/>
    <w:uiPriority w:val="0"/>
    <w:rPr>
      <w:rFonts w:ascii="Times New Roman" w:hAnsi="Times New Roman" w:eastAsia="宋体" w:cs="Times New Roman"/>
      <w:szCs w:val="24"/>
      <w:shd w:val="clear" w:color="auto" w:fill="000080"/>
    </w:rPr>
  </w:style>
  <w:style w:type="character" w:customStyle="1" w:styleId="61">
    <w:name w:val="批注文字 字符"/>
    <w:link w:val="15"/>
    <w:qFormat/>
    <w:uiPriority w:val="0"/>
    <w:rPr>
      <w:rFonts w:ascii="Times New Roman" w:hAnsi="Times New Roman" w:eastAsia="宋体" w:cs="Times New Roman"/>
      <w:szCs w:val="20"/>
    </w:rPr>
  </w:style>
  <w:style w:type="character" w:customStyle="1" w:styleId="62">
    <w:name w:val="正文文本 3 字符"/>
    <w:link w:val="16"/>
    <w:qFormat/>
    <w:uiPriority w:val="0"/>
    <w:rPr>
      <w:rFonts w:ascii="Times New Roman" w:hAnsi="Times New Roman" w:eastAsia="仿宋_GB2312"/>
      <w:b/>
      <w:bCs/>
      <w:sz w:val="24"/>
    </w:rPr>
  </w:style>
  <w:style w:type="character" w:customStyle="1" w:styleId="63">
    <w:name w:val="正文文本缩进 字符"/>
    <w:link w:val="17"/>
    <w:qFormat/>
    <w:uiPriority w:val="0"/>
    <w:rPr>
      <w:rFonts w:ascii="宋体" w:hAnsi="Times New Roman" w:eastAsia="宋体" w:cs="Times New Roman"/>
      <w:spacing w:val="-4"/>
      <w:sz w:val="18"/>
      <w:szCs w:val="20"/>
    </w:rPr>
  </w:style>
  <w:style w:type="character" w:customStyle="1" w:styleId="64">
    <w:name w:val="纯文本 字符2"/>
    <w:link w:val="21"/>
    <w:qFormat/>
    <w:uiPriority w:val="0"/>
    <w:rPr>
      <w:rFonts w:ascii="宋体" w:hAnsi="Times New Roman" w:eastAsia="宋体" w:cs="Times New Roman"/>
      <w:sz w:val="24"/>
      <w:szCs w:val="24"/>
    </w:rPr>
  </w:style>
  <w:style w:type="character" w:customStyle="1" w:styleId="65">
    <w:name w:val="日期 字符"/>
    <w:link w:val="22"/>
    <w:qFormat/>
    <w:uiPriority w:val="0"/>
    <w:rPr>
      <w:rFonts w:ascii="Times New Roman" w:hAnsi="Times New Roman" w:eastAsia="楷体_GB2312"/>
      <w:sz w:val="32"/>
    </w:rPr>
  </w:style>
  <w:style w:type="character" w:customStyle="1" w:styleId="66">
    <w:name w:val="正文文本缩进 2 字符"/>
    <w:link w:val="23"/>
    <w:qFormat/>
    <w:uiPriority w:val="0"/>
    <w:rPr>
      <w:rFonts w:ascii="仿宋_GB2312" w:hAnsi="仿宋_GB2312" w:eastAsia="宋体" w:cs="Times New Roman"/>
      <w:b/>
      <w:bCs/>
      <w:color w:val="000000"/>
      <w:sz w:val="24"/>
      <w:szCs w:val="24"/>
    </w:rPr>
  </w:style>
  <w:style w:type="character" w:customStyle="1" w:styleId="67">
    <w:name w:val="批注框文本 字符"/>
    <w:link w:val="24"/>
    <w:qFormat/>
    <w:uiPriority w:val="99"/>
    <w:rPr>
      <w:rFonts w:ascii="Times New Roman" w:hAnsi="Times New Roman" w:eastAsia="宋体" w:cs="Times New Roman"/>
      <w:sz w:val="18"/>
      <w:szCs w:val="18"/>
    </w:rPr>
  </w:style>
  <w:style w:type="character" w:customStyle="1" w:styleId="68">
    <w:name w:val="页脚 字符"/>
    <w:link w:val="25"/>
    <w:qFormat/>
    <w:uiPriority w:val="99"/>
    <w:rPr>
      <w:sz w:val="18"/>
      <w:szCs w:val="18"/>
    </w:rPr>
  </w:style>
  <w:style w:type="character" w:customStyle="1" w:styleId="69">
    <w:name w:val="页眉 字符"/>
    <w:link w:val="27"/>
    <w:qFormat/>
    <w:uiPriority w:val="99"/>
    <w:rPr>
      <w:sz w:val="18"/>
      <w:szCs w:val="18"/>
    </w:rPr>
  </w:style>
  <w:style w:type="character" w:customStyle="1" w:styleId="70">
    <w:name w:val="副标题 字符1"/>
    <w:link w:val="29"/>
    <w:qFormat/>
    <w:uiPriority w:val="0"/>
    <w:rPr>
      <w:rFonts w:ascii="Cambria" w:hAnsi="Cambria"/>
      <w:b/>
      <w:bCs/>
      <w:kern w:val="28"/>
      <w:sz w:val="32"/>
      <w:szCs w:val="32"/>
    </w:rPr>
  </w:style>
  <w:style w:type="character" w:customStyle="1" w:styleId="71">
    <w:name w:val="正文文本缩进 3 字符"/>
    <w:link w:val="31"/>
    <w:qFormat/>
    <w:uiPriority w:val="0"/>
    <w:rPr>
      <w:rFonts w:ascii="仿宋_GB2312" w:hAnsi="Times New Roman" w:eastAsia="仿宋_GB2312"/>
      <w:color w:val="000000"/>
      <w:sz w:val="24"/>
      <w:szCs w:val="24"/>
    </w:rPr>
  </w:style>
  <w:style w:type="character" w:customStyle="1" w:styleId="72">
    <w:name w:val="正文文本 2 字符"/>
    <w:link w:val="33"/>
    <w:qFormat/>
    <w:uiPriority w:val="0"/>
    <w:rPr>
      <w:rFonts w:ascii="宋体" w:hAnsi="Times New Roman" w:eastAsia="宋体" w:cs="Times New Roman"/>
      <w:color w:val="000000"/>
      <w:sz w:val="24"/>
      <w:szCs w:val="24"/>
    </w:rPr>
  </w:style>
  <w:style w:type="character" w:customStyle="1" w:styleId="73">
    <w:name w:val="HTML 预设格式 字符"/>
    <w:link w:val="34"/>
    <w:qFormat/>
    <w:uiPriority w:val="0"/>
    <w:rPr>
      <w:rFonts w:ascii="宋体" w:hAnsi="宋体" w:cs="宋体"/>
      <w:sz w:val="24"/>
      <w:szCs w:val="24"/>
    </w:rPr>
  </w:style>
  <w:style w:type="character" w:customStyle="1" w:styleId="74">
    <w:name w:val="批注主题 字符"/>
    <w:link w:val="37"/>
    <w:qFormat/>
    <w:uiPriority w:val="0"/>
    <w:rPr>
      <w:rFonts w:ascii="Times New Roman" w:hAnsi="Times New Roman" w:eastAsia="宋体" w:cs="Times New Roman"/>
      <w:szCs w:val="20"/>
    </w:rPr>
  </w:style>
  <w:style w:type="character" w:customStyle="1" w:styleId="75">
    <w:name w:val="正文文本首行缩进 2 字符"/>
    <w:link w:val="38"/>
    <w:qFormat/>
    <w:uiPriority w:val="99"/>
    <w:rPr>
      <w:rFonts w:ascii="Times New Roman" w:hAnsi="Times New Roman" w:eastAsia="宋体" w:cs="Times New Roman"/>
      <w:spacing w:val="-4"/>
      <w:kern w:val="2"/>
      <w:sz w:val="21"/>
      <w:szCs w:val="24"/>
    </w:rPr>
  </w:style>
  <w:style w:type="paragraph" w:customStyle="1" w:styleId="76">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77">
    <w:name w:val="正文文本缩进 Char"/>
    <w:qFormat/>
    <w:uiPriority w:val="99"/>
    <w:rPr>
      <w:rFonts w:ascii="宋体" w:hAnsi="Times New Roman" w:eastAsia="宋体" w:cs="Times New Roman"/>
      <w:spacing w:val="-4"/>
      <w:sz w:val="18"/>
      <w:szCs w:val="20"/>
    </w:rPr>
  </w:style>
  <w:style w:type="character" w:customStyle="1" w:styleId="78">
    <w:name w:val="文档结构图 Char1"/>
    <w:qFormat/>
    <w:uiPriority w:val="0"/>
    <w:rPr>
      <w:rFonts w:ascii="Times New Roman" w:hAnsi="Times New Roman" w:eastAsia="宋体" w:cs="Times New Roman"/>
      <w:szCs w:val="24"/>
      <w:shd w:val="clear" w:color="auto" w:fill="000080"/>
    </w:rPr>
  </w:style>
  <w:style w:type="character" w:customStyle="1" w:styleId="79">
    <w:name w:val="日期 Char"/>
    <w:qFormat/>
    <w:uiPriority w:val="0"/>
    <w:rPr>
      <w:rFonts w:ascii="Times New Roman" w:hAnsi="Times New Roman" w:eastAsia="楷体_GB2312"/>
      <w:sz w:val="32"/>
    </w:rPr>
  </w:style>
  <w:style w:type="character" w:customStyle="1" w:styleId="80">
    <w:name w:val="HTML 预设格式 Char"/>
    <w:qFormat/>
    <w:uiPriority w:val="0"/>
    <w:rPr>
      <w:rFonts w:ascii="宋体" w:hAnsi="宋体" w:cs="宋体"/>
      <w:sz w:val="24"/>
      <w:szCs w:val="24"/>
    </w:rPr>
  </w:style>
  <w:style w:type="character" w:customStyle="1" w:styleId="81">
    <w:name w:val="标准文本 Char"/>
    <w:link w:val="82"/>
    <w:qFormat/>
    <w:locked/>
    <w:uiPriority w:val="0"/>
    <w:rPr>
      <w:lang w:val="zh-CN"/>
    </w:rPr>
  </w:style>
  <w:style w:type="paragraph" w:customStyle="1" w:styleId="82">
    <w:name w:val="标准文本"/>
    <w:basedOn w:val="1"/>
    <w:link w:val="81"/>
    <w:qFormat/>
    <w:uiPriority w:val="0"/>
    <w:pPr>
      <w:widowControl/>
      <w:spacing w:line="360" w:lineRule="auto"/>
      <w:ind w:firstLine="480" w:firstLineChars="200"/>
      <w:jc w:val="left"/>
    </w:pPr>
    <w:rPr>
      <w:rFonts w:ascii="Calibri" w:hAnsi="Calibri"/>
      <w:kern w:val="0"/>
      <w:sz w:val="20"/>
      <w:szCs w:val="20"/>
      <w:lang w:val="zh-CN"/>
    </w:rPr>
  </w:style>
  <w:style w:type="character" w:customStyle="1" w:styleId="83">
    <w:name w:val="apple-style-span"/>
    <w:qFormat/>
    <w:uiPriority w:val="0"/>
  </w:style>
  <w:style w:type="character" w:customStyle="1" w:styleId="84">
    <w:name w:val="正文文本缩进 2 Char"/>
    <w:qFormat/>
    <w:uiPriority w:val="0"/>
    <w:rPr>
      <w:rFonts w:ascii="仿宋_GB2312" w:hAnsi="仿宋_GB2312" w:eastAsia="宋体" w:cs="Times New Roman"/>
      <w:b/>
      <w:bCs/>
      <w:color w:val="000000"/>
      <w:sz w:val="24"/>
      <w:szCs w:val="24"/>
    </w:rPr>
  </w:style>
  <w:style w:type="character" w:customStyle="1" w:styleId="85">
    <w:name w:val="副标题 Char"/>
    <w:qFormat/>
    <w:uiPriority w:val="0"/>
    <w:rPr>
      <w:rFonts w:ascii="Cambria" w:hAnsi="Cambria"/>
      <w:b/>
      <w:bCs/>
      <w:kern w:val="28"/>
      <w:sz w:val="32"/>
      <w:szCs w:val="32"/>
    </w:rPr>
  </w:style>
  <w:style w:type="character" w:customStyle="1" w:styleId="86">
    <w:name w:val="font221"/>
    <w:qFormat/>
    <w:uiPriority w:val="0"/>
    <w:rPr>
      <w:rFonts w:hint="eastAsia" w:ascii="宋体" w:hAnsi="宋体" w:eastAsia="宋体" w:cs="宋体"/>
      <w:color w:val="000000"/>
      <w:sz w:val="18"/>
      <w:szCs w:val="18"/>
      <w:u w:val="none"/>
    </w:rPr>
  </w:style>
  <w:style w:type="character" w:customStyle="1" w:styleId="87">
    <w:name w:val="批注文字 Char1"/>
    <w:qFormat/>
    <w:uiPriority w:val="0"/>
    <w:rPr>
      <w:rFonts w:ascii="Times New Roman" w:hAnsi="Times New Roman" w:eastAsia="宋体" w:cs="Times New Roman"/>
      <w:szCs w:val="20"/>
    </w:rPr>
  </w:style>
  <w:style w:type="character" w:customStyle="1" w:styleId="88">
    <w:name w:val="标题 2 Char1"/>
    <w:qFormat/>
    <w:uiPriority w:val="0"/>
    <w:rPr>
      <w:rFonts w:ascii="Arial" w:hAnsi="Arial" w:eastAsia="黑体"/>
      <w:b/>
      <w:bCs/>
      <w:sz w:val="32"/>
      <w:szCs w:val="32"/>
    </w:rPr>
  </w:style>
  <w:style w:type="character" w:customStyle="1" w:styleId="89">
    <w:name w:val="页眉 Char"/>
    <w:qFormat/>
    <w:uiPriority w:val="99"/>
    <w:rPr>
      <w:sz w:val="18"/>
      <w:szCs w:val="18"/>
    </w:rPr>
  </w:style>
  <w:style w:type="character" w:styleId="90">
    <w:name w:val="Placeholder Text"/>
    <w:semiHidden/>
    <w:qFormat/>
    <w:uiPriority w:val="99"/>
    <w:rPr>
      <w:color w:val="808080"/>
    </w:rPr>
  </w:style>
  <w:style w:type="character" w:customStyle="1" w:styleId="91">
    <w:name w:val="正文文本缩进 2 Char1"/>
    <w:qFormat/>
    <w:uiPriority w:val="0"/>
    <w:rPr>
      <w:rFonts w:ascii="仿宋_GB2312" w:hAnsi="仿宋_GB2312" w:eastAsia="宋体" w:cs="Times New Roman"/>
      <w:b/>
      <w:bCs/>
      <w:color w:val="000000"/>
      <w:sz w:val="24"/>
      <w:szCs w:val="24"/>
    </w:rPr>
  </w:style>
  <w:style w:type="character" w:customStyle="1" w:styleId="92">
    <w:name w:val="正文文本 2 Char"/>
    <w:qFormat/>
    <w:uiPriority w:val="0"/>
    <w:rPr>
      <w:rFonts w:ascii="宋体" w:hAnsi="Times New Roman" w:eastAsia="宋体" w:cs="Times New Roman"/>
      <w:color w:val="000000"/>
      <w:sz w:val="24"/>
      <w:szCs w:val="24"/>
    </w:rPr>
  </w:style>
  <w:style w:type="character" w:customStyle="1" w:styleId="93">
    <w:name w:val="标题 2 Char"/>
    <w:qFormat/>
    <w:uiPriority w:val="0"/>
    <w:rPr>
      <w:rFonts w:ascii="Arial" w:hAnsi="Arial" w:eastAsia="黑体"/>
      <w:b/>
      <w:bCs/>
      <w:sz w:val="32"/>
      <w:szCs w:val="32"/>
    </w:rPr>
  </w:style>
  <w:style w:type="character" w:customStyle="1" w:styleId="94">
    <w:name w:val="纯文本 字符1"/>
    <w:qFormat/>
    <w:uiPriority w:val="0"/>
    <w:rPr>
      <w:rFonts w:ascii="宋体" w:hAnsi="Courier New" w:eastAsia="宋体"/>
      <w:kern w:val="2"/>
      <w:sz w:val="24"/>
      <w:szCs w:val="24"/>
      <w:lang w:val="en-US" w:eastAsia="zh-CN" w:bidi="ar-SA"/>
    </w:rPr>
  </w:style>
  <w:style w:type="character" w:customStyle="1" w:styleId="95">
    <w:name w:val="正文首行缩进 2 Char"/>
    <w:qFormat/>
    <w:uiPriority w:val="99"/>
  </w:style>
  <w:style w:type="character" w:customStyle="1" w:styleId="96">
    <w:name w:val="HTML 预设格式 Char1"/>
    <w:qFormat/>
    <w:uiPriority w:val="0"/>
    <w:rPr>
      <w:rFonts w:ascii="宋体" w:hAnsi="宋体" w:cs="宋体"/>
      <w:sz w:val="24"/>
      <w:szCs w:val="24"/>
    </w:rPr>
  </w:style>
  <w:style w:type="character" w:customStyle="1" w:styleId="97">
    <w:name w:val="正文文本缩进 3 Char"/>
    <w:qFormat/>
    <w:uiPriority w:val="0"/>
    <w:rPr>
      <w:rFonts w:ascii="仿宋_GB2312" w:hAnsi="Times New Roman" w:eastAsia="仿宋_GB2312"/>
      <w:color w:val="000000"/>
      <w:sz w:val="24"/>
      <w:szCs w:val="24"/>
    </w:rPr>
  </w:style>
  <w:style w:type="character" w:customStyle="1" w:styleId="98">
    <w:name w:val="批注框文本 Char"/>
    <w:qFormat/>
    <w:uiPriority w:val="99"/>
    <w:rPr>
      <w:rFonts w:ascii="Times New Roman" w:hAnsi="Times New Roman" w:eastAsia="宋体" w:cs="Times New Roman"/>
      <w:sz w:val="18"/>
      <w:szCs w:val="18"/>
    </w:rPr>
  </w:style>
  <w:style w:type="character" w:customStyle="1" w:styleId="99">
    <w:name w:val="批注文字 Char"/>
    <w:qFormat/>
    <w:uiPriority w:val="0"/>
    <w:rPr>
      <w:rFonts w:ascii="Times New Roman" w:hAnsi="Times New Roman" w:eastAsia="宋体" w:cs="Times New Roman"/>
      <w:szCs w:val="20"/>
    </w:rPr>
  </w:style>
  <w:style w:type="character" w:customStyle="1" w:styleId="100">
    <w:name w:val="NormalCharacter"/>
    <w:qFormat/>
    <w:uiPriority w:val="0"/>
    <w:rPr>
      <w:kern w:val="2"/>
      <w:sz w:val="21"/>
      <w:szCs w:val="24"/>
      <w:lang w:val="en-US" w:eastAsia="zh-CN" w:bidi="ar-SA"/>
    </w:rPr>
  </w:style>
  <w:style w:type="character" w:customStyle="1" w:styleId="101">
    <w:name w:val="标题 1 Char1"/>
    <w:qFormat/>
    <w:uiPriority w:val="0"/>
    <w:rPr>
      <w:rFonts w:ascii="Times New Roman" w:hAnsi="Times New Roman" w:eastAsia="宋体" w:cs="Times New Roman"/>
      <w:b/>
      <w:bCs/>
      <w:kern w:val="44"/>
      <w:sz w:val="44"/>
      <w:szCs w:val="44"/>
    </w:rPr>
  </w:style>
  <w:style w:type="character" w:customStyle="1" w:styleId="102">
    <w:name w:val="纯文本 Char1"/>
    <w:qFormat/>
    <w:uiPriority w:val="0"/>
    <w:rPr>
      <w:rFonts w:ascii="宋体" w:hAnsi="Times New Roman" w:eastAsia="宋体" w:cs="Times New Roman"/>
      <w:sz w:val="24"/>
      <w:szCs w:val="24"/>
    </w:rPr>
  </w:style>
  <w:style w:type="character" w:customStyle="1" w:styleId="103">
    <w:name w:val="标题 3 Char1"/>
    <w:qFormat/>
    <w:uiPriority w:val="0"/>
    <w:rPr>
      <w:b/>
      <w:bCs/>
      <w:sz w:val="32"/>
      <w:szCs w:val="32"/>
    </w:rPr>
  </w:style>
  <w:style w:type="character" w:customStyle="1" w:styleId="104">
    <w:name w:val="纯文本 字符"/>
    <w:qFormat/>
    <w:uiPriority w:val="0"/>
    <w:rPr>
      <w:rFonts w:ascii="宋体" w:hAnsi="Times New Roman" w:eastAsia="宋体" w:cs="Times New Roman"/>
      <w:sz w:val="24"/>
      <w:szCs w:val="24"/>
    </w:rPr>
  </w:style>
  <w:style w:type="character" w:customStyle="1" w:styleId="105">
    <w:name w:val="标题 3 Char"/>
    <w:qFormat/>
    <w:uiPriority w:val="0"/>
    <w:rPr>
      <w:rFonts w:ascii="Times New Roman" w:hAnsi="Times New Roman"/>
      <w:b/>
      <w:bCs/>
      <w:sz w:val="32"/>
      <w:szCs w:val="32"/>
    </w:rPr>
  </w:style>
  <w:style w:type="character" w:customStyle="1" w:styleId="106">
    <w:name w:val="批注主题 Char"/>
    <w:qFormat/>
    <w:uiPriority w:val="0"/>
    <w:rPr>
      <w:rFonts w:ascii="Times New Roman" w:hAnsi="Times New Roman" w:eastAsia="宋体" w:cs="Times New Roman"/>
      <w:szCs w:val="20"/>
    </w:rPr>
  </w:style>
  <w:style w:type="character" w:customStyle="1" w:styleId="107">
    <w:name w:val="正文文本 Char1"/>
    <w:qFormat/>
    <w:uiPriority w:val="0"/>
    <w:rPr>
      <w:rFonts w:ascii="Times New Roman" w:hAnsi="Times New Roman" w:eastAsia="宋体" w:cs="Times New Roman"/>
      <w:sz w:val="28"/>
      <w:szCs w:val="24"/>
    </w:rPr>
  </w:style>
  <w:style w:type="character" w:customStyle="1" w:styleId="108">
    <w:name w:val="正文文本缩进 3 Char1"/>
    <w:qFormat/>
    <w:uiPriority w:val="0"/>
    <w:rPr>
      <w:rFonts w:ascii="仿宋_GB2312" w:eastAsia="仿宋_GB2312"/>
      <w:color w:val="000000"/>
      <w:sz w:val="24"/>
      <w:szCs w:val="24"/>
    </w:rPr>
  </w:style>
  <w:style w:type="character" w:customStyle="1" w:styleId="109">
    <w:name w:val="批注文字 Char2"/>
    <w:qFormat/>
    <w:uiPriority w:val="0"/>
    <w:rPr>
      <w:rFonts w:ascii="Times New Roman" w:hAnsi="Times New Roman" w:eastAsia="宋体" w:cs="Times New Roman"/>
      <w:szCs w:val="20"/>
    </w:rPr>
  </w:style>
  <w:style w:type="character" w:customStyle="1" w:styleId="110">
    <w:name w:val="标题 5 Char1"/>
    <w:qFormat/>
    <w:uiPriority w:val="0"/>
    <w:rPr>
      <w:rFonts w:ascii="Times New Roman" w:hAnsi="Times New Roman" w:eastAsia="宋体" w:cs="Times New Roman"/>
      <w:b/>
      <w:bCs/>
      <w:sz w:val="28"/>
      <w:szCs w:val="28"/>
    </w:rPr>
  </w:style>
  <w:style w:type="character" w:customStyle="1" w:styleId="111">
    <w:name w:val="style7"/>
    <w:qFormat/>
    <w:uiPriority w:val="0"/>
  </w:style>
  <w:style w:type="character" w:customStyle="1" w:styleId="112">
    <w:name w:val="标题 4 Char"/>
    <w:qFormat/>
    <w:uiPriority w:val="0"/>
    <w:rPr>
      <w:rFonts w:ascii="Arial" w:hAnsi="Arial" w:eastAsia="黑体" w:cs="Times New Roman"/>
      <w:b/>
      <w:bCs/>
      <w:sz w:val="28"/>
      <w:szCs w:val="28"/>
    </w:rPr>
  </w:style>
  <w:style w:type="character" w:customStyle="1" w:styleId="113">
    <w:name w:val="font171"/>
    <w:qFormat/>
    <w:uiPriority w:val="0"/>
    <w:rPr>
      <w:rFonts w:hint="default" w:ascii="Wingdings 2" w:hAnsi="Wingdings 2" w:eastAsia="Wingdings 2" w:cs="Wingdings 2"/>
      <w:color w:val="000000"/>
      <w:sz w:val="18"/>
      <w:szCs w:val="18"/>
      <w:u w:val="none"/>
    </w:rPr>
  </w:style>
  <w:style w:type="character" w:customStyle="1" w:styleId="114">
    <w:name w:val="样式 标题 1合同标题卷标题H1h1Level 1 Topic HeadingH11H12H111H13H1... Char"/>
    <w:qFormat/>
    <w:uiPriority w:val="0"/>
    <w:rPr>
      <w:rFonts w:ascii="宋体" w:eastAsia="宋体"/>
      <w:b/>
      <w:bCs/>
      <w:kern w:val="44"/>
      <w:sz w:val="24"/>
      <w:szCs w:val="44"/>
      <w:lang w:val="en-US" w:eastAsia="zh-CN" w:bidi="ar-SA"/>
    </w:rPr>
  </w:style>
  <w:style w:type="character" w:customStyle="1" w:styleId="115">
    <w:name w:val="页眉 Char1"/>
    <w:qFormat/>
    <w:uiPriority w:val="99"/>
    <w:rPr>
      <w:sz w:val="18"/>
      <w:szCs w:val="18"/>
    </w:rPr>
  </w:style>
  <w:style w:type="character" w:customStyle="1" w:styleId="116">
    <w:name w:val="标题 1 Char"/>
    <w:qFormat/>
    <w:uiPriority w:val="0"/>
    <w:rPr>
      <w:rFonts w:ascii="Times New Roman" w:hAnsi="Times New Roman" w:eastAsia="宋体" w:cs="Times New Roman"/>
      <w:b/>
      <w:bCs/>
      <w:kern w:val="44"/>
      <w:sz w:val="44"/>
      <w:szCs w:val="44"/>
    </w:rPr>
  </w:style>
  <w:style w:type="character" w:customStyle="1" w:styleId="117">
    <w:name w:val="正文文本 Char"/>
    <w:qFormat/>
    <w:uiPriority w:val="0"/>
    <w:rPr>
      <w:rFonts w:ascii="Times New Roman" w:hAnsi="Times New Roman" w:eastAsia="宋体" w:cs="Times New Roman"/>
      <w:sz w:val="28"/>
      <w:szCs w:val="24"/>
    </w:rPr>
  </w:style>
  <w:style w:type="character" w:customStyle="1" w:styleId="118">
    <w:name w:val="unnamed1"/>
    <w:qFormat/>
    <w:uiPriority w:val="0"/>
  </w:style>
  <w:style w:type="character" w:customStyle="1" w:styleId="119">
    <w:name w:val="页脚 Char"/>
    <w:qFormat/>
    <w:uiPriority w:val="99"/>
    <w:rPr>
      <w:sz w:val="18"/>
      <w:szCs w:val="18"/>
    </w:rPr>
  </w:style>
  <w:style w:type="character" w:customStyle="1" w:styleId="120">
    <w:name w:val="正文文本 3 Char"/>
    <w:qFormat/>
    <w:uiPriority w:val="0"/>
    <w:rPr>
      <w:rFonts w:ascii="Times New Roman" w:hAnsi="Times New Roman" w:eastAsia="仿宋_GB2312"/>
      <w:b/>
      <w:bCs/>
      <w:sz w:val="24"/>
    </w:rPr>
  </w:style>
  <w:style w:type="character" w:customStyle="1" w:styleId="121">
    <w:name w:val="页脚 Char1"/>
    <w:qFormat/>
    <w:uiPriority w:val="99"/>
    <w:rPr>
      <w:sz w:val="18"/>
      <w:szCs w:val="18"/>
    </w:rPr>
  </w:style>
  <w:style w:type="character" w:customStyle="1" w:styleId="122">
    <w:name w:val="日期 Char1"/>
    <w:qFormat/>
    <w:uiPriority w:val="0"/>
    <w:rPr>
      <w:rFonts w:eastAsia="楷体_GB2312"/>
      <w:sz w:val="32"/>
    </w:rPr>
  </w:style>
  <w:style w:type="character" w:customStyle="1" w:styleId="123">
    <w:name w:val="标题 4 Char1"/>
    <w:qFormat/>
    <w:uiPriority w:val="0"/>
    <w:rPr>
      <w:rFonts w:ascii="Arial" w:hAnsi="Arial" w:eastAsia="黑体" w:cs="Times New Roman"/>
      <w:b/>
      <w:bCs/>
      <w:sz w:val="28"/>
      <w:szCs w:val="28"/>
    </w:rPr>
  </w:style>
  <w:style w:type="character" w:customStyle="1" w:styleId="124">
    <w:name w:val="标题 5 Char"/>
    <w:qFormat/>
    <w:uiPriority w:val="0"/>
    <w:rPr>
      <w:rFonts w:ascii="Times New Roman" w:hAnsi="Times New Roman" w:eastAsia="宋体" w:cs="Times New Roman"/>
      <w:b/>
      <w:bCs/>
      <w:sz w:val="28"/>
      <w:szCs w:val="28"/>
    </w:rPr>
  </w:style>
  <w:style w:type="character" w:customStyle="1" w:styleId="125">
    <w:name w:val="列出段落 Char"/>
    <w:qFormat/>
    <w:uiPriority w:val="34"/>
    <w:rPr>
      <w:kern w:val="2"/>
      <w:sz w:val="21"/>
      <w:szCs w:val="22"/>
    </w:rPr>
  </w:style>
  <w:style w:type="character" w:customStyle="1" w:styleId="126">
    <w:name w:val="纯文本 Char"/>
    <w:qFormat/>
    <w:uiPriority w:val="0"/>
    <w:rPr>
      <w:rFonts w:ascii="宋体" w:hAnsi="Times New Roman" w:eastAsia="宋体" w:cs="Times New Roman"/>
      <w:sz w:val="24"/>
      <w:szCs w:val="24"/>
    </w:rPr>
  </w:style>
  <w:style w:type="character" w:customStyle="1" w:styleId="127">
    <w:name w:val="批注主题 Char1"/>
    <w:qFormat/>
    <w:uiPriority w:val="0"/>
    <w:rPr>
      <w:rFonts w:ascii="Times New Roman" w:hAnsi="Times New Roman" w:eastAsia="宋体" w:cs="Times New Roman"/>
      <w:szCs w:val="20"/>
    </w:rPr>
  </w:style>
  <w:style w:type="character" w:customStyle="1" w:styleId="128">
    <w:name w:val="font211"/>
    <w:qFormat/>
    <w:uiPriority w:val="0"/>
    <w:rPr>
      <w:rFonts w:hint="eastAsia" w:ascii="宋体" w:hAnsi="宋体" w:eastAsia="宋体" w:cs="宋体"/>
      <w:color w:val="000000"/>
      <w:sz w:val="20"/>
      <w:szCs w:val="20"/>
      <w:u w:val="none"/>
    </w:rPr>
  </w:style>
  <w:style w:type="character" w:customStyle="1" w:styleId="129">
    <w:name w:val="ca-32"/>
    <w:qFormat/>
    <w:uiPriority w:val="0"/>
  </w:style>
  <w:style w:type="character" w:customStyle="1" w:styleId="130">
    <w:name w:val="文档结构图 Char"/>
    <w:qFormat/>
    <w:uiPriority w:val="0"/>
    <w:rPr>
      <w:rFonts w:ascii="Times New Roman" w:hAnsi="Times New Roman" w:eastAsia="宋体" w:cs="Times New Roman"/>
      <w:szCs w:val="24"/>
      <w:shd w:val="clear" w:color="auto" w:fill="000080"/>
    </w:rPr>
  </w:style>
  <w:style w:type="character" w:customStyle="1" w:styleId="131">
    <w:name w:val="副标题 Char1"/>
    <w:qFormat/>
    <w:uiPriority w:val="11"/>
    <w:rPr>
      <w:rFonts w:ascii="Cambria" w:hAnsi="Cambria" w:eastAsia="宋体" w:cs="Times New Roman"/>
      <w:b/>
      <w:bCs/>
      <w:kern w:val="28"/>
      <w:sz w:val="32"/>
      <w:szCs w:val="32"/>
    </w:rPr>
  </w:style>
  <w:style w:type="character" w:customStyle="1" w:styleId="132">
    <w:name w:val="页脚 Char2"/>
    <w:qFormat/>
    <w:uiPriority w:val="99"/>
    <w:rPr>
      <w:sz w:val="18"/>
      <w:szCs w:val="18"/>
    </w:rPr>
  </w:style>
  <w:style w:type="character" w:customStyle="1" w:styleId="133">
    <w:name w:val="纯文本 Char2"/>
    <w:qFormat/>
    <w:uiPriority w:val="0"/>
    <w:rPr>
      <w:rFonts w:ascii="宋体" w:hAnsi="Times New Roman" w:eastAsia="宋体" w:cs="Times New Roman"/>
      <w:sz w:val="24"/>
      <w:szCs w:val="24"/>
    </w:rPr>
  </w:style>
  <w:style w:type="character" w:customStyle="1" w:styleId="134">
    <w:name w:val="列出段落 Char1"/>
    <w:qFormat/>
    <w:uiPriority w:val="34"/>
    <w:rPr>
      <w:kern w:val="2"/>
      <w:sz w:val="21"/>
      <w:szCs w:val="22"/>
    </w:rPr>
  </w:style>
  <w:style w:type="character" w:customStyle="1" w:styleId="135">
    <w:name w:val="正文文本缩进 Char1"/>
    <w:qFormat/>
    <w:uiPriority w:val="0"/>
    <w:rPr>
      <w:rFonts w:ascii="宋体" w:hAnsi="Times New Roman" w:eastAsia="宋体" w:cs="Times New Roman"/>
      <w:spacing w:val="-4"/>
      <w:sz w:val="18"/>
      <w:szCs w:val="20"/>
    </w:rPr>
  </w:style>
  <w:style w:type="character" w:customStyle="1" w:styleId="136">
    <w:name w:val="TableItem Char"/>
    <w:link w:val="137"/>
    <w:qFormat/>
    <w:uiPriority w:val="0"/>
    <w:rPr>
      <w:rFonts w:ascii="Verdana" w:hAnsi="Verdana" w:eastAsia="等线" w:cs="Verdana"/>
      <w:b/>
      <w:bCs/>
      <w:color w:val="538135"/>
      <w:spacing w:val="-10"/>
      <w:sz w:val="16"/>
      <w:szCs w:val="28"/>
      <w:lang w:val="en-US" w:eastAsia="zh-CN" w:bidi="ar-SA"/>
    </w:rPr>
  </w:style>
  <w:style w:type="paragraph" w:customStyle="1" w:styleId="137">
    <w:name w:val="TableItem"/>
    <w:link w:val="136"/>
    <w:qFormat/>
    <w:uiPriority w:val="0"/>
    <w:rPr>
      <w:rFonts w:ascii="Verdana" w:hAnsi="Verdana" w:eastAsia="等线" w:cs="Verdana"/>
      <w:b/>
      <w:bCs/>
      <w:color w:val="538135"/>
      <w:spacing w:val="-10"/>
      <w:sz w:val="16"/>
      <w:szCs w:val="28"/>
      <w:lang w:val="en-US" w:eastAsia="zh-CN" w:bidi="ar-SA"/>
    </w:rPr>
  </w:style>
  <w:style w:type="character" w:customStyle="1" w:styleId="138">
    <w:name w:val="列表段落 字符"/>
    <w:link w:val="139"/>
    <w:qFormat/>
    <w:uiPriority w:val="34"/>
    <w:rPr>
      <w:rFonts w:ascii="Calibri" w:hAnsi="Calibri"/>
      <w:kern w:val="2"/>
      <w:sz w:val="21"/>
      <w:szCs w:val="22"/>
    </w:rPr>
  </w:style>
  <w:style w:type="paragraph" w:styleId="139">
    <w:name w:val="List Paragraph"/>
    <w:basedOn w:val="1"/>
    <w:link w:val="138"/>
    <w:qFormat/>
    <w:uiPriority w:val="34"/>
    <w:pPr>
      <w:tabs>
        <w:tab w:val="left" w:pos="360"/>
      </w:tabs>
      <w:ind w:left="360" w:hanging="360"/>
    </w:pPr>
    <w:rPr>
      <w:rFonts w:ascii="Calibri" w:hAnsi="Calibri"/>
      <w:szCs w:val="22"/>
    </w:rPr>
  </w:style>
  <w:style w:type="character" w:customStyle="1" w:styleId="140">
    <w:name w:val="副标题 字符"/>
    <w:qFormat/>
    <w:uiPriority w:val="99"/>
    <w:rPr>
      <w:rFonts w:ascii="宋体" w:hAnsi="Tahoma" w:cs="宋体"/>
      <w:i/>
      <w:iCs/>
      <w:sz w:val="36"/>
      <w:szCs w:val="36"/>
      <w:lang w:val="en-AU"/>
    </w:rPr>
  </w:style>
  <w:style w:type="character" w:customStyle="1" w:styleId="141">
    <w:name w:val="正文文本 3 Char1"/>
    <w:qFormat/>
    <w:uiPriority w:val="0"/>
    <w:rPr>
      <w:rFonts w:eastAsia="仿宋_GB2312"/>
      <w:b/>
      <w:bCs/>
      <w:sz w:val="24"/>
    </w:rPr>
  </w:style>
  <w:style w:type="character" w:customStyle="1" w:styleId="142">
    <w:name w:val="副标题 Char2"/>
    <w:qFormat/>
    <w:uiPriority w:val="0"/>
    <w:rPr>
      <w:rFonts w:ascii="Cambria" w:hAnsi="Cambria"/>
      <w:b/>
      <w:bCs/>
      <w:kern w:val="28"/>
      <w:sz w:val="32"/>
      <w:szCs w:val="32"/>
    </w:rPr>
  </w:style>
  <w:style w:type="character" w:customStyle="1" w:styleId="143">
    <w:name w:val="c_title1"/>
    <w:qFormat/>
    <w:uiPriority w:val="0"/>
    <w:rPr>
      <w:rFonts w:ascii="黑体" w:eastAsia="黑体"/>
      <w:color w:val="03005C"/>
      <w:sz w:val="30"/>
      <w:szCs w:val="30"/>
      <w:u w:val="none"/>
    </w:rPr>
  </w:style>
  <w:style w:type="character" w:customStyle="1" w:styleId="144">
    <w:name w:val="批注框文本 Char1"/>
    <w:qFormat/>
    <w:uiPriority w:val="99"/>
    <w:rPr>
      <w:rFonts w:ascii="Times New Roman" w:hAnsi="Times New Roman" w:eastAsia="宋体" w:cs="Times New Roman"/>
      <w:sz w:val="18"/>
      <w:szCs w:val="18"/>
    </w:rPr>
  </w:style>
  <w:style w:type="character" w:customStyle="1" w:styleId="145">
    <w:name w:val="bookmark-item"/>
    <w:qFormat/>
    <w:uiPriority w:val="0"/>
  </w:style>
  <w:style w:type="character" w:customStyle="1" w:styleId="146">
    <w:name w:val="正文文本 2 Char1"/>
    <w:qFormat/>
    <w:uiPriority w:val="0"/>
    <w:rPr>
      <w:rFonts w:ascii="宋体" w:hAnsi="Times New Roman" w:eastAsia="宋体" w:cs="Times New Roman"/>
      <w:color w:val="000000"/>
      <w:sz w:val="24"/>
      <w:szCs w:val="24"/>
    </w:rPr>
  </w:style>
  <w:style w:type="character" w:customStyle="1" w:styleId="147">
    <w:name w:val="font14zd"/>
    <w:qFormat/>
    <w:uiPriority w:val="0"/>
    <w:rPr>
      <w:rFonts w:ascii="Times New Roman" w:hAnsi="Times New Roman" w:eastAsia="宋体" w:cs="Times New Roman"/>
    </w:rPr>
  </w:style>
  <w:style w:type="paragraph" w:customStyle="1" w:styleId="148">
    <w:name w:val="正文1"/>
    <w:qFormat/>
    <w:uiPriority w:val="0"/>
    <w:pPr>
      <w:jc w:val="both"/>
    </w:pPr>
    <w:rPr>
      <w:rFonts w:ascii="Times New Roman" w:hAnsi="Times New Roman" w:eastAsia="宋体" w:cs="宋体"/>
      <w:kern w:val="2"/>
      <w:sz w:val="21"/>
      <w:szCs w:val="21"/>
      <w:lang w:val="en-US" w:eastAsia="zh-CN" w:bidi="ar-SA"/>
    </w:rPr>
  </w:style>
  <w:style w:type="paragraph" w:customStyle="1" w:styleId="149">
    <w:name w:val="font7"/>
    <w:basedOn w:val="1"/>
    <w:qFormat/>
    <w:uiPriority w:val="0"/>
    <w:pPr>
      <w:widowControl/>
      <w:spacing w:before="100" w:beforeAutospacing="1" w:after="100" w:afterAutospacing="1" w:line="280" w:lineRule="exact"/>
      <w:jc w:val="left"/>
    </w:pPr>
    <w:rPr>
      <w:kern w:val="0"/>
      <w:sz w:val="20"/>
      <w:szCs w:val="20"/>
    </w:rPr>
  </w:style>
  <w:style w:type="paragraph" w:customStyle="1" w:styleId="15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51">
    <w:name w:val="xl8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52">
    <w:name w:val="Char21"/>
    <w:basedOn w:val="1"/>
    <w:qFormat/>
    <w:uiPriority w:val="0"/>
    <w:pPr>
      <w:jc w:val="left"/>
    </w:pPr>
    <w:rPr>
      <w:rFonts w:ascii="仿宋_GB2312" w:hAnsi="宋体" w:eastAsia="仿宋_GB2312" w:cs="Arial"/>
      <w:b/>
      <w:sz w:val="32"/>
      <w:szCs w:val="32"/>
    </w:rPr>
  </w:style>
  <w:style w:type="paragraph" w:customStyle="1" w:styleId="153">
    <w:name w:val="font8"/>
    <w:basedOn w:val="1"/>
    <w:qFormat/>
    <w:uiPriority w:val="0"/>
    <w:pPr>
      <w:widowControl/>
      <w:spacing w:before="100" w:beforeAutospacing="1" w:after="100" w:afterAutospacing="1" w:line="280" w:lineRule="exact"/>
      <w:jc w:val="left"/>
    </w:pPr>
    <w:rPr>
      <w:b/>
      <w:bCs/>
      <w:kern w:val="0"/>
      <w:sz w:val="32"/>
      <w:szCs w:val="32"/>
    </w:rPr>
  </w:style>
  <w:style w:type="paragraph" w:customStyle="1" w:styleId="154">
    <w:name w:val="pa-1"/>
    <w:basedOn w:val="1"/>
    <w:qFormat/>
    <w:uiPriority w:val="0"/>
    <w:pPr>
      <w:widowControl/>
      <w:spacing w:before="100" w:beforeAutospacing="1" w:after="100" w:afterAutospacing="1"/>
      <w:jc w:val="left"/>
    </w:pPr>
    <w:rPr>
      <w:rFonts w:ascii="宋体" w:cs="宋体"/>
      <w:kern w:val="0"/>
      <w:sz w:val="24"/>
    </w:rPr>
  </w:style>
  <w:style w:type="paragraph" w:customStyle="1" w:styleId="15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kern w:val="0"/>
      <w:sz w:val="20"/>
      <w:szCs w:val="20"/>
    </w:rPr>
  </w:style>
  <w:style w:type="paragraph" w:customStyle="1" w:styleId="156">
    <w:name w:val="Char Char Char Char1"/>
    <w:basedOn w:val="1"/>
    <w:qFormat/>
    <w:uiPriority w:val="0"/>
    <w:pPr>
      <w:widowControl/>
      <w:spacing w:after="160" w:line="240" w:lineRule="exact"/>
      <w:jc w:val="left"/>
    </w:pPr>
    <w:rPr>
      <w:rFonts w:ascii="宋体" w:hAnsi="宋体" w:cs="Arial"/>
      <w:szCs w:val="21"/>
    </w:rPr>
  </w:style>
  <w:style w:type="paragraph" w:customStyle="1" w:styleId="157">
    <w:name w:val="xl89"/>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58">
    <w:name w:val="p0"/>
    <w:basedOn w:val="1"/>
    <w:qFormat/>
    <w:uiPriority w:val="0"/>
    <w:pPr>
      <w:widowControl/>
    </w:pPr>
    <w:rPr>
      <w:kern w:val="0"/>
      <w:szCs w:val="21"/>
    </w:rPr>
  </w:style>
  <w:style w:type="paragraph" w:customStyle="1" w:styleId="15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60">
    <w:name w:val="xl86"/>
    <w:basedOn w:val="1"/>
    <w:qFormat/>
    <w:uiPriority w:val="0"/>
    <w:pPr>
      <w:widowControl/>
      <w:shd w:val="clear" w:color="000000" w:fill="FFFFFF"/>
      <w:spacing w:before="100" w:beforeAutospacing="1" w:after="100" w:afterAutospacing="1" w:line="280" w:lineRule="exact"/>
      <w:jc w:val="center"/>
    </w:pPr>
    <w:rPr>
      <w:b/>
      <w:bCs/>
      <w:kern w:val="0"/>
      <w:sz w:val="32"/>
      <w:szCs w:val="32"/>
    </w:rPr>
  </w:style>
  <w:style w:type="paragraph" w:customStyle="1" w:styleId="161">
    <w:name w:val="Char1 Char Char Char1"/>
    <w:basedOn w:val="1"/>
    <w:qFormat/>
    <w:uiPriority w:val="0"/>
    <w:pPr>
      <w:tabs>
        <w:tab w:val="left" w:pos="840"/>
      </w:tabs>
      <w:ind w:left="840" w:hanging="420"/>
      <w:jc w:val="left"/>
    </w:pPr>
    <w:rPr>
      <w:rFonts w:ascii="宋体" w:hAnsi="宋体" w:cs="Arial"/>
      <w:sz w:val="24"/>
    </w:rPr>
  </w:style>
  <w:style w:type="paragraph" w:customStyle="1" w:styleId="162">
    <w:name w:val="op_mapdots_left"/>
    <w:basedOn w:val="1"/>
    <w:qFormat/>
    <w:uiPriority w:val="0"/>
    <w:pPr>
      <w:widowControl/>
      <w:jc w:val="left"/>
    </w:pPr>
    <w:rPr>
      <w:rFonts w:ascii="宋体" w:cs="宋体"/>
      <w:kern w:val="0"/>
      <w:sz w:val="24"/>
    </w:rPr>
  </w:style>
  <w:style w:type="paragraph" w:customStyle="1" w:styleId="163">
    <w:name w:val="列出段落2"/>
    <w:basedOn w:val="1"/>
    <w:qFormat/>
    <w:uiPriority w:val="34"/>
    <w:pPr>
      <w:spacing w:line="300" w:lineRule="auto"/>
      <w:ind w:firstLine="420" w:firstLineChars="200"/>
    </w:pPr>
    <w:rPr>
      <w:rFonts w:ascii="宋体"/>
      <w:kern w:val="0"/>
      <w:sz w:val="24"/>
      <w:szCs w:val="20"/>
    </w:rPr>
  </w:style>
  <w:style w:type="paragraph" w:customStyle="1" w:styleId="164">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165">
    <w:name w:val="xl85"/>
    <w:basedOn w:val="1"/>
    <w:qFormat/>
    <w:uiPriority w:val="0"/>
    <w:pPr>
      <w:widowControl/>
      <w:pBdr>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66">
    <w:name w:val="msolistparagraph"/>
    <w:basedOn w:val="1"/>
    <w:qFormat/>
    <w:uiPriority w:val="0"/>
    <w:pPr>
      <w:spacing w:line="280" w:lineRule="exact"/>
      <w:ind w:firstLine="420" w:firstLineChars="200"/>
    </w:pPr>
    <w:rPr>
      <w:rFonts w:ascii="Calibri" w:hAnsi="Calibri"/>
      <w:sz w:val="22"/>
      <w:szCs w:val="22"/>
    </w:rPr>
  </w:style>
  <w:style w:type="paragraph" w:customStyle="1" w:styleId="167">
    <w:name w:val="xl9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68">
    <w:name w:val="Default"/>
    <w:next w:val="169"/>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70">
    <w:name w:val="正文段"/>
    <w:basedOn w:val="1"/>
    <w:qFormat/>
    <w:uiPriority w:val="0"/>
    <w:pPr>
      <w:widowControl/>
      <w:snapToGrid w:val="0"/>
      <w:spacing w:afterLines="50"/>
      <w:ind w:firstLine="200" w:firstLineChars="200"/>
    </w:pPr>
    <w:rPr>
      <w:kern w:val="0"/>
      <w:sz w:val="24"/>
      <w:szCs w:val="20"/>
    </w:rPr>
  </w:style>
  <w:style w:type="paragraph" w:customStyle="1" w:styleId="171">
    <w:name w:val="xl9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72">
    <w:name w:val="Char1"/>
    <w:basedOn w:val="1"/>
    <w:qFormat/>
    <w:uiPriority w:val="0"/>
    <w:rPr>
      <w:rFonts w:ascii="Tahoma" w:hAnsi="Tahoma"/>
      <w:sz w:val="24"/>
      <w:szCs w:val="20"/>
    </w:rPr>
  </w:style>
  <w:style w:type="paragraph" w:customStyle="1" w:styleId="173">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74">
    <w:name w:val="纯文本1"/>
    <w:basedOn w:val="1"/>
    <w:qFormat/>
    <w:uiPriority w:val="0"/>
    <w:pPr>
      <w:spacing w:beforeLines="50" w:afterLines="50" w:line="400" w:lineRule="exact"/>
    </w:pPr>
    <w:rPr>
      <w:rFonts w:ascii="宋体" w:hAnsi="Courier New"/>
      <w:sz w:val="24"/>
    </w:rPr>
  </w:style>
  <w:style w:type="paragraph" w:customStyle="1" w:styleId="17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76">
    <w:name w:val="xl79"/>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177">
    <w:name w:val="table_lines"/>
    <w:basedOn w:val="1"/>
    <w:qFormat/>
    <w:uiPriority w:val="0"/>
    <w:rPr>
      <w:szCs w:val="20"/>
    </w:rPr>
  </w:style>
  <w:style w:type="paragraph" w:customStyle="1" w:styleId="178">
    <w:name w:val="List Paragraph1"/>
    <w:basedOn w:val="1"/>
    <w:qFormat/>
    <w:uiPriority w:val="0"/>
    <w:pPr>
      <w:ind w:firstLine="420" w:firstLineChars="200"/>
    </w:pPr>
    <w:rPr>
      <w:rFonts w:ascii="Calibri" w:hAnsi="Calibri"/>
      <w:szCs w:val="21"/>
    </w:rPr>
  </w:style>
  <w:style w:type="paragraph" w:customStyle="1" w:styleId="179">
    <w:name w:val="xl80"/>
    <w:basedOn w:val="1"/>
    <w:qFormat/>
    <w:uiPriority w:val="0"/>
    <w:pPr>
      <w:widowControl/>
      <w:shd w:val="clear" w:color="000000" w:fill="FFFFFF"/>
      <w:spacing w:before="100" w:beforeAutospacing="1" w:after="100" w:afterAutospacing="1" w:line="280" w:lineRule="exact"/>
      <w:jc w:val="center"/>
    </w:pPr>
    <w:rPr>
      <w:kern w:val="0"/>
      <w:sz w:val="20"/>
      <w:szCs w:val="20"/>
    </w:rPr>
  </w:style>
  <w:style w:type="paragraph" w:customStyle="1" w:styleId="180">
    <w:name w:val="xl8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1">
    <w:name w:val="列出段落1"/>
    <w:basedOn w:val="1"/>
    <w:qFormat/>
    <w:uiPriority w:val="0"/>
    <w:pPr>
      <w:ind w:firstLine="200" w:firstLineChars="200"/>
    </w:pPr>
    <w:rPr>
      <w:rFonts w:ascii="Calibri" w:hAnsi="Calibri"/>
      <w:szCs w:val="22"/>
    </w:rPr>
  </w:style>
  <w:style w:type="paragraph" w:customStyle="1" w:styleId="182">
    <w:name w:val="xl81"/>
    <w:basedOn w:val="1"/>
    <w:qFormat/>
    <w:uiPriority w:val="0"/>
    <w:pPr>
      <w:widowControl/>
      <w:pBdr>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3">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84">
    <w:name w:val="_Style 86"/>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85">
    <w:name w:val="xl29"/>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86">
    <w:name w:val="xl6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b/>
      <w:bCs/>
      <w:kern w:val="0"/>
      <w:sz w:val="20"/>
      <w:szCs w:val="20"/>
    </w:rPr>
  </w:style>
  <w:style w:type="paragraph" w:customStyle="1" w:styleId="18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rFonts w:ascii="宋体" w:hAnsi="宋体" w:cs="宋体"/>
      <w:b/>
      <w:bCs/>
      <w:kern w:val="0"/>
      <w:sz w:val="20"/>
      <w:szCs w:val="20"/>
    </w:rPr>
  </w:style>
  <w:style w:type="paragraph" w:customStyle="1" w:styleId="188">
    <w:name w:val="style9"/>
    <w:basedOn w:val="1"/>
    <w:qFormat/>
    <w:uiPriority w:val="0"/>
    <w:pPr>
      <w:widowControl/>
      <w:spacing w:before="100" w:beforeAutospacing="1" w:after="100" w:afterAutospacing="1"/>
      <w:jc w:val="left"/>
    </w:pPr>
    <w:rPr>
      <w:rFonts w:ascii="宋体" w:cs="宋体"/>
      <w:kern w:val="0"/>
      <w:sz w:val="24"/>
    </w:rPr>
  </w:style>
  <w:style w:type="paragraph" w:customStyle="1" w:styleId="189">
    <w:name w:val="xl8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0">
    <w:name w:val="xl84"/>
    <w:basedOn w:val="1"/>
    <w:qFormat/>
    <w:uiPriority w:val="0"/>
    <w:pPr>
      <w:widowControl/>
      <w:pBdr>
        <w:lef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1">
    <w:name w:val="333"/>
    <w:basedOn w:val="1"/>
    <w:qFormat/>
    <w:uiPriority w:val="0"/>
    <w:pPr>
      <w:adjustRightInd w:val="0"/>
      <w:spacing w:line="312" w:lineRule="atLeast"/>
      <w:textAlignment w:val="baseline"/>
    </w:pPr>
    <w:rPr>
      <w:kern w:val="0"/>
      <w:szCs w:val="20"/>
    </w:rPr>
  </w:style>
  <w:style w:type="paragraph" w:customStyle="1" w:styleId="192">
    <w:name w:val="Char1 Char Char Char"/>
    <w:basedOn w:val="1"/>
    <w:qFormat/>
    <w:uiPriority w:val="0"/>
    <w:pPr>
      <w:tabs>
        <w:tab w:val="left" w:pos="840"/>
      </w:tabs>
      <w:ind w:left="840" w:hanging="420"/>
    </w:pPr>
    <w:rPr>
      <w:sz w:val="24"/>
    </w:rPr>
  </w:style>
  <w:style w:type="paragraph" w:customStyle="1" w:styleId="193">
    <w:name w:val="纯文本2"/>
    <w:basedOn w:val="1"/>
    <w:qFormat/>
    <w:uiPriority w:val="0"/>
    <w:pPr>
      <w:spacing w:before="156" w:beforeLines="50" w:after="156" w:afterLines="50" w:line="400" w:lineRule="exact"/>
    </w:pPr>
    <w:rPr>
      <w:rFonts w:ascii="宋体" w:hAnsi="Courier New"/>
      <w:sz w:val="24"/>
    </w:rPr>
  </w:style>
  <w:style w:type="paragraph" w:customStyle="1" w:styleId="194">
    <w:name w:val="列出段落11"/>
    <w:basedOn w:val="1"/>
    <w:qFormat/>
    <w:uiPriority w:val="0"/>
    <w:pPr>
      <w:ind w:firstLine="200" w:firstLineChars="200"/>
      <w:jc w:val="left"/>
    </w:pPr>
    <w:rPr>
      <w:rFonts w:ascii="Calibri" w:hAnsi="Calibri" w:cs="Arial"/>
      <w:szCs w:val="22"/>
    </w:rPr>
  </w:style>
  <w:style w:type="paragraph" w:customStyle="1" w:styleId="195">
    <w:name w:val="_Style 188"/>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96">
    <w:name w:val="xl6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7">
    <w:name w:val="xl9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198">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199">
    <w:name w:val="Char3"/>
    <w:basedOn w:val="1"/>
    <w:qFormat/>
    <w:uiPriority w:val="0"/>
    <w:pPr>
      <w:ind w:firstLine="200" w:firstLineChars="200"/>
      <w:jc w:val="left"/>
    </w:pPr>
    <w:rPr>
      <w:rFonts w:ascii="幼圆" w:hAnsi="宋体" w:eastAsia="幼圆" w:cs="幼圆"/>
      <w:sz w:val="24"/>
      <w:szCs w:val="21"/>
    </w:rPr>
  </w:style>
  <w:style w:type="paragraph" w:customStyle="1" w:styleId="200">
    <w:name w:val="xl9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201">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202">
    <w:name w:val="Char"/>
    <w:basedOn w:val="1"/>
    <w:qFormat/>
    <w:uiPriority w:val="0"/>
    <w:pPr>
      <w:ind w:firstLine="200" w:firstLineChars="200"/>
    </w:pPr>
    <w:rPr>
      <w:rFonts w:ascii="幼圆" w:eastAsia="幼圆" w:cs="幼圆"/>
      <w:sz w:val="24"/>
      <w:szCs w:val="20"/>
    </w:rPr>
  </w:style>
  <w:style w:type="paragraph" w:customStyle="1" w:styleId="203">
    <w:name w:val="table_1stline"/>
    <w:basedOn w:val="1"/>
    <w:qFormat/>
    <w:uiPriority w:val="0"/>
    <w:pPr>
      <w:spacing w:before="120"/>
    </w:pPr>
    <w:rPr>
      <w:bCs/>
      <w:szCs w:val="20"/>
    </w:rPr>
  </w:style>
  <w:style w:type="paragraph" w:customStyle="1" w:styleId="204">
    <w:name w:val="font9"/>
    <w:basedOn w:val="1"/>
    <w:qFormat/>
    <w:uiPriority w:val="0"/>
    <w:pPr>
      <w:widowControl/>
      <w:spacing w:before="100" w:beforeAutospacing="1" w:after="100" w:afterAutospacing="1" w:line="280" w:lineRule="exact"/>
      <w:jc w:val="left"/>
    </w:pPr>
    <w:rPr>
      <w:rFonts w:ascii="宋体" w:hAnsi="宋体" w:cs="宋体"/>
      <w:b/>
      <w:bCs/>
      <w:kern w:val="0"/>
      <w:sz w:val="32"/>
      <w:szCs w:val="32"/>
    </w:rPr>
  </w:style>
  <w:style w:type="paragraph" w:customStyle="1" w:styleId="205">
    <w:name w:val="UserStyle_66"/>
    <w:basedOn w:val="1"/>
    <w:qFormat/>
    <w:uiPriority w:val="0"/>
    <w:pPr>
      <w:spacing w:line="280" w:lineRule="exact"/>
    </w:pPr>
    <w:rPr>
      <w:kern w:val="0"/>
      <w:szCs w:val="21"/>
    </w:rPr>
  </w:style>
  <w:style w:type="paragraph" w:customStyle="1" w:styleId="206">
    <w:name w:val="xl6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07">
    <w:name w:val="Char Char Char Char Char Char"/>
    <w:basedOn w:val="1"/>
    <w:qFormat/>
    <w:uiPriority w:val="0"/>
    <w:pPr>
      <w:ind w:firstLine="200" w:firstLineChars="200"/>
    </w:pPr>
    <w:rPr>
      <w:rFonts w:ascii="Tahoma" w:hAnsi="Tahoma"/>
      <w:sz w:val="24"/>
      <w:szCs w:val="20"/>
    </w:rPr>
  </w:style>
  <w:style w:type="paragraph" w:customStyle="1" w:styleId="208">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9">
    <w:name w:val="xl7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10">
    <w:name w:val="p15"/>
    <w:basedOn w:val="1"/>
    <w:qFormat/>
    <w:uiPriority w:val="0"/>
    <w:pPr>
      <w:widowControl/>
    </w:pPr>
    <w:rPr>
      <w:kern w:val="0"/>
      <w:szCs w:val="21"/>
    </w:rPr>
  </w:style>
  <w:style w:type="paragraph" w:customStyle="1" w:styleId="211">
    <w:name w:val="zhouzhe jianjie txt"/>
    <w:basedOn w:val="1"/>
    <w:qFormat/>
    <w:uiPriority w:val="0"/>
    <w:pPr>
      <w:spacing w:line="240" w:lineRule="exact"/>
      <w:jc w:val="left"/>
    </w:pPr>
    <w:rPr>
      <w:rFonts w:ascii="宋体" w:hAnsi="宋体" w:eastAsia="Times New Roman" w:cs="Arial"/>
      <w:sz w:val="15"/>
      <w:szCs w:val="15"/>
    </w:rPr>
  </w:style>
  <w:style w:type="paragraph" w:customStyle="1" w:styleId="212">
    <w:name w:val="自由格式 A"/>
    <w:qFormat/>
    <w:uiPriority w:val="0"/>
    <w:rPr>
      <w:rFonts w:ascii="Helvetica" w:hAnsi="Helvetica" w:eastAsia="ヒラギノ角ゴ Pro W3" w:cs="Times New Roman"/>
      <w:color w:val="000000"/>
      <w:sz w:val="24"/>
      <w:lang w:val="en-US" w:eastAsia="zh-CN" w:bidi="ar-SA"/>
    </w:rPr>
  </w:style>
  <w:style w:type="paragraph" w:customStyle="1" w:styleId="213">
    <w:name w:val="Char Char Char Char"/>
    <w:basedOn w:val="1"/>
    <w:qFormat/>
    <w:uiPriority w:val="0"/>
    <w:pPr>
      <w:widowControl/>
      <w:spacing w:after="160" w:line="240" w:lineRule="exact"/>
      <w:jc w:val="left"/>
    </w:pPr>
    <w:rPr>
      <w:szCs w:val="20"/>
    </w:rPr>
  </w:style>
  <w:style w:type="paragraph" w:customStyle="1" w:styleId="214">
    <w:name w:val="_Style 77"/>
    <w:basedOn w:val="1"/>
    <w:next w:val="139"/>
    <w:qFormat/>
    <w:uiPriority w:val="34"/>
    <w:pPr>
      <w:tabs>
        <w:tab w:val="left" w:pos="360"/>
      </w:tabs>
      <w:spacing w:line="280" w:lineRule="exact"/>
      <w:ind w:left="360" w:hanging="360"/>
    </w:pPr>
    <w:rPr>
      <w:rFonts w:ascii="Calibri" w:hAnsi="Calibri"/>
      <w:szCs w:val="22"/>
    </w:rPr>
  </w:style>
  <w:style w:type="paragraph" w:customStyle="1" w:styleId="21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16">
    <w:name w:val="Char11"/>
    <w:basedOn w:val="1"/>
    <w:qFormat/>
    <w:uiPriority w:val="0"/>
  </w:style>
  <w:style w:type="paragraph" w:customStyle="1" w:styleId="217">
    <w:name w:val="tgt2"/>
    <w:basedOn w:val="1"/>
    <w:qFormat/>
    <w:uiPriority w:val="0"/>
    <w:pPr>
      <w:widowControl/>
      <w:spacing w:after="150" w:line="360" w:lineRule="auto"/>
      <w:jc w:val="left"/>
    </w:pPr>
    <w:rPr>
      <w:rFonts w:ascii="宋体" w:cs="宋体"/>
      <w:b/>
      <w:bCs/>
      <w:kern w:val="0"/>
      <w:sz w:val="36"/>
      <w:szCs w:val="36"/>
    </w:rPr>
  </w:style>
  <w:style w:type="paragraph" w:customStyle="1" w:styleId="218">
    <w:name w:val="font5"/>
    <w:basedOn w:val="1"/>
    <w:qFormat/>
    <w:uiPriority w:val="0"/>
    <w:pPr>
      <w:widowControl/>
      <w:spacing w:before="100" w:beforeAutospacing="1" w:after="100" w:afterAutospacing="1" w:line="280" w:lineRule="exact"/>
      <w:jc w:val="left"/>
    </w:pPr>
    <w:rPr>
      <w:rFonts w:ascii="宋体" w:hAnsi="宋体" w:cs="宋体"/>
      <w:kern w:val="0"/>
      <w:sz w:val="18"/>
      <w:szCs w:val="18"/>
    </w:rPr>
  </w:style>
  <w:style w:type="paragraph" w:customStyle="1" w:styleId="219">
    <w:name w:val="xl72"/>
    <w:basedOn w:val="1"/>
    <w:qFormat/>
    <w:uiPriority w:val="0"/>
    <w:pPr>
      <w:widowControl/>
      <w:pBdr>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0">
    <w:name w:val="Char Char Char Char Char Char Char Char Char Char Char Char1 Char"/>
    <w:basedOn w:val="14"/>
    <w:qFormat/>
    <w:uiPriority w:val="0"/>
    <w:rPr>
      <w:rFonts w:ascii="Tahoma" w:hAnsi="Tahoma"/>
      <w:sz w:val="24"/>
    </w:rPr>
  </w:style>
  <w:style w:type="paragraph" w:customStyle="1" w:styleId="221">
    <w:name w:val="Char Char Char Char Char Char1"/>
    <w:basedOn w:val="1"/>
    <w:qFormat/>
    <w:uiPriority w:val="0"/>
    <w:pPr>
      <w:ind w:firstLine="200" w:firstLineChars="200"/>
      <w:jc w:val="left"/>
    </w:pPr>
    <w:rPr>
      <w:rFonts w:ascii="Tahoma" w:hAnsi="Tahoma" w:cs="Arial"/>
      <w:sz w:val="24"/>
      <w:szCs w:val="21"/>
    </w:rPr>
  </w:style>
  <w:style w:type="paragraph" w:customStyle="1" w:styleId="222">
    <w:name w:val="正文－恩普"/>
    <w:basedOn w:val="12"/>
    <w:qFormat/>
    <w:uiPriority w:val="0"/>
    <w:pPr>
      <w:widowControl/>
      <w:numPr>
        <w:numId w:val="0"/>
      </w:numPr>
      <w:tabs>
        <w:tab w:val="clear" w:pos="2040"/>
      </w:tabs>
      <w:spacing w:afterLines="50" w:line="360" w:lineRule="auto"/>
      <w:ind w:firstLine="480" w:firstLineChars="200"/>
      <w:jc w:val="left"/>
    </w:pPr>
    <w:rPr>
      <w:kern w:val="0"/>
      <w:sz w:val="24"/>
    </w:rPr>
  </w:style>
  <w:style w:type="paragraph" w:customStyle="1" w:styleId="223">
    <w:name w:val="默认段落字体 Para Char Char Char Char Char Char Char Char Char1 Char Char Char Char"/>
    <w:basedOn w:val="1"/>
    <w:qFormat/>
    <w:uiPriority w:val="0"/>
    <w:rPr>
      <w:rFonts w:ascii="Tahoma" w:hAnsi="Tahoma"/>
      <w:sz w:val="24"/>
      <w:szCs w:val="20"/>
    </w:rPr>
  </w:style>
  <w:style w:type="paragraph" w:customStyle="1" w:styleId="22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25">
    <w:name w:val="xl7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6">
    <w:name w:val="xl73"/>
    <w:basedOn w:val="1"/>
    <w:qFormat/>
    <w:uiPriority w:val="0"/>
    <w:pPr>
      <w:widowControl/>
      <w:pBdr>
        <w:top w:val="single" w:color="auto" w:sz="4" w:space="0"/>
        <w:right w:val="single" w:color="auto" w:sz="4" w:space="0"/>
      </w:pBdr>
      <w:shd w:val="clear" w:color="000000" w:fill="FFFFFF"/>
      <w:spacing w:before="100" w:beforeAutospacing="1" w:after="100" w:afterAutospacing="1" w:line="280" w:lineRule="exact"/>
      <w:jc w:val="center"/>
    </w:pPr>
    <w:rPr>
      <w:kern w:val="0"/>
      <w:sz w:val="20"/>
      <w:szCs w:val="20"/>
    </w:rPr>
  </w:style>
  <w:style w:type="paragraph" w:customStyle="1" w:styleId="227">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28">
    <w:name w:val="Char2"/>
    <w:basedOn w:val="1"/>
    <w:qFormat/>
    <w:uiPriority w:val="0"/>
    <w:rPr>
      <w:rFonts w:ascii="仿宋_GB2312" w:eastAsia="仿宋_GB2312"/>
      <w:b/>
      <w:sz w:val="32"/>
      <w:szCs w:val="32"/>
    </w:rPr>
  </w:style>
  <w:style w:type="paragraph" w:customStyle="1" w:styleId="229">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30">
    <w:name w:val="xl65"/>
    <w:basedOn w:val="1"/>
    <w:qFormat/>
    <w:uiPriority w:val="0"/>
    <w:pPr>
      <w:widowControl/>
      <w:shd w:val="clear" w:color="000000" w:fill="FFFFFF"/>
      <w:spacing w:before="100" w:beforeAutospacing="1" w:after="100" w:afterAutospacing="1" w:line="280" w:lineRule="exact"/>
      <w:jc w:val="left"/>
    </w:pPr>
    <w:rPr>
      <w:kern w:val="0"/>
      <w:sz w:val="20"/>
      <w:szCs w:val="20"/>
    </w:rPr>
  </w:style>
  <w:style w:type="paragraph" w:customStyle="1" w:styleId="231">
    <w:name w:val="xl92"/>
    <w:basedOn w:val="1"/>
    <w:qFormat/>
    <w:uiPriority w:val="0"/>
    <w:pPr>
      <w:widowControl/>
      <w:pBdr>
        <w:top w:val="single" w:color="auto" w:sz="4" w:space="0"/>
        <w:bottom w:val="single" w:color="auto" w:sz="4" w:space="0"/>
      </w:pBdr>
      <w:shd w:val="clear" w:color="000000" w:fill="FFFFFF"/>
      <w:spacing w:before="100" w:beforeAutospacing="1" w:after="100" w:afterAutospacing="1" w:line="280" w:lineRule="exact"/>
      <w:jc w:val="left"/>
    </w:pPr>
    <w:rPr>
      <w:b/>
      <w:bCs/>
      <w:kern w:val="0"/>
      <w:sz w:val="20"/>
      <w:szCs w:val="20"/>
    </w:rPr>
  </w:style>
  <w:style w:type="paragraph" w:customStyle="1" w:styleId="232">
    <w:name w:val="font6"/>
    <w:basedOn w:val="1"/>
    <w:qFormat/>
    <w:uiPriority w:val="0"/>
    <w:pPr>
      <w:widowControl/>
      <w:spacing w:before="100" w:beforeAutospacing="1" w:after="100" w:afterAutospacing="1" w:line="280" w:lineRule="exact"/>
      <w:jc w:val="left"/>
    </w:pPr>
    <w:rPr>
      <w:rFonts w:ascii="宋体" w:hAnsi="宋体" w:cs="宋体"/>
      <w:kern w:val="0"/>
      <w:sz w:val="20"/>
      <w:szCs w:val="20"/>
    </w:rPr>
  </w:style>
  <w:style w:type="paragraph" w:customStyle="1" w:styleId="233">
    <w:name w:val="_Style 148"/>
    <w:basedOn w:val="1"/>
    <w:next w:val="139"/>
    <w:qFormat/>
    <w:uiPriority w:val="34"/>
    <w:pPr>
      <w:numPr>
        <w:ilvl w:val="0"/>
        <w:numId w:val="8"/>
      </w:numPr>
    </w:pPr>
    <w:rPr>
      <w:rFonts w:ascii="Calibri" w:hAnsi="Calibri"/>
      <w:szCs w:val="22"/>
    </w:rPr>
  </w:style>
  <w:style w:type="paragraph" w:customStyle="1" w:styleId="234">
    <w:name w:val="Char Char Char Char Char Char Char Char Char Char Char Char1 Char1"/>
    <w:basedOn w:val="14"/>
    <w:qFormat/>
    <w:uiPriority w:val="0"/>
    <w:pPr>
      <w:jc w:val="left"/>
    </w:pPr>
    <w:rPr>
      <w:rFonts w:ascii="Tahoma" w:hAnsi="Tahoma" w:cs="Arial"/>
      <w:sz w:val="24"/>
    </w:rPr>
  </w:style>
  <w:style w:type="paragraph" w:customStyle="1" w:styleId="23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80" w:lineRule="exact"/>
      <w:jc w:val="left"/>
    </w:pPr>
    <w:rPr>
      <w:kern w:val="0"/>
      <w:sz w:val="20"/>
      <w:szCs w:val="20"/>
    </w:rPr>
  </w:style>
  <w:style w:type="paragraph" w:customStyle="1" w:styleId="236">
    <w:name w:val="表格文字"/>
    <w:basedOn w:val="1"/>
    <w:next w:val="2"/>
    <w:qFormat/>
    <w:uiPriority w:val="0"/>
    <w:pPr>
      <w:adjustRightInd w:val="0"/>
      <w:spacing w:line="420" w:lineRule="atLeast"/>
      <w:jc w:val="left"/>
      <w:textAlignment w:val="baseline"/>
    </w:pPr>
    <w:rPr>
      <w:kern w:val="0"/>
    </w:rPr>
  </w:style>
  <w:style w:type="paragraph" w:customStyle="1" w:styleId="23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San-Elepow CON.</Company>
  <Pages>48</Pages>
  <Words>23954</Words>
  <Characters>25213</Characters>
  <Lines>206</Lines>
  <Paragraphs>58</Paragraphs>
  <TotalTime>3</TotalTime>
  <ScaleCrop>false</ScaleCrop>
  <LinksUpToDate>false</LinksUpToDate>
  <CharactersWithSpaces>28233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2022-01-15T16:40:00Z</dcterms:created>
  <dc:creator>yan</dc:creator>
  <cp:lastModifiedBy>Janove</cp:lastModifiedBy>
  <cp:lastPrinted>2022-12-07T10:50:00Z</cp:lastPrinted>
  <dcterms:modified xsi:type="dcterms:W3CDTF">2022-12-22T14:09:29Z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ECAF1A6D760A442B832F49F75C8C491F</vt:lpwstr>
  </property>
</Properties>
</file>