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400" w:lineRule="exact"/>
        <w:jc w:val="center"/>
        <w:rPr>
          <w:rFonts w:hint="eastAsia" w:ascii="宋体" w:hAnsi="宋体" w:eastAsia="宋体" w:cs="宋体"/>
          <w:color w:val="auto"/>
          <w:sz w:val="32"/>
          <w:szCs w:val="32"/>
          <w:highlight w:val="none"/>
        </w:rPr>
      </w:pPr>
    </w:p>
    <w:p>
      <w:pPr>
        <w:pageBreakBefore w:val="0"/>
        <w:kinsoku/>
        <w:overflowPunct/>
        <w:topLinePunct w:val="0"/>
        <w:bidi w:val="0"/>
        <w:spacing w:before="120" w:beforeLines="50" w:line="400" w:lineRule="exact"/>
        <w:rPr>
          <w:rFonts w:hint="eastAsia" w:ascii="宋体" w:hAnsi="宋体" w:eastAsia="宋体" w:cs="宋体"/>
          <w:b/>
          <w:color w:val="auto"/>
          <w:sz w:val="52"/>
          <w:szCs w:val="52"/>
          <w:highlight w:val="none"/>
        </w:rPr>
      </w:pPr>
    </w:p>
    <w:p>
      <w:pPr>
        <w:pageBreakBefore w:val="0"/>
        <w:kinsoku/>
        <w:overflowPunct/>
        <w:topLinePunct w:val="0"/>
        <w:bidi w:val="0"/>
        <w:spacing w:before="120" w:beforeLines="50" w:line="400" w:lineRule="exact"/>
        <w:rPr>
          <w:rFonts w:hint="eastAsia" w:ascii="宋体" w:hAnsi="宋体" w:eastAsia="宋体" w:cs="宋体"/>
          <w:b/>
          <w:color w:val="auto"/>
          <w:sz w:val="52"/>
          <w:szCs w:val="52"/>
          <w:highlight w:val="none"/>
        </w:rPr>
      </w:pPr>
    </w:p>
    <w:p>
      <w:pPr>
        <w:pageBreakBefore w:val="0"/>
        <w:kinsoku/>
        <w:overflowPunct/>
        <w:topLinePunct w:val="0"/>
        <w:bidi w:val="0"/>
        <w:spacing w:line="24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 开 招 标 文 件</w:t>
      </w:r>
    </w:p>
    <w:p>
      <w:pPr>
        <w:pStyle w:val="76"/>
        <w:pageBreakBefore w:val="0"/>
        <w:kinsoku/>
        <w:overflowPunct/>
        <w:topLinePunct w:val="0"/>
        <w:bidi w:val="0"/>
        <w:spacing w:line="400" w:lineRule="exact"/>
        <w:rPr>
          <w:rFonts w:hint="eastAsia" w:ascii="宋体" w:hAnsi="宋体" w:eastAsia="宋体" w:cs="宋体"/>
          <w:color w:val="auto"/>
          <w:highlight w:val="none"/>
        </w:rPr>
      </w:pPr>
    </w:p>
    <w:p>
      <w:pPr>
        <w:pageBreakBefore w:val="0"/>
        <w:widowControl/>
        <w:kinsoku/>
        <w:overflowPunct/>
        <w:topLinePunct w:val="0"/>
        <w:bidi w:val="0"/>
        <w:spacing w:line="400" w:lineRule="exact"/>
        <w:jc w:val="center"/>
        <w:rPr>
          <w:rFonts w:hint="eastAsia" w:ascii="宋体" w:hAnsi="宋体" w:eastAsia="宋体" w:cs="宋体"/>
          <w:color w:val="auto"/>
          <w:kern w:val="0"/>
          <w:sz w:val="31"/>
          <w:szCs w:val="31"/>
          <w:highlight w:val="none"/>
          <w:lang w:bidi="ar"/>
        </w:rPr>
      </w:pPr>
    </w:p>
    <w:p>
      <w:pPr>
        <w:pageBreakBefore w:val="0"/>
        <w:widowControl/>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kern w:val="0"/>
          <w:sz w:val="31"/>
          <w:szCs w:val="31"/>
          <w:highlight w:val="none"/>
          <w:lang w:bidi="ar"/>
        </w:rPr>
        <w:t>（政府采购电子交易项目）</w:t>
      </w:r>
    </w:p>
    <w:p>
      <w:pPr>
        <w:pageBreakBefore w:val="0"/>
        <w:kinsoku/>
        <w:overflowPunct/>
        <w:topLinePunct w:val="0"/>
        <w:bidi w:val="0"/>
        <w:snapToGrid w:val="0"/>
        <w:spacing w:before="120" w:beforeLines="50" w:line="400" w:lineRule="exact"/>
        <w:rPr>
          <w:rFonts w:hint="eastAsia" w:ascii="宋体" w:hAnsi="宋体" w:eastAsia="宋体" w:cs="宋体"/>
          <w:color w:val="auto"/>
          <w:sz w:val="30"/>
          <w:szCs w:val="72"/>
          <w:highlight w:val="none"/>
        </w:rPr>
      </w:pPr>
    </w:p>
    <w:p>
      <w:pPr>
        <w:pageBreakBefore w:val="0"/>
        <w:kinsoku/>
        <w:overflowPunct/>
        <w:topLinePunct w:val="0"/>
        <w:bidi w:val="0"/>
        <w:snapToGrid w:val="0"/>
        <w:spacing w:before="120" w:beforeLines="50" w:line="400" w:lineRule="exact"/>
        <w:rPr>
          <w:rFonts w:hint="eastAsia" w:ascii="宋体" w:hAnsi="宋体" w:eastAsia="宋体" w:cs="宋体"/>
          <w:color w:val="auto"/>
          <w:sz w:val="30"/>
          <w:szCs w:val="72"/>
          <w:highlight w:val="none"/>
        </w:rPr>
      </w:pPr>
    </w:p>
    <w:p>
      <w:pPr>
        <w:pageBreakBefore w:val="0"/>
        <w:kinsoku/>
        <w:overflowPunct/>
        <w:topLinePunct w:val="0"/>
        <w:bidi w:val="0"/>
        <w:snapToGrid w:val="0"/>
        <w:spacing w:before="120" w:beforeLines="50" w:line="400" w:lineRule="exact"/>
        <w:rPr>
          <w:rFonts w:hint="eastAsia" w:ascii="宋体" w:hAnsi="宋体" w:eastAsia="宋体" w:cs="宋体"/>
          <w:color w:val="auto"/>
          <w:sz w:val="30"/>
          <w:szCs w:val="72"/>
          <w:highlight w:val="none"/>
        </w:rPr>
      </w:pPr>
    </w:p>
    <w:p>
      <w:pPr>
        <w:pageBreakBefore w:val="0"/>
        <w:kinsoku/>
        <w:overflowPunct/>
        <w:topLinePunct w:val="0"/>
        <w:bidi w:val="0"/>
        <w:snapToGrid w:val="0"/>
        <w:spacing w:before="120" w:beforeLines="50" w:line="400" w:lineRule="exact"/>
        <w:rPr>
          <w:rFonts w:hint="eastAsia" w:ascii="宋体" w:hAnsi="宋体" w:eastAsia="宋体" w:cs="宋体"/>
          <w:color w:val="auto"/>
          <w:sz w:val="30"/>
          <w:szCs w:val="72"/>
          <w:highlight w:val="none"/>
        </w:rPr>
      </w:pPr>
    </w:p>
    <w:tbl>
      <w:tblPr>
        <w:tblStyle w:val="40"/>
        <w:tblW w:w="9231" w:type="dxa"/>
        <w:tblInd w:w="0" w:type="dxa"/>
        <w:tblLayout w:type="fixed"/>
        <w:tblCellMar>
          <w:top w:w="0" w:type="dxa"/>
          <w:left w:w="108" w:type="dxa"/>
          <w:bottom w:w="0" w:type="dxa"/>
          <w:right w:w="108" w:type="dxa"/>
        </w:tblCellMar>
      </w:tblPr>
      <w:tblGrid>
        <w:gridCol w:w="2134"/>
        <w:gridCol w:w="7097"/>
      </w:tblGrid>
      <w:tr>
        <w:tblPrEx>
          <w:tblCellMar>
            <w:top w:w="0" w:type="dxa"/>
            <w:left w:w="108" w:type="dxa"/>
            <w:bottom w:w="0" w:type="dxa"/>
            <w:right w:w="108" w:type="dxa"/>
          </w:tblCellMar>
        </w:tblPrEx>
        <w:trPr>
          <w:trHeight w:val="1410" w:hRule="atLeast"/>
        </w:trPr>
        <w:tc>
          <w:tcPr>
            <w:tcW w:w="2134" w:type="dxa"/>
            <w:tcBorders>
              <w:top w:val="nil"/>
              <w:left w:val="nil"/>
              <w:bottom w:val="nil"/>
              <w:right w:val="nil"/>
            </w:tcBorders>
            <w:vAlign w:val="center"/>
          </w:tcPr>
          <w:p>
            <w:pPr>
              <w:pageBreakBefore w:val="0"/>
              <w:kinsoku/>
              <w:overflowPunct/>
              <w:topLinePunct w:val="0"/>
              <w:bidi w:val="0"/>
              <w:snapToGrid w:val="0"/>
              <w:spacing w:line="400" w:lineRule="exact"/>
              <w:jc w:val="distribute"/>
              <w:rPr>
                <w:rFonts w:hint="eastAsia" w:ascii="宋体" w:hAnsi="宋体" w:eastAsia="宋体" w:cs="宋体"/>
                <w:b/>
                <w:color w:val="auto"/>
                <w:sz w:val="34"/>
                <w:szCs w:val="32"/>
                <w:highlight w:val="none"/>
              </w:rPr>
            </w:pPr>
            <w:r>
              <w:rPr>
                <w:rFonts w:hint="eastAsia" w:ascii="宋体" w:hAnsi="宋体" w:eastAsia="宋体" w:cs="宋体"/>
                <w:b/>
                <w:color w:val="auto"/>
                <w:sz w:val="34"/>
                <w:szCs w:val="32"/>
                <w:highlight w:val="none"/>
              </w:rPr>
              <w:t>项目编号：</w:t>
            </w:r>
          </w:p>
        </w:tc>
        <w:tc>
          <w:tcPr>
            <w:tcW w:w="7097" w:type="dxa"/>
            <w:tcBorders>
              <w:top w:val="nil"/>
              <w:left w:val="nil"/>
              <w:bottom w:val="nil"/>
              <w:right w:val="nil"/>
            </w:tcBorders>
            <w:vAlign w:val="center"/>
          </w:tcPr>
          <w:p>
            <w:pPr>
              <w:pStyle w:val="21"/>
              <w:pageBreakBefore w:val="0"/>
              <w:kinsoku/>
              <w:overflowPunct/>
              <w:topLinePunct w:val="0"/>
              <w:bidi w:val="0"/>
              <w:snapToGrid w:val="0"/>
              <w:spacing w:beforeLines="0" w:afterLines="0" w:line="400" w:lineRule="exact"/>
              <w:rPr>
                <w:rFonts w:hint="eastAsia" w:ascii="宋体" w:hAnsi="宋体" w:eastAsia="宋体" w:cs="宋体"/>
                <w:b/>
                <w:color w:val="auto"/>
                <w:kern w:val="2"/>
                <w:sz w:val="34"/>
                <w:szCs w:val="32"/>
                <w:highlight w:val="none"/>
                <w:u w:val="single"/>
              </w:rPr>
            </w:pPr>
            <w:r>
              <w:rPr>
                <w:rFonts w:hint="eastAsia" w:ascii="宋体" w:hAnsi="宋体" w:eastAsia="宋体" w:cs="宋体"/>
                <w:b/>
                <w:color w:val="auto"/>
                <w:sz w:val="34"/>
                <w:szCs w:val="32"/>
                <w:highlight w:val="none"/>
              </w:rPr>
              <w:t>NBZS-202211501G</w:t>
            </w:r>
          </w:p>
        </w:tc>
      </w:tr>
      <w:tr>
        <w:tblPrEx>
          <w:tblCellMar>
            <w:top w:w="0" w:type="dxa"/>
            <w:left w:w="108" w:type="dxa"/>
            <w:bottom w:w="0" w:type="dxa"/>
            <w:right w:w="108" w:type="dxa"/>
          </w:tblCellMar>
        </w:tblPrEx>
        <w:trPr>
          <w:trHeight w:val="1435" w:hRule="atLeast"/>
        </w:trPr>
        <w:tc>
          <w:tcPr>
            <w:tcW w:w="2134" w:type="dxa"/>
            <w:tcBorders>
              <w:top w:val="nil"/>
              <w:left w:val="nil"/>
              <w:bottom w:val="nil"/>
              <w:right w:val="nil"/>
            </w:tcBorders>
            <w:vAlign w:val="center"/>
          </w:tcPr>
          <w:p>
            <w:pPr>
              <w:pageBreakBefore w:val="0"/>
              <w:kinsoku/>
              <w:overflowPunct/>
              <w:topLinePunct w:val="0"/>
              <w:bidi w:val="0"/>
              <w:snapToGrid w:val="0"/>
              <w:spacing w:line="400" w:lineRule="exact"/>
              <w:jc w:val="distribute"/>
              <w:rPr>
                <w:rFonts w:hint="eastAsia" w:ascii="宋体" w:hAnsi="宋体" w:eastAsia="宋体" w:cs="宋体"/>
                <w:b/>
                <w:color w:val="auto"/>
                <w:sz w:val="34"/>
                <w:szCs w:val="32"/>
                <w:highlight w:val="none"/>
              </w:rPr>
            </w:pPr>
            <w:r>
              <w:rPr>
                <w:rFonts w:hint="eastAsia" w:ascii="宋体" w:hAnsi="宋体" w:eastAsia="宋体" w:cs="宋体"/>
                <w:b/>
                <w:color w:val="auto"/>
                <w:sz w:val="34"/>
                <w:szCs w:val="32"/>
                <w:highlight w:val="none"/>
              </w:rPr>
              <w:t>项目名称：</w:t>
            </w:r>
          </w:p>
        </w:tc>
        <w:tc>
          <w:tcPr>
            <w:tcW w:w="7097" w:type="dxa"/>
            <w:tcBorders>
              <w:top w:val="nil"/>
              <w:left w:val="nil"/>
              <w:bottom w:val="nil"/>
              <w:right w:val="nil"/>
            </w:tcBorders>
            <w:vAlign w:val="center"/>
          </w:tcPr>
          <w:p>
            <w:pPr>
              <w:pageBreakBefore w:val="0"/>
              <w:kinsoku/>
              <w:overflowPunct/>
              <w:topLinePunct w:val="0"/>
              <w:bidi w:val="0"/>
              <w:spacing w:line="400" w:lineRule="exact"/>
              <w:jc w:val="left"/>
              <w:rPr>
                <w:rFonts w:hint="eastAsia" w:ascii="宋体" w:hAnsi="宋体" w:eastAsia="宋体" w:cs="宋体"/>
                <w:b/>
                <w:color w:val="auto"/>
                <w:sz w:val="34"/>
                <w:szCs w:val="32"/>
                <w:highlight w:val="none"/>
                <w:u w:val="single"/>
              </w:rPr>
            </w:pPr>
            <w:r>
              <w:rPr>
                <w:rFonts w:hint="eastAsia" w:ascii="宋体" w:hAnsi="宋体" w:eastAsia="宋体" w:cs="宋体"/>
                <w:b/>
                <w:color w:val="auto"/>
                <w:sz w:val="34"/>
                <w:szCs w:val="32"/>
                <w:highlight w:val="none"/>
              </w:rPr>
              <w:t>宁波市自然资源和规划全域变化监测</w:t>
            </w:r>
          </w:p>
        </w:tc>
      </w:tr>
      <w:tr>
        <w:tblPrEx>
          <w:tblCellMar>
            <w:top w:w="0" w:type="dxa"/>
            <w:left w:w="108" w:type="dxa"/>
            <w:bottom w:w="0" w:type="dxa"/>
            <w:right w:w="108" w:type="dxa"/>
          </w:tblCellMar>
        </w:tblPrEx>
        <w:trPr>
          <w:trHeight w:val="1435" w:hRule="atLeast"/>
        </w:trPr>
        <w:tc>
          <w:tcPr>
            <w:tcW w:w="2134" w:type="dxa"/>
            <w:tcBorders>
              <w:top w:val="nil"/>
              <w:left w:val="nil"/>
              <w:bottom w:val="nil"/>
              <w:right w:val="nil"/>
            </w:tcBorders>
            <w:vAlign w:val="center"/>
          </w:tcPr>
          <w:p>
            <w:pPr>
              <w:pageBreakBefore w:val="0"/>
              <w:kinsoku/>
              <w:overflowPunct/>
              <w:topLinePunct w:val="0"/>
              <w:bidi w:val="0"/>
              <w:snapToGrid w:val="0"/>
              <w:spacing w:line="400" w:lineRule="exact"/>
              <w:jc w:val="distribute"/>
              <w:rPr>
                <w:rFonts w:hint="eastAsia" w:ascii="宋体" w:hAnsi="宋体" w:eastAsia="宋体" w:cs="宋体"/>
                <w:b/>
                <w:color w:val="auto"/>
                <w:sz w:val="34"/>
                <w:szCs w:val="32"/>
                <w:highlight w:val="none"/>
              </w:rPr>
            </w:pPr>
            <w:r>
              <w:rPr>
                <w:rFonts w:hint="eastAsia" w:ascii="宋体" w:hAnsi="宋体" w:eastAsia="宋体" w:cs="宋体"/>
                <w:b/>
                <w:color w:val="auto"/>
                <w:sz w:val="34"/>
                <w:szCs w:val="32"/>
                <w:highlight w:val="none"/>
              </w:rPr>
              <w:t>采购人：</w:t>
            </w:r>
          </w:p>
        </w:tc>
        <w:tc>
          <w:tcPr>
            <w:tcW w:w="7097" w:type="dxa"/>
            <w:tcBorders>
              <w:top w:val="nil"/>
              <w:left w:val="nil"/>
              <w:bottom w:val="nil"/>
              <w:right w:val="nil"/>
            </w:tcBorders>
            <w:vAlign w:val="center"/>
          </w:tcPr>
          <w:p>
            <w:pPr>
              <w:pageBreakBefore w:val="0"/>
              <w:kinsoku/>
              <w:overflowPunct/>
              <w:topLinePunct w:val="0"/>
              <w:bidi w:val="0"/>
              <w:spacing w:line="400" w:lineRule="exact"/>
              <w:jc w:val="left"/>
              <w:rPr>
                <w:rFonts w:hint="eastAsia" w:ascii="宋体" w:hAnsi="宋体" w:eastAsia="宋体" w:cs="宋体"/>
                <w:b/>
                <w:color w:val="auto"/>
                <w:sz w:val="34"/>
                <w:szCs w:val="32"/>
                <w:highlight w:val="none"/>
              </w:rPr>
            </w:pPr>
            <w:r>
              <w:rPr>
                <w:rFonts w:hint="eastAsia" w:ascii="宋体" w:hAnsi="宋体" w:eastAsia="宋体" w:cs="宋体"/>
                <w:b/>
                <w:color w:val="auto"/>
                <w:sz w:val="34"/>
                <w:szCs w:val="32"/>
                <w:highlight w:val="none"/>
              </w:rPr>
              <w:t>宁波市自然资源和规划局</w:t>
            </w:r>
          </w:p>
        </w:tc>
      </w:tr>
    </w:tbl>
    <w:p>
      <w:pPr>
        <w:pageBreakBefore w:val="0"/>
        <w:kinsoku/>
        <w:overflowPunct/>
        <w:topLinePunct w:val="0"/>
        <w:bidi w:val="0"/>
        <w:spacing w:before="120" w:beforeLines="50" w:line="400" w:lineRule="exact"/>
        <w:rPr>
          <w:rFonts w:hint="eastAsia" w:ascii="宋体" w:hAnsi="宋体" w:eastAsia="宋体" w:cs="宋体"/>
          <w:b/>
          <w:color w:val="auto"/>
          <w:sz w:val="30"/>
          <w:szCs w:val="72"/>
          <w:highlight w:val="none"/>
        </w:rPr>
      </w:pPr>
    </w:p>
    <w:p>
      <w:pPr>
        <w:pStyle w:val="21"/>
        <w:pageBreakBefore w:val="0"/>
        <w:kinsoku/>
        <w:overflowPunct/>
        <w:topLinePunct w:val="0"/>
        <w:bidi w:val="0"/>
        <w:snapToGrid w:val="0"/>
        <w:spacing w:beforeLines="0" w:afterLines="0" w:line="400" w:lineRule="exact"/>
        <w:rPr>
          <w:rFonts w:hint="eastAsia" w:ascii="宋体" w:hAnsi="宋体" w:eastAsia="宋体" w:cs="宋体"/>
          <w:b/>
          <w:color w:val="auto"/>
          <w:sz w:val="30"/>
          <w:szCs w:val="72"/>
          <w:highlight w:val="none"/>
        </w:rPr>
      </w:pPr>
    </w:p>
    <w:p>
      <w:pPr>
        <w:pStyle w:val="21"/>
        <w:pageBreakBefore w:val="0"/>
        <w:kinsoku/>
        <w:overflowPunct/>
        <w:topLinePunct w:val="0"/>
        <w:bidi w:val="0"/>
        <w:snapToGrid w:val="0"/>
        <w:spacing w:beforeLines="0" w:afterLines="0" w:line="400" w:lineRule="exact"/>
        <w:rPr>
          <w:rFonts w:hint="eastAsia" w:ascii="宋体" w:hAnsi="宋体" w:eastAsia="宋体" w:cs="宋体"/>
          <w:b/>
          <w:color w:val="auto"/>
          <w:sz w:val="30"/>
          <w:szCs w:val="72"/>
          <w:highlight w:val="none"/>
        </w:rPr>
      </w:pPr>
    </w:p>
    <w:p>
      <w:pPr>
        <w:pageBreakBefore w:val="0"/>
        <w:kinsoku/>
        <w:overflowPunct/>
        <w:topLinePunct w:val="0"/>
        <w:bidi w:val="0"/>
        <w:snapToGrid w:val="0"/>
        <w:spacing w:before="120" w:beforeLines="50" w:line="400" w:lineRule="exact"/>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4"/>
        <w:rPr>
          <w:rFonts w:hint="eastAsia" w:ascii="宋体" w:hAnsi="宋体" w:eastAsia="宋体" w:cs="宋体"/>
          <w:color w:val="auto"/>
          <w:highlight w:val="none"/>
        </w:rPr>
      </w:pPr>
    </w:p>
    <w:p>
      <w:pPr>
        <w:pageBreakBefore w:val="0"/>
        <w:kinsoku/>
        <w:overflowPunct/>
        <w:topLinePunct w:val="0"/>
        <w:bidi w:val="0"/>
        <w:snapToGrid w:val="0"/>
        <w:spacing w:before="120" w:beforeLines="50" w:line="4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宁波中穗招标有限公司</w:t>
      </w:r>
    </w:p>
    <w:p>
      <w:pPr>
        <w:pageBreakBefore w:val="0"/>
        <w:kinsoku/>
        <w:overflowPunct/>
        <w:topLinePunct w:val="0"/>
        <w:bidi w:val="0"/>
        <w:snapToGrid w:val="0"/>
        <w:spacing w:before="120" w:beforeLines="50" w:line="400" w:lineRule="exact"/>
        <w:jc w:val="center"/>
        <w:rPr>
          <w:rFonts w:hint="eastAsia" w:ascii="宋体" w:hAnsi="宋体" w:eastAsia="宋体" w:cs="宋体"/>
          <w:b/>
          <w:bCs/>
          <w:color w:val="auto"/>
          <w:sz w:val="30"/>
          <w:szCs w:val="30"/>
          <w:highlight w:val="none"/>
        </w:rPr>
        <w:sectPr>
          <w:footerReference r:id="rId5" w:type="first"/>
          <w:headerReference r:id="rId3" w:type="default"/>
          <w:footerReference r:id="rId4" w:type="default"/>
          <w:pgSz w:w="11907" w:h="16840"/>
          <w:pgMar w:top="1276" w:right="1474" w:bottom="1242" w:left="1474" w:header="720" w:footer="720" w:gutter="0"/>
          <w:cols w:space="720" w:num="1"/>
          <w:docGrid w:linePitch="285" w:charSpace="0"/>
        </w:sectPr>
      </w:pPr>
      <w:r>
        <w:rPr>
          <w:rFonts w:hint="eastAsia" w:ascii="宋体" w:hAnsi="宋体" w:eastAsia="宋体" w:cs="宋体"/>
          <w:b/>
          <w:bCs/>
          <w:color w:val="auto"/>
          <w:sz w:val="30"/>
          <w:szCs w:val="30"/>
          <w:highlight w:val="none"/>
        </w:rPr>
        <w:t>二〇二二年十二月</w:t>
      </w:r>
    </w:p>
    <w:p>
      <w:pPr>
        <w:pageBreakBefore w:val="0"/>
        <w:kinsoku/>
        <w:overflowPunct/>
        <w:topLinePunct w:val="0"/>
        <w:bidi w:val="0"/>
        <w:spacing w:line="400" w:lineRule="exact"/>
        <w:jc w:val="center"/>
        <w:outlineLvl w:val="0"/>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目  录</w:t>
      </w:r>
    </w:p>
    <w:p>
      <w:pPr>
        <w:pStyle w:val="76"/>
        <w:pageBreakBefore w:val="0"/>
        <w:kinsoku/>
        <w:overflowPunct/>
        <w:topLinePunct w:val="0"/>
        <w:bidi w:val="0"/>
        <w:spacing w:line="400" w:lineRule="exact"/>
        <w:rPr>
          <w:rFonts w:hint="eastAsia" w:ascii="宋体" w:hAnsi="宋体" w:eastAsia="宋体" w:cs="宋体"/>
          <w:color w:val="auto"/>
          <w:highlight w:val="none"/>
        </w:rPr>
      </w:pPr>
    </w:p>
    <w:p>
      <w:pPr>
        <w:pStyle w:val="76"/>
        <w:pageBreakBefore w:val="0"/>
        <w:kinsoku/>
        <w:overflowPunct/>
        <w:topLinePunct w:val="0"/>
        <w:bidi w:val="0"/>
        <w:spacing w:line="400" w:lineRule="exact"/>
        <w:rPr>
          <w:rFonts w:hint="eastAsia" w:ascii="宋体" w:hAnsi="宋体" w:eastAsia="宋体" w:cs="宋体"/>
          <w:color w:val="auto"/>
          <w:highlight w:val="none"/>
        </w:rPr>
      </w:pPr>
    </w:p>
    <w:p>
      <w:pPr>
        <w:pStyle w:val="28"/>
        <w:keepNext w:val="0"/>
        <w:keepLines w:val="0"/>
        <w:pageBreakBefore w:val="0"/>
        <w:widowControl w:val="0"/>
        <w:tabs>
          <w:tab w:val="right" w:leader="dot" w:pos="8959"/>
        </w:tabs>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"1-2" \h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"_Toc573"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第一章  公开招标采购公告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pPr>
        <w:pStyle w:val="28"/>
        <w:keepNext w:val="0"/>
        <w:keepLines w:val="0"/>
        <w:pageBreakBefore w:val="0"/>
        <w:widowControl w:val="0"/>
        <w:tabs>
          <w:tab w:val="right" w:leader="dot" w:pos="8959"/>
        </w:tabs>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"_Toc19221"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第二章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_Toc19221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8"/>
        <w:keepNext w:val="0"/>
        <w:keepLines w:val="0"/>
        <w:pageBreakBefore w:val="0"/>
        <w:widowControl w:val="0"/>
        <w:tabs>
          <w:tab w:val="right" w:leader="dot" w:pos="8959"/>
        </w:tabs>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"_Toc10729"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第三章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fldChar w:fldCharType="end"/>
      </w:r>
    </w:p>
    <w:p>
      <w:pPr>
        <w:pStyle w:val="28"/>
        <w:keepNext w:val="0"/>
        <w:keepLines w:val="0"/>
        <w:pageBreakBefore w:val="0"/>
        <w:widowControl w:val="0"/>
        <w:tabs>
          <w:tab w:val="right" w:leader="dot" w:pos="8959"/>
        </w:tabs>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"_Toc14879"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第四章  评标办法及评分标准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_Toc14879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8"/>
        <w:keepNext w:val="0"/>
        <w:keepLines w:val="0"/>
        <w:pageBreakBefore w:val="0"/>
        <w:widowControl w:val="0"/>
        <w:tabs>
          <w:tab w:val="right" w:leader="dot" w:pos="8959"/>
        </w:tabs>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"_Toc26178"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第五章  采购合同主要条款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pPr>
        <w:pStyle w:val="28"/>
        <w:keepNext w:val="0"/>
        <w:keepLines w:val="0"/>
        <w:pageBreakBefore w:val="0"/>
        <w:widowControl w:val="0"/>
        <w:tabs>
          <w:tab w:val="right" w:leader="dot" w:pos="8959"/>
        </w:tabs>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"_Toc7729"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_Toc7729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2"/>
        <w:pageBreakBefore w:val="0"/>
        <w:tabs>
          <w:tab w:val="right" w:leader="dot" w:pos="8959"/>
        </w:tabs>
        <w:kinsoku/>
        <w:overflowPunct/>
        <w:topLinePunct w:val="0"/>
        <w:bidi w:val="0"/>
        <w:spacing w:line="400" w:lineRule="exact"/>
        <w:ind w:left="420"/>
        <w:rPr>
          <w:rFonts w:hint="eastAsia" w:ascii="宋体" w:hAnsi="宋体" w:eastAsia="宋体" w:cs="宋体"/>
          <w:color w:val="auto"/>
          <w:sz w:val="28"/>
          <w:szCs w:val="28"/>
          <w:highlight w:val="none"/>
        </w:rPr>
      </w:pPr>
    </w:p>
    <w:p>
      <w:pPr>
        <w:pStyle w:val="28"/>
        <w:pageBreakBefore w:val="0"/>
        <w:tabs>
          <w:tab w:val="right" w:leader="dot" w:pos="8311"/>
        </w:tabs>
        <w:kinsoku/>
        <w:overflowPunct/>
        <w:topLinePunct w:val="0"/>
        <w:bidi w:val="0"/>
        <w:spacing w:line="400" w:lineRule="exact"/>
        <w:rPr>
          <w:rFonts w:hint="eastAsia" w:ascii="宋体" w:hAnsi="宋体" w:eastAsia="宋体" w:cs="宋体"/>
          <w:b/>
          <w:color w:val="auto"/>
          <w:szCs w:val="21"/>
          <w:highlight w:val="none"/>
        </w:rPr>
      </w:pPr>
      <w:r>
        <w:rPr>
          <w:rFonts w:hint="eastAsia" w:ascii="宋体" w:hAnsi="宋体" w:eastAsia="宋体" w:cs="宋体"/>
          <w:color w:val="auto"/>
          <w:sz w:val="28"/>
          <w:szCs w:val="28"/>
          <w:highlight w:val="none"/>
        </w:rPr>
        <w:fldChar w:fldCharType="end"/>
      </w:r>
    </w:p>
    <w:p>
      <w:pPr>
        <w:pStyle w:val="5"/>
        <w:pageBreakBefore w:val="0"/>
        <w:kinsoku/>
        <w:overflowPunct/>
        <w:topLinePunct w:val="0"/>
        <w:bidi w:val="0"/>
        <w:spacing w:before="0" w:after="0" w:line="400" w:lineRule="exact"/>
        <w:jc w:val="center"/>
        <w:rPr>
          <w:rFonts w:hint="eastAsia" w:ascii="宋体" w:hAnsi="宋体" w:eastAsia="宋体" w:cs="宋体"/>
          <w:color w:val="auto"/>
          <w:sz w:val="30"/>
          <w:highlight w:val="none"/>
        </w:rPr>
        <w:sectPr>
          <w:footerReference r:id="rId6" w:type="default"/>
          <w:pgSz w:w="11907" w:h="16840"/>
          <w:pgMar w:top="1276" w:right="1134" w:bottom="1242" w:left="1134" w:header="720" w:footer="720" w:gutter="0"/>
          <w:pgNumType w:start="1"/>
          <w:cols w:space="720" w:num="1"/>
          <w:docGrid w:linePitch="285" w:charSpace="0"/>
        </w:sectPr>
      </w:pPr>
      <w:bookmarkStart w:id="0" w:name="_Toc79395432"/>
      <w:bookmarkStart w:id="1" w:name="_Toc13450"/>
      <w:bookmarkStart w:id="2" w:name="_Toc460857890"/>
      <w:bookmarkStart w:id="3" w:name="_Toc17057"/>
      <w:bookmarkStart w:id="4" w:name="_Toc573"/>
    </w:p>
    <w:p>
      <w:pPr>
        <w:pageBreakBefore w:val="0"/>
        <w:kinsoku/>
        <w:overflowPunct/>
        <w:topLinePunct w:val="0"/>
        <w:bidi w:val="0"/>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电 子 交 易 须 知</w:t>
      </w:r>
    </w:p>
    <w:p>
      <w:pPr>
        <w:pStyle w:val="3"/>
        <w:pageBreakBefore w:val="0"/>
        <w:kinsoku/>
        <w:overflowPunct/>
        <w:topLinePunct w:val="0"/>
        <w:bidi w:val="0"/>
        <w:spacing w:line="400" w:lineRule="exact"/>
        <w:rPr>
          <w:rFonts w:hint="eastAsia" w:ascii="宋体" w:hAnsi="宋体" w:eastAsia="宋体" w:cs="宋体"/>
          <w:color w:val="auto"/>
          <w:highlight w:val="none"/>
        </w:rPr>
      </w:pPr>
    </w:p>
    <w:p>
      <w:pPr>
        <w:pageBreakBefore w:val="0"/>
        <w:kinsoku/>
        <w:overflowPunct/>
        <w:topLinePunct w:val="0"/>
        <w:bidi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项目通过政府采购云平台实行在线电子投标，投标人应先安装政采云电子交易客户端，并按照招标文件和政府采购云平台的要求，通过政采云电子交易客户端编制并加密投标文件，投标人未按规定加密的投标文件，政府采购云平台将予以拒收。</w:t>
      </w:r>
    </w:p>
    <w:p>
      <w:pPr>
        <w:pageBreakBefore w:val="0"/>
        <w:kinsoku/>
        <w:overflowPunct/>
        <w:topLinePunct w:val="0"/>
        <w:bidi w:val="0"/>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政采云电子交易客户端请自行前往“浙江政府采购网-下载专区-电子交易客户端”进行下载，在线电子投标具体操作流程详见《供应商项目采购-电子招投标操作指南》。</w:t>
      </w:r>
    </w:p>
    <w:p>
      <w:pPr>
        <w:pageBreakBefore w:val="0"/>
        <w:kinsoku/>
        <w:overflowPunct/>
        <w:topLinePunct w:val="0"/>
        <w:bidi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标前准备：各供应商应在开标前应确保成为浙江省政府采购网正式注册入库供应商，并完成CA数字证书办理（供应商CA申领操作指南：为保证信息传输的保密性、数据交换的完整性、发送信息的不可否认性及对交易者身份的确认，政采云网上招投标实行CA登录，CA申领有关业务说明链接如下：</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"https://help.zcygov.cn/web/site_2/2018/11/07/2367.html"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olor w:val="auto"/>
          <w:sz w:val="21"/>
          <w:szCs w:val="21"/>
          <w:highlight w:val="none"/>
        </w:rPr>
        <w:t>https://help.zcygov.cn/web/site_2/2018/11/07/2367.html</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，完成CA数字证书办理预计一周左右，请供应商自行把握时间）。因未注册入库、未办理CA数字证书等原因造成无法获取采购文件、无法投标或投标失败等后果由供应商自行承担。</w:t>
      </w:r>
    </w:p>
    <w:p>
      <w:pPr>
        <w:pageBreakBefore w:val="0"/>
        <w:kinsoku/>
        <w:overflowPunct/>
        <w:topLinePunct w:val="0"/>
        <w:bidi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3.采购文件网上获取：</w:t>
      </w:r>
    </w:p>
    <w:p>
      <w:pPr>
        <w:pageBreakBefore w:val="0"/>
        <w:kinsoku/>
        <w:overflowPunct/>
        <w:topLinePunct w:val="0"/>
        <w:bidi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已注册政采云平台账号的供应商登录后可免费下载采购文件，采购文件网上获取操作指南链接如下：https://service.zcygov.cn/#/knowledges/CW1EtGwBFdiHxlNd6I3m/6IMVAG0BFdiHxlNdQ8Na（电脑登录账号后浏览）</w:t>
      </w:r>
    </w:p>
    <w:p>
      <w:pPr>
        <w:pageBreakBefore w:val="0"/>
        <w:kinsoku/>
        <w:overflowPunct/>
        <w:topLinePunct w:val="0"/>
        <w:bidi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4.投标文件制作：</w:t>
      </w:r>
    </w:p>
    <w:p>
      <w:pPr>
        <w:pageBreakBefore w:val="0"/>
        <w:kinsoku/>
        <w:overflowPunct/>
        <w:topLinePunct w:val="0"/>
        <w:bidi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应按照本项目招标文件和政采云平台的要求编制、加密并递交投标文件。供应商在使用系统进行投标的过程中遇到涉及平台使用的任何问题，可致电政采云平台技术支持热线400-881-7190或政采云服务专员电话0574-63917219。</w:t>
      </w:r>
    </w:p>
    <w:p>
      <w:pPr>
        <w:pageBreakBefore w:val="0"/>
        <w:kinsoku/>
        <w:overflowPunct/>
        <w:topLinePunct w:val="0"/>
        <w:bidi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（2）投标人通过政采云平台电子投标工具制作投标文件，电子投标工具链接如下：</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"http://zfcg.czt.zj.gov.cn/bidClientTemplate/2020-10-01/12975.html，"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olor w:val="auto"/>
          <w:sz w:val="21"/>
          <w:szCs w:val="21"/>
          <w:highlight w:val="none"/>
        </w:rPr>
        <w:t>http://zfcg.czt.zj.gov.cn/bidClientTemplate/2020-10-01/12975.html，</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政府采购项目电子交易管理操作指南链接如下：</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"https://service.zcygov.cn/" \l "/knowledges/CW1EtGwBFdiHxlNd6I3m/7GyLXW0BXgMSmLUuYuPM、"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olor w:val="auto"/>
          <w:sz w:val="21"/>
          <w:szCs w:val="21"/>
          <w:highlight w:val="none"/>
        </w:rPr>
        <w:t>https://service.zcygov.cn/#/knowledges/CW1EtGwBFdiHxlNd6I3m/7GyLXW0BXgMSmLUuYuPM</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（电脑登录账号后观看）；https://service.zcygov.cn/#/knowledges/CW1EtGwBFdiHxlNd6I3m/6IMVAG0BFdiHxlNdQ8Na（电脑登录账号后浏览）。</w:t>
      </w:r>
    </w:p>
    <w:p>
      <w:pPr>
        <w:pageBreakBefore w:val="0"/>
        <w:kinsoku/>
        <w:overflowPunct/>
        <w:topLinePunct w:val="0"/>
        <w:bidi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5.业务相关联系人和联系电话</w:t>
      </w:r>
    </w:p>
    <w:p>
      <w:pPr>
        <w:pageBreakBefore w:val="0"/>
        <w:kinsoku/>
        <w:overflowPunct/>
        <w:topLinePunct w:val="0"/>
        <w:bidi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CA咨询(汇信公司)客服热线：400-888-4636</w:t>
      </w:r>
    </w:p>
    <w:p>
      <w:pPr>
        <w:pageBreakBefore w:val="0"/>
        <w:kinsoku/>
        <w:overflowPunct/>
        <w:topLinePunct w:val="0"/>
        <w:bidi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CA咨询（天谷公司）客服热线: 400-087-8198 </w:t>
      </w:r>
    </w:p>
    <w:p>
      <w:pPr>
        <w:pageBreakBefore w:val="0"/>
        <w:kinsoku/>
        <w:overflowPunct/>
        <w:topLinePunct w:val="0"/>
        <w:bidi w:val="0"/>
        <w:spacing w:line="400" w:lineRule="exact"/>
        <w:ind w:firstLine="422" w:firstLineChars="200"/>
        <w:jc w:val="left"/>
        <w:rPr>
          <w:rFonts w:hint="eastAsia" w:ascii="宋体" w:hAnsi="宋体" w:eastAsia="宋体" w:cs="宋体"/>
          <w:color w:val="auto"/>
          <w:highlight w:val="none"/>
        </w:rPr>
        <w:sectPr>
          <w:footerReference r:id="rId7"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eastAsia="宋体" w:cs="宋体"/>
          <w:b/>
          <w:bCs/>
          <w:color w:val="auto"/>
          <w:sz w:val="21"/>
          <w:szCs w:val="21"/>
          <w:highlight w:val="none"/>
        </w:rPr>
        <w:t>政采云平台客服电话：4008817190</w:t>
      </w:r>
    </w:p>
    <w:p>
      <w:pPr>
        <w:pStyle w:val="5"/>
        <w:pageBreakBefore w:val="0"/>
        <w:kinsoku/>
        <w:overflowPunct/>
        <w:topLinePunct w:val="0"/>
        <w:bidi w:val="0"/>
        <w:spacing w:before="0" w:after="0" w:line="400" w:lineRule="exact"/>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第一章  公开招标采购公告</w:t>
      </w:r>
      <w:bookmarkEnd w:id="0"/>
      <w:bookmarkEnd w:id="1"/>
      <w:bookmarkEnd w:id="2"/>
      <w:bookmarkEnd w:id="3"/>
      <w:bookmarkEnd w:id="4"/>
    </w:p>
    <w:p>
      <w:pPr>
        <w:pageBreakBefore w:val="0"/>
        <w:kinsoku/>
        <w:overflowPunct/>
        <w:topLinePunct w:val="0"/>
        <w:bidi w:val="0"/>
        <w:spacing w:line="400" w:lineRule="exact"/>
        <w:jc w:val="center"/>
        <w:rPr>
          <w:rFonts w:hint="eastAsia" w:ascii="宋体" w:hAnsi="宋体" w:eastAsia="宋体" w:cs="宋体"/>
          <w:color w:val="auto"/>
          <w:sz w:val="28"/>
          <w:szCs w:val="28"/>
          <w:highlight w:val="none"/>
        </w:rPr>
      </w:pPr>
    </w:p>
    <w:p>
      <w:pPr>
        <w:pageBreakBefore w:val="0"/>
        <w:widowControl/>
        <w:pBdr>
          <w:top w:val="single" w:color="auto" w:sz="4" w:space="1"/>
          <w:left w:val="single" w:color="auto" w:sz="4" w:space="4"/>
          <w:bottom w:val="single" w:color="auto" w:sz="4" w:space="1"/>
          <w:right w:val="single" w:color="auto" w:sz="4" w:space="4"/>
        </w:pBdr>
        <w:kinsoku/>
        <w:overflowPunct/>
        <w:topLinePunct w:val="0"/>
        <w:bidi w:val="0"/>
        <w:spacing w:before="75" w:after="75"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w:t>
      </w:r>
    </w:p>
    <w:p>
      <w:pPr>
        <w:keepNext w:val="0"/>
        <w:keepLines w:val="0"/>
        <w:pageBreakBefore w:val="0"/>
        <w:widowControl/>
        <w:pBdr>
          <w:top w:val="single" w:color="auto" w:sz="4" w:space="1"/>
          <w:left w:val="single" w:color="auto" w:sz="4" w:space="4"/>
          <w:bottom w:val="single" w:color="auto" w:sz="4" w:space="1"/>
          <w:right w:val="single" w:color="auto" w:sz="4" w:space="4"/>
        </w:pBdr>
        <w:kinsoku w:val="0"/>
        <w:wordWrap/>
        <w:overflowPunct/>
        <w:topLinePunct w:val="0"/>
        <w:autoSpaceDE/>
        <w:autoSpaceDN/>
        <w:bidi w:val="0"/>
        <w:adjustRightInd/>
        <w:snapToGrid/>
        <w:spacing w:before="75" w:after="75"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宁波市自然资源和规划全域变化监测 </w:t>
      </w:r>
      <w:r>
        <w:rPr>
          <w:rFonts w:hint="eastAsia" w:ascii="宋体" w:hAnsi="宋体" w:eastAsia="宋体" w:cs="宋体"/>
          <w:color w:val="auto"/>
          <w:kern w:val="0"/>
          <w:szCs w:val="21"/>
          <w:highlight w:val="none"/>
        </w:rPr>
        <w:t>项目的潜在供应商应在（http://zfcg.czt.zj.gov.cn）浙江政府采购网政采云平台注册登记，获取（下载）招标文件，并于202</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1</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0（北京时间）前递交（上传）投标文件。</w:t>
      </w:r>
    </w:p>
    <w:p>
      <w:pPr>
        <w:pageBreakBefore w:val="0"/>
        <w:widowControl/>
        <w:kinsoku/>
        <w:overflowPunct/>
        <w:topLinePunct w:val="0"/>
        <w:bidi w:val="0"/>
        <w:spacing w:before="255" w:after="255" w:line="40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一、项目基本情况</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1.项目编号：NBZS-202211501G</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2.项目名称：宁波市自然资源和规划全域变化监测</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3.预算金额：550万元</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4.最高限价：550万元</w:t>
      </w:r>
    </w:p>
    <w:p>
      <w:pPr>
        <w:pageBreakBefore w:val="0"/>
        <w:widowControl/>
        <w:kinsoku/>
        <w:overflowPunct/>
        <w:topLinePunct w:val="0"/>
        <w:bidi w:val="0"/>
        <w:spacing w:before="75" w:after="75" w:line="400" w:lineRule="exact"/>
        <w:ind w:left="420" w:left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5.采购需求：</w:t>
      </w:r>
    </w:p>
    <w:p>
      <w:pPr>
        <w:pageBreakBefore w:val="0"/>
        <w:widowControl/>
        <w:kinsoku/>
        <w:overflowPunct/>
        <w:topLinePunct w:val="0"/>
        <w:bidi w:val="0"/>
        <w:spacing w:before="75" w:after="75" w:line="400" w:lineRule="exact"/>
        <w:ind w:left="420" w:left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标项名称: 宁波市自然资源和规划全域变化监测</w:t>
      </w:r>
    </w:p>
    <w:p>
      <w:pPr>
        <w:pageBreakBefore w:val="0"/>
        <w:widowControl/>
        <w:kinsoku/>
        <w:overflowPunct/>
        <w:topLinePunct w:val="0"/>
        <w:bidi w:val="0"/>
        <w:spacing w:before="75" w:after="75" w:line="400" w:lineRule="exact"/>
        <w:ind w:left="420" w:left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数量:1项</w:t>
      </w:r>
    </w:p>
    <w:p>
      <w:pPr>
        <w:pageBreakBefore w:val="0"/>
        <w:kinsoku/>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项目基本概况介绍： 具体内容见采购需求。</w:t>
      </w:r>
    </w:p>
    <w:p>
      <w:pPr>
        <w:pageBreakBefore w:val="0"/>
        <w:widowControl/>
        <w:kinsoku/>
        <w:overflowPunct/>
        <w:topLinePunct w:val="0"/>
        <w:bidi w:val="0"/>
        <w:spacing w:before="75" w:after="75" w:line="400" w:lineRule="exact"/>
        <w:ind w:left="420" w:left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6.合同履约期限：合同签订后至</w:t>
      </w:r>
      <w:r>
        <w:rPr>
          <w:rFonts w:hint="eastAsia" w:ascii="宋体" w:hAnsi="宋体" w:eastAsia="宋体" w:cs="宋体"/>
          <w:color w:val="auto"/>
          <w:highlight w:val="none"/>
        </w:rPr>
        <w:t>2023年1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月底前完成</w:t>
      </w:r>
      <w:r>
        <w:rPr>
          <w:rFonts w:hint="eastAsia" w:ascii="宋体" w:hAnsi="宋体" w:eastAsia="宋体" w:cs="宋体"/>
          <w:color w:val="auto"/>
          <w:kern w:val="0"/>
          <w:szCs w:val="21"/>
          <w:highlight w:val="none"/>
        </w:rPr>
        <w:t>。</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7.本项目</w:t>
      </w:r>
      <w:r>
        <w:rPr>
          <w:rFonts w:hint="eastAsia" w:ascii="宋体" w:hAnsi="宋体" w:eastAsia="宋体" w:cs="宋体"/>
          <w:color w:val="auto"/>
          <w:kern w:val="0"/>
          <w:szCs w:val="21"/>
          <w:highlight w:val="none"/>
          <w:u w:val="single"/>
        </w:rPr>
        <w:t>不接受</w:t>
      </w:r>
      <w:r>
        <w:rPr>
          <w:rFonts w:hint="eastAsia" w:ascii="宋体" w:hAnsi="宋体" w:eastAsia="宋体" w:cs="宋体"/>
          <w:color w:val="auto"/>
          <w:kern w:val="0"/>
          <w:szCs w:val="21"/>
          <w:highlight w:val="none"/>
        </w:rPr>
        <w:t>联合体投标。</w:t>
      </w:r>
    </w:p>
    <w:p>
      <w:pPr>
        <w:pageBreakBefore w:val="0"/>
        <w:widowControl/>
        <w:kinsoku/>
        <w:overflowPunct/>
        <w:topLinePunct w:val="0"/>
        <w:bidi w:val="0"/>
        <w:spacing w:before="225" w:after="225" w:line="400" w:lineRule="exact"/>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二、申请人的资格要求</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满足《中华人民共和国政府采购法》第二十二条规定；未被（www.creditchina.gov.cn)“信用中国”、（www.ccgp.gov.cn）中国政府采购网列入失信被执行人、重大税收违法案件当事人名单、政府采购严重违法失信行为记录名单。</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2.落实政府采购政策需满足的资格要求：无</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3.本项目的特定资格要求：无</w:t>
      </w:r>
    </w:p>
    <w:p>
      <w:pPr>
        <w:pageBreakBefore w:val="0"/>
        <w:widowControl/>
        <w:kinsoku/>
        <w:overflowPunct/>
        <w:topLinePunct w:val="0"/>
        <w:bidi w:val="0"/>
        <w:spacing w:before="255" w:after="255" w:line="40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三、获取招标文件</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1.时间：公告发布之日起至202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29</w:t>
      </w:r>
      <w:bookmarkStart w:id="352" w:name="_GoBack"/>
      <w:bookmarkEnd w:id="352"/>
      <w:r>
        <w:rPr>
          <w:rFonts w:hint="eastAsia" w:ascii="宋体" w:hAnsi="宋体" w:eastAsia="宋体" w:cs="宋体"/>
          <w:color w:val="auto"/>
          <w:kern w:val="0"/>
          <w:szCs w:val="21"/>
          <w:highlight w:val="none"/>
        </w:rPr>
        <w:t>日，每天上午00:00至12:00，下午12:00至23:59（北京时间，线上获取法定节假日均可，线下获取文件法定节假日除外）。</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2.地点（网址）：浙江政府采购云平台（www.zcygov.cn）。</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3.方式：潜在供应商需在政采云平台注册登记，登录政采云平台www.zcygov.cn/在线申请获取采购文件（进入“项目采购”应用，在获取采购文件菜单中选择项目，申请获取采购文件）。</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4.售价（元）：0</w:t>
      </w:r>
    </w:p>
    <w:p>
      <w:pPr>
        <w:pageBreakBefore w:val="0"/>
        <w:widowControl/>
        <w:kinsoku/>
        <w:overflowPunct/>
        <w:topLinePunct w:val="0"/>
        <w:bidi w:val="0"/>
        <w:spacing w:before="255" w:after="255" w:line="40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四、提交投标文件截止时间、开标时间和地点</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提交投标文件截止时间：202</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1</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0（北京时间）。</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投标地点（网址）：</w:t>
      </w:r>
      <w:r>
        <w:rPr>
          <w:rFonts w:hint="eastAsia" w:ascii="宋体" w:hAnsi="宋体" w:eastAsia="宋体" w:cs="宋体"/>
          <w:color w:val="auto"/>
          <w:szCs w:val="21"/>
          <w:highlight w:val="none"/>
        </w:rPr>
        <w:t>登录政府采购云平台（www.zcygov.cn）在线投标，并进行解密（解密时间为提交投标文件截止时间后30分钟内）。</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开标时间：202</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1</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0（北京时间）。</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开标地点（网址）：</w:t>
      </w:r>
      <w:r>
        <w:rPr>
          <w:rFonts w:hint="eastAsia" w:ascii="宋体" w:hAnsi="宋体" w:eastAsia="宋体" w:cs="宋体"/>
          <w:color w:val="auto"/>
          <w:szCs w:val="21"/>
          <w:highlight w:val="none"/>
        </w:rPr>
        <w:t>本项目通过“政府采购云平台”实行在线电子投标，供应商应在线参加开标。</w:t>
      </w:r>
    </w:p>
    <w:p>
      <w:pPr>
        <w:pageBreakBefore w:val="0"/>
        <w:widowControl/>
        <w:kinsoku/>
        <w:overflowPunct/>
        <w:topLinePunct w:val="0"/>
        <w:bidi w:val="0"/>
        <w:spacing w:before="255" w:after="255" w:line="40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五、公告期限</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pageBreakBefore w:val="0"/>
        <w:widowControl/>
        <w:kinsoku/>
        <w:overflowPunct/>
        <w:topLinePunct w:val="0"/>
        <w:bidi w:val="0"/>
        <w:spacing w:before="255" w:after="255" w:line="40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六、其他补充事宜</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供应商认为采购文件使自己的权益受到损害的，可以自获取采购文件之日或者采购文件公告期限届满之日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的政策：《政府采购促进中小企业发展管理办法》（财库〔2020〕46号）、《浙江省财政厅关于进一步加大政府采购支持中小企业力度助力扎实稳住经济的通知》（浙财采监〔2022〕8号）、《关于促进残疾人就业政府采购政策的通知》（财库[2017]141号）、《关于政府采购支持监狱企业发展有关问题的通知》(财库[2014]68号)。</w:t>
      </w:r>
    </w:p>
    <w:p>
      <w:pPr>
        <w:pageBreakBefore w:val="0"/>
        <w:widowControl/>
        <w:kinsoku/>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3.投标与开标注意事项：</w:t>
      </w:r>
    </w:p>
    <w:p>
      <w:pPr>
        <w:pageBreakBefore w:val="0"/>
        <w:kinsoku/>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供应商需按照《浙江省政府采购供应商注册及诚信管理暂行办法》（浙财采监字{2009}28号）的规定在“浙江政府采购网”政采云平台注册登记的，成为浙江省政府采购注册供应商。并完成CA数字证书办理。因未注册入库、未办理CA数字证书等原因造成无法投标或投标失败等后果由供应商自行承担。</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w:t>
      </w:r>
      <w:r>
        <w:rPr>
          <w:rFonts w:hint="eastAsia" w:ascii="宋体" w:hAnsi="宋体" w:eastAsia="宋体" w:cs="宋体"/>
          <w:color w:val="auto"/>
          <w:szCs w:val="21"/>
          <w:highlight w:val="none"/>
        </w:rPr>
        <w:t>单位负责人为同一人或者存在直接控股、管理关系的不同供应商，不得参加同一标项的投标。除单一来源采购项目外，为本项目提供整体设计、规范编制或者项目管理、监理、检测等服务的供应商，不得再参加本项目的投标；供应商不得为该整体项目或其中分项目前期工作提供过设计、编制、管理等服务的法人及附属单位。</w:t>
      </w:r>
    </w:p>
    <w:p>
      <w:pPr>
        <w:pageBreakBefore w:val="0"/>
        <w:widowControl/>
        <w:kinsoku/>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3.3不同投标文件上传的为同一网卡地址，或同一IP地址的为无效投标文件，并作为供应商之间串通响应处理。</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3.4供应商上传平台的是后缀为.jmbs的加密文件，递交给招标代理公司的是后缀为.bfbs的备份文件，未及时解密的责任自负。</w:t>
      </w:r>
    </w:p>
    <w:p>
      <w:pPr>
        <w:pageBreakBefore w:val="0"/>
        <w:widowControl/>
        <w:kinsoku/>
        <w:overflowPunct/>
        <w:topLinePunct w:val="0"/>
        <w:bidi w:val="0"/>
        <w:spacing w:before="75" w:after="75"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3.5本项目实行网上投标，采用电子投标文件。若供应商参与投标，自行承担投保过程中的一切费用。</w:t>
      </w:r>
    </w:p>
    <w:p>
      <w:pPr>
        <w:pageBreakBefore w:val="0"/>
        <w:widowControl/>
        <w:kinsoku/>
        <w:overflowPunct/>
        <w:topLinePunct w:val="0"/>
        <w:bidi w:val="0"/>
        <w:spacing w:before="255" w:after="255" w:line="40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七、对本次采购提出询问、质疑、投诉，请按以下方式联系</w:t>
      </w:r>
    </w:p>
    <w:p>
      <w:pPr>
        <w:pageBreakBefore w:val="0"/>
        <w:kinsoku/>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采购人信息</w:t>
      </w:r>
    </w:p>
    <w:p>
      <w:pPr>
        <w:pageBreakBefore w:val="0"/>
        <w:kinsoku/>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名    称：宁波市自然资源和规划局 </w:t>
      </w:r>
    </w:p>
    <w:p>
      <w:pPr>
        <w:pageBreakBefore w:val="0"/>
        <w:kinsoku/>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地    址：鄞州区和济街9号 </w:t>
      </w:r>
    </w:p>
    <w:p>
      <w:pPr>
        <w:pageBreakBefore w:val="0"/>
        <w:kinsoku/>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项目联系人：刘老师</w:t>
      </w:r>
    </w:p>
    <w:p>
      <w:pPr>
        <w:pageBreakBefore w:val="0"/>
        <w:kinsoku/>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项目联系方式：0574-89284688</w:t>
      </w:r>
    </w:p>
    <w:p>
      <w:pPr>
        <w:pageBreakBefore w:val="0"/>
        <w:kinsoku/>
        <w:overflowPunct/>
        <w:topLinePunct w:val="0"/>
        <w:bidi w:val="0"/>
        <w:snapToGrid w:val="0"/>
        <w:spacing w:line="400" w:lineRule="exact"/>
        <w:ind w:firstLine="621" w:firstLineChars="296"/>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周</w:t>
      </w:r>
      <w:r>
        <w:rPr>
          <w:rFonts w:hint="eastAsia" w:ascii="宋体" w:hAnsi="宋体" w:eastAsia="宋体" w:cs="宋体"/>
          <w:color w:val="auto"/>
          <w:szCs w:val="21"/>
          <w:highlight w:val="none"/>
        </w:rPr>
        <w:t>老师</w:t>
      </w:r>
    </w:p>
    <w:p>
      <w:pPr>
        <w:pageBreakBefore w:val="0"/>
        <w:kinsoku/>
        <w:overflowPunct/>
        <w:topLinePunct w:val="0"/>
        <w:bidi w:val="0"/>
        <w:snapToGrid w:val="0"/>
        <w:spacing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质疑联系方式：0574-89284688 </w:t>
      </w:r>
    </w:p>
    <w:p>
      <w:pPr>
        <w:pageBreakBefore w:val="0"/>
        <w:kinsoku/>
        <w:overflowPunct/>
        <w:topLinePunct w:val="0"/>
        <w:bidi w:val="0"/>
        <w:snapToGrid w:val="0"/>
        <w:spacing w:line="400" w:lineRule="exact"/>
        <w:rPr>
          <w:rFonts w:hint="eastAsia" w:ascii="宋体" w:hAnsi="宋体" w:eastAsia="宋体" w:cs="宋体"/>
          <w:color w:val="auto"/>
          <w:szCs w:val="21"/>
          <w:highlight w:val="none"/>
        </w:rPr>
      </w:pPr>
    </w:p>
    <w:p>
      <w:pPr>
        <w:pageBreakBefore w:val="0"/>
        <w:kinsoku/>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采购代理机构信息</w:t>
      </w:r>
    </w:p>
    <w:p>
      <w:pPr>
        <w:pageBreakBefore w:val="0"/>
        <w:kinsoku/>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名    称：宁波中穗招标有限公司 </w:t>
      </w:r>
    </w:p>
    <w:p>
      <w:pPr>
        <w:pageBreakBefore w:val="0"/>
        <w:kinsoku/>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地    址：宁波市翠柏路89号宁波工程学院公共培训平台大楼A座1109室 </w:t>
      </w:r>
    </w:p>
    <w:p>
      <w:pPr>
        <w:pageBreakBefore w:val="0"/>
        <w:kinsoku/>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项目联系人（询问）：马倩倩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庞港腾、</w:t>
      </w:r>
      <w:r>
        <w:rPr>
          <w:rFonts w:hint="eastAsia" w:ascii="宋体" w:hAnsi="宋体" w:eastAsia="宋体" w:cs="宋体"/>
          <w:color w:val="auto"/>
          <w:szCs w:val="21"/>
          <w:highlight w:val="none"/>
        </w:rPr>
        <w:t xml:space="preserve"> 求华勇 </w:t>
      </w:r>
    </w:p>
    <w:p>
      <w:pPr>
        <w:pageBreakBefore w:val="0"/>
        <w:kinsoku/>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项目联系方式（询问）：0574-87400706 </w:t>
      </w:r>
    </w:p>
    <w:p>
      <w:pPr>
        <w:pageBreakBefore w:val="0"/>
        <w:kinsoku/>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质疑联系人：俞力甩</w:t>
      </w:r>
    </w:p>
    <w:p>
      <w:pPr>
        <w:pageBreakBefore w:val="0"/>
        <w:kinsoku/>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质疑联系方式：0574-87151163 </w:t>
      </w:r>
    </w:p>
    <w:p>
      <w:pPr>
        <w:pageBreakBefore w:val="0"/>
        <w:kinsoku/>
        <w:overflowPunct/>
        <w:topLinePunct w:val="0"/>
        <w:bidi w:val="0"/>
        <w:snapToGrid w:val="0"/>
        <w:spacing w:line="400" w:lineRule="exact"/>
        <w:ind w:firstLine="411" w:firstLineChars="196"/>
        <w:rPr>
          <w:rFonts w:hint="eastAsia" w:ascii="宋体" w:hAnsi="宋体" w:eastAsia="宋体" w:cs="宋体"/>
          <w:color w:val="auto"/>
          <w:szCs w:val="21"/>
          <w:highlight w:val="none"/>
        </w:rPr>
      </w:pPr>
    </w:p>
    <w:p>
      <w:pPr>
        <w:pageBreakBefore w:val="0"/>
        <w:kinsoku/>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同级政府采购监督管理部门</w:t>
      </w:r>
    </w:p>
    <w:p>
      <w:pPr>
        <w:pageBreakBefore w:val="0"/>
        <w:kinsoku/>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名    称：宁波市政府采购管理办公室  </w:t>
      </w:r>
    </w:p>
    <w:p>
      <w:pPr>
        <w:pageBreakBefore w:val="0"/>
        <w:kinsoku/>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联  系  人 ：李老师 </w:t>
      </w:r>
    </w:p>
    <w:p>
      <w:pPr>
        <w:pageBreakBefore w:val="0"/>
        <w:kinsoku/>
        <w:overflowPunct/>
        <w:topLinePunct w:val="0"/>
        <w:bidi w:val="0"/>
        <w:snapToGrid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监督投诉电话：0574-89388042</w:t>
      </w:r>
    </w:p>
    <w:p>
      <w:pPr>
        <w:pStyle w:val="76"/>
        <w:pageBreakBefore w:val="0"/>
        <w:kinsoku/>
        <w:overflowPunct/>
        <w:topLinePunct w:val="0"/>
        <w:bidi w:val="0"/>
        <w:spacing w:line="400" w:lineRule="exact"/>
        <w:rPr>
          <w:rFonts w:hint="eastAsia" w:ascii="宋体" w:hAnsi="宋体" w:eastAsia="宋体" w:cs="宋体"/>
          <w:color w:val="auto"/>
          <w:sz w:val="24"/>
          <w:szCs w:val="24"/>
          <w:highlight w:val="none"/>
        </w:rPr>
      </w:pPr>
    </w:p>
    <w:p>
      <w:pPr>
        <w:pStyle w:val="76"/>
        <w:pageBreakBefore w:val="0"/>
        <w:kinsoku/>
        <w:overflowPunct/>
        <w:topLinePunct w:val="0"/>
        <w:bidi w:val="0"/>
        <w:spacing w:line="400" w:lineRule="exact"/>
        <w:rPr>
          <w:rFonts w:hint="eastAsia" w:ascii="宋体" w:hAnsi="宋体" w:eastAsia="宋体" w:cs="宋体"/>
          <w:color w:val="auto"/>
          <w:sz w:val="24"/>
          <w:szCs w:val="24"/>
          <w:highlight w:val="none"/>
        </w:rPr>
      </w:pPr>
    </w:p>
    <w:p>
      <w:pPr>
        <w:pStyle w:val="5"/>
        <w:pageBreakBefore w:val="0"/>
        <w:kinsoku/>
        <w:overflowPunct/>
        <w:topLinePunct w:val="0"/>
        <w:bidi w:val="0"/>
        <w:spacing w:before="0" w:after="0" w:line="400" w:lineRule="exact"/>
        <w:jc w:val="center"/>
        <w:rPr>
          <w:rFonts w:hint="eastAsia" w:ascii="宋体" w:hAnsi="宋体" w:eastAsia="宋体" w:cs="宋体"/>
          <w:color w:val="auto"/>
          <w:sz w:val="30"/>
          <w:highlight w:val="none"/>
        </w:rPr>
      </w:pPr>
      <w:bookmarkStart w:id="5" w:name="_Toc460857891"/>
      <w:bookmarkStart w:id="6" w:name="_Toc13003"/>
      <w:bookmarkStart w:id="7" w:name="_Toc460416585"/>
      <w:bookmarkStart w:id="8" w:name="_Toc79395433"/>
      <w:bookmarkStart w:id="9" w:name="_Toc27853"/>
      <w:bookmarkStart w:id="10" w:name="_Toc19221"/>
      <w:r>
        <w:rPr>
          <w:rFonts w:hint="eastAsia" w:ascii="宋体" w:hAnsi="宋体" w:eastAsia="宋体" w:cs="宋体"/>
          <w:color w:val="auto"/>
          <w:sz w:val="30"/>
          <w:highlight w:val="none"/>
        </w:rPr>
        <w:t>第二章  采购需求</w:t>
      </w:r>
      <w:bookmarkEnd w:id="5"/>
      <w:bookmarkEnd w:id="6"/>
      <w:bookmarkEnd w:id="7"/>
      <w:bookmarkEnd w:id="8"/>
      <w:bookmarkEnd w:id="9"/>
      <w:bookmarkEnd w:id="10"/>
    </w:p>
    <w:p>
      <w:pPr>
        <w:tabs>
          <w:tab w:val="left" w:pos="576"/>
        </w:tabs>
        <w:spacing w:before="156" w:beforeLines="50" w:line="400" w:lineRule="exact"/>
        <w:jc w:val="left"/>
        <w:rPr>
          <w:rFonts w:hint="eastAsia" w:ascii="宋体" w:hAnsi="宋体" w:eastAsia="宋体" w:cs="宋体"/>
          <w:b/>
          <w:bCs/>
          <w:color w:val="auto"/>
          <w:kern w:val="0"/>
          <w:szCs w:val="21"/>
          <w:highlight w:val="none"/>
        </w:rPr>
      </w:pPr>
      <w:bookmarkStart w:id="11" w:name="_Toc460416586"/>
      <w:bookmarkStart w:id="12" w:name="_Toc460416331"/>
      <w:bookmarkStart w:id="13" w:name="_Toc79395435"/>
      <w:bookmarkStart w:id="14" w:name="_Toc317685546"/>
      <w:bookmarkStart w:id="15" w:name="_Toc6644"/>
      <w:bookmarkStart w:id="16" w:name="_Toc14953"/>
      <w:bookmarkStart w:id="17" w:name="_Toc13889"/>
      <w:bookmarkStart w:id="18" w:name="_Toc460416635"/>
      <w:bookmarkStart w:id="19" w:name="_Toc460857893"/>
      <w:bookmarkStart w:id="20" w:name="_Toc304292160"/>
      <w:bookmarkStart w:id="21" w:name="_Toc460857892"/>
      <w:r>
        <w:rPr>
          <w:rFonts w:hint="eastAsia" w:ascii="宋体" w:hAnsi="宋体" w:eastAsia="宋体" w:cs="宋体"/>
          <w:b/>
          <w:bCs/>
          <w:color w:val="auto"/>
          <w:kern w:val="0"/>
          <w:szCs w:val="21"/>
          <w:highlight w:val="none"/>
        </w:rPr>
        <w:t>一、项目背景</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为贯彻落实习近平生态文明思想，切实履行自然资“两统一”职责，根据自然资源部关于印发《自然资源调查监测体系构建总体方案》的通知（自然资发〔2020〕15号）、《中共中央 国务院关于建立国土空间规划体系并监督实施的若干意见》（中发〔2019〕18号文）、《浙江省测绘与地理信息局 浙江省住房和城乡建设厅关于开展“一区两率”监测工作的通知》（浙测〔2017〕70号）、《宁波市人民政府办公厅关于加强地理国情监测工作的实施意见》（甬政办发〔2018〕18号）和《关于印发〈关于建立自然资源和规划调查监测与执法督察工作协同机制的意见（试行）〉的通知》（甬自然资规发〔2022〕22号）等相关要求，结合我市自然资源和规划监管工作需求，现亟需通过卫星遥感等手段，组织开展宁波市自然资源和规划全域变化监测工作，全面掌握自然资源变化动态，动态更新地理国情监测数据，加强自然资源监管，全面提升自然资源治理能力和水平。</w:t>
      </w:r>
    </w:p>
    <w:p>
      <w:pPr>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二、工作内容</w:t>
      </w:r>
    </w:p>
    <w:p>
      <w:pPr>
        <w:pStyle w:val="139"/>
        <w:spacing w:line="40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基于遥感影像变化，提取海洋、陆地变化图斑（一年三次），完成“二下二上”（下发图斑至区县、区县举证反馈、市级研判反馈至区县、区县完成整改）市县联动；负责指导区（县、市）开展内外业核实；负责提供变化图斑、举证照片至相关业务处室及局委办；编制监测报告。</w:t>
      </w:r>
    </w:p>
    <w:p>
      <w:pPr>
        <w:pStyle w:val="139"/>
        <w:spacing w:line="40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变化图斑自动提取。长时间序列多源遥感影像地类变化图斑的自动提取，建立自然资源变化监测遥感知识库，提高变化图斑自动化处理能力。</w:t>
      </w:r>
    </w:p>
    <w:p>
      <w:pPr>
        <w:pStyle w:val="139"/>
        <w:spacing w:line="40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自然资源违法监测：（1）基于全域变化监测图斑，结合遥感影像、相关审批等数据，按照卫片执法判定规则，初步筛选疑似问题图斑，形成疑似问题图斑数据库；（2）及时接收疑似问题图斑，并完成图斑判定、市级复核（包括县级图斑认定的逻辑性和真伪性、举证材料规范性和合理性）、县级反馈等工作；（3）完成相关统计分析工作，形成自然资源违法问题数据库并做相关分析，形成报告。</w:t>
      </w:r>
    </w:p>
    <w:p>
      <w:pPr>
        <w:pStyle w:val="139"/>
        <w:spacing w:line="40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 “两区两率”监测：包括城区范围、城市建成区、绿化覆盖率及绿地率监测。其中，区县（市）完成城市建成区、绿化覆盖率及绿地率监测，市级完成城区范围监测以及城市建成区、绿化覆盖率及绿地率的检查工作。</w:t>
      </w:r>
    </w:p>
    <w:p>
      <w:pPr>
        <w:pStyle w:val="139"/>
        <w:spacing w:line="40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 根据海洋、地下资源相关数据，开展比对分析。重点对自然资源总体变化情况、图斑成果与用地管理信息叠加情况等进行比对分析。</w:t>
      </w:r>
    </w:p>
    <w:p>
      <w:pPr>
        <w:pStyle w:val="139"/>
        <w:spacing w:line="400" w:lineRule="exact"/>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 协助构建市级自然资源调查监测与自然资源管理工作的业务协同机制，积极探索市级国土变更调查与耕地保护、执法督察等自然资源管理业务部门的协同思路和运行模式，强化国土调查与自然资源管理工作双向联动、闭环协同。</w:t>
      </w:r>
    </w:p>
    <w:p>
      <w:pPr>
        <w:pStyle w:val="139"/>
        <w:spacing w:line="400" w:lineRule="exact"/>
        <w:ind w:left="0" w:firstLine="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三、成果要求</w:t>
      </w:r>
    </w:p>
    <w:p>
      <w:pPr>
        <w:pStyle w:val="139"/>
        <w:numPr>
          <w:ilvl w:val="0"/>
          <w:numId w:val="9"/>
        </w:numPr>
        <w:tabs>
          <w:tab w:val="clear" w:pos="360"/>
        </w:tabs>
        <w:spacing w:line="40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宁波市自然资源和规划全域变化监测报告</w:t>
      </w:r>
    </w:p>
    <w:p>
      <w:pPr>
        <w:pStyle w:val="139"/>
        <w:numPr>
          <w:ilvl w:val="0"/>
          <w:numId w:val="9"/>
        </w:numPr>
        <w:tabs>
          <w:tab w:val="clear" w:pos="360"/>
        </w:tabs>
        <w:spacing w:line="40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宁波市自然资源和规划全域变化监测三期数据库</w:t>
      </w:r>
    </w:p>
    <w:p>
      <w:pPr>
        <w:pStyle w:val="139"/>
        <w:numPr>
          <w:ilvl w:val="0"/>
          <w:numId w:val="9"/>
        </w:numPr>
        <w:tabs>
          <w:tab w:val="clear" w:pos="360"/>
        </w:tabs>
        <w:spacing w:line="40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自然资源遥感变化检测样本库</w:t>
      </w:r>
    </w:p>
    <w:p>
      <w:pPr>
        <w:pStyle w:val="139"/>
        <w:numPr>
          <w:ilvl w:val="0"/>
          <w:numId w:val="9"/>
        </w:numPr>
        <w:tabs>
          <w:tab w:val="clear" w:pos="360"/>
        </w:tabs>
        <w:spacing w:line="40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执法联动图斑数据库及相关报告</w:t>
      </w:r>
    </w:p>
    <w:p>
      <w:pPr>
        <w:pStyle w:val="139"/>
        <w:numPr>
          <w:ilvl w:val="0"/>
          <w:numId w:val="9"/>
        </w:numPr>
        <w:tabs>
          <w:tab w:val="clear" w:pos="360"/>
        </w:tabs>
        <w:spacing w:line="40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“两区两率”数据库及相关报告</w:t>
      </w:r>
    </w:p>
    <w:p>
      <w:pPr>
        <w:pStyle w:val="139"/>
        <w:numPr>
          <w:ilvl w:val="0"/>
          <w:numId w:val="9"/>
        </w:numPr>
        <w:tabs>
          <w:tab w:val="clear" w:pos="360"/>
        </w:tabs>
        <w:spacing w:line="44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宁波市自然资源调查监测与自然资源管理业务协同工作方案</w:t>
      </w:r>
    </w:p>
    <w:p>
      <w:pPr>
        <w:pStyle w:val="139"/>
        <w:spacing w:line="400" w:lineRule="exact"/>
        <w:ind w:left="0" w:firstLine="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四、</w:t>
      </w:r>
      <w:r>
        <w:rPr>
          <w:rFonts w:hint="eastAsia" w:ascii="宋体" w:hAnsi="宋体" w:eastAsia="宋体" w:cs="宋体"/>
          <w:b/>
          <w:bCs/>
          <w:color w:val="auto"/>
          <w:szCs w:val="24"/>
          <w:highlight w:val="none"/>
        </w:rPr>
        <w:t>服务要求</w:t>
      </w:r>
      <w:r>
        <w:rPr>
          <w:rFonts w:hint="eastAsia" w:ascii="宋体" w:hAnsi="宋体" w:eastAsia="宋体" w:cs="宋体"/>
          <w:b/>
          <w:bCs/>
          <w:color w:val="auto"/>
          <w:highlight w:val="none"/>
        </w:rPr>
        <w:t>：</w:t>
      </w:r>
      <w:r>
        <w:rPr>
          <w:rFonts w:hint="eastAsia" w:ascii="宋体" w:hAnsi="宋体" w:eastAsia="宋体" w:cs="宋体"/>
          <w:color w:val="auto"/>
          <w:szCs w:val="24"/>
          <w:highlight w:val="none"/>
        </w:rPr>
        <w:t>为确保项目顺利实施，要求中标供应商提供驻场服务（采购人仅提供办公场所，其他费用由中标供应商自理），合同履行期间项目业务骨干须常驻宁波市自然资源和规划局调查监测处办公。</w:t>
      </w:r>
    </w:p>
    <w:p>
      <w:pPr>
        <w:pStyle w:val="139"/>
        <w:spacing w:line="400" w:lineRule="exact"/>
        <w:ind w:left="0" w:firstLine="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五、商务要求</w:t>
      </w:r>
    </w:p>
    <w:tbl>
      <w:tblPr>
        <w:tblStyle w:val="40"/>
        <w:tblW w:w="9675" w:type="dxa"/>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88"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 目</w:t>
            </w:r>
          </w:p>
        </w:tc>
        <w:tc>
          <w:tcPr>
            <w:tcW w:w="7787"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8" w:type="dxa"/>
            <w:vAlign w:val="center"/>
          </w:tcPr>
          <w:p>
            <w:pPr>
              <w:tabs>
                <w:tab w:val="left" w:pos="420"/>
              </w:tabs>
              <w:spacing w:before="156" w:beforeLines="5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服务期限与地点</w:t>
            </w:r>
          </w:p>
        </w:tc>
        <w:tc>
          <w:tcPr>
            <w:tcW w:w="7787" w:type="dxa"/>
            <w:vAlign w:val="center"/>
          </w:tcPr>
          <w:p>
            <w:pPr>
              <w:tabs>
                <w:tab w:val="left" w:pos="420"/>
              </w:tabs>
              <w:spacing w:before="156" w:beforeLines="50"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服务期限：合同签订后至2023年10月底前完成相关工作，完成验收。</w:t>
            </w:r>
          </w:p>
          <w:p>
            <w:pPr>
              <w:pStyle w:val="3"/>
              <w:spacing w:line="400" w:lineRule="exact"/>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8" w:type="dxa"/>
            <w:vAlign w:val="center"/>
          </w:tcPr>
          <w:p>
            <w:pPr>
              <w:tabs>
                <w:tab w:val="left" w:pos="420"/>
              </w:tabs>
              <w:spacing w:before="156" w:beforeLines="5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787" w:type="dxa"/>
            <w:vAlign w:val="center"/>
          </w:tcPr>
          <w:p>
            <w:pPr>
              <w:tabs>
                <w:tab w:val="left" w:pos="420"/>
              </w:tabs>
              <w:spacing w:before="156" w:before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采购人在合同生效后的七个工作日内向中标供应商支付合同款项的40%；</w:t>
            </w:r>
            <w:r>
              <w:rPr>
                <w:rFonts w:hint="eastAsia" w:ascii="宋体" w:hAnsi="宋体" w:eastAsia="宋体" w:cs="宋体"/>
                <w:color w:val="auto"/>
                <w:highlight w:val="none"/>
              </w:rPr>
              <w:t>其余款项按照项目进度付款。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8" w:type="dxa"/>
            <w:vAlign w:val="center"/>
          </w:tcPr>
          <w:p>
            <w:pPr>
              <w:tabs>
                <w:tab w:val="left" w:pos="420"/>
              </w:tabs>
              <w:spacing w:before="156" w:beforeLines="5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787" w:type="dxa"/>
            <w:vAlign w:val="center"/>
          </w:tcPr>
          <w:p>
            <w:pPr>
              <w:tabs>
                <w:tab w:val="left" w:pos="420"/>
              </w:tabs>
              <w:spacing w:before="156" w:before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8" w:type="dxa"/>
            <w:vAlign w:val="center"/>
          </w:tcPr>
          <w:p>
            <w:pPr>
              <w:tabs>
                <w:tab w:val="left" w:pos="420"/>
              </w:tabs>
              <w:spacing w:before="156" w:beforeLines="5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验收方式</w:t>
            </w:r>
          </w:p>
        </w:tc>
        <w:tc>
          <w:tcPr>
            <w:tcW w:w="7787" w:type="dxa"/>
            <w:vAlign w:val="center"/>
          </w:tcPr>
          <w:p>
            <w:pPr>
              <w:tabs>
                <w:tab w:val="left" w:pos="420"/>
              </w:tabs>
              <w:spacing w:before="156" w:before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根据招标文件及响应文件，结合项目实际情况由采购人组织验收。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8" w:type="dxa"/>
            <w:vAlign w:val="center"/>
          </w:tcPr>
          <w:p>
            <w:pPr>
              <w:tabs>
                <w:tab w:val="left" w:pos="420"/>
              </w:tabs>
              <w:spacing w:before="156" w:beforeLines="5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w:t>
            </w:r>
          </w:p>
        </w:tc>
        <w:tc>
          <w:tcPr>
            <w:tcW w:w="7787" w:type="dxa"/>
            <w:vAlign w:val="center"/>
          </w:tcPr>
          <w:p>
            <w:pPr>
              <w:tabs>
                <w:tab w:val="left" w:pos="420"/>
              </w:tabs>
              <w:spacing w:before="156" w:beforeLines="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中标通知书发出后30天内签订合同。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888" w:type="dxa"/>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知识产权</w:t>
            </w:r>
          </w:p>
        </w:tc>
        <w:tc>
          <w:tcPr>
            <w:tcW w:w="7787" w:type="dxa"/>
            <w:vAlign w:val="center"/>
          </w:tcPr>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本项目最终成果的知识产权归采购人所有。供应商应保证提供服务过程中不会侵犯任何第三方的知识产权。若发生第三方知识产权纠纷，采购人保留追究责任的权利。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888" w:type="dxa"/>
            <w:vAlign w:val="center"/>
          </w:tcPr>
          <w:p>
            <w:pPr>
              <w:tabs>
                <w:tab w:val="left" w:pos="420"/>
              </w:tabs>
              <w:spacing w:before="156" w:beforeLines="5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违约责任</w:t>
            </w:r>
          </w:p>
        </w:tc>
        <w:tc>
          <w:tcPr>
            <w:tcW w:w="7787" w:type="dxa"/>
            <w:vAlign w:val="center"/>
          </w:tcPr>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中标人逾期履行合同的，自逾期之日起，向采购人每日偿付合同总价百分之五的滞纳金；中标人逾期15日不能提交成果，视为中标人不能履行合同，采购人有权解除合同，中标人应承担违约责任，应向采购人支付合同总价百分之十的违约金。</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2.中标后中标人撤回投标或拒绝签订合同的，给采购人造成的损失、招标过程及重新招标期间产生的费用由中标人承担。</w:t>
            </w:r>
          </w:p>
        </w:tc>
      </w:tr>
      <w:bookmarkEnd w:id="11"/>
      <w:bookmarkEnd w:id="12"/>
      <w:bookmarkEnd w:id="13"/>
      <w:bookmarkEnd w:id="14"/>
      <w:bookmarkEnd w:id="15"/>
      <w:bookmarkEnd w:id="16"/>
      <w:bookmarkEnd w:id="17"/>
      <w:bookmarkEnd w:id="18"/>
      <w:bookmarkEnd w:id="19"/>
      <w:bookmarkEnd w:id="20"/>
      <w:bookmarkEnd w:id="21"/>
    </w:tbl>
    <w:p>
      <w:pPr>
        <w:pStyle w:val="139"/>
        <w:pageBreakBefore w:val="0"/>
        <w:kinsoku/>
        <w:overflowPunct/>
        <w:topLinePunct w:val="0"/>
        <w:bidi w:val="0"/>
        <w:spacing w:line="400" w:lineRule="exact"/>
        <w:ind w:left="0" w:firstLine="0"/>
        <w:jc w:val="center"/>
        <w:outlineLvl w:val="0"/>
        <w:rPr>
          <w:rFonts w:hint="eastAsia" w:ascii="宋体" w:hAnsi="宋体" w:eastAsia="宋体" w:cs="宋体"/>
          <w:b/>
          <w:bCs/>
          <w:color w:val="auto"/>
          <w:sz w:val="30"/>
          <w:szCs w:val="30"/>
          <w:highlight w:val="none"/>
        </w:rPr>
      </w:pPr>
      <w:bookmarkStart w:id="22" w:name="_Toc14945"/>
      <w:bookmarkStart w:id="23" w:name="_Toc10729"/>
      <w:bookmarkStart w:id="24" w:name="_Toc4069"/>
      <w:bookmarkStart w:id="25" w:name="_Toc79395437"/>
      <w:r>
        <w:rPr>
          <w:rFonts w:hint="eastAsia" w:ascii="宋体" w:hAnsi="宋体" w:eastAsia="宋体" w:cs="宋体"/>
          <w:color w:val="auto"/>
          <w:kern w:val="0"/>
          <w:sz w:val="24"/>
          <w:szCs w:val="24"/>
          <w:highlight w:val="none"/>
        </w:rPr>
        <w:br w:type="page"/>
      </w:r>
      <w:r>
        <w:rPr>
          <w:rFonts w:hint="eastAsia" w:ascii="宋体" w:hAnsi="宋体" w:eastAsia="宋体" w:cs="宋体"/>
          <w:b/>
          <w:bCs/>
          <w:color w:val="auto"/>
          <w:kern w:val="0"/>
          <w:sz w:val="30"/>
          <w:szCs w:val="30"/>
          <w:highlight w:val="none"/>
        </w:rPr>
        <w:t xml:space="preserve">第三章 </w:t>
      </w:r>
      <w:r>
        <w:rPr>
          <w:rFonts w:hint="eastAsia" w:ascii="宋体" w:hAnsi="宋体" w:cs="宋体"/>
          <w:b/>
          <w:bCs/>
          <w:color w:val="auto"/>
          <w:kern w:val="0"/>
          <w:sz w:val="30"/>
          <w:szCs w:val="30"/>
          <w:highlight w:val="none"/>
          <w:lang w:val="en-US" w:eastAsia="zh-CN"/>
        </w:rPr>
        <w:t xml:space="preserve"> </w:t>
      </w:r>
      <w:r>
        <w:rPr>
          <w:rFonts w:hint="eastAsia" w:ascii="宋体" w:hAnsi="宋体" w:eastAsia="宋体" w:cs="宋体"/>
          <w:b/>
          <w:bCs/>
          <w:color w:val="auto"/>
          <w:sz w:val="30"/>
          <w:szCs w:val="30"/>
          <w:highlight w:val="none"/>
        </w:rPr>
        <w:t>投标人须知</w:t>
      </w:r>
      <w:bookmarkEnd w:id="22"/>
      <w:bookmarkEnd w:id="23"/>
      <w:bookmarkEnd w:id="24"/>
      <w:bookmarkEnd w:id="25"/>
    </w:p>
    <w:p>
      <w:pPr>
        <w:pStyle w:val="139"/>
        <w:pageBreakBefore w:val="0"/>
        <w:kinsoku/>
        <w:overflowPunct/>
        <w:topLinePunct w:val="0"/>
        <w:bidi w:val="0"/>
        <w:spacing w:line="400" w:lineRule="exact"/>
        <w:ind w:left="0" w:firstLine="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前附表</w:t>
      </w:r>
    </w:p>
    <w:tbl>
      <w:tblPr>
        <w:tblStyle w:val="40"/>
        <w:tblW w:w="902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0"/>
        <w:gridCol w:w="81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9" w:hRule="atLeast"/>
          <w:tblHeader/>
        </w:trPr>
        <w:tc>
          <w:tcPr>
            <w:tcW w:w="850" w:type="dxa"/>
            <w:vAlign w:val="center"/>
          </w:tcPr>
          <w:p>
            <w:pPr>
              <w:pageBreakBefore w:val="0"/>
              <w:kinsoku/>
              <w:overflowPunct/>
              <w:topLinePunct w:val="0"/>
              <w:bidi w:val="0"/>
              <w:spacing w:line="400" w:lineRule="exact"/>
              <w:jc w:val="center"/>
              <w:rPr>
                <w:rFonts w:hint="eastAsia" w:ascii="宋体" w:hAnsi="宋体" w:eastAsia="宋体" w:cs="宋体"/>
                <w:b/>
                <w:bCs/>
                <w:color w:val="auto"/>
                <w:highlight w:val="none"/>
              </w:rPr>
            </w:pPr>
            <w:bookmarkStart w:id="26" w:name="_Toc460416594"/>
            <w:bookmarkStart w:id="27" w:name="_Toc460857895"/>
            <w:r>
              <w:rPr>
                <w:rFonts w:hint="eastAsia" w:ascii="宋体" w:hAnsi="宋体" w:eastAsia="宋体" w:cs="宋体"/>
                <w:b/>
                <w:bCs/>
                <w:color w:val="auto"/>
                <w:highlight w:val="none"/>
              </w:rPr>
              <w:t>序  号</w:t>
            </w:r>
          </w:p>
        </w:tc>
        <w:tc>
          <w:tcPr>
            <w:tcW w:w="8175" w:type="dxa"/>
            <w:vAlign w:val="center"/>
          </w:tcPr>
          <w:p>
            <w:pPr>
              <w:pageBreakBefore w:val="0"/>
              <w:kinsoku/>
              <w:overflowPunct/>
              <w:topLinePunct w:val="0"/>
              <w:bidi w:val="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内容、要求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2" w:hRule="atLeast"/>
        </w:trPr>
        <w:tc>
          <w:tcPr>
            <w:tcW w:w="850" w:type="dxa"/>
            <w:vAlign w:val="center"/>
          </w:tcPr>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175" w:type="dxa"/>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项目名称：宁波市自然资源和规划全域变化监测</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项目编号：NBZS-202211501G</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采购方式：公开招标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50" w:type="dxa"/>
            <w:vAlign w:val="center"/>
          </w:tcPr>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175" w:type="dxa"/>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采购人名称：宁波市自然资源和规划局</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项目联系人：刘老师</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项目联系方式：</w:t>
            </w:r>
            <w:r>
              <w:rPr>
                <w:rFonts w:hint="eastAsia" w:ascii="宋体" w:hAnsi="宋体" w:eastAsia="宋体" w:cs="宋体"/>
                <w:color w:val="auto"/>
                <w:szCs w:val="21"/>
                <w:highlight w:val="none"/>
              </w:rPr>
              <w:t>0574-89284688</w:t>
            </w:r>
          </w:p>
          <w:p>
            <w:pPr>
              <w:pageBreakBefore w:val="0"/>
              <w:kinsoku/>
              <w:overflowPunct/>
              <w:topLinePunct w:val="0"/>
              <w:bidi w:val="0"/>
              <w:spacing w:line="400" w:lineRule="exact"/>
              <w:rPr>
                <w:rFonts w:hint="eastAsia" w:ascii="宋体" w:hAnsi="宋体" w:eastAsia="宋体" w:cs="宋体"/>
                <w:color w:val="auto"/>
                <w:highlight w:val="none"/>
              </w:rPr>
            </w:pP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招标代理单位：宁波中穗招标有限公司</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地址：宁波市翠柏路89号宁波工程学院公共培训平台大楼A座1109室</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联系人：求华勇 马倩倩 </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联系方式：0574-87400706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70" w:hRule="atLeast"/>
        </w:trPr>
        <w:tc>
          <w:tcPr>
            <w:tcW w:w="850" w:type="dxa"/>
            <w:vAlign w:val="center"/>
          </w:tcPr>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175" w:type="dxa"/>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投标报价及费用：</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1.本项目采购预算/最高限价：人民币550万元，投标报价超过预算金额或最高限价的作无效标处理。</w:t>
            </w:r>
          </w:p>
          <w:p>
            <w:pPr>
              <w:pageBreakBefore w:val="0"/>
              <w:kinsoku/>
              <w:overflowPunct/>
              <w:topLinePunct w:val="0"/>
              <w:bidi w:val="0"/>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2.投标报价：</w:t>
            </w:r>
            <w:r>
              <w:rPr>
                <w:rFonts w:hint="eastAsia" w:ascii="宋体" w:hAnsi="宋体" w:eastAsia="宋体" w:cs="宋体"/>
                <w:color w:val="auto"/>
                <w:highlight w:val="none"/>
                <w:lang w:val="zh-CN"/>
              </w:rPr>
              <w:t>投标文件中价格全部采用人民币报价。有关本项目实施所需的所有费用（含税费）均计入报价。</w:t>
            </w:r>
            <w:r>
              <w:rPr>
                <w:rFonts w:hint="eastAsia" w:ascii="宋体" w:hAnsi="宋体" w:eastAsia="宋体" w:cs="宋体"/>
                <w:color w:val="auto"/>
                <w:highlight w:val="none"/>
              </w:rPr>
              <w:t>开标一览表（报价表）是报价的唯一载体</w:t>
            </w:r>
            <w:r>
              <w:rPr>
                <w:rFonts w:hint="eastAsia" w:ascii="宋体" w:hAnsi="宋体" w:eastAsia="宋体" w:cs="宋体"/>
                <w:color w:val="auto"/>
                <w:highlight w:val="none"/>
                <w:lang w:val="zh-CN"/>
              </w:rPr>
              <w:t>。招标文件未列明，而投标人认为必需的费用也需列入报价。</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3.不论投标结果如何，投标人均应自行承担所有与投标有关的全部费用。</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4.招标代理服务费的收取标准：</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本招标公司参照国家发改委发改办价格[2003]857号通知和原国家计委计价格[2002]1980号文件的规定的服务类招标费率标准，以中标通知书确定的总金额为基数，由中标人在领取中标通知书前支付服务费。</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服务费汇入账户：</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账户名称：宁波中穗招标有限公司</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开户银行：中国建设银行宁波市分行</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银行账号：33101983679050542195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850" w:type="dxa"/>
            <w:vAlign w:val="center"/>
          </w:tcPr>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8175" w:type="dxa"/>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工期要求：合同签订后至2023年1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月底前完成相关工作，</w:t>
            </w:r>
            <w:r>
              <w:rPr>
                <w:rFonts w:hint="eastAsia" w:ascii="宋体" w:hAnsi="宋体" w:eastAsia="宋体" w:cs="宋体"/>
                <w:color w:val="auto"/>
                <w:highlight w:val="none"/>
                <w:lang w:val="en-US" w:eastAsia="zh-CN"/>
              </w:rPr>
              <w:t>完成验收</w:t>
            </w:r>
            <w:r>
              <w:rPr>
                <w:rFonts w:hint="eastAsia" w:ascii="宋体" w:hAnsi="宋体" w:eastAsia="宋体" w:cs="宋体"/>
                <w:color w:val="auto"/>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850" w:type="dxa"/>
            <w:vAlign w:val="center"/>
          </w:tcPr>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8175" w:type="dxa"/>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付款方式：</w:t>
            </w:r>
            <w:r>
              <w:rPr>
                <w:rFonts w:hint="eastAsia" w:ascii="宋体" w:hAnsi="宋体" w:eastAsia="宋体" w:cs="宋体"/>
                <w:color w:val="auto"/>
                <w:szCs w:val="21"/>
                <w:highlight w:val="none"/>
              </w:rPr>
              <w:t>采购人在合同生效后的七个工作日内向中标供应商支付合同款项的40%；</w:t>
            </w:r>
            <w:r>
              <w:rPr>
                <w:rFonts w:hint="eastAsia" w:ascii="宋体" w:hAnsi="宋体" w:eastAsia="宋体" w:cs="宋体"/>
                <w:color w:val="auto"/>
                <w:highlight w:val="none"/>
              </w:rPr>
              <w:t>其余款项按照项目进度付款。</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2.投标保证金：无</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3.履约保证金：无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850" w:type="dxa"/>
            <w:vAlign w:val="center"/>
          </w:tcPr>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8175" w:type="dxa"/>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评标办法：综合评分法。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trPr>
        <w:tc>
          <w:tcPr>
            <w:tcW w:w="850" w:type="dxa"/>
            <w:vAlign w:val="center"/>
          </w:tcPr>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8175" w:type="dxa"/>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信息公告媒体：浙江政府采购网。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850" w:type="dxa"/>
            <w:vAlign w:val="center"/>
          </w:tcPr>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8175" w:type="dxa"/>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签订合同时间：中标通知书发出后30日内。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7" w:hRule="atLeast"/>
        </w:trPr>
        <w:tc>
          <w:tcPr>
            <w:tcW w:w="850" w:type="dxa"/>
            <w:vAlign w:val="center"/>
          </w:tcPr>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8175" w:type="dxa"/>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采购资金来源：财政预算资金。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trPr>
        <w:tc>
          <w:tcPr>
            <w:tcW w:w="850" w:type="dxa"/>
            <w:vAlign w:val="center"/>
          </w:tcPr>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8175" w:type="dxa"/>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投标文件的上传和递交：</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“电子加密投标文件”的上传、递交：</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a.投标供应商应在投标截止时间前将“电子加密投标文件”成功上传递交至“政府采购云平台”，否则投标无效。</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b.“电子加密投标文件”成功上传递交后，供应商可自行打印投标文件接收回执。</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“备份投标文件”的密封包装、递交（非强制项）：</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a.投标供应商还可以采用邮寄方式或现场方式在投标截止时间前（202</w:t>
            </w:r>
            <w:r>
              <w:rPr>
                <w:rFonts w:hint="eastAsia" w:ascii="宋体" w:hAnsi="宋体" w:cs="宋体"/>
                <w:color w:val="auto"/>
                <w:highlight w:val="none"/>
                <w:lang w:val="en-US" w:eastAsia="zh-CN"/>
              </w:rPr>
              <w:t>3</w:t>
            </w:r>
            <w:r>
              <w:rPr>
                <w:rFonts w:hint="eastAsia" w:ascii="宋体" w:hAnsi="宋体" w:eastAsia="宋体" w:cs="宋体"/>
                <w:color w:val="auto"/>
                <w:highlight w:val="none"/>
              </w:rPr>
              <w:t>年</w:t>
            </w:r>
            <w:r>
              <w:rPr>
                <w:rFonts w:hint="eastAsia" w:ascii="宋体" w:hAnsi="宋体" w:cs="宋体"/>
                <w:color w:val="auto"/>
                <w:highlight w:val="none"/>
                <w:lang w:val="en-US" w:eastAsia="zh-CN"/>
              </w:rPr>
              <w:t>1</w:t>
            </w:r>
            <w:r>
              <w:rPr>
                <w:rFonts w:hint="eastAsia" w:ascii="宋体" w:hAnsi="宋体" w:eastAsia="宋体" w:cs="宋体"/>
                <w:color w:val="auto"/>
                <w:highlight w:val="none"/>
              </w:rPr>
              <w:t>月</w:t>
            </w:r>
            <w:r>
              <w:rPr>
                <w:rFonts w:hint="eastAsia" w:ascii="宋体" w:hAnsi="宋体" w:cs="宋体"/>
                <w:color w:val="auto"/>
                <w:highlight w:val="none"/>
                <w:lang w:val="en-US" w:eastAsia="zh-CN"/>
              </w:rPr>
              <w:t>11</w:t>
            </w:r>
            <w:r>
              <w:rPr>
                <w:rFonts w:hint="eastAsia" w:ascii="宋体" w:hAnsi="宋体" w:eastAsia="宋体" w:cs="宋体"/>
                <w:color w:val="auto"/>
                <w:highlight w:val="none"/>
              </w:rPr>
              <w:t>日17点00分前）递交以U盘存储的 “备份投标文件”（一份）。</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邮寄地址：宁波市翠柏路89号宁波工程学院公共培训平台大楼A座1109室；</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收件人：范海东； 联系方式：13567844430。</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各供应商应自行考虑邮寄在途时间，邮寄过程中无论何种因素导致备份投标文件未按时递交的后果，均由供应商自行负责；</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b.“备份投标文件”应当密封包装，并在包装上标注投标项目名称、投标单位名称并加盖公章。没有密封包装或者逾期邮寄送达至投标地点的“备份投标文件”将不予接收；</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c.通过“政府采购云平台”成功上传递交的“电子加密投标文件”已按时解密的，“备份投标文件”自动失效。</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投标文件启用顺序和效力。投标文件的启用，按先后顺位分别为电子投标文件、以U盘存储的数据电文形式的备份投标文件。顺位在先的投标文件已按时解密的，备份投标文件自动失效。在下一顺位的投标文件启用时，前一顺位的投标文件自动失效。</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★未传输递交电子投标文件的，投标无效。</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注：评标结束后，本项目的中标供应商仍需提供叁套与电子投标文件一致的纸质投标文件（一正二副），如不一致，以电子投标文件为准。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850" w:type="dxa"/>
            <w:vAlign w:val="center"/>
          </w:tcPr>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8175" w:type="dxa"/>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电子加密投标文件的解密和异常情况处理：</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开标后，采购组织机构将向各投标供应商发出“电子加密投标文件”的解密通知，各投标供应商代表应当在接到解密通知后30分钟内自行完成“电子加密投标文件”的在线解密（加密和解密需同一CA锁）。</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投标截止时间前，投标供应商仅递交了“备份投标文件”而未将电子加密投标文件成功上传至“政府采购云平台”的，投标无效。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850" w:type="dxa"/>
            <w:vAlign w:val="center"/>
          </w:tcPr>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8175" w:type="dxa"/>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投标文件有效期：90天。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850" w:type="dxa"/>
            <w:vAlign w:val="center"/>
          </w:tcPr>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8175" w:type="dxa"/>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针对同一采购程序环节的质疑次数：一次性提出。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850" w:type="dxa"/>
            <w:vAlign w:val="center"/>
          </w:tcPr>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8175" w:type="dxa"/>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解释：本招标文件的解释权属于招标代理机构和采购人。</w:t>
            </w:r>
          </w:p>
        </w:tc>
      </w:tr>
      <w:bookmarkEnd w:id="26"/>
      <w:bookmarkEnd w:id="27"/>
    </w:tbl>
    <w:p>
      <w:pPr>
        <w:pStyle w:val="6"/>
        <w:pageBreakBefore w:val="0"/>
        <w:numPr>
          <w:ilvl w:val="0"/>
          <w:numId w:val="0"/>
        </w:numPr>
        <w:kinsoku/>
        <w:overflowPunct/>
        <w:topLinePunct w:val="0"/>
        <w:bidi w:val="0"/>
        <w:spacing w:before="0" w:after="0" w:line="400" w:lineRule="exact"/>
        <w:jc w:val="center"/>
        <w:rPr>
          <w:rFonts w:hint="eastAsia" w:ascii="宋体" w:hAnsi="宋体" w:eastAsia="宋体" w:cs="宋体"/>
          <w:color w:val="auto"/>
          <w:sz w:val="21"/>
          <w:szCs w:val="21"/>
          <w:highlight w:val="none"/>
        </w:rPr>
      </w:pPr>
      <w:bookmarkStart w:id="28" w:name="_Toc460416644"/>
      <w:bookmarkStart w:id="29" w:name="_Toc460857896"/>
      <w:bookmarkStart w:id="30" w:name="_Toc460416339"/>
      <w:bookmarkStart w:id="31" w:name="_Toc460416595"/>
      <w:r>
        <w:rPr>
          <w:rFonts w:hint="eastAsia" w:ascii="宋体" w:hAnsi="宋体" w:eastAsia="宋体" w:cs="宋体"/>
          <w:color w:val="auto"/>
          <w:sz w:val="21"/>
          <w:szCs w:val="21"/>
          <w:highlight w:val="none"/>
        </w:rPr>
        <w:br w:type="page"/>
      </w:r>
      <w:bookmarkEnd w:id="28"/>
      <w:bookmarkEnd w:id="29"/>
      <w:bookmarkEnd w:id="30"/>
      <w:bookmarkEnd w:id="31"/>
      <w:bookmarkStart w:id="32" w:name="_Toc460857897"/>
      <w:bookmarkStart w:id="33" w:name="_Toc13183"/>
      <w:bookmarkStart w:id="34" w:name="_Toc79395438"/>
      <w:bookmarkStart w:id="35" w:name="_Toc8008"/>
      <w:bookmarkStart w:id="36" w:name="_Toc17707910"/>
      <w:bookmarkStart w:id="37" w:name="_Toc15866"/>
      <w:r>
        <w:rPr>
          <w:rFonts w:hint="eastAsia" w:ascii="宋体" w:hAnsi="宋体" w:eastAsia="宋体" w:cs="宋体"/>
          <w:color w:val="auto"/>
          <w:highlight w:val="none"/>
        </w:rPr>
        <w:t>一、总  则</w:t>
      </w:r>
      <w:bookmarkEnd w:id="32"/>
      <w:bookmarkEnd w:id="33"/>
      <w:bookmarkEnd w:id="34"/>
      <w:bookmarkEnd w:id="35"/>
      <w:bookmarkEnd w:id="36"/>
      <w:bookmarkEnd w:id="37"/>
    </w:p>
    <w:p>
      <w:pPr>
        <w:pStyle w:val="7"/>
        <w:pageBreakBefore w:val="0"/>
        <w:numPr>
          <w:ilvl w:val="0"/>
          <w:numId w:val="0"/>
        </w:numPr>
        <w:tabs>
          <w:tab w:val="clear" w:pos="720"/>
        </w:tabs>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38" w:name="_Toc460857898"/>
      <w:bookmarkStart w:id="39" w:name="_Toc19506"/>
      <w:bookmarkStart w:id="40" w:name="_Toc460416596"/>
      <w:bookmarkStart w:id="41" w:name="_Toc460416340"/>
      <w:bookmarkStart w:id="42" w:name="_Toc17707911"/>
      <w:bookmarkStart w:id="43" w:name="_Toc96"/>
      <w:bookmarkStart w:id="44" w:name="_Toc79395439"/>
      <w:bookmarkStart w:id="45" w:name="_Toc460416645"/>
      <w:r>
        <w:rPr>
          <w:rFonts w:hint="eastAsia" w:ascii="宋体" w:hAnsi="宋体" w:eastAsia="宋体" w:cs="宋体"/>
          <w:color w:val="auto"/>
          <w:kern w:val="2"/>
          <w:sz w:val="21"/>
          <w:szCs w:val="21"/>
          <w:highlight w:val="none"/>
        </w:rPr>
        <w:t>（一）适用范围</w:t>
      </w:r>
      <w:bookmarkEnd w:id="38"/>
      <w:bookmarkEnd w:id="39"/>
      <w:bookmarkEnd w:id="40"/>
      <w:bookmarkEnd w:id="41"/>
      <w:bookmarkEnd w:id="42"/>
      <w:bookmarkEnd w:id="43"/>
      <w:bookmarkEnd w:id="44"/>
      <w:bookmarkEnd w:id="45"/>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本采购文件适用于本采购项目的招标、投标、评标、定标、验收、合同履约、付款等行为（法律、法规另有规定的，从其规定）。</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46" w:name="_Toc460416597"/>
      <w:bookmarkStart w:id="47" w:name="_Toc460416341"/>
      <w:bookmarkStart w:id="48" w:name="_Toc460857899"/>
      <w:bookmarkStart w:id="49" w:name="_Toc18164"/>
      <w:bookmarkStart w:id="50" w:name="_Toc460416646"/>
      <w:bookmarkStart w:id="51" w:name="_Toc79395440"/>
      <w:bookmarkStart w:id="52" w:name="_Toc18275"/>
      <w:bookmarkStart w:id="53" w:name="_Toc17707912"/>
      <w:r>
        <w:rPr>
          <w:rFonts w:hint="eastAsia" w:ascii="宋体" w:hAnsi="宋体" w:eastAsia="宋体" w:cs="宋体"/>
          <w:color w:val="auto"/>
          <w:kern w:val="2"/>
          <w:sz w:val="21"/>
          <w:szCs w:val="21"/>
          <w:highlight w:val="none"/>
        </w:rPr>
        <w:t>（二）定义</w:t>
      </w:r>
      <w:bookmarkEnd w:id="46"/>
      <w:bookmarkEnd w:id="47"/>
      <w:bookmarkEnd w:id="48"/>
      <w:bookmarkEnd w:id="49"/>
      <w:bookmarkEnd w:id="50"/>
      <w:bookmarkEnd w:id="51"/>
      <w:bookmarkEnd w:id="52"/>
      <w:bookmarkEnd w:id="53"/>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1.“采购人”系指组织本次招标的采购单位。</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2.“供应商”系指向采购人提交投标文件的单位或个人。</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3.“产品”系指供方按采购文件规定，须向采购人提供的一切货物、保险、税金、工具、手册及其它有关技术资料和材料。</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4.“服务”系指招标文件规定供应商须承担的需完成本项目所需的服务的义务。</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5.“项目”系指投标人按采购文件规定向采购人提供的产品和服务。</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6.“书面形式”包括信函、传真、电报、电子邮件等。</w:t>
      </w:r>
    </w:p>
    <w:p>
      <w:pPr>
        <w:pageBreakBefore w:val="0"/>
        <w:kinsoku/>
        <w:overflowPunct/>
        <w:topLinePunct w:val="0"/>
        <w:bidi w:val="0"/>
        <w:snapToGrid w:val="0"/>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w:t>
      </w:r>
      <w:r>
        <w:rPr>
          <w:rFonts w:hint="eastAsia" w:ascii="宋体" w:hAnsi="宋体" w:eastAsia="宋体" w:cs="宋体"/>
          <w:color w:val="auto"/>
          <w:highlight w:val="none"/>
        </w:rPr>
        <w:t>★</w:t>
      </w:r>
      <w:r>
        <w:rPr>
          <w:rFonts w:hint="eastAsia" w:ascii="宋体" w:hAnsi="宋体" w:eastAsia="宋体" w:cs="宋体"/>
          <w:b/>
          <w:color w:val="auto"/>
          <w:szCs w:val="21"/>
          <w:highlight w:val="none"/>
        </w:rPr>
        <w:t>”系指实质性要求条款。</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54" w:name="_Toc21787"/>
      <w:bookmarkStart w:id="55" w:name="_Toc460416598"/>
      <w:bookmarkStart w:id="56" w:name="_Toc460416647"/>
      <w:bookmarkStart w:id="57" w:name="_Toc460857900"/>
      <w:bookmarkStart w:id="58" w:name="_Toc79395441"/>
      <w:bookmarkStart w:id="59" w:name="_Toc17707913"/>
      <w:bookmarkStart w:id="60" w:name="_Toc11090"/>
      <w:bookmarkStart w:id="61" w:name="_Toc460416342"/>
      <w:r>
        <w:rPr>
          <w:rFonts w:hint="eastAsia" w:ascii="宋体" w:hAnsi="宋体" w:eastAsia="宋体" w:cs="宋体"/>
          <w:color w:val="auto"/>
          <w:kern w:val="2"/>
          <w:sz w:val="21"/>
          <w:szCs w:val="21"/>
          <w:highlight w:val="none"/>
        </w:rPr>
        <w:t>（三）采购方式</w:t>
      </w:r>
      <w:bookmarkEnd w:id="54"/>
      <w:bookmarkEnd w:id="55"/>
      <w:bookmarkEnd w:id="56"/>
      <w:bookmarkEnd w:id="57"/>
      <w:bookmarkEnd w:id="58"/>
      <w:bookmarkEnd w:id="59"/>
      <w:bookmarkEnd w:id="60"/>
      <w:bookmarkEnd w:id="61"/>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本次采购采用公开招标方式进行。</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62" w:name="_Toc460857901"/>
      <w:bookmarkStart w:id="63" w:name="_Toc460416343"/>
      <w:bookmarkStart w:id="64" w:name="_Toc79395442"/>
      <w:bookmarkStart w:id="65" w:name="_Toc460416599"/>
      <w:bookmarkStart w:id="66" w:name="_Toc9042"/>
      <w:bookmarkStart w:id="67" w:name="_Toc17707914"/>
      <w:bookmarkStart w:id="68" w:name="_Toc20172"/>
      <w:bookmarkStart w:id="69" w:name="_Toc460416648"/>
      <w:r>
        <w:rPr>
          <w:rFonts w:hint="eastAsia" w:ascii="宋体" w:hAnsi="宋体" w:eastAsia="宋体" w:cs="宋体"/>
          <w:color w:val="auto"/>
          <w:kern w:val="2"/>
          <w:sz w:val="21"/>
          <w:szCs w:val="21"/>
          <w:highlight w:val="none"/>
        </w:rPr>
        <w:t>（四）投标委托</w:t>
      </w:r>
      <w:bookmarkEnd w:id="62"/>
      <w:bookmarkEnd w:id="63"/>
      <w:bookmarkEnd w:id="64"/>
      <w:bookmarkEnd w:id="65"/>
      <w:bookmarkEnd w:id="66"/>
      <w:bookmarkEnd w:id="67"/>
      <w:bookmarkEnd w:id="68"/>
      <w:bookmarkEnd w:id="69"/>
    </w:p>
    <w:p>
      <w:pPr>
        <w:pStyle w:val="17"/>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供应商如委派授权代表出席开标会议，授权代表须携带有效身份证件。如投标人代表不是法定代表人，须有法定代表人出具的授权委托书并在投标文件中提供投标人代表身份证正反面复印件（投标文件正本用原件，副本可用复印件，格式见第六部分）</w:t>
      </w:r>
      <w:r>
        <w:rPr>
          <w:rFonts w:hint="eastAsia" w:ascii="宋体" w:hAnsi="宋体" w:eastAsia="宋体" w:cs="宋体"/>
          <w:color w:val="auto"/>
          <w:sz w:val="21"/>
          <w:szCs w:val="21"/>
          <w:highlight w:val="none"/>
        </w:rPr>
        <w:t>。</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70" w:name="_Toc460857902"/>
      <w:bookmarkStart w:id="71" w:name="_Toc79395443"/>
      <w:bookmarkStart w:id="72" w:name="_Toc460416649"/>
      <w:bookmarkStart w:id="73" w:name="_Toc460416344"/>
      <w:bookmarkStart w:id="74" w:name="_Toc13019"/>
      <w:bookmarkStart w:id="75" w:name="_Toc18429"/>
      <w:bookmarkStart w:id="76" w:name="_Toc17707915"/>
      <w:bookmarkStart w:id="77" w:name="_Toc460416600"/>
      <w:r>
        <w:rPr>
          <w:rFonts w:hint="eastAsia" w:ascii="宋体" w:hAnsi="宋体" w:eastAsia="宋体" w:cs="宋体"/>
          <w:color w:val="auto"/>
          <w:kern w:val="2"/>
          <w:sz w:val="21"/>
          <w:szCs w:val="21"/>
          <w:highlight w:val="none"/>
        </w:rPr>
        <w:t>（五）投标费用</w:t>
      </w:r>
      <w:bookmarkEnd w:id="70"/>
      <w:bookmarkEnd w:id="71"/>
      <w:bookmarkEnd w:id="72"/>
      <w:bookmarkEnd w:id="73"/>
      <w:bookmarkEnd w:id="74"/>
      <w:bookmarkEnd w:id="75"/>
      <w:bookmarkEnd w:id="76"/>
      <w:bookmarkEnd w:id="77"/>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78" w:name="_Toc79395444"/>
      <w:bookmarkStart w:id="79" w:name="_Toc460857903"/>
      <w:bookmarkStart w:id="80" w:name="_Toc17707916"/>
      <w:bookmarkStart w:id="81" w:name="_Toc10534"/>
      <w:bookmarkStart w:id="82" w:name="_Toc32061"/>
      <w:r>
        <w:rPr>
          <w:rFonts w:hint="eastAsia" w:ascii="宋体" w:hAnsi="宋体" w:eastAsia="宋体" w:cs="宋体"/>
          <w:color w:val="auto"/>
          <w:kern w:val="2"/>
          <w:sz w:val="21"/>
          <w:szCs w:val="21"/>
          <w:highlight w:val="none"/>
        </w:rPr>
        <w:t>（六）联合体投标</w:t>
      </w:r>
      <w:bookmarkEnd w:id="78"/>
      <w:bookmarkEnd w:id="79"/>
      <w:bookmarkEnd w:id="80"/>
      <w:bookmarkEnd w:id="81"/>
      <w:bookmarkEnd w:id="82"/>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83" w:name="_Toc79395445"/>
      <w:bookmarkStart w:id="84" w:name="_Toc23875"/>
      <w:bookmarkStart w:id="85" w:name="_Toc17707917"/>
      <w:bookmarkStart w:id="86" w:name="_Toc22517"/>
      <w:bookmarkStart w:id="87" w:name="_Toc460857904"/>
      <w:r>
        <w:rPr>
          <w:rFonts w:hint="eastAsia" w:ascii="宋体" w:hAnsi="宋体" w:eastAsia="宋体" w:cs="宋体"/>
          <w:color w:val="auto"/>
          <w:kern w:val="2"/>
          <w:sz w:val="21"/>
          <w:szCs w:val="21"/>
          <w:highlight w:val="none"/>
        </w:rPr>
        <w:t>（七）转包与分包</w:t>
      </w:r>
      <w:bookmarkEnd w:id="83"/>
      <w:bookmarkEnd w:id="84"/>
      <w:bookmarkEnd w:id="85"/>
      <w:bookmarkEnd w:id="86"/>
      <w:bookmarkEnd w:id="87"/>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本项目不允许转包，未经采购人书面同意不得分包。</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88" w:name="_Toc17707918"/>
      <w:bookmarkStart w:id="89" w:name="_Toc460416601"/>
      <w:bookmarkStart w:id="90" w:name="_Toc460416650"/>
      <w:bookmarkStart w:id="91" w:name="_Toc404"/>
      <w:bookmarkStart w:id="92" w:name="_Toc460857905"/>
      <w:bookmarkStart w:id="93" w:name="_Toc460416345"/>
      <w:bookmarkStart w:id="94" w:name="_Toc10975"/>
      <w:bookmarkStart w:id="95" w:name="_Toc79395446"/>
      <w:r>
        <w:rPr>
          <w:rFonts w:hint="eastAsia" w:ascii="宋体" w:hAnsi="宋体" w:eastAsia="宋体" w:cs="宋体"/>
          <w:color w:val="auto"/>
          <w:kern w:val="2"/>
          <w:sz w:val="21"/>
          <w:szCs w:val="21"/>
          <w:highlight w:val="none"/>
        </w:rPr>
        <w:t>（八）特别说明</w:t>
      </w:r>
      <w:bookmarkEnd w:id="88"/>
      <w:bookmarkEnd w:id="89"/>
      <w:bookmarkEnd w:id="90"/>
      <w:bookmarkEnd w:id="91"/>
      <w:bookmarkEnd w:id="92"/>
      <w:bookmarkEnd w:id="93"/>
      <w:bookmarkEnd w:id="94"/>
      <w:bookmarkEnd w:id="95"/>
    </w:p>
    <w:p>
      <w:pPr>
        <w:pStyle w:val="21"/>
        <w:pageBreakBefore w:val="0"/>
        <w:kinsoku/>
        <w:overflowPunct/>
        <w:topLinePunct w:val="0"/>
        <w:bidi w:val="0"/>
        <w:snapToGrid w:val="0"/>
        <w:spacing w:beforeLines="0" w:afterLines="0" w:line="400" w:lineRule="exact"/>
        <w:ind w:left="2" w:leftChars="1" w:firstLine="48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highlight w:val="none"/>
        </w:rPr>
        <w:t>★</w:t>
      </w:r>
      <w:r>
        <w:rPr>
          <w:rFonts w:hint="eastAsia" w:ascii="宋体" w:hAnsi="宋体" w:eastAsia="宋体" w:cs="宋体"/>
          <w:b/>
          <w:color w:val="auto"/>
          <w:sz w:val="21"/>
          <w:szCs w:val="21"/>
          <w:highlight w:val="none"/>
        </w:rPr>
        <w:t>1.投标人应仔细阅读采购文件的所有内容，按照采购文件的要求提交投标文件，并对所提供的全部资料的真实性承担法律责任。</w:t>
      </w:r>
    </w:p>
    <w:p>
      <w:pPr>
        <w:pStyle w:val="21"/>
        <w:pageBreakBefore w:val="0"/>
        <w:kinsoku/>
        <w:overflowPunct/>
        <w:topLinePunct w:val="0"/>
        <w:bidi w:val="0"/>
        <w:snapToGrid w:val="0"/>
        <w:spacing w:beforeLines="0" w:afterLines="0" w:line="400" w:lineRule="exact"/>
        <w:ind w:left="2" w:leftChars="1" w:firstLine="480" w:firstLineChars="200"/>
        <w:jc w:val="left"/>
        <w:rPr>
          <w:rFonts w:hint="eastAsia" w:ascii="宋体" w:hAnsi="宋体" w:eastAsia="宋体" w:cs="宋体"/>
          <w:b/>
          <w:strike/>
          <w:color w:val="auto"/>
          <w:sz w:val="21"/>
          <w:szCs w:val="21"/>
          <w:highlight w:val="none"/>
        </w:rPr>
      </w:pPr>
      <w:r>
        <w:rPr>
          <w:rFonts w:hint="eastAsia" w:ascii="宋体" w:hAnsi="宋体" w:eastAsia="宋体" w:cs="宋体"/>
          <w:color w:val="auto"/>
          <w:highlight w:val="none"/>
        </w:rPr>
        <w:t>★</w:t>
      </w:r>
      <w:r>
        <w:rPr>
          <w:rFonts w:hint="eastAsia" w:ascii="宋体" w:hAnsi="宋体" w:eastAsia="宋体" w:cs="宋体"/>
          <w:b/>
          <w:color w:val="auto"/>
          <w:sz w:val="21"/>
          <w:szCs w:val="21"/>
          <w:highlight w:val="none"/>
        </w:rPr>
        <w:t>2.投标人在投标活动中提供任何虚假材料，其投标无效，并报监管部门查处；</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96" w:name="_Toc17707919"/>
      <w:bookmarkStart w:id="97" w:name="_Toc14177"/>
      <w:bookmarkStart w:id="98" w:name="_Toc7123"/>
      <w:bookmarkStart w:id="99" w:name="_Toc79395447"/>
      <w:r>
        <w:rPr>
          <w:rFonts w:hint="eastAsia" w:ascii="宋体" w:hAnsi="宋体" w:eastAsia="宋体" w:cs="宋体"/>
          <w:color w:val="auto"/>
          <w:kern w:val="2"/>
          <w:sz w:val="21"/>
          <w:szCs w:val="21"/>
          <w:highlight w:val="none"/>
        </w:rPr>
        <w:t>（九）关于分公司投标</w:t>
      </w:r>
      <w:bookmarkEnd w:id="96"/>
      <w:bookmarkEnd w:id="97"/>
      <w:bookmarkEnd w:id="98"/>
      <w:bookmarkEnd w:id="99"/>
    </w:p>
    <w:p>
      <w:pPr>
        <w:pageBreakBefore w:val="0"/>
        <w:widowControl/>
        <w:kinsoku/>
        <w:overflowPunct/>
        <w:topLinePunct w:val="0"/>
        <w:bidi w:val="0"/>
        <w:spacing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除银行、保险、石油石化、电力、电信、移动、联通等行业允许分公司投标外，其余不允许分公司投标。如允许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100" w:name="_Toc22599"/>
      <w:bookmarkStart w:id="101" w:name="_Toc31344"/>
      <w:bookmarkStart w:id="102" w:name="_Toc17707920"/>
      <w:bookmarkStart w:id="103" w:name="_Toc79395448"/>
      <w:r>
        <w:rPr>
          <w:rFonts w:hint="eastAsia" w:ascii="宋体" w:hAnsi="宋体" w:eastAsia="宋体" w:cs="宋体"/>
          <w:color w:val="auto"/>
          <w:kern w:val="2"/>
          <w:sz w:val="21"/>
          <w:szCs w:val="21"/>
          <w:highlight w:val="none"/>
        </w:rPr>
        <w:t>（十）关于知识产权</w:t>
      </w:r>
      <w:bookmarkEnd w:id="100"/>
      <w:bookmarkEnd w:id="101"/>
      <w:bookmarkEnd w:id="102"/>
      <w:bookmarkEnd w:id="103"/>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104" w:name="_Toc15997"/>
      <w:bookmarkStart w:id="105" w:name="_Toc28420"/>
      <w:bookmarkStart w:id="106" w:name="_Toc460416602"/>
      <w:bookmarkStart w:id="107" w:name="_Toc460416346"/>
      <w:bookmarkStart w:id="108" w:name="_Toc460416651"/>
      <w:bookmarkStart w:id="109" w:name="_Toc460857906"/>
      <w:bookmarkStart w:id="110" w:name="_Toc79395449"/>
      <w:bookmarkStart w:id="111" w:name="_Toc17707921"/>
      <w:r>
        <w:rPr>
          <w:rFonts w:hint="eastAsia" w:ascii="宋体" w:hAnsi="宋体" w:eastAsia="宋体" w:cs="宋体"/>
          <w:color w:val="auto"/>
          <w:kern w:val="2"/>
          <w:sz w:val="21"/>
          <w:szCs w:val="21"/>
          <w:highlight w:val="none"/>
        </w:rPr>
        <w:t>本项目最终成果的知识产权归采购人所有。供应商应保证提供服务过程中不会侵犯任何第三方的知识产权。若发生第三方知识产权纠纷，采购人保留追究责任的权利。</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（十一）质疑和投诉</w:t>
      </w:r>
      <w:bookmarkEnd w:id="104"/>
      <w:bookmarkEnd w:id="105"/>
      <w:bookmarkEnd w:id="106"/>
      <w:bookmarkEnd w:id="107"/>
      <w:bookmarkEnd w:id="108"/>
      <w:bookmarkEnd w:id="109"/>
      <w:bookmarkEnd w:id="110"/>
      <w:bookmarkEnd w:id="111"/>
    </w:p>
    <w:p>
      <w:pPr>
        <w:pStyle w:val="3"/>
        <w:pageBreakBefore w:val="0"/>
        <w:kinsoku/>
        <w:overflowPunct/>
        <w:topLinePunct w:val="0"/>
        <w:bidi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1.供应商认为采购文件、采购过程、中标或者成交结果使自己的权益受到损害的，须在应</w:t>
      </w:r>
      <w:r>
        <w:rPr>
          <w:rFonts w:hint="eastAsia" w:ascii="宋体" w:hAnsi="宋体" w:eastAsia="宋体" w:cs="宋体"/>
          <w:color w:val="auto"/>
          <w:spacing w:val="2"/>
          <w:sz w:val="21"/>
          <w:szCs w:val="21"/>
          <w:highlight w:val="none"/>
        </w:rPr>
        <w:t>知其利益受损之日起七个工作日内以书面形式向采购人、采购代理机构提出质疑。供应商应当在法定质疑期内一次性提出针对同一采购程序环节的质疑。</w:t>
      </w:r>
    </w:p>
    <w:p>
      <w:pPr>
        <w:pageBreakBefore w:val="0"/>
        <w:tabs>
          <w:tab w:val="left" w:pos="518"/>
        </w:tabs>
        <w:kinsoku/>
        <w:overflowPunct/>
        <w:topLinePunct w:val="0"/>
        <w:bidi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2.提出质疑的供应商应当是参与所质疑项目采购活动的供应商。未依法获取采</w:t>
      </w:r>
      <w:r>
        <w:rPr>
          <w:rFonts w:hint="eastAsia" w:ascii="宋体" w:hAnsi="宋体" w:eastAsia="宋体" w:cs="宋体"/>
          <w:color w:val="auto"/>
          <w:spacing w:val="2"/>
          <w:szCs w:val="21"/>
          <w:highlight w:val="none"/>
        </w:rPr>
        <w:t>购文件的，不得就采购文件提出质疑；未提交投标文件的供应商，视为与采购结</w:t>
      </w:r>
      <w:r>
        <w:rPr>
          <w:rFonts w:hint="eastAsia" w:ascii="宋体" w:hAnsi="宋体" w:eastAsia="宋体" w:cs="宋体"/>
          <w:color w:val="auto"/>
          <w:spacing w:val="-115"/>
          <w:szCs w:val="21"/>
          <w:highlight w:val="none"/>
        </w:rPr>
        <w:t xml:space="preserve"> </w:t>
      </w:r>
      <w:r>
        <w:rPr>
          <w:rFonts w:hint="eastAsia" w:ascii="宋体" w:hAnsi="宋体" w:eastAsia="宋体" w:cs="宋体"/>
          <w:color w:val="auto"/>
          <w:szCs w:val="21"/>
          <w:highlight w:val="none"/>
        </w:rPr>
        <w:t>果没有利害关系，不得就投标截止时间后的采购过程、采购结果提出质疑。</w:t>
      </w:r>
    </w:p>
    <w:p>
      <w:pPr>
        <w:pageBreakBefore w:val="0"/>
        <w:tabs>
          <w:tab w:val="left" w:pos="518"/>
        </w:tabs>
        <w:kinsoku/>
        <w:overflowPunct/>
        <w:topLinePunct w:val="0"/>
        <w:bidi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3.供应商提出质疑应当提交质疑函和必要的证明材料，质疑函应当以书面形式（需符合财政部令第94号政府采购质疑和投诉办法要求）</w:t>
      </w:r>
      <w:r>
        <w:rPr>
          <w:rFonts w:hint="eastAsia" w:ascii="宋体" w:hAnsi="宋体" w:eastAsia="宋体" w:cs="宋体"/>
          <w:color w:val="auto"/>
          <w:spacing w:val="2"/>
          <w:szCs w:val="21"/>
          <w:highlight w:val="none"/>
        </w:rPr>
        <w:t>提出</w:t>
      </w:r>
      <w:r>
        <w:rPr>
          <w:rFonts w:hint="eastAsia" w:ascii="宋体" w:hAnsi="宋体" w:eastAsia="宋体" w:cs="宋体"/>
          <w:color w:val="auto"/>
          <w:szCs w:val="21"/>
          <w:highlight w:val="none"/>
        </w:rPr>
        <w:t>。</w:t>
      </w:r>
    </w:p>
    <w:p>
      <w:pPr>
        <w:pageBreakBefore w:val="0"/>
        <w:tabs>
          <w:tab w:val="left" w:pos="518"/>
        </w:tabs>
        <w:kinsoku/>
        <w:overflowPunct/>
        <w:topLinePunct w:val="0"/>
        <w:bidi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接收书面质疑函的方式：质疑人可通过送达、邮寄、传真、邮件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pPr>
        <w:pageBreakBefore w:val="0"/>
        <w:tabs>
          <w:tab w:val="left" w:pos="518"/>
        </w:tabs>
        <w:kinsoku/>
        <w:overflowPunct/>
        <w:topLinePunct w:val="0"/>
        <w:bidi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对采购人或采购代理机构的质疑答复不满意或者采购人或采购代理机构未在规定时间内作出答复的，可以在答复期满后十五个工作日内向同级采购监管部门投诉，投诉须采用书面形式（需符合财政部令第94号政府采购质疑和投诉办法要求）。</w:t>
      </w:r>
    </w:p>
    <w:p>
      <w:pPr>
        <w:pStyle w:val="76"/>
        <w:pageBreakBefore w:val="0"/>
        <w:kinsoku/>
        <w:overflowPunct/>
        <w:topLinePunct w:val="0"/>
        <w:bidi w:val="0"/>
        <w:spacing w:line="400" w:lineRule="exact"/>
        <w:rPr>
          <w:rFonts w:hint="eastAsia" w:ascii="宋体" w:hAnsi="宋体" w:eastAsia="宋体" w:cs="宋体"/>
          <w:color w:val="auto"/>
          <w:highlight w:val="none"/>
        </w:rPr>
      </w:pPr>
    </w:p>
    <w:p>
      <w:pPr>
        <w:pStyle w:val="6"/>
        <w:pageBreakBefore w:val="0"/>
        <w:numPr>
          <w:ilvl w:val="0"/>
          <w:numId w:val="0"/>
        </w:numPr>
        <w:tabs>
          <w:tab w:val="clear" w:pos="576"/>
        </w:tabs>
        <w:kinsoku/>
        <w:overflowPunct/>
        <w:topLinePunct w:val="0"/>
        <w:bidi w:val="0"/>
        <w:spacing w:before="0" w:after="0" w:line="400" w:lineRule="exact"/>
        <w:ind w:firstLine="643" w:firstLineChars="200"/>
        <w:jc w:val="center"/>
        <w:rPr>
          <w:rFonts w:hint="eastAsia" w:ascii="宋体" w:hAnsi="宋体" w:eastAsia="宋体" w:cs="宋体"/>
          <w:color w:val="auto"/>
          <w:highlight w:val="none"/>
        </w:rPr>
      </w:pPr>
      <w:bookmarkStart w:id="112" w:name="_Toc79395450"/>
      <w:bookmarkStart w:id="113" w:name="_Toc460416652"/>
      <w:bookmarkStart w:id="114" w:name="_Toc6260"/>
      <w:bookmarkStart w:id="115" w:name="_Toc3049"/>
      <w:bookmarkStart w:id="116" w:name="_Toc460857907"/>
      <w:bookmarkStart w:id="117" w:name="_Toc460416347"/>
      <w:bookmarkStart w:id="118" w:name="_Toc17707922"/>
      <w:bookmarkStart w:id="119" w:name="_Toc23258"/>
      <w:r>
        <w:rPr>
          <w:rFonts w:hint="eastAsia" w:ascii="宋体" w:hAnsi="宋体" w:eastAsia="宋体" w:cs="宋体"/>
          <w:color w:val="auto"/>
          <w:highlight w:val="none"/>
        </w:rPr>
        <w:t>二、采购文件</w:t>
      </w:r>
      <w:bookmarkEnd w:id="112"/>
      <w:bookmarkEnd w:id="113"/>
      <w:bookmarkEnd w:id="114"/>
      <w:bookmarkEnd w:id="115"/>
      <w:bookmarkEnd w:id="116"/>
      <w:bookmarkEnd w:id="117"/>
      <w:bookmarkEnd w:id="118"/>
      <w:bookmarkEnd w:id="119"/>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120" w:name="_Toc1374"/>
      <w:bookmarkStart w:id="121" w:name="_Toc29609"/>
      <w:bookmarkStart w:id="122" w:name="_Toc79395451"/>
      <w:bookmarkStart w:id="123" w:name="_Toc17707923"/>
      <w:bookmarkStart w:id="124" w:name="_Toc460857908"/>
      <w:r>
        <w:rPr>
          <w:rFonts w:hint="eastAsia" w:ascii="宋体" w:hAnsi="宋体" w:eastAsia="宋体" w:cs="宋体"/>
          <w:color w:val="auto"/>
          <w:kern w:val="2"/>
          <w:sz w:val="21"/>
          <w:szCs w:val="21"/>
          <w:highlight w:val="none"/>
        </w:rPr>
        <w:t>（一）采购文件的构成</w:t>
      </w:r>
      <w:bookmarkEnd w:id="120"/>
      <w:bookmarkEnd w:id="121"/>
      <w:bookmarkEnd w:id="122"/>
    </w:p>
    <w:p>
      <w:pPr>
        <w:pageBreakBefore w:val="0"/>
        <w:kinsoku/>
        <w:overflowPunct/>
        <w:topLinePunct w:val="0"/>
        <w:bidi w:val="0"/>
        <w:spacing w:line="400" w:lineRule="exact"/>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本采购文件由以下部分组成：</w:t>
      </w:r>
      <w:bookmarkEnd w:id="123"/>
      <w:bookmarkEnd w:id="124"/>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1.公开招标采购公告；</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2.采购需求；</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3.投标人须知；</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4.评标办法及评分标准；</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5.采购合同主要条款；</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7.本项目采购文件的澄清、答复、修改、补充的内容。</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125" w:name="_Toc17707924"/>
      <w:bookmarkStart w:id="126" w:name="_Toc460857909"/>
      <w:bookmarkStart w:id="127" w:name="_Toc11357"/>
      <w:bookmarkStart w:id="128" w:name="_Toc10551"/>
      <w:bookmarkStart w:id="129" w:name="_Toc79395452"/>
      <w:r>
        <w:rPr>
          <w:rFonts w:hint="eastAsia" w:ascii="宋体" w:hAnsi="宋体" w:eastAsia="宋体" w:cs="宋体"/>
          <w:color w:val="auto"/>
          <w:kern w:val="2"/>
          <w:sz w:val="21"/>
          <w:szCs w:val="21"/>
          <w:highlight w:val="none"/>
        </w:rPr>
        <w:t>（二）投标人的风险</w:t>
      </w:r>
      <w:bookmarkEnd w:id="125"/>
      <w:bookmarkEnd w:id="126"/>
      <w:bookmarkEnd w:id="127"/>
      <w:bookmarkEnd w:id="128"/>
      <w:bookmarkEnd w:id="129"/>
    </w:p>
    <w:p>
      <w:pPr>
        <w:pStyle w:val="31"/>
        <w:pageBreakBefore w:val="0"/>
        <w:numPr>
          <w:ilvl w:val="0"/>
          <w:numId w:val="0"/>
        </w:numPr>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投标人没有按照采购文件要求提供全部资料，或者投标人没有对采购文件在各方面作出实质性响应是投标人的风险，并可能导致其投标被拒绝。</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130" w:name="_Toc17707925"/>
      <w:bookmarkStart w:id="131" w:name="_Toc79395453"/>
      <w:bookmarkStart w:id="132" w:name="_Toc12761"/>
      <w:bookmarkStart w:id="133" w:name="_Toc27530"/>
      <w:bookmarkStart w:id="134" w:name="_Toc460857910"/>
      <w:r>
        <w:rPr>
          <w:rFonts w:hint="eastAsia" w:ascii="宋体" w:hAnsi="宋体" w:eastAsia="宋体" w:cs="宋体"/>
          <w:color w:val="auto"/>
          <w:kern w:val="2"/>
          <w:sz w:val="21"/>
          <w:szCs w:val="21"/>
          <w:highlight w:val="none"/>
        </w:rPr>
        <w:t>（三）采购文件的澄清与修改</w:t>
      </w:r>
      <w:bookmarkEnd w:id="130"/>
      <w:bookmarkEnd w:id="131"/>
      <w:bookmarkEnd w:id="132"/>
      <w:bookmarkEnd w:id="133"/>
      <w:bookmarkEnd w:id="134"/>
      <w:r>
        <w:rPr>
          <w:rFonts w:hint="eastAsia" w:ascii="宋体" w:hAnsi="宋体" w:eastAsia="宋体" w:cs="宋体"/>
          <w:color w:val="auto"/>
          <w:kern w:val="2"/>
          <w:sz w:val="21"/>
          <w:szCs w:val="21"/>
          <w:highlight w:val="none"/>
        </w:rPr>
        <w:t xml:space="preserve"> </w:t>
      </w:r>
    </w:p>
    <w:p>
      <w:pPr>
        <w:pStyle w:val="3"/>
        <w:pageBreakBefore w:val="0"/>
        <w:tabs>
          <w:tab w:val="left" w:pos="948"/>
        </w:tabs>
        <w:kinsoku/>
        <w:overflowPunct/>
        <w:topLinePunct w:val="0"/>
        <w:bidi w:val="0"/>
        <w:spacing w:after="0" w:line="400" w:lineRule="exact"/>
        <w:ind w:firstLine="420" w:firstLineChars="200"/>
        <w:rPr>
          <w:rFonts w:hint="eastAsia" w:ascii="宋体" w:hAnsi="宋体" w:eastAsia="宋体" w:cs="宋体"/>
          <w:color w:val="auto"/>
          <w:sz w:val="21"/>
          <w:szCs w:val="21"/>
          <w:highlight w:val="none"/>
        </w:rPr>
      </w:pPr>
      <w:bookmarkStart w:id="135" w:name="_Toc460416348"/>
      <w:bookmarkStart w:id="136" w:name="_Toc460857912"/>
      <w:bookmarkStart w:id="137" w:name="_Toc460416653"/>
      <w:r>
        <w:rPr>
          <w:rFonts w:hint="eastAsia" w:ascii="宋体" w:hAnsi="宋体" w:eastAsia="宋体" w:cs="宋体"/>
          <w:color w:val="auto"/>
          <w:sz w:val="21"/>
          <w:szCs w:val="21"/>
          <w:highlight w:val="none"/>
        </w:rPr>
        <w:t>1.采购人可主动地或在解答投标人提出的澄清问题时对采购文件进行必要的澄清或者修改的，在发布招标公告的网站上发布更正公告，更正公告为采购文件的组成部分，一经在网站发布，视同已通知所有采购文件的收受人。澄清或者修改的内容可能影响投标文件编制的，更正公告在投标截止时间至少15日前发出。不足15日的，顺延提交投标文件截止时间。</w:t>
      </w:r>
    </w:p>
    <w:p>
      <w:pPr>
        <w:pStyle w:val="3"/>
        <w:pageBreakBefore w:val="0"/>
        <w:tabs>
          <w:tab w:val="left" w:pos="948"/>
        </w:tabs>
        <w:kinsoku/>
        <w:overflowPunct/>
        <w:topLinePunct w:val="0"/>
        <w:bidi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澄清或者修改的内容可能影响投标文件编制的，采购代理机构将以书面形式通知所有获取采购文件的潜在投标人，并对其具有约束力。投标人在收到上述通知后，应及时向采购代理机构确认。投标人未回复的，视同已知晓澄清或者修改的内容。</w:t>
      </w:r>
    </w:p>
    <w:p>
      <w:pPr>
        <w:pStyle w:val="3"/>
        <w:pageBreakBefore w:val="0"/>
        <w:tabs>
          <w:tab w:val="left" w:pos="948"/>
        </w:tabs>
        <w:kinsoku/>
        <w:overflowPunct/>
        <w:topLinePunct w:val="0"/>
        <w:bidi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因潜在供应商原因或通讯线路故障导致通知逾期送达或无法送达，采购代理机构不因此承担任何责任，有关的招标采购活动可以继续有效进行。</w:t>
      </w:r>
    </w:p>
    <w:p>
      <w:pPr>
        <w:pStyle w:val="3"/>
        <w:pageBreakBefore w:val="0"/>
        <w:tabs>
          <w:tab w:val="left" w:pos="948"/>
        </w:tabs>
        <w:kinsoku/>
        <w:overflowPunct/>
        <w:topLinePunct w:val="0"/>
        <w:bidi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3.如更正公告有重新发布电子采购文件的，潜在供应商应下载最新发布的电子采购文件制作投标文件。</w:t>
      </w:r>
    </w:p>
    <w:p>
      <w:pPr>
        <w:pStyle w:val="3"/>
        <w:pageBreakBefore w:val="0"/>
        <w:tabs>
          <w:tab w:val="left" w:pos="948"/>
        </w:tabs>
        <w:kinsoku/>
        <w:overflowPunct/>
        <w:topLinePunct w:val="0"/>
        <w:bidi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4.潜在供应商在规定的时间内未对采购文件提出疑问、质疑或要求澄清的，将视其为无异议。对采购文件中描述有歧义或前后不一致的地方，评标委员会有权进行评判，但对同一条款的评判应适用于每个投标人。</w:t>
      </w:r>
    </w:p>
    <w:p>
      <w:pPr>
        <w:pStyle w:val="6"/>
        <w:pageBreakBefore w:val="0"/>
        <w:numPr>
          <w:ilvl w:val="0"/>
          <w:numId w:val="0"/>
        </w:numPr>
        <w:tabs>
          <w:tab w:val="clear" w:pos="576"/>
        </w:tabs>
        <w:kinsoku/>
        <w:overflowPunct/>
        <w:topLinePunct w:val="0"/>
        <w:bidi w:val="0"/>
        <w:spacing w:before="0" w:after="0" w:line="400" w:lineRule="exact"/>
        <w:ind w:firstLine="643" w:firstLineChars="200"/>
        <w:jc w:val="center"/>
        <w:rPr>
          <w:rFonts w:hint="eastAsia" w:ascii="宋体" w:hAnsi="宋体" w:eastAsia="宋体" w:cs="宋体"/>
          <w:color w:val="auto"/>
          <w:highlight w:val="none"/>
        </w:rPr>
      </w:pPr>
      <w:bookmarkStart w:id="138" w:name="_Toc17707926"/>
      <w:bookmarkStart w:id="139" w:name="_Toc4812"/>
      <w:bookmarkStart w:id="140" w:name="_Toc79395454"/>
      <w:bookmarkStart w:id="141" w:name="_Toc17144"/>
      <w:bookmarkStart w:id="142" w:name="_Toc9964"/>
      <w:r>
        <w:rPr>
          <w:rFonts w:hint="eastAsia" w:ascii="宋体" w:hAnsi="宋体" w:eastAsia="宋体" w:cs="宋体"/>
          <w:color w:val="auto"/>
          <w:highlight w:val="none"/>
        </w:rPr>
        <w:t>三、投标文件的编制</w:t>
      </w:r>
      <w:bookmarkEnd w:id="135"/>
      <w:bookmarkEnd w:id="136"/>
      <w:bookmarkEnd w:id="137"/>
      <w:bookmarkEnd w:id="138"/>
      <w:bookmarkEnd w:id="139"/>
      <w:bookmarkEnd w:id="140"/>
      <w:bookmarkEnd w:id="141"/>
      <w:bookmarkEnd w:id="142"/>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143" w:name="_Toc460416654"/>
      <w:bookmarkStart w:id="144" w:name="_Toc460416349"/>
      <w:bookmarkStart w:id="145" w:name="_Toc79395455"/>
      <w:bookmarkStart w:id="146" w:name="_Toc460857913"/>
      <w:bookmarkStart w:id="147" w:name="_Toc17707927"/>
      <w:bookmarkStart w:id="148" w:name="_Toc19650"/>
      <w:bookmarkStart w:id="149" w:name="_Toc6222"/>
      <w:r>
        <w:rPr>
          <w:rFonts w:hint="eastAsia" w:ascii="宋体" w:hAnsi="宋体" w:eastAsia="宋体" w:cs="宋体"/>
          <w:color w:val="auto"/>
          <w:kern w:val="2"/>
          <w:sz w:val="21"/>
          <w:szCs w:val="21"/>
          <w:highlight w:val="none"/>
        </w:rPr>
        <w:t>（一）投标文件的组成</w:t>
      </w:r>
      <w:bookmarkEnd w:id="143"/>
      <w:bookmarkEnd w:id="144"/>
      <w:bookmarkEnd w:id="145"/>
      <w:bookmarkEnd w:id="146"/>
      <w:bookmarkEnd w:id="147"/>
      <w:bookmarkEnd w:id="148"/>
      <w:bookmarkEnd w:id="149"/>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投标文件由资格证明文件、商务技术文件和报价文件三部分组成。</w:t>
      </w:r>
    </w:p>
    <w:p>
      <w:pPr>
        <w:pageBreakBefore w:val="0"/>
        <w:kinsoku/>
        <w:overflowPunct/>
        <w:topLinePunct w:val="0"/>
        <w:bidi w:val="0"/>
        <w:snapToGrid w:val="0"/>
        <w:spacing w:line="40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1.资格证明文件包括以下内容：</w:t>
      </w:r>
    </w:p>
    <w:p>
      <w:pPr>
        <w:pageBreakBefore w:val="0"/>
        <w:kinsoku/>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（1）资格证明材料承诺函（格式见附件）；</w:t>
      </w:r>
    </w:p>
    <w:p>
      <w:pPr>
        <w:pageBreakBefore w:val="0"/>
        <w:kinsoku/>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效营业执照(供应商为企业、个体工商户时提供)或有效的事业单位法人证书（供应商为事业单位时提供）或有效的执业许可证（供应商为非企业专业服务机构时提供，如律师事务所）或有效的自然人身份证明（供应商为自然人时提供）复印件；</w:t>
      </w:r>
    </w:p>
    <w:p>
      <w:pPr>
        <w:pageBreakBefore w:val="0"/>
        <w:kinsoku/>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供应商认为需要的其他资料（如有需提供）</w:t>
      </w:r>
    </w:p>
    <w:p>
      <w:pPr>
        <w:pageBreakBefore w:val="0"/>
        <w:kinsoku/>
        <w:overflowPunct/>
        <w:topLinePunct w:val="0"/>
        <w:bidi w:val="0"/>
        <w:snapToGrid w:val="0"/>
        <w:spacing w:line="40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2.商务技术文件包括以下内容：</w:t>
      </w:r>
    </w:p>
    <w:p>
      <w:pPr>
        <w:pageBreakBefore w:val="0"/>
        <w:tabs>
          <w:tab w:val="left" w:pos="518"/>
        </w:tabs>
        <w:kinsoku/>
        <w:overflowPunct/>
        <w:topLinePunct w:val="0"/>
        <w:bidi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（1）评委打分索引表（格式见附件）；</w:t>
      </w:r>
    </w:p>
    <w:p>
      <w:pPr>
        <w:pageBreakBefore w:val="0"/>
        <w:tabs>
          <w:tab w:val="left" w:pos="518"/>
        </w:tabs>
        <w:kinsoku/>
        <w:overflowPunct/>
        <w:topLinePunct w:val="0"/>
        <w:bidi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（2）法定代表人的身份证明或法定代表人授权书（格式见附件)；</w:t>
      </w:r>
    </w:p>
    <w:p>
      <w:pPr>
        <w:pageBreakBefore w:val="0"/>
        <w:tabs>
          <w:tab w:val="left" w:pos="518"/>
        </w:tabs>
        <w:kinsoku/>
        <w:overflowPunct/>
        <w:topLinePunct w:val="0"/>
        <w:bidi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（3）投标人基本情况说明（格式见附件)；</w:t>
      </w:r>
    </w:p>
    <w:p>
      <w:pPr>
        <w:pageBreakBefore w:val="0"/>
        <w:tabs>
          <w:tab w:val="left" w:pos="518"/>
        </w:tabs>
        <w:kinsoku/>
        <w:overflowPunct/>
        <w:topLinePunct w:val="0"/>
        <w:bidi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（4）类似项目业绩表（格式见附件）；</w:t>
      </w:r>
    </w:p>
    <w:p>
      <w:pPr>
        <w:pageBreakBefore w:val="0"/>
        <w:tabs>
          <w:tab w:val="left" w:pos="518"/>
        </w:tabs>
        <w:kinsoku/>
        <w:overflowPunct/>
        <w:topLinePunct w:val="0"/>
        <w:bidi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（5）商务条款偏离表（格式见附件）；</w:t>
      </w:r>
    </w:p>
    <w:p>
      <w:pPr>
        <w:pageBreakBefore w:val="0"/>
        <w:tabs>
          <w:tab w:val="left" w:pos="1030"/>
        </w:tabs>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（6）项目负责人简介（格式见附件）；</w:t>
      </w:r>
    </w:p>
    <w:p>
      <w:pPr>
        <w:pageBreakBefore w:val="0"/>
        <w:tabs>
          <w:tab w:val="left" w:pos="1030"/>
        </w:tabs>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（7）项目人员配置（格式见附件）；</w:t>
      </w:r>
    </w:p>
    <w:p>
      <w:pPr>
        <w:pageBreakBefore w:val="0"/>
        <w:kinsoku/>
        <w:overflowPunct/>
        <w:topLinePunct w:val="0"/>
        <w:bidi w:val="0"/>
        <w:spacing w:line="40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（8）技术条款偏离表（格式见附件）；</w:t>
      </w:r>
    </w:p>
    <w:p>
      <w:pPr>
        <w:pStyle w:val="139"/>
        <w:pageBreakBefore w:val="0"/>
        <w:tabs>
          <w:tab w:val="left" w:pos="0"/>
        </w:tabs>
        <w:kinsoku/>
        <w:overflowPunct/>
        <w:topLinePunct w:val="0"/>
        <w:bidi w:val="0"/>
        <w:snapToGrid w:val="0"/>
        <w:spacing w:line="400" w:lineRule="exact"/>
        <w:ind w:left="420" w:firstLine="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（9）评分标准或采购文件需要提供的证明材料（具体详见评分标准，格式自拟）；</w:t>
      </w:r>
    </w:p>
    <w:p>
      <w:pPr>
        <w:pStyle w:val="139"/>
        <w:pageBreakBefore w:val="0"/>
        <w:tabs>
          <w:tab w:val="left" w:pos="0"/>
        </w:tabs>
        <w:kinsoku/>
        <w:overflowPunct/>
        <w:topLinePunct w:val="0"/>
        <w:bidi w:val="0"/>
        <w:snapToGrid w:val="0"/>
        <w:spacing w:line="400" w:lineRule="exact"/>
        <w:ind w:left="420" w:firstLine="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（10）投标人认为有必要提交的其他商务技术说明文件和资料。</w:t>
      </w:r>
    </w:p>
    <w:p>
      <w:pPr>
        <w:pageBreakBefore w:val="0"/>
        <w:kinsoku/>
        <w:overflowPunct/>
        <w:topLinePunct w:val="0"/>
        <w:bidi w:val="0"/>
        <w:snapToGrid w:val="0"/>
        <w:spacing w:line="400" w:lineRule="exact"/>
        <w:ind w:left="413"/>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3.报价文件包括以下内容：</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（1）投标函(格式见附件)；</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（2）开标一览表(格式见附件)；</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（3）投标分项报价表(格式见附件)；</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（4）中小企业声明函（若有，格式见附件）；</w:t>
      </w:r>
    </w:p>
    <w:p>
      <w:pPr>
        <w:pageBreakBefore w:val="0"/>
        <w:kinsoku/>
        <w:overflowPunct/>
        <w:topLinePunct w:val="0"/>
        <w:bidi w:val="0"/>
        <w:snapToGrid w:val="0"/>
        <w:spacing w:line="40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本项目为非专门面向中小企业采购的项目，如果供应商和制造商均为小微企业，提供《中小企业声明函》。如未按照要求提供，将不得享受评标标准中注明的针对小微企业的价格扣除优惠。</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（5）残疾人福利性单位声明函（若有，格式见附件）；</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（6）投标人针对报价需要说明的其他文件和说明。</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4.上述组成投标文件的各项资料中本招标文件的有规定格式的，应统一按本招标文件的规定格式填写。未有规定格式的资料，投标人应自行编制，但至少要包含以上要求的内容。</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在提供对投标产品技术条款响应表的应答时，对招标文件有技术数值要求的参数，应以投标货物的具体技术数值据实应答；对于招标文件无数值要求的参数的应答，应作出明确、直接、无导致两种理解可能的应答。</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150" w:name="_Toc79395456"/>
      <w:bookmarkStart w:id="151" w:name="_Toc460416655"/>
      <w:bookmarkStart w:id="152" w:name="_Toc460857914"/>
      <w:bookmarkStart w:id="153" w:name="_Toc24666"/>
      <w:bookmarkStart w:id="154" w:name="_Toc460416350"/>
      <w:bookmarkStart w:id="155" w:name="_Toc17707928"/>
      <w:bookmarkStart w:id="156" w:name="_Toc28355"/>
      <w:r>
        <w:rPr>
          <w:rFonts w:hint="eastAsia" w:ascii="宋体" w:hAnsi="宋体" w:eastAsia="宋体" w:cs="宋体"/>
          <w:color w:val="auto"/>
          <w:kern w:val="2"/>
          <w:sz w:val="21"/>
          <w:szCs w:val="21"/>
          <w:highlight w:val="none"/>
        </w:rPr>
        <w:t>（二）投标文件的语言及计量</w:t>
      </w:r>
      <w:bookmarkEnd w:id="150"/>
      <w:bookmarkEnd w:id="151"/>
      <w:bookmarkEnd w:id="152"/>
      <w:bookmarkEnd w:id="153"/>
      <w:bookmarkEnd w:id="154"/>
      <w:bookmarkEnd w:id="155"/>
      <w:bookmarkEnd w:id="156"/>
    </w:p>
    <w:p>
      <w:pPr>
        <w:pageBreakBefore w:val="0"/>
        <w:kinsoku/>
        <w:overflowPunct/>
        <w:topLinePunct w:val="0"/>
        <w:bidi w:val="0"/>
        <w:snapToGrid w:val="0"/>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1.投标文件以及投标人与采购人就有关投标事宜的所有来往函电，均应以中文汉语书写。除签名、盖章、专用名称等特殊情形外，以中文汉语以外的文字表述的投标文件视同未提供。</w:t>
      </w:r>
    </w:p>
    <w:p>
      <w:pPr>
        <w:pageBreakBefore w:val="0"/>
        <w:kinsoku/>
        <w:overflowPunct/>
        <w:topLinePunct w:val="0"/>
        <w:bidi w:val="0"/>
        <w:snapToGrid w:val="0"/>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2.投标计量单位，采购文件已有明确规定的，使用采购文件规定的计量单位；采购文件没有规定的，应采用中华人民共和国法定计量单位（货币单位：人民币元），否则视同未响应。</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157" w:name="_Toc460857915"/>
      <w:bookmarkStart w:id="158" w:name="_Toc460416351"/>
      <w:bookmarkStart w:id="159" w:name="_Toc12050"/>
      <w:bookmarkStart w:id="160" w:name="_Toc79395457"/>
      <w:bookmarkStart w:id="161" w:name="_Toc17707929"/>
      <w:bookmarkStart w:id="162" w:name="_Toc22085"/>
      <w:bookmarkStart w:id="163" w:name="_Toc460416656"/>
      <w:r>
        <w:rPr>
          <w:rFonts w:hint="eastAsia" w:ascii="宋体" w:hAnsi="宋体" w:eastAsia="宋体" w:cs="宋体"/>
          <w:color w:val="auto"/>
          <w:kern w:val="2"/>
          <w:sz w:val="21"/>
          <w:szCs w:val="21"/>
          <w:highlight w:val="none"/>
        </w:rPr>
        <w:t>（三）投标报价</w:t>
      </w:r>
      <w:bookmarkEnd w:id="157"/>
      <w:bookmarkEnd w:id="158"/>
      <w:bookmarkEnd w:id="159"/>
      <w:bookmarkEnd w:id="160"/>
      <w:bookmarkEnd w:id="161"/>
      <w:bookmarkEnd w:id="162"/>
      <w:bookmarkEnd w:id="163"/>
    </w:p>
    <w:p>
      <w:pPr>
        <w:pStyle w:val="21"/>
        <w:pageBreakBefore w:val="0"/>
        <w:kinsoku/>
        <w:overflowPunct/>
        <w:topLinePunct w:val="0"/>
        <w:bidi w:val="0"/>
        <w:snapToGrid w:val="0"/>
        <w:spacing w:beforeLines="0" w:after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1.投标报价应按采购文件中相关附表格式填写。</w:t>
      </w:r>
    </w:p>
    <w:p>
      <w:pPr>
        <w:pageBreakBefore w:val="0"/>
        <w:tabs>
          <w:tab w:val="left" w:pos="525"/>
        </w:tabs>
        <w:kinsoku/>
        <w:overflowPunct/>
        <w:topLinePunct w:val="0"/>
        <w:bidi w:val="0"/>
        <w:snapToGrid w:val="0"/>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2.投标文件只允许有一个报价，有选择的或有条件的报价将不予接受。</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164" w:name="_Toc31899"/>
      <w:bookmarkStart w:id="165" w:name="_Toc460857916"/>
      <w:bookmarkStart w:id="166" w:name="_Toc17707930"/>
      <w:bookmarkStart w:id="167" w:name="_Toc24337"/>
      <w:bookmarkStart w:id="168" w:name="_Toc79395458"/>
      <w:r>
        <w:rPr>
          <w:rFonts w:hint="eastAsia" w:ascii="宋体" w:hAnsi="宋体" w:eastAsia="宋体" w:cs="宋体"/>
          <w:color w:val="auto"/>
          <w:kern w:val="2"/>
          <w:sz w:val="21"/>
          <w:szCs w:val="21"/>
          <w:highlight w:val="none"/>
        </w:rPr>
        <w:t>（四）投标文件的有效期</w:t>
      </w:r>
      <w:bookmarkEnd w:id="164"/>
      <w:bookmarkEnd w:id="165"/>
      <w:bookmarkEnd w:id="166"/>
      <w:bookmarkEnd w:id="167"/>
      <w:bookmarkEnd w:id="168"/>
    </w:p>
    <w:p>
      <w:pPr>
        <w:pStyle w:val="11"/>
        <w:pageBreakBefore w:val="0"/>
        <w:widowControl w:val="0"/>
        <w:tabs>
          <w:tab w:val="clear" w:pos="454"/>
        </w:tabs>
        <w:kinsoku/>
        <w:overflowPunct/>
        <w:topLinePunct w:val="0"/>
        <w:bidi w:val="0"/>
        <w:snapToGrid w:val="0"/>
        <w:spacing w:afterLines="0" w:line="400" w:lineRule="exact"/>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★1.自投标截止日起</w:t>
      </w:r>
      <w:r>
        <w:rPr>
          <w:rFonts w:hint="eastAsia" w:ascii="宋体" w:hAnsi="宋体" w:eastAsia="宋体" w:cs="宋体"/>
          <w:b/>
          <w:color w:val="auto"/>
          <w:sz w:val="21"/>
          <w:szCs w:val="21"/>
          <w:highlight w:val="none"/>
          <w:u w:val="single"/>
        </w:rPr>
        <w:t xml:space="preserve"> 90 </w:t>
      </w:r>
      <w:r>
        <w:rPr>
          <w:rFonts w:hint="eastAsia" w:ascii="宋体" w:hAnsi="宋体" w:eastAsia="宋体" w:cs="宋体"/>
          <w:b/>
          <w:color w:val="auto"/>
          <w:sz w:val="21"/>
          <w:szCs w:val="21"/>
          <w:highlight w:val="none"/>
        </w:rPr>
        <w:t>天投标文件应保持有效，有效期不足的投标文件将被拒绝。</w:t>
      </w:r>
    </w:p>
    <w:p>
      <w:pPr>
        <w:pStyle w:val="11"/>
        <w:pageBreakBefore w:val="0"/>
        <w:widowControl w:val="0"/>
        <w:tabs>
          <w:tab w:val="clear" w:pos="454"/>
        </w:tabs>
        <w:kinsoku/>
        <w:overflowPunct/>
        <w:topLinePunct w:val="0"/>
        <w:bidi w:val="0"/>
        <w:snapToGrid w:val="0"/>
        <w:spacing w:afterLines="0" w:line="4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2.在特殊情况下，采购人可与投标人协商延长投标书的有效期，这种要求和答复均以书面形式进行。</w:t>
      </w:r>
    </w:p>
    <w:p>
      <w:pPr>
        <w:pStyle w:val="11"/>
        <w:pageBreakBefore w:val="0"/>
        <w:widowControl w:val="0"/>
        <w:tabs>
          <w:tab w:val="clear" w:pos="454"/>
        </w:tabs>
        <w:kinsoku/>
        <w:overflowPunct/>
        <w:topLinePunct w:val="0"/>
        <w:bidi w:val="0"/>
        <w:snapToGrid w:val="0"/>
        <w:spacing w:afterLines="0" w:line="400" w:lineRule="exact"/>
        <w:ind w:left="0" w:firstLine="420" w:firstLineChars="200"/>
        <w:rPr>
          <w:rFonts w:hint="eastAsia" w:ascii="宋体" w:hAnsi="宋体" w:eastAsia="宋体" w:cs="宋体"/>
          <w:color w:val="auto"/>
          <w:sz w:val="21"/>
          <w:szCs w:val="21"/>
          <w:highlight w:val="none"/>
        </w:rPr>
      </w:pPr>
      <w:bookmarkStart w:id="169" w:name="_Toc460416657"/>
      <w:bookmarkStart w:id="170" w:name="_Toc460416352"/>
      <w:r>
        <w:rPr>
          <w:rFonts w:hint="eastAsia" w:ascii="宋体" w:hAnsi="宋体" w:eastAsia="宋体" w:cs="宋体"/>
          <w:color w:val="auto"/>
          <w:sz w:val="21"/>
          <w:szCs w:val="21"/>
          <w:highlight w:val="none"/>
        </w:rPr>
        <w:t>3.投标人可拒绝接受延期要求。同意延长有效期的投标人，不能修改投标文件。</w:t>
      </w:r>
      <w:bookmarkEnd w:id="169"/>
      <w:bookmarkEnd w:id="170"/>
      <w:r>
        <w:rPr>
          <w:rFonts w:hint="eastAsia" w:ascii="宋体" w:hAnsi="宋体" w:eastAsia="宋体" w:cs="宋体"/>
          <w:color w:val="auto"/>
          <w:sz w:val="21"/>
          <w:szCs w:val="21"/>
          <w:highlight w:val="none"/>
        </w:rPr>
        <w:t xml:space="preserve"> </w:t>
      </w:r>
    </w:p>
    <w:p>
      <w:pPr>
        <w:pStyle w:val="11"/>
        <w:pageBreakBefore w:val="0"/>
        <w:widowControl w:val="0"/>
        <w:tabs>
          <w:tab w:val="clear" w:pos="454"/>
        </w:tabs>
        <w:kinsoku/>
        <w:overflowPunct/>
        <w:topLinePunct w:val="0"/>
        <w:bidi w:val="0"/>
        <w:snapToGrid w:val="0"/>
        <w:spacing w:afterLines="0" w:line="400" w:lineRule="exact"/>
        <w:ind w:left="0" w:firstLine="420" w:firstLineChars="200"/>
        <w:rPr>
          <w:rFonts w:hint="eastAsia" w:ascii="宋体" w:hAnsi="宋体" w:eastAsia="宋体" w:cs="宋体"/>
          <w:color w:val="auto"/>
          <w:sz w:val="21"/>
          <w:szCs w:val="21"/>
          <w:highlight w:val="none"/>
        </w:rPr>
      </w:pPr>
      <w:bookmarkStart w:id="171" w:name="_Toc460416353"/>
      <w:bookmarkStart w:id="172" w:name="_Toc460416658"/>
      <w:r>
        <w:rPr>
          <w:rFonts w:hint="eastAsia" w:ascii="宋体" w:hAnsi="宋体" w:eastAsia="宋体" w:cs="宋体"/>
          <w:color w:val="auto"/>
          <w:sz w:val="21"/>
          <w:szCs w:val="21"/>
          <w:highlight w:val="none"/>
        </w:rPr>
        <w:t>4.中标人的投标文件自开标之日起至合同履行完毕止均应保持有效。</w:t>
      </w:r>
      <w:bookmarkEnd w:id="171"/>
      <w:bookmarkEnd w:id="172"/>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173" w:name="_Toc460416355"/>
      <w:bookmarkStart w:id="174" w:name="_Toc17707932"/>
      <w:bookmarkStart w:id="175" w:name="_Toc460416660"/>
      <w:bookmarkStart w:id="176" w:name="_Toc460857918"/>
      <w:bookmarkStart w:id="177" w:name="_Toc18151"/>
      <w:bookmarkStart w:id="178" w:name="_Toc9312"/>
      <w:bookmarkStart w:id="179" w:name="_Toc79395459"/>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五</w:t>
      </w:r>
      <w:r>
        <w:rPr>
          <w:rFonts w:hint="eastAsia" w:ascii="宋体" w:hAnsi="宋体" w:eastAsia="宋体" w:cs="宋体"/>
          <w:color w:val="auto"/>
          <w:kern w:val="2"/>
          <w:sz w:val="21"/>
          <w:szCs w:val="21"/>
          <w:highlight w:val="none"/>
        </w:rPr>
        <w:t>）投标文件的盖章、签署、份数</w:t>
      </w:r>
      <w:bookmarkEnd w:id="173"/>
      <w:bookmarkEnd w:id="174"/>
      <w:bookmarkEnd w:id="175"/>
      <w:bookmarkEnd w:id="176"/>
      <w:r>
        <w:rPr>
          <w:rFonts w:hint="eastAsia" w:ascii="宋体" w:hAnsi="宋体" w:eastAsia="宋体" w:cs="宋体"/>
          <w:color w:val="auto"/>
          <w:kern w:val="2"/>
          <w:sz w:val="21"/>
          <w:szCs w:val="21"/>
          <w:highlight w:val="none"/>
        </w:rPr>
        <w:t>、要求及效力</w:t>
      </w:r>
      <w:bookmarkEnd w:id="177"/>
      <w:bookmarkEnd w:id="178"/>
      <w:bookmarkEnd w:id="179"/>
    </w:p>
    <w:p>
      <w:pPr>
        <w:pageBreakBefore w:val="0"/>
        <w:kinsoku/>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1.供应商应按本采购文件规定的格式和顺序编制、装订投标文件，投标文件要求有目录并标注页码，投标文件内容不完整、编排混乱导致投标文件被误读、漏读或者查找不到相关内容的，是供应商的责任。</w:t>
      </w:r>
    </w:p>
    <w:p>
      <w:pPr>
        <w:pageBreakBefore w:val="0"/>
        <w:kinsoku/>
        <w:overflowPunct/>
        <w:topLinePunct w:val="0"/>
        <w:bidi w:val="0"/>
        <w:spacing w:line="40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2.投标文件的份数：</w:t>
      </w:r>
    </w:p>
    <w:p>
      <w:pPr>
        <w:pageBreakBefore w:val="0"/>
        <w:kinsoku/>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本项目供应商应准备以下投标文件：</w:t>
      </w:r>
    </w:p>
    <w:p>
      <w:pPr>
        <w:pageBreakBefore w:val="0"/>
        <w:kinsoku/>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（1）上传到政府采购云平台的电子投标文件（含资格证明文件、商务技术文件、报价文件）1份；</w:t>
      </w:r>
    </w:p>
    <w:p>
      <w:pPr>
        <w:pageBreakBefore w:val="0"/>
        <w:kinsoku/>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（2）以U盘存储的电子备份投标文件（含资格证明文件、商务技术文件、报价文件）1份</w:t>
      </w:r>
      <w:r>
        <w:rPr>
          <w:rFonts w:hint="eastAsia" w:ascii="宋体" w:hAnsi="宋体" w:eastAsia="宋体" w:cs="宋体"/>
          <w:b/>
          <w:bCs/>
          <w:color w:val="auto"/>
          <w:kern w:val="0"/>
          <w:szCs w:val="21"/>
          <w:highlight w:val="none"/>
        </w:rPr>
        <w:t>（非强制项）</w:t>
      </w:r>
      <w:r>
        <w:rPr>
          <w:rFonts w:hint="eastAsia" w:ascii="宋体" w:hAnsi="宋体" w:eastAsia="宋体" w:cs="宋体"/>
          <w:color w:val="auto"/>
          <w:kern w:val="0"/>
          <w:szCs w:val="21"/>
          <w:highlight w:val="none"/>
        </w:rPr>
        <w:t>；</w:t>
      </w:r>
    </w:p>
    <w:p>
      <w:pPr>
        <w:pageBreakBefore w:val="0"/>
        <w:kinsoku/>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（3）评标结束后，本项目的中标供应商仍需提供叁套与电子投标文件一致的纸质投标文件（一正二副），如不一致，以电子投标文件为准。 </w:t>
      </w:r>
    </w:p>
    <w:p>
      <w:pPr>
        <w:pageBreakBefore w:val="0"/>
        <w:kinsoku/>
        <w:overflowPunct/>
        <w:topLinePunct w:val="0"/>
        <w:bidi w:val="0"/>
        <w:spacing w:line="40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3.电子投标文件：</w:t>
      </w:r>
    </w:p>
    <w:p>
      <w:pPr>
        <w:pageBreakBefore w:val="0"/>
        <w:kinsoku/>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供应商应根据</w:t>
      </w:r>
      <w:r>
        <w:rPr>
          <w:rFonts w:hint="eastAsia" w:ascii="宋体" w:hAnsi="宋体" w:eastAsia="宋体" w:cs="宋体"/>
          <w:color w:val="auto"/>
          <w:szCs w:val="21"/>
          <w:highlight w:val="none"/>
        </w:rPr>
        <w:t>“政采云供应商项目采购-电子招投标操作指南”</w:t>
      </w:r>
      <w:r>
        <w:rPr>
          <w:rFonts w:hint="eastAsia" w:ascii="宋体" w:hAnsi="宋体" w:eastAsia="宋体" w:cs="宋体"/>
          <w:color w:val="auto"/>
          <w:kern w:val="0"/>
          <w:szCs w:val="21"/>
          <w:highlight w:val="none"/>
        </w:rPr>
        <w:t>及本采购文件规定的格式和顺序编制电子投标文件并进行关联定位。</w:t>
      </w:r>
    </w:p>
    <w:p>
      <w:pPr>
        <w:pageBreakBefore w:val="0"/>
        <w:kinsoku/>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4.投标文件的效力：</w:t>
      </w:r>
    </w:p>
    <w:p>
      <w:pPr>
        <w:pageBreakBefore w:val="0"/>
        <w:kinsoku/>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投标文件的启用，按先后顺位分别为“电子加密投标文件”→“电子备份投标文件”。在下一顺位的投标文件启用时，前一顺位的投标文件自动失效。</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180" w:name="_Toc460857919"/>
      <w:bookmarkStart w:id="181" w:name="_Toc934"/>
      <w:bookmarkStart w:id="182" w:name="_Toc79395460"/>
      <w:bookmarkStart w:id="183" w:name="_Toc17707933"/>
      <w:bookmarkStart w:id="184" w:name="_Toc2089"/>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六</w:t>
      </w:r>
      <w:r>
        <w:rPr>
          <w:rFonts w:hint="eastAsia" w:ascii="宋体" w:hAnsi="宋体" w:eastAsia="宋体" w:cs="宋体"/>
          <w:color w:val="auto"/>
          <w:kern w:val="2"/>
          <w:sz w:val="21"/>
          <w:szCs w:val="21"/>
          <w:highlight w:val="none"/>
        </w:rPr>
        <w:t>）投标文件的包装、递交、修改和撤回</w:t>
      </w:r>
      <w:bookmarkEnd w:id="180"/>
      <w:bookmarkEnd w:id="181"/>
      <w:bookmarkEnd w:id="182"/>
      <w:bookmarkEnd w:id="183"/>
      <w:bookmarkEnd w:id="184"/>
    </w:p>
    <w:p>
      <w:pPr>
        <w:pageBreakBefore w:val="0"/>
        <w:kinsoku/>
        <w:overflowPunct/>
        <w:topLinePunct w:val="0"/>
        <w:bidi w:val="0"/>
        <w:snapToGrid w:val="0"/>
        <w:spacing w:line="400" w:lineRule="exact"/>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1.以U盘存储的电子备份投标文件用封袋密封后递交。</w:t>
      </w:r>
    </w:p>
    <w:p>
      <w:pPr>
        <w:pageBreakBefore w:val="0"/>
        <w:kinsoku/>
        <w:overflowPunct/>
        <w:topLinePunct w:val="0"/>
        <w:bidi w:val="0"/>
        <w:snapToGrid w:val="0"/>
        <w:spacing w:line="400" w:lineRule="exact"/>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2.投标文件的包装封面上应注明供应商名称、供应商地址、投标文件名称(电子备份投标文件)、投标项目名称、项目编号、子包号，并加盖供应商公章。</w:t>
      </w:r>
    </w:p>
    <w:p>
      <w:pPr>
        <w:pageBreakBefore w:val="0"/>
        <w:kinsoku/>
        <w:overflowPunct/>
        <w:topLinePunct w:val="0"/>
        <w:bidi w:val="0"/>
        <w:snapToGrid w:val="0"/>
        <w:spacing w:line="400" w:lineRule="exact"/>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3.未按规定密封或标记的投标文件将被拒绝，由此造成投标文件被误投或提前拆封的风险由供应商承担。</w:t>
      </w:r>
    </w:p>
    <w:p>
      <w:pPr>
        <w:pageBreakBefore w:val="0"/>
        <w:kinsoku/>
        <w:overflowPunct/>
        <w:topLinePunct w:val="0"/>
        <w:bidi w:val="0"/>
        <w:snapToGrid w:val="0"/>
        <w:spacing w:line="400" w:lineRule="exact"/>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在投标截止时间之前，可以对已提交的电子备份投标文件进行修改或撤回，并书面通知招标采购单位。投标截止时间后，供应商不得撤回、修改投标文件。修改后重新递交的电子备份投标文件应当按本采购文件的要求签署、盖章和密封。</w:t>
      </w:r>
    </w:p>
    <w:p>
      <w:pPr>
        <w:pageBreakBefore w:val="0"/>
        <w:kinsoku/>
        <w:overflowPunct/>
        <w:topLinePunct w:val="0"/>
        <w:bidi w:val="0"/>
        <w:snapToGrid w:val="0"/>
        <w:spacing w:line="400" w:lineRule="exact"/>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7"/>
        <w:pageBreakBefore w:val="0"/>
        <w:numPr>
          <w:ilvl w:val="0"/>
          <w:numId w:val="0"/>
        </w:numPr>
        <w:kinsoku/>
        <w:overflowPunct/>
        <w:topLinePunct w:val="0"/>
        <w:bidi w:val="0"/>
        <w:spacing w:before="0" w:after="0" w:line="400" w:lineRule="exact"/>
        <w:ind w:firstLine="422" w:firstLineChars="200"/>
        <w:rPr>
          <w:rFonts w:hint="eastAsia" w:ascii="宋体" w:hAnsi="宋体" w:eastAsia="宋体" w:cs="宋体"/>
          <w:color w:val="auto"/>
          <w:kern w:val="2"/>
          <w:sz w:val="21"/>
          <w:szCs w:val="21"/>
          <w:highlight w:val="none"/>
        </w:rPr>
      </w:pPr>
      <w:bookmarkStart w:id="185" w:name="_Toc2821"/>
      <w:bookmarkStart w:id="186" w:name="_Toc17707934"/>
      <w:bookmarkStart w:id="187" w:name="_Toc460416661"/>
      <w:bookmarkStart w:id="188" w:name="_Toc460857920"/>
      <w:bookmarkStart w:id="189" w:name="_Toc79395461"/>
      <w:bookmarkStart w:id="190" w:name="_Toc7109"/>
      <w:bookmarkStart w:id="191" w:name="_Toc460416356"/>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七</w:t>
      </w:r>
      <w:r>
        <w:rPr>
          <w:rFonts w:hint="eastAsia" w:ascii="宋体" w:hAnsi="宋体" w:eastAsia="宋体" w:cs="宋体"/>
          <w:color w:val="auto"/>
          <w:kern w:val="2"/>
          <w:sz w:val="21"/>
          <w:szCs w:val="21"/>
          <w:highlight w:val="none"/>
        </w:rPr>
        <w:t>）投标无效的情形</w:t>
      </w:r>
      <w:bookmarkEnd w:id="185"/>
      <w:bookmarkEnd w:id="186"/>
      <w:bookmarkEnd w:id="187"/>
      <w:bookmarkEnd w:id="188"/>
      <w:bookmarkEnd w:id="189"/>
      <w:bookmarkEnd w:id="190"/>
      <w:bookmarkEnd w:id="191"/>
    </w:p>
    <w:p>
      <w:pPr>
        <w:pageBreakBefore w:val="0"/>
        <w:kinsoku/>
        <w:overflowPunct/>
        <w:topLinePunct w:val="0"/>
        <w:bidi w:val="0"/>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实质上没有响应采购文件要求的投标将被视为无效投标，投标人不得通过修正或撤消不合要求的偏离或保留从而使其投标成为实质上响应的投标。投标无效情形详见第四章《评标办法及评分标准》。</w:t>
      </w:r>
    </w:p>
    <w:p>
      <w:pPr>
        <w:pStyle w:val="6"/>
        <w:pageBreakBefore w:val="0"/>
        <w:numPr>
          <w:ilvl w:val="0"/>
          <w:numId w:val="0"/>
        </w:numPr>
        <w:tabs>
          <w:tab w:val="clear" w:pos="576"/>
        </w:tabs>
        <w:kinsoku/>
        <w:overflowPunct/>
        <w:topLinePunct w:val="0"/>
        <w:bidi w:val="0"/>
        <w:spacing w:before="0" w:after="0" w:line="400" w:lineRule="exact"/>
        <w:ind w:firstLine="422" w:firstLineChars="200"/>
        <w:jc w:val="left"/>
        <w:rPr>
          <w:rFonts w:hint="eastAsia" w:ascii="宋体" w:hAnsi="宋体" w:eastAsia="宋体" w:cs="宋体"/>
          <w:color w:val="auto"/>
          <w:sz w:val="21"/>
          <w:szCs w:val="21"/>
          <w:highlight w:val="none"/>
        </w:rPr>
      </w:pPr>
      <w:bookmarkStart w:id="192" w:name="_Toc14989"/>
      <w:bookmarkStart w:id="193" w:name="_Toc17707951"/>
      <w:bookmarkStart w:id="194" w:name="_Toc460857937"/>
      <w:bookmarkStart w:id="195" w:name="_Toc3589"/>
      <w:bookmarkStart w:id="196" w:name="_Toc79395474"/>
      <w:bookmarkStart w:id="197" w:name="_Toc27233"/>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特别说明</w:t>
      </w:r>
      <w:bookmarkEnd w:id="192"/>
      <w:bookmarkEnd w:id="193"/>
      <w:bookmarkEnd w:id="194"/>
      <w:bookmarkEnd w:id="195"/>
      <w:bookmarkEnd w:id="196"/>
      <w:bookmarkEnd w:id="197"/>
    </w:p>
    <w:p>
      <w:pPr>
        <w:pageBreakBefore w:val="0"/>
        <w:tabs>
          <w:tab w:val="left" w:pos="518"/>
        </w:tabs>
        <w:kinsoku/>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u w:val="single"/>
        </w:rPr>
        <w:t xml:space="preserve"> 非 </w:t>
      </w:r>
      <w:r>
        <w:rPr>
          <w:rFonts w:hint="eastAsia" w:ascii="宋体" w:hAnsi="宋体" w:eastAsia="宋体" w:cs="宋体"/>
          <w:color w:val="auto"/>
          <w:szCs w:val="21"/>
          <w:highlight w:val="none"/>
        </w:rPr>
        <w:t>专门面向中小企业采购。</w:t>
      </w:r>
    </w:p>
    <w:p>
      <w:pPr>
        <w:pageBreakBefore w:val="0"/>
        <w:tabs>
          <w:tab w:val="left" w:pos="518"/>
        </w:tabs>
        <w:kinsoku/>
        <w:overflowPunct/>
        <w:topLinePunct w:val="0"/>
        <w:bidi w:val="0"/>
        <w:adjustRightInd w:val="0"/>
        <w:snapToGrid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2.本项目对应的中小企业划分标准所属行业：</w:t>
      </w:r>
      <w:r>
        <w:rPr>
          <w:rFonts w:hint="eastAsia" w:ascii="宋体" w:hAnsi="宋体" w:eastAsia="宋体" w:cs="宋体"/>
          <w:b/>
          <w:bCs/>
          <w:color w:val="auto"/>
          <w:szCs w:val="21"/>
          <w:highlight w:val="none"/>
          <w:u w:val="single"/>
        </w:rPr>
        <w:t>其他未列明行业</w:t>
      </w:r>
      <w:r>
        <w:rPr>
          <w:rFonts w:hint="eastAsia" w:ascii="宋体" w:hAnsi="宋体" w:eastAsia="宋体" w:cs="宋体"/>
          <w:b/>
          <w:bCs/>
          <w:color w:val="auto"/>
          <w:szCs w:val="21"/>
          <w:highlight w:val="none"/>
        </w:rPr>
        <w:t>。</w:t>
      </w:r>
    </w:p>
    <w:p>
      <w:pPr>
        <w:pageBreakBefore w:val="0"/>
        <w:tabs>
          <w:tab w:val="left" w:pos="518"/>
        </w:tabs>
        <w:kinsoku/>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3.中小企业是指中华人民共和国境内依法设立，依据国务院批准的中小企业划分标准确定的小型企业和微型企业，但与大企业的负责人为同一人，或者与大企业存在直接控股、管理关系的除外。</w:t>
      </w:r>
    </w:p>
    <w:p>
      <w:pPr>
        <w:pageBreakBefore w:val="0"/>
        <w:tabs>
          <w:tab w:val="left" w:pos="518"/>
        </w:tabs>
        <w:kinsoku/>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pPr>
        <w:pageBreakBefore w:val="0"/>
        <w:tabs>
          <w:tab w:val="left" w:pos="518"/>
        </w:tabs>
        <w:kinsoku/>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国务院批准的中小企业划分标准：具体见工信部联企业[2011]300号。</w:t>
      </w:r>
    </w:p>
    <w:p>
      <w:pPr>
        <w:pageBreakBefore w:val="0"/>
        <w:tabs>
          <w:tab w:val="left" w:pos="518"/>
        </w:tabs>
        <w:kinsoku/>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4.在政府采购活动中，供应商提供的货物、工程或者服务符合下列情形的，可享受小型、微型企业（以下简称小微企业）的价格扣除：</w:t>
      </w:r>
    </w:p>
    <w:p>
      <w:pPr>
        <w:pageBreakBefore w:val="0"/>
        <w:tabs>
          <w:tab w:val="left" w:pos="518"/>
        </w:tabs>
        <w:kinsoku/>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（1）在货物采购项目中，货物由小微企业制造，即货物由小微企业生产且使用该小微企业商号或者注册商标；</w:t>
      </w:r>
    </w:p>
    <w:p>
      <w:pPr>
        <w:pageBreakBefore w:val="0"/>
        <w:tabs>
          <w:tab w:val="left" w:pos="518"/>
        </w:tabs>
        <w:kinsoku/>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（2）在工程采购项目中，工程由小微企业承建，即工程施工单位为小微企业；</w:t>
      </w:r>
    </w:p>
    <w:p>
      <w:pPr>
        <w:pageBreakBefore w:val="0"/>
        <w:tabs>
          <w:tab w:val="left" w:pos="518"/>
        </w:tabs>
        <w:kinsoku/>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（3）在服务采购项目中，服务由小微企业承接，即提供服务的人员为小微企业依照《中华人民共和国劳动合同法》订立劳动合同的从业人员。</w:t>
      </w:r>
    </w:p>
    <w:p>
      <w:pPr>
        <w:pageBreakBefore w:val="0"/>
        <w:tabs>
          <w:tab w:val="left" w:pos="518"/>
        </w:tabs>
        <w:kinsoku/>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以联合体形式参加政府采购活动，联合体各方均为小微企业的，联合体视同小微企业。</w:t>
      </w:r>
    </w:p>
    <w:p>
      <w:pPr>
        <w:pageBreakBefore w:val="0"/>
        <w:tabs>
          <w:tab w:val="left" w:pos="518"/>
        </w:tabs>
        <w:kinsoku/>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5.在货物采购项目中，供应商提供的货物既有中小企业制造货物，也有大型企业制造货物的，不享受的小微企业价格扣除。</w:t>
      </w:r>
    </w:p>
    <w:p>
      <w:pPr>
        <w:pageBreakBefore w:val="0"/>
        <w:tabs>
          <w:tab w:val="left" w:pos="518"/>
        </w:tabs>
        <w:kinsoku/>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6.对于非专门面向中小企业采购的采购项目，小微企业报价给予 20%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可给予联合体6％的价格扣除，用扣除后的价格参与评审。组成联合体或者接受分包的小微企业与联合体内其他企业、分包企业之间存在直接控股、管理关系的，不享受价格扣除优惠政策。</w:t>
      </w:r>
    </w:p>
    <w:p>
      <w:pPr>
        <w:pageBreakBefore w:val="0"/>
        <w:tabs>
          <w:tab w:val="left" w:pos="518"/>
        </w:tabs>
        <w:kinsoku/>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pageBreakBefore w:val="0"/>
        <w:tabs>
          <w:tab w:val="left" w:pos="518"/>
        </w:tabs>
        <w:kinsoku/>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供应商提供声明函内容不实的，属于提供虚假材料谋取中标、成交，依照《中华人民共和国政府采购法》等国家有关规定追究相应责任。</w:t>
      </w:r>
    </w:p>
    <w:p>
      <w:pPr>
        <w:pageBreakBefore w:val="0"/>
        <w:tabs>
          <w:tab w:val="left" w:pos="518"/>
        </w:tabs>
        <w:kinsoku/>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8.按规定享受扶持政策获得政府采购合同的，小微企业不得将合同分包给大中型企业，中型企业不得将合同分包给大型企业。</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根据《关于促进残疾人就业政府采购政策的通知》（财库[2017]141号）规定，在政府采购活动中，残疾人福利性单位视同小型、微型企业。残疾人福利性单位参加政府采购活动时，提供《残疾人福利性单位声明函》。</w:t>
      </w:r>
    </w:p>
    <w:p>
      <w:pPr>
        <w:pageBreakBefore w:val="0"/>
        <w:kinsoku/>
        <w:overflowPunct/>
        <w:topLinePunct w:val="0"/>
        <w:bidi w:val="0"/>
        <w:spacing w:line="400" w:lineRule="exact"/>
        <w:ind w:firstLine="422" w:firstLineChars="200"/>
        <w:rPr>
          <w:rFonts w:hint="eastAsia" w:ascii="宋体" w:hAnsi="宋体" w:eastAsia="宋体" w:cs="宋体"/>
          <w:b/>
          <w:color w:val="auto"/>
          <w:szCs w:val="21"/>
          <w:highlight w:val="none"/>
        </w:rPr>
      </w:pPr>
    </w:p>
    <w:p>
      <w:pPr>
        <w:pageBreakBefore w:val="0"/>
        <w:kinsoku/>
        <w:overflowPunct/>
        <w:topLinePunct w:val="0"/>
        <w:bidi w:val="0"/>
        <w:spacing w:line="400" w:lineRule="exact"/>
        <w:rPr>
          <w:rFonts w:hint="eastAsia" w:ascii="宋体" w:hAnsi="宋体" w:eastAsia="宋体" w:cs="宋体"/>
          <w:color w:val="auto"/>
          <w:highlight w:val="none"/>
        </w:rPr>
      </w:pPr>
      <w:bookmarkStart w:id="198" w:name="_Toc17707952"/>
      <w:bookmarkStart w:id="199" w:name="_Toc15374"/>
      <w:bookmarkStart w:id="200" w:name="_Toc79395475"/>
      <w:bookmarkStart w:id="201" w:name="_Toc14879"/>
      <w:bookmarkStart w:id="202" w:name="_Toc25321"/>
    </w:p>
    <w:p>
      <w:pPr>
        <w:pageBreakBefore w:val="0"/>
        <w:kinsoku/>
        <w:overflowPunct/>
        <w:topLinePunct w:val="0"/>
        <w:bidi w:val="0"/>
        <w:spacing w:line="400" w:lineRule="exact"/>
        <w:rPr>
          <w:rFonts w:hint="eastAsia" w:ascii="宋体" w:hAnsi="宋体" w:eastAsia="宋体" w:cs="宋体"/>
          <w:color w:val="auto"/>
          <w:sz w:val="30"/>
          <w:highlight w:val="none"/>
        </w:rPr>
      </w:pPr>
      <w:r>
        <w:rPr>
          <w:rFonts w:hint="eastAsia" w:ascii="宋体" w:hAnsi="宋体" w:eastAsia="宋体" w:cs="宋体"/>
          <w:color w:val="auto"/>
          <w:sz w:val="30"/>
          <w:highlight w:val="none"/>
        </w:rPr>
        <w:br w:type="page"/>
      </w:r>
    </w:p>
    <w:p>
      <w:pPr>
        <w:pStyle w:val="5"/>
        <w:pageBreakBefore w:val="0"/>
        <w:kinsoku/>
        <w:overflowPunct/>
        <w:topLinePunct w:val="0"/>
        <w:bidi w:val="0"/>
        <w:spacing w:before="0" w:after="0" w:line="400" w:lineRule="exact"/>
        <w:jc w:val="center"/>
        <w:rPr>
          <w:rFonts w:hint="eastAsia" w:ascii="宋体" w:hAnsi="宋体" w:eastAsia="宋体" w:cs="宋体"/>
          <w:b w:val="0"/>
          <w:bCs w:val="0"/>
          <w:color w:val="auto"/>
          <w:sz w:val="28"/>
          <w:szCs w:val="28"/>
          <w:highlight w:val="none"/>
        </w:rPr>
      </w:pPr>
      <w:r>
        <w:rPr>
          <w:rFonts w:hint="eastAsia" w:ascii="宋体" w:hAnsi="宋体" w:eastAsia="宋体" w:cs="宋体"/>
          <w:color w:val="auto"/>
          <w:sz w:val="30"/>
          <w:highlight w:val="none"/>
        </w:rPr>
        <w:t xml:space="preserve">第四章  </w:t>
      </w:r>
      <w:bookmarkStart w:id="203" w:name="_Hlk22492252"/>
      <w:r>
        <w:rPr>
          <w:rFonts w:hint="eastAsia" w:ascii="宋体" w:hAnsi="宋体" w:eastAsia="宋体" w:cs="宋体"/>
          <w:color w:val="auto"/>
          <w:sz w:val="30"/>
          <w:highlight w:val="none"/>
        </w:rPr>
        <w:t>评标办法及评分标准</w:t>
      </w:r>
      <w:bookmarkEnd w:id="198"/>
      <w:bookmarkEnd w:id="199"/>
      <w:bookmarkEnd w:id="200"/>
      <w:bookmarkEnd w:id="201"/>
      <w:bookmarkEnd w:id="202"/>
      <w:bookmarkEnd w:id="203"/>
    </w:p>
    <w:p>
      <w:pPr>
        <w:pStyle w:val="29"/>
        <w:pageBreakBefore w:val="0"/>
        <w:kinsoku/>
        <w:overflowPunct/>
        <w:topLinePunct w:val="0"/>
        <w:bidi w:val="0"/>
        <w:spacing w:before="156" w:beforeLines="50" w:after="156" w:afterLines="50" w:line="400" w:lineRule="exact"/>
        <w:ind w:firstLine="413" w:firstLineChars="196"/>
        <w:jc w:val="left"/>
        <w:rPr>
          <w:rFonts w:hint="eastAsia" w:ascii="宋体" w:hAnsi="宋体" w:eastAsia="宋体" w:cs="宋体"/>
          <w:color w:val="auto"/>
          <w:sz w:val="21"/>
          <w:szCs w:val="21"/>
          <w:highlight w:val="none"/>
        </w:rPr>
      </w:pPr>
      <w:bookmarkStart w:id="204" w:name="_Toc495957613"/>
      <w:bookmarkStart w:id="205" w:name="_Toc493058315"/>
      <w:bookmarkStart w:id="206" w:name="_Toc481567075"/>
      <w:bookmarkStart w:id="207" w:name="_Toc79395476"/>
      <w:bookmarkStart w:id="208" w:name="_Toc5227"/>
      <w:bookmarkStart w:id="209" w:name="_Toc17707953"/>
      <w:bookmarkStart w:id="210" w:name="_Toc51446753"/>
      <w:bookmarkStart w:id="211" w:name="_Toc2954"/>
      <w:bookmarkStart w:id="212" w:name="_Toc27629"/>
      <w:r>
        <w:rPr>
          <w:rFonts w:hint="eastAsia" w:ascii="宋体" w:hAnsi="宋体" w:eastAsia="宋体" w:cs="宋体"/>
          <w:color w:val="auto"/>
          <w:sz w:val="21"/>
          <w:szCs w:val="21"/>
          <w:highlight w:val="none"/>
        </w:rPr>
        <w:t>一、</w:t>
      </w:r>
      <w:bookmarkEnd w:id="204"/>
      <w:bookmarkEnd w:id="205"/>
      <w:bookmarkEnd w:id="206"/>
      <w:r>
        <w:rPr>
          <w:rFonts w:hint="eastAsia" w:ascii="宋体" w:hAnsi="宋体" w:eastAsia="宋体" w:cs="宋体"/>
          <w:color w:val="auto"/>
          <w:sz w:val="21"/>
          <w:szCs w:val="21"/>
          <w:highlight w:val="none"/>
        </w:rPr>
        <w:t>总则</w:t>
      </w:r>
      <w:bookmarkEnd w:id="207"/>
      <w:bookmarkEnd w:id="208"/>
      <w:bookmarkEnd w:id="209"/>
      <w:bookmarkEnd w:id="210"/>
      <w:bookmarkEnd w:id="211"/>
      <w:bookmarkEnd w:id="212"/>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bookmarkStart w:id="213" w:name="_Toc495957614"/>
      <w:bookmarkStart w:id="214" w:name="_Toc493058316"/>
      <w:bookmarkStart w:id="215" w:name="_Toc259108326"/>
      <w:bookmarkStart w:id="216" w:name="_Toc249866769"/>
      <w:r>
        <w:rPr>
          <w:rFonts w:hint="eastAsia" w:ascii="宋体" w:hAnsi="宋体" w:eastAsia="宋体" w:cs="宋体"/>
          <w:color w:val="auto"/>
          <w:szCs w:val="21"/>
          <w:highlight w:val="none"/>
        </w:rPr>
        <w:t>招标活动遵循公平、公正、科学、择优的原则依法进行，招标活动及当事人接受依法实施的监督。</w:t>
      </w:r>
    </w:p>
    <w:p>
      <w:pPr>
        <w:pStyle w:val="29"/>
        <w:pageBreakBefore w:val="0"/>
        <w:kinsoku/>
        <w:overflowPunct/>
        <w:topLinePunct w:val="0"/>
        <w:bidi w:val="0"/>
        <w:spacing w:before="156" w:beforeLines="50" w:after="156" w:afterLines="50" w:line="400" w:lineRule="exact"/>
        <w:ind w:firstLine="413" w:firstLineChars="196"/>
        <w:jc w:val="left"/>
        <w:rPr>
          <w:rFonts w:hint="eastAsia" w:ascii="宋体" w:hAnsi="宋体" w:eastAsia="宋体" w:cs="宋体"/>
          <w:color w:val="auto"/>
          <w:sz w:val="21"/>
          <w:szCs w:val="21"/>
          <w:highlight w:val="none"/>
        </w:rPr>
      </w:pPr>
      <w:bookmarkStart w:id="217" w:name="_Toc8849"/>
      <w:bookmarkStart w:id="218" w:name="_Toc79395477"/>
      <w:bookmarkStart w:id="219" w:name="_Toc51446755"/>
      <w:bookmarkStart w:id="220" w:name="_Toc16265"/>
      <w:bookmarkStart w:id="221" w:name="_Toc17707954"/>
      <w:bookmarkStart w:id="222" w:name="_Toc8408"/>
      <w:r>
        <w:rPr>
          <w:rFonts w:hint="eastAsia" w:ascii="宋体" w:hAnsi="宋体" w:eastAsia="宋体" w:cs="宋体"/>
          <w:color w:val="auto"/>
          <w:sz w:val="21"/>
          <w:szCs w:val="21"/>
          <w:highlight w:val="none"/>
        </w:rPr>
        <w:t>二、评标委员会</w:t>
      </w:r>
      <w:bookmarkEnd w:id="213"/>
      <w:bookmarkEnd w:id="214"/>
      <w:bookmarkEnd w:id="217"/>
      <w:bookmarkEnd w:id="218"/>
      <w:bookmarkEnd w:id="219"/>
      <w:bookmarkEnd w:id="220"/>
      <w:bookmarkEnd w:id="221"/>
      <w:bookmarkEnd w:id="222"/>
    </w:p>
    <w:p>
      <w:pPr>
        <w:pageBreakBefore w:val="0"/>
        <w:kinsoku/>
        <w:overflowPunct/>
        <w:topLinePunct w:val="0"/>
        <w:bidi w:val="0"/>
        <w:spacing w:line="400" w:lineRule="exact"/>
        <w:ind w:firstLine="315" w:firstLineChars="150"/>
        <w:rPr>
          <w:rFonts w:hint="eastAsia" w:ascii="宋体" w:hAnsi="宋体" w:eastAsia="宋体" w:cs="宋体"/>
          <w:i/>
          <w:iCs/>
          <w:color w:val="auto"/>
          <w:szCs w:val="21"/>
          <w:highlight w:val="none"/>
        </w:rPr>
      </w:pPr>
      <w:r>
        <w:rPr>
          <w:rFonts w:hint="eastAsia" w:ascii="宋体" w:hAnsi="宋体" w:eastAsia="宋体" w:cs="宋体"/>
          <w:color w:val="auto"/>
          <w:szCs w:val="21"/>
          <w:highlight w:val="none"/>
        </w:rPr>
        <w:t>（一）本次招标依法组建评标委员会。评标委员会由招标人代表和评审专家组成或全部由评审专家组成，评审专家从专家库随机抽取。</w:t>
      </w:r>
    </w:p>
    <w:p>
      <w:pPr>
        <w:pageBreakBefore w:val="0"/>
        <w:kinsoku/>
        <w:overflowPunct/>
        <w:topLinePunct w:val="0"/>
        <w:bidi w:val="0"/>
        <w:spacing w:line="4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pageBreakBefore w:val="0"/>
        <w:kinsoku/>
        <w:overflowPunct/>
        <w:topLinePunct w:val="0"/>
        <w:bidi w:val="0"/>
        <w:spacing w:line="4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（三）评审专家有下列情形之一的，受到邀请应主动提出回避，采购当事人也可以要求该评审专家回避：</w:t>
      </w:r>
    </w:p>
    <w:p>
      <w:pPr>
        <w:pageBreakBefore w:val="0"/>
        <w:kinsoku/>
        <w:overflowPunct/>
        <w:topLinePunct w:val="0"/>
        <w:bidi w:val="0"/>
        <w:spacing w:line="4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1.参加采购活动前三年内，与供应商存在劳动关系，或者担任过供应商的董事、监事，或者是供应商的控股股东或实际控制人；</w:t>
      </w:r>
    </w:p>
    <w:p>
      <w:pPr>
        <w:pageBreakBefore w:val="0"/>
        <w:kinsoku/>
        <w:overflowPunct/>
        <w:topLinePunct w:val="0"/>
        <w:bidi w:val="0"/>
        <w:spacing w:line="4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2.与供应商的法定代表人或者负责人有夫妻、直系血亲、三代以内旁系血亲或者近姻亲关系；</w:t>
      </w:r>
    </w:p>
    <w:p>
      <w:pPr>
        <w:pageBreakBefore w:val="0"/>
        <w:kinsoku/>
        <w:overflowPunct/>
        <w:topLinePunct w:val="0"/>
        <w:bidi w:val="0"/>
        <w:spacing w:line="4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3.曾经参加过该招标项目的进口产品的论证和咨询服务工作。</w:t>
      </w:r>
    </w:p>
    <w:p>
      <w:pPr>
        <w:pageBreakBefore w:val="0"/>
        <w:kinsoku/>
        <w:overflowPunct/>
        <w:topLinePunct w:val="0"/>
        <w:bidi w:val="0"/>
        <w:spacing w:line="4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4.与供应商有其他可能影响政府采购活动公平、公正进行的关系。</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5.法律、法规、规章规定应当回避以及其他可能影响公正评审的。</w:t>
      </w:r>
    </w:p>
    <w:p>
      <w:pPr>
        <w:pageBreakBefore w:val="0"/>
        <w:kinsoku/>
        <w:overflowPunct/>
        <w:topLinePunct w:val="0"/>
        <w:bidi w:val="0"/>
        <w:spacing w:line="4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（四）评标委员会判断投标文件的有效性、合格性和响应情况，仅依据投标人所递交一切文件的真实表述，不受与本项目无直接关联的外部信息、传言而影响自身的专业判断。</w:t>
      </w:r>
    </w:p>
    <w:p>
      <w:pPr>
        <w:pageBreakBefore w:val="0"/>
        <w:kinsoku/>
        <w:overflowPunct/>
        <w:topLinePunct w:val="0"/>
        <w:bidi w:val="0"/>
        <w:spacing w:line="4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29"/>
        <w:pageBreakBefore w:val="0"/>
        <w:kinsoku/>
        <w:overflowPunct/>
        <w:topLinePunct w:val="0"/>
        <w:bidi w:val="0"/>
        <w:spacing w:before="156" w:beforeLines="50" w:after="156" w:afterLines="50" w:line="400" w:lineRule="exact"/>
        <w:ind w:firstLine="413" w:firstLineChars="196"/>
        <w:jc w:val="left"/>
        <w:rPr>
          <w:rFonts w:hint="eastAsia" w:ascii="宋体" w:hAnsi="宋体" w:eastAsia="宋体" w:cs="宋体"/>
          <w:color w:val="auto"/>
          <w:sz w:val="21"/>
          <w:szCs w:val="21"/>
          <w:highlight w:val="none"/>
        </w:rPr>
      </w:pPr>
      <w:bookmarkStart w:id="223" w:name="_Toc79395478"/>
      <w:bookmarkStart w:id="224" w:name="_Toc498"/>
      <w:bookmarkStart w:id="225" w:name="_Toc481567076"/>
      <w:bookmarkStart w:id="226" w:name="_Toc51446757"/>
      <w:bookmarkStart w:id="227" w:name="_Toc17707956"/>
      <w:bookmarkStart w:id="228" w:name="_Toc23025"/>
      <w:bookmarkStart w:id="229" w:name="_Toc493058317"/>
      <w:bookmarkStart w:id="230" w:name="_Toc22102"/>
      <w:bookmarkStart w:id="231" w:name="_Toc495957615"/>
      <w:r>
        <w:rPr>
          <w:rFonts w:hint="eastAsia" w:ascii="宋体" w:hAnsi="宋体" w:eastAsia="宋体" w:cs="宋体"/>
          <w:color w:val="auto"/>
          <w:sz w:val="21"/>
          <w:szCs w:val="21"/>
          <w:highlight w:val="none"/>
        </w:rPr>
        <w:t>三、评标方法</w:t>
      </w:r>
      <w:bookmarkEnd w:id="223"/>
      <w:bookmarkEnd w:id="224"/>
      <w:bookmarkEnd w:id="225"/>
      <w:bookmarkEnd w:id="226"/>
      <w:bookmarkEnd w:id="227"/>
      <w:bookmarkEnd w:id="228"/>
      <w:bookmarkEnd w:id="229"/>
      <w:bookmarkEnd w:id="230"/>
      <w:bookmarkEnd w:id="231"/>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（一）本次招标项目的评标方法为：综合评分法。</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（二）评分细则</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1.价格分采用低价优先法计算，即满足招标文件要求且参与评审价格最低为评标基准价，其价格分为满分。其他投标人的价格分按照下列公式计算：</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参与评审价格=投标价格-小微企业价格扣除优惠值20%</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价格分=（评标基准价/参与评审的价格）×价格权值×100</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2.合格投标人评标综合得分=价格分+商务技术分。</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3.报价要求：本次招标设有预算价(或最高限价)，投标人报价超出预算价(或最高限价)的投标文件作无效处理。</w:t>
      </w:r>
    </w:p>
    <w:p>
      <w:pPr>
        <w:pageBreakBefore w:val="0"/>
        <w:kinsoku/>
        <w:overflowPunct/>
        <w:topLinePunct w:val="0"/>
        <w:bidi w:val="0"/>
        <w:spacing w:line="4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bookmarkStart w:id="232" w:name="_Toc481567079"/>
      <w:r>
        <w:rPr>
          <w:rFonts w:hint="eastAsia" w:ascii="宋体" w:hAnsi="宋体" w:eastAsia="宋体" w:cs="宋体"/>
          <w:color w:val="auto"/>
          <w:szCs w:val="21"/>
          <w:highlight w:val="none"/>
        </w:rPr>
        <w:t>投标文件的澄清</w:t>
      </w:r>
      <w:bookmarkEnd w:id="232"/>
    </w:p>
    <w:p>
      <w:pPr>
        <w:pageBreakBefore w:val="0"/>
        <w:widowControl/>
        <w:kinsoku/>
        <w:overflowPunct/>
        <w:topLinePunct w:val="0"/>
        <w:bidi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对于投标文件中含义不明确、同类问题表述不一致或者有明显文字和计算错误的内容，评标委员会应当以书面形式要求投标人作出必要的澄清、说明或者补正。</w:t>
      </w:r>
    </w:p>
    <w:p>
      <w:pPr>
        <w:pageBreakBefore w:val="0"/>
        <w:kinsoku/>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kern w:val="0"/>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（四）投标文件错误修正原则</w:t>
      </w:r>
    </w:p>
    <w:p>
      <w:pPr>
        <w:pStyle w:val="174"/>
        <w:pageBreakBefore w:val="0"/>
        <w:widowControl/>
        <w:kinsoku/>
        <w:overflowPunct/>
        <w:topLinePunct w:val="0"/>
        <w:bidi w:val="0"/>
        <w:spacing w:beforeLines="0" w:afterLines="0" w:line="400" w:lineRule="exact"/>
        <w:ind w:left="689" w:leftChars="228"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pPr>
        <w:pageBreakBefore w:val="0"/>
        <w:widowControl/>
        <w:kinsoku/>
        <w:overflowPunct/>
        <w:topLinePunct w:val="0"/>
        <w:bidi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p>
    <w:p>
      <w:pPr>
        <w:pageBreakBefore w:val="0"/>
        <w:widowControl/>
        <w:kinsoku/>
        <w:overflowPunct/>
        <w:topLinePunct w:val="0"/>
        <w:bidi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pageBreakBefore w:val="0"/>
        <w:widowControl/>
        <w:kinsoku/>
        <w:overflowPunct/>
        <w:topLinePunct w:val="0"/>
        <w:bidi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pPr>
        <w:pageBreakBefore w:val="0"/>
        <w:widowControl/>
        <w:kinsoku/>
        <w:overflowPunct/>
        <w:topLinePunct w:val="0"/>
        <w:bidi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pStyle w:val="174"/>
        <w:pageBreakBefore w:val="0"/>
        <w:widowControl/>
        <w:kinsoku/>
        <w:overflowPunct/>
        <w:topLinePunct w:val="0"/>
        <w:bidi w:val="0"/>
        <w:spacing w:beforeLines="0" w:afterLines="0" w:line="400" w:lineRule="exac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同时出现两种以上不一致的，按照前款规定的顺序修正。修正后的报价经投标人确认后具有约束力，若投标人不确认的，则其投标无效。</w:t>
      </w:r>
    </w:p>
    <w:p>
      <w:pPr>
        <w:pStyle w:val="29"/>
        <w:pageBreakBefore w:val="0"/>
        <w:kinsoku/>
        <w:overflowPunct/>
        <w:topLinePunct w:val="0"/>
        <w:bidi w:val="0"/>
        <w:spacing w:before="156" w:beforeLines="50" w:after="156" w:afterLines="50" w:line="400" w:lineRule="exact"/>
        <w:ind w:firstLine="413" w:firstLineChars="196"/>
        <w:jc w:val="left"/>
        <w:rPr>
          <w:rFonts w:hint="eastAsia" w:ascii="宋体" w:hAnsi="宋体" w:eastAsia="宋体" w:cs="宋体"/>
          <w:color w:val="auto"/>
          <w:sz w:val="21"/>
          <w:szCs w:val="21"/>
          <w:highlight w:val="none"/>
        </w:rPr>
      </w:pPr>
      <w:bookmarkStart w:id="233" w:name="_Toc493058318"/>
      <w:bookmarkStart w:id="234" w:name="_Toc495957616"/>
      <w:bookmarkStart w:id="235" w:name="_Toc481567077"/>
      <w:bookmarkStart w:id="236" w:name="_Toc17707957"/>
      <w:bookmarkStart w:id="237" w:name="_Toc14002"/>
      <w:bookmarkStart w:id="238" w:name="_Toc16487"/>
      <w:bookmarkStart w:id="239" w:name="_Toc79395479"/>
      <w:bookmarkStart w:id="240" w:name="_Toc51446758"/>
      <w:bookmarkStart w:id="241" w:name="_Toc26483"/>
      <w:r>
        <w:rPr>
          <w:rFonts w:hint="eastAsia" w:ascii="宋体" w:hAnsi="宋体" w:eastAsia="宋体" w:cs="宋体"/>
          <w:color w:val="auto"/>
          <w:sz w:val="21"/>
          <w:szCs w:val="21"/>
          <w:highlight w:val="none"/>
        </w:rPr>
        <w:t>四、评标</w:t>
      </w:r>
      <w:bookmarkEnd w:id="215"/>
      <w:bookmarkEnd w:id="216"/>
      <w:bookmarkEnd w:id="233"/>
      <w:bookmarkEnd w:id="234"/>
      <w:bookmarkEnd w:id="235"/>
      <w:r>
        <w:rPr>
          <w:rFonts w:hint="eastAsia" w:ascii="宋体" w:hAnsi="宋体" w:eastAsia="宋体" w:cs="宋体"/>
          <w:color w:val="auto"/>
          <w:sz w:val="21"/>
          <w:szCs w:val="21"/>
          <w:highlight w:val="none"/>
        </w:rPr>
        <w:t>过程</w:t>
      </w:r>
      <w:bookmarkEnd w:id="236"/>
      <w:bookmarkEnd w:id="237"/>
      <w:bookmarkEnd w:id="238"/>
      <w:bookmarkEnd w:id="239"/>
      <w:bookmarkEnd w:id="240"/>
      <w:bookmarkEnd w:id="241"/>
    </w:p>
    <w:p>
      <w:pPr>
        <w:pStyle w:val="23"/>
        <w:pageBreakBefore w:val="0"/>
        <w:kinsoku/>
        <w:overflowPunct/>
        <w:topLinePunct w:val="0"/>
        <w:bidi w:val="0"/>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（一）资格审查</w:t>
      </w:r>
    </w:p>
    <w:p>
      <w:pPr>
        <w:pStyle w:val="23"/>
        <w:pageBreakBefore w:val="0"/>
        <w:kinsoku/>
        <w:overflowPunct/>
        <w:topLinePunct w:val="0"/>
        <w:bidi w:val="0"/>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采购代理机构对投标人的资格进行审查。依据法律法规和招标文件的规定，对投标文件中的资格证明进行审查，以确定投标人是否具备投标资格。</w:t>
      </w:r>
    </w:p>
    <w:tbl>
      <w:tblPr>
        <w:tblStyle w:val="40"/>
        <w:tblpPr w:leftFromText="180" w:rightFromText="180" w:vertAnchor="text" w:horzAnchor="page" w:tblpX="1624" w:tblpY="357"/>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审查类别</w:t>
            </w:r>
          </w:p>
        </w:tc>
        <w:tc>
          <w:tcPr>
            <w:tcW w:w="7584"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审查内容（详见资格条件自查表）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21" w:type="dxa"/>
            <w:vMerge w:val="restart"/>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资格条件审查</w:t>
            </w:r>
          </w:p>
        </w:tc>
        <w:tc>
          <w:tcPr>
            <w:tcW w:w="7584" w:type="dxa"/>
            <w:vAlign w:val="center"/>
          </w:tcPr>
          <w:p>
            <w:pPr>
              <w:pageBreakBefore w:val="0"/>
              <w:kinsoku/>
              <w:overflowPunct/>
              <w:topLinePunct w:val="0"/>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（一）符合《中华人民共和国政府采购法》第二十二条规定的投标人资格条件。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1" w:type="dxa"/>
            <w:vMerge w:val="continue"/>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7584" w:type="dxa"/>
            <w:vAlign w:val="center"/>
          </w:tcPr>
          <w:p>
            <w:pPr>
              <w:pageBreakBefore w:val="0"/>
              <w:kinsoku/>
              <w:overflowPunct/>
              <w:topLinePunct w:val="0"/>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521" w:type="dxa"/>
            <w:vMerge w:val="continue"/>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7584" w:type="dxa"/>
            <w:vAlign w:val="center"/>
          </w:tcPr>
          <w:p>
            <w:pPr>
              <w:pageBreakBefore w:val="0"/>
              <w:kinsoku/>
              <w:overflowPunct/>
              <w:topLinePunct w:val="0"/>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7584" w:type="dxa"/>
            <w:vAlign w:val="center"/>
          </w:tcPr>
          <w:p>
            <w:pPr>
              <w:pageBreakBefore w:val="0"/>
              <w:kinsoku/>
              <w:overflowPunct/>
              <w:topLinePunct w:val="0"/>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（四）特定的资格条件：</w:t>
            </w:r>
            <w:r>
              <w:rPr>
                <w:rFonts w:hint="eastAsia" w:ascii="宋体" w:hAnsi="宋体" w:eastAsia="宋体" w:cs="宋体"/>
                <w:color w:val="auto"/>
                <w:kern w:val="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7584" w:type="dxa"/>
            <w:vAlign w:val="center"/>
          </w:tcPr>
          <w:p>
            <w:pPr>
              <w:pageBreakBefore w:val="0"/>
              <w:kinsoku/>
              <w:overflowPunct/>
              <w:topLinePunct w:val="0"/>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（五）本项目不接受联合体投标。</w:t>
            </w:r>
          </w:p>
        </w:tc>
      </w:tr>
    </w:tbl>
    <w:p>
      <w:pPr>
        <w:pStyle w:val="23"/>
        <w:pageBreakBefore w:val="0"/>
        <w:kinsoku/>
        <w:overflowPunct/>
        <w:topLinePunct w:val="0"/>
        <w:bidi w:val="0"/>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（二）符合性审查</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依据招标文件的规定，从投标人投标文件的有效性、完整性和对招标文件的响应程度进行审查，以确定是否对招标文件的实质性要求作出响应。</w:t>
      </w:r>
    </w:p>
    <w:tbl>
      <w:tblPr>
        <w:tblStyle w:val="40"/>
        <w:tblpPr w:leftFromText="180" w:rightFromText="180" w:vertAnchor="text" w:horzAnchor="page" w:tblpX="1709" w:tblpY="177"/>
        <w:tblOverlap w:val="never"/>
        <w:tblW w:w="90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51"/>
        <w:gridCol w:w="75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blHeader/>
        </w:trPr>
        <w:tc>
          <w:tcPr>
            <w:tcW w:w="1551" w:type="dxa"/>
            <w:vAlign w:val="center"/>
          </w:tcPr>
          <w:p>
            <w:pPr>
              <w:pageBreakBefore w:val="0"/>
              <w:kinsoku/>
              <w:overflowPunct/>
              <w:topLinePunct w:val="0"/>
              <w:bidi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审查类别</w:t>
            </w:r>
          </w:p>
        </w:tc>
        <w:tc>
          <w:tcPr>
            <w:tcW w:w="7548" w:type="dxa"/>
            <w:vAlign w:val="center"/>
          </w:tcPr>
          <w:p>
            <w:pPr>
              <w:pageBreakBefore w:val="0"/>
              <w:kinsoku/>
              <w:overflowPunct/>
              <w:topLinePunct w:val="0"/>
              <w:bidi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审查内容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restart"/>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w:t>
            </w:r>
          </w:p>
        </w:tc>
        <w:tc>
          <w:tcPr>
            <w:tcW w:w="7548" w:type="dxa"/>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按招标文件要求签署、签章。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7548" w:type="dxa"/>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投标有效期满足招标文件要求。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7548" w:type="dxa"/>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符合招标文件要求的，未发生与招标文件中标注“★”的条款实质性偏离的。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7548" w:type="dxa"/>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不含有采购人不能接受的附加条件。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7548" w:type="dxa"/>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未发现法律、法规和招标文件规定的其他无效情形。</w:t>
            </w:r>
          </w:p>
        </w:tc>
      </w:tr>
    </w:tbl>
    <w:p>
      <w:pPr>
        <w:pStyle w:val="12"/>
        <w:pageBreakBefore w:val="0"/>
        <w:numPr>
          <w:ilvl w:val="0"/>
          <w:numId w:val="0"/>
        </w:numPr>
        <w:kinsoku/>
        <w:overflowPunct/>
        <w:topLinePunct w:val="0"/>
        <w:bidi w:val="0"/>
        <w:spacing w:line="400" w:lineRule="exact"/>
        <w:ind w:left="420"/>
        <w:rPr>
          <w:rFonts w:hint="eastAsia" w:ascii="宋体" w:hAnsi="宋体" w:eastAsia="宋体" w:cs="宋体"/>
          <w:color w:val="auto"/>
          <w:highlight w:val="none"/>
        </w:rPr>
      </w:pPr>
    </w:p>
    <w:p>
      <w:pPr>
        <w:pStyle w:val="23"/>
        <w:pageBreakBefore w:val="0"/>
        <w:kinsoku/>
        <w:overflowPunct/>
        <w:topLinePunct w:val="0"/>
        <w:bidi w:val="0"/>
        <w:spacing w:line="400" w:lineRule="exact"/>
        <w:ind w:left="473"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（三）澄清问题</w:t>
      </w:r>
    </w:p>
    <w:p>
      <w:pPr>
        <w:pStyle w:val="23"/>
        <w:pageBreakBefore w:val="0"/>
        <w:kinsoku/>
        <w:overflowPunct/>
        <w:topLinePunct w:val="0"/>
        <w:bidi w:val="0"/>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对于投标文件中含义不明确、同类问题表述不一致或者有明显文字和计算错误的内容，评标委员会可要求投标人以书面形式作出必要的澄清、说明或者补正。</w:t>
      </w:r>
    </w:p>
    <w:p>
      <w:pPr>
        <w:pStyle w:val="23"/>
        <w:pageBreakBefore w:val="0"/>
        <w:kinsoku/>
        <w:overflowPunct/>
        <w:topLinePunct w:val="0"/>
        <w:bidi w:val="0"/>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p>
    <w:p>
      <w:pPr>
        <w:pStyle w:val="23"/>
        <w:pageBreakBefore w:val="0"/>
        <w:kinsoku/>
        <w:overflowPunct/>
        <w:topLinePunct w:val="0"/>
        <w:bidi w:val="0"/>
        <w:spacing w:line="400" w:lineRule="exact"/>
        <w:ind w:left="473"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（四）详细评审</w:t>
      </w:r>
    </w:p>
    <w:p>
      <w:pPr>
        <w:pStyle w:val="23"/>
        <w:pageBreakBefore w:val="0"/>
        <w:kinsoku/>
        <w:overflowPunct/>
        <w:topLinePunct w:val="0"/>
        <w:bidi w:val="0"/>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评标委员会对通过符合性审查的投标文件，依照本办法对技术、商务内容作进一步评审、比较。评标委员会成员经过阅标、审标和询标，对各投标人进行综合打分。</w:t>
      </w:r>
    </w:p>
    <w:p>
      <w:pPr>
        <w:pageBreakBefore w:val="0"/>
        <w:widowControl/>
        <w:kinsoku/>
        <w:overflowPunct/>
        <w:topLinePunct w:val="0"/>
        <w:bidi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pPr>
        <w:pageBreakBefore w:val="0"/>
        <w:widowControl/>
        <w:kinsoku/>
        <w:overflowPunct/>
        <w:topLinePunct w:val="0"/>
        <w:bidi w:val="0"/>
        <w:spacing w:line="40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color w:val="auto"/>
          <w:szCs w:val="21"/>
          <w:highlight w:val="none"/>
        </w:rPr>
        <w:t>评标委员会认为投标文件无效的，应组织相关投标人代表进行陈述、澄清或申辩。</w:t>
      </w:r>
    </w:p>
    <w:p>
      <w:pPr>
        <w:pageBreakBefore w:val="0"/>
        <w:widowControl/>
        <w:kinsoku/>
        <w:overflowPunct/>
        <w:topLinePunct w:val="0"/>
        <w:bidi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可协助评标委员会主任评委对打分结果进行校对、核对并汇总统计。对明显畸高、畸低的评分（其总评分偏离平均分30%以上的），评标委员会组长应提醒相关评标委员会成员进行复核或书面说明理由，评标委员会成员拒绝说明的，由现场监督员据实记录。评标委员会成员的评审、修改记录应保留原件，随项目其他资料一并存档。</w:t>
      </w:r>
    </w:p>
    <w:p>
      <w:pPr>
        <w:pStyle w:val="29"/>
        <w:pageBreakBefore w:val="0"/>
        <w:kinsoku/>
        <w:overflowPunct/>
        <w:topLinePunct w:val="0"/>
        <w:bidi w:val="0"/>
        <w:spacing w:before="156" w:beforeLines="50" w:after="156" w:afterLines="50" w:line="400" w:lineRule="exact"/>
        <w:ind w:firstLine="413" w:firstLineChars="196"/>
        <w:jc w:val="left"/>
        <w:rPr>
          <w:rFonts w:hint="eastAsia" w:ascii="宋体" w:hAnsi="宋体" w:eastAsia="宋体" w:cs="宋体"/>
          <w:color w:val="auto"/>
          <w:sz w:val="21"/>
          <w:szCs w:val="21"/>
          <w:highlight w:val="none"/>
        </w:rPr>
      </w:pPr>
      <w:bookmarkStart w:id="242" w:name="_Toc10171"/>
      <w:bookmarkStart w:id="243" w:name="_Toc79395482"/>
      <w:bookmarkStart w:id="244" w:name="_Toc259108323"/>
      <w:bookmarkStart w:id="245" w:name="_Toc20275"/>
      <w:bookmarkStart w:id="246" w:name="_Toc17707960"/>
      <w:bookmarkStart w:id="247" w:name="_Toc51446761"/>
      <w:bookmarkStart w:id="248" w:name="_Toc249866767"/>
      <w:bookmarkStart w:id="249" w:name="_Toc4938"/>
      <w:r>
        <w:rPr>
          <w:rFonts w:hint="eastAsia" w:ascii="宋体" w:hAnsi="宋体" w:eastAsia="宋体" w:cs="宋体"/>
          <w:color w:val="auto"/>
          <w:sz w:val="21"/>
          <w:szCs w:val="21"/>
          <w:highlight w:val="none"/>
        </w:rPr>
        <w:t>五、投标无效的情形</w:t>
      </w:r>
      <w:bookmarkEnd w:id="242"/>
      <w:bookmarkEnd w:id="243"/>
      <w:bookmarkEnd w:id="244"/>
      <w:bookmarkEnd w:id="245"/>
      <w:bookmarkEnd w:id="246"/>
      <w:bookmarkEnd w:id="247"/>
      <w:bookmarkEnd w:id="248"/>
      <w:bookmarkEnd w:id="249"/>
    </w:p>
    <w:p>
      <w:pPr>
        <w:pageBreakBefore w:val="0"/>
        <w:kinsoku/>
        <w:overflowPunct/>
        <w:topLinePunct w:val="0"/>
        <w:bidi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没有响应招标文件实质性要求的投标将被视为无效投标。投标人不得通过修正或撤消不合要求的偏离或保留从而使其投标成为实质上响应的投标。</w:t>
      </w:r>
    </w:p>
    <w:p>
      <w:pPr>
        <w:pStyle w:val="17"/>
        <w:pageBreakBefore w:val="0"/>
        <w:widowControl/>
        <w:kinsoku/>
        <w:overflowPunct/>
        <w:topLinePunct w:val="0"/>
        <w:bidi w:val="0"/>
        <w:spacing w:line="400" w:lineRule="exact"/>
        <w:ind w:firstLine="395"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（一）在资格审查时，不具备招标文件中规定的资格要求的，或者资格证明文件不全的，投标文件将被视为无效。</w:t>
      </w:r>
    </w:p>
    <w:p>
      <w:pPr>
        <w:pStyle w:val="17"/>
        <w:pageBreakBefore w:val="0"/>
        <w:widowControl/>
        <w:kinsoku/>
        <w:overflowPunct/>
        <w:topLinePunct w:val="0"/>
        <w:bidi w:val="0"/>
        <w:spacing w:line="400" w:lineRule="exact"/>
        <w:ind w:firstLine="395"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（二）在符合性审查时，如发现下列情形之一的，投标文件将被视为无效：</w:t>
      </w:r>
    </w:p>
    <w:p>
      <w:pPr>
        <w:pStyle w:val="17"/>
        <w:pageBreakBefore w:val="0"/>
        <w:widowControl/>
        <w:kinsoku/>
        <w:overflowPunct/>
        <w:topLinePunct w:val="0"/>
        <w:bidi w:val="0"/>
        <w:spacing w:line="400" w:lineRule="exact"/>
        <w:ind w:left="400" w:firstLine="0"/>
        <w:jc w:val="left"/>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1.投标文件未按招标文件要求签署、盖章影响投标文件效力的；</w:t>
      </w:r>
    </w:p>
    <w:p>
      <w:pPr>
        <w:pStyle w:val="17"/>
        <w:pageBreakBefore w:val="0"/>
        <w:widowControl/>
        <w:kinsoku/>
        <w:overflowPunct/>
        <w:topLinePunct w:val="0"/>
        <w:bidi w:val="0"/>
        <w:spacing w:line="400" w:lineRule="exact"/>
        <w:ind w:left="400"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2.投标有效期不满足招标文件要求的；</w:t>
      </w:r>
    </w:p>
    <w:p>
      <w:pPr>
        <w:pStyle w:val="17"/>
        <w:pageBreakBefore w:val="0"/>
        <w:widowControl/>
        <w:kinsoku/>
        <w:overflowPunct/>
        <w:topLinePunct w:val="0"/>
        <w:bidi w:val="0"/>
        <w:spacing w:line="400" w:lineRule="exact"/>
        <w:ind w:left="400" w:firstLine="0"/>
        <w:jc w:val="left"/>
        <w:rPr>
          <w:rFonts w:hint="eastAsia" w:ascii="宋体" w:hAnsi="宋体" w:eastAsia="宋体" w:cs="宋体"/>
          <w:bCs/>
          <w:color w:val="auto"/>
          <w:sz w:val="21"/>
          <w:szCs w:val="21"/>
          <w:highlight w:val="none"/>
        </w:rPr>
      </w:pPr>
      <w:r>
        <w:rPr>
          <w:rFonts w:hint="eastAsia" w:ascii="宋体" w:hAnsi="宋体" w:eastAsia="宋体" w:cs="宋体"/>
          <w:bCs/>
          <w:snapToGrid w:val="0"/>
          <w:color w:val="auto"/>
          <w:sz w:val="21"/>
          <w:szCs w:val="21"/>
          <w:highlight w:val="none"/>
        </w:rPr>
        <w:t>3.明显不符合招标文件要求的，或者与</w:t>
      </w:r>
      <w:r>
        <w:rPr>
          <w:rFonts w:hint="eastAsia" w:ascii="宋体" w:hAnsi="宋体" w:eastAsia="宋体" w:cs="宋体"/>
          <w:bCs/>
          <w:color w:val="auto"/>
          <w:sz w:val="21"/>
          <w:szCs w:val="21"/>
          <w:highlight w:val="none"/>
        </w:rPr>
        <w:t>招标文件中标注“★”的条款发生实质性负偏离的；</w:t>
      </w:r>
    </w:p>
    <w:p>
      <w:pPr>
        <w:pStyle w:val="17"/>
        <w:pageBreakBefore w:val="0"/>
        <w:widowControl/>
        <w:kinsoku/>
        <w:overflowPunct/>
        <w:topLinePunct w:val="0"/>
        <w:bidi w:val="0"/>
        <w:spacing w:line="400" w:lineRule="exact"/>
        <w:ind w:left="400"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4.投标文件中含有采购人不能接受的附加条件的；</w:t>
      </w:r>
    </w:p>
    <w:p>
      <w:pPr>
        <w:pStyle w:val="17"/>
        <w:pageBreakBefore w:val="0"/>
        <w:widowControl/>
        <w:kinsoku/>
        <w:overflowPunct/>
        <w:topLinePunct w:val="0"/>
        <w:bidi w:val="0"/>
        <w:spacing w:line="400" w:lineRule="exact"/>
        <w:ind w:left="400"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5.法律、法规和招标文件规定的其他无效情形。</w:t>
      </w:r>
    </w:p>
    <w:p>
      <w:pPr>
        <w:pStyle w:val="17"/>
        <w:pageBreakBefore w:val="0"/>
        <w:widowControl/>
        <w:kinsoku/>
        <w:overflowPunct/>
        <w:topLinePunct w:val="0"/>
        <w:bidi w:val="0"/>
        <w:spacing w:line="400" w:lineRule="exact"/>
        <w:ind w:firstLine="395"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（三）在技术商务评审时，如发现下列情形之一的，投标文件将被视为无效：</w:t>
      </w:r>
    </w:p>
    <w:p>
      <w:pPr>
        <w:pStyle w:val="17"/>
        <w:pageBreakBefore w:val="0"/>
        <w:widowControl/>
        <w:kinsoku/>
        <w:overflowPunct/>
        <w:topLinePunct w:val="0"/>
        <w:bidi w:val="0"/>
        <w:spacing w:line="400" w:lineRule="exact"/>
        <w:ind w:firstLine="404"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1.未提供或未如实提供投标服务需求，或者投标文件标明的响应或偏离与事实不符或虚假投标的；</w:t>
      </w:r>
    </w:p>
    <w:p>
      <w:pPr>
        <w:pStyle w:val="17"/>
        <w:pageBreakBefore w:val="0"/>
        <w:widowControl/>
        <w:kinsoku/>
        <w:overflowPunct/>
        <w:topLinePunct w:val="0"/>
        <w:bidi w:val="0"/>
        <w:spacing w:line="400" w:lineRule="exact"/>
        <w:ind w:firstLine="399" w:firstLineChars="198"/>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2.投标技术方案不明确，存在一个或一个以上备选（替代）投标方案的（招标文件允许有备选方案参加投标的除外）。</w:t>
      </w:r>
    </w:p>
    <w:p>
      <w:pPr>
        <w:pStyle w:val="17"/>
        <w:pageBreakBefore w:val="0"/>
        <w:widowControl/>
        <w:kinsoku/>
        <w:overflowPunct/>
        <w:topLinePunct w:val="0"/>
        <w:bidi w:val="0"/>
        <w:spacing w:line="400" w:lineRule="exact"/>
        <w:ind w:firstLine="395"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（四）在报价评审时，如发现下列情形之一的，投标文件将被视为无效：</w:t>
      </w:r>
    </w:p>
    <w:p>
      <w:pPr>
        <w:pStyle w:val="17"/>
        <w:pageBreakBefore w:val="0"/>
        <w:widowControl/>
        <w:kinsoku/>
        <w:overflowPunct/>
        <w:topLinePunct w:val="0"/>
        <w:bidi w:val="0"/>
        <w:spacing w:line="400" w:lineRule="exact"/>
        <w:ind w:left="400"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1.报价超过招标文件中规定的预算金额或者最高限价的；</w:t>
      </w:r>
    </w:p>
    <w:p>
      <w:pPr>
        <w:pStyle w:val="17"/>
        <w:pageBreakBefore w:val="0"/>
        <w:widowControl/>
        <w:kinsoku/>
        <w:overflowPunct/>
        <w:topLinePunct w:val="0"/>
        <w:bidi w:val="0"/>
        <w:spacing w:line="400" w:lineRule="exact"/>
        <w:ind w:firstLine="404"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2.未采用招标文件要求的报价形式报价的；</w:t>
      </w:r>
    </w:p>
    <w:p>
      <w:pPr>
        <w:pStyle w:val="17"/>
        <w:pageBreakBefore w:val="0"/>
        <w:widowControl/>
        <w:kinsoku/>
        <w:overflowPunct/>
        <w:topLinePunct w:val="0"/>
        <w:bidi w:val="0"/>
        <w:spacing w:line="400" w:lineRule="exact"/>
        <w:ind w:left="400"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3.投标报价具有选择性；</w:t>
      </w:r>
    </w:p>
    <w:p>
      <w:pPr>
        <w:pageBreakBefore w:val="0"/>
        <w:widowControl/>
        <w:kinsoku/>
        <w:overflowPunct/>
        <w:topLinePunct w:val="0"/>
        <w:bidi w:val="0"/>
        <w:spacing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4.评标委员会认为投标人的报价明显低于其他通过符合性审查投标人的报价，有可能影响服务质量或者不能诚信履约的，且不能在评标委员会要求的时间内提供相关证明材料说明其报价的合理性的；</w:t>
      </w:r>
    </w:p>
    <w:p>
      <w:pPr>
        <w:pStyle w:val="17"/>
        <w:pageBreakBefore w:val="0"/>
        <w:widowControl/>
        <w:kinsoku/>
        <w:overflowPunct/>
        <w:topLinePunct w:val="0"/>
        <w:bidi w:val="0"/>
        <w:spacing w:line="400" w:lineRule="exact"/>
        <w:ind w:firstLine="399" w:firstLineChars="198"/>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5.招标文件规定的其他无效情形。</w:t>
      </w:r>
    </w:p>
    <w:p>
      <w:pPr>
        <w:pageBreakBefore w:val="0"/>
        <w:kinsoku/>
        <w:overflowPunct/>
        <w:topLinePunct w:val="0"/>
        <w:bidi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（五）被拒绝的投标文件为无效。</w:t>
      </w:r>
    </w:p>
    <w:p>
      <w:pPr>
        <w:pageBreakBefore w:val="0"/>
        <w:kinsoku/>
        <w:overflowPunct/>
        <w:topLinePunct w:val="0"/>
        <w:bidi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（六）不同投标人的投标文件出自同一终端设备或在相同Internet主机分配地址（相同IP地址）网上报名投标或上传投标文件，其投标文件为无效。</w:t>
      </w:r>
    </w:p>
    <w:p>
      <w:pPr>
        <w:pStyle w:val="2"/>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28"/>
        <w:pageBreakBefore w:val="0"/>
        <w:kinsoku/>
        <w:overflowPunct/>
        <w:topLinePunct w:val="0"/>
        <w:bidi w:val="0"/>
        <w:spacing w:line="400" w:lineRule="exact"/>
        <w:rPr>
          <w:rFonts w:hint="eastAsia" w:ascii="宋体" w:hAnsi="宋体" w:eastAsia="宋体" w:cs="宋体"/>
          <w:b/>
          <w:color w:val="auto"/>
          <w:szCs w:val="21"/>
          <w:highlight w:val="none"/>
        </w:rPr>
      </w:pPr>
    </w:p>
    <w:p>
      <w:pPr>
        <w:pageBreakBefore w:val="0"/>
        <w:kinsoku/>
        <w:overflowPunct/>
        <w:topLinePunct w:val="0"/>
        <w:bidi w:val="0"/>
        <w:spacing w:line="400" w:lineRule="exact"/>
        <w:rPr>
          <w:rFonts w:hint="eastAsia" w:ascii="宋体" w:hAnsi="宋体" w:eastAsia="宋体" w:cs="宋体"/>
          <w:b/>
          <w:color w:val="auto"/>
          <w:szCs w:val="21"/>
          <w:highlight w:val="none"/>
        </w:rPr>
      </w:pPr>
    </w:p>
    <w:p>
      <w:pPr>
        <w:pageBreakBefore w:val="0"/>
        <w:widowControl/>
        <w:numPr>
          <w:ilvl w:val="0"/>
          <w:numId w:val="10"/>
        </w:numPr>
        <w:kinsoku/>
        <w:overflowPunct/>
        <w:topLinePunct w:val="0"/>
        <w:bidi w:val="0"/>
        <w:spacing w:line="400" w:lineRule="exact"/>
        <w:jc w:val="left"/>
        <w:rPr>
          <w:rFonts w:hint="eastAsia" w:ascii="宋体" w:hAnsi="宋体" w:eastAsia="宋体" w:cs="宋体"/>
          <w:b/>
          <w:bCs/>
          <w:color w:val="auto"/>
          <w:kern w:val="28"/>
          <w:szCs w:val="21"/>
          <w:highlight w:val="none"/>
        </w:rPr>
      </w:pPr>
      <w:r>
        <w:rPr>
          <w:rFonts w:hint="eastAsia" w:ascii="宋体" w:hAnsi="宋体" w:eastAsia="宋体" w:cs="宋体"/>
          <w:b/>
          <w:bCs/>
          <w:color w:val="auto"/>
          <w:kern w:val="28"/>
          <w:szCs w:val="21"/>
          <w:highlight w:val="none"/>
        </w:rPr>
        <w:t xml:space="preserve">评 分 标 准 </w:t>
      </w:r>
    </w:p>
    <w:tbl>
      <w:tblPr>
        <w:tblStyle w:val="40"/>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643"/>
        <w:gridCol w:w="827"/>
        <w:gridCol w:w="7457"/>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9731" w:type="dxa"/>
            <w:gridSpan w:val="4"/>
            <w:tcBorders>
              <w:right w:val="single" w:color="auto" w:sz="2" w:space="0"/>
            </w:tcBorders>
            <w:vAlign w:val="center"/>
          </w:tcPr>
          <w:p>
            <w:pPr>
              <w:pageBreakBefore w:val="0"/>
              <w:kinsoku/>
              <w:overflowPunct/>
              <w:topLinePunct w:val="0"/>
              <w:bidi w:val="0"/>
              <w:spacing w:before="156" w:beforeLines="50" w:line="400" w:lineRule="exact"/>
              <w:jc w:val="center"/>
              <w:rPr>
                <w:rFonts w:hint="eastAsia" w:ascii="宋体" w:hAnsi="宋体" w:eastAsia="宋体" w:cs="宋体"/>
                <w:snapToGrid w:val="0"/>
                <w:color w:val="auto"/>
                <w:spacing w:val="-4"/>
                <w:szCs w:val="21"/>
                <w:highlight w:val="none"/>
              </w:rPr>
            </w:pPr>
            <w:r>
              <w:rPr>
                <w:rFonts w:hint="eastAsia" w:ascii="宋体" w:hAnsi="宋体" w:eastAsia="宋体" w:cs="宋体"/>
                <w:b/>
                <w:bCs/>
                <w:color w:val="auto"/>
                <w:szCs w:val="21"/>
                <w:highlight w:val="none"/>
              </w:rPr>
              <w:t>评分表(兼评委打分表)</w:t>
            </w:r>
            <w:r>
              <w:rPr>
                <w:rFonts w:hint="eastAsia" w:ascii="宋体" w:hAnsi="宋体" w:eastAsia="宋体" w:cs="宋体"/>
                <w:b/>
                <w:bCs/>
                <w:snapToGrid w:val="0"/>
                <w:color w:val="auto"/>
                <w:spacing w:val="-4"/>
                <w:szCs w:val="21"/>
                <w:highlight w:val="none"/>
              </w:rPr>
              <w:t>评分项及分值</w:t>
            </w:r>
          </w:p>
        </w:tc>
        <w:tc>
          <w:tcPr>
            <w:tcW w:w="518" w:type="dxa"/>
            <w:tcBorders>
              <w:right w:val="single" w:color="auto" w:sz="2" w:space="0"/>
            </w:tcBorders>
          </w:tcPr>
          <w:p>
            <w:pPr>
              <w:pageBreakBefore w:val="0"/>
              <w:kinsoku/>
              <w:overflowPunct/>
              <w:topLinePunct w:val="0"/>
              <w:bidi w:val="0"/>
              <w:spacing w:before="156" w:beforeLines="50" w:line="400" w:lineRule="exact"/>
              <w:jc w:val="center"/>
              <w:rPr>
                <w:rFonts w:hint="eastAsia" w:ascii="宋体" w:hAnsi="宋体" w:eastAsia="宋体" w:cs="宋体"/>
                <w:snapToGrid w:val="0"/>
                <w:color w:val="auto"/>
                <w:spacing w:val="-4"/>
                <w:szCs w:val="21"/>
                <w:highlight w:val="none"/>
              </w:rPr>
            </w:pPr>
            <w:r>
              <w:rPr>
                <w:rFonts w:hint="eastAsia" w:ascii="宋体" w:hAnsi="宋体" w:eastAsia="宋体" w:cs="宋体"/>
                <w:snapToGrid w:val="0"/>
                <w:color w:val="auto"/>
                <w:spacing w:val="-4"/>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04" w:type="dxa"/>
            <w:vMerge w:val="restart"/>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r>
              <w:rPr>
                <w:rFonts w:hint="eastAsia" w:ascii="宋体" w:hAnsi="宋体" w:eastAsia="宋体" w:cs="宋体"/>
                <w:snapToGrid w:val="0"/>
                <w:color w:val="auto"/>
                <w:spacing w:val="-4"/>
                <w:szCs w:val="21"/>
                <w:highlight w:val="none"/>
              </w:rPr>
              <w:t>商务技术分（90分）</w:t>
            </w:r>
          </w:p>
        </w:tc>
        <w:tc>
          <w:tcPr>
            <w:tcW w:w="643" w:type="dxa"/>
            <w:vMerge w:val="restart"/>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r>
              <w:rPr>
                <w:rFonts w:hint="eastAsia" w:ascii="宋体" w:hAnsi="宋体" w:eastAsia="宋体" w:cs="宋体"/>
                <w:snapToGrid w:val="0"/>
                <w:color w:val="auto"/>
                <w:spacing w:val="-4"/>
                <w:szCs w:val="21"/>
                <w:highlight w:val="none"/>
              </w:rPr>
              <w:t>技术部分（</w:t>
            </w:r>
            <w:r>
              <w:rPr>
                <w:rFonts w:hint="eastAsia" w:ascii="宋体" w:hAnsi="宋体" w:cs="宋体"/>
                <w:snapToGrid w:val="0"/>
                <w:color w:val="auto"/>
                <w:spacing w:val="-4"/>
                <w:szCs w:val="21"/>
                <w:highlight w:val="none"/>
                <w:lang w:val="en-US" w:eastAsia="zh-CN"/>
              </w:rPr>
              <w:t>72</w:t>
            </w:r>
            <w:r>
              <w:rPr>
                <w:rFonts w:hint="eastAsia" w:ascii="宋体" w:hAnsi="宋体" w:eastAsia="宋体" w:cs="宋体"/>
                <w:snapToGrid w:val="0"/>
                <w:color w:val="auto"/>
                <w:spacing w:val="-4"/>
                <w:szCs w:val="21"/>
                <w:highlight w:val="none"/>
              </w:rPr>
              <w:t>分）</w:t>
            </w:r>
          </w:p>
        </w:tc>
        <w:tc>
          <w:tcPr>
            <w:tcW w:w="827" w:type="dxa"/>
            <w:vMerge w:val="restart"/>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项目理解</w:t>
            </w:r>
          </w:p>
        </w:tc>
        <w:tc>
          <w:tcPr>
            <w:tcW w:w="7457" w:type="dxa"/>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（1）根据投标人针对本项目相关政策背景理解的程度进行评议。</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①相关政策背景理解准确到位的得5分；</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②相关政策背景理解基本准确的得3分；</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③相关政策背景理解不够准确的得1分。</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vMerge w:val="continue"/>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7457" w:type="dxa"/>
            <w:tcBorders>
              <w:right w:val="single" w:color="auto" w:sz="2" w:space="0"/>
            </w:tcBorders>
            <w:vAlign w:val="center"/>
          </w:tcPr>
          <w:p>
            <w:pPr>
              <w:pageBreakBefore w:val="0"/>
              <w:numPr>
                <w:ilvl w:val="0"/>
                <w:numId w:val="11"/>
              </w:numPr>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根据投标人针对本项目实施的重、难点分析及提出的解决方法进行评议。</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①重难点分析准确，解决方法可行有效的得5分；</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②重难点分析基本准确，解决方法较为可行有效的得3分；</w:t>
            </w:r>
          </w:p>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③重难点分析不准确，解决方法可行性差的得1分；</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vMerge w:val="restart"/>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实施方案</w:t>
            </w:r>
          </w:p>
        </w:tc>
        <w:tc>
          <w:tcPr>
            <w:tcW w:w="7457" w:type="dxa"/>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根据投标人针对本项目整体实施方案内容的完整性程度，条理清晰程度，表述准确性进行评议。</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①针对本项目制定的整体方案内容完整，条理清晰，表述准确到位的得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②针对本项目制定的整体方案内容较完整，条理较清晰，表述比较准确到位的得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③针对本项目制定的整体方案内容不完整，条理欠清晰，表述基本准确到位的得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④未提供的不得分。</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vMerge w:val="continue"/>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7457" w:type="dxa"/>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（2）根据投标人针对本项目的变化提取和“二下二上”市县联动方案进行评议。</w:t>
            </w:r>
          </w:p>
          <w:p>
            <w:pPr>
              <w:pageBreakBefore w:val="0"/>
              <w:kinsoku/>
              <w:overflowPunct/>
              <w:topLinePunct w:val="0"/>
              <w:bidi w:val="0"/>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方案全面合理的得</w:t>
            </w:r>
            <w:r>
              <w:rPr>
                <w:rFonts w:hint="eastAsia" w:ascii="宋体" w:hAnsi="宋体" w:eastAsia="宋体" w:cs="宋体"/>
                <w:bCs/>
                <w:color w:val="auto"/>
                <w:highlight w:val="none"/>
                <w:lang w:val="en-US" w:eastAsia="zh-CN"/>
              </w:rPr>
              <w:t>8</w:t>
            </w:r>
            <w:r>
              <w:rPr>
                <w:rFonts w:hint="eastAsia" w:ascii="宋体" w:hAnsi="宋体" w:eastAsia="宋体" w:cs="宋体"/>
                <w:bCs/>
                <w:color w:val="auto"/>
                <w:highlight w:val="none"/>
              </w:rPr>
              <w:t>分，方案基本全面合理的得</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分，方案有欠缺不够合理的得3分，未提供的不得分。</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vMerge w:val="continue"/>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7457" w:type="dxa"/>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（3）根据投标人针对本项目的变化图斑自动提取技术方案进行评议。</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bCs/>
                <w:color w:val="auto"/>
                <w:highlight w:val="none"/>
              </w:rPr>
              <w:t>方案科学合理的得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分，方案基本合理的得4分，方案有欠缺不够合理的得2分，未提供的不得分。</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vMerge w:val="continue"/>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7457" w:type="dxa"/>
            <w:tcBorders>
              <w:right w:val="single" w:color="auto" w:sz="2" w:space="0"/>
            </w:tcBorders>
            <w:vAlign w:val="center"/>
          </w:tcPr>
          <w:p>
            <w:pPr>
              <w:pageBreakBefore w:val="0"/>
              <w:widowControl/>
              <w:kinsoku/>
              <w:overflowPunct/>
              <w:topLinePunct w:val="0"/>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（4）根据投标人针对本项目的自然资源违法监测方案进行评议。</w:t>
            </w:r>
          </w:p>
          <w:p>
            <w:pPr>
              <w:pageBreakBefore w:val="0"/>
              <w:widowControl/>
              <w:kinsoku/>
              <w:overflowPunct/>
              <w:topLinePunct w:val="0"/>
              <w:bidi w:val="0"/>
              <w:spacing w:line="400" w:lineRule="exact"/>
              <w:jc w:val="left"/>
              <w:rPr>
                <w:rFonts w:hint="eastAsia" w:ascii="宋体" w:hAnsi="宋体" w:eastAsia="宋体" w:cs="宋体"/>
                <w:bCs/>
                <w:color w:val="auto"/>
                <w:highlight w:val="none"/>
              </w:rPr>
            </w:pPr>
            <w:r>
              <w:rPr>
                <w:rFonts w:hint="eastAsia" w:ascii="宋体" w:hAnsi="宋体" w:eastAsia="宋体" w:cs="宋体"/>
                <w:bCs/>
                <w:color w:val="auto"/>
                <w:highlight w:val="none"/>
              </w:rPr>
              <w:t>方案全面合理的得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分，方案基本全面合理的得4分，方案有欠缺不够合理的得2分，未提供的不得分。</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vMerge w:val="continue"/>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7457" w:type="dxa"/>
            <w:tcBorders>
              <w:right w:val="single" w:color="auto" w:sz="2" w:space="0"/>
            </w:tcBorders>
            <w:vAlign w:val="center"/>
          </w:tcPr>
          <w:p>
            <w:pPr>
              <w:pageBreakBefore w:val="0"/>
              <w:widowControl/>
              <w:numPr>
                <w:ilvl w:val="0"/>
                <w:numId w:val="12"/>
              </w:numPr>
              <w:kinsoku/>
              <w:overflowPunct/>
              <w:topLinePunct w:val="0"/>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根据投标人针对本项目的“一区两率”和城区监测范围方案进行评议。</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bCs/>
                <w:color w:val="auto"/>
                <w:highlight w:val="none"/>
              </w:rPr>
              <w:t>方案全面合理的得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分，方案基本全面合理的得4分，方案有欠缺不够合理的得2分，未提供的不得分。</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7457" w:type="dxa"/>
            <w:tcBorders>
              <w:right w:val="single" w:color="auto" w:sz="2" w:space="0"/>
            </w:tcBorders>
            <w:vAlign w:val="center"/>
          </w:tcPr>
          <w:p>
            <w:pPr>
              <w:widowControl/>
              <w:numPr>
                <w:ilvl w:val="0"/>
                <w:numId w:val="12"/>
              </w:num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根据投标人针对本项目的市级自然资源调查监测与自然资源管理工作业务协同方案进行评议。</w:t>
            </w:r>
          </w:p>
          <w:p>
            <w:pPr>
              <w:pageBreakBefore w:val="0"/>
              <w:kinsoku/>
              <w:overflowPunct/>
              <w:topLinePunct w:val="0"/>
              <w:bidi w:val="0"/>
              <w:spacing w:line="400" w:lineRule="exact"/>
              <w:rPr>
                <w:rFonts w:hint="eastAsia" w:ascii="宋体" w:hAnsi="宋体" w:eastAsia="宋体" w:cs="宋体"/>
                <w:bCs/>
                <w:color w:val="auto"/>
                <w:highlight w:val="none"/>
              </w:rPr>
            </w:pPr>
            <w:r>
              <w:rPr>
                <w:rFonts w:hint="eastAsia" w:ascii="宋体" w:hAnsi="宋体" w:eastAsia="宋体" w:cs="宋体"/>
                <w:color w:val="auto"/>
                <w:szCs w:val="21"/>
                <w:highlight w:val="none"/>
              </w:rPr>
              <w:t>方案科学合理的得5分，方案基本合理的得3分，方案有欠缺不够合理的得2分，未提供的不得分。</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vMerge w:val="restart"/>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组织和实施计划</w:t>
            </w:r>
          </w:p>
        </w:tc>
        <w:tc>
          <w:tcPr>
            <w:tcW w:w="7457" w:type="dxa"/>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（1）根据投标人提供的针对本项目的组织和实施计划（包括进度计划）进行评议。</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组织实施计划合理可行的得5分，组织实施计划较为合理可行的得3分，组织实施计划合理性可行性差的得2分，</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vMerge w:val="continue"/>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7457" w:type="dxa"/>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（2）根据投标人拟投入本项目的软硬件设备进行评议。</w:t>
            </w:r>
          </w:p>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设备配置齐全满足项目需求的得5分，设备配置较为齐全基本满足项目需求的得3分，设备配置不能满足项目需求的得2分。</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质量保证措施</w:t>
            </w:r>
          </w:p>
        </w:tc>
        <w:tc>
          <w:tcPr>
            <w:tcW w:w="7457" w:type="dxa"/>
            <w:tcBorders>
              <w:right w:val="single" w:color="auto" w:sz="2" w:space="0"/>
            </w:tcBorders>
            <w:vAlign w:val="center"/>
          </w:tcPr>
          <w:p>
            <w:pPr>
              <w:pageBreakBefore w:val="0"/>
              <w:widowControl/>
              <w:kinsoku/>
              <w:overflowPunct/>
              <w:topLinePunct w:val="0"/>
              <w:bidi w:val="0"/>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根据投标人为实现本项目工作目标制定的质量保证措施的可行性进行评议。</w:t>
            </w:r>
          </w:p>
          <w:p>
            <w:pPr>
              <w:pageBreakBefore w:val="0"/>
              <w:widowControl/>
              <w:kinsoku/>
              <w:overflowPunct/>
              <w:topLinePunct w:val="0"/>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highlight w:val="none"/>
              </w:rPr>
              <w:t>措施完整可行</w:t>
            </w:r>
            <w:r>
              <w:rPr>
                <w:rFonts w:hint="eastAsia" w:ascii="宋体" w:hAnsi="宋体" w:eastAsia="宋体" w:cs="宋体"/>
                <w:bCs/>
                <w:color w:val="auto"/>
                <w:highlight w:val="none"/>
              </w:rPr>
              <w:t>的得5分，措施较为完整可行的得3，措施</w:t>
            </w:r>
            <w:r>
              <w:rPr>
                <w:rFonts w:hint="eastAsia" w:ascii="宋体" w:hAnsi="宋体" w:eastAsia="宋体" w:cs="宋体"/>
                <w:color w:val="auto"/>
                <w:highlight w:val="none"/>
              </w:rPr>
              <w:t>存在缺陷不可行的</w:t>
            </w:r>
            <w:r>
              <w:rPr>
                <w:rFonts w:hint="eastAsia" w:ascii="宋体" w:hAnsi="宋体" w:eastAsia="宋体" w:cs="宋体"/>
                <w:bCs/>
                <w:color w:val="auto"/>
                <w:highlight w:val="none"/>
              </w:rPr>
              <w:t>得1分，未提供的得0分。</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服务响应</w:t>
            </w:r>
          </w:p>
        </w:tc>
        <w:tc>
          <w:tcPr>
            <w:tcW w:w="7457" w:type="dxa"/>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根据投标人提供的全天候响应服务承诺进行评议，包括但不限于驻点服务、服务响应承诺。</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服务内容全面响应及时的得5分；服务内容较为全面服务响应较为及时的得3分；服务内容不完整响应慢不够及时的得1分。</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数据安全</w:t>
            </w:r>
          </w:p>
        </w:tc>
        <w:tc>
          <w:tcPr>
            <w:tcW w:w="7457" w:type="dxa"/>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根据投标人提供的数据</w:t>
            </w:r>
            <w:r>
              <w:rPr>
                <w:rFonts w:hint="eastAsia" w:ascii="宋体" w:hAnsi="宋体" w:eastAsia="宋体" w:cs="宋体"/>
                <w:color w:val="auto"/>
                <w:highlight w:val="none"/>
                <w:lang w:val="en-US" w:eastAsia="zh-CN"/>
              </w:rPr>
              <w:t>安全保密</w:t>
            </w:r>
            <w:r>
              <w:rPr>
                <w:rFonts w:hint="eastAsia" w:ascii="宋体" w:hAnsi="宋体" w:eastAsia="宋体" w:cs="宋体"/>
                <w:color w:val="auto"/>
                <w:highlight w:val="none"/>
              </w:rPr>
              <w:t>措施的可行性进行评议</w:t>
            </w:r>
            <w:r>
              <w:rPr>
                <w:rFonts w:hint="eastAsia" w:ascii="宋体" w:hAnsi="宋体" w:eastAsia="宋体" w:cs="宋体"/>
                <w:color w:val="auto"/>
                <w:highlight w:val="none"/>
                <w:lang w:eastAsia="zh-CN"/>
              </w:rPr>
              <w:t>：</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保密措施可行、有效的得</w:t>
            </w:r>
            <w:r>
              <w:rPr>
                <w:rFonts w:hint="eastAsia" w:ascii="宋体" w:hAnsi="宋体" w:cs="宋体"/>
                <w:color w:val="auto"/>
                <w:highlight w:val="none"/>
                <w:lang w:val="en-US" w:eastAsia="zh-CN"/>
              </w:rPr>
              <w:t>5</w:t>
            </w:r>
            <w:r>
              <w:rPr>
                <w:rFonts w:hint="eastAsia" w:ascii="宋体" w:hAnsi="宋体" w:eastAsia="宋体" w:cs="宋体"/>
                <w:color w:val="auto"/>
                <w:highlight w:val="none"/>
              </w:rPr>
              <w:t>分；保密措施较为可行、有效的得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p>
          <w:p>
            <w:pPr>
              <w:pageBreakBefore w:val="0"/>
              <w:kinsoku/>
              <w:overflowPunct/>
              <w:topLinePunct w:val="0"/>
              <w:bidi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保密措施可行性有效性较差的得1分。</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restart"/>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r>
              <w:rPr>
                <w:rFonts w:hint="eastAsia" w:ascii="宋体" w:hAnsi="宋体" w:eastAsia="宋体" w:cs="宋体"/>
                <w:snapToGrid w:val="0"/>
                <w:color w:val="auto"/>
                <w:spacing w:val="-4"/>
                <w:szCs w:val="21"/>
                <w:highlight w:val="none"/>
              </w:rPr>
              <w:t>商务部分（</w:t>
            </w:r>
            <w:r>
              <w:rPr>
                <w:rFonts w:hint="eastAsia" w:ascii="宋体" w:hAnsi="宋体" w:cs="宋体"/>
                <w:snapToGrid w:val="0"/>
                <w:color w:val="auto"/>
                <w:spacing w:val="-4"/>
                <w:szCs w:val="21"/>
                <w:highlight w:val="none"/>
                <w:lang w:val="en-US" w:eastAsia="zh-CN"/>
              </w:rPr>
              <w:t>18</w:t>
            </w:r>
            <w:r>
              <w:rPr>
                <w:rFonts w:hint="eastAsia" w:ascii="宋体" w:hAnsi="宋体" w:eastAsia="宋体" w:cs="宋体"/>
                <w:snapToGrid w:val="0"/>
                <w:color w:val="auto"/>
                <w:spacing w:val="-4"/>
                <w:szCs w:val="21"/>
                <w:highlight w:val="none"/>
              </w:rPr>
              <w:t>分）</w:t>
            </w:r>
          </w:p>
        </w:tc>
        <w:tc>
          <w:tcPr>
            <w:tcW w:w="827" w:type="dxa"/>
            <w:vMerge w:val="restart"/>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snapToGrid w:val="0"/>
                <w:color w:val="auto"/>
                <w:spacing w:val="-4"/>
                <w:szCs w:val="21"/>
                <w:highlight w:val="none"/>
              </w:rPr>
              <w:t>1</w:t>
            </w:r>
            <w:r>
              <w:rPr>
                <w:rFonts w:hint="eastAsia" w:ascii="宋体" w:hAnsi="宋体" w:eastAsia="宋体" w:cs="宋体"/>
                <w:snapToGrid w:val="0"/>
                <w:color w:val="auto"/>
                <w:spacing w:val="-4"/>
                <w:szCs w:val="21"/>
                <w:highlight w:val="none"/>
                <w:lang w:eastAsia="zh-CN"/>
              </w:rPr>
              <w:t>.</w:t>
            </w:r>
            <w:r>
              <w:rPr>
                <w:rFonts w:hint="eastAsia" w:ascii="宋体" w:hAnsi="宋体" w:eastAsia="宋体" w:cs="宋体"/>
                <w:color w:val="auto"/>
                <w:szCs w:val="21"/>
                <w:highlight w:val="none"/>
              </w:rPr>
              <w:t>综合实力</w:t>
            </w:r>
          </w:p>
        </w:tc>
        <w:tc>
          <w:tcPr>
            <w:tcW w:w="7457" w:type="dxa"/>
            <w:tcBorders>
              <w:right w:val="single" w:color="auto" w:sz="2" w:space="0"/>
            </w:tcBorders>
            <w:vAlign w:val="center"/>
          </w:tcPr>
          <w:p>
            <w:pPr>
              <w:pageBreakBefore w:val="0"/>
              <w:numPr>
                <w:ilvl w:val="0"/>
                <w:numId w:val="0"/>
              </w:numPr>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投标人具有有效期内的质量管理体系认证证书、环境管理体系认证证书、职业健康安全管理体系认证证书、信息安全管理体系认证证书每个得1分。</w:t>
            </w:r>
          </w:p>
          <w:p>
            <w:pPr>
              <w:pageBreakBefore w:val="0"/>
              <w:kinsoku/>
              <w:overflowPunct/>
              <w:topLinePunct w:val="0"/>
              <w:bidi w:val="0"/>
              <w:spacing w:line="400" w:lineRule="exact"/>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（提供有效的认证证书复印件并加盖公章）。</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vMerge w:val="continue"/>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7457" w:type="dxa"/>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）投标人</w:t>
            </w:r>
            <w:r>
              <w:rPr>
                <w:rFonts w:hint="eastAsia" w:ascii="宋体" w:hAnsi="宋体" w:eastAsia="宋体" w:cs="宋体"/>
                <w:color w:val="auto"/>
                <w:kern w:val="0"/>
                <w:szCs w:val="21"/>
                <w:highlight w:val="none"/>
              </w:rPr>
              <w:t>具备测绘资质（需同时包含摄影测量与遥感、地图编制）甲级的得2分；乙级（需同时包含摄影测量与遥感、地图编制）得1分；未提供或只包含其中一项的不得分。</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vMerge w:val="continue"/>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7457" w:type="dxa"/>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）投标人具有项目相关的知识产权情况（软件著作权</w:t>
            </w:r>
            <w:r>
              <w:rPr>
                <w:rFonts w:hint="eastAsia" w:ascii="宋体" w:hAnsi="宋体" w:cs="宋体"/>
                <w:color w:val="auto"/>
                <w:szCs w:val="21"/>
                <w:highlight w:val="none"/>
                <w:lang w:val="en-US" w:eastAsia="zh-CN"/>
              </w:rPr>
              <w:t>或</w:t>
            </w:r>
            <w:r>
              <w:rPr>
                <w:rFonts w:hint="eastAsia" w:ascii="宋体" w:hAnsi="宋体" w:eastAsia="宋体" w:cs="宋体"/>
                <w:color w:val="auto"/>
                <w:szCs w:val="21"/>
                <w:highlight w:val="none"/>
              </w:rPr>
              <w:t>论文），每提供1个得0.5分，最高得2分。（提供证明文件复印件加盖公章，不提供不得分）</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vMerge w:val="continue"/>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7457" w:type="dxa"/>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）投标人近三年承担过与本项目类似业绩，每提供1个合同得0.5分，最多得1分。（提供合同复印件加盖公章，不提供不得分）。</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vMerge w:val="restart"/>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snapToGrid w:val="0"/>
                <w:color w:val="auto"/>
                <w:spacing w:val="-4"/>
                <w:szCs w:val="21"/>
                <w:highlight w:val="none"/>
              </w:rPr>
              <w:t>2</w:t>
            </w:r>
            <w:r>
              <w:rPr>
                <w:rFonts w:hint="eastAsia" w:ascii="宋体" w:hAnsi="宋体" w:eastAsia="宋体" w:cs="宋体"/>
                <w:snapToGrid w:val="0"/>
                <w:color w:val="auto"/>
                <w:spacing w:val="-4"/>
                <w:szCs w:val="21"/>
                <w:highlight w:val="none"/>
                <w:lang w:eastAsia="zh-CN"/>
              </w:rPr>
              <w:t>.</w:t>
            </w:r>
            <w:r>
              <w:rPr>
                <w:rFonts w:hint="eastAsia" w:ascii="宋体" w:hAnsi="宋体" w:eastAsia="宋体" w:cs="宋体"/>
                <w:snapToGrid w:val="0"/>
                <w:color w:val="auto"/>
                <w:spacing w:val="-4"/>
                <w:szCs w:val="21"/>
                <w:highlight w:val="none"/>
              </w:rPr>
              <w:t>项目团队</w:t>
            </w:r>
          </w:p>
        </w:tc>
        <w:tc>
          <w:tcPr>
            <w:tcW w:w="7457" w:type="dxa"/>
            <w:tcBorders>
              <w:right w:val="single" w:color="auto" w:sz="2" w:space="0"/>
            </w:tcBorders>
            <w:vAlign w:val="center"/>
          </w:tcPr>
          <w:p>
            <w:pPr>
              <w:pageBreakBefore w:val="0"/>
              <w:numPr>
                <w:ilvl w:val="0"/>
                <w:numId w:val="0"/>
              </w:numPr>
              <w:kinsoku/>
              <w:overflowPunct/>
              <w:topLinePunct w:val="0"/>
              <w:bidi w:val="0"/>
              <w:spacing w:line="400" w:lineRule="exact"/>
              <w:rPr>
                <w:rFonts w:hint="eastAsia" w:ascii="宋体" w:hAnsi="宋体" w:eastAsia="宋体" w:cs="宋体"/>
                <w:snapToGrid w:val="0"/>
                <w:color w:val="auto"/>
                <w:spacing w:val="-4"/>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项目负责人具有测绘类副高级及以上职称且取得注册测绘师证书的得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分；仅具有测绘类副高级及以上职称的得1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分；仅具有注册测绘师证书的得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.5分；其他不得分。最高得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分。（投标文件中提供相关证书复印件加盖公章）</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snapToGrid w:val="0"/>
                <w:color w:val="auto"/>
                <w:spacing w:val="-4"/>
                <w:szCs w:val="21"/>
                <w:highlight w:val="none"/>
                <w:lang w:eastAsia="zh-CN"/>
              </w:rPr>
            </w:pPr>
            <w:r>
              <w:rPr>
                <w:rFonts w:hint="eastAsia" w:ascii="宋体" w:hAnsi="宋体" w:cs="宋体"/>
                <w:snapToGrid w:val="0"/>
                <w:color w:val="auto"/>
                <w:spacing w:val="-4"/>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vMerge w:val="continue"/>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7457" w:type="dxa"/>
            <w:tcBorders>
              <w:right w:val="single" w:color="auto" w:sz="2" w:space="0"/>
            </w:tcBorders>
            <w:vAlign w:val="center"/>
          </w:tcPr>
          <w:p>
            <w:pPr>
              <w:pageBreakBefore w:val="0"/>
              <w:numPr>
                <w:ilvl w:val="0"/>
                <w:numId w:val="13"/>
              </w:numPr>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评委根据投标人针对本项目配备人员（项目负责人除外）的资质进行评审，每提供一个注册测绘师证书或注册城乡规划师证书的得1分，最高得2分。</w:t>
            </w:r>
          </w:p>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（提供证书复印件加盖公章及</w:t>
            </w:r>
            <w:r>
              <w:rPr>
                <w:rFonts w:hint="eastAsia" w:ascii="宋体" w:hAnsi="宋体" w:eastAsia="宋体" w:cs="宋体"/>
                <w:color w:val="auto"/>
                <w:szCs w:val="21"/>
                <w:highlight w:val="none"/>
                <w:lang w:val="en-US" w:eastAsia="zh-CN"/>
              </w:rPr>
              <w:t>投标人缴纳的最近连续</w:t>
            </w:r>
            <w:r>
              <w:rPr>
                <w:rFonts w:hint="eastAsia" w:ascii="宋体" w:hAnsi="宋体" w:eastAsia="宋体" w:cs="宋体"/>
                <w:color w:val="auto"/>
                <w:szCs w:val="21"/>
                <w:highlight w:val="none"/>
              </w:rPr>
              <w:t>3个月社保缴纳证明）</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blHeader/>
          <w:jc w:val="center"/>
        </w:trPr>
        <w:tc>
          <w:tcPr>
            <w:tcW w:w="804"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643" w:type="dxa"/>
            <w:vMerge w:val="continue"/>
            <w:tcBorders>
              <w:right w:val="single" w:color="auto" w:sz="2" w:space="0"/>
            </w:tcBorders>
            <w:vAlign w:val="center"/>
          </w:tcPr>
          <w:p>
            <w:pPr>
              <w:pageBreakBefore w:val="0"/>
              <w:kinsoku/>
              <w:overflowPunct/>
              <w:topLinePunct w:val="0"/>
              <w:bidi w:val="0"/>
              <w:spacing w:before="156" w:beforeLines="50" w:line="400" w:lineRule="exact"/>
              <w:rPr>
                <w:rFonts w:hint="eastAsia" w:ascii="宋体" w:hAnsi="宋体" w:eastAsia="宋体" w:cs="宋体"/>
                <w:snapToGrid w:val="0"/>
                <w:color w:val="auto"/>
                <w:spacing w:val="-4"/>
                <w:szCs w:val="21"/>
                <w:highlight w:val="none"/>
              </w:rPr>
            </w:pPr>
          </w:p>
        </w:tc>
        <w:tc>
          <w:tcPr>
            <w:tcW w:w="827" w:type="dxa"/>
            <w:vMerge w:val="continue"/>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7457" w:type="dxa"/>
            <w:tcBorders>
              <w:right w:val="single" w:color="auto" w:sz="2" w:space="0"/>
            </w:tcBorders>
            <w:vAlign w:val="center"/>
          </w:tcPr>
          <w:p>
            <w:pPr>
              <w:pageBreakBefore w:val="0"/>
              <w:kinsoku/>
              <w:overflowPunct/>
              <w:topLinePunct w:val="0"/>
              <w:bidi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）评委根据投标人针对本项目配备人员方案（包括人员数量、专业、分工）情况进行综合评议。</w:t>
            </w:r>
          </w:p>
          <w:p>
            <w:pPr>
              <w:pageBreakBefore w:val="0"/>
              <w:kinsoku/>
              <w:overflowPunct/>
              <w:topLinePunct w:val="0"/>
              <w:bidi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人员配备方案合理、可行性强的，得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pageBreakBefore w:val="0"/>
              <w:kinsoku/>
              <w:overflowPunct/>
              <w:topLinePunct w:val="0"/>
              <w:bidi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人员配备方案较为合理、可行性较强的，得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pageBreakBefore w:val="0"/>
              <w:kinsoku/>
              <w:overflowPunct/>
              <w:topLinePunct w:val="0"/>
              <w:bidi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人员配备方案、可行性</w:t>
            </w:r>
            <w:r>
              <w:rPr>
                <w:rFonts w:hint="eastAsia" w:ascii="宋体" w:hAnsi="宋体" w:cs="宋体"/>
                <w:color w:val="auto"/>
                <w:szCs w:val="21"/>
                <w:highlight w:val="none"/>
                <w:lang w:val="en-US" w:eastAsia="zh-CN"/>
              </w:rPr>
              <w:t>差</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rPr>
              <w:t>（提供配备人员的清单、专业及相关分工介绍等证明材料，及投标人缴纳的最近3个月的连续社保证明。）</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1447" w:type="dxa"/>
            <w:gridSpan w:val="2"/>
            <w:tcBorders>
              <w:right w:val="single" w:color="auto" w:sz="2" w:space="0"/>
            </w:tcBorders>
            <w:tcMar>
              <w:left w:w="0" w:type="dxa"/>
              <w:right w:w="0" w:type="dxa"/>
            </w:tcMar>
            <w:vAlign w:val="center"/>
          </w:tcPr>
          <w:p>
            <w:pPr>
              <w:pageBreakBefore w:val="0"/>
              <w:kinsoku/>
              <w:overflowPunct/>
              <w:topLinePunct w:val="0"/>
              <w:bidi w:val="0"/>
              <w:spacing w:before="156" w:beforeLines="50" w:line="400" w:lineRule="exact"/>
              <w:jc w:val="center"/>
              <w:rPr>
                <w:rFonts w:hint="eastAsia" w:ascii="宋体" w:hAnsi="宋体" w:eastAsia="宋体" w:cs="宋体"/>
                <w:snapToGrid w:val="0"/>
                <w:color w:val="auto"/>
                <w:spacing w:val="-4"/>
                <w:szCs w:val="21"/>
                <w:highlight w:val="none"/>
              </w:rPr>
            </w:pPr>
            <w:r>
              <w:rPr>
                <w:rFonts w:hint="eastAsia" w:ascii="宋体" w:hAnsi="宋体" w:eastAsia="宋体" w:cs="宋体"/>
                <w:snapToGrid w:val="0"/>
                <w:color w:val="auto"/>
                <w:spacing w:val="-4"/>
                <w:szCs w:val="21"/>
                <w:highlight w:val="none"/>
              </w:rPr>
              <w:t>报价分</w:t>
            </w:r>
          </w:p>
          <w:p>
            <w:pPr>
              <w:pageBreakBefore w:val="0"/>
              <w:kinsoku/>
              <w:overflowPunct/>
              <w:topLinePunct w:val="0"/>
              <w:bidi w:val="0"/>
              <w:spacing w:before="156" w:beforeLines="50" w:line="400" w:lineRule="exact"/>
              <w:jc w:val="center"/>
              <w:rPr>
                <w:rFonts w:hint="eastAsia" w:ascii="宋体" w:hAnsi="宋体" w:eastAsia="宋体" w:cs="宋体"/>
                <w:snapToGrid w:val="0"/>
                <w:color w:val="auto"/>
                <w:spacing w:val="-4"/>
                <w:szCs w:val="21"/>
                <w:highlight w:val="none"/>
              </w:rPr>
            </w:pPr>
            <w:r>
              <w:rPr>
                <w:rFonts w:hint="eastAsia" w:ascii="宋体" w:hAnsi="宋体" w:eastAsia="宋体" w:cs="宋体"/>
                <w:snapToGrid w:val="0"/>
                <w:color w:val="auto"/>
                <w:spacing w:val="-4"/>
                <w:szCs w:val="21"/>
                <w:highlight w:val="none"/>
              </w:rPr>
              <w:t>（10分）</w:t>
            </w:r>
          </w:p>
        </w:tc>
        <w:tc>
          <w:tcPr>
            <w:tcW w:w="8284" w:type="dxa"/>
            <w:gridSpan w:val="2"/>
            <w:tcBorders>
              <w:right w:val="single" w:color="auto" w:sz="2"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评标基准价=满足招标文件要求且投标价格最低的投标报价</w:t>
            </w:r>
          </w:p>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投标报价等于基准价的得分为满分10分。</w:t>
            </w:r>
          </w:p>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投标报价得分=(评标基准价/投标报价)×价格权重（10%）×100</w:t>
            </w:r>
          </w:p>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投标报价得分以四舍五入保留小数点后两位。</w:t>
            </w:r>
          </w:p>
          <w:p>
            <w:pPr>
              <w:pageBreakBefore w:val="0"/>
              <w:kinsoku/>
              <w:overflowPunct/>
              <w:topLinePunct w:val="0"/>
              <w:bidi w:val="0"/>
              <w:spacing w:line="400" w:lineRule="exact"/>
              <w:rPr>
                <w:rFonts w:hint="eastAsia" w:ascii="宋体" w:hAnsi="宋体" w:eastAsia="宋体" w:cs="宋体"/>
                <w:snapToGrid w:val="0"/>
                <w:color w:val="auto"/>
                <w:spacing w:val="-4"/>
                <w:szCs w:val="21"/>
                <w:highlight w:val="none"/>
              </w:rPr>
            </w:pPr>
            <w:r>
              <w:rPr>
                <w:rFonts w:hint="eastAsia" w:ascii="宋体" w:hAnsi="宋体" w:eastAsia="宋体" w:cs="宋体"/>
                <w:color w:val="auto"/>
                <w:szCs w:val="21"/>
                <w:highlight w:val="none"/>
              </w:rPr>
              <w:t>投标人满足小微企业的，扣除投标报价的20%，用扣除后价格参与评审。</w:t>
            </w:r>
          </w:p>
        </w:tc>
        <w:tc>
          <w:tcPr>
            <w:tcW w:w="518" w:type="dxa"/>
            <w:tcBorders>
              <w:right w:val="single" w:color="auto" w:sz="2"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bl>
    <w:p>
      <w:pPr>
        <w:pStyle w:val="6"/>
        <w:pageBreakBefore w:val="0"/>
        <w:numPr>
          <w:ilvl w:val="0"/>
          <w:numId w:val="0"/>
        </w:numPr>
        <w:tabs>
          <w:tab w:val="clear" w:pos="576"/>
        </w:tabs>
        <w:kinsoku/>
        <w:overflowPunct/>
        <w:topLinePunct w:val="0"/>
        <w:bidi w:val="0"/>
        <w:spacing w:before="0" w:after="0" w:line="400" w:lineRule="exact"/>
        <w:jc w:val="left"/>
        <w:rPr>
          <w:rFonts w:hint="eastAsia" w:ascii="宋体" w:hAnsi="宋体" w:eastAsia="宋体" w:cs="宋体"/>
          <w:color w:val="auto"/>
          <w:sz w:val="21"/>
          <w:szCs w:val="21"/>
          <w:highlight w:val="none"/>
        </w:rPr>
      </w:pPr>
      <w:bookmarkStart w:id="250" w:name="_Toc20559"/>
      <w:bookmarkStart w:id="251" w:name="_Toc17707945"/>
      <w:bookmarkStart w:id="252" w:name="_Toc13155"/>
      <w:bookmarkStart w:id="253" w:name="_Toc24648"/>
      <w:bookmarkStart w:id="254" w:name="_Toc79395468"/>
      <w:bookmarkStart w:id="255" w:name="_Toc460857932"/>
      <w:r>
        <w:rPr>
          <w:rFonts w:hint="eastAsia" w:ascii="宋体" w:hAnsi="宋体" w:eastAsia="宋体" w:cs="宋体"/>
          <w:color w:val="auto"/>
          <w:sz w:val="21"/>
          <w:szCs w:val="21"/>
          <w:highlight w:val="none"/>
        </w:rPr>
        <w:t>七、定标</w:t>
      </w:r>
      <w:bookmarkEnd w:id="250"/>
      <w:bookmarkEnd w:id="251"/>
      <w:bookmarkEnd w:id="252"/>
      <w:bookmarkEnd w:id="253"/>
      <w:bookmarkEnd w:id="254"/>
      <w:bookmarkEnd w:id="255"/>
    </w:p>
    <w:p>
      <w:pPr>
        <w:pageBreakBefore w:val="0"/>
        <w:widowControl/>
        <w:kinsoku/>
        <w:overflowPunct/>
        <w:topLinePunct w:val="0"/>
        <w:bidi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评标委员会根据投标人的综合得分高低排定顺序，推荐综合得分排名第一的投标人为本项目的中标候选人。如投标人综合得分相同则价格低者优先中标；若技术商务得分与报价分皆相同，投标文件满足招标文件全部实质性要求，且按照评审因素的量化指标评审得分最高的投标人为排名第一的中标候选人。</w:t>
      </w:r>
    </w:p>
    <w:p>
      <w:pPr>
        <w:pStyle w:val="21"/>
        <w:pageBreakBefore w:val="0"/>
        <w:widowControl/>
        <w:kinsoku/>
        <w:overflowPunct/>
        <w:topLinePunct w:val="0"/>
        <w:bidi w:val="0"/>
        <w:spacing w:beforeLines="0" w:after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21"/>
        <w:pageBreakBefore w:val="0"/>
        <w:widowControl/>
        <w:kinsoku/>
        <w:overflowPunct/>
        <w:topLinePunct w:val="0"/>
        <w:bidi w:val="0"/>
        <w:spacing w:beforeLines="0" w:after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（三）采购代理机构自中标人确定之日起2个工作日内，在发布招标公告的网站上对中标结果进行公示，中标结果公告期限为1个工作日，在公告中标结果的同时，向中标人发出中标通知书。</w:t>
      </w:r>
    </w:p>
    <w:p>
      <w:pPr>
        <w:pStyle w:val="21"/>
        <w:pageBreakBefore w:val="0"/>
        <w:widowControl/>
        <w:kinsoku/>
        <w:overflowPunct/>
        <w:topLinePunct w:val="0"/>
        <w:bidi w:val="0"/>
        <w:spacing w:beforeLines="0" w:after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（四）凡发现中标人有下列行为之一的，将移交政府采购监督管理部门依法处理：</w:t>
      </w:r>
    </w:p>
    <w:p>
      <w:pPr>
        <w:pageBreakBefore w:val="0"/>
        <w:kinsoku/>
        <w:overflowPunct/>
        <w:topLinePunct w:val="0"/>
        <w:bidi w:val="0"/>
        <w:spacing w:line="400" w:lineRule="exact"/>
        <w:ind w:left="42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1.提供虚假材料谋取中标的；</w:t>
      </w:r>
    </w:p>
    <w:p>
      <w:pPr>
        <w:pageBreakBefore w:val="0"/>
        <w:kinsoku/>
        <w:overflowPunct/>
        <w:topLinePunct w:val="0"/>
        <w:bidi w:val="0"/>
        <w:spacing w:line="400" w:lineRule="exact"/>
        <w:ind w:left="42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2.采取不正当手段诋毁、排挤其他投标人的；</w:t>
      </w:r>
    </w:p>
    <w:p>
      <w:pPr>
        <w:pageBreakBefore w:val="0"/>
        <w:kinsoku/>
        <w:overflowPunct/>
        <w:topLinePunct w:val="0"/>
        <w:bidi w:val="0"/>
        <w:spacing w:line="400" w:lineRule="exact"/>
        <w:ind w:left="42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3.与采购人、其他投标人或者采购代理机构工作人员恶意串通的；</w:t>
      </w:r>
    </w:p>
    <w:p>
      <w:pPr>
        <w:pageBreakBefore w:val="0"/>
        <w:kinsoku/>
        <w:overflowPunct/>
        <w:topLinePunct w:val="0"/>
        <w:bidi w:val="0"/>
        <w:spacing w:line="400" w:lineRule="exact"/>
        <w:ind w:left="42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4.向采购人或采购代理机构人员行贿或者提供其他不正当利益的；</w:t>
      </w:r>
    </w:p>
    <w:p>
      <w:pPr>
        <w:pageBreakBefore w:val="0"/>
        <w:kinsoku/>
        <w:overflowPunct/>
        <w:topLinePunct w:val="0"/>
        <w:bidi w:val="0"/>
        <w:spacing w:line="400" w:lineRule="exact"/>
        <w:ind w:left="42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5.拒绝有关部门监督检查或者提供虚假情况的；</w:t>
      </w:r>
    </w:p>
    <w:p>
      <w:pPr>
        <w:pageBreakBefore w:val="0"/>
        <w:kinsoku/>
        <w:overflowPunct/>
        <w:topLinePunct w:val="0"/>
        <w:bidi w:val="0"/>
        <w:spacing w:line="400" w:lineRule="exact"/>
        <w:ind w:left="42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6.有法律、法规规定的其他损害采购人利益和社会公共利益情形的。</w:t>
      </w:r>
    </w:p>
    <w:p>
      <w:pPr>
        <w:pStyle w:val="6"/>
        <w:pageBreakBefore w:val="0"/>
        <w:numPr>
          <w:ilvl w:val="0"/>
          <w:numId w:val="0"/>
        </w:numPr>
        <w:tabs>
          <w:tab w:val="clear" w:pos="576"/>
        </w:tabs>
        <w:kinsoku/>
        <w:overflowPunct/>
        <w:topLinePunct w:val="0"/>
        <w:bidi w:val="0"/>
        <w:spacing w:before="0" w:after="0" w:line="400" w:lineRule="exact"/>
        <w:ind w:firstLine="422" w:firstLineChars="200"/>
        <w:jc w:val="left"/>
        <w:rPr>
          <w:rFonts w:hint="eastAsia" w:ascii="宋体" w:hAnsi="宋体" w:eastAsia="宋体" w:cs="宋体"/>
          <w:color w:val="auto"/>
          <w:sz w:val="21"/>
          <w:szCs w:val="21"/>
          <w:highlight w:val="none"/>
        </w:rPr>
      </w:pPr>
      <w:bookmarkStart w:id="256" w:name="_Toc13820"/>
      <w:bookmarkStart w:id="257" w:name="_Toc17707947"/>
      <w:bookmarkStart w:id="258" w:name="_Toc13586"/>
      <w:bookmarkStart w:id="259" w:name="_Toc28530"/>
      <w:bookmarkStart w:id="260" w:name="_Toc79395470"/>
      <w:r>
        <w:rPr>
          <w:rFonts w:hint="eastAsia" w:ascii="宋体" w:hAnsi="宋体" w:eastAsia="宋体" w:cs="宋体"/>
          <w:color w:val="auto"/>
          <w:sz w:val="21"/>
          <w:szCs w:val="21"/>
          <w:highlight w:val="none"/>
        </w:rPr>
        <w:t>八、评标过程的监控</w:t>
      </w:r>
      <w:bookmarkEnd w:id="256"/>
      <w:bookmarkEnd w:id="257"/>
      <w:bookmarkEnd w:id="258"/>
      <w:bookmarkEnd w:id="259"/>
      <w:bookmarkEnd w:id="260"/>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本项目评标过程实行全程录音、录像监控，投标人在评标过程中所进行的试图影响评标结果的不公正活动，可能导致其投标被拒绝。</w:t>
      </w:r>
    </w:p>
    <w:p>
      <w:pPr>
        <w:pStyle w:val="6"/>
        <w:pageBreakBefore w:val="0"/>
        <w:numPr>
          <w:ilvl w:val="0"/>
          <w:numId w:val="0"/>
        </w:numPr>
        <w:tabs>
          <w:tab w:val="clear" w:pos="576"/>
        </w:tabs>
        <w:kinsoku/>
        <w:overflowPunct/>
        <w:topLinePunct w:val="0"/>
        <w:bidi w:val="0"/>
        <w:spacing w:before="0" w:after="0" w:line="400" w:lineRule="exact"/>
        <w:ind w:firstLine="422" w:firstLineChars="200"/>
        <w:jc w:val="left"/>
        <w:rPr>
          <w:rFonts w:hint="eastAsia" w:ascii="宋体" w:hAnsi="宋体" w:eastAsia="宋体" w:cs="宋体"/>
          <w:color w:val="auto"/>
          <w:sz w:val="21"/>
          <w:szCs w:val="21"/>
          <w:highlight w:val="none"/>
        </w:rPr>
      </w:pPr>
      <w:bookmarkStart w:id="261" w:name="_Toc8418"/>
      <w:bookmarkStart w:id="262" w:name="_Toc460857934"/>
      <w:bookmarkStart w:id="263" w:name="_Toc27507"/>
      <w:bookmarkStart w:id="264" w:name="_Toc460416359"/>
      <w:bookmarkStart w:id="265" w:name="_Toc17707948"/>
      <w:bookmarkStart w:id="266" w:name="_Toc79395471"/>
      <w:bookmarkStart w:id="267" w:name="_Toc460416664"/>
      <w:bookmarkStart w:id="268" w:name="_Toc30381"/>
      <w:r>
        <w:rPr>
          <w:rFonts w:hint="eastAsia" w:ascii="宋体" w:hAnsi="宋体" w:eastAsia="宋体" w:cs="宋体"/>
          <w:color w:val="auto"/>
          <w:sz w:val="21"/>
          <w:szCs w:val="21"/>
          <w:highlight w:val="none"/>
        </w:rPr>
        <w:t>九、合同授予</w:t>
      </w:r>
      <w:bookmarkEnd w:id="261"/>
      <w:bookmarkEnd w:id="262"/>
      <w:bookmarkEnd w:id="263"/>
      <w:bookmarkEnd w:id="264"/>
      <w:bookmarkEnd w:id="265"/>
      <w:bookmarkEnd w:id="266"/>
      <w:bookmarkEnd w:id="267"/>
      <w:bookmarkEnd w:id="268"/>
    </w:p>
    <w:p>
      <w:pPr>
        <w:pageBreakBefore w:val="0"/>
        <w:kinsoku/>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1.采购人应当自中标通知书发出之日起30日内，按照采购文件和中标人投标文件的规定，与中标人签订书面合同。所签订的合同不得对采购文件确定的事项和中标人投标文件作实质性修改。</w:t>
      </w:r>
    </w:p>
    <w:p>
      <w:pPr>
        <w:pageBreakBefore w:val="0"/>
        <w:kinsoku/>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采购人不得向中标人提出任何不合理的要求作为签订合同的条件。</w:t>
      </w:r>
    </w:p>
    <w:p>
      <w:pPr>
        <w:pStyle w:val="21"/>
        <w:pageBreakBefore w:val="0"/>
        <w:kinsoku/>
        <w:overflowPunct/>
        <w:topLinePunct w:val="0"/>
        <w:bidi w:val="0"/>
        <w:snapToGrid w:val="0"/>
        <w:spacing w:beforeLines="0" w:afterLines="0" w:line="400" w:lineRule="exact"/>
        <w:ind w:firstLine="411" w:firstLineChars="196"/>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2.采购人在签订合同时，在合同金额变更范围内，如需审批的办理相关审批手续。有权变更采购项目的数量和服务内容，但不能对单价或其他条款和条件作任何改变。</w:t>
      </w:r>
    </w:p>
    <w:p>
      <w:pPr>
        <w:pStyle w:val="21"/>
        <w:pageBreakBefore w:val="0"/>
        <w:kinsoku/>
        <w:overflowPunct/>
        <w:topLinePunct w:val="0"/>
        <w:bidi w:val="0"/>
        <w:snapToGrid w:val="0"/>
        <w:spacing w:beforeLines="0" w:afterLines="0" w:line="400" w:lineRule="exact"/>
        <w:ind w:firstLine="411" w:firstLineChars="196"/>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3.采购文件、中标供应商的投标文件及评标过程中有关的澄清文件均应作为合同签订的附件。</w:t>
      </w:r>
    </w:p>
    <w:p>
      <w:pPr>
        <w:pStyle w:val="21"/>
        <w:pageBreakBefore w:val="0"/>
        <w:kinsoku/>
        <w:overflowPunct/>
        <w:topLinePunct w:val="0"/>
        <w:bidi w:val="0"/>
        <w:snapToGrid w:val="0"/>
        <w:spacing w:beforeLines="0" w:afterLines="0" w:line="400" w:lineRule="exact"/>
        <w:ind w:firstLine="411" w:firstLineChars="196"/>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中标或者成交供应商拒绝与采购人签订合同的，采购人可以选择排名第二的候选供应商作为成交供应商并签订政府采购合同，也可以重新开展采购活动。排名第二的候选供应商拒绝签订政府采购合同的，采购人可以选择排名第三的候选供应商作为成交供应商并签订政府采购合同，也可以重新开展采购活动。拒绝签订政府采购合同的成交供应商不得参加对该项目重新开展的采购活动。</w:t>
      </w:r>
    </w:p>
    <w:p>
      <w:pPr>
        <w:pageBreakBefore w:val="0"/>
        <w:kinsoku/>
        <w:overflowPunct/>
        <w:topLinePunct w:val="0"/>
        <w:bidi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pageBreakBefore w:val="0"/>
        <w:kinsoku/>
        <w:overflowPunct/>
        <w:topLinePunct w:val="0"/>
        <w:bidi w:val="0"/>
        <w:snapToGrid w:val="0"/>
        <w:spacing w:line="4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十、履约验收</w:t>
      </w:r>
      <w:r>
        <w:rPr>
          <w:rFonts w:hint="eastAsia" w:ascii="宋体" w:hAnsi="宋体" w:eastAsia="宋体" w:cs="宋体"/>
          <w:b/>
          <w:color w:val="auto"/>
          <w:szCs w:val="21"/>
          <w:highlight w:val="none"/>
        </w:rPr>
        <w:t>：</w:t>
      </w:r>
    </w:p>
    <w:p>
      <w:pPr>
        <w:pStyle w:val="12"/>
        <w:pageBreakBefore w:val="0"/>
        <w:numPr>
          <w:ilvl w:val="0"/>
          <w:numId w:val="0"/>
        </w:numPr>
        <w:kinsoku/>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bCs/>
          <w:color w:val="auto"/>
          <w:szCs w:val="21"/>
          <w:highlight w:val="none"/>
        </w:rPr>
        <w:t>采购人负责对中标人的履约行为进行验收。政府向社会公众提供的公共服务项目，验收时应当邀请服务对象参与并出具意见，验收结果应当向社会公告。</w:t>
      </w:r>
    </w:p>
    <w:p>
      <w:pPr>
        <w:pStyle w:val="168"/>
        <w:pageBreakBefore w:val="0"/>
        <w:kinsoku/>
        <w:overflowPunct/>
        <w:topLinePunct w:val="0"/>
        <w:bidi w:val="0"/>
        <w:spacing w:line="400" w:lineRule="exact"/>
        <w:ind w:firstLine="480"/>
        <w:jc w:val="center"/>
        <w:rPr>
          <w:rFonts w:hint="eastAsia" w:ascii="宋体" w:hAnsi="宋体" w:eastAsia="宋体" w:cs="宋体"/>
          <w:color w:val="auto"/>
          <w:sz w:val="28"/>
          <w:szCs w:val="28"/>
          <w:highlight w:val="none"/>
        </w:rPr>
        <w:sectPr>
          <w:footerReference r:id="rId8"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eastAsia="宋体" w:cs="宋体"/>
          <w:b/>
          <w:color w:val="auto"/>
          <w:szCs w:val="21"/>
          <w:highlight w:val="none"/>
        </w:rPr>
        <w:br w:type="page"/>
      </w:r>
    </w:p>
    <w:p>
      <w:pPr>
        <w:pStyle w:val="5"/>
        <w:pageBreakBefore w:val="0"/>
        <w:kinsoku/>
        <w:overflowPunct/>
        <w:topLinePunct w:val="0"/>
        <w:bidi w:val="0"/>
        <w:spacing w:before="0" w:after="0" w:line="400" w:lineRule="exact"/>
        <w:jc w:val="center"/>
        <w:rPr>
          <w:rFonts w:hint="eastAsia" w:ascii="宋体" w:hAnsi="宋体" w:eastAsia="宋体" w:cs="宋体"/>
          <w:color w:val="auto"/>
          <w:sz w:val="30"/>
          <w:highlight w:val="none"/>
        </w:rPr>
      </w:pPr>
      <w:bookmarkStart w:id="269" w:name="_Toc22500"/>
      <w:bookmarkStart w:id="270" w:name="_Toc68086648"/>
      <w:bookmarkStart w:id="271" w:name="_Toc26178"/>
      <w:bookmarkStart w:id="272" w:name="_Toc3258"/>
      <w:r>
        <w:rPr>
          <w:rFonts w:hint="eastAsia" w:ascii="宋体" w:hAnsi="宋体" w:eastAsia="宋体" w:cs="宋体"/>
          <w:color w:val="auto"/>
          <w:sz w:val="30"/>
          <w:highlight w:val="none"/>
        </w:rPr>
        <w:t>第五章  采购合同主要条款</w:t>
      </w:r>
      <w:bookmarkEnd w:id="269"/>
      <w:bookmarkEnd w:id="270"/>
      <w:bookmarkEnd w:id="271"/>
      <w:bookmarkEnd w:id="272"/>
    </w:p>
    <w:p>
      <w:pPr>
        <w:pageBreakBefore w:val="0"/>
        <w:kinsoku/>
        <w:overflowPunct/>
        <w:topLinePunct w:val="0"/>
        <w:bidi w:val="0"/>
        <w:spacing w:line="400" w:lineRule="exact"/>
        <w:rPr>
          <w:rFonts w:hint="eastAsia" w:ascii="宋体" w:hAnsi="宋体" w:eastAsia="宋体" w:cs="宋体"/>
          <w:color w:val="auto"/>
          <w:szCs w:val="21"/>
          <w:highlight w:val="none"/>
        </w:rPr>
      </w:pPr>
    </w:p>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（参考合同，具体细则以采购人及中标人双方签订为准。）</w:t>
      </w:r>
    </w:p>
    <w:p>
      <w:pPr>
        <w:pageBreakBefore w:val="0"/>
        <w:kinsoku/>
        <w:overflowPunct/>
        <w:topLinePunct w:val="0"/>
        <w:bidi w:val="0"/>
        <w:spacing w:line="400" w:lineRule="exact"/>
        <w:jc w:val="center"/>
        <w:rPr>
          <w:rFonts w:hint="eastAsia" w:ascii="宋体" w:hAnsi="宋体" w:eastAsia="宋体" w:cs="宋体"/>
          <w:color w:val="auto"/>
          <w:sz w:val="44"/>
          <w:szCs w:val="44"/>
          <w:highlight w:val="none"/>
        </w:rPr>
      </w:pPr>
    </w:p>
    <w:p>
      <w:pPr>
        <w:pageBreakBefore w:val="0"/>
        <w:kinsoku/>
        <w:overflowPunct/>
        <w:topLinePunct w:val="0"/>
        <w:bidi w:val="0"/>
        <w:spacing w:line="400" w:lineRule="exact"/>
        <w:jc w:val="center"/>
        <w:rPr>
          <w:rFonts w:hint="eastAsia" w:ascii="宋体" w:hAnsi="宋体" w:eastAsia="宋体" w:cs="宋体"/>
          <w:b/>
          <w:bCs/>
          <w:color w:val="auto"/>
          <w:sz w:val="28"/>
          <w:szCs w:val="28"/>
          <w:highlight w:val="none"/>
        </w:rPr>
      </w:pPr>
      <w:bookmarkStart w:id="273" w:name="_Toc13055"/>
      <w:r>
        <w:rPr>
          <w:rFonts w:hint="eastAsia" w:ascii="宋体" w:hAnsi="宋体" w:eastAsia="宋体" w:cs="宋体"/>
          <w:b/>
          <w:bCs/>
          <w:color w:val="auto"/>
          <w:sz w:val="28"/>
          <w:szCs w:val="28"/>
          <w:highlight w:val="none"/>
        </w:rPr>
        <w:t>技术服务合同</w:t>
      </w:r>
    </w:p>
    <w:p>
      <w:pPr>
        <w:pageBreakBefore w:val="0"/>
        <w:kinsoku/>
        <w:overflowPunct/>
        <w:topLinePunct w:val="0"/>
        <w:bidi w:val="0"/>
        <w:spacing w:line="400" w:lineRule="exact"/>
        <w:jc w:val="center"/>
        <w:rPr>
          <w:rFonts w:hint="eastAsia" w:ascii="宋体" w:hAnsi="宋体" w:eastAsia="宋体" w:cs="宋体"/>
          <w:color w:val="auto"/>
          <w:sz w:val="28"/>
          <w:szCs w:val="28"/>
          <w:highlight w:val="none"/>
        </w:rPr>
      </w:pPr>
    </w:p>
    <w:p>
      <w:pPr>
        <w:pageBreakBefore w:val="0"/>
        <w:kinsoku/>
        <w:overflowPunct/>
        <w:topLinePunct w:val="0"/>
        <w:bidi w:val="0"/>
        <w:spacing w:line="400" w:lineRule="exact"/>
        <w:jc w:val="center"/>
        <w:rPr>
          <w:rFonts w:hint="eastAsia" w:ascii="宋体" w:hAnsi="宋体" w:eastAsia="宋体" w:cs="宋体"/>
          <w:color w:val="auto"/>
          <w:sz w:val="28"/>
          <w:szCs w:val="28"/>
          <w:highlight w:val="none"/>
        </w:rPr>
      </w:pPr>
    </w:p>
    <w:p>
      <w:pPr>
        <w:pageBreakBefore w:val="0"/>
        <w:kinsoku/>
        <w:overflowPunct/>
        <w:topLinePunct w:val="0"/>
        <w:bidi w:val="0"/>
        <w:spacing w:line="40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400" w:lineRule="exact"/>
        <w:jc w:val="left"/>
        <w:rPr>
          <w:rFonts w:hint="eastAsia" w:ascii="宋体" w:hAnsi="宋体" w:eastAsia="宋体" w:cs="宋体"/>
          <w:color w:val="auto"/>
          <w:sz w:val="21"/>
          <w:szCs w:val="21"/>
          <w:highlight w:val="none"/>
          <w:u w:val="single"/>
        </w:rPr>
      </w:pPr>
    </w:p>
    <w:p>
      <w:pPr>
        <w:pageBreakBefore w:val="0"/>
        <w:kinsoku/>
        <w:overflowPunct/>
        <w:topLinePunct w:val="0"/>
        <w:bidi w:val="0"/>
        <w:spacing w:line="40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 托 方：</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40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 方）</w:t>
      </w:r>
    </w:p>
    <w:p>
      <w:pPr>
        <w:pageBreakBefore w:val="0"/>
        <w:kinsoku/>
        <w:overflowPunct/>
        <w:topLinePunct w:val="0"/>
        <w:bidi w:val="0"/>
        <w:spacing w:line="400" w:lineRule="exact"/>
        <w:jc w:val="left"/>
        <w:rPr>
          <w:rFonts w:hint="eastAsia" w:ascii="宋体" w:hAnsi="宋体" w:eastAsia="宋体" w:cs="宋体"/>
          <w:color w:val="auto"/>
          <w:sz w:val="21"/>
          <w:szCs w:val="21"/>
          <w:highlight w:val="none"/>
          <w:u w:val="single"/>
        </w:rPr>
      </w:pPr>
    </w:p>
    <w:p>
      <w:pPr>
        <w:pageBreakBefore w:val="0"/>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 托 方：</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40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 方）</w:t>
      </w:r>
    </w:p>
    <w:p>
      <w:pPr>
        <w:pageBreakBefore w:val="0"/>
        <w:kinsoku/>
        <w:overflowPunct/>
        <w:topLinePunct w:val="0"/>
        <w:bidi w:val="0"/>
        <w:spacing w:line="400" w:lineRule="exact"/>
        <w:jc w:val="left"/>
        <w:rPr>
          <w:rFonts w:hint="eastAsia" w:ascii="宋体" w:hAnsi="宋体" w:eastAsia="宋体" w:cs="宋体"/>
          <w:color w:val="auto"/>
          <w:sz w:val="21"/>
          <w:szCs w:val="21"/>
          <w:highlight w:val="none"/>
          <w:u w:val="single"/>
        </w:rPr>
      </w:pPr>
    </w:p>
    <w:p>
      <w:pPr>
        <w:pageBreakBefore w:val="0"/>
        <w:kinsoku/>
        <w:overflowPunct/>
        <w:topLinePunct w:val="0"/>
        <w:bidi w:val="0"/>
        <w:spacing w:line="40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签订时间：</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400" w:lineRule="exact"/>
        <w:rPr>
          <w:rFonts w:hint="eastAsia" w:ascii="宋体" w:hAnsi="宋体" w:eastAsia="宋体" w:cs="宋体"/>
          <w:color w:val="auto"/>
          <w:sz w:val="21"/>
          <w:szCs w:val="21"/>
          <w:highlight w:val="none"/>
        </w:rPr>
      </w:pPr>
    </w:p>
    <w:p>
      <w:pPr>
        <w:pageBreakBefore w:val="0"/>
        <w:kinsoku/>
        <w:overflowPunct/>
        <w:topLinePunct w:val="0"/>
        <w:bidi w:val="0"/>
        <w:spacing w:line="400" w:lineRule="exact"/>
        <w:jc w:val="center"/>
        <w:rPr>
          <w:rFonts w:hint="eastAsia" w:ascii="宋体" w:hAnsi="宋体" w:eastAsia="宋体" w:cs="宋体"/>
          <w:color w:val="auto"/>
          <w:sz w:val="28"/>
          <w:szCs w:val="28"/>
          <w:highlight w:val="none"/>
        </w:rPr>
      </w:pPr>
    </w:p>
    <w:p>
      <w:pPr>
        <w:pageBreakBefore w:val="0"/>
        <w:kinsoku/>
        <w:overflowPunct/>
        <w:topLinePunct w:val="0"/>
        <w:bidi w:val="0"/>
        <w:spacing w:line="400" w:lineRule="exact"/>
        <w:jc w:val="center"/>
        <w:rPr>
          <w:rFonts w:hint="eastAsia" w:ascii="宋体" w:hAnsi="宋体" w:eastAsia="宋体" w:cs="宋体"/>
          <w:color w:val="auto"/>
          <w:sz w:val="30"/>
          <w:highlight w:val="none"/>
        </w:rPr>
      </w:pPr>
      <w:r>
        <w:rPr>
          <w:rFonts w:hint="eastAsia" w:ascii="宋体" w:hAnsi="宋体" w:eastAsia="宋体" w:cs="宋体"/>
          <w:color w:val="auto"/>
          <w:sz w:val="21"/>
          <w:szCs w:val="21"/>
          <w:highlight w:val="none"/>
        </w:rPr>
        <w:t>中华人民共和国科学技术部印制</w:t>
      </w:r>
      <w:r>
        <w:rPr>
          <w:rFonts w:hint="eastAsia" w:ascii="宋体" w:hAnsi="宋体" w:eastAsia="宋体" w:cs="宋体"/>
          <w:color w:val="auto"/>
          <w:sz w:val="28"/>
          <w:szCs w:val="28"/>
          <w:highlight w:val="none"/>
        </w:rPr>
        <w:br w:type="page"/>
      </w:r>
    </w:p>
    <w:p>
      <w:pPr>
        <w:pageBreakBefore w:val="0"/>
        <w:kinsoku/>
        <w:overflowPunct/>
        <w:topLinePunct w:val="0"/>
        <w:bidi w:val="0"/>
        <w:spacing w:line="400" w:lineRule="exact"/>
        <w:jc w:val="center"/>
        <w:rPr>
          <w:rFonts w:hint="eastAsia" w:ascii="宋体" w:hAnsi="宋体" w:eastAsia="宋体" w:cs="宋体"/>
          <w:color w:val="auto"/>
          <w:sz w:val="30"/>
          <w:highlight w:val="none"/>
        </w:rPr>
      </w:pPr>
    </w:p>
    <w:p>
      <w:pPr>
        <w:pageBreakBefore w:val="0"/>
        <w:kinsoku/>
        <w:overflowPunct/>
        <w:topLinePunct w:val="0"/>
        <w:bidi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填写说明</w:t>
      </w:r>
    </w:p>
    <w:p>
      <w:pPr>
        <w:pageBreakBefore w:val="0"/>
        <w:kinsoku/>
        <w:overflowPunct/>
        <w:topLinePunct w:val="0"/>
        <w:bidi w:val="0"/>
        <w:spacing w:line="400" w:lineRule="exact"/>
        <w:jc w:val="left"/>
        <w:rPr>
          <w:rFonts w:hint="eastAsia" w:ascii="宋体" w:hAnsi="宋体" w:eastAsia="宋体" w:cs="宋体"/>
          <w:color w:val="auto"/>
          <w:szCs w:val="21"/>
          <w:highlight w:val="none"/>
        </w:rPr>
      </w:pPr>
    </w:p>
    <w:p>
      <w:pPr>
        <w:pageBreakBefore w:val="0"/>
        <w:kinsoku/>
        <w:overflowPunct/>
        <w:topLinePunct w:val="0"/>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一、本合同为中华人民共和国科学技术部印制的技术服务合同示范文本，各技术合同认定登记机构可推介技术合同当事人参照使用。</w:t>
      </w:r>
    </w:p>
    <w:p>
      <w:pPr>
        <w:pageBreakBefore w:val="0"/>
        <w:kinsoku/>
        <w:overflowPunct/>
        <w:topLinePunct w:val="0"/>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二、本合同书适用于一方当事人（受托方）以技术知识为另一方（委托方）解决特定技术问题所订立的合同。</w:t>
      </w:r>
    </w:p>
    <w:p>
      <w:pPr>
        <w:pageBreakBefore w:val="0"/>
        <w:kinsoku/>
        <w:overflowPunct/>
        <w:topLinePunct w:val="0"/>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三、签约一方为多个当事人的，可按各自在合同关系中的作用等，在“委托方”、“受托方”项下（增页）分别排列为共同委托人或共同受托人。</w:t>
      </w:r>
    </w:p>
    <w:p>
      <w:pPr>
        <w:pageBreakBefore w:val="0"/>
        <w:kinsoku/>
        <w:overflowPunct/>
        <w:topLinePunct w:val="0"/>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四、本合同书未尽事项，可由当事人附页另行约定，并作为本合同的组成部分。</w:t>
      </w:r>
    </w:p>
    <w:p>
      <w:pPr>
        <w:pageBreakBefore w:val="0"/>
        <w:kinsoku/>
        <w:overflowPunct/>
        <w:topLinePunct w:val="0"/>
        <w:bidi w:val="0"/>
        <w:spacing w:line="400" w:lineRule="exact"/>
        <w:jc w:val="left"/>
        <w:rPr>
          <w:rFonts w:hint="eastAsia" w:ascii="宋体" w:hAnsi="宋体" w:eastAsia="宋体" w:cs="宋体"/>
          <w:color w:val="auto"/>
          <w:szCs w:val="21"/>
          <w:highlight w:val="none"/>
        </w:rPr>
        <w:sectPr>
          <w:headerReference r:id="rId9" w:type="default"/>
          <w:footerReference r:id="rId10" w:type="default"/>
          <w:pgSz w:w="11906" w:h="16838"/>
          <w:pgMar w:top="1440" w:right="1800" w:bottom="1440" w:left="1803" w:header="851" w:footer="992" w:gutter="0"/>
          <w:pgNumType w:fmt="decimal"/>
          <w:cols w:space="720" w:num="1"/>
          <w:docGrid w:type="lines" w:linePitch="312" w:charSpace="0"/>
        </w:sectPr>
      </w:pPr>
      <w:r>
        <w:rPr>
          <w:rFonts w:hint="eastAsia" w:ascii="宋体" w:hAnsi="宋体" w:eastAsia="宋体" w:cs="宋体"/>
          <w:color w:val="auto"/>
          <w:szCs w:val="21"/>
          <w:highlight w:val="none"/>
        </w:rPr>
        <w:t>五、当事人使用本合同书时约定无需填写的条款，应在该条款处注明“无”等字样。</w:t>
      </w:r>
    </w:p>
    <w:p>
      <w:pPr>
        <w:pageBreakBefore w:val="0"/>
        <w:kinsoku/>
        <w:overflowPunct/>
        <w:topLinePunct w:val="0"/>
        <w:bidi w:val="0"/>
        <w:spacing w:line="400" w:lineRule="exact"/>
        <w:jc w:val="center"/>
        <w:rPr>
          <w:rFonts w:hint="eastAsia" w:ascii="宋体" w:hAnsi="宋体" w:eastAsia="宋体" w:cs="宋体"/>
          <w:color w:val="auto"/>
          <w:sz w:val="44"/>
          <w:highlight w:val="none"/>
        </w:rPr>
      </w:pPr>
    </w:p>
    <w:p>
      <w:pPr>
        <w:pageBreakBefore w:val="0"/>
        <w:kinsoku/>
        <w:overflowPunct/>
        <w:topLinePunct w:val="0"/>
        <w:bidi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技术服务合同</w:t>
      </w:r>
    </w:p>
    <w:p>
      <w:pPr>
        <w:pageBreakBefore w:val="0"/>
        <w:kinsoku/>
        <w:overflowPunct/>
        <w:topLinePunct w:val="0"/>
        <w:bidi w:val="0"/>
        <w:spacing w:line="400" w:lineRule="exact"/>
        <w:jc w:val="center"/>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委托方（甲方）：</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住  所  地：</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p>
    <w:p>
      <w:pPr>
        <w:keepNext w:val="0"/>
        <w:keepLines w:val="0"/>
        <w:pageBreakBefore w:val="0"/>
        <w:widowControl w:val="0"/>
        <w:tabs>
          <w:tab w:val="left" w:pos="1050"/>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联系方式 ： </w:t>
      </w:r>
      <w:r>
        <w:rPr>
          <w:rFonts w:hint="eastAsia" w:ascii="宋体" w:hAnsi="宋体" w:eastAsia="宋体" w:cs="宋体"/>
          <w:color w:val="auto"/>
          <w:szCs w:val="21"/>
          <w:highlight w:val="none"/>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受托方（乙方）：</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住  所  地：</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联系方式 ：__________________________</w:t>
      </w:r>
      <w:r>
        <w:rPr>
          <w:rFonts w:hint="eastAsia" w:ascii="宋体" w:hAnsi="宋体" w:eastAsia="宋体" w:cs="宋体"/>
          <w:color w:val="auto"/>
          <w:szCs w:val="21"/>
          <w:highlight w:val="none"/>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 </w:t>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p>
    <w:p>
      <w:pPr>
        <w:pageBreakBefore w:val="0"/>
        <w:kinsoku/>
        <w:overflowPunct/>
        <w:topLinePunct w:val="0"/>
        <w:bidi w:val="0"/>
        <w:spacing w:line="400" w:lineRule="exact"/>
        <w:ind w:left="1"/>
        <w:jc w:val="left"/>
        <w:rPr>
          <w:rFonts w:hint="eastAsia" w:ascii="宋体" w:hAnsi="宋体" w:eastAsia="宋体" w:cs="宋体"/>
          <w:color w:val="auto"/>
          <w:szCs w:val="21"/>
          <w:highlight w:val="none"/>
        </w:rPr>
      </w:pPr>
    </w:p>
    <w:p>
      <w:pPr>
        <w:pageBreakBefore w:val="0"/>
        <w:kinsoku/>
        <w:overflowPunct/>
        <w:topLinePunct w:val="0"/>
        <w:bidi w:val="0"/>
        <w:spacing w:line="400" w:lineRule="exact"/>
        <w:ind w:left="1"/>
        <w:rPr>
          <w:rFonts w:hint="eastAsia" w:ascii="宋体" w:hAnsi="宋体" w:eastAsia="宋体" w:cs="宋体"/>
          <w:color w:val="auto"/>
          <w:szCs w:val="21"/>
          <w:highlight w:val="none"/>
        </w:rPr>
      </w:pP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p>
    <w:p>
      <w:pPr>
        <w:pageBreakBefore w:val="0"/>
        <w:widowControl/>
        <w:kinsoku/>
        <w:overflowPunct/>
        <w:topLinePunct w:val="0"/>
        <w:bidi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本合同甲方委托乙方就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项目进行的专项技术服务，并支付相应的技术服务报酬。双方经过平等协商，在真实、充分地表达各自意愿的基础上，根据《民法典》的规定，达成如下协议，并由双方共同恪守。</w:t>
      </w:r>
    </w:p>
    <w:p>
      <w:pPr>
        <w:pageBreakBefore w:val="0"/>
        <w:kinsoku/>
        <w:overflowPunct/>
        <w:topLinePunct w:val="0"/>
        <w:bidi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第一条：</w:t>
      </w:r>
      <w:r>
        <w:rPr>
          <w:rFonts w:hint="eastAsia" w:ascii="宋体" w:hAnsi="宋体" w:eastAsia="宋体" w:cs="宋体"/>
          <w:color w:val="auto"/>
          <w:szCs w:val="21"/>
          <w:highlight w:val="none"/>
        </w:rPr>
        <w:t>甲方委托乙方进行技术服务的内容如下：</w:t>
      </w:r>
    </w:p>
    <w:p>
      <w:pPr>
        <w:pageBreakBefore w:val="0"/>
        <w:kinsoku/>
        <w:overflowPunct/>
        <w:topLinePunct w:val="0"/>
        <w:bidi w:val="0"/>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1.技术服务的范围：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ageBreakBefore w:val="0"/>
        <w:kinsoku/>
        <w:overflowPunct/>
        <w:topLinePunct w:val="0"/>
        <w:bidi w:val="0"/>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2.技术服务的内容：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ageBreakBefore w:val="0"/>
        <w:kinsoku/>
        <w:overflowPunct/>
        <w:topLinePunct w:val="0"/>
        <w:bidi w:val="0"/>
        <w:spacing w:line="400" w:lineRule="exact"/>
        <w:ind w:firstLine="420" w:firstLineChars="200"/>
        <w:jc w:val="left"/>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3.技术服务的方式：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ageBreakBefore w:val="0"/>
        <w:kinsoku/>
        <w:overflowPunct/>
        <w:topLinePunct w:val="0"/>
        <w:bidi w:val="0"/>
        <w:spacing w:line="400" w:lineRule="exact"/>
        <w:ind w:firstLine="422" w:firstLineChars="200"/>
        <w:jc w:val="left"/>
        <w:outlineLvl w:val="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第二条：</w:t>
      </w:r>
      <w:r>
        <w:rPr>
          <w:rFonts w:hint="eastAsia" w:ascii="宋体" w:hAnsi="宋体" w:eastAsia="宋体" w:cs="宋体"/>
          <w:color w:val="auto"/>
          <w:szCs w:val="21"/>
          <w:highlight w:val="none"/>
        </w:rPr>
        <w:t>乙方应按下列要求完成技术服务工作：</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1．技术服务地点：</w:t>
      </w:r>
      <w:r>
        <w:rPr>
          <w:rFonts w:hint="eastAsia" w:ascii="宋体" w:hAnsi="宋体" w:eastAsia="宋体" w:cs="宋体"/>
          <w:color w:val="auto"/>
          <w:szCs w:val="21"/>
          <w:highlight w:val="none"/>
          <w:u w:val="single"/>
        </w:rPr>
        <w:t xml:space="preserve">                                                     </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2．技术服务期限：</w:t>
      </w:r>
      <w:r>
        <w:rPr>
          <w:rFonts w:hint="eastAsia" w:ascii="宋体" w:hAnsi="宋体" w:eastAsia="宋体" w:cs="宋体"/>
          <w:color w:val="auto"/>
          <w:szCs w:val="21"/>
          <w:highlight w:val="none"/>
          <w:u w:val="single"/>
        </w:rPr>
        <w:t xml:space="preserve">                                                    </w:t>
      </w:r>
    </w:p>
    <w:p>
      <w:pPr>
        <w:pageBreakBefore w:val="0"/>
        <w:kinsoku/>
        <w:overflowPunct/>
        <w:topLinePunct w:val="0"/>
        <w:bidi w:val="0"/>
        <w:spacing w:line="400" w:lineRule="exact"/>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3．技术服务质量要求：</w:t>
      </w:r>
      <w:r>
        <w:rPr>
          <w:rFonts w:hint="eastAsia" w:ascii="宋体" w:hAnsi="宋体" w:eastAsia="宋体" w:cs="宋体"/>
          <w:color w:val="auto"/>
          <w:szCs w:val="21"/>
          <w:highlight w:val="none"/>
          <w:u w:val="single"/>
        </w:rPr>
        <w:t xml:space="preserve">                                                </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4.执行技术标准和规定：</w:t>
      </w:r>
      <w:r>
        <w:rPr>
          <w:rFonts w:hint="eastAsia" w:ascii="宋体" w:hAnsi="宋体" w:eastAsia="宋体" w:cs="宋体"/>
          <w:color w:val="auto"/>
          <w:szCs w:val="21"/>
          <w:highlight w:val="none"/>
          <w:u w:val="single"/>
        </w:rPr>
        <w:t xml:space="preserve">                                               </w:t>
      </w:r>
    </w:p>
    <w:p>
      <w:pPr>
        <w:pageBreakBefore w:val="0"/>
        <w:kinsoku/>
        <w:overflowPunct/>
        <w:topLinePunct w:val="0"/>
        <w:bidi w:val="0"/>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5.进度</w:t>
      </w:r>
      <w:r>
        <w:rPr>
          <w:rFonts w:hint="eastAsia" w:ascii="宋体" w:hAnsi="宋体" w:eastAsia="宋体" w:cs="宋体"/>
          <w:color w:val="auto"/>
          <w:szCs w:val="21"/>
          <w:highlight w:val="none"/>
          <w:lang w:val="en-US" w:eastAsia="zh-CN"/>
        </w:rPr>
        <w:t>计划</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ageBreakBefore w:val="0"/>
        <w:kinsoku/>
        <w:overflowPunct/>
        <w:topLinePunct w:val="0"/>
        <w:bidi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w:t>
      </w:r>
      <w:r>
        <w:rPr>
          <w:rFonts w:hint="eastAsia" w:ascii="宋体" w:hAnsi="宋体" w:eastAsia="宋体" w:cs="宋体"/>
          <w:color w:val="auto"/>
          <w:szCs w:val="21"/>
          <w:highlight w:val="none"/>
        </w:rPr>
        <w:t>为保证乙方有效进行技术服务工作，甲方应当向乙方提供下列工作条件和协作事项：</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1.指定专人负责协调合同执行过程中的问题；</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2.甲方明确项目范围和工作要求；</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3.按期支付项目费用。</w:t>
      </w:r>
    </w:p>
    <w:p>
      <w:pPr>
        <w:pageBreakBefore w:val="0"/>
        <w:kinsoku/>
        <w:overflowPunct/>
        <w:topLinePunct w:val="0"/>
        <w:bidi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第四条：</w:t>
      </w:r>
      <w:r>
        <w:rPr>
          <w:rFonts w:hint="eastAsia" w:ascii="宋体" w:hAnsi="宋体" w:eastAsia="宋体" w:cs="宋体"/>
          <w:color w:val="auto"/>
          <w:szCs w:val="21"/>
          <w:highlight w:val="none"/>
        </w:rPr>
        <w:t>甲方向乙方支付技术服务报酬及支付方式为：</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1．技术服务费：项目经费合计：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万元人民币。大写：人民币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整，包干结算。</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2．技术服务费由甲方</w:t>
      </w:r>
      <w:r>
        <w:rPr>
          <w:rFonts w:hint="eastAsia" w:ascii="宋体" w:hAnsi="宋体" w:eastAsia="宋体" w:cs="宋体"/>
          <w:color w:val="auto"/>
          <w:szCs w:val="21"/>
          <w:highlight w:val="none"/>
          <w:u w:val="single"/>
        </w:rPr>
        <w:t>分期</w:t>
      </w:r>
      <w:r>
        <w:rPr>
          <w:rFonts w:hint="eastAsia" w:ascii="宋体" w:hAnsi="宋体" w:eastAsia="宋体" w:cs="宋体"/>
          <w:color w:val="auto"/>
          <w:szCs w:val="21"/>
          <w:highlight w:val="none"/>
        </w:rPr>
        <w:t xml:space="preserve">支付乙方。 </w:t>
      </w:r>
    </w:p>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具体支付方式和时间如下：</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（1）合同签订后</w:t>
      </w:r>
      <w:r>
        <w:rPr>
          <w:rFonts w:hint="eastAsia" w:ascii="宋体" w:hAnsi="宋体" w:eastAsia="宋体" w:cs="宋体"/>
          <w:color w:val="auto"/>
          <w:szCs w:val="21"/>
          <w:highlight w:val="none"/>
          <w:u w:val="single"/>
        </w:rPr>
        <w:t>7</w:t>
      </w:r>
      <w:r>
        <w:rPr>
          <w:rFonts w:hint="eastAsia" w:ascii="宋体" w:hAnsi="宋体" w:eastAsia="宋体" w:cs="宋体"/>
          <w:color w:val="auto"/>
          <w:szCs w:val="21"/>
          <w:highlight w:val="none"/>
        </w:rPr>
        <w:t>日内,</w:t>
      </w:r>
      <w:bookmarkStart w:id="274" w:name="_Hlk68688883"/>
      <w:r>
        <w:rPr>
          <w:rFonts w:hint="eastAsia" w:ascii="宋体" w:hAnsi="宋体" w:eastAsia="宋体" w:cs="宋体"/>
          <w:color w:val="auto"/>
          <w:szCs w:val="21"/>
          <w:highlight w:val="none"/>
        </w:rPr>
        <w:t>甲方向乙方支付合同总金额的</w:t>
      </w:r>
      <w:r>
        <w:rPr>
          <w:rFonts w:hint="eastAsia" w:ascii="宋体" w:hAnsi="宋体" w:eastAsia="宋体" w:cs="宋体"/>
          <w:color w:val="auto"/>
          <w:szCs w:val="21"/>
          <w:highlight w:val="none"/>
          <w:u w:val="single"/>
        </w:rPr>
        <w:t>40%</w:t>
      </w:r>
      <w:r>
        <w:rPr>
          <w:rFonts w:hint="eastAsia" w:ascii="宋体" w:hAnsi="宋体" w:eastAsia="宋体" w:cs="宋体"/>
          <w:color w:val="auto"/>
          <w:szCs w:val="21"/>
          <w:highlight w:val="none"/>
        </w:rPr>
        <w:t>计</w:t>
      </w:r>
      <w:r>
        <w:rPr>
          <w:rFonts w:hint="eastAsia" w:ascii="宋体" w:hAnsi="宋体" w:eastAsia="宋体" w:cs="宋体"/>
          <w:color w:val="auto"/>
          <w:szCs w:val="21"/>
          <w:highlight w:val="none"/>
          <w:u w:val="single"/>
        </w:rPr>
        <w:t xml:space="preserve">      万 元(大写:人民币      )；</w:t>
      </w:r>
      <w:bookmarkEnd w:id="274"/>
    </w:p>
    <w:p>
      <w:pPr>
        <w:pageBreakBefore w:val="0"/>
        <w:kinsoku/>
        <w:overflowPunct/>
        <w:topLinePunct w:val="0"/>
        <w:bidi w:val="0"/>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（2）根据项目进度计划要求，基本完成项目内容，甲方向乙方支付合同总金额的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计</w:t>
      </w:r>
      <w:r>
        <w:rPr>
          <w:rFonts w:hint="eastAsia" w:ascii="宋体" w:hAnsi="宋体" w:eastAsia="宋体" w:cs="宋体"/>
          <w:color w:val="auto"/>
          <w:szCs w:val="21"/>
          <w:highlight w:val="none"/>
          <w:u w:val="single"/>
        </w:rPr>
        <w:t xml:space="preserve">    万 元(大写:人民币       )；</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（3）项目完成后</w:t>
      </w:r>
      <w:r>
        <w:rPr>
          <w:rFonts w:hint="eastAsia" w:ascii="宋体" w:hAnsi="宋体" w:eastAsia="宋体" w:cs="宋体"/>
          <w:color w:val="auto"/>
          <w:szCs w:val="21"/>
          <w:highlight w:val="none"/>
          <w:u w:val="single"/>
        </w:rPr>
        <w:t>7</w:t>
      </w:r>
      <w:r>
        <w:rPr>
          <w:rFonts w:hint="eastAsia" w:ascii="宋体" w:hAnsi="宋体" w:eastAsia="宋体" w:cs="宋体"/>
          <w:color w:val="auto"/>
          <w:szCs w:val="21"/>
          <w:highlight w:val="none"/>
        </w:rPr>
        <w:t>个日内,甲方向乙方一次性支付合同总金额的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计</w:t>
      </w:r>
      <w:r>
        <w:rPr>
          <w:rFonts w:hint="eastAsia" w:ascii="宋体" w:hAnsi="宋体" w:eastAsia="宋体" w:cs="宋体"/>
          <w:color w:val="auto"/>
          <w:szCs w:val="21"/>
          <w:highlight w:val="none"/>
          <w:u w:val="single"/>
        </w:rPr>
        <w:t xml:space="preserve">    万 元(大写:人民币      )。</w:t>
      </w:r>
    </w:p>
    <w:p>
      <w:pPr>
        <w:pageBreakBefore w:val="0"/>
        <w:tabs>
          <w:tab w:val="left" w:pos="851"/>
          <w:tab w:val="left" w:pos="993"/>
        </w:tabs>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4.乙方开户银行名称、地址和帐号为：</w:t>
      </w:r>
    </w:p>
    <w:p>
      <w:pPr>
        <w:pageBreakBefore w:val="0"/>
        <w:kinsoku/>
        <w:overflowPunct/>
        <w:topLinePunct w:val="0"/>
        <w:bidi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pPr>
        <w:pageBreakBefore w:val="0"/>
        <w:kinsoku/>
        <w:overflowPunct/>
        <w:topLinePunct w:val="0"/>
        <w:bidi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w:t>
      </w:r>
    </w:p>
    <w:p>
      <w:pPr>
        <w:pageBreakBefore w:val="0"/>
        <w:kinsoku/>
        <w:overflowPunct/>
        <w:topLinePunct w:val="0"/>
        <w:bidi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帐    号：</w:t>
      </w:r>
      <w:r>
        <w:rPr>
          <w:rFonts w:hint="eastAsia" w:ascii="宋体" w:hAnsi="宋体" w:eastAsia="宋体" w:cs="宋体"/>
          <w:color w:val="auto"/>
          <w:szCs w:val="21"/>
          <w:highlight w:val="none"/>
          <w:u w:val="single"/>
        </w:rPr>
        <w:t xml:space="preserve">                                     </w:t>
      </w:r>
    </w:p>
    <w:p>
      <w:pPr>
        <w:pageBreakBefore w:val="0"/>
        <w:kinsoku/>
        <w:overflowPunct/>
        <w:topLinePunct w:val="0"/>
        <w:bidi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第五条：</w:t>
      </w:r>
      <w:r>
        <w:rPr>
          <w:rFonts w:hint="eastAsia" w:ascii="宋体" w:hAnsi="宋体" w:eastAsia="宋体" w:cs="宋体"/>
          <w:color w:val="auto"/>
          <w:szCs w:val="21"/>
          <w:highlight w:val="none"/>
        </w:rPr>
        <w:t>双方确定因履行本合同应遵守的保密义务如下：</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甲、乙双方应对技术服务过程中涉及的商业秘密、所使用的基础地理信息数据按照国家有关保密法律法规的要求，采取有效的保密措施，严防泄密。</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2．甲、乙双方有义务保证各自参与本技术服务的工作人员履行保密责任，否则应承担相应法律责任。</w:t>
      </w:r>
    </w:p>
    <w:p>
      <w:pPr>
        <w:pageBreakBefore w:val="0"/>
        <w:kinsoku/>
        <w:overflowPunct/>
        <w:topLinePunct w:val="0"/>
        <w:bidi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第六条：</w:t>
      </w:r>
      <w:r>
        <w:rPr>
          <w:rFonts w:hint="eastAsia" w:ascii="宋体" w:hAnsi="宋体" w:eastAsia="宋体" w:cs="宋体"/>
          <w:color w:val="auto"/>
          <w:szCs w:val="21"/>
          <w:highlight w:val="none"/>
        </w:rPr>
        <w:t>项目成果使用权归甲方所有。</w:t>
      </w:r>
    </w:p>
    <w:p>
      <w:pPr>
        <w:pageBreakBefore w:val="0"/>
        <w:kinsoku/>
        <w:overflowPunct/>
        <w:topLinePunct w:val="0"/>
        <w:bidi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第七条</w:t>
      </w:r>
      <w:r>
        <w:rPr>
          <w:rFonts w:hint="eastAsia" w:ascii="宋体" w:hAnsi="宋体" w:eastAsia="宋体" w:cs="宋体"/>
          <w:color w:val="auto"/>
          <w:szCs w:val="21"/>
          <w:highlight w:val="none"/>
        </w:rPr>
        <w:t>：双方确定以下列标准和方式对乙方的技术服务工作成果进行验收：</w:t>
      </w:r>
    </w:p>
    <w:p>
      <w:pPr>
        <w:pageBreakBefore w:val="0"/>
        <w:kinsoku/>
        <w:overflowPunct/>
        <w:topLinePunct w:val="0"/>
        <w:bidi w:val="0"/>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1.乙方完成技术服务工作的形式：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ageBreakBefore w:val="0"/>
        <w:kinsoku/>
        <w:overflowPunct/>
        <w:topLinePunct w:val="0"/>
        <w:bidi w:val="0"/>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2．技术服务工作成果质量标准：</w:t>
      </w:r>
      <w:r>
        <w:rPr>
          <w:rFonts w:hint="eastAsia" w:ascii="宋体" w:hAnsi="宋体" w:eastAsia="宋体" w:cs="宋体"/>
          <w:color w:val="auto"/>
          <w:szCs w:val="21"/>
          <w:highlight w:val="none"/>
          <w:u w:val="single"/>
        </w:rPr>
        <w:t xml:space="preserve">满足项目设计的要求。 </w:t>
      </w:r>
    </w:p>
    <w:p>
      <w:pPr>
        <w:pageBreakBefore w:val="0"/>
        <w:kinsoku/>
        <w:overflowPunct/>
        <w:topLinePunct w:val="0"/>
        <w:bidi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3．成果提交时间和地点：</w:t>
      </w:r>
      <w:r>
        <w:rPr>
          <w:rFonts w:hint="eastAsia" w:ascii="宋体" w:hAnsi="宋体" w:eastAsia="宋体" w:cs="宋体"/>
          <w:color w:val="auto"/>
          <w:szCs w:val="21"/>
          <w:highlight w:val="none"/>
          <w:u w:val="single"/>
        </w:rPr>
        <w:t xml:space="preserve">                                             </w:t>
      </w:r>
    </w:p>
    <w:p>
      <w:pPr>
        <w:pageBreakBefore w:val="0"/>
        <w:kinsoku/>
        <w:overflowPunct/>
        <w:topLinePunct w:val="0"/>
        <w:bidi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第八条：</w:t>
      </w:r>
      <w:r>
        <w:rPr>
          <w:rFonts w:hint="eastAsia" w:ascii="宋体" w:hAnsi="宋体" w:eastAsia="宋体" w:cs="宋体"/>
          <w:color w:val="auto"/>
          <w:szCs w:val="21"/>
          <w:highlight w:val="none"/>
        </w:rPr>
        <w:t>双方确定，按以下约定承担各自的义务和违约责任：</w:t>
      </w:r>
    </w:p>
    <w:p>
      <w:pPr>
        <w:pageBreakBefore w:val="0"/>
        <w:kinsoku/>
        <w:overflowPunct/>
        <w:topLinePunct w:val="0"/>
        <w:bidi w:val="0"/>
        <w:spacing w:line="40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甲方的义务</w:t>
      </w:r>
    </w:p>
    <w:p>
      <w:pPr>
        <w:pageBreakBefore w:val="0"/>
        <w:kinsoku/>
        <w:overflowPunct/>
        <w:topLinePunct w:val="0"/>
        <w:bidi w:val="0"/>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（1）及时向乙方提供明确的项目需求和项目开展必须的数据成果；</w:t>
      </w:r>
    </w:p>
    <w:p>
      <w:pPr>
        <w:pageBreakBefore w:val="0"/>
        <w:kinsoku/>
        <w:overflowPunct/>
        <w:topLinePunct w:val="0"/>
        <w:bidi w:val="0"/>
        <w:spacing w:line="400" w:lineRule="exact"/>
        <w:ind w:firstLine="210" w:firstLineChars="1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（2）及时组织项目设计书的评审并向乙方反馈评审意见；</w:t>
      </w:r>
    </w:p>
    <w:p>
      <w:pPr>
        <w:pageBreakBefore w:val="0"/>
        <w:kinsoku/>
        <w:overflowPunct/>
        <w:topLinePunct w:val="0"/>
        <w:bidi w:val="0"/>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（3）保证该项目项目款项按合同约定进行支付。</w:t>
      </w:r>
    </w:p>
    <w:p>
      <w:pPr>
        <w:pageBreakBefore w:val="0"/>
        <w:kinsoku/>
        <w:overflowPunct/>
        <w:topLinePunct w:val="0"/>
        <w:bidi w:val="0"/>
        <w:spacing w:line="40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乙方的义务</w:t>
      </w:r>
    </w:p>
    <w:p>
      <w:pPr>
        <w:pageBreakBefore w:val="0"/>
        <w:kinsoku/>
        <w:overflowPunct/>
        <w:topLinePunct w:val="0"/>
        <w:bidi w:val="0"/>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（1）定期向甲方汇报项目进展情况；</w:t>
      </w:r>
    </w:p>
    <w:p>
      <w:pPr>
        <w:pageBreakBefore w:val="0"/>
        <w:kinsoku/>
        <w:overflowPunct/>
        <w:topLinePunct w:val="0"/>
        <w:bidi w:val="0"/>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（2）严格按照项目采购文件、合同内容编制项目设计书，报甲方同意后按照项目设计书的技术和进度要求认真组织项目实施；</w:t>
      </w:r>
    </w:p>
    <w:p>
      <w:pPr>
        <w:pageBreakBefore w:val="0"/>
        <w:kinsoku/>
        <w:overflowPunct/>
        <w:topLinePunct w:val="0"/>
        <w:bidi w:val="0"/>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接受甲方的质量和进度监督，按时提交符合项目设计书要求的成果资料；</w:t>
      </w:r>
    </w:p>
    <w:p>
      <w:pPr>
        <w:pageBreakBefore w:val="0"/>
        <w:kinsoku/>
        <w:overflowPunct/>
        <w:topLinePunct w:val="0"/>
        <w:bidi w:val="0"/>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（4）对于甲方提出的质量质疑或问题，应当及时给予回复；</w:t>
      </w:r>
    </w:p>
    <w:p>
      <w:pPr>
        <w:pStyle w:val="3"/>
        <w:pageBreakBefore w:val="0"/>
        <w:kinsoku/>
        <w:overflowPunct/>
        <w:topLinePunct w:val="0"/>
        <w:bidi w:val="0"/>
        <w:spacing w:line="400" w:lineRule="exact"/>
        <w:ind w:firstLine="210" w:firstLineChars="100"/>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rPr>
        <w:t>（5）合同履行期间项目</w:t>
      </w:r>
      <w:r>
        <w:rPr>
          <w:rFonts w:hint="eastAsia" w:ascii="宋体" w:hAnsi="宋体" w:eastAsia="宋体" w:cs="宋体"/>
          <w:iCs/>
          <w:color w:val="auto"/>
          <w:sz w:val="21"/>
          <w:szCs w:val="21"/>
          <w:highlight w:val="none"/>
          <w:lang w:eastAsia="zh-CN"/>
        </w:rPr>
        <w:t>业务骨干</w:t>
      </w:r>
      <w:r>
        <w:rPr>
          <w:rFonts w:hint="eastAsia" w:ascii="宋体" w:hAnsi="宋体" w:eastAsia="宋体" w:cs="宋体"/>
          <w:iCs/>
          <w:color w:val="auto"/>
          <w:sz w:val="21"/>
          <w:szCs w:val="21"/>
          <w:highlight w:val="none"/>
        </w:rPr>
        <w:t>须常驻宁波市自然资源和规划局</w:t>
      </w:r>
      <w:r>
        <w:rPr>
          <w:rFonts w:hint="eastAsia" w:ascii="宋体" w:hAnsi="宋体" w:eastAsia="宋体" w:cs="宋体"/>
          <w:iCs/>
          <w:color w:val="auto"/>
          <w:sz w:val="21"/>
          <w:szCs w:val="21"/>
          <w:highlight w:val="none"/>
          <w:lang w:eastAsia="zh-CN"/>
        </w:rPr>
        <w:t>调查监测处</w:t>
      </w:r>
      <w:r>
        <w:rPr>
          <w:rFonts w:hint="eastAsia" w:ascii="宋体" w:hAnsi="宋体" w:eastAsia="宋体" w:cs="宋体"/>
          <w:iCs/>
          <w:color w:val="auto"/>
          <w:sz w:val="21"/>
          <w:szCs w:val="21"/>
          <w:highlight w:val="none"/>
        </w:rPr>
        <w:t>办公。</w:t>
      </w:r>
    </w:p>
    <w:p>
      <w:pPr>
        <w:pageBreakBefore w:val="0"/>
        <w:kinsoku/>
        <w:overflowPunct/>
        <w:topLinePunct w:val="0"/>
        <w:bidi w:val="0"/>
        <w:spacing w:line="40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甲方的违约责任</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（1）本合同履行期间,由于甲方单方面原因造成项目停止而终止合同的，乙方未进入现场工作前,甲方应向乙方偿付预算项目费的5%；乙方已进入现场工作,甲方应按完成的实际工作量支付项目价款；</w:t>
      </w:r>
    </w:p>
    <w:p>
      <w:pPr>
        <w:pageBreakBefore w:val="0"/>
        <w:kinsoku/>
        <w:overflowPunct/>
        <w:topLinePunct w:val="0"/>
        <w:bidi w:val="0"/>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（2）如因甲方变更委托技术服务的项目、规模、条件、或因提供基础资料重大错误、或因所指定工作区域后又作较大修改，以致造成乙方需返工时，甲方需按乙方所完成实际工作量向乙方支付工作费用；</w:t>
      </w:r>
    </w:p>
    <w:p>
      <w:pPr>
        <w:pageBreakBefore w:val="0"/>
        <w:kinsoku/>
        <w:overflowPunct/>
        <w:topLinePunct w:val="0"/>
        <w:bidi w:val="0"/>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（3）甲方未按合同约定支付项目费用的，甲方应向乙方支付不低于同期银行利率的违约滞纳金。</w:t>
      </w:r>
    </w:p>
    <w:p>
      <w:pPr>
        <w:pageBreakBefore w:val="0"/>
        <w:kinsoku/>
        <w:overflowPunct/>
        <w:topLinePunct w:val="0"/>
        <w:bidi w:val="0"/>
        <w:spacing w:line="40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乙方的违约责任</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（1）本合同履行期间,如乙方擅自中途停止或解除合同,乙方应向甲方赔偿已付项目价款的5%，并归还甲方支付的全部项目款；</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未能按合同规定的日期提交成果时,应向甲方赔偿拖期损失费,每天的拖期损失费按合同约定的预算项目总价款的0.1%计算。因天气、交通、政府行为等影响作业的客观原因造成的工期拖期，乙方不承担赔偿责任；</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（3）乙方提供的成果质量不合格的,乙方应负责无偿予以重测或采取补救措施,以达到质量要求。</w:t>
      </w:r>
    </w:p>
    <w:p>
      <w:pPr>
        <w:pStyle w:val="3"/>
        <w:pageBreakBefore w:val="0"/>
        <w:kinsoku/>
        <w:overflowPunct/>
        <w:topLinePunct w:val="0"/>
        <w:bidi w:val="0"/>
        <w:spacing w:line="400" w:lineRule="exact"/>
        <w:rPr>
          <w:rFonts w:hint="eastAsia" w:ascii="宋体" w:hAnsi="宋体" w:eastAsia="宋体" w:cs="宋体"/>
          <w:color w:val="auto"/>
          <w:sz w:val="21"/>
          <w:szCs w:val="21"/>
          <w:highlight w:val="none"/>
        </w:rPr>
      </w:pPr>
    </w:p>
    <w:p>
      <w:pPr>
        <w:pageBreakBefore w:val="0"/>
        <w:kinsoku/>
        <w:overflowPunct/>
        <w:topLinePunct w:val="0"/>
        <w:bidi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第九条：</w:t>
      </w:r>
      <w:r>
        <w:rPr>
          <w:rFonts w:hint="eastAsia" w:ascii="宋体" w:hAnsi="宋体" w:eastAsia="宋体" w:cs="宋体"/>
          <w:color w:val="auto"/>
          <w:szCs w:val="21"/>
          <w:highlight w:val="none"/>
        </w:rPr>
        <w:t>双方确定，出现下列情形，致使本合同的履行成为不必要或不可能的，可以解除本合同：</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不可抗力。（“不可抗力”指地震、台风、水灾、火灾、战争以及其它本合同各方不能预见，并且对其发生和后果不能防止或不能避免且不可克服的客观情况）</w:t>
      </w:r>
      <w:r>
        <w:rPr>
          <w:rFonts w:hint="eastAsia" w:ascii="宋体" w:hAnsi="宋体" w:eastAsia="宋体" w:cs="宋体"/>
          <w:color w:val="auto"/>
          <w:szCs w:val="21"/>
          <w:highlight w:val="none"/>
        </w:rPr>
        <w:t>。</w:t>
      </w:r>
    </w:p>
    <w:p>
      <w:pPr>
        <w:pageBreakBefore w:val="0"/>
        <w:kinsoku/>
        <w:overflowPunct/>
        <w:topLinePunct w:val="0"/>
        <w:bidi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第十条：</w:t>
      </w:r>
      <w:r>
        <w:rPr>
          <w:rFonts w:hint="eastAsia" w:ascii="宋体" w:hAnsi="宋体" w:eastAsia="宋体" w:cs="宋体"/>
          <w:color w:val="auto"/>
          <w:szCs w:val="21"/>
          <w:highlight w:val="none"/>
        </w:rPr>
        <w:t>双方因履行本合同而发生的争议，应协商、调解解决。协商、调解不成的，确定按以下第</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种方式处理：</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1．提交</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u w:val="single"/>
        </w:rPr>
        <w:t xml:space="preserve">宁波 </w:t>
      </w:r>
      <w:r>
        <w:rPr>
          <w:rFonts w:hint="eastAsia" w:ascii="宋体" w:hAnsi="宋体" w:eastAsia="宋体" w:cs="宋体"/>
          <w:color w:val="auto"/>
          <w:szCs w:val="21"/>
          <w:highlight w:val="none"/>
        </w:rPr>
        <w:t>仲裁委员会仲裁；</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2．依法向人民法院起诉。</w:t>
      </w:r>
    </w:p>
    <w:p>
      <w:pPr>
        <w:pageBreakBefore w:val="0"/>
        <w:kinsoku/>
        <w:overflowPunct/>
        <w:topLinePunct w:val="0"/>
        <w:bidi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w:t>
      </w:r>
      <w:r>
        <w:rPr>
          <w:rFonts w:hint="eastAsia" w:ascii="宋体" w:hAnsi="宋体" w:eastAsia="宋体" w:cs="宋体"/>
          <w:color w:val="auto"/>
          <w:szCs w:val="21"/>
          <w:highlight w:val="none"/>
        </w:rPr>
        <w:t>双方约定本合同其他相关事项为：</w:t>
      </w:r>
      <w:r>
        <w:rPr>
          <w:rFonts w:hint="eastAsia" w:ascii="宋体" w:hAnsi="宋体" w:eastAsia="宋体" w:cs="宋体"/>
          <w:color w:val="auto"/>
          <w:szCs w:val="21"/>
          <w:highlight w:val="none"/>
          <w:u w:val="single"/>
        </w:rPr>
        <w:t>本合同执行过程中的未尽事宜，双方应本着实事求是友好协商的态度加以解决。双方协商一致的,签订补充协议,补充协议与本合同具有同等效力。</w:t>
      </w:r>
    </w:p>
    <w:p>
      <w:pPr>
        <w:pageBreakBefore w:val="0"/>
        <w:kinsoku/>
        <w:overflowPunct/>
        <w:topLinePunct w:val="0"/>
        <w:bidi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第十二条：</w:t>
      </w: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陆</w:t>
      </w:r>
      <w:r>
        <w:rPr>
          <w:rFonts w:hint="eastAsia" w:ascii="宋体" w:hAnsi="宋体" w:eastAsia="宋体" w:cs="宋体"/>
          <w:color w:val="auto"/>
          <w:szCs w:val="21"/>
          <w:highlight w:val="none"/>
        </w:rPr>
        <w:t>份, 甲方</w:t>
      </w:r>
      <w:r>
        <w:rPr>
          <w:rFonts w:hint="eastAsia" w:ascii="宋体" w:hAnsi="宋体" w:eastAsia="宋体" w:cs="宋体"/>
          <w:color w:val="auto"/>
          <w:szCs w:val="21"/>
          <w:highlight w:val="none"/>
          <w:u w:val="single"/>
        </w:rPr>
        <w:t>叁</w:t>
      </w:r>
      <w:r>
        <w:rPr>
          <w:rFonts w:hint="eastAsia" w:ascii="宋体" w:hAnsi="宋体" w:eastAsia="宋体" w:cs="宋体"/>
          <w:color w:val="auto"/>
          <w:szCs w:val="21"/>
          <w:highlight w:val="none"/>
        </w:rPr>
        <w:t>份，乙方</w:t>
      </w:r>
      <w:r>
        <w:rPr>
          <w:rFonts w:hint="eastAsia" w:ascii="宋体" w:hAnsi="宋体" w:eastAsia="宋体" w:cs="宋体"/>
          <w:color w:val="auto"/>
          <w:szCs w:val="21"/>
          <w:highlight w:val="none"/>
          <w:u w:val="single"/>
        </w:rPr>
        <w:t>叁</w:t>
      </w:r>
      <w:r>
        <w:rPr>
          <w:rFonts w:hint="eastAsia" w:ascii="宋体" w:hAnsi="宋体" w:eastAsia="宋体" w:cs="宋体"/>
          <w:color w:val="auto"/>
          <w:szCs w:val="21"/>
          <w:highlight w:val="none"/>
        </w:rPr>
        <w:t>份，具有同等法律效力。</w:t>
      </w:r>
    </w:p>
    <w:p>
      <w:pPr>
        <w:pageBreakBefore w:val="0"/>
        <w:kinsoku/>
        <w:overflowPunct/>
        <w:topLinePunct w:val="0"/>
        <w:bidi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第十三条：</w:t>
      </w:r>
      <w:r>
        <w:rPr>
          <w:rFonts w:hint="eastAsia" w:ascii="宋体" w:hAnsi="宋体" w:eastAsia="宋体" w:cs="宋体"/>
          <w:color w:val="auto"/>
          <w:szCs w:val="21"/>
          <w:highlight w:val="none"/>
        </w:rPr>
        <w:t>本合同由双方代表签字,加盖双方公章或合同专用章后生效,全部成果交接完毕和项目费结算完成后,本合同终止。</w:t>
      </w:r>
    </w:p>
    <w:p>
      <w:pPr>
        <w:pStyle w:val="2"/>
        <w:pageBreakBefore w:val="0"/>
        <w:kinsoku/>
        <w:overflowPunct/>
        <w:topLinePunct w:val="0"/>
        <w:bidi w:val="0"/>
        <w:spacing w:line="400" w:lineRule="exact"/>
        <w:ind w:firstLine="280"/>
        <w:rPr>
          <w:rFonts w:hint="eastAsia" w:ascii="宋体" w:hAnsi="宋体" w:eastAsia="宋体" w:cs="宋体"/>
          <w:color w:val="auto"/>
          <w:highlight w:val="none"/>
        </w:rPr>
      </w:pPr>
    </w:p>
    <w:p>
      <w:pPr>
        <w:pageBreakBefore w:val="0"/>
        <w:kinsoku/>
        <w:overflowPunct/>
        <w:topLinePunct w:val="0"/>
        <w:bidi w:val="0"/>
        <w:spacing w:line="400" w:lineRule="exact"/>
        <w:ind w:firstLine="211" w:firstLineChars="100"/>
        <w:jc w:val="center"/>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（正文完。）</w:t>
      </w:r>
    </w:p>
    <w:p>
      <w:pPr>
        <w:pageBreakBefore w:val="0"/>
        <w:widowControl/>
        <w:kinsoku/>
        <w:overflowPunct/>
        <w:topLinePunct w:val="0"/>
        <w:bidi w:val="0"/>
        <w:spacing w:line="400" w:lineRule="exact"/>
        <w:jc w:val="left"/>
        <w:rPr>
          <w:rFonts w:hint="eastAsia" w:ascii="宋体" w:hAnsi="宋体" w:eastAsia="宋体" w:cs="宋体"/>
          <w:color w:val="auto"/>
          <w:szCs w:val="21"/>
          <w:highlight w:val="none"/>
        </w:rPr>
      </w:pPr>
    </w:p>
    <w:p>
      <w:pPr>
        <w:pageBreakBefore w:val="0"/>
        <w:kinsoku/>
        <w:overflowPunct/>
        <w:topLinePunct w:val="0"/>
        <w:bidi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 xml:space="preserve">                                                （盖章）</w:t>
      </w:r>
    </w:p>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法定代表人／委托代理人：</w:t>
      </w:r>
      <w:r>
        <w:rPr>
          <w:rFonts w:hint="eastAsia" w:ascii="宋体" w:hAnsi="宋体" w:eastAsia="宋体" w:cs="宋体"/>
          <w:color w:val="auto"/>
          <w:szCs w:val="21"/>
          <w:highlight w:val="none"/>
          <w:u w:val="single"/>
        </w:rPr>
        <w:t>　　　　　　　　            （签名）</w:t>
      </w:r>
      <w:r>
        <w:rPr>
          <w:rFonts w:hint="eastAsia" w:ascii="宋体" w:hAnsi="宋体" w:eastAsia="宋体" w:cs="宋体"/>
          <w:color w:val="auto"/>
          <w:szCs w:val="21"/>
          <w:highlight w:val="none"/>
        </w:rPr>
        <w:t>　</w:t>
      </w:r>
    </w:p>
    <w:p>
      <w:pPr>
        <w:pageBreakBefore w:val="0"/>
        <w:kinsoku/>
        <w:overflowPunct/>
        <w:topLinePunct w:val="0"/>
        <w:bidi w:val="0"/>
        <w:spacing w:line="400" w:lineRule="exact"/>
        <w:ind w:firstLine="1260" w:firstLineChars="6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pageBreakBefore w:val="0"/>
        <w:kinsoku/>
        <w:overflowPunct/>
        <w:topLinePunct w:val="0"/>
        <w:bidi w:val="0"/>
        <w:spacing w:line="400" w:lineRule="exact"/>
        <w:rPr>
          <w:rFonts w:hint="eastAsia" w:ascii="宋体" w:hAnsi="宋体" w:eastAsia="宋体" w:cs="宋体"/>
          <w:color w:val="auto"/>
          <w:szCs w:val="21"/>
          <w:highlight w:val="none"/>
        </w:rPr>
      </w:pPr>
    </w:p>
    <w:p>
      <w:pPr>
        <w:pageBreakBefore w:val="0"/>
        <w:kinsoku/>
        <w:overflowPunct/>
        <w:topLinePunct w:val="0"/>
        <w:bidi w:val="0"/>
        <w:spacing w:line="400" w:lineRule="exact"/>
        <w:rPr>
          <w:rFonts w:hint="eastAsia" w:ascii="宋体" w:hAnsi="宋体" w:eastAsia="宋体" w:cs="宋体"/>
          <w:color w:val="auto"/>
          <w:szCs w:val="21"/>
          <w:highlight w:val="none"/>
        </w:rPr>
      </w:pPr>
    </w:p>
    <w:p>
      <w:pPr>
        <w:pageBreakBefore w:val="0"/>
        <w:kinsoku/>
        <w:overflowPunct/>
        <w:topLinePunct w:val="0"/>
        <w:bidi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（盖章）</w:t>
      </w:r>
    </w:p>
    <w:p>
      <w:pPr>
        <w:pageBreakBefore w:val="0"/>
        <w:kinsoku/>
        <w:overflowPunct/>
        <w:topLinePunct w:val="0"/>
        <w:bidi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法定代表人／委托代理人：</w:t>
      </w:r>
      <w:r>
        <w:rPr>
          <w:rFonts w:hint="eastAsia" w:ascii="宋体" w:hAnsi="宋体" w:eastAsia="宋体" w:cs="宋体"/>
          <w:color w:val="auto"/>
          <w:szCs w:val="21"/>
          <w:highlight w:val="none"/>
          <w:u w:val="single"/>
        </w:rPr>
        <w:t>　　　　　　　　           （签名）</w:t>
      </w:r>
    </w:p>
    <w:p>
      <w:pPr>
        <w:pageBreakBefore w:val="0"/>
        <w:kinsoku/>
        <w:overflowPunct/>
        <w:topLinePunct w:val="0"/>
        <w:bidi w:val="0"/>
        <w:spacing w:line="400" w:lineRule="exact"/>
        <w:ind w:firstLine="525" w:firstLineChars="2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bookmarkEnd w:id="273"/>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pageBreakBefore w:val="0"/>
        <w:kinsoku/>
        <w:overflowPunct/>
        <w:topLinePunct w:val="0"/>
        <w:bidi w:val="0"/>
        <w:spacing w:line="400" w:lineRule="exact"/>
        <w:rPr>
          <w:rFonts w:hint="eastAsia" w:ascii="宋体" w:hAnsi="宋体" w:eastAsia="宋体" w:cs="宋体"/>
          <w:color w:val="auto"/>
          <w:sz w:val="30"/>
          <w:highlight w:val="none"/>
        </w:rPr>
      </w:pPr>
      <w:r>
        <w:rPr>
          <w:rFonts w:hint="eastAsia" w:ascii="宋体" w:hAnsi="宋体" w:eastAsia="宋体" w:cs="宋体"/>
          <w:color w:val="auto"/>
          <w:sz w:val="30"/>
          <w:highlight w:val="none"/>
        </w:rPr>
        <w:br w:type="page"/>
      </w:r>
      <w:bookmarkStart w:id="275" w:name="_Toc18229"/>
      <w:bookmarkStart w:id="276" w:name="_Toc79395485"/>
      <w:bookmarkStart w:id="277" w:name="_Toc5495"/>
      <w:bookmarkStart w:id="278" w:name="_Toc76771840"/>
      <w:bookmarkStart w:id="279" w:name="_Toc7729"/>
    </w:p>
    <w:p>
      <w:pPr>
        <w:pStyle w:val="5"/>
        <w:pageBreakBefore w:val="0"/>
        <w:kinsoku/>
        <w:overflowPunct/>
        <w:topLinePunct w:val="0"/>
        <w:bidi w:val="0"/>
        <w:spacing w:before="0" w:after="0" w:line="400" w:lineRule="exact"/>
        <w:jc w:val="center"/>
        <w:rPr>
          <w:rFonts w:hint="eastAsia" w:ascii="宋体" w:hAnsi="宋体" w:eastAsia="宋体" w:cs="宋体"/>
          <w:b w:val="0"/>
          <w:bCs w:val="0"/>
          <w:color w:val="auto"/>
          <w:sz w:val="28"/>
          <w:szCs w:val="28"/>
          <w:highlight w:val="none"/>
        </w:rPr>
      </w:pPr>
      <w:r>
        <w:rPr>
          <w:rFonts w:hint="eastAsia" w:ascii="宋体" w:hAnsi="宋体" w:eastAsia="宋体" w:cs="宋体"/>
          <w:color w:val="auto"/>
          <w:sz w:val="30"/>
          <w:highlight w:val="none"/>
        </w:rPr>
        <w:t>第六章  投标文件格式</w:t>
      </w:r>
      <w:bookmarkEnd w:id="275"/>
      <w:bookmarkEnd w:id="276"/>
      <w:bookmarkEnd w:id="277"/>
      <w:bookmarkEnd w:id="278"/>
      <w:bookmarkEnd w:id="279"/>
    </w:p>
    <w:p>
      <w:pPr>
        <w:pageBreakBefore w:val="0"/>
        <w:kinsoku/>
        <w:overflowPunct/>
        <w:topLinePunct w:val="0"/>
        <w:bidi w:val="0"/>
        <w:spacing w:line="400" w:lineRule="exact"/>
        <w:rPr>
          <w:rFonts w:hint="eastAsia" w:ascii="宋体" w:hAnsi="宋体" w:eastAsia="宋体" w:cs="宋体"/>
          <w:color w:val="auto"/>
          <w:highlight w:val="none"/>
        </w:rPr>
      </w:pPr>
      <w:bookmarkStart w:id="280" w:name="_Toc9889"/>
      <w:bookmarkStart w:id="281" w:name="_Toc24563"/>
      <w:bookmarkStart w:id="282" w:name="_Toc12981"/>
      <w:bookmarkStart w:id="283" w:name="_Toc460857946"/>
    </w:p>
    <w:p>
      <w:pPr>
        <w:pageBreakBefore w:val="0"/>
        <w:kinsoku/>
        <w:overflowPunct/>
        <w:topLinePunct w:val="0"/>
        <w:bidi w:val="0"/>
        <w:spacing w:line="400" w:lineRule="exact"/>
        <w:rPr>
          <w:rFonts w:hint="eastAsia" w:ascii="宋体" w:hAnsi="宋体" w:eastAsia="宋体" w:cs="宋体"/>
          <w:bCs/>
          <w:color w:val="auto"/>
          <w:szCs w:val="21"/>
          <w:highlight w:val="none"/>
        </w:rPr>
      </w:pPr>
      <w:bookmarkStart w:id="284" w:name="_Toc4426"/>
      <w:bookmarkStart w:id="285" w:name="_Toc18324"/>
      <w:bookmarkStart w:id="286" w:name="_Toc29895"/>
      <w:r>
        <w:rPr>
          <w:rFonts w:hint="eastAsia" w:ascii="宋体" w:hAnsi="宋体" w:eastAsia="宋体" w:cs="宋体"/>
          <w:b/>
          <w:color w:val="auto"/>
          <w:highlight w:val="none"/>
        </w:rPr>
        <w:t>格式一</w:t>
      </w:r>
      <w:r>
        <w:rPr>
          <w:rFonts w:hint="eastAsia" w:ascii="宋体" w:hAnsi="宋体" w:eastAsia="宋体" w:cs="宋体"/>
          <w:b/>
          <w:color w:val="auto"/>
          <w:szCs w:val="21"/>
          <w:highlight w:val="none"/>
        </w:rPr>
        <w:t>、外包装格式</w:t>
      </w:r>
      <w:bookmarkEnd w:id="284"/>
      <w:bookmarkEnd w:id="285"/>
      <w:bookmarkEnd w:id="286"/>
      <w:r>
        <w:rPr>
          <w:rFonts w:hint="eastAsia" w:ascii="宋体" w:hAnsi="宋体" w:eastAsia="宋体" w:cs="宋体"/>
          <w:bCs/>
          <w:color w:val="auto"/>
          <w:szCs w:val="21"/>
          <w:highlight w:val="none"/>
        </w:rPr>
        <w:t>（提供电子备份投标文件信封密封时使用）</w:t>
      </w:r>
    </w:p>
    <w:p>
      <w:pPr>
        <w:pageBreakBefore w:val="0"/>
        <w:kinsoku/>
        <w:overflowPunct/>
        <w:topLinePunct w:val="0"/>
        <w:bidi w:val="0"/>
        <w:snapToGrid w:val="0"/>
        <w:spacing w:before="120" w:beforeLines="50" w:after="50"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电子备份投标文件</w:t>
      </w:r>
    </w:p>
    <w:p>
      <w:pPr>
        <w:pageBreakBefore w:val="0"/>
        <w:kinsoku/>
        <w:overflowPunct/>
        <w:topLinePunct w:val="0"/>
        <w:bidi w:val="0"/>
        <w:snapToGrid w:val="0"/>
        <w:spacing w:before="120" w:beforeLines="50" w:after="50" w:line="400" w:lineRule="exact"/>
        <w:ind w:firstLine="338" w:firstLineChars="16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项目名称：</w:t>
      </w:r>
    </w:p>
    <w:p>
      <w:pPr>
        <w:pageBreakBefore w:val="0"/>
        <w:kinsoku/>
        <w:overflowPunct/>
        <w:topLinePunct w:val="0"/>
        <w:bidi w:val="0"/>
        <w:snapToGrid w:val="0"/>
        <w:spacing w:before="120" w:beforeLines="50" w:after="50" w:line="400" w:lineRule="exact"/>
        <w:ind w:firstLine="338" w:firstLineChars="161"/>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项目编号：</w:t>
      </w:r>
    </w:p>
    <w:p>
      <w:pPr>
        <w:pageBreakBefore w:val="0"/>
        <w:kinsoku/>
        <w:overflowPunct/>
        <w:topLinePunct w:val="0"/>
        <w:bidi w:val="0"/>
        <w:snapToGrid w:val="0"/>
        <w:spacing w:before="120" w:beforeLines="50" w:after="50" w:line="400" w:lineRule="exact"/>
        <w:ind w:firstLine="338" w:firstLineChars="16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投标人名称（加盖公章）：</w:t>
      </w:r>
    </w:p>
    <w:p>
      <w:pPr>
        <w:pageBreakBefore w:val="0"/>
        <w:kinsoku/>
        <w:overflowPunct/>
        <w:topLinePunct w:val="0"/>
        <w:bidi w:val="0"/>
        <w:snapToGrid w:val="0"/>
        <w:spacing w:before="120" w:beforeLines="50" w:after="50" w:line="400" w:lineRule="exact"/>
        <w:ind w:firstLine="338" w:firstLineChars="16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pPr>
        <w:pageBreakBefore w:val="0"/>
        <w:kinsoku/>
        <w:overflowPunct/>
        <w:topLinePunct w:val="0"/>
        <w:bidi w:val="0"/>
        <w:snapToGrid w:val="0"/>
        <w:spacing w:before="120" w:beforeLines="50" w:after="50" w:line="400" w:lineRule="exact"/>
        <w:ind w:firstLine="339" w:firstLineChars="161"/>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（投标截止时间前不得启封）</w:t>
      </w:r>
    </w:p>
    <w:p>
      <w:pPr>
        <w:pageBreakBefore w:val="0"/>
        <w:kinsoku/>
        <w:overflowPunct/>
        <w:topLinePunct w:val="0"/>
        <w:bidi w:val="0"/>
        <w:snapToGrid w:val="0"/>
        <w:spacing w:before="120" w:beforeLines="50" w:after="50"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年  月  日</w:t>
      </w:r>
    </w:p>
    <w:p>
      <w:pPr>
        <w:pStyle w:val="32"/>
        <w:pageBreakBefore w:val="0"/>
        <w:kinsoku/>
        <w:overflowPunct/>
        <w:topLinePunct w:val="0"/>
        <w:bidi w:val="0"/>
        <w:spacing w:line="400" w:lineRule="exact"/>
        <w:ind w:left="420"/>
        <w:rPr>
          <w:rFonts w:hint="eastAsia" w:ascii="宋体" w:hAnsi="宋体" w:eastAsia="宋体" w:cs="宋体"/>
          <w:bCs/>
          <w:color w:val="auto"/>
          <w:szCs w:val="21"/>
          <w:highlight w:val="none"/>
        </w:rPr>
      </w:pPr>
    </w:p>
    <w:p>
      <w:pPr>
        <w:pageBreakBefore w:val="0"/>
        <w:kinsoku/>
        <w:overflowPunct/>
        <w:topLinePunct w:val="0"/>
        <w:bidi w:val="0"/>
        <w:spacing w:line="400" w:lineRule="exact"/>
        <w:rPr>
          <w:rFonts w:hint="eastAsia" w:ascii="宋体" w:hAnsi="宋体" w:eastAsia="宋体" w:cs="宋体"/>
          <w:bCs/>
          <w:color w:val="auto"/>
          <w:szCs w:val="21"/>
          <w:highlight w:val="none"/>
        </w:rPr>
      </w:pPr>
    </w:p>
    <w:p>
      <w:pPr>
        <w:pStyle w:val="32"/>
        <w:pageBreakBefore w:val="0"/>
        <w:kinsoku/>
        <w:overflowPunct/>
        <w:topLinePunct w:val="0"/>
        <w:bidi w:val="0"/>
        <w:spacing w:line="400" w:lineRule="exact"/>
        <w:ind w:left="420"/>
        <w:rPr>
          <w:rFonts w:hint="eastAsia" w:ascii="宋体" w:hAnsi="宋体" w:eastAsia="宋体" w:cs="宋体"/>
          <w:color w:val="auto"/>
          <w:highlight w:val="none"/>
        </w:rPr>
      </w:pPr>
    </w:p>
    <w:p>
      <w:pPr>
        <w:pStyle w:val="32"/>
        <w:pageBreakBefore w:val="0"/>
        <w:kinsoku/>
        <w:overflowPunct/>
        <w:topLinePunct w:val="0"/>
        <w:bidi w:val="0"/>
        <w:spacing w:line="400" w:lineRule="exact"/>
        <w:ind w:left="420"/>
        <w:rPr>
          <w:rFonts w:hint="eastAsia" w:ascii="宋体" w:hAnsi="宋体" w:eastAsia="宋体" w:cs="宋体"/>
          <w:color w:val="auto"/>
          <w:highlight w:val="none"/>
        </w:rPr>
      </w:pPr>
    </w:p>
    <w:p>
      <w:pPr>
        <w:pageBreakBefore w:val="0"/>
        <w:kinsoku/>
        <w:overflowPunct/>
        <w:topLinePunct w:val="0"/>
        <w:bidi w:val="0"/>
        <w:spacing w:line="400" w:lineRule="exact"/>
        <w:rPr>
          <w:rFonts w:hint="eastAsia" w:ascii="宋体" w:hAnsi="宋体" w:eastAsia="宋体" w:cs="宋体"/>
          <w:b/>
          <w:bCs/>
          <w:color w:val="auto"/>
          <w:highlight w:val="none"/>
        </w:rPr>
      </w:pPr>
      <w:bookmarkStart w:id="287" w:name="_Toc22946"/>
      <w:bookmarkStart w:id="288" w:name="_Toc28033"/>
      <w:bookmarkStart w:id="289" w:name="_Toc14932"/>
      <w:bookmarkStart w:id="290" w:name="_Toc19186"/>
      <w:r>
        <w:rPr>
          <w:rFonts w:hint="eastAsia" w:ascii="宋体" w:hAnsi="宋体" w:eastAsia="宋体" w:cs="宋体"/>
          <w:b/>
          <w:bCs/>
          <w:color w:val="auto"/>
          <w:highlight w:val="none"/>
        </w:rPr>
        <w:t>2.投标文件封面格式</w:t>
      </w:r>
      <w:bookmarkEnd w:id="287"/>
      <w:bookmarkEnd w:id="288"/>
      <w:bookmarkEnd w:id="289"/>
      <w:bookmarkEnd w:id="290"/>
      <w:r>
        <w:rPr>
          <w:rFonts w:hint="eastAsia" w:ascii="宋体" w:hAnsi="宋体" w:eastAsia="宋体" w:cs="宋体"/>
          <w:b/>
          <w:bCs/>
          <w:color w:val="auto"/>
          <w:highlight w:val="none"/>
        </w:rPr>
        <w:t xml:space="preserve">                                                     正/副本</w:t>
      </w:r>
    </w:p>
    <w:p>
      <w:pPr>
        <w:pageBreakBefore w:val="0"/>
        <w:kinsoku/>
        <w:overflowPunct/>
        <w:topLinePunct w:val="0"/>
        <w:bidi w:val="0"/>
        <w:snapToGrid w:val="0"/>
        <w:spacing w:before="120" w:beforeLines="50" w:after="50"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pPr>
        <w:pageBreakBefore w:val="0"/>
        <w:kinsoku/>
        <w:overflowPunct/>
        <w:topLinePunct w:val="0"/>
        <w:bidi w:val="0"/>
        <w:snapToGrid w:val="0"/>
        <w:spacing w:before="120" w:beforeLines="50" w:after="50"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资格文件/商务技术文件/报价文件</w:t>
      </w:r>
    </w:p>
    <w:p>
      <w:pPr>
        <w:pageBreakBefore w:val="0"/>
        <w:kinsoku/>
        <w:overflowPunct/>
        <w:topLinePunct w:val="0"/>
        <w:bidi w:val="0"/>
        <w:snapToGrid w:val="0"/>
        <w:spacing w:before="120" w:beforeLines="50" w:after="50" w:line="400" w:lineRule="exact"/>
        <w:ind w:firstLine="6078" w:firstLineChars="2883"/>
        <w:jc w:val="center"/>
        <w:rPr>
          <w:rFonts w:hint="eastAsia" w:ascii="宋体" w:hAnsi="宋体" w:eastAsia="宋体" w:cs="宋体"/>
          <w:b/>
          <w:bCs/>
          <w:color w:val="auto"/>
          <w:szCs w:val="21"/>
          <w:highlight w:val="none"/>
        </w:rPr>
      </w:pPr>
    </w:p>
    <w:p>
      <w:pPr>
        <w:pageBreakBefore w:val="0"/>
        <w:kinsoku/>
        <w:overflowPunct/>
        <w:topLinePunct w:val="0"/>
        <w:bidi w:val="0"/>
        <w:snapToGrid w:val="0"/>
        <w:spacing w:before="120" w:beforeLines="50" w:after="50" w:line="400" w:lineRule="exact"/>
        <w:ind w:firstLine="338" w:firstLineChars="16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项目名称：</w:t>
      </w:r>
    </w:p>
    <w:p>
      <w:pPr>
        <w:pageBreakBefore w:val="0"/>
        <w:kinsoku/>
        <w:overflowPunct/>
        <w:topLinePunct w:val="0"/>
        <w:bidi w:val="0"/>
        <w:snapToGrid w:val="0"/>
        <w:spacing w:before="120" w:beforeLines="50" w:after="50" w:line="400" w:lineRule="exact"/>
        <w:ind w:firstLine="338" w:firstLineChars="161"/>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项目编号：</w:t>
      </w:r>
    </w:p>
    <w:p>
      <w:pPr>
        <w:pageBreakBefore w:val="0"/>
        <w:kinsoku/>
        <w:overflowPunct/>
        <w:topLinePunct w:val="0"/>
        <w:bidi w:val="0"/>
        <w:snapToGrid w:val="0"/>
        <w:spacing w:before="120" w:beforeLines="50" w:after="50" w:line="400" w:lineRule="exact"/>
        <w:ind w:firstLine="338" w:firstLineChars="16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投标人名称（加盖公章）：</w:t>
      </w:r>
    </w:p>
    <w:p>
      <w:pPr>
        <w:pageBreakBefore w:val="0"/>
        <w:kinsoku/>
        <w:overflowPunct/>
        <w:topLinePunct w:val="0"/>
        <w:bidi w:val="0"/>
        <w:snapToGrid w:val="0"/>
        <w:spacing w:before="120" w:beforeLines="50" w:after="50" w:line="400" w:lineRule="exact"/>
        <w:ind w:firstLine="338" w:firstLineChars="16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pPr>
        <w:pageBreakBefore w:val="0"/>
        <w:kinsoku/>
        <w:overflowPunct/>
        <w:topLinePunct w:val="0"/>
        <w:bidi w:val="0"/>
        <w:snapToGrid w:val="0"/>
        <w:spacing w:before="120" w:beforeLines="50" w:after="50" w:line="400" w:lineRule="exact"/>
        <w:ind w:firstLine="3570" w:firstLineChars="1700"/>
        <w:rPr>
          <w:rFonts w:hint="eastAsia" w:ascii="宋体" w:hAnsi="宋体" w:eastAsia="宋体" w:cs="宋体"/>
          <w:bCs/>
          <w:color w:val="auto"/>
          <w:szCs w:val="21"/>
          <w:highlight w:val="none"/>
        </w:rPr>
      </w:pPr>
    </w:p>
    <w:p>
      <w:pPr>
        <w:pageBreakBefore w:val="0"/>
        <w:kinsoku/>
        <w:overflowPunct/>
        <w:topLinePunct w:val="0"/>
        <w:bidi w:val="0"/>
        <w:snapToGrid w:val="0"/>
        <w:spacing w:before="120" w:beforeLines="50" w:after="50" w:line="400" w:lineRule="exact"/>
        <w:ind w:firstLine="645"/>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年  月  日</w:t>
      </w:r>
    </w:p>
    <w:p>
      <w:pPr>
        <w:pageBreakBefore w:val="0"/>
        <w:kinsoku/>
        <w:overflowPunct/>
        <w:topLinePunct w:val="0"/>
        <w:bidi w:val="0"/>
        <w:spacing w:line="400" w:lineRule="exact"/>
        <w:rPr>
          <w:rFonts w:hint="eastAsia" w:ascii="宋体" w:hAnsi="宋体" w:eastAsia="宋体" w:cs="宋体"/>
          <w:color w:val="auto"/>
          <w:highlight w:val="none"/>
        </w:rPr>
      </w:pPr>
    </w:p>
    <w:p>
      <w:pPr>
        <w:pageBreakBefore w:val="0"/>
        <w:kinsoku/>
        <w:overflowPunct/>
        <w:topLinePunct w:val="0"/>
        <w:bidi w:val="0"/>
        <w:spacing w:line="400" w:lineRule="exact"/>
        <w:rPr>
          <w:rFonts w:hint="eastAsia" w:ascii="宋体" w:hAnsi="宋体" w:eastAsia="宋体" w:cs="宋体"/>
          <w:color w:val="auto"/>
          <w:highlight w:val="none"/>
        </w:rPr>
      </w:pPr>
    </w:p>
    <w:p>
      <w:pPr>
        <w:pageBreakBefore w:val="0"/>
        <w:kinsoku/>
        <w:overflowPunct/>
        <w:topLinePunct w:val="0"/>
        <w:bidi w:val="0"/>
        <w:spacing w:line="400" w:lineRule="exact"/>
        <w:rPr>
          <w:rFonts w:hint="eastAsia" w:ascii="宋体" w:hAnsi="宋体" w:eastAsia="宋体" w:cs="宋体"/>
          <w:color w:val="auto"/>
          <w:highlight w:val="none"/>
        </w:rPr>
      </w:pPr>
    </w:p>
    <w:p>
      <w:pPr>
        <w:pageBreakBefore w:val="0"/>
        <w:kinsoku/>
        <w:overflowPunct/>
        <w:topLinePunct w:val="0"/>
        <w:bidi w:val="0"/>
        <w:spacing w:line="400" w:lineRule="exact"/>
        <w:rPr>
          <w:rFonts w:hint="eastAsia" w:ascii="宋体" w:hAnsi="宋体" w:eastAsia="宋体" w:cs="宋体"/>
          <w:color w:val="auto"/>
          <w:highlight w:val="none"/>
        </w:rPr>
      </w:pPr>
    </w:p>
    <w:p>
      <w:pPr>
        <w:pageBreakBefore w:val="0"/>
        <w:kinsoku/>
        <w:overflowPunct/>
        <w:topLinePunct w:val="0"/>
        <w:bidi w:val="0"/>
        <w:spacing w:line="400" w:lineRule="exact"/>
        <w:rPr>
          <w:rFonts w:hint="eastAsia" w:ascii="宋体" w:hAnsi="宋体" w:eastAsia="宋体" w:cs="宋体"/>
          <w:color w:val="auto"/>
          <w:highlight w:val="none"/>
        </w:rPr>
      </w:pPr>
    </w:p>
    <w:p>
      <w:pPr>
        <w:pageBreakBefore w:val="0"/>
        <w:kinsoku/>
        <w:overflowPunct/>
        <w:topLinePunct w:val="0"/>
        <w:bidi w:val="0"/>
        <w:spacing w:line="400" w:lineRule="exact"/>
        <w:rPr>
          <w:rFonts w:hint="eastAsia" w:ascii="宋体" w:hAnsi="宋体" w:eastAsia="宋体" w:cs="宋体"/>
          <w:color w:val="auto"/>
          <w:highlight w:val="none"/>
        </w:rPr>
      </w:pPr>
    </w:p>
    <w:p>
      <w:pPr>
        <w:pageBreakBefore w:val="0"/>
        <w:kinsoku/>
        <w:overflowPunct/>
        <w:topLinePunct w:val="0"/>
        <w:bidi w:val="0"/>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ageBreakBefore w:val="0"/>
        <w:kinsoku/>
        <w:overflowPunct/>
        <w:topLinePunct w:val="0"/>
        <w:bidi w:val="0"/>
        <w:adjustRightInd w:val="0"/>
        <w:snapToGrid w:val="0"/>
        <w:spacing w:line="400" w:lineRule="exact"/>
        <w:jc w:val="left"/>
        <w:outlineLvl w:val="1"/>
        <w:rPr>
          <w:rFonts w:hint="eastAsia" w:ascii="宋体" w:hAnsi="宋体" w:eastAsia="宋体" w:cs="宋体"/>
          <w:b/>
          <w:color w:val="auto"/>
          <w:szCs w:val="21"/>
          <w:highlight w:val="none"/>
        </w:rPr>
      </w:pPr>
      <w:r>
        <w:rPr>
          <w:rFonts w:hint="eastAsia" w:ascii="宋体" w:hAnsi="宋体" w:eastAsia="宋体" w:cs="宋体"/>
          <w:b/>
          <w:color w:val="auto"/>
          <w:highlight w:val="none"/>
        </w:rPr>
        <w:t>格式二：</w:t>
      </w:r>
      <w:bookmarkEnd w:id="280"/>
      <w:bookmarkEnd w:id="281"/>
      <w:bookmarkEnd w:id="282"/>
    </w:p>
    <w:p>
      <w:pPr>
        <w:pageBreakBefore w:val="0"/>
        <w:kinsoku/>
        <w:overflowPunct/>
        <w:topLinePunct w:val="0"/>
        <w:bidi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资格证明材料承诺函</w:t>
      </w:r>
    </w:p>
    <w:p>
      <w:pPr>
        <w:pageBreakBefore w:val="0"/>
        <w:widowControl/>
        <w:kinsoku/>
        <w:overflowPunct/>
        <w:topLinePunct w:val="0"/>
        <w:bidi w:val="0"/>
        <w:adjustRightInd w:val="0"/>
        <w:snapToGrid w:val="0"/>
        <w:spacing w:line="400" w:lineRule="exact"/>
        <w:rPr>
          <w:rFonts w:hint="eastAsia" w:ascii="宋体" w:hAnsi="宋体" w:eastAsia="宋体" w:cs="宋体"/>
          <w:color w:val="auto"/>
          <w:szCs w:val="21"/>
          <w:highlight w:val="none"/>
        </w:rPr>
      </w:pPr>
    </w:p>
    <w:p>
      <w:pPr>
        <w:pageBreakBefore w:val="0"/>
        <w:widowControl/>
        <w:kinsoku/>
        <w:overflowPunct/>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w:t>
      </w:r>
    </w:p>
    <w:p>
      <w:pPr>
        <w:pageBreakBefore w:val="0"/>
        <w:widowControl/>
        <w:kinsoku/>
        <w:overflowPunct/>
        <w:topLinePunct w:val="0"/>
        <w:bidi w:val="0"/>
        <w:adjustRightInd w:val="0"/>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（供应商名称）已认真阅读</w:t>
      </w:r>
      <w:r>
        <w:rPr>
          <w:rFonts w:hint="eastAsia" w:ascii="宋体" w:hAnsi="宋体" w:eastAsia="宋体" w:cs="宋体"/>
          <w:color w:val="auto"/>
          <w:kern w:val="0"/>
          <w:szCs w:val="21"/>
          <w:highlight w:val="none"/>
        </w:rPr>
        <w:t>《中华人民共和国政府采购法》及《采购</w:t>
      </w:r>
      <w:r>
        <w:rPr>
          <w:rFonts w:hint="eastAsia" w:ascii="宋体" w:hAnsi="宋体" w:eastAsia="宋体" w:cs="宋体"/>
          <w:color w:val="auto"/>
          <w:szCs w:val="21"/>
          <w:highlight w:val="none"/>
        </w:rPr>
        <w:t>文件</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（项目名称），政府采购编号：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相关内容，知悉供应商参加政府采购活动应当具备的条件。此次按《采购文件》要求提交的供应商资格证明材料，已经认真核对和检查，全部内容真实、合法、准确和完整，我们对此负责，并愿承担由此引起的法律责任。</w:t>
      </w:r>
    </w:p>
    <w:p>
      <w:pPr>
        <w:pageBreakBefore w:val="0"/>
        <w:kinsoku/>
        <w:overflowPunct/>
        <w:topLinePunct w:val="0"/>
        <w:bidi w:val="0"/>
        <w:adjustRightInd w:val="0"/>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一、我方在此声明： </w:t>
      </w:r>
    </w:p>
    <w:p>
      <w:pPr>
        <w:pageBreakBefore w:val="0"/>
        <w:kinsoku/>
        <w:overflowPunct/>
        <w:topLinePunct w:val="0"/>
        <w:bidi w:val="0"/>
        <w:adjustRightInd w:val="0"/>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（一）我方具有独立承担民事责任的能力；</w:t>
      </w:r>
    </w:p>
    <w:p>
      <w:pPr>
        <w:pageBreakBefore w:val="0"/>
        <w:kinsoku/>
        <w:overflowPunct/>
        <w:topLinePunct w:val="0"/>
        <w:bidi w:val="0"/>
        <w:adjustRightInd w:val="0"/>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（二）我方具有良好的商业信誉和健全的财务会计制度；</w:t>
      </w:r>
    </w:p>
    <w:p>
      <w:pPr>
        <w:pageBreakBefore w:val="0"/>
        <w:kinsoku/>
        <w:overflowPunct/>
        <w:topLinePunct w:val="0"/>
        <w:bidi w:val="0"/>
        <w:adjustRightInd w:val="0"/>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（三）我方具有履行合同所必需的设备和专业技术能力；</w:t>
      </w:r>
    </w:p>
    <w:p>
      <w:pPr>
        <w:pageBreakBefore w:val="0"/>
        <w:kinsoku/>
        <w:overflowPunct/>
        <w:topLinePunct w:val="0"/>
        <w:bidi w:val="0"/>
        <w:adjustRightInd w:val="0"/>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（四）我方与采购人或采购代理机构不存在</w:t>
      </w:r>
      <w:r>
        <w:rPr>
          <w:rFonts w:hint="eastAsia" w:ascii="宋体" w:hAnsi="宋体" w:eastAsia="宋体" w:cs="宋体"/>
          <w:bCs/>
          <w:color w:val="auto"/>
          <w:szCs w:val="21"/>
          <w:highlight w:val="none"/>
        </w:rPr>
        <w:t>隶属关系或者其他利害关系</w:t>
      </w:r>
      <w:r>
        <w:rPr>
          <w:rFonts w:hint="eastAsia" w:ascii="宋体" w:hAnsi="宋体" w:eastAsia="宋体" w:cs="宋体"/>
          <w:color w:val="auto"/>
          <w:szCs w:val="21"/>
          <w:highlight w:val="none"/>
        </w:rPr>
        <w:t>。</w:t>
      </w:r>
    </w:p>
    <w:p>
      <w:pPr>
        <w:pageBreakBefore w:val="0"/>
        <w:kinsoku/>
        <w:overflowPunct/>
        <w:topLinePunct w:val="0"/>
        <w:bidi w:val="0"/>
        <w:adjustRightInd w:val="0"/>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（五）我方与参加本项目的其他供应商不存在控股、关联关系，或者与其他供应商单位负责人（或者负责人）为同一人。</w:t>
      </w:r>
    </w:p>
    <w:p>
      <w:pPr>
        <w:pageBreakBefore w:val="0"/>
        <w:kinsoku/>
        <w:overflowPunct/>
        <w:topLinePunct w:val="0"/>
        <w:bidi w:val="0"/>
        <w:adjustRightInd w:val="0"/>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（六）我方未为本项目前期准备提供设计或咨询服务。</w:t>
      </w:r>
    </w:p>
    <w:p>
      <w:pPr>
        <w:pageBreakBefore w:val="0"/>
        <w:kinsoku/>
        <w:overflowPunct/>
        <w:topLinePunct w:val="0"/>
        <w:bidi w:val="0"/>
        <w:adjustRightInd w:val="0"/>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二、我方承诺：</w:t>
      </w:r>
    </w:p>
    <w:p>
      <w:pPr>
        <w:pageBreakBefore w:val="0"/>
        <w:kinsoku/>
        <w:overflowPunct/>
        <w:topLinePunct w:val="0"/>
        <w:bidi w:val="0"/>
        <w:adjustRightInd w:val="0"/>
        <w:snapToGrid w:val="0"/>
        <w:spacing w:line="400" w:lineRule="exact"/>
        <w:ind w:left="1" w:firstLine="42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（一）我方</w:t>
      </w:r>
      <w:r>
        <w:rPr>
          <w:rFonts w:hint="eastAsia" w:ascii="宋体" w:hAnsi="宋体" w:eastAsia="宋体" w:cs="宋体"/>
          <w:color w:val="auto"/>
          <w:szCs w:val="21"/>
          <w:highlight w:val="none"/>
        </w:rPr>
        <w:t>依法缴纳了各项税费及各项社会保障资金，没有偷税、漏税及欠缴行为。</w:t>
      </w:r>
    </w:p>
    <w:p>
      <w:pPr>
        <w:pageBreakBefore w:val="0"/>
        <w:kinsoku/>
        <w:overflowPunct/>
        <w:topLinePunct w:val="0"/>
        <w:bidi w:val="0"/>
        <w:adjustRightInd w:val="0"/>
        <w:snapToGrid w:val="0"/>
        <w:spacing w:line="4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（二）我方（承诺期：成立三年以上的，为提交投标文件截止时间前三年内；成立不足三年的，为实际时间）在经营活动中没有存在下列重大违法记录：</w:t>
      </w:r>
    </w:p>
    <w:p>
      <w:pPr>
        <w:pageBreakBefore w:val="0"/>
        <w:kinsoku/>
        <w:overflowPunct/>
        <w:topLinePunct w:val="0"/>
        <w:bidi w:val="0"/>
        <w:adjustRightInd w:val="0"/>
        <w:snapToGrid w:val="0"/>
        <w:spacing w:line="4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1、受到刑事处罚；</w:t>
      </w:r>
    </w:p>
    <w:p>
      <w:pPr>
        <w:pageBreakBefore w:val="0"/>
        <w:kinsoku/>
        <w:overflowPunct/>
        <w:topLinePunct w:val="0"/>
        <w:bidi w:val="0"/>
        <w:adjustRightInd w:val="0"/>
        <w:snapToGrid w:val="0"/>
        <w:spacing w:line="400" w:lineRule="exact"/>
        <w:ind w:left="1"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2、责令停产停业、吊销许可证或者执照、较大数额罚款等行政处罚。</w:t>
      </w:r>
    </w:p>
    <w:p>
      <w:pPr>
        <w:pageBreakBefore w:val="0"/>
        <w:kinsoku/>
        <w:overflowPunct/>
        <w:topLinePunct w:val="0"/>
        <w:bidi w:val="0"/>
        <w:adjustRightInd w:val="0"/>
        <w:snapToGrid w:val="0"/>
        <w:spacing w:line="400" w:lineRule="exact"/>
        <w:ind w:left="1"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（三）我方未被列入“信用中国”（www.creditchina.gov.cn）、中国政府采购网（www.ccgp.gov.cn）列入失信被执行人、重大税收违法案件当事人名单、政府采购严重违法失信行为记录名单；</w:t>
      </w:r>
    </w:p>
    <w:p>
      <w:pPr>
        <w:pStyle w:val="236"/>
        <w:pageBreakBefore w:val="0"/>
        <w:kinsoku/>
        <w:overflowPunct/>
        <w:topLinePunct w:val="0"/>
        <w:bidi w:val="0"/>
        <w:spacing w:line="400" w:lineRule="exact"/>
        <w:ind w:firstLine="420"/>
        <w:rPr>
          <w:rFonts w:hint="eastAsia" w:ascii="宋体" w:hAnsi="宋体" w:eastAsia="宋体" w:cs="宋体"/>
          <w:color w:val="auto"/>
          <w:highlight w:val="none"/>
        </w:rPr>
      </w:pPr>
    </w:p>
    <w:p>
      <w:pPr>
        <w:pageBreakBefore w:val="0"/>
        <w:kinsoku/>
        <w:overflowPunct/>
        <w:topLinePunct w:val="0"/>
        <w:bidi w:val="0"/>
        <w:spacing w:line="400" w:lineRule="exact"/>
        <w:ind w:firstLine="4678" w:firstLineChars="2228"/>
        <w:rPr>
          <w:rFonts w:hint="eastAsia" w:ascii="宋体" w:hAnsi="宋体" w:eastAsia="宋体" w:cs="宋体"/>
          <w:color w:val="auto"/>
          <w:highlight w:val="none"/>
          <w:u w:val="single"/>
        </w:rPr>
      </w:pPr>
      <w:r>
        <w:rPr>
          <w:rFonts w:hint="eastAsia" w:ascii="宋体" w:hAnsi="宋体" w:eastAsia="宋体" w:cs="宋体"/>
          <w:color w:val="auto"/>
          <w:szCs w:val="21"/>
          <w:highlight w:val="none"/>
        </w:rPr>
        <w:t>投标人名称（盖单位章）：</w:t>
      </w:r>
      <w:r>
        <w:rPr>
          <w:rFonts w:hint="eastAsia" w:ascii="宋体" w:hAnsi="宋体" w:eastAsia="宋体" w:cs="宋体"/>
          <w:color w:val="auto"/>
          <w:szCs w:val="21"/>
          <w:highlight w:val="none"/>
          <w:u w:val="single"/>
        </w:rPr>
        <w:t xml:space="preserve">                   </w:t>
      </w:r>
    </w:p>
    <w:p>
      <w:pPr>
        <w:pageBreakBefore w:val="0"/>
        <w:kinsoku/>
        <w:overflowPunct/>
        <w:topLinePunct w:val="0"/>
        <w:bidi w:val="0"/>
        <w:spacing w:line="400" w:lineRule="exact"/>
        <w:ind w:firstLine="4678" w:firstLineChars="2228"/>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单位负责人或授权代表（签名）：</w:t>
      </w:r>
      <w:r>
        <w:rPr>
          <w:rFonts w:hint="eastAsia" w:ascii="宋体" w:hAnsi="宋体" w:eastAsia="宋体" w:cs="宋体"/>
          <w:color w:val="auto"/>
          <w:szCs w:val="21"/>
          <w:highlight w:val="none"/>
          <w:u w:val="single"/>
        </w:rPr>
        <w:t xml:space="preserve">             </w:t>
      </w:r>
    </w:p>
    <w:p>
      <w:pPr>
        <w:pageBreakBefore w:val="0"/>
        <w:kinsoku/>
        <w:overflowPunct/>
        <w:topLinePunct w:val="0"/>
        <w:bidi w:val="0"/>
        <w:spacing w:line="400" w:lineRule="exact"/>
        <w:ind w:firstLine="4676" w:firstLineChars="2227"/>
        <w:jc w:val="left"/>
        <w:rPr>
          <w:rFonts w:hint="eastAsia" w:ascii="宋体" w:hAnsi="宋体" w:eastAsia="宋体" w:cs="宋体"/>
          <w:color w:val="auto"/>
          <w:szCs w:val="21"/>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ageBreakBefore w:val="0"/>
        <w:kinsoku/>
        <w:overflowPunct/>
        <w:topLinePunct w:val="0"/>
        <w:bidi w:val="0"/>
        <w:spacing w:line="400" w:lineRule="exact"/>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1"/>
          <w:highlight w:val="none"/>
        </w:rPr>
        <w:br w:type="page"/>
      </w:r>
    </w:p>
    <w:p>
      <w:pPr>
        <w:pageBreakBefore w:val="0"/>
        <w:kinsoku/>
        <w:overflowPunct/>
        <w:topLinePunct w:val="0"/>
        <w:bidi w:val="0"/>
        <w:spacing w:line="400" w:lineRule="exact"/>
        <w:outlineLvl w:val="1"/>
        <w:rPr>
          <w:rFonts w:hint="eastAsia" w:ascii="宋体" w:hAnsi="宋体" w:eastAsia="宋体" w:cs="宋体"/>
          <w:b/>
          <w:color w:val="auto"/>
          <w:highlight w:val="none"/>
        </w:rPr>
      </w:pPr>
      <w:bookmarkStart w:id="291" w:name="_Toc14066"/>
      <w:bookmarkStart w:id="292" w:name="_Toc8697"/>
      <w:bookmarkStart w:id="293" w:name="_Toc5093"/>
      <w:r>
        <w:rPr>
          <w:rFonts w:hint="eastAsia" w:ascii="宋体" w:hAnsi="宋体" w:eastAsia="宋体" w:cs="宋体"/>
          <w:b/>
          <w:color w:val="auto"/>
          <w:highlight w:val="none"/>
        </w:rPr>
        <w:t>格式三：</w:t>
      </w:r>
      <w:bookmarkEnd w:id="291"/>
      <w:bookmarkEnd w:id="292"/>
      <w:bookmarkEnd w:id="293"/>
    </w:p>
    <w:p>
      <w:pPr>
        <w:pageBreakBefore w:val="0"/>
        <w:kinsoku/>
        <w:overflowPunct/>
        <w:topLinePunct w:val="0"/>
        <w:bidi w:val="0"/>
        <w:spacing w:line="400" w:lineRule="exact"/>
        <w:jc w:val="center"/>
        <w:rPr>
          <w:rFonts w:hint="eastAsia" w:ascii="宋体" w:hAnsi="宋体" w:eastAsia="宋体" w:cs="宋体"/>
          <w:b/>
          <w:color w:val="auto"/>
          <w:sz w:val="32"/>
          <w:szCs w:val="40"/>
          <w:highlight w:val="none"/>
        </w:rPr>
      </w:pPr>
      <w:r>
        <w:rPr>
          <w:rFonts w:hint="eastAsia" w:ascii="宋体" w:hAnsi="宋体" w:eastAsia="宋体" w:cs="宋体"/>
          <w:b/>
          <w:color w:val="auto"/>
          <w:sz w:val="32"/>
          <w:szCs w:val="40"/>
          <w:highlight w:val="none"/>
        </w:rPr>
        <w:t>评委打分索引表</w:t>
      </w:r>
    </w:p>
    <w:p>
      <w:pPr>
        <w:pageBreakBefore w:val="0"/>
        <w:kinsoku/>
        <w:overflowPunct/>
        <w:topLinePunct w:val="0"/>
        <w:bidi w:val="0"/>
        <w:spacing w:line="400" w:lineRule="exact"/>
        <w:jc w:val="center"/>
        <w:rPr>
          <w:rFonts w:hint="eastAsia" w:ascii="宋体" w:hAnsi="宋体" w:eastAsia="宋体" w:cs="宋体"/>
          <w:b/>
          <w:color w:val="auto"/>
          <w:highlight w:val="none"/>
        </w:rPr>
      </w:pPr>
    </w:p>
    <w:tbl>
      <w:tblPr>
        <w:tblStyle w:val="4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742"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评分项目</w:t>
            </w:r>
          </w:p>
        </w:tc>
        <w:tc>
          <w:tcPr>
            <w:tcW w:w="170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文件或证明材料所在页码区间</w:t>
            </w:r>
          </w:p>
        </w:tc>
        <w:tc>
          <w:tcPr>
            <w:tcW w:w="2693"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自评得分（主观评审部分不用填写自评得分）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742"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0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693"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742"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0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693"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742"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0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693"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742"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0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693"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742"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0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693"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742"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0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693"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3742"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0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693"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3742"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0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693"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3742"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01"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693"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bl>
    <w:p>
      <w:pPr>
        <w:pStyle w:val="17"/>
        <w:pageBreakBefore w:val="0"/>
        <w:kinsoku/>
        <w:overflowPunct/>
        <w:topLinePunct w:val="0"/>
        <w:bidi w:val="0"/>
        <w:spacing w:before="120" w:beforeLines="50" w:line="400" w:lineRule="exact"/>
        <w:ind w:left="141" w:leftChars="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注：（1）按照评委打分表内容逐项填写，报价项无需列入。</w:t>
      </w:r>
    </w:p>
    <w:p>
      <w:pPr>
        <w:pStyle w:val="17"/>
        <w:pageBreakBefore w:val="0"/>
        <w:kinsoku/>
        <w:overflowPunct/>
        <w:topLinePunct w:val="0"/>
        <w:bidi w:val="0"/>
        <w:spacing w:before="120" w:beforeLines="50" w:line="400" w:lineRule="exact"/>
        <w:ind w:left="141" w:leftChars="67" w:firstLine="692" w:firstLineChars="34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（2）自评得分仅针对于客观分部分，主观分部分无需填写。</w:t>
      </w:r>
    </w:p>
    <w:p>
      <w:pPr>
        <w:pageBreakBefore w:val="0"/>
        <w:widowControl/>
        <w:kinsoku/>
        <w:overflowPunct/>
        <w:topLinePunct w:val="0"/>
        <w:bidi w:val="0"/>
        <w:spacing w:line="400" w:lineRule="exact"/>
        <w:jc w:val="left"/>
        <w:rPr>
          <w:rFonts w:hint="eastAsia" w:ascii="宋体" w:hAnsi="宋体" w:eastAsia="宋体" w:cs="宋体"/>
          <w:b/>
          <w:color w:val="auto"/>
          <w:highlight w:val="none"/>
        </w:rPr>
      </w:pPr>
      <w:r>
        <w:rPr>
          <w:rFonts w:hint="eastAsia" w:ascii="宋体" w:hAnsi="宋体" w:eastAsia="宋体" w:cs="宋体"/>
          <w:color w:val="auto"/>
          <w:highlight w:val="none"/>
        </w:rPr>
        <w:br w:type="page"/>
      </w:r>
      <w:bookmarkEnd w:id="283"/>
    </w:p>
    <w:p>
      <w:pPr>
        <w:pageBreakBefore w:val="0"/>
        <w:kinsoku/>
        <w:overflowPunct/>
        <w:topLinePunct w:val="0"/>
        <w:bidi w:val="0"/>
        <w:spacing w:line="400" w:lineRule="exact"/>
        <w:jc w:val="left"/>
        <w:outlineLvl w:val="1"/>
        <w:rPr>
          <w:rFonts w:hint="eastAsia" w:ascii="宋体" w:hAnsi="宋体" w:eastAsia="宋体" w:cs="宋体"/>
          <w:color w:val="auto"/>
          <w:szCs w:val="21"/>
          <w:highlight w:val="none"/>
        </w:rPr>
      </w:pPr>
      <w:bookmarkStart w:id="294" w:name="_Toc26487"/>
      <w:bookmarkStart w:id="295" w:name="_Toc2268"/>
      <w:bookmarkStart w:id="296" w:name="_Toc19451"/>
      <w:r>
        <w:rPr>
          <w:rFonts w:hint="eastAsia" w:ascii="宋体" w:hAnsi="宋体" w:eastAsia="宋体" w:cs="宋体"/>
          <w:b/>
          <w:color w:val="auto"/>
          <w:highlight w:val="none"/>
        </w:rPr>
        <w:t>格式四：</w:t>
      </w:r>
      <w:bookmarkEnd w:id="294"/>
      <w:bookmarkEnd w:id="295"/>
      <w:bookmarkEnd w:id="296"/>
    </w:p>
    <w:p>
      <w:pPr>
        <w:pageBreakBefore w:val="0"/>
        <w:kinsoku/>
        <w:overflowPunct/>
        <w:topLinePunct w:val="0"/>
        <w:bidi w:val="0"/>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法定代表人身份证明</w:t>
      </w:r>
    </w:p>
    <w:p>
      <w:pPr>
        <w:pageBreakBefore w:val="0"/>
        <w:kinsoku/>
        <w:overflowPunct/>
        <w:topLinePunct w:val="0"/>
        <w:bidi w:val="0"/>
        <w:spacing w:line="400" w:lineRule="exact"/>
        <w:jc w:val="center"/>
        <w:rPr>
          <w:rFonts w:hint="eastAsia" w:ascii="宋体" w:hAnsi="宋体" w:eastAsia="宋体" w:cs="宋体"/>
          <w:bCs/>
          <w:color w:val="auto"/>
          <w:sz w:val="24"/>
          <w:highlight w:val="none"/>
        </w:rPr>
      </w:pP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月＿日</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周岁</w:t>
      </w:r>
      <w:r>
        <w:rPr>
          <w:rFonts w:hint="eastAsia" w:ascii="宋体" w:hAnsi="宋体" w:eastAsia="宋体" w:cs="宋体"/>
          <w:color w:val="auto"/>
          <w:szCs w:val="21"/>
          <w:highlight w:val="none"/>
        </w:rPr>
        <w:t xml:space="preserve"> 职务：_</w:t>
      </w:r>
      <w:r>
        <w:rPr>
          <w:rFonts w:hint="eastAsia" w:ascii="宋体" w:hAnsi="宋体" w:eastAsia="宋体" w:cs="宋体"/>
          <w:color w:val="auto"/>
          <w:szCs w:val="21"/>
          <w:highlight w:val="none"/>
          <w:u w:val="single"/>
        </w:rPr>
        <w:t xml:space="preserve">    </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系（供应商名称）的法定代表人。</w:t>
      </w:r>
    </w:p>
    <w:p>
      <w:pPr>
        <w:pageBreakBefore w:val="0"/>
        <w:kinsoku/>
        <w:overflowPunct/>
        <w:topLinePunct w:val="0"/>
        <w:bidi w:val="0"/>
        <w:spacing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p>
    <w:p>
      <w:pPr>
        <w:pageBreakBefore w:val="0"/>
        <w:kinsoku/>
        <w:overflowPunct/>
        <w:topLinePunct w:val="0"/>
        <w:bidi w:val="0"/>
        <w:spacing w:line="400" w:lineRule="exact"/>
        <w:ind w:firstLine="420" w:firstLineChars="200"/>
        <w:rPr>
          <w:rFonts w:hint="eastAsia" w:ascii="宋体" w:hAnsi="宋体" w:eastAsia="宋体" w:cs="宋体"/>
          <w:color w:val="auto"/>
          <w:szCs w:val="21"/>
          <w:highlight w:val="none"/>
        </w:rPr>
      </w:pPr>
    </w:p>
    <w:p>
      <w:pPr>
        <w:pageBreakBefore w:val="0"/>
        <w:kinsoku/>
        <w:wordWrap w:val="0"/>
        <w:overflowPunct/>
        <w:topLinePunct w:val="0"/>
        <w:bidi w:val="0"/>
        <w:spacing w:line="400" w:lineRule="exact"/>
        <w:ind w:right="420" w:firstLine="3045" w:firstLineChars="14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：（盖单位公章）</w:t>
      </w:r>
    </w:p>
    <w:p>
      <w:pPr>
        <w:pageBreakBefore w:val="0"/>
        <w:kinsoku/>
        <w:overflowPunct/>
        <w:topLinePunct w:val="0"/>
        <w:bidi w:val="0"/>
        <w:spacing w:line="400" w:lineRule="exact"/>
        <w:ind w:firstLine="4515" w:firstLineChars="2150"/>
        <w:rPr>
          <w:rFonts w:hint="eastAsia" w:ascii="宋体" w:hAnsi="宋体" w:eastAsia="宋体" w:cs="宋体"/>
          <w:color w:val="auto"/>
          <w:szCs w:val="21"/>
          <w:highlight w:val="none"/>
          <w:u w:val="single"/>
        </w:rPr>
      </w:pPr>
    </w:p>
    <w:p>
      <w:pPr>
        <w:pageBreakBefore w:val="0"/>
        <w:kinsoku/>
        <w:overflowPunct/>
        <w:topLinePunct w:val="0"/>
        <w:bidi w:val="0"/>
        <w:spacing w:line="40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pageBreakBefore w:val="0"/>
        <w:kinsoku/>
        <w:overflowPunct/>
        <w:topLinePunct w:val="0"/>
        <w:bidi w:val="0"/>
        <w:spacing w:line="400" w:lineRule="exact"/>
        <w:ind w:firstLine="3689" w:firstLineChars="1750"/>
        <w:rPr>
          <w:rFonts w:hint="eastAsia" w:ascii="宋体" w:hAnsi="宋体" w:eastAsia="宋体" w:cs="宋体"/>
          <w:b/>
          <w:color w:val="auto"/>
          <w:szCs w:val="21"/>
          <w:highlight w:val="none"/>
        </w:rPr>
      </w:pPr>
    </w:p>
    <w:p>
      <w:pPr>
        <w:pageBreakBefore w:val="0"/>
        <w:kinsoku/>
        <w:overflowPunct/>
        <w:topLinePunct w:val="0"/>
        <w:bidi w:val="0"/>
        <w:spacing w:line="400" w:lineRule="exact"/>
        <w:ind w:firstLine="3689" w:firstLineChars="1750"/>
        <w:rPr>
          <w:rFonts w:hint="eastAsia" w:ascii="宋体" w:hAnsi="宋体" w:eastAsia="宋体" w:cs="宋体"/>
          <w:b/>
          <w:color w:val="auto"/>
          <w:szCs w:val="21"/>
          <w:highlight w:val="none"/>
        </w:rPr>
      </w:pPr>
    </w:p>
    <w:p>
      <w:pPr>
        <w:pageBreakBefore w:val="0"/>
        <w:kinsoku/>
        <w:overflowPunct/>
        <w:topLinePunct w:val="0"/>
        <w:bidi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附法定代表人身份证复印件加盖公章（正反面）：</w:t>
      </w:r>
    </w:p>
    <w:p>
      <w:pPr>
        <w:pageBreakBefore w:val="0"/>
        <w:kinsoku/>
        <w:overflowPunct/>
        <w:topLinePunct w:val="0"/>
        <w:bidi w:val="0"/>
        <w:spacing w:line="400" w:lineRule="exact"/>
        <w:rPr>
          <w:rFonts w:hint="eastAsia" w:ascii="宋体" w:hAnsi="宋体" w:eastAsia="宋体" w:cs="宋体"/>
          <w:color w:val="auto"/>
          <w:highlight w:val="none"/>
        </w:rPr>
      </w:pPr>
    </w:p>
    <w:p>
      <w:pPr>
        <w:pageBreakBefore w:val="0"/>
        <w:kinsoku/>
        <w:overflowPunct/>
        <w:topLinePunct w:val="0"/>
        <w:bidi w:val="0"/>
        <w:spacing w:line="400" w:lineRule="exact"/>
        <w:jc w:val="left"/>
        <w:rPr>
          <w:rFonts w:hint="eastAsia" w:ascii="宋体" w:hAnsi="宋体" w:eastAsia="宋体" w:cs="宋体"/>
          <w:b/>
          <w:color w:val="auto"/>
          <w:sz w:val="32"/>
          <w:szCs w:val="32"/>
          <w:highlight w:val="none"/>
        </w:rPr>
      </w:pPr>
    </w:p>
    <w:p>
      <w:pPr>
        <w:pageBreakBefore w:val="0"/>
        <w:kinsoku/>
        <w:overflowPunct/>
        <w:topLinePunct w:val="0"/>
        <w:bidi w:val="0"/>
        <w:spacing w:line="400" w:lineRule="exact"/>
        <w:jc w:val="left"/>
        <w:outlineLvl w:val="1"/>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bookmarkStart w:id="297" w:name="_Toc27525"/>
      <w:bookmarkStart w:id="298" w:name="_Toc14313"/>
      <w:bookmarkStart w:id="299" w:name="_Toc31513"/>
      <w:r>
        <w:rPr>
          <w:rFonts w:hint="eastAsia" w:ascii="宋体" w:hAnsi="宋体" w:eastAsia="宋体" w:cs="宋体"/>
          <w:b/>
          <w:color w:val="auto"/>
          <w:szCs w:val="21"/>
          <w:highlight w:val="none"/>
        </w:rPr>
        <w:t>格式五：</w:t>
      </w:r>
      <w:bookmarkEnd w:id="297"/>
      <w:bookmarkEnd w:id="298"/>
      <w:bookmarkEnd w:id="299"/>
    </w:p>
    <w:p>
      <w:pPr>
        <w:pageBreakBefore w:val="0"/>
        <w:kinsoku/>
        <w:overflowPunct/>
        <w:topLinePunct w:val="0"/>
        <w:bidi w:val="0"/>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p>
    <w:p>
      <w:pPr>
        <w:pageBreakBefore w:val="0"/>
        <w:kinsoku/>
        <w:overflowPunct/>
        <w:topLinePunct w:val="0"/>
        <w:bidi w:val="0"/>
        <w:spacing w:line="400" w:lineRule="exact"/>
        <w:jc w:val="center"/>
        <w:rPr>
          <w:rFonts w:hint="eastAsia" w:ascii="宋体" w:hAnsi="宋体" w:eastAsia="宋体" w:cs="宋体"/>
          <w:bCs/>
          <w:color w:val="auto"/>
          <w:sz w:val="24"/>
          <w:highlight w:val="none"/>
        </w:rPr>
      </w:pPr>
    </w:p>
    <w:p>
      <w:pPr>
        <w:pageBreakBefore w:val="0"/>
        <w:kinsoku/>
        <w:overflowPunct/>
        <w:topLinePunct w:val="0"/>
        <w:bidi w:val="0"/>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24"/>
          <w:highlight w:val="none"/>
        </w:rPr>
        <w:t>（非法定代表人参与投标用此表）</w:t>
      </w:r>
    </w:p>
    <w:p>
      <w:pPr>
        <w:pageBreakBefore w:val="0"/>
        <w:kinsoku/>
        <w:overflowPunct/>
        <w:topLinePunct w:val="0"/>
        <w:bidi w:val="0"/>
        <w:snapToGrid w:val="0"/>
        <w:spacing w:line="400" w:lineRule="exact"/>
        <w:rPr>
          <w:rFonts w:hint="eastAsia" w:ascii="宋体" w:hAnsi="宋体" w:eastAsia="宋体" w:cs="宋体"/>
          <w:bCs/>
          <w:color w:val="auto"/>
          <w:szCs w:val="21"/>
          <w:highlight w:val="none"/>
        </w:rPr>
      </w:pPr>
    </w:p>
    <w:p>
      <w:pPr>
        <w:pageBreakBefore w:val="0"/>
        <w:kinsoku/>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rPr>
        <w:t>（采购单位名称）：</w:t>
      </w:r>
    </w:p>
    <w:p>
      <w:pPr>
        <w:pageBreakBefore w:val="0"/>
        <w:kinsoku/>
        <w:overflowPunct/>
        <w:topLinePunct w:val="0"/>
        <w:bidi w:val="0"/>
        <w:snapToGrid w:val="0"/>
        <w:spacing w:line="400" w:lineRule="exact"/>
        <w:ind w:firstLine="525" w:firstLineChars="2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我（姓名）系（供应商名称）的法定代表人，现授权委托本单位在职职工（姓名）以我方的名义参加</w:t>
      </w:r>
      <w:r>
        <w:rPr>
          <w:rFonts w:hint="eastAsia" w:ascii="宋体" w:hAnsi="宋体" w:eastAsia="宋体" w:cs="宋体"/>
          <w:color w:val="auto"/>
          <w:szCs w:val="21"/>
          <w:highlight w:val="none"/>
          <w:u w:val="single"/>
        </w:rPr>
        <w:t xml:space="preserve">  项目名称、项目编号  </w:t>
      </w:r>
      <w:r>
        <w:rPr>
          <w:rFonts w:hint="eastAsia" w:ascii="宋体" w:hAnsi="宋体" w:eastAsia="宋体" w:cs="宋体"/>
          <w:color w:val="auto"/>
          <w:szCs w:val="21"/>
          <w:highlight w:val="none"/>
        </w:rPr>
        <w:t>的投标活动，并代表我方全权办理针对上述项目的投标、开标、评标、签约等具体事务和签署相关文件。</w:t>
      </w:r>
    </w:p>
    <w:p>
      <w:pPr>
        <w:pageBreakBefore w:val="0"/>
        <w:kinsoku/>
        <w:overflowPunct/>
        <w:topLinePunct w:val="0"/>
        <w:bidi w:val="0"/>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我方对被授权人的签名事项负全部责任。</w:t>
      </w:r>
    </w:p>
    <w:p>
      <w:pPr>
        <w:pageBreakBefore w:val="0"/>
        <w:kinsoku/>
        <w:overflowPunct/>
        <w:topLinePunct w:val="0"/>
        <w:bidi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在撤销授权的书面通知以前，本授权书一直有效。被授权人在授权书有效期内签署的所有文件不因授权的撤销而失效。</w:t>
      </w:r>
    </w:p>
    <w:p>
      <w:pPr>
        <w:pageBreakBefore w:val="0"/>
        <w:kinsoku/>
        <w:overflowPunct/>
        <w:topLinePunct w:val="0"/>
        <w:bidi w:val="0"/>
        <w:snapToGrid w:val="0"/>
        <w:spacing w:line="40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被授权人无转委托权，特此委托。</w:t>
      </w:r>
    </w:p>
    <w:p>
      <w:pPr>
        <w:pageBreakBefore w:val="0"/>
        <w:kinsoku/>
        <w:overflowPunct/>
        <w:topLinePunct w:val="0"/>
        <w:bidi w:val="0"/>
        <w:snapToGrid w:val="0"/>
        <w:spacing w:line="400" w:lineRule="exact"/>
        <w:rPr>
          <w:rFonts w:hint="eastAsia" w:ascii="宋体" w:hAnsi="宋体" w:eastAsia="宋体" w:cs="宋体"/>
          <w:color w:val="auto"/>
          <w:szCs w:val="21"/>
          <w:highlight w:val="none"/>
        </w:rPr>
      </w:pPr>
    </w:p>
    <w:p>
      <w:pPr>
        <w:pageBreakBefore w:val="0"/>
        <w:kinsoku/>
        <w:overflowPunct/>
        <w:topLinePunct w:val="0"/>
        <w:bidi w:val="0"/>
        <w:snapToGrid w:val="0"/>
        <w:spacing w:line="400" w:lineRule="exact"/>
        <w:rPr>
          <w:rFonts w:hint="eastAsia" w:ascii="宋体" w:hAnsi="宋体" w:eastAsia="宋体" w:cs="宋体"/>
          <w:color w:val="auto"/>
          <w:szCs w:val="21"/>
          <w:highlight w:val="none"/>
        </w:rPr>
      </w:pPr>
    </w:p>
    <w:p>
      <w:pPr>
        <w:pageBreakBefore w:val="0"/>
        <w:kinsoku/>
        <w:overflowPunct/>
        <w:topLinePunct w:val="0"/>
        <w:bidi w:val="0"/>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被授权人签名：                         法定代表人签名或盖章：</w:t>
      </w:r>
    </w:p>
    <w:p>
      <w:pPr>
        <w:pageBreakBefore w:val="0"/>
        <w:kinsoku/>
        <w:overflowPunct/>
        <w:topLinePunct w:val="0"/>
        <w:bidi w:val="0"/>
        <w:snapToGrid w:val="0"/>
        <w:spacing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                                         职务：</w:t>
      </w:r>
    </w:p>
    <w:p>
      <w:pPr>
        <w:pageBreakBefore w:val="0"/>
        <w:kinsoku/>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被授权人身份证号码：</w:t>
      </w:r>
    </w:p>
    <w:p>
      <w:pPr>
        <w:pageBreakBefore w:val="0"/>
        <w:kinsoku/>
        <w:overflowPunct/>
        <w:topLinePunct w:val="0"/>
        <w:bidi w:val="0"/>
        <w:snapToGrid w:val="0"/>
        <w:spacing w:line="400" w:lineRule="exact"/>
        <w:ind w:firstLine="4830" w:firstLineChars="2300"/>
        <w:rPr>
          <w:rFonts w:hint="eastAsia" w:ascii="宋体" w:hAnsi="宋体" w:eastAsia="宋体" w:cs="宋体"/>
          <w:color w:val="auto"/>
          <w:szCs w:val="21"/>
          <w:highlight w:val="none"/>
        </w:rPr>
      </w:pPr>
    </w:p>
    <w:p>
      <w:pPr>
        <w:pageBreakBefore w:val="0"/>
        <w:kinsoku/>
        <w:overflowPunct/>
        <w:topLinePunct w:val="0"/>
        <w:bidi w:val="0"/>
        <w:snapToGrid w:val="0"/>
        <w:spacing w:line="400" w:lineRule="exact"/>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公章：</w:t>
      </w:r>
    </w:p>
    <w:p>
      <w:pPr>
        <w:pageBreakBefore w:val="0"/>
        <w:kinsoku/>
        <w:overflowPunct/>
        <w:topLinePunct w:val="0"/>
        <w:bidi w:val="0"/>
        <w:snapToGrid w:val="0"/>
        <w:spacing w:line="400" w:lineRule="exact"/>
        <w:ind w:firstLine="4830" w:firstLineChars="2300"/>
        <w:rPr>
          <w:rFonts w:hint="eastAsia" w:ascii="宋体" w:hAnsi="宋体" w:eastAsia="宋体" w:cs="宋体"/>
          <w:color w:val="auto"/>
          <w:szCs w:val="21"/>
          <w:highlight w:val="none"/>
        </w:rPr>
      </w:pPr>
    </w:p>
    <w:p>
      <w:pPr>
        <w:pageBreakBefore w:val="0"/>
        <w:kinsoku/>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pStyle w:val="76"/>
        <w:pageBreakBefore w:val="0"/>
        <w:kinsoku/>
        <w:overflowPunct/>
        <w:topLinePunct w:val="0"/>
        <w:bidi w:val="0"/>
        <w:spacing w:line="400" w:lineRule="exact"/>
        <w:rPr>
          <w:rFonts w:hint="eastAsia" w:ascii="宋体" w:hAnsi="宋体" w:eastAsia="宋体" w:cs="宋体"/>
          <w:color w:val="auto"/>
          <w:szCs w:val="21"/>
          <w:highlight w:val="none"/>
        </w:rPr>
      </w:pPr>
    </w:p>
    <w:p>
      <w:pPr>
        <w:pStyle w:val="76"/>
        <w:pageBreakBefore w:val="0"/>
        <w:kinsoku/>
        <w:overflowPunct/>
        <w:topLinePunct w:val="0"/>
        <w:bidi w:val="0"/>
        <w:spacing w:line="400" w:lineRule="exact"/>
        <w:rPr>
          <w:rFonts w:hint="eastAsia" w:ascii="宋体" w:hAnsi="宋体" w:eastAsia="宋体" w:cs="宋体"/>
          <w:color w:val="auto"/>
          <w:szCs w:val="21"/>
          <w:highlight w:val="none"/>
        </w:rPr>
      </w:pPr>
    </w:p>
    <w:p>
      <w:pPr>
        <w:pageBreakBefore w:val="0"/>
        <w:kinsoku/>
        <w:overflowPunct/>
        <w:topLinePunct w:val="0"/>
        <w:bidi w:val="0"/>
        <w:spacing w:line="400" w:lineRule="exact"/>
        <w:ind w:firstLine="103" w:firstLineChars="4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附：法定代表人、被授权人身份证复印件加盖公章（正反面）</w:t>
      </w:r>
    </w:p>
    <w:p>
      <w:pPr>
        <w:pageBreakBefore w:val="0"/>
        <w:widowControl/>
        <w:kinsoku/>
        <w:overflowPunct/>
        <w:topLinePunct w:val="0"/>
        <w:bidi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pageBreakBefore w:val="0"/>
        <w:kinsoku/>
        <w:overflowPunct/>
        <w:topLinePunct w:val="0"/>
        <w:bidi w:val="0"/>
        <w:spacing w:line="400" w:lineRule="exact"/>
        <w:outlineLvl w:val="1"/>
        <w:rPr>
          <w:rFonts w:hint="eastAsia" w:ascii="宋体" w:hAnsi="宋体" w:eastAsia="宋体" w:cs="宋体"/>
          <w:color w:val="auto"/>
          <w:highlight w:val="none"/>
        </w:rPr>
      </w:pPr>
      <w:bookmarkStart w:id="300" w:name="_Toc5007"/>
      <w:bookmarkStart w:id="301" w:name="_Toc8242"/>
      <w:bookmarkStart w:id="302" w:name="_Toc22094"/>
      <w:r>
        <w:rPr>
          <w:rFonts w:hint="eastAsia" w:ascii="宋体" w:hAnsi="宋体" w:eastAsia="宋体" w:cs="宋体"/>
          <w:b/>
          <w:color w:val="auto"/>
          <w:szCs w:val="21"/>
          <w:highlight w:val="none"/>
        </w:rPr>
        <w:t>格式六：</w:t>
      </w:r>
      <w:bookmarkEnd w:id="300"/>
      <w:bookmarkEnd w:id="301"/>
      <w:bookmarkEnd w:id="302"/>
    </w:p>
    <w:p>
      <w:pPr>
        <w:pageBreakBefore w:val="0"/>
        <w:kinsoku/>
        <w:overflowPunct/>
        <w:topLinePunct w:val="0"/>
        <w:bidi w:val="0"/>
        <w:spacing w:line="400" w:lineRule="exact"/>
        <w:jc w:val="center"/>
        <w:rPr>
          <w:rFonts w:hint="eastAsia" w:ascii="宋体" w:hAnsi="宋体" w:eastAsia="宋体" w:cs="宋体"/>
          <w:b/>
          <w:color w:val="auto"/>
          <w:sz w:val="32"/>
          <w:szCs w:val="32"/>
          <w:highlight w:val="none"/>
        </w:rPr>
      </w:pPr>
      <w:bookmarkStart w:id="303" w:name="_Toc488936100"/>
      <w:bookmarkStart w:id="304" w:name="_Toc479927873"/>
      <w:bookmarkStart w:id="305" w:name="_Toc483379796"/>
      <w:bookmarkStart w:id="306" w:name="_Toc225223761"/>
      <w:bookmarkStart w:id="307" w:name="_Toc110393361"/>
      <w:bookmarkStart w:id="308" w:name="_Toc14746861"/>
      <w:r>
        <w:rPr>
          <w:rFonts w:hint="eastAsia" w:ascii="宋体" w:hAnsi="宋体" w:eastAsia="宋体" w:cs="宋体"/>
          <w:b/>
          <w:color w:val="auto"/>
          <w:sz w:val="32"/>
          <w:szCs w:val="32"/>
          <w:highlight w:val="none"/>
        </w:rPr>
        <w:t>投标人基本情况说明</w:t>
      </w:r>
      <w:bookmarkEnd w:id="303"/>
      <w:bookmarkEnd w:id="304"/>
      <w:bookmarkEnd w:id="305"/>
      <w:bookmarkEnd w:id="306"/>
      <w:bookmarkEnd w:id="307"/>
      <w:bookmarkEnd w:id="308"/>
    </w:p>
    <w:p>
      <w:pPr>
        <w:pStyle w:val="2"/>
        <w:rPr>
          <w:rFonts w:hint="eastAsia" w:ascii="宋体" w:hAnsi="宋体" w:eastAsia="宋体" w:cs="宋体"/>
          <w:color w:val="auto"/>
          <w:highlight w:val="none"/>
        </w:rPr>
      </w:pPr>
    </w:p>
    <w:tbl>
      <w:tblPr>
        <w:tblStyle w:val="40"/>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tc>
        <w:tc>
          <w:tcPr>
            <w:tcW w:w="3675" w:type="dxa"/>
            <w:gridSpan w:val="3"/>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85"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w:t>
            </w:r>
          </w:p>
        </w:tc>
        <w:tc>
          <w:tcPr>
            <w:tcW w:w="2234"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675" w:type="dxa"/>
            <w:gridSpan w:val="3"/>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85"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注册登记号</w:t>
            </w:r>
          </w:p>
        </w:tc>
        <w:tc>
          <w:tcPr>
            <w:tcW w:w="2234"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经营地址</w:t>
            </w:r>
          </w:p>
        </w:tc>
        <w:tc>
          <w:tcPr>
            <w:tcW w:w="3675" w:type="dxa"/>
            <w:gridSpan w:val="3"/>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85" w:type="dxa"/>
            <w:vAlign w:val="center"/>
          </w:tcPr>
          <w:p>
            <w:pPr>
              <w:pageBreakBefore w:val="0"/>
              <w:kinsoku/>
              <w:overflowPunct/>
              <w:topLinePunct w:val="0"/>
              <w:bidi w:val="0"/>
              <w:spacing w:line="400" w:lineRule="exact"/>
              <w:jc w:val="center"/>
              <w:rPr>
                <w:rFonts w:hint="eastAsia" w:ascii="宋体" w:hAnsi="宋体" w:eastAsia="宋体" w:cs="宋体"/>
                <w:color w:val="auto"/>
                <w:spacing w:val="30"/>
                <w:szCs w:val="21"/>
                <w:highlight w:val="none"/>
              </w:rPr>
            </w:pPr>
            <w:r>
              <w:rPr>
                <w:rFonts w:hint="eastAsia" w:ascii="宋体" w:hAnsi="宋体" w:eastAsia="宋体" w:cs="宋体"/>
                <w:color w:val="auto"/>
                <w:szCs w:val="21"/>
                <w:highlight w:val="none"/>
              </w:rPr>
              <w:t>税务登记证号</w:t>
            </w:r>
          </w:p>
        </w:tc>
        <w:tc>
          <w:tcPr>
            <w:tcW w:w="2234"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p>
        </w:tc>
        <w:tc>
          <w:tcPr>
            <w:tcW w:w="3675" w:type="dxa"/>
            <w:gridSpan w:val="3"/>
            <w:vAlign w:val="center"/>
          </w:tcPr>
          <w:p>
            <w:pPr>
              <w:pStyle w:val="185"/>
              <w:pageBreakBefore w:val="0"/>
              <w:widowControl w:val="0"/>
              <w:kinsoku/>
              <w:overflowPunct/>
              <w:topLinePunct w:val="0"/>
              <w:bidi w:val="0"/>
              <w:spacing w:before="0" w:beforeAutospacing="0" w:after="0" w:afterAutospacing="0" w:line="400" w:lineRule="exact"/>
              <w:ind w:left="1320" w:firstLine="420"/>
              <w:rPr>
                <w:rFonts w:hint="eastAsia" w:ascii="宋体" w:hAnsi="宋体" w:eastAsia="宋体" w:cs="宋体"/>
                <w:color w:val="auto"/>
                <w:kern w:val="2"/>
                <w:sz w:val="21"/>
                <w:szCs w:val="21"/>
                <w:highlight w:val="none"/>
              </w:rPr>
            </w:pPr>
          </w:p>
        </w:tc>
        <w:tc>
          <w:tcPr>
            <w:tcW w:w="1785" w:type="dxa"/>
            <w:vAlign w:val="center"/>
          </w:tcPr>
          <w:p>
            <w:pPr>
              <w:pageBreakBefore w:val="0"/>
              <w:kinsoku/>
              <w:overflowPunct/>
              <w:topLinePunct w:val="0"/>
              <w:bidi w:val="0"/>
              <w:spacing w:line="400" w:lineRule="exact"/>
              <w:jc w:val="center"/>
              <w:rPr>
                <w:rFonts w:hint="eastAsia" w:ascii="宋体" w:hAnsi="宋体" w:eastAsia="宋体" w:cs="宋体"/>
                <w:color w:val="auto"/>
                <w:spacing w:val="34"/>
                <w:szCs w:val="21"/>
                <w:highlight w:val="none"/>
              </w:rPr>
            </w:pPr>
            <w:r>
              <w:rPr>
                <w:rFonts w:hint="eastAsia" w:ascii="宋体" w:hAnsi="宋体" w:eastAsia="宋体" w:cs="宋体"/>
                <w:color w:val="auto"/>
                <w:spacing w:val="34"/>
                <w:szCs w:val="21"/>
                <w:highlight w:val="none"/>
              </w:rPr>
              <w:t>注册资本</w:t>
            </w:r>
          </w:p>
        </w:tc>
        <w:tc>
          <w:tcPr>
            <w:tcW w:w="2234"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3675" w:type="dxa"/>
            <w:gridSpan w:val="3"/>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85"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营业期限</w:t>
            </w:r>
          </w:p>
        </w:tc>
        <w:tc>
          <w:tcPr>
            <w:tcW w:w="2234"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  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资质情况</w:t>
            </w:r>
          </w:p>
        </w:tc>
        <w:tc>
          <w:tcPr>
            <w:tcW w:w="7694" w:type="dxa"/>
            <w:gridSpan w:val="5"/>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员工数量</w:t>
            </w:r>
          </w:p>
        </w:tc>
        <w:tc>
          <w:tcPr>
            <w:tcW w:w="7694" w:type="dxa"/>
            <w:gridSpan w:val="5"/>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人，其中，高级职称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人，中级职称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3675" w:type="dxa"/>
            <w:gridSpan w:val="3"/>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85"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2234"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70"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主要业绩</w:t>
            </w:r>
          </w:p>
        </w:tc>
        <w:tc>
          <w:tcPr>
            <w:tcW w:w="7694" w:type="dxa"/>
            <w:gridSpan w:val="5"/>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p>
            <w:pPr>
              <w:pageBreakBefore w:val="0"/>
              <w:kinsoku/>
              <w:overflowPunct/>
              <w:topLinePunct w:val="0"/>
              <w:bidi w:val="0"/>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4" w:type="dxa"/>
            <w:gridSpan w:val="6"/>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3675" w:type="dxa"/>
            <w:gridSpan w:val="3"/>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85"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2234"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680"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050"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945"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85"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2234" w:type="dxa"/>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64" w:type="dxa"/>
            <w:gridSpan w:val="6"/>
          </w:tcPr>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bl>
    <w:p>
      <w:pPr>
        <w:pageBreakBefore w:val="0"/>
        <w:kinsoku/>
        <w:overflowPunct/>
        <w:topLinePunct w:val="0"/>
        <w:bidi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兹证明上述声明是真实、正确的，并提供了全部能提供的资料和数据，我们同意遵照贵方要求出示有关证明文件。</w:t>
      </w:r>
    </w:p>
    <w:p>
      <w:pPr>
        <w:pageBreakBefore w:val="0"/>
        <w:kinsoku/>
        <w:overflowPunct/>
        <w:topLinePunct w:val="0"/>
        <w:bidi w:val="0"/>
        <w:spacing w:line="400" w:lineRule="exact"/>
        <w:rPr>
          <w:rFonts w:hint="eastAsia" w:ascii="宋体" w:hAnsi="宋体" w:eastAsia="宋体" w:cs="宋体"/>
          <w:b/>
          <w:color w:val="auto"/>
          <w:highlight w:val="none"/>
        </w:rPr>
      </w:pPr>
    </w:p>
    <w:p>
      <w:pPr>
        <w:pageBreakBefore w:val="0"/>
        <w:kinsoku/>
        <w:overflowPunct/>
        <w:topLinePunct w:val="0"/>
        <w:bidi w:val="0"/>
        <w:spacing w:line="400" w:lineRule="exact"/>
        <w:rPr>
          <w:rFonts w:hint="eastAsia" w:ascii="宋体" w:hAnsi="宋体" w:eastAsia="宋体" w:cs="宋体"/>
          <w:b/>
          <w:color w:val="auto"/>
          <w:highlight w:val="none"/>
        </w:rPr>
      </w:pPr>
    </w:p>
    <w:p>
      <w:pPr>
        <w:pageBreakBefore w:val="0"/>
        <w:kinsoku/>
        <w:overflowPunct/>
        <w:topLinePunct w:val="0"/>
        <w:bidi w:val="0"/>
        <w:spacing w:line="400" w:lineRule="exact"/>
        <w:rPr>
          <w:rFonts w:hint="eastAsia" w:ascii="宋体" w:hAnsi="宋体" w:eastAsia="宋体" w:cs="宋体"/>
          <w:color w:val="auto"/>
          <w:highlight w:val="none"/>
        </w:rPr>
      </w:pPr>
    </w:p>
    <w:p>
      <w:pPr>
        <w:pageBreakBefore w:val="0"/>
        <w:widowControl/>
        <w:kinsoku/>
        <w:overflowPunct/>
        <w:topLinePunct w:val="0"/>
        <w:bidi w:val="0"/>
        <w:spacing w:line="400" w:lineRule="exact"/>
        <w:ind w:firstLine="4200" w:firstLineChars="20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pPr>
        <w:pStyle w:val="17"/>
        <w:pageBreakBefore w:val="0"/>
        <w:widowControl/>
        <w:kinsoku/>
        <w:overflowPunct/>
        <w:topLinePunct w:val="0"/>
        <w:bidi w:val="0"/>
        <w:spacing w:line="400" w:lineRule="exact"/>
        <w:ind w:firstLine="4288" w:firstLineChars="2042"/>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日   期：</w:t>
      </w:r>
    </w:p>
    <w:p>
      <w:pPr>
        <w:pageBreakBefore w:val="0"/>
        <w:kinsoku/>
        <w:overflowPunct/>
        <w:topLinePunct w:val="0"/>
        <w:bidi w:val="0"/>
        <w:spacing w:line="400" w:lineRule="exact"/>
        <w:rPr>
          <w:rFonts w:hint="eastAsia" w:ascii="宋体" w:hAnsi="宋体" w:eastAsia="宋体" w:cs="宋体"/>
          <w:color w:val="auto"/>
          <w:highlight w:val="none"/>
        </w:rPr>
      </w:pPr>
    </w:p>
    <w:p>
      <w:pPr>
        <w:pageBreakBefore w:val="0"/>
        <w:kinsoku/>
        <w:overflowPunct/>
        <w:topLinePunct w:val="0"/>
        <w:bidi w:val="0"/>
        <w:spacing w:line="400" w:lineRule="exact"/>
        <w:ind w:firstLine="103" w:firstLineChars="49"/>
        <w:rPr>
          <w:rFonts w:hint="eastAsia" w:ascii="宋体" w:hAnsi="宋体" w:eastAsia="宋体" w:cs="宋体"/>
          <w:b/>
          <w:color w:val="auto"/>
          <w:szCs w:val="21"/>
          <w:highlight w:val="none"/>
        </w:rPr>
      </w:pPr>
    </w:p>
    <w:p>
      <w:pPr>
        <w:pageBreakBefore w:val="0"/>
        <w:kinsoku/>
        <w:overflowPunct/>
        <w:topLinePunct w:val="0"/>
        <w:bidi w:val="0"/>
        <w:snapToGrid w:val="0"/>
        <w:spacing w:line="400" w:lineRule="exact"/>
        <w:rPr>
          <w:rFonts w:hint="eastAsia" w:ascii="宋体" w:hAnsi="宋体" w:eastAsia="宋体" w:cs="宋体"/>
          <w:color w:val="auto"/>
          <w:szCs w:val="21"/>
          <w:highlight w:val="none"/>
        </w:rPr>
      </w:pPr>
    </w:p>
    <w:p>
      <w:pPr>
        <w:pageBreakBefore w:val="0"/>
        <w:kinsoku/>
        <w:overflowPunct/>
        <w:topLinePunct w:val="0"/>
        <w:bidi w:val="0"/>
        <w:spacing w:line="400" w:lineRule="exact"/>
        <w:rPr>
          <w:rFonts w:hint="eastAsia" w:ascii="宋体" w:hAnsi="宋体" w:eastAsia="宋体" w:cs="宋体"/>
          <w:color w:val="auto"/>
          <w:sz w:val="24"/>
          <w:szCs w:val="21"/>
          <w:highlight w:val="none"/>
        </w:rPr>
        <w:sectPr>
          <w:headerReference r:id="rId11" w:type="default"/>
          <w:footerReference r:id="rId12" w:type="default"/>
          <w:pgSz w:w="11907" w:h="16840"/>
          <w:pgMar w:top="1276" w:right="1474" w:bottom="567" w:left="1474" w:header="720" w:footer="720" w:gutter="0"/>
          <w:pgNumType w:fmt="decimal"/>
          <w:cols w:space="720" w:num="1"/>
          <w:docGrid w:linePitch="285" w:charSpace="0"/>
        </w:sectPr>
      </w:pPr>
    </w:p>
    <w:p>
      <w:pPr>
        <w:pStyle w:val="17"/>
        <w:pageBreakBefore w:val="0"/>
        <w:kinsoku/>
        <w:overflowPunct/>
        <w:topLinePunct w:val="0"/>
        <w:bidi w:val="0"/>
        <w:spacing w:line="400" w:lineRule="exact"/>
        <w:ind w:left="0" w:leftChars="0" w:firstLine="0" w:firstLineChars="0"/>
        <w:jc w:val="left"/>
        <w:outlineLvl w:val="1"/>
        <w:rPr>
          <w:rFonts w:hint="eastAsia" w:ascii="宋体" w:hAnsi="宋体" w:eastAsia="宋体" w:cs="宋体"/>
          <w:b/>
          <w:color w:val="auto"/>
          <w:sz w:val="21"/>
          <w:szCs w:val="21"/>
          <w:highlight w:val="none"/>
        </w:rPr>
      </w:pPr>
      <w:bookmarkStart w:id="309" w:name="_Toc5979"/>
      <w:bookmarkStart w:id="310" w:name="_Toc7051"/>
      <w:bookmarkStart w:id="311" w:name="_Toc4362"/>
      <w:r>
        <w:rPr>
          <w:rFonts w:hint="eastAsia" w:ascii="宋体" w:hAnsi="宋体" w:eastAsia="宋体" w:cs="宋体"/>
          <w:b/>
          <w:color w:val="auto"/>
          <w:sz w:val="21"/>
          <w:szCs w:val="21"/>
          <w:highlight w:val="none"/>
        </w:rPr>
        <w:t>格式七：</w:t>
      </w:r>
      <w:bookmarkEnd w:id="309"/>
      <w:bookmarkEnd w:id="310"/>
      <w:bookmarkEnd w:id="311"/>
    </w:p>
    <w:p>
      <w:pPr>
        <w:pageBreakBefore w:val="0"/>
        <w:kinsoku/>
        <w:overflowPunct/>
        <w:topLinePunct w:val="0"/>
        <w:bidi w:val="0"/>
        <w:spacing w:before="120" w:after="120" w:line="400" w:lineRule="exact"/>
        <w:jc w:val="center"/>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类似项目业绩表</w:t>
      </w:r>
    </w:p>
    <w:p>
      <w:pPr>
        <w:pageBreakBefore w:val="0"/>
        <w:kinsoku/>
        <w:overflowPunct/>
        <w:topLinePunct w:val="0"/>
        <w:bidi w:val="0"/>
        <w:spacing w:line="400" w:lineRule="exact"/>
        <w:rPr>
          <w:rFonts w:hint="eastAsia" w:ascii="宋体" w:hAnsi="宋体" w:eastAsia="宋体" w:cs="宋体"/>
          <w:color w:val="auto"/>
          <w:sz w:val="28"/>
          <w:highlight w:val="none"/>
        </w:rPr>
      </w:pPr>
    </w:p>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40"/>
        <w:tblW w:w="9131" w:type="dxa"/>
        <w:tblInd w:w="-29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6"/>
        <w:gridCol w:w="1932"/>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716" w:type="dxa"/>
            <w:tcBorders>
              <w:top w:val="single" w:color="auto" w:sz="4" w:space="0"/>
              <w:bottom w:val="single" w:color="auto" w:sz="4" w:space="0"/>
            </w:tcBorders>
            <w:tcMar>
              <w:left w:w="0" w:type="dxa"/>
              <w:right w:w="0" w:type="dxa"/>
            </w:tcMar>
            <w:vAlign w:val="center"/>
          </w:tcPr>
          <w:p>
            <w:pPr>
              <w:pageBreakBefore w:val="0"/>
              <w:kinsoku/>
              <w:overflowPunct/>
              <w:topLinePunct w:val="0"/>
              <w:bidi w:val="0"/>
              <w:spacing w:line="400" w:lineRule="exact"/>
              <w:ind w:left="-115" w:right="-10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32" w:type="dxa"/>
            <w:tcBorders>
              <w:top w:val="single" w:color="auto" w:sz="4" w:space="0"/>
              <w:bottom w:val="single" w:color="auto" w:sz="4" w:space="0"/>
            </w:tcBorders>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2028" w:type="dxa"/>
            <w:tcBorders>
              <w:top w:val="single" w:color="auto" w:sz="4" w:space="0"/>
              <w:bottom w:val="single" w:color="auto" w:sz="4" w:space="0"/>
            </w:tcBorders>
            <w:tcMar>
              <w:left w:w="0" w:type="dxa"/>
              <w:right w:w="0" w:type="dxa"/>
            </w:tcMar>
            <w:vAlign w:val="center"/>
          </w:tcPr>
          <w:p>
            <w:pPr>
              <w:pageBreakBefore w:val="0"/>
              <w:kinsoku/>
              <w:overflowPunct/>
              <w:topLinePunct w:val="0"/>
              <w:bidi w:val="0"/>
              <w:spacing w:line="400" w:lineRule="exact"/>
              <w:ind w:left="-115" w:right="-10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用户名称</w:t>
            </w:r>
          </w:p>
        </w:tc>
        <w:tc>
          <w:tcPr>
            <w:tcW w:w="1143" w:type="dxa"/>
            <w:tcBorders>
              <w:top w:val="single" w:color="auto" w:sz="4" w:space="0"/>
              <w:bottom w:val="single" w:color="auto" w:sz="4" w:space="0"/>
            </w:tcBorders>
            <w:tcMar>
              <w:left w:w="0" w:type="dxa"/>
              <w:right w:w="0" w:type="dxa"/>
            </w:tcMar>
            <w:vAlign w:val="center"/>
          </w:tcPr>
          <w:p>
            <w:pPr>
              <w:pageBreakBefore w:val="0"/>
              <w:kinsoku/>
              <w:overflowPunct/>
              <w:topLinePunct w:val="0"/>
              <w:bidi w:val="0"/>
              <w:spacing w:line="400" w:lineRule="exact"/>
              <w:ind w:left="-115" w:right="-10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tc>
        <w:tc>
          <w:tcPr>
            <w:tcW w:w="1260" w:type="dxa"/>
            <w:tcBorders>
              <w:top w:val="single" w:color="auto" w:sz="4" w:space="0"/>
              <w:bottom w:val="single" w:color="auto" w:sz="4" w:space="0"/>
            </w:tcBorders>
            <w:tcMar>
              <w:left w:w="0" w:type="dxa"/>
              <w:right w:w="0" w:type="dxa"/>
            </w:tcMar>
            <w:vAlign w:val="center"/>
          </w:tcPr>
          <w:p>
            <w:pPr>
              <w:pageBreakBefore w:val="0"/>
              <w:kinsoku/>
              <w:overflowPunct/>
              <w:topLinePunct w:val="0"/>
              <w:bidi w:val="0"/>
              <w:spacing w:line="400" w:lineRule="exact"/>
              <w:ind w:left="-115" w:right="-10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合同签订时间</w:t>
            </w:r>
          </w:p>
        </w:tc>
        <w:tc>
          <w:tcPr>
            <w:tcW w:w="2052" w:type="dxa"/>
            <w:tcBorders>
              <w:top w:val="single" w:color="auto" w:sz="4" w:space="0"/>
              <w:bottom w:val="single" w:color="auto" w:sz="4" w:space="0"/>
            </w:tcBorders>
            <w:tcMar>
              <w:left w:w="0" w:type="dxa"/>
              <w:right w:w="0" w:type="dxa"/>
            </w:tcMar>
            <w:vAlign w:val="center"/>
          </w:tcPr>
          <w:p>
            <w:pPr>
              <w:pageBreakBefore w:val="0"/>
              <w:kinsoku/>
              <w:overflowPunct/>
              <w:topLinePunct w:val="0"/>
              <w:bidi w:val="0"/>
              <w:spacing w:line="400" w:lineRule="exact"/>
              <w:ind w:left="-115" w:right="-10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Borders>
              <w:top w:val="single" w:color="auto" w:sz="4" w:space="0"/>
            </w:tcBorders>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932" w:type="dxa"/>
            <w:tcBorders>
              <w:top w:val="single" w:color="auto" w:sz="4" w:space="0"/>
            </w:tcBorders>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28" w:type="dxa"/>
            <w:tcBorders>
              <w:top w:val="single" w:color="auto" w:sz="4" w:space="0"/>
            </w:tcBorders>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143" w:type="dxa"/>
            <w:tcBorders>
              <w:top w:val="single" w:color="auto" w:sz="4" w:space="0"/>
            </w:tcBorders>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260" w:type="dxa"/>
            <w:tcBorders>
              <w:top w:val="single" w:color="auto" w:sz="4" w:space="0"/>
            </w:tcBorders>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52" w:type="dxa"/>
            <w:tcBorders>
              <w:top w:val="single" w:color="auto" w:sz="4" w:space="0"/>
            </w:tcBorders>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93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28"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143"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260"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5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93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28"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143"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260"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5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93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28"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143"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260"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5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93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28"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143"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260"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5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93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28"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143"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260"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5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93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28"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143"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260"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5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93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28"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143"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260"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5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93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28"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143"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260"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5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93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28"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143"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260"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5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93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28"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143"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260"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2052" w:type="dxa"/>
            <w:tcMar>
              <w:left w:w="0" w:type="dxa"/>
              <w:right w:w="0" w:type="dxa"/>
            </w:tcMar>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bl>
    <w:p>
      <w:pPr>
        <w:pageBreakBefore w:val="0"/>
        <w:kinsoku/>
        <w:overflowPunct/>
        <w:topLinePunct w:val="0"/>
        <w:bidi w:val="0"/>
        <w:spacing w:line="400" w:lineRule="exact"/>
        <w:rPr>
          <w:rFonts w:hint="eastAsia" w:ascii="宋体" w:hAnsi="宋体" w:eastAsia="宋体" w:cs="宋体"/>
          <w:color w:val="auto"/>
          <w:sz w:val="24"/>
          <w:highlight w:val="none"/>
        </w:rPr>
      </w:pPr>
    </w:p>
    <w:p>
      <w:pPr>
        <w:pageBreakBefore w:val="0"/>
        <w:kinsoku/>
        <w:overflowPunct/>
        <w:topLinePunct w:val="0"/>
        <w:bidi w:val="0"/>
        <w:spacing w:line="400" w:lineRule="exact"/>
        <w:rPr>
          <w:rFonts w:hint="eastAsia" w:ascii="宋体" w:hAnsi="宋体" w:eastAsia="宋体" w:cs="宋体"/>
          <w:color w:val="auto"/>
          <w:sz w:val="24"/>
          <w:highlight w:val="none"/>
        </w:rPr>
      </w:pPr>
    </w:p>
    <w:p>
      <w:pPr>
        <w:pageBreakBefore w:val="0"/>
        <w:widowControl/>
        <w:kinsoku/>
        <w:overflowPunct/>
        <w:topLinePunct w:val="0"/>
        <w:bidi w:val="0"/>
        <w:spacing w:line="400" w:lineRule="exact"/>
        <w:ind w:firstLine="5250" w:firstLineChars="25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人（盖章）：</w:t>
      </w:r>
    </w:p>
    <w:p>
      <w:pPr>
        <w:pageBreakBefore w:val="0"/>
        <w:kinsoku/>
        <w:overflowPunct/>
        <w:topLinePunct w:val="0"/>
        <w:bidi w:val="0"/>
        <w:snapToGrid w:val="0"/>
        <w:spacing w:before="120" w:beforeLines="50" w:after="120" w:afterLines="50" w:line="400" w:lineRule="exact"/>
        <w:ind w:firstLine="5250" w:firstLineChars="25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pStyle w:val="38"/>
        <w:pageBreakBefore w:val="0"/>
        <w:kinsoku/>
        <w:overflowPunct/>
        <w:topLinePunct w:val="0"/>
        <w:bidi w:val="0"/>
        <w:spacing w:line="400" w:lineRule="exact"/>
        <w:ind w:firstLine="404"/>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kinsoku/>
        <w:overflowPunct/>
        <w:topLinePunct w:val="0"/>
        <w:bidi w:val="0"/>
        <w:spacing w:line="400" w:lineRule="exact"/>
        <w:outlineLvl w:val="1"/>
        <w:rPr>
          <w:rFonts w:hint="eastAsia" w:ascii="宋体" w:hAnsi="宋体" w:eastAsia="宋体" w:cs="宋体"/>
          <w:b/>
          <w:color w:val="auto"/>
          <w:sz w:val="24"/>
          <w:szCs w:val="21"/>
          <w:highlight w:val="none"/>
        </w:rPr>
      </w:pPr>
      <w:bookmarkStart w:id="312" w:name="_Toc460857952"/>
      <w:bookmarkStart w:id="313" w:name="_Toc9104"/>
      <w:bookmarkStart w:id="314" w:name="_Toc16688"/>
      <w:bookmarkStart w:id="315" w:name="_Toc25323"/>
      <w:r>
        <w:rPr>
          <w:rFonts w:hint="eastAsia" w:ascii="宋体" w:hAnsi="宋体" w:eastAsia="宋体" w:cs="宋体"/>
          <w:b/>
          <w:color w:val="auto"/>
          <w:highlight w:val="none"/>
        </w:rPr>
        <w:t>格式</w:t>
      </w:r>
      <w:bookmarkEnd w:id="312"/>
      <w:r>
        <w:rPr>
          <w:rFonts w:hint="eastAsia" w:ascii="宋体" w:hAnsi="宋体" w:eastAsia="宋体" w:cs="宋体"/>
          <w:b/>
          <w:color w:val="auto"/>
          <w:highlight w:val="none"/>
        </w:rPr>
        <w:t>八：</w:t>
      </w:r>
      <w:bookmarkEnd w:id="313"/>
      <w:bookmarkEnd w:id="314"/>
      <w:bookmarkEnd w:id="315"/>
    </w:p>
    <w:p>
      <w:pPr>
        <w:pageBreakBefore w:val="0"/>
        <w:kinsoku/>
        <w:overflowPunct/>
        <w:topLinePunct w:val="0"/>
        <w:bidi w:val="0"/>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商务条款偏离表</w:t>
      </w:r>
    </w:p>
    <w:p>
      <w:pPr>
        <w:pageBreakBefore w:val="0"/>
        <w:kinsoku/>
        <w:overflowPunct/>
        <w:topLinePunct w:val="0"/>
        <w:bidi w:val="0"/>
        <w:spacing w:line="400" w:lineRule="exact"/>
        <w:ind w:firstLine="3089"/>
        <w:rPr>
          <w:rFonts w:hint="eastAsia" w:ascii="宋体" w:hAnsi="宋体" w:eastAsia="宋体" w:cs="宋体"/>
          <w:b/>
          <w:color w:val="auto"/>
          <w:sz w:val="24"/>
          <w:szCs w:val="21"/>
          <w:highlight w:val="none"/>
        </w:rPr>
      </w:pPr>
    </w:p>
    <w:p>
      <w:pPr>
        <w:pageBreakBefore w:val="0"/>
        <w:kinsoku/>
        <w:overflowPunct/>
        <w:topLinePunct w:val="0"/>
        <w:bidi w:val="0"/>
        <w:spacing w:after="120" w:afterLines="5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bl>
      <w:tblPr>
        <w:tblStyle w:val="40"/>
        <w:tblW w:w="9213" w:type="dxa"/>
        <w:tblInd w:w="1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0"/>
        <w:gridCol w:w="3098"/>
        <w:gridCol w:w="2694"/>
        <w:gridCol w:w="25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vAlign w:val="center"/>
          </w:tcPr>
          <w:p>
            <w:pPr>
              <w:pStyle w:val="21"/>
              <w:pageBreakBefore w:val="0"/>
              <w:kinsoku/>
              <w:overflowPunct/>
              <w:topLinePunct w:val="0"/>
              <w:bidi w:val="0"/>
              <w:spacing w:beforeLines="0" w:afterLines="0" w:line="400" w:lineRule="exact"/>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3098" w:type="dxa"/>
            <w:vAlign w:val="center"/>
          </w:tcPr>
          <w:p>
            <w:pPr>
              <w:pStyle w:val="21"/>
              <w:pageBreakBefore w:val="0"/>
              <w:kinsoku/>
              <w:overflowPunct/>
              <w:topLinePunct w:val="0"/>
              <w:bidi w:val="0"/>
              <w:spacing w:beforeLines="0" w:afterLines="0" w:line="400" w:lineRule="exact"/>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招标文件的商务条款</w:t>
            </w:r>
          </w:p>
        </w:tc>
        <w:tc>
          <w:tcPr>
            <w:tcW w:w="2694" w:type="dxa"/>
            <w:vAlign w:val="center"/>
          </w:tcPr>
          <w:p>
            <w:pPr>
              <w:pStyle w:val="21"/>
              <w:pageBreakBefore w:val="0"/>
              <w:kinsoku/>
              <w:overflowPunct/>
              <w:topLinePunct w:val="0"/>
              <w:bidi w:val="0"/>
              <w:spacing w:beforeLines="0" w:afterLines="0" w:line="400" w:lineRule="exact"/>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投标文件的商务条款</w:t>
            </w:r>
          </w:p>
        </w:tc>
        <w:tc>
          <w:tcPr>
            <w:tcW w:w="2551" w:type="dxa"/>
            <w:vAlign w:val="center"/>
          </w:tcPr>
          <w:p>
            <w:pPr>
              <w:pStyle w:val="21"/>
              <w:pageBreakBefore w:val="0"/>
              <w:kinsoku/>
              <w:overflowPunct/>
              <w:topLinePunct w:val="0"/>
              <w:bidi w:val="0"/>
              <w:spacing w:beforeLines="0" w:afterLines="0" w:line="400" w:lineRule="exact"/>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偏离情况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3098"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694"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551"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3098"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694"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551"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3098"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694"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551"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3098"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694"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551"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3098"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694"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551"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3098"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694"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551"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3098"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694"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551"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3098"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694"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551"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3098"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694"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551"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3098"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694"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c>
          <w:tcPr>
            <w:tcW w:w="2551" w:type="dxa"/>
          </w:tcPr>
          <w:p>
            <w:pPr>
              <w:pStyle w:val="21"/>
              <w:pageBreakBefore w:val="0"/>
              <w:kinsoku/>
              <w:overflowPunct/>
              <w:topLinePunct w:val="0"/>
              <w:bidi w:val="0"/>
              <w:snapToGrid w:val="0"/>
              <w:spacing w:before="120" w:beforeLines="0" w:after="120" w:afterLines="0" w:line="400" w:lineRule="exact"/>
              <w:ind w:firstLine="542"/>
              <w:rPr>
                <w:rFonts w:hint="eastAsia" w:ascii="宋体" w:hAnsi="宋体" w:eastAsia="宋体" w:cs="宋体"/>
                <w:color w:val="auto"/>
                <w:highlight w:val="none"/>
                <w:u w:val="single"/>
              </w:rPr>
            </w:pPr>
          </w:p>
        </w:tc>
      </w:tr>
    </w:tbl>
    <w:p>
      <w:pPr>
        <w:pageBreakBefore w:val="0"/>
        <w:kinsoku/>
        <w:overflowPunct/>
        <w:topLinePunct w:val="0"/>
        <w:bidi w:val="0"/>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注：对照招标文件第二章招标需求中“商务需求”要求逐条填写，并在“偏离情况”栏注明“正偏离”、“负偏离”或“无偏离”。</w:t>
      </w:r>
    </w:p>
    <w:p>
      <w:pPr>
        <w:pStyle w:val="17"/>
        <w:pageBreakBefore w:val="0"/>
        <w:kinsoku/>
        <w:overflowPunct/>
        <w:topLinePunct w:val="0"/>
        <w:bidi w:val="0"/>
        <w:spacing w:line="400" w:lineRule="exact"/>
        <w:ind w:left="404" w:hanging="404" w:hangingChars="200"/>
        <w:rPr>
          <w:rFonts w:hint="eastAsia" w:ascii="宋体" w:hAnsi="宋体" w:eastAsia="宋体" w:cs="宋体"/>
          <w:color w:val="auto"/>
          <w:sz w:val="21"/>
          <w:szCs w:val="21"/>
          <w:highlight w:val="none"/>
        </w:rPr>
      </w:pPr>
    </w:p>
    <w:p>
      <w:pPr>
        <w:pageBreakBefore w:val="0"/>
        <w:widowControl/>
        <w:kinsoku/>
        <w:overflowPunct/>
        <w:topLinePunct w:val="0"/>
        <w:bidi w:val="0"/>
        <w:spacing w:line="400" w:lineRule="exact"/>
        <w:jc w:val="left"/>
        <w:rPr>
          <w:rFonts w:hint="eastAsia" w:ascii="宋体" w:hAnsi="宋体" w:eastAsia="宋体" w:cs="宋体"/>
          <w:color w:val="auto"/>
          <w:sz w:val="24"/>
          <w:highlight w:val="none"/>
        </w:rPr>
      </w:pPr>
    </w:p>
    <w:p>
      <w:pPr>
        <w:pageBreakBefore w:val="0"/>
        <w:widowControl/>
        <w:kinsoku/>
        <w:overflowPunct/>
        <w:topLinePunct w:val="0"/>
        <w:bidi w:val="0"/>
        <w:spacing w:line="40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人（盖章）：</w:t>
      </w:r>
    </w:p>
    <w:p>
      <w:pPr>
        <w:pStyle w:val="17"/>
        <w:pageBreakBefore w:val="0"/>
        <w:kinsoku/>
        <w:overflowPunct/>
        <w:topLinePunct w:val="0"/>
        <w:bidi w:val="0"/>
        <w:spacing w:line="400" w:lineRule="exact"/>
        <w:ind w:left="479" w:leftChars="228"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日    期：</w:t>
      </w:r>
    </w:p>
    <w:p>
      <w:pPr>
        <w:pageBreakBefore w:val="0"/>
        <w:widowControl/>
        <w:kinsoku/>
        <w:overflowPunct/>
        <w:topLinePunct w:val="0"/>
        <w:bidi w:val="0"/>
        <w:spacing w:line="400" w:lineRule="exact"/>
        <w:jc w:val="left"/>
        <w:rPr>
          <w:rFonts w:hint="eastAsia" w:ascii="宋体" w:hAnsi="宋体" w:eastAsia="宋体" w:cs="宋体"/>
          <w:color w:val="auto"/>
          <w:sz w:val="24"/>
          <w:highlight w:val="none"/>
        </w:rPr>
      </w:pPr>
    </w:p>
    <w:p>
      <w:pPr>
        <w:pageBreakBefore w:val="0"/>
        <w:widowControl/>
        <w:kinsoku/>
        <w:overflowPunct/>
        <w:topLinePunct w:val="0"/>
        <w:bidi w:val="0"/>
        <w:spacing w:line="400" w:lineRule="exact"/>
        <w:jc w:val="left"/>
        <w:outlineLvl w:val="1"/>
        <w:rPr>
          <w:rFonts w:hint="eastAsia" w:ascii="宋体" w:hAnsi="宋体" w:eastAsia="宋体" w:cs="宋体"/>
          <w:b/>
          <w:color w:val="auto"/>
          <w:highlight w:val="none"/>
        </w:rPr>
      </w:pPr>
      <w:r>
        <w:rPr>
          <w:rFonts w:hint="eastAsia" w:ascii="宋体" w:hAnsi="宋体" w:eastAsia="宋体" w:cs="宋体"/>
          <w:color w:val="auto"/>
          <w:sz w:val="24"/>
          <w:highlight w:val="none"/>
        </w:rPr>
        <w:br w:type="page"/>
      </w:r>
      <w:bookmarkStart w:id="316" w:name="_Toc460857953"/>
      <w:bookmarkStart w:id="317" w:name="_Toc6470"/>
      <w:bookmarkStart w:id="318" w:name="_Toc23363"/>
      <w:bookmarkStart w:id="319" w:name="_Toc32616"/>
      <w:r>
        <w:rPr>
          <w:rFonts w:hint="eastAsia" w:ascii="宋体" w:hAnsi="宋体" w:eastAsia="宋体" w:cs="宋体"/>
          <w:b/>
          <w:color w:val="auto"/>
          <w:highlight w:val="none"/>
        </w:rPr>
        <w:t>格式九：</w:t>
      </w:r>
      <w:bookmarkEnd w:id="316"/>
      <w:bookmarkEnd w:id="317"/>
      <w:bookmarkEnd w:id="318"/>
      <w:bookmarkEnd w:id="319"/>
    </w:p>
    <w:p>
      <w:pPr>
        <w:pageBreakBefore w:val="0"/>
        <w:kinsoku/>
        <w:overflowPunct/>
        <w:topLinePunct w:val="0"/>
        <w:bidi w:val="0"/>
        <w:spacing w:before="120" w:after="120" w:line="400" w:lineRule="exact"/>
        <w:jc w:val="center"/>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项目负责人简历表</w:t>
      </w:r>
    </w:p>
    <w:p>
      <w:pPr>
        <w:pageBreakBefore w:val="0"/>
        <w:kinsoku/>
        <w:overflowPunct/>
        <w:topLinePunct w:val="0"/>
        <w:bidi w:val="0"/>
        <w:spacing w:before="120" w:after="120" w:line="400" w:lineRule="exact"/>
        <w:jc w:val="center"/>
        <w:rPr>
          <w:rFonts w:hint="eastAsia" w:ascii="宋体" w:hAnsi="宋体" w:eastAsia="宋体" w:cs="宋体"/>
          <w:b/>
          <w:bCs/>
          <w:color w:val="auto"/>
          <w:spacing w:val="20"/>
          <w:sz w:val="24"/>
          <w:highlight w:val="none"/>
        </w:rPr>
      </w:pP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508"/>
        <w:gridCol w:w="720"/>
        <w:gridCol w:w="193"/>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421" w:type="dxa"/>
            <w:gridSpan w:val="3"/>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   别</w:t>
            </w:r>
          </w:p>
        </w:tc>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出生年月</w:t>
            </w:r>
          </w:p>
        </w:tc>
        <w:tc>
          <w:tcPr>
            <w:tcW w:w="1421" w:type="dxa"/>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    业</w:t>
            </w:r>
          </w:p>
        </w:tc>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421" w:type="dxa"/>
            <w:gridSpan w:val="3"/>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421" w:type="dxa"/>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何时参加工作</w:t>
            </w:r>
          </w:p>
        </w:tc>
        <w:tc>
          <w:tcPr>
            <w:tcW w:w="7102" w:type="dxa"/>
            <w:gridSpan w:val="7"/>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何时进入公司</w:t>
            </w:r>
          </w:p>
        </w:tc>
        <w:tc>
          <w:tcPr>
            <w:tcW w:w="7102" w:type="dxa"/>
            <w:gridSpan w:val="7"/>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从事项目年限</w:t>
            </w:r>
          </w:p>
        </w:tc>
        <w:tc>
          <w:tcPr>
            <w:tcW w:w="7102" w:type="dxa"/>
            <w:gridSpan w:val="7"/>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8"/>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业主单位</w:t>
            </w:r>
          </w:p>
        </w:tc>
        <w:tc>
          <w:tcPr>
            <w:tcW w:w="1928" w:type="dxa"/>
            <w:gridSpan w:val="2"/>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20" w:type="dxa"/>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规模</w:t>
            </w:r>
          </w:p>
        </w:tc>
        <w:tc>
          <w:tcPr>
            <w:tcW w:w="1613" w:type="dxa"/>
            <w:gridSpan w:val="2"/>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合同时间</w:t>
            </w:r>
          </w:p>
        </w:tc>
        <w:tc>
          <w:tcPr>
            <w:tcW w:w="2841" w:type="dxa"/>
            <w:gridSpan w:val="2"/>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1928"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720" w:type="dxa"/>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1613"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2841"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1928"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720" w:type="dxa"/>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1613"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2841"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1928"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720" w:type="dxa"/>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1613"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2841"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1928"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720" w:type="dxa"/>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1613"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2841"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1928"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720" w:type="dxa"/>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1613"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2841"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1928"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720" w:type="dxa"/>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1613"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2841"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1928"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720" w:type="dxa"/>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1613"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c>
          <w:tcPr>
            <w:tcW w:w="2841" w:type="dxa"/>
            <w:gridSpan w:val="2"/>
          </w:tcPr>
          <w:p>
            <w:pPr>
              <w:pageBreakBefore w:val="0"/>
              <w:kinsoku/>
              <w:overflowPunct/>
              <w:topLinePunct w:val="0"/>
              <w:bidi w:val="0"/>
              <w:spacing w:line="400" w:lineRule="exact"/>
              <w:ind w:right="25" w:rightChars="12"/>
              <w:jc w:val="center"/>
              <w:rPr>
                <w:rFonts w:hint="eastAsia" w:ascii="宋体" w:hAnsi="宋体" w:eastAsia="宋体" w:cs="宋体"/>
                <w:b/>
                <w:color w:val="auto"/>
                <w:szCs w:val="21"/>
                <w:highlight w:val="none"/>
              </w:rPr>
            </w:pPr>
          </w:p>
        </w:tc>
      </w:tr>
    </w:tbl>
    <w:p>
      <w:pPr>
        <w:pageBreakBefore w:val="0"/>
        <w:kinsoku/>
        <w:overflowPunct/>
        <w:topLinePunct w:val="0"/>
        <w:bidi w:val="0"/>
        <w:spacing w:line="400" w:lineRule="exact"/>
        <w:rPr>
          <w:rFonts w:hint="eastAsia" w:ascii="宋体" w:hAnsi="宋体" w:eastAsia="宋体" w:cs="宋体"/>
          <w:color w:val="auto"/>
          <w:sz w:val="24"/>
          <w:highlight w:val="none"/>
        </w:rPr>
      </w:pPr>
    </w:p>
    <w:p>
      <w:pPr>
        <w:pageBreakBefore w:val="0"/>
        <w:kinsoku/>
        <w:overflowPunct/>
        <w:topLinePunct w:val="0"/>
        <w:bidi w:val="0"/>
        <w:spacing w:line="400" w:lineRule="exact"/>
        <w:rPr>
          <w:rFonts w:hint="eastAsia" w:ascii="宋体" w:hAnsi="宋体" w:eastAsia="宋体" w:cs="宋体"/>
          <w:color w:val="auto"/>
          <w:sz w:val="24"/>
          <w:highlight w:val="none"/>
        </w:rPr>
      </w:pPr>
    </w:p>
    <w:p>
      <w:pPr>
        <w:pageBreakBefore w:val="0"/>
        <w:widowControl/>
        <w:kinsoku/>
        <w:overflowPunct/>
        <w:topLinePunct w:val="0"/>
        <w:bidi w:val="0"/>
        <w:spacing w:line="40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人（盖章）：</w:t>
      </w:r>
    </w:p>
    <w:p>
      <w:pPr>
        <w:pStyle w:val="17"/>
        <w:pageBreakBefore w:val="0"/>
        <w:widowControl/>
        <w:kinsoku/>
        <w:overflowPunct/>
        <w:topLinePunct w:val="0"/>
        <w:bidi w:val="0"/>
        <w:spacing w:line="400" w:lineRule="exact"/>
        <w:ind w:firstLine="4410" w:firstLineChars="210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日    期：</w:t>
      </w:r>
    </w:p>
    <w:p>
      <w:pPr>
        <w:pageBreakBefore w:val="0"/>
        <w:widowControl/>
        <w:kinsoku/>
        <w:overflowPunct/>
        <w:topLinePunct w:val="0"/>
        <w:bidi w:val="0"/>
        <w:spacing w:line="400" w:lineRule="exact"/>
        <w:jc w:val="left"/>
        <w:outlineLvl w:val="1"/>
        <w:rPr>
          <w:rFonts w:hint="eastAsia" w:ascii="宋体" w:hAnsi="宋体" w:eastAsia="宋体" w:cs="宋体"/>
          <w:color w:val="auto"/>
          <w:szCs w:val="21"/>
          <w:highlight w:val="none"/>
        </w:rPr>
      </w:pPr>
      <w:r>
        <w:rPr>
          <w:rStyle w:val="116"/>
          <w:rFonts w:hint="eastAsia" w:ascii="宋体" w:hAnsi="宋体" w:eastAsia="宋体" w:cs="宋体"/>
          <w:color w:val="auto"/>
          <w:sz w:val="21"/>
          <w:szCs w:val="21"/>
          <w:highlight w:val="none"/>
        </w:rPr>
        <w:br w:type="page"/>
      </w:r>
      <w:bookmarkStart w:id="320" w:name="_Toc2964"/>
      <w:bookmarkStart w:id="321" w:name="_Toc16242"/>
      <w:bookmarkStart w:id="322" w:name="_Toc23301"/>
      <w:r>
        <w:rPr>
          <w:rFonts w:hint="eastAsia" w:ascii="宋体" w:hAnsi="宋体" w:eastAsia="宋体" w:cs="宋体"/>
          <w:b/>
          <w:color w:val="auto"/>
          <w:highlight w:val="none"/>
        </w:rPr>
        <w:t>格式十：</w:t>
      </w:r>
      <w:bookmarkEnd w:id="320"/>
      <w:bookmarkEnd w:id="321"/>
      <w:bookmarkEnd w:id="322"/>
    </w:p>
    <w:p>
      <w:pPr>
        <w:pageBreakBefore w:val="0"/>
        <w:kinsoku/>
        <w:overflowPunct/>
        <w:topLinePunct w:val="0"/>
        <w:bidi w:val="0"/>
        <w:spacing w:before="120" w:after="120" w:line="400" w:lineRule="exact"/>
        <w:jc w:val="center"/>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项目人员配置表</w:t>
      </w:r>
    </w:p>
    <w:tbl>
      <w:tblPr>
        <w:tblStyle w:val="40"/>
        <w:tblW w:w="8931" w:type="dxa"/>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34"/>
        <w:gridCol w:w="709"/>
        <w:gridCol w:w="1418"/>
        <w:gridCol w:w="1559"/>
        <w:gridCol w:w="1984"/>
        <w:gridCol w:w="156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567" w:type="dxa"/>
            <w:tcBorders>
              <w:top w:val="single" w:color="auto" w:sz="4" w:space="0"/>
              <w:bottom w:val="single" w:color="auto" w:sz="4" w:space="0"/>
            </w:tcBorders>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34" w:type="dxa"/>
            <w:tcBorders>
              <w:top w:val="single" w:color="auto" w:sz="4" w:space="0"/>
              <w:bottom w:val="single" w:color="auto" w:sz="4" w:space="0"/>
            </w:tcBorders>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09" w:type="dxa"/>
            <w:tcBorders>
              <w:top w:val="single" w:color="auto" w:sz="4" w:space="0"/>
              <w:bottom w:val="single" w:color="auto" w:sz="4" w:space="0"/>
            </w:tcBorders>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418" w:type="dxa"/>
            <w:tcBorders>
              <w:top w:val="single" w:color="auto" w:sz="4" w:space="0"/>
              <w:bottom w:val="single" w:color="auto" w:sz="4" w:space="0"/>
            </w:tcBorders>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559" w:type="dxa"/>
            <w:tcBorders>
              <w:top w:val="single" w:color="auto" w:sz="4" w:space="0"/>
              <w:bottom w:val="single" w:color="auto" w:sz="4" w:space="0"/>
            </w:tcBorders>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1984" w:type="dxa"/>
            <w:tcBorders>
              <w:top w:val="single" w:color="auto" w:sz="4" w:space="0"/>
              <w:bottom w:val="single" w:color="auto" w:sz="4" w:space="0"/>
            </w:tcBorders>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560" w:type="dxa"/>
            <w:tcBorders>
              <w:top w:val="single" w:color="auto" w:sz="4" w:space="0"/>
              <w:bottom w:val="single" w:color="auto" w:sz="4" w:space="0"/>
            </w:tcBorders>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分工</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Borders>
              <w:top w:val="single" w:color="auto" w:sz="4" w:space="0"/>
            </w:tcBorders>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34" w:type="dxa"/>
            <w:tcBorders>
              <w:top w:val="single" w:color="auto" w:sz="4" w:space="0"/>
            </w:tcBorders>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709" w:type="dxa"/>
            <w:tcBorders>
              <w:top w:val="single" w:color="auto" w:sz="4" w:space="0"/>
            </w:tcBorders>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418" w:type="dxa"/>
            <w:tcBorders>
              <w:top w:val="single" w:color="auto" w:sz="4" w:space="0"/>
            </w:tcBorders>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59" w:type="dxa"/>
            <w:tcBorders>
              <w:top w:val="single" w:color="auto" w:sz="4" w:space="0"/>
            </w:tcBorders>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984" w:type="dxa"/>
            <w:tcBorders>
              <w:top w:val="single" w:color="auto" w:sz="4" w:space="0"/>
            </w:tcBorders>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60" w:type="dxa"/>
            <w:tcBorders>
              <w:top w:val="single" w:color="auto" w:sz="4" w:space="0"/>
            </w:tcBorders>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3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70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418"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5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98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60"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3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70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418"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5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98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60"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45" w:hRule="atLeast"/>
        </w:trPr>
        <w:tc>
          <w:tcPr>
            <w:tcW w:w="567"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3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70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418"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5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98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60"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45" w:hRule="atLeast"/>
        </w:trPr>
        <w:tc>
          <w:tcPr>
            <w:tcW w:w="567"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3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70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418"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5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98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60"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13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70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418"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5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98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60"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13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70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418"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5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98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60"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13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70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418"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5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98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60"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13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70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418"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5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98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60"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13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70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418"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59"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984"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c>
          <w:tcPr>
            <w:tcW w:w="1560" w:type="dxa"/>
            <w:tcMar>
              <w:left w:w="28" w:type="dxa"/>
              <w:right w:w="28" w:type="dxa"/>
            </w:tcMar>
            <w:vAlign w:val="center"/>
          </w:tcPr>
          <w:p>
            <w:pPr>
              <w:pageBreakBefore w:val="0"/>
              <w:kinsoku/>
              <w:overflowPunct/>
              <w:topLinePunct w:val="0"/>
              <w:bidi w:val="0"/>
              <w:spacing w:line="400" w:lineRule="exact"/>
              <w:ind w:right="25" w:rightChars="1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134"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709"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418"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559"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984"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560"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134"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709"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418"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559"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984"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560"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45" w:hRule="atLeast"/>
        </w:trPr>
        <w:tc>
          <w:tcPr>
            <w:tcW w:w="567"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134"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709"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418"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559"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984"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560"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45" w:hRule="atLeast"/>
        </w:trPr>
        <w:tc>
          <w:tcPr>
            <w:tcW w:w="567"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134"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709"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418"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559"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984"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560"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45" w:hRule="atLeast"/>
        </w:trPr>
        <w:tc>
          <w:tcPr>
            <w:tcW w:w="567"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134"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709"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418"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559"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984"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c>
          <w:tcPr>
            <w:tcW w:w="1560" w:type="dxa"/>
            <w:tcMar>
              <w:left w:w="28" w:type="dxa"/>
              <w:right w:w="28" w:type="dxa"/>
            </w:tcMar>
            <w:vAlign w:val="center"/>
          </w:tcPr>
          <w:p>
            <w:pPr>
              <w:pageBreakBefore w:val="0"/>
              <w:kinsoku/>
              <w:overflowPunct/>
              <w:topLinePunct w:val="0"/>
              <w:bidi w:val="0"/>
              <w:spacing w:line="400" w:lineRule="exact"/>
              <w:jc w:val="center"/>
              <w:rPr>
                <w:rFonts w:hint="eastAsia" w:ascii="宋体" w:hAnsi="宋体" w:eastAsia="宋体" w:cs="宋体"/>
                <w:color w:val="auto"/>
                <w:w w:val="80"/>
                <w:szCs w:val="21"/>
                <w:highlight w:val="none"/>
              </w:rPr>
            </w:pPr>
          </w:p>
        </w:tc>
      </w:tr>
    </w:tbl>
    <w:p>
      <w:pPr>
        <w:pStyle w:val="17"/>
        <w:pageBreakBefore w:val="0"/>
        <w:widowControl/>
        <w:kinsoku/>
        <w:overflowPunct/>
        <w:topLinePunct w:val="0"/>
        <w:bidi w:val="0"/>
        <w:spacing w:line="400" w:lineRule="exact"/>
        <w:ind w:firstLine="0"/>
        <w:jc w:val="left"/>
        <w:rPr>
          <w:rFonts w:hint="eastAsia" w:ascii="宋体" w:hAnsi="宋体" w:eastAsia="宋体" w:cs="宋体"/>
          <w:b/>
          <w:color w:val="auto"/>
          <w:highlight w:val="none"/>
        </w:rPr>
      </w:pPr>
    </w:p>
    <w:p>
      <w:pPr>
        <w:pStyle w:val="17"/>
        <w:pageBreakBefore w:val="0"/>
        <w:widowControl/>
        <w:kinsoku/>
        <w:overflowPunct/>
        <w:topLinePunct w:val="0"/>
        <w:bidi w:val="0"/>
        <w:spacing w:line="400" w:lineRule="exact"/>
        <w:ind w:firstLine="0"/>
        <w:jc w:val="left"/>
        <w:rPr>
          <w:rFonts w:hint="eastAsia" w:ascii="宋体" w:hAnsi="宋体" w:eastAsia="宋体" w:cs="宋体"/>
          <w:b/>
          <w:color w:val="auto"/>
          <w:highlight w:val="none"/>
        </w:rPr>
      </w:pPr>
    </w:p>
    <w:p>
      <w:pPr>
        <w:pageBreakBefore w:val="0"/>
        <w:widowControl/>
        <w:kinsoku/>
        <w:overflowPunct/>
        <w:topLinePunct w:val="0"/>
        <w:bidi w:val="0"/>
        <w:spacing w:line="400" w:lineRule="exact"/>
        <w:ind w:firstLine="4620" w:firstLineChars="2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人（盖章）：</w:t>
      </w:r>
    </w:p>
    <w:p>
      <w:pPr>
        <w:pageBreakBefore w:val="0"/>
        <w:kinsoku/>
        <w:overflowPunct/>
        <w:topLinePunct w:val="0"/>
        <w:bidi w:val="0"/>
        <w:spacing w:line="400" w:lineRule="exact"/>
        <w:ind w:firstLine="4620" w:firstLineChars="2200"/>
        <w:rPr>
          <w:rFonts w:hint="eastAsia" w:ascii="宋体" w:hAnsi="宋体" w:eastAsia="宋体" w:cs="宋体"/>
          <w:b/>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highlight w:val="none"/>
        </w:rPr>
        <w:br w:type="page"/>
      </w:r>
    </w:p>
    <w:p>
      <w:pPr>
        <w:pageBreakBefore w:val="0"/>
        <w:kinsoku/>
        <w:overflowPunct/>
        <w:topLinePunct w:val="0"/>
        <w:bidi w:val="0"/>
        <w:spacing w:line="400" w:lineRule="exact"/>
        <w:outlineLvl w:val="1"/>
        <w:rPr>
          <w:rStyle w:val="116"/>
          <w:rFonts w:hint="eastAsia" w:ascii="宋体" w:hAnsi="宋体" w:eastAsia="宋体" w:cs="宋体"/>
          <w:color w:val="auto"/>
          <w:szCs w:val="21"/>
          <w:highlight w:val="none"/>
        </w:rPr>
      </w:pPr>
      <w:bookmarkStart w:id="323" w:name="_Toc6958"/>
      <w:bookmarkStart w:id="324" w:name="_Toc28487"/>
      <w:bookmarkStart w:id="325" w:name="_Toc2199"/>
      <w:r>
        <w:rPr>
          <w:rFonts w:hint="eastAsia" w:ascii="宋体" w:hAnsi="宋体" w:eastAsia="宋体" w:cs="宋体"/>
          <w:b/>
          <w:color w:val="auto"/>
          <w:highlight w:val="none"/>
        </w:rPr>
        <w:t>格式十</w:t>
      </w:r>
      <w:bookmarkEnd w:id="323"/>
      <w:bookmarkEnd w:id="324"/>
      <w:bookmarkEnd w:id="325"/>
      <w:r>
        <w:rPr>
          <w:rFonts w:hint="eastAsia" w:ascii="宋体" w:hAnsi="宋体" w:eastAsia="宋体" w:cs="宋体"/>
          <w:b/>
          <w:color w:val="auto"/>
          <w:highlight w:val="none"/>
        </w:rPr>
        <w:t>一：</w:t>
      </w:r>
    </w:p>
    <w:p>
      <w:pPr>
        <w:pageBreakBefore w:val="0"/>
        <w:kinsoku/>
        <w:overflowPunct/>
        <w:topLinePunct w:val="0"/>
        <w:bidi w:val="0"/>
        <w:snapToGrid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技术条款偏离表</w:t>
      </w:r>
    </w:p>
    <w:p>
      <w:pPr>
        <w:pageBreakBefore w:val="0"/>
        <w:kinsoku/>
        <w:overflowPunct/>
        <w:topLinePunct w:val="0"/>
        <w:bidi w:val="0"/>
        <w:snapToGrid w:val="0"/>
        <w:spacing w:line="400" w:lineRule="exact"/>
        <w:rPr>
          <w:rFonts w:hint="eastAsia" w:ascii="宋体" w:hAnsi="宋体" w:eastAsia="宋体" w:cs="宋体"/>
          <w:color w:val="auto"/>
          <w:sz w:val="24"/>
          <w:highlight w:val="none"/>
        </w:rPr>
      </w:pPr>
    </w:p>
    <w:p>
      <w:pPr>
        <w:pageBreakBefore w:val="0"/>
        <w:kinsoku/>
        <w:overflowPunct/>
        <w:topLinePunct w:val="0"/>
        <w:bidi w:val="0"/>
        <w:snapToGrid w:val="0"/>
        <w:spacing w:line="40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bl>
      <w:tblPr>
        <w:tblStyle w:val="40"/>
        <w:tblW w:w="889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85"/>
        <w:gridCol w:w="2892"/>
        <w:gridCol w:w="2410"/>
        <w:gridCol w:w="24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8" w:hRule="atLeast"/>
          <w:tblHeader/>
        </w:trPr>
        <w:tc>
          <w:tcPr>
            <w:tcW w:w="1185" w:type="dxa"/>
            <w:vAlign w:val="center"/>
          </w:tcPr>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b/>
                <w:bCs/>
                <w:color w:val="auto"/>
                <w:szCs w:val="21"/>
                <w:highlight w:val="none"/>
              </w:rPr>
              <w:t>序号</w:t>
            </w:r>
          </w:p>
        </w:tc>
        <w:tc>
          <w:tcPr>
            <w:tcW w:w="2892" w:type="dxa"/>
            <w:vAlign w:val="center"/>
          </w:tcPr>
          <w:p>
            <w:pPr>
              <w:pageBreakBefore w:val="0"/>
              <w:kinsoku/>
              <w:overflowPunct/>
              <w:topLinePunct w:val="0"/>
              <w:bidi w:val="0"/>
              <w:spacing w:line="400" w:lineRule="exact"/>
              <w:jc w:val="center"/>
              <w:rPr>
                <w:rFonts w:hint="eastAsia" w:ascii="宋体" w:hAnsi="宋体" w:eastAsia="宋体" w:cs="宋体"/>
                <w:color w:val="auto"/>
                <w:highlight w:val="none"/>
              </w:rPr>
            </w:pPr>
            <w:r>
              <w:rPr>
                <w:rFonts w:hint="eastAsia" w:ascii="宋体" w:hAnsi="宋体" w:eastAsia="宋体" w:cs="宋体"/>
                <w:b/>
                <w:bCs/>
                <w:color w:val="auto"/>
                <w:szCs w:val="21"/>
                <w:highlight w:val="none"/>
              </w:rPr>
              <w:t>招标要求</w:t>
            </w:r>
          </w:p>
        </w:tc>
        <w:tc>
          <w:tcPr>
            <w:tcW w:w="2410" w:type="dxa"/>
            <w:vAlign w:val="center"/>
          </w:tcPr>
          <w:p>
            <w:pPr>
              <w:pageBreakBefore w:val="0"/>
              <w:kinsoku/>
              <w:overflowPunct/>
              <w:topLinePunct w:val="0"/>
              <w:bidi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投标响应</w:t>
            </w:r>
          </w:p>
        </w:tc>
        <w:tc>
          <w:tcPr>
            <w:tcW w:w="2410" w:type="dxa"/>
            <w:vAlign w:val="center"/>
          </w:tcPr>
          <w:p>
            <w:pPr>
              <w:pageBreakBefore w:val="0"/>
              <w:kinsoku/>
              <w:overflowPunct/>
              <w:topLinePunct w:val="0"/>
              <w:bidi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偏离情况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6" w:hRule="atLeast"/>
        </w:trPr>
        <w:tc>
          <w:tcPr>
            <w:tcW w:w="1185" w:type="dxa"/>
            <w:vAlign w:val="center"/>
          </w:tcPr>
          <w:p>
            <w:pPr>
              <w:pageBreakBefore w:val="0"/>
              <w:widowControl/>
              <w:tabs>
                <w:tab w:val="left" w:pos="180"/>
                <w:tab w:val="left" w:pos="540"/>
              </w:tabs>
              <w:kinsoku/>
              <w:overflowPunct/>
              <w:topLinePunct w:val="0"/>
              <w:bidi w:val="0"/>
              <w:spacing w:line="400" w:lineRule="exact"/>
              <w:jc w:val="center"/>
              <w:rPr>
                <w:rFonts w:hint="eastAsia" w:ascii="宋体" w:hAnsi="宋体" w:eastAsia="宋体" w:cs="宋体"/>
                <w:color w:val="auto"/>
                <w:highlight w:val="none"/>
              </w:rPr>
            </w:pPr>
          </w:p>
        </w:tc>
        <w:tc>
          <w:tcPr>
            <w:tcW w:w="2892" w:type="dxa"/>
          </w:tcPr>
          <w:p>
            <w:pPr>
              <w:pageBreakBefore w:val="0"/>
              <w:widowControl/>
              <w:tabs>
                <w:tab w:val="left" w:pos="180"/>
                <w:tab w:val="left" w:pos="540"/>
              </w:tabs>
              <w:kinsoku/>
              <w:overflowPunct/>
              <w:topLinePunct w:val="0"/>
              <w:bidi w:val="0"/>
              <w:spacing w:line="400" w:lineRule="exact"/>
              <w:jc w:val="lef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tabs>
                <w:tab w:val="left" w:pos="180"/>
                <w:tab w:val="left" w:pos="540"/>
              </w:tabs>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tabs>
                <w:tab w:val="left" w:pos="180"/>
                <w:tab w:val="left" w:pos="540"/>
              </w:tabs>
              <w:kinsoku/>
              <w:overflowPunct/>
              <w:topLinePunct w:val="0"/>
              <w:bidi w:val="0"/>
              <w:spacing w:line="400" w:lineRule="exact"/>
              <w:jc w:val="lef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tabs>
                <w:tab w:val="left" w:pos="180"/>
                <w:tab w:val="left" w:pos="540"/>
              </w:tabs>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tabs>
                <w:tab w:val="left" w:pos="180"/>
                <w:tab w:val="left" w:pos="540"/>
              </w:tabs>
              <w:kinsoku/>
              <w:overflowPunct/>
              <w:topLinePunct w:val="0"/>
              <w:bidi w:val="0"/>
              <w:spacing w:line="400" w:lineRule="exact"/>
              <w:jc w:val="lef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tabs>
                <w:tab w:val="left" w:pos="180"/>
                <w:tab w:val="left" w:pos="540"/>
              </w:tabs>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tabs>
                <w:tab w:val="left" w:pos="180"/>
                <w:tab w:val="left" w:pos="540"/>
              </w:tabs>
              <w:kinsoku/>
              <w:overflowPunct/>
              <w:topLinePunct w:val="0"/>
              <w:bidi w:val="0"/>
              <w:spacing w:line="400" w:lineRule="exact"/>
              <w:jc w:val="lef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pageBreakBefore w:val="0"/>
              <w:widowControl/>
              <w:kinsoku/>
              <w:overflowPunct/>
              <w:topLinePunct w:val="0"/>
              <w:bidi w:val="0"/>
              <w:spacing w:line="400" w:lineRule="exact"/>
              <w:jc w:val="center"/>
              <w:rPr>
                <w:rFonts w:hint="eastAsia" w:ascii="宋体" w:hAnsi="宋体" w:eastAsia="宋体" w:cs="宋体"/>
                <w:color w:val="auto"/>
                <w:highlight w:val="none"/>
              </w:rPr>
            </w:pPr>
          </w:p>
        </w:tc>
        <w:tc>
          <w:tcPr>
            <w:tcW w:w="2892" w:type="dxa"/>
            <w:vAlign w:val="center"/>
          </w:tcPr>
          <w:p>
            <w:pPr>
              <w:pageBreakBefore w:val="0"/>
              <w:widowControl/>
              <w:kinsoku/>
              <w:overflowPunct/>
              <w:topLinePunct w:val="0"/>
              <w:bidi w:val="0"/>
              <w:spacing w:line="400" w:lineRule="exact"/>
              <w:rPr>
                <w:rFonts w:hint="eastAsia" w:ascii="宋体" w:hAnsi="宋体" w:eastAsia="宋体" w:cs="宋体"/>
                <w:color w:val="auto"/>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c>
          <w:tcPr>
            <w:tcW w:w="2410" w:type="dxa"/>
          </w:tcPr>
          <w:p>
            <w:pPr>
              <w:pageBreakBefore w:val="0"/>
              <w:widowControl/>
              <w:kinsoku/>
              <w:overflowPunct/>
              <w:topLinePunct w:val="0"/>
              <w:bidi w:val="0"/>
              <w:spacing w:line="400" w:lineRule="exact"/>
              <w:rPr>
                <w:rFonts w:hint="eastAsia" w:ascii="宋体" w:hAnsi="宋体" w:eastAsia="宋体" w:cs="宋体"/>
                <w:b/>
                <w:bCs/>
                <w:color w:val="auto"/>
                <w:szCs w:val="21"/>
                <w:highlight w:val="none"/>
              </w:rPr>
            </w:pPr>
          </w:p>
        </w:tc>
      </w:tr>
    </w:tbl>
    <w:p>
      <w:pPr>
        <w:pageBreakBefore w:val="0"/>
        <w:kinsoku/>
        <w:overflowPunct/>
        <w:topLinePunct w:val="0"/>
        <w:bidi w:val="0"/>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注：投标人应根据投标产品的性能指标、对照招标文件第二章招标需求中“技术需求”要求逐条填写，并在“偏离情况”栏注明“正偏离”、“负偏离”或“无偏离”。</w:t>
      </w:r>
    </w:p>
    <w:p>
      <w:pPr>
        <w:pageBreakBefore w:val="0"/>
        <w:kinsoku/>
        <w:overflowPunct/>
        <w:topLinePunct w:val="0"/>
        <w:bidi w:val="0"/>
        <w:snapToGrid w:val="0"/>
        <w:spacing w:line="400" w:lineRule="exact"/>
        <w:jc w:val="center"/>
        <w:rPr>
          <w:rFonts w:hint="eastAsia" w:ascii="宋体" w:hAnsi="宋体" w:eastAsia="宋体" w:cs="宋体"/>
          <w:b/>
          <w:bCs/>
          <w:color w:val="auto"/>
          <w:sz w:val="24"/>
          <w:szCs w:val="21"/>
          <w:highlight w:val="none"/>
        </w:rPr>
      </w:pPr>
    </w:p>
    <w:p>
      <w:pPr>
        <w:pageBreakBefore w:val="0"/>
        <w:kinsoku/>
        <w:overflowPunct/>
        <w:topLinePunct w:val="0"/>
        <w:bidi w:val="0"/>
        <w:snapToGrid w:val="0"/>
        <w:spacing w:line="400" w:lineRule="exact"/>
        <w:jc w:val="center"/>
        <w:rPr>
          <w:rFonts w:hint="eastAsia" w:ascii="宋体" w:hAnsi="宋体" w:eastAsia="宋体" w:cs="宋体"/>
          <w:b/>
          <w:bCs/>
          <w:color w:val="auto"/>
          <w:sz w:val="24"/>
          <w:szCs w:val="21"/>
          <w:highlight w:val="none"/>
        </w:rPr>
      </w:pPr>
    </w:p>
    <w:p>
      <w:pPr>
        <w:pageBreakBefore w:val="0"/>
        <w:widowControl/>
        <w:kinsoku/>
        <w:overflowPunct/>
        <w:topLinePunct w:val="0"/>
        <w:bidi w:val="0"/>
        <w:spacing w:line="400" w:lineRule="exact"/>
        <w:ind w:firstLine="4830" w:firstLineChars="2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人（盖章）：</w:t>
      </w:r>
    </w:p>
    <w:p>
      <w:pPr>
        <w:pageBreakBefore w:val="0"/>
        <w:kinsoku/>
        <w:overflowPunct/>
        <w:topLinePunct w:val="0"/>
        <w:bidi w:val="0"/>
        <w:snapToGrid w:val="0"/>
        <w:spacing w:before="120" w:beforeLines="50" w:after="120" w:afterLines="50" w:line="400" w:lineRule="exact"/>
        <w:ind w:firstLine="4830" w:firstLineChars="23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日    期：</w:t>
      </w:r>
    </w:p>
    <w:p>
      <w:pPr>
        <w:pageBreakBefore w:val="0"/>
        <w:kinsoku/>
        <w:overflowPunct/>
        <w:topLinePunct w:val="0"/>
        <w:bidi w:val="0"/>
        <w:snapToGrid w:val="0"/>
        <w:spacing w:before="50" w:after="120" w:afterLines="50" w:line="400" w:lineRule="exact"/>
        <w:jc w:val="left"/>
        <w:rPr>
          <w:rFonts w:hint="eastAsia" w:ascii="宋体" w:hAnsi="宋体" w:eastAsia="宋体" w:cs="宋体"/>
          <w:color w:val="auto"/>
          <w:sz w:val="21"/>
          <w:szCs w:val="21"/>
          <w:highlight w:val="none"/>
        </w:rPr>
        <w:sectPr>
          <w:pgSz w:w="11907" w:h="16840"/>
          <w:pgMar w:top="1276" w:right="1474" w:bottom="1242" w:left="1474" w:header="851" w:footer="851" w:gutter="0"/>
          <w:pgNumType w:fmt="decimal"/>
          <w:cols w:space="720" w:num="1"/>
          <w:docGrid w:linePitch="312" w:charSpace="0"/>
        </w:sectPr>
      </w:pPr>
    </w:p>
    <w:p>
      <w:pPr>
        <w:pageBreakBefore w:val="0"/>
        <w:widowControl/>
        <w:kinsoku/>
        <w:overflowPunct/>
        <w:topLinePunct w:val="0"/>
        <w:bidi w:val="0"/>
        <w:spacing w:line="400" w:lineRule="exact"/>
        <w:jc w:val="left"/>
        <w:outlineLvl w:val="1"/>
        <w:rPr>
          <w:rFonts w:hint="eastAsia" w:ascii="宋体" w:hAnsi="宋体" w:eastAsia="宋体" w:cs="宋体"/>
          <w:b/>
          <w:color w:val="auto"/>
          <w:highlight w:val="none"/>
        </w:rPr>
      </w:pPr>
      <w:bookmarkStart w:id="326" w:name="_Toc16851"/>
      <w:bookmarkStart w:id="327" w:name="_Toc27584"/>
      <w:bookmarkStart w:id="328" w:name="_Toc9902"/>
      <w:r>
        <w:rPr>
          <w:rFonts w:hint="eastAsia" w:ascii="宋体" w:hAnsi="宋体" w:eastAsia="宋体" w:cs="宋体"/>
          <w:b/>
          <w:color w:val="auto"/>
          <w:highlight w:val="none"/>
        </w:rPr>
        <w:t>格式十二：</w:t>
      </w:r>
      <w:bookmarkEnd w:id="326"/>
      <w:bookmarkEnd w:id="327"/>
      <w:bookmarkEnd w:id="328"/>
    </w:p>
    <w:p>
      <w:pPr>
        <w:pageBreakBefore w:val="0"/>
        <w:widowControl/>
        <w:kinsoku/>
        <w:overflowPunct/>
        <w:topLinePunct w:val="0"/>
        <w:bidi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投标函</w:t>
      </w:r>
    </w:p>
    <w:p>
      <w:pPr>
        <w:pageBreakBefore w:val="0"/>
        <w:widowControl/>
        <w:kinsoku/>
        <w:overflowPunct/>
        <w:topLinePunct w:val="0"/>
        <w:bidi w:val="0"/>
        <w:spacing w:line="400" w:lineRule="exact"/>
        <w:jc w:val="center"/>
        <w:rPr>
          <w:rFonts w:hint="eastAsia" w:ascii="宋体" w:hAnsi="宋体" w:eastAsia="宋体" w:cs="宋体"/>
          <w:b/>
          <w:color w:val="auto"/>
          <w:sz w:val="24"/>
          <w:highlight w:val="none"/>
        </w:rPr>
      </w:pPr>
    </w:p>
    <w:p>
      <w:pPr>
        <w:pStyle w:val="17"/>
        <w:pageBreakBefore w:val="0"/>
        <w:widowControl/>
        <w:kinsoku/>
        <w:overflowPunct/>
        <w:topLinePunct w:val="0"/>
        <w:bidi w:val="0"/>
        <w:spacing w:line="400" w:lineRule="exact"/>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致：宁波中穗招标有限公司</w:t>
      </w:r>
    </w:p>
    <w:p>
      <w:pPr>
        <w:pStyle w:val="17"/>
        <w:pageBreakBefore w:val="0"/>
        <w:widowControl/>
        <w:kinsoku/>
        <w:overflowPunct/>
        <w:topLinePunct w:val="0"/>
        <w:bidi w:val="0"/>
        <w:spacing w:line="400" w:lineRule="exact"/>
        <w:ind w:firstLine="40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（授权代表姓名、职务）</w:t>
      </w:r>
      <w:r>
        <w:rPr>
          <w:rFonts w:hint="eastAsia" w:ascii="宋体" w:hAnsi="宋体" w:eastAsia="宋体" w:cs="宋体"/>
          <w:color w:val="auto"/>
          <w:sz w:val="21"/>
          <w:szCs w:val="21"/>
          <w:highlight w:val="none"/>
        </w:rPr>
        <w:t>为本公司合法代理人，参加贵方组织的</w:t>
      </w:r>
      <w:r>
        <w:rPr>
          <w:rFonts w:hint="eastAsia" w:ascii="宋体" w:hAnsi="宋体" w:eastAsia="宋体" w:cs="宋体"/>
          <w:color w:val="auto"/>
          <w:sz w:val="21"/>
          <w:szCs w:val="21"/>
          <w:highlight w:val="none"/>
          <w:u w:val="single"/>
        </w:rPr>
        <w:t>（招标编号、项目名称）</w:t>
      </w:r>
      <w:r>
        <w:rPr>
          <w:rFonts w:hint="eastAsia" w:ascii="宋体" w:hAnsi="宋体" w:eastAsia="宋体" w:cs="宋体"/>
          <w:color w:val="auto"/>
          <w:sz w:val="21"/>
          <w:szCs w:val="21"/>
          <w:highlight w:val="none"/>
        </w:rPr>
        <w:t>招投标活动，代表本公司（单位）处理招投标活动中的一切事宜，在此：</w:t>
      </w:r>
    </w:p>
    <w:p>
      <w:pPr>
        <w:pStyle w:val="17"/>
        <w:pageBreakBefore w:val="0"/>
        <w:widowControl/>
        <w:kinsoku/>
        <w:overflowPunct/>
        <w:topLinePunct w:val="0"/>
        <w:bidi w:val="0"/>
        <w:spacing w:line="400" w:lineRule="exact"/>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1、提供招标文件中“投标须知”规定的全部投标文件：</w:t>
      </w:r>
    </w:p>
    <w:p>
      <w:pPr>
        <w:pStyle w:val="17"/>
        <w:pageBreakBefore w:val="0"/>
        <w:widowControl/>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（1）上传到政府采购云平台的电子投标文件（含资格证明文件、商务技术文件、报价文件）1份。</w:t>
      </w:r>
    </w:p>
    <w:p>
      <w:pPr>
        <w:pStyle w:val="17"/>
        <w:pageBreakBefore w:val="0"/>
        <w:widowControl/>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（2）以U盘存储的电子备份投标文件（含资格证明文件、商务技术文件、报价文件）1份。</w:t>
      </w:r>
    </w:p>
    <w:p>
      <w:pPr>
        <w:pStyle w:val="17"/>
        <w:pageBreakBefore w:val="0"/>
        <w:widowControl/>
        <w:kinsoku/>
        <w:overflowPunct/>
        <w:topLinePunct w:val="0"/>
        <w:bidi w:val="0"/>
        <w:spacing w:line="400" w:lineRule="exact"/>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2、据此函，签字代表宣布并承诺如下：</w:t>
      </w:r>
    </w:p>
    <w:p>
      <w:pPr>
        <w:pStyle w:val="17"/>
        <w:pageBreakBefore w:val="0"/>
        <w:widowControl/>
        <w:numPr>
          <w:ilvl w:val="0"/>
          <w:numId w:val="14"/>
        </w:numPr>
        <w:kinsoku/>
        <w:overflowPunct/>
        <w:topLinePunct w:val="0"/>
        <w:bidi w:val="0"/>
        <w:spacing w:line="40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我方对招标项目愿以投标价为（大写）：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承担招标文件规定内容。</w:t>
      </w:r>
    </w:p>
    <w:p>
      <w:pPr>
        <w:pStyle w:val="17"/>
        <w:pageBreakBefore w:val="0"/>
        <w:widowControl/>
        <w:kinsoku/>
        <w:overflowPunct/>
        <w:topLinePunct w:val="0"/>
        <w:bidi w:val="0"/>
        <w:spacing w:line="400" w:lineRule="exact"/>
        <w:ind w:left="715" w:leftChars="100" w:hanging="505" w:hanging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（2）本报价已经包含了所供服务应纳的税金及招标文件规定的报价方式应包含的其它费用。本报价在投标有效期内固定不变，并在合同有效期内不受利率波动的影响。</w:t>
      </w:r>
    </w:p>
    <w:p>
      <w:pPr>
        <w:pStyle w:val="17"/>
        <w:pageBreakBefore w:val="0"/>
        <w:widowControl/>
        <w:kinsoku/>
        <w:overflowPunct/>
        <w:topLinePunct w:val="0"/>
        <w:bidi w:val="0"/>
        <w:spacing w:line="400" w:lineRule="exact"/>
        <w:ind w:firstLine="202"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（3）本投标自开标之日起</w:t>
      </w:r>
      <w:r>
        <w:rPr>
          <w:rFonts w:hint="eastAsia" w:ascii="宋体" w:hAnsi="宋体" w:eastAsia="宋体" w:cs="宋体"/>
          <w:color w:val="auto"/>
          <w:sz w:val="21"/>
          <w:szCs w:val="21"/>
          <w:highlight w:val="none"/>
          <w:u w:val="single"/>
        </w:rPr>
        <w:t xml:space="preserve"> 90 </w:t>
      </w:r>
      <w:r>
        <w:rPr>
          <w:rFonts w:hint="eastAsia" w:ascii="宋体" w:hAnsi="宋体" w:eastAsia="宋体" w:cs="宋体"/>
          <w:color w:val="auto"/>
          <w:sz w:val="21"/>
          <w:szCs w:val="21"/>
          <w:highlight w:val="none"/>
        </w:rPr>
        <w:t>天内有效。</w:t>
      </w:r>
    </w:p>
    <w:p>
      <w:pPr>
        <w:pStyle w:val="17"/>
        <w:pageBreakBefore w:val="0"/>
        <w:widowControl/>
        <w:kinsoku/>
        <w:overflowPunct/>
        <w:topLinePunct w:val="0"/>
        <w:bidi w:val="0"/>
        <w:spacing w:line="400" w:lineRule="exact"/>
        <w:ind w:left="715" w:leftChars="100" w:hanging="505" w:hanging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（4）我们已详细审查全部招标文件及有关的澄清/修改文件(若有的话)，我们完全理解并同意放弃对这方面提出任何异议的权利。保证遵守招标文件有关条款规定。</w:t>
      </w:r>
    </w:p>
    <w:p>
      <w:pPr>
        <w:pStyle w:val="17"/>
        <w:pageBreakBefore w:val="0"/>
        <w:widowControl/>
        <w:kinsoku/>
        <w:overflowPunct/>
        <w:topLinePunct w:val="0"/>
        <w:bidi w:val="0"/>
        <w:spacing w:line="400" w:lineRule="exact"/>
        <w:ind w:left="715" w:leftChars="100" w:hanging="505" w:hanging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（5）保证在中标后忠实地执行与招标人所签署的合同，并承担合同规定的责任义务。保证在中标后按照招标文件的规定支付中标服务费。</w:t>
      </w:r>
    </w:p>
    <w:p>
      <w:pPr>
        <w:pStyle w:val="17"/>
        <w:pageBreakBefore w:val="0"/>
        <w:widowControl/>
        <w:kinsoku/>
        <w:overflowPunct/>
        <w:topLinePunct w:val="0"/>
        <w:bidi w:val="0"/>
        <w:spacing w:line="400" w:lineRule="exact"/>
        <w:ind w:firstLine="202"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（6）承诺应贵方要求提供任何与该项目投标有关的数据、情况和技术资料。</w:t>
      </w:r>
    </w:p>
    <w:p>
      <w:pPr>
        <w:pStyle w:val="17"/>
        <w:pageBreakBefore w:val="0"/>
        <w:widowControl/>
        <w:kinsoku/>
        <w:overflowPunct/>
        <w:topLinePunct w:val="0"/>
        <w:bidi w:val="0"/>
        <w:spacing w:line="400" w:lineRule="exact"/>
        <w:ind w:left="614" w:leftChars="100" w:hanging="404" w:hanging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（7）我们承诺，与为招标人采购本次招标的服务进行设计、编制规范和其他文件所委托的咨询公司或其附属机构无任何直接或间接的关联。</w:t>
      </w:r>
    </w:p>
    <w:p>
      <w:pPr>
        <w:pStyle w:val="17"/>
        <w:pageBreakBefore w:val="0"/>
        <w:widowControl/>
        <w:kinsoku/>
        <w:overflowPunct/>
        <w:topLinePunct w:val="0"/>
        <w:bidi w:val="0"/>
        <w:spacing w:line="400" w:lineRule="exact"/>
        <w:ind w:left="404" w:hanging="404" w:hanging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4、我们郑重声明：</w:t>
      </w:r>
    </w:p>
    <w:p>
      <w:pPr>
        <w:pStyle w:val="17"/>
        <w:pageBreakBefore w:val="0"/>
        <w:widowControl/>
        <w:kinsoku/>
        <w:overflowPunct/>
        <w:topLinePunct w:val="0"/>
        <w:bidi w:val="0"/>
        <w:spacing w:line="400" w:lineRule="exact"/>
        <w:ind w:left="404" w:hanging="404" w:hanging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我公司符合有关法律法规规定的参加采购活动应当具备的条件：具有健全的财务会计制度、依法缴纳税收和社会保障资金、参加本次采购活动之前的三年内，在经营活动中无重大违法活动。</w:t>
      </w:r>
    </w:p>
    <w:p>
      <w:pPr>
        <w:pStyle w:val="17"/>
        <w:pageBreakBefore w:val="0"/>
        <w:widowControl/>
        <w:kinsoku/>
        <w:overflowPunct/>
        <w:topLinePunct w:val="0"/>
        <w:bidi w:val="0"/>
        <w:spacing w:line="400" w:lineRule="exact"/>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5、与本投标有关的一切往来通讯请寄：</w:t>
      </w:r>
    </w:p>
    <w:p>
      <w:pPr>
        <w:pStyle w:val="17"/>
        <w:pageBreakBefore w:val="0"/>
        <w:widowControl/>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pStyle w:val="17"/>
        <w:pageBreakBefore w:val="0"/>
        <w:widowControl/>
        <w:kinsoku/>
        <w:overflowPunct/>
        <w:topLinePunct w:val="0"/>
        <w:bidi w:val="0"/>
        <w:spacing w:line="40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邮编：电话：传真：</w:t>
      </w:r>
    </w:p>
    <w:p>
      <w:pPr>
        <w:pStyle w:val="17"/>
        <w:pageBreakBefore w:val="0"/>
        <w:widowControl/>
        <w:kinsoku/>
        <w:overflowPunct/>
        <w:topLinePunct w:val="0"/>
        <w:bidi w:val="0"/>
        <w:spacing w:line="400" w:lineRule="exact"/>
        <w:ind w:firstLine="0"/>
        <w:jc w:val="left"/>
        <w:rPr>
          <w:rFonts w:hint="eastAsia" w:ascii="宋体" w:hAnsi="宋体" w:eastAsia="宋体" w:cs="宋体"/>
          <w:color w:val="auto"/>
          <w:sz w:val="21"/>
          <w:szCs w:val="21"/>
          <w:highlight w:val="none"/>
        </w:rPr>
      </w:pPr>
    </w:p>
    <w:p>
      <w:pPr>
        <w:pStyle w:val="17"/>
        <w:pageBreakBefore w:val="0"/>
        <w:kinsoku/>
        <w:overflowPunct/>
        <w:topLinePunct w:val="0"/>
        <w:bidi w:val="0"/>
        <w:snapToGrid w:val="0"/>
        <w:spacing w:line="400" w:lineRule="exact"/>
        <w:ind w:firstLine="3518" w:firstLineChars="17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pPr>
        <w:pStyle w:val="17"/>
        <w:pageBreakBefore w:val="0"/>
        <w:widowControl/>
        <w:kinsoku/>
        <w:overflowPunct/>
        <w:topLinePunct w:val="0"/>
        <w:bidi w:val="0"/>
        <w:spacing w:line="400" w:lineRule="exact"/>
        <w:ind w:firstLine="3518" w:firstLineChars="174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pageBreakBefore w:val="0"/>
        <w:kinsoku/>
        <w:overflowPunct/>
        <w:topLinePunct w:val="0"/>
        <w:bidi w:val="0"/>
        <w:spacing w:line="400" w:lineRule="exact"/>
        <w:outlineLvl w:val="1"/>
        <w:rPr>
          <w:rFonts w:hint="eastAsia" w:ascii="宋体" w:hAnsi="宋体" w:eastAsia="宋体" w:cs="宋体"/>
          <w:b/>
          <w:color w:val="auto"/>
          <w:szCs w:val="21"/>
          <w:highlight w:val="none"/>
        </w:rPr>
      </w:pPr>
      <w:r>
        <w:rPr>
          <w:rFonts w:hint="eastAsia" w:ascii="宋体" w:hAnsi="宋体" w:eastAsia="宋体" w:cs="宋体"/>
          <w:color w:val="auto"/>
          <w:sz w:val="24"/>
          <w:highlight w:val="none"/>
        </w:rPr>
        <w:br w:type="page"/>
      </w:r>
      <w:bookmarkStart w:id="329" w:name="_Toc4021"/>
      <w:bookmarkStart w:id="330" w:name="_Toc14167"/>
      <w:bookmarkStart w:id="331" w:name="_Toc10162"/>
      <w:r>
        <w:rPr>
          <w:rFonts w:hint="eastAsia" w:ascii="宋体" w:hAnsi="宋体" w:eastAsia="宋体" w:cs="宋体"/>
          <w:b/>
          <w:color w:val="auto"/>
          <w:highlight w:val="none"/>
        </w:rPr>
        <w:t>格式十三：</w:t>
      </w:r>
      <w:bookmarkEnd w:id="329"/>
      <w:bookmarkEnd w:id="330"/>
      <w:bookmarkEnd w:id="331"/>
    </w:p>
    <w:p>
      <w:pPr>
        <w:pageBreakBefore w:val="0"/>
        <w:kinsoku/>
        <w:overflowPunct/>
        <w:topLinePunct w:val="0"/>
        <w:bidi w:val="0"/>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pPr>
        <w:pStyle w:val="17"/>
        <w:pageBreakBefore w:val="0"/>
        <w:kinsoku/>
        <w:overflowPunct/>
        <w:topLinePunct w:val="0"/>
        <w:bidi w:val="0"/>
        <w:spacing w:line="400" w:lineRule="exact"/>
        <w:ind w:left="-178" w:leftChars="-85" w:firstLine="525" w:firstLineChars="250"/>
        <w:rPr>
          <w:rFonts w:hint="eastAsia" w:ascii="宋体" w:hAnsi="宋体" w:eastAsia="宋体" w:cs="宋体"/>
          <w:color w:val="auto"/>
          <w:spacing w:val="0"/>
          <w:kern w:val="2"/>
          <w:sz w:val="21"/>
          <w:szCs w:val="21"/>
          <w:highlight w:val="none"/>
        </w:rPr>
      </w:pPr>
      <w:r>
        <w:rPr>
          <w:rFonts w:hint="eastAsia" w:ascii="宋体" w:hAnsi="宋体" w:eastAsia="宋体" w:cs="宋体"/>
          <w:color w:val="auto"/>
          <w:spacing w:val="0"/>
          <w:kern w:val="2"/>
          <w:sz w:val="21"/>
          <w:szCs w:val="21"/>
          <w:highlight w:val="none"/>
        </w:rPr>
        <w:t>项目编号：</w:t>
      </w:r>
      <w:r>
        <w:rPr>
          <w:rFonts w:hint="eastAsia" w:ascii="宋体" w:hAnsi="宋体" w:eastAsia="宋体" w:cs="宋体"/>
          <w:color w:val="auto"/>
          <w:spacing w:val="0"/>
          <w:kern w:val="2"/>
          <w:sz w:val="21"/>
          <w:szCs w:val="21"/>
          <w:highlight w:val="none"/>
          <w:u w:val="single"/>
        </w:rPr>
        <w:t xml:space="preserve">                  </w:t>
      </w:r>
      <w:r>
        <w:rPr>
          <w:rFonts w:hint="eastAsia" w:ascii="宋体" w:hAnsi="宋体" w:eastAsia="宋体" w:cs="宋体"/>
          <w:color w:val="auto"/>
          <w:spacing w:val="0"/>
          <w:kern w:val="2"/>
          <w:sz w:val="21"/>
          <w:szCs w:val="21"/>
          <w:highlight w:val="none"/>
        </w:rPr>
        <w:t>项目名称：</w:t>
      </w:r>
      <w:r>
        <w:rPr>
          <w:rFonts w:hint="eastAsia" w:ascii="宋体" w:hAnsi="宋体" w:eastAsia="宋体" w:cs="宋体"/>
          <w:color w:val="auto"/>
          <w:spacing w:val="0"/>
          <w:kern w:val="2"/>
          <w:sz w:val="21"/>
          <w:szCs w:val="21"/>
          <w:highlight w:val="none"/>
          <w:u w:val="single"/>
        </w:rPr>
        <w:t xml:space="preserve">                       </w:t>
      </w:r>
      <w:r>
        <w:rPr>
          <w:rFonts w:hint="eastAsia" w:ascii="宋体" w:hAnsi="宋体" w:eastAsia="宋体" w:cs="宋体"/>
          <w:color w:val="auto"/>
          <w:spacing w:val="0"/>
          <w:kern w:val="2"/>
          <w:sz w:val="21"/>
          <w:szCs w:val="21"/>
          <w:highlight w:val="none"/>
        </w:rPr>
        <w:t>单位：元</w:t>
      </w:r>
    </w:p>
    <w:tbl>
      <w:tblPr>
        <w:tblStyle w:val="40"/>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148"/>
        <w:gridCol w:w="3573"/>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35"/>
              <w:pageBreakBefore w:val="0"/>
              <w:widowControl w:val="0"/>
              <w:kinsoku/>
              <w:overflowPunct/>
              <w:topLinePunct w:val="0"/>
              <w:bidi w:val="0"/>
              <w:snapToGrid w:val="0"/>
              <w:spacing w:before="0" w:beforeAutospacing="0" w:after="120" w:afterAutospacing="0"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lang w:bidi="ar"/>
              </w:rPr>
              <w:t>序号</w:t>
            </w:r>
          </w:p>
        </w:tc>
        <w:tc>
          <w:tcPr>
            <w:tcW w:w="2148" w:type="dxa"/>
            <w:tcBorders>
              <w:top w:val="single" w:color="auto" w:sz="4" w:space="0"/>
              <w:left w:val="single" w:color="auto" w:sz="4" w:space="0"/>
              <w:bottom w:val="single" w:color="auto" w:sz="4" w:space="0"/>
              <w:right w:val="single" w:color="auto" w:sz="4" w:space="0"/>
            </w:tcBorders>
            <w:vAlign w:val="center"/>
          </w:tcPr>
          <w:p>
            <w:pPr>
              <w:pStyle w:val="35"/>
              <w:pageBreakBefore w:val="0"/>
              <w:widowControl w:val="0"/>
              <w:kinsoku/>
              <w:overflowPunct/>
              <w:topLinePunct w:val="0"/>
              <w:bidi w:val="0"/>
              <w:snapToGrid w:val="0"/>
              <w:spacing w:before="0" w:beforeAutospacing="0" w:after="120" w:afterAutospacing="0" w:line="400" w:lineRule="exact"/>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采购内容</w:t>
            </w:r>
          </w:p>
        </w:tc>
        <w:tc>
          <w:tcPr>
            <w:tcW w:w="3573" w:type="dxa"/>
            <w:tcBorders>
              <w:top w:val="single" w:color="auto" w:sz="4" w:space="0"/>
              <w:left w:val="single" w:color="auto" w:sz="4" w:space="0"/>
              <w:right w:val="single" w:color="auto" w:sz="4" w:space="0"/>
            </w:tcBorders>
            <w:vAlign w:val="center"/>
          </w:tcPr>
          <w:p>
            <w:pPr>
              <w:pStyle w:val="35"/>
              <w:pageBreakBefore w:val="0"/>
              <w:widowControl w:val="0"/>
              <w:kinsoku/>
              <w:overflowPunct/>
              <w:topLinePunct w:val="0"/>
              <w:bidi w:val="0"/>
              <w:snapToGrid w:val="0"/>
              <w:spacing w:before="0" w:beforeAutospacing="0" w:after="120" w:afterAutospacing="0" w:line="400" w:lineRule="exact"/>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投标报价</w:t>
            </w:r>
          </w:p>
        </w:tc>
        <w:tc>
          <w:tcPr>
            <w:tcW w:w="2348" w:type="dxa"/>
            <w:tcBorders>
              <w:top w:val="single" w:color="auto" w:sz="4" w:space="0"/>
              <w:left w:val="single" w:color="auto" w:sz="4" w:space="0"/>
              <w:bottom w:val="single" w:color="auto" w:sz="4" w:space="0"/>
              <w:right w:val="single" w:color="auto" w:sz="4" w:space="0"/>
            </w:tcBorders>
            <w:vAlign w:val="center"/>
          </w:tcPr>
          <w:p>
            <w:pPr>
              <w:pStyle w:val="35"/>
              <w:pageBreakBefore w:val="0"/>
              <w:widowControl w:val="0"/>
              <w:kinsoku/>
              <w:overflowPunct/>
              <w:topLinePunct w:val="0"/>
              <w:bidi w:val="0"/>
              <w:snapToGrid w:val="0"/>
              <w:spacing w:before="0" w:beforeAutospacing="0" w:after="120" w:afterAutospacing="0" w:line="400" w:lineRule="exact"/>
              <w:jc w:val="both"/>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79" w:type="dxa"/>
            <w:vMerge w:val="restart"/>
            <w:tcBorders>
              <w:top w:val="single" w:color="auto" w:sz="4" w:space="0"/>
              <w:left w:val="single" w:color="auto" w:sz="4" w:space="0"/>
              <w:right w:val="single" w:color="auto" w:sz="4" w:space="0"/>
            </w:tcBorders>
            <w:vAlign w:val="center"/>
          </w:tcPr>
          <w:p>
            <w:pPr>
              <w:pStyle w:val="35"/>
              <w:pageBreakBefore w:val="0"/>
              <w:widowControl w:val="0"/>
              <w:kinsoku/>
              <w:overflowPunct/>
              <w:topLinePunct w:val="0"/>
              <w:bidi w:val="0"/>
              <w:snapToGrid w:val="0"/>
              <w:spacing w:before="0" w:beforeAutospacing="0" w:after="120" w:afterAutospacing="0" w:line="400" w:lineRule="exact"/>
              <w:ind w:firstLine="420"/>
              <w:jc w:val="both"/>
              <w:rPr>
                <w:rFonts w:hint="eastAsia" w:ascii="宋体" w:hAnsi="宋体" w:eastAsia="宋体" w:cs="宋体"/>
                <w:color w:val="auto"/>
                <w:sz w:val="21"/>
                <w:szCs w:val="21"/>
                <w:highlight w:val="none"/>
              </w:rPr>
            </w:pPr>
          </w:p>
        </w:tc>
        <w:tc>
          <w:tcPr>
            <w:tcW w:w="2148" w:type="dxa"/>
            <w:vMerge w:val="restart"/>
            <w:tcBorders>
              <w:top w:val="single" w:color="auto" w:sz="4" w:space="0"/>
              <w:left w:val="single" w:color="auto" w:sz="4" w:space="0"/>
              <w:right w:val="single" w:color="auto" w:sz="4" w:space="0"/>
            </w:tcBorders>
            <w:vAlign w:val="center"/>
          </w:tcPr>
          <w:p>
            <w:pPr>
              <w:pStyle w:val="35"/>
              <w:pageBreakBefore w:val="0"/>
              <w:widowControl w:val="0"/>
              <w:kinsoku/>
              <w:overflowPunct/>
              <w:topLinePunct w:val="0"/>
              <w:bidi w:val="0"/>
              <w:spacing w:before="0" w:beforeAutospacing="0" w:after="120" w:afterAutospacing="0" w:line="400" w:lineRule="exact"/>
              <w:jc w:val="both"/>
              <w:rPr>
                <w:rFonts w:hint="eastAsia" w:ascii="宋体" w:hAnsi="宋体" w:eastAsia="宋体" w:cs="宋体"/>
                <w:color w:val="auto"/>
                <w:sz w:val="21"/>
                <w:szCs w:val="21"/>
                <w:highlight w:val="none"/>
              </w:rPr>
            </w:pPr>
          </w:p>
        </w:tc>
        <w:tc>
          <w:tcPr>
            <w:tcW w:w="3573" w:type="dxa"/>
            <w:tcBorders>
              <w:left w:val="single" w:color="auto" w:sz="4" w:space="0"/>
              <w:bottom w:val="single" w:color="auto" w:sz="4" w:space="0"/>
              <w:right w:val="single" w:color="auto" w:sz="4" w:space="0"/>
            </w:tcBorders>
            <w:vAlign w:val="center"/>
          </w:tcPr>
          <w:p>
            <w:pPr>
              <w:pStyle w:val="35"/>
              <w:pageBreakBefore w:val="0"/>
              <w:widowControl w:val="0"/>
              <w:kinsoku/>
              <w:overflowPunct/>
              <w:topLinePunct w:val="0"/>
              <w:bidi w:val="0"/>
              <w:spacing w:before="0" w:beforeAutospacing="0" w:after="120" w:afterAutospacing="0"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2348" w:type="dxa"/>
            <w:vMerge w:val="restart"/>
            <w:tcBorders>
              <w:top w:val="single" w:color="auto" w:sz="4" w:space="0"/>
              <w:left w:val="single" w:color="auto" w:sz="4" w:space="0"/>
              <w:right w:val="single" w:color="auto" w:sz="4" w:space="0"/>
            </w:tcBorders>
            <w:vAlign w:val="center"/>
          </w:tcPr>
          <w:p>
            <w:pPr>
              <w:pStyle w:val="35"/>
              <w:pageBreakBefore w:val="0"/>
              <w:widowControl w:val="0"/>
              <w:kinsoku/>
              <w:overflowPunct/>
              <w:topLinePunct w:val="0"/>
              <w:bidi w:val="0"/>
              <w:spacing w:before="0" w:beforeAutospacing="0" w:after="120" w:afterAutospacing="0" w:line="400" w:lineRule="exact"/>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79" w:type="dxa"/>
            <w:vMerge w:val="continue"/>
            <w:tcBorders>
              <w:left w:val="single" w:color="auto" w:sz="4" w:space="0"/>
              <w:bottom w:val="single" w:color="auto" w:sz="4" w:space="0"/>
              <w:right w:val="single" w:color="auto" w:sz="4" w:space="0"/>
            </w:tcBorders>
            <w:vAlign w:val="center"/>
          </w:tcPr>
          <w:p>
            <w:pPr>
              <w:pStyle w:val="35"/>
              <w:pageBreakBefore w:val="0"/>
              <w:widowControl w:val="0"/>
              <w:kinsoku/>
              <w:overflowPunct/>
              <w:topLinePunct w:val="0"/>
              <w:bidi w:val="0"/>
              <w:spacing w:before="0" w:beforeAutospacing="0" w:after="120" w:afterAutospacing="0" w:line="400" w:lineRule="exact"/>
              <w:jc w:val="both"/>
              <w:rPr>
                <w:rFonts w:hint="eastAsia" w:ascii="宋体" w:hAnsi="宋体" w:eastAsia="宋体" w:cs="宋体"/>
                <w:color w:val="auto"/>
                <w:highlight w:val="none"/>
              </w:rPr>
            </w:pPr>
          </w:p>
        </w:tc>
        <w:tc>
          <w:tcPr>
            <w:tcW w:w="2148" w:type="dxa"/>
            <w:vMerge w:val="continue"/>
            <w:tcBorders>
              <w:left w:val="single" w:color="auto" w:sz="4" w:space="0"/>
              <w:bottom w:val="single" w:color="auto" w:sz="4" w:space="0"/>
              <w:right w:val="single" w:color="auto" w:sz="4" w:space="0"/>
            </w:tcBorders>
            <w:vAlign w:val="center"/>
          </w:tcPr>
          <w:p>
            <w:pPr>
              <w:pStyle w:val="35"/>
              <w:pageBreakBefore w:val="0"/>
              <w:widowControl w:val="0"/>
              <w:kinsoku/>
              <w:overflowPunct/>
              <w:topLinePunct w:val="0"/>
              <w:bidi w:val="0"/>
              <w:spacing w:before="0" w:beforeAutospacing="0" w:after="120" w:afterAutospacing="0" w:line="400" w:lineRule="exact"/>
              <w:jc w:val="both"/>
              <w:rPr>
                <w:rFonts w:hint="eastAsia" w:ascii="宋体" w:hAnsi="宋体" w:eastAsia="宋体" w:cs="宋体"/>
                <w:color w:val="auto"/>
                <w:highlight w:val="none"/>
              </w:rPr>
            </w:pPr>
          </w:p>
        </w:tc>
        <w:tc>
          <w:tcPr>
            <w:tcW w:w="3573" w:type="dxa"/>
            <w:tcBorders>
              <w:left w:val="single" w:color="auto" w:sz="4" w:space="0"/>
              <w:bottom w:val="single" w:color="auto" w:sz="4" w:space="0"/>
              <w:right w:val="single" w:color="auto" w:sz="4" w:space="0"/>
            </w:tcBorders>
            <w:vAlign w:val="center"/>
          </w:tcPr>
          <w:p>
            <w:pPr>
              <w:pStyle w:val="35"/>
              <w:pageBreakBefore w:val="0"/>
              <w:widowControl w:val="0"/>
              <w:kinsoku/>
              <w:overflowPunct/>
              <w:topLinePunct w:val="0"/>
              <w:bidi w:val="0"/>
              <w:spacing w:before="0" w:beforeAutospacing="0" w:after="120" w:afterAutospacing="0"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2348" w:type="dxa"/>
            <w:vMerge w:val="continue"/>
            <w:tcBorders>
              <w:left w:val="single" w:color="auto" w:sz="4" w:space="0"/>
              <w:bottom w:val="single" w:color="auto" w:sz="4" w:space="0"/>
              <w:right w:val="single" w:color="auto" w:sz="4" w:space="0"/>
            </w:tcBorders>
            <w:vAlign w:val="center"/>
          </w:tcPr>
          <w:p>
            <w:pPr>
              <w:pStyle w:val="35"/>
              <w:pageBreakBefore w:val="0"/>
              <w:widowControl w:val="0"/>
              <w:kinsoku/>
              <w:overflowPunct/>
              <w:topLinePunct w:val="0"/>
              <w:bidi w:val="0"/>
              <w:spacing w:before="0" w:beforeAutospacing="0" w:after="120" w:afterAutospacing="0" w:line="400" w:lineRule="exact"/>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3427" w:type="dxa"/>
            <w:gridSpan w:val="2"/>
            <w:tcBorders>
              <w:top w:val="single" w:color="auto" w:sz="4" w:space="0"/>
              <w:left w:val="single" w:color="auto" w:sz="4" w:space="0"/>
              <w:bottom w:val="single" w:color="auto" w:sz="4" w:space="0"/>
              <w:right w:val="single" w:color="auto" w:sz="4" w:space="0"/>
            </w:tcBorders>
            <w:vAlign w:val="center"/>
          </w:tcPr>
          <w:p>
            <w:pPr>
              <w:pStyle w:val="35"/>
              <w:pageBreakBefore w:val="0"/>
              <w:widowControl w:val="0"/>
              <w:kinsoku/>
              <w:overflowPunct/>
              <w:topLinePunct w:val="0"/>
              <w:bidi w:val="0"/>
              <w:snapToGrid w:val="0"/>
              <w:spacing w:before="0" w:beforeAutospacing="0" w:after="120" w:afterAutospacing="0" w:line="400" w:lineRule="exact"/>
              <w:ind w:firstLine="404"/>
              <w:jc w:val="center"/>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投标声明</w:t>
            </w:r>
          </w:p>
        </w:tc>
        <w:tc>
          <w:tcPr>
            <w:tcW w:w="5921" w:type="dxa"/>
            <w:gridSpan w:val="2"/>
            <w:tcBorders>
              <w:top w:val="single" w:color="auto" w:sz="4" w:space="0"/>
              <w:left w:val="single" w:color="auto" w:sz="4" w:space="0"/>
              <w:bottom w:val="single" w:color="auto" w:sz="4" w:space="0"/>
              <w:right w:val="single" w:color="auto" w:sz="4" w:space="0"/>
            </w:tcBorders>
            <w:vAlign w:val="center"/>
          </w:tcPr>
          <w:p>
            <w:pPr>
              <w:pStyle w:val="35"/>
              <w:pageBreakBefore w:val="0"/>
              <w:widowControl w:val="0"/>
              <w:kinsoku/>
              <w:overflowPunct/>
              <w:topLinePunct w:val="0"/>
              <w:bidi w:val="0"/>
              <w:spacing w:before="0" w:beforeAutospacing="0" w:after="120" w:afterAutospacing="0" w:line="400" w:lineRule="exact"/>
              <w:ind w:firstLine="404"/>
              <w:rPr>
                <w:rFonts w:hint="eastAsia" w:ascii="宋体" w:hAnsi="宋体" w:eastAsia="宋体" w:cs="宋体"/>
                <w:color w:val="auto"/>
                <w:spacing w:val="-4"/>
                <w:kern w:val="2"/>
                <w:sz w:val="21"/>
                <w:szCs w:val="21"/>
                <w:highlight w:val="none"/>
                <w:lang w:bidi="ar"/>
              </w:rPr>
            </w:pPr>
          </w:p>
        </w:tc>
      </w:tr>
    </w:tbl>
    <w:p>
      <w:pPr>
        <w:pageBreakBefore w:val="0"/>
        <w:kinsoku/>
        <w:overflowPunct/>
        <w:topLinePunct w:val="0"/>
        <w:bidi w:val="0"/>
        <w:snapToGrid w:val="0"/>
        <w:spacing w:before="50" w:after="50"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 1、报价一经涂改，应在涂改处加盖单位公章或者由法定代表人或授权委托人签字或盖章，否则其投标作无效标处理。</w:t>
      </w:r>
    </w:p>
    <w:p>
      <w:pPr>
        <w:pageBreakBefore w:val="0"/>
        <w:kinsoku/>
        <w:overflowPunct/>
        <w:topLinePunct w:val="0"/>
        <w:bidi w:val="0"/>
        <w:snapToGrid w:val="0"/>
        <w:spacing w:before="50" w:after="5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2、以上报价合计应与“投标分项报价表”中的“投标总价”相一致。</w:t>
      </w:r>
    </w:p>
    <w:p>
      <w:pPr>
        <w:pStyle w:val="17"/>
        <w:pageBreakBefore w:val="0"/>
        <w:kinsoku/>
        <w:overflowPunct/>
        <w:topLinePunct w:val="0"/>
        <w:bidi w:val="0"/>
        <w:spacing w:line="400" w:lineRule="exact"/>
        <w:ind w:left="-178" w:leftChars="-85" w:firstLine="505" w:firstLineChars="250"/>
        <w:rPr>
          <w:rFonts w:hint="eastAsia" w:ascii="宋体" w:hAnsi="宋体" w:eastAsia="宋体" w:cs="宋体"/>
          <w:color w:val="auto"/>
          <w:sz w:val="21"/>
          <w:szCs w:val="21"/>
          <w:highlight w:val="none"/>
        </w:rPr>
      </w:pPr>
    </w:p>
    <w:p>
      <w:pPr>
        <w:pageBreakBefore w:val="0"/>
        <w:kinsoku/>
        <w:overflowPunct/>
        <w:topLinePunct w:val="0"/>
        <w:bidi w:val="0"/>
        <w:spacing w:line="400" w:lineRule="exact"/>
        <w:rPr>
          <w:rFonts w:hint="eastAsia" w:ascii="宋体" w:hAnsi="宋体" w:eastAsia="宋体" w:cs="宋体"/>
          <w:color w:val="auto"/>
          <w:szCs w:val="21"/>
          <w:highlight w:val="none"/>
        </w:rPr>
      </w:pPr>
    </w:p>
    <w:p>
      <w:pPr>
        <w:pageBreakBefore w:val="0"/>
        <w:widowControl/>
        <w:kinsoku/>
        <w:overflowPunct/>
        <w:topLinePunct w:val="0"/>
        <w:bidi w:val="0"/>
        <w:spacing w:line="400" w:lineRule="exact"/>
        <w:ind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人（盖章）：</w:t>
      </w:r>
    </w:p>
    <w:p>
      <w:pPr>
        <w:pStyle w:val="17"/>
        <w:pageBreakBefore w:val="0"/>
        <w:widowControl/>
        <w:kinsoku/>
        <w:overflowPunct/>
        <w:topLinePunct w:val="0"/>
        <w:bidi w:val="0"/>
        <w:spacing w:line="400" w:lineRule="exact"/>
        <w:ind w:firstLine="5040" w:firstLineChars="240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日    期：</w:t>
      </w:r>
    </w:p>
    <w:p>
      <w:pPr>
        <w:pageBreakBefore w:val="0"/>
        <w:widowControl/>
        <w:kinsoku/>
        <w:overflowPunct/>
        <w:topLinePunct w:val="0"/>
        <w:bidi w:val="0"/>
        <w:spacing w:line="400" w:lineRule="exact"/>
        <w:outlineLvl w:val="1"/>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br w:type="page"/>
      </w:r>
      <w:bookmarkStart w:id="332" w:name="_Toc460857948"/>
      <w:bookmarkStart w:id="333" w:name="_Toc27480"/>
      <w:bookmarkStart w:id="334" w:name="_Toc12827"/>
      <w:bookmarkStart w:id="335" w:name="_Toc16973"/>
      <w:r>
        <w:rPr>
          <w:rFonts w:hint="eastAsia" w:ascii="宋体" w:hAnsi="宋体" w:eastAsia="宋体" w:cs="宋体"/>
          <w:b/>
          <w:color w:val="auto"/>
          <w:highlight w:val="none"/>
        </w:rPr>
        <w:t>格式十四：</w:t>
      </w:r>
      <w:bookmarkEnd w:id="332"/>
      <w:bookmarkEnd w:id="333"/>
      <w:bookmarkEnd w:id="334"/>
      <w:bookmarkEnd w:id="335"/>
    </w:p>
    <w:p>
      <w:pPr>
        <w:pageBreakBefore w:val="0"/>
        <w:kinsoku/>
        <w:overflowPunct/>
        <w:topLinePunct w:val="0"/>
        <w:bidi w:val="0"/>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投标分项报价表</w:t>
      </w:r>
    </w:p>
    <w:p>
      <w:pPr>
        <w:pageBreakBefore w:val="0"/>
        <w:kinsoku/>
        <w:overflowPunct/>
        <w:topLinePunct w:val="0"/>
        <w:bidi w:val="0"/>
        <w:spacing w:line="400" w:lineRule="exact"/>
        <w:jc w:val="center"/>
        <w:rPr>
          <w:rFonts w:hint="eastAsia" w:ascii="宋体" w:hAnsi="宋体" w:eastAsia="宋体" w:cs="宋体"/>
          <w:b/>
          <w:color w:val="auto"/>
          <w:sz w:val="24"/>
          <w:szCs w:val="21"/>
          <w:highlight w:val="none"/>
        </w:rPr>
      </w:pPr>
    </w:p>
    <w:p>
      <w:pPr>
        <w:pageBreakBefore w:val="0"/>
        <w:kinsoku/>
        <w:overflowPunct/>
        <w:topLinePunct w:val="0"/>
        <w:bidi w:val="0"/>
        <w:snapToGrid w:val="0"/>
        <w:spacing w:before="50" w:after="5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项目名称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ageBreakBefore w:val="0"/>
        <w:kinsoku/>
        <w:wordWrap w:val="0"/>
        <w:overflowPunct/>
        <w:topLinePunct w:val="0"/>
        <w:bidi w:val="0"/>
        <w:spacing w:line="400" w:lineRule="exact"/>
        <w:jc w:val="right"/>
        <w:rPr>
          <w:rFonts w:hint="eastAsia" w:ascii="宋体" w:hAnsi="宋体" w:eastAsia="宋体" w:cs="宋体"/>
          <w:color w:val="auto"/>
          <w:szCs w:val="21"/>
          <w:highlight w:val="none"/>
          <w:u w:val="single"/>
        </w:rPr>
      </w:pPr>
    </w:p>
    <w:tbl>
      <w:tblPr>
        <w:tblStyle w:val="40"/>
        <w:tblW w:w="0" w:type="auto"/>
        <w:tblInd w:w="0" w:type="dxa"/>
        <w:tblLayout w:type="fixed"/>
        <w:tblCellMar>
          <w:top w:w="0" w:type="dxa"/>
          <w:left w:w="108" w:type="dxa"/>
          <w:bottom w:w="0" w:type="dxa"/>
          <w:right w:w="108" w:type="dxa"/>
        </w:tblCellMar>
      </w:tblPr>
      <w:tblGrid>
        <w:gridCol w:w="817"/>
        <w:gridCol w:w="3119"/>
        <w:gridCol w:w="850"/>
        <w:gridCol w:w="1305"/>
        <w:gridCol w:w="1672"/>
        <w:gridCol w:w="1701"/>
      </w:tblGrid>
      <w:tr>
        <w:tblPrEx>
          <w:tblCellMar>
            <w:top w:w="0" w:type="dxa"/>
            <w:left w:w="108" w:type="dxa"/>
            <w:bottom w:w="0" w:type="dxa"/>
            <w:right w:w="108" w:type="dxa"/>
          </w:tblCellMar>
        </w:tblPrEx>
        <w:trPr>
          <w:trHeight w:val="680" w:hRule="atLeast"/>
        </w:trPr>
        <w:tc>
          <w:tcPr>
            <w:tcW w:w="817" w:type="dxa"/>
            <w:tcBorders>
              <w:top w:val="single" w:color="auto" w:sz="8" w:space="0"/>
              <w:left w:val="single" w:color="auto" w:sz="8" w:space="0"/>
              <w:bottom w:val="single" w:color="auto" w:sz="4"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3119"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项目名称</w:t>
            </w:r>
          </w:p>
        </w:tc>
        <w:tc>
          <w:tcPr>
            <w:tcW w:w="850"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单位</w:t>
            </w:r>
          </w:p>
        </w:tc>
        <w:tc>
          <w:tcPr>
            <w:tcW w:w="1305" w:type="dxa"/>
            <w:tcBorders>
              <w:top w:val="single" w:color="auto" w:sz="8" w:space="0"/>
              <w:left w:val="single" w:color="auto" w:sz="8" w:space="0"/>
              <w:bottom w:val="single" w:color="auto" w:sz="8" w:space="0"/>
              <w:right w:val="single" w:color="auto" w:sz="4" w:space="0"/>
            </w:tcBorders>
            <w:vAlign w:val="center"/>
          </w:tcPr>
          <w:p>
            <w:pPr>
              <w:pageBreakBefore w:val="0"/>
              <w:kinsoku/>
              <w:overflowPunct/>
              <w:topLinePunct w:val="0"/>
              <w:bidi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c>
          <w:tcPr>
            <w:tcW w:w="1672" w:type="dxa"/>
            <w:tcBorders>
              <w:top w:val="single" w:color="auto" w:sz="8" w:space="0"/>
              <w:left w:val="single" w:color="auto" w:sz="4"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单价（元）</w:t>
            </w:r>
          </w:p>
        </w:tc>
        <w:tc>
          <w:tcPr>
            <w:tcW w:w="1701"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总价（元）</w:t>
            </w:r>
          </w:p>
        </w:tc>
      </w:tr>
      <w:tr>
        <w:tblPrEx>
          <w:tblCellMar>
            <w:top w:w="0" w:type="dxa"/>
            <w:left w:w="108" w:type="dxa"/>
            <w:bottom w:w="0" w:type="dxa"/>
            <w:right w:w="108" w:type="dxa"/>
          </w:tblCellMar>
        </w:tblPrEx>
        <w:trPr>
          <w:trHeight w:val="680" w:hRule="atLeast"/>
        </w:trPr>
        <w:tc>
          <w:tcPr>
            <w:tcW w:w="817" w:type="dxa"/>
            <w:tcBorders>
              <w:top w:val="single" w:color="auto" w:sz="8" w:space="0"/>
              <w:left w:val="single" w:color="auto" w:sz="8" w:space="0"/>
              <w:bottom w:val="single" w:color="auto" w:sz="4"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119"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305" w:type="dxa"/>
            <w:tcBorders>
              <w:top w:val="single" w:color="auto" w:sz="8" w:space="0"/>
              <w:left w:val="single" w:color="auto" w:sz="8" w:space="0"/>
              <w:bottom w:val="single" w:color="auto" w:sz="8" w:space="0"/>
              <w:right w:val="single" w:color="auto" w:sz="4"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672" w:type="dxa"/>
            <w:tcBorders>
              <w:top w:val="single" w:color="auto" w:sz="8" w:space="0"/>
              <w:left w:val="single" w:color="auto" w:sz="4"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680" w:hRule="atLeast"/>
        </w:trPr>
        <w:tc>
          <w:tcPr>
            <w:tcW w:w="817" w:type="dxa"/>
            <w:tcBorders>
              <w:top w:val="single" w:color="auto" w:sz="8" w:space="0"/>
              <w:left w:val="single" w:color="auto" w:sz="8" w:space="0"/>
              <w:bottom w:val="single" w:color="auto" w:sz="4"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119"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305" w:type="dxa"/>
            <w:tcBorders>
              <w:top w:val="single" w:color="auto" w:sz="8" w:space="0"/>
              <w:left w:val="single" w:color="auto" w:sz="8" w:space="0"/>
              <w:bottom w:val="single" w:color="auto" w:sz="8" w:space="0"/>
              <w:right w:val="single" w:color="auto" w:sz="4"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672" w:type="dxa"/>
            <w:tcBorders>
              <w:top w:val="single" w:color="auto" w:sz="8" w:space="0"/>
              <w:left w:val="single" w:color="auto" w:sz="4"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680" w:hRule="atLeast"/>
        </w:trPr>
        <w:tc>
          <w:tcPr>
            <w:tcW w:w="817" w:type="dxa"/>
            <w:tcBorders>
              <w:top w:val="single" w:color="auto" w:sz="8" w:space="0"/>
              <w:left w:val="single" w:color="auto" w:sz="8" w:space="0"/>
              <w:bottom w:val="single" w:color="auto" w:sz="4"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119"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305" w:type="dxa"/>
            <w:tcBorders>
              <w:top w:val="single" w:color="auto" w:sz="8" w:space="0"/>
              <w:left w:val="single" w:color="auto" w:sz="8" w:space="0"/>
              <w:bottom w:val="single" w:color="auto" w:sz="8" w:space="0"/>
              <w:right w:val="single" w:color="auto" w:sz="4"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672" w:type="dxa"/>
            <w:tcBorders>
              <w:top w:val="single" w:color="auto" w:sz="8" w:space="0"/>
              <w:left w:val="single" w:color="auto" w:sz="4"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680" w:hRule="atLeast"/>
        </w:trPr>
        <w:tc>
          <w:tcPr>
            <w:tcW w:w="817" w:type="dxa"/>
            <w:tcBorders>
              <w:top w:val="single" w:color="auto" w:sz="8" w:space="0"/>
              <w:left w:val="single" w:color="auto" w:sz="8" w:space="0"/>
              <w:bottom w:val="single" w:color="auto" w:sz="4"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3119"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50"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305" w:type="dxa"/>
            <w:tcBorders>
              <w:top w:val="single" w:color="auto" w:sz="8" w:space="0"/>
              <w:left w:val="single" w:color="auto" w:sz="8" w:space="0"/>
              <w:bottom w:val="single" w:color="auto" w:sz="8" w:space="0"/>
              <w:right w:val="single" w:color="auto" w:sz="4"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672" w:type="dxa"/>
            <w:tcBorders>
              <w:top w:val="single" w:color="auto" w:sz="8" w:space="0"/>
              <w:left w:val="single" w:color="auto" w:sz="4"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680" w:hRule="atLeast"/>
        </w:trPr>
        <w:tc>
          <w:tcPr>
            <w:tcW w:w="817" w:type="dxa"/>
            <w:tcBorders>
              <w:top w:val="single" w:color="auto" w:sz="8" w:space="0"/>
              <w:left w:val="single" w:color="auto" w:sz="8" w:space="0"/>
              <w:bottom w:val="single" w:color="auto" w:sz="4"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3119"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rPr>
                <w:rFonts w:hint="eastAsia" w:ascii="宋体" w:hAnsi="宋体" w:eastAsia="宋体" w:cs="宋体"/>
                <w:color w:val="auto"/>
                <w:szCs w:val="21"/>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305" w:type="dxa"/>
            <w:tcBorders>
              <w:top w:val="single" w:color="auto" w:sz="8" w:space="0"/>
              <w:left w:val="single" w:color="auto" w:sz="8" w:space="0"/>
              <w:bottom w:val="single" w:color="auto" w:sz="8" w:space="0"/>
              <w:right w:val="single" w:color="auto" w:sz="4"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672" w:type="dxa"/>
            <w:tcBorders>
              <w:top w:val="single" w:color="auto" w:sz="8" w:space="0"/>
              <w:left w:val="single" w:color="auto" w:sz="4"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pageBreakBefore w:val="0"/>
              <w:kinsoku/>
              <w:overflowPunct/>
              <w:topLinePunct w:val="0"/>
              <w:bidi w:val="0"/>
              <w:spacing w:line="400" w:lineRule="exact"/>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680" w:hRule="atLeast"/>
        </w:trPr>
        <w:tc>
          <w:tcPr>
            <w:tcW w:w="7763" w:type="dxa"/>
            <w:gridSpan w:val="5"/>
            <w:tcBorders>
              <w:left w:val="single" w:color="auto" w:sz="8" w:space="0"/>
              <w:bottom w:val="single" w:color="auto" w:sz="8" w:space="0"/>
              <w:right w:val="single" w:color="auto" w:sz="4" w:space="0"/>
            </w:tcBorders>
            <w:vAlign w:val="center"/>
          </w:tcPr>
          <w:p>
            <w:pPr>
              <w:pageBreakBefore w:val="0"/>
              <w:kinsoku/>
              <w:overflowPunct/>
              <w:topLinePunct w:val="0"/>
              <w:bidi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总计</w:t>
            </w:r>
          </w:p>
        </w:tc>
        <w:tc>
          <w:tcPr>
            <w:tcW w:w="1701" w:type="dxa"/>
            <w:tcBorders>
              <w:top w:val="single" w:color="auto" w:sz="4" w:space="0"/>
              <w:left w:val="single" w:color="auto" w:sz="4" w:space="0"/>
              <w:bottom w:val="single" w:color="auto" w:sz="8" w:space="0"/>
              <w:right w:val="single" w:color="auto" w:sz="8" w:space="0"/>
            </w:tcBorders>
            <w:vAlign w:val="center"/>
          </w:tcPr>
          <w:p>
            <w:pPr>
              <w:pageBreakBefore w:val="0"/>
              <w:kinsoku/>
              <w:overflowPunct/>
              <w:topLinePunct w:val="0"/>
              <w:bidi w:val="0"/>
              <w:spacing w:line="400" w:lineRule="exact"/>
              <w:rPr>
                <w:rFonts w:hint="eastAsia" w:ascii="宋体" w:hAnsi="宋体" w:eastAsia="宋体" w:cs="宋体"/>
                <w:b/>
                <w:color w:val="auto"/>
                <w:sz w:val="24"/>
                <w:highlight w:val="none"/>
              </w:rPr>
            </w:pPr>
          </w:p>
        </w:tc>
      </w:tr>
    </w:tbl>
    <w:p>
      <w:pPr>
        <w:pageBreakBefore w:val="0"/>
        <w:kinsoku/>
        <w:overflowPunct/>
        <w:topLinePunct w:val="0"/>
        <w:bidi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备注：此表在不改变板式的情况下，内容可根据实际情况调整。</w:t>
      </w:r>
    </w:p>
    <w:p>
      <w:pPr>
        <w:pStyle w:val="38"/>
        <w:pageBreakBefore w:val="0"/>
        <w:kinsoku/>
        <w:overflowPunct/>
        <w:topLinePunct w:val="0"/>
        <w:bidi w:val="0"/>
        <w:spacing w:line="400" w:lineRule="exact"/>
        <w:ind w:firstLine="404"/>
        <w:rPr>
          <w:rFonts w:hint="eastAsia" w:ascii="宋体" w:hAnsi="宋体" w:eastAsia="宋体" w:cs="宋体"/>
          <w:color w:val="auto"/>
          <w:highlight w:val="none"/>
        </w:rPr>
      </w:pPr>
    </w:p>
    <w:p>
      <w:pPr>
        <w:pStyle w:val="38"/>
        <w:pageBreakBefore w:val="0"/>
        <w:kinsoku/>
        <w:overflowPunct/>
        <w:topLinePunct w:val="0"/>
        <w:bidi w:val="0"/>
        <w:spacing w:line="400" w:lineRule="exact"/>
        <w:ind w:firstLine="404"/>
        <w:rPr>
          <w:rFonts w:hint="eastAsia" w:ascii="宋体" w:hAnsi="宋体" w:eastAsia="宋体" w:cs="宋体"/>
          <w:color w:val="auto"/>
          <w:highlight w:val="none"/>
        </w:rPr>
      </w:pPr>
    </w:p>
    <w:p>
      <w:pPr>
        <w:pageBreakBefore w:val="0"/>
        <w:widowControl/>
        <w:kinsoku/>
        <w:overflowPunct/>
        <w:topLinePunct w:val="0"/>
        <w:bidi w:val="0"/>
        <w:spacing w:line="400" w:lineRule="exact"/>
        <w:ind w:firstLine="3990" w:firstLineChars="19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人（盖章）：</w:t>
      </w:r>
    </w:p>
    <w:p>
      <w:pPr>
        <w:pStyle w:val="17"/>
        <w:pageBreakBefore w:val="0"/>
        <w:widowControl/>
        <w:kinsoku/>
        <w:overflowPunct/>
        <w:topLinePunct w:val="0"/>
        <w:bidi w:val="0"/>
        <w:spacing w:line="400" w:lineRule="exact"/>
        <w:ind w:firstLine="3990" w:firstLineChars="1900"/>
        <w:jc w:val="left"/>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日    期：</w:t>
      </w:r>
    </w:p>
    <w:p>
      <w:pPr>
        <w:pStyle w:val="17"/>
        <w:pageBreakBefore w:val="0"/>
        <w:widowControl/>
        <w:kinsoku/>
        <w:overflowPunct/>
        <w:topLinePunct w:val="0"/>
        <w:bidi w:val="0"/>
        <w:spacing w:line="400" w:lineRule="exact"/>
        <w:ind w:firstLine="0"/>
        <w:jc w:val="left"/>
        <w:rPr>
          <w:rFonts w:hint="eastAsia" w:ascii="宋体" w:hAnsi="宋体" w:eastAsia="宋体" w:cs="宋体"/>
          <w:b/>
          <w:color w:val="auto"/>
          <w:sz w:val="21"/>
          <w:szCs w:val="21"/>
          <w:highlight w:val="none"/>
        </w:rPr>
        <w:sectPr>
          <w:headerReference r:id="rId13" w:type="default"/>
          <w:footerReference r:id="rId14" w:type="default"/>
          <w:pgSz w:w="11907" w:h="16840"/>
          <w:pgMar w:top="1276" w:right="1474" w:bottom="1242" w:left="1474" w:header="851" w:footer="851" w:gutter="0"/>
          <w:pgNumType w:fmt="decimal"/>
          <w:cols w:space="720" w:num="1"/>
          <w:titlePg/>
          <w:docGrid w:linePitch="312" w:charSpace="0"/>
        </w:sectPr>
      </w:pPr>
    </w:p>
    <w:p>
      <w:pPr>
        <w:pageBreakBefore w:val="0"/>
        <w:kinsoku/>
        <w:overflowPunct/>
        <w:topLinePunct w:val="0"/>
        <w:bidi w:val="0"/>
        <w:spacing w:line="400" w:lineRule="exact"/>
        <w:outlineLvl w:val="1"/>
        <w:rPr>
          <w:rFonts w:hint="eastAsia" w:ascii="宋体" w:hAnsi="宋体" w:eastAsia="宋体" w:cs="宋体"/>
          <w:b/>
          <w:color w:val="auto"/>
          <w:highlight w:val="none"/>
        </w:rPr>
      </w:pPr>
      <w:bookmarkStart w:id="336" w:name="_Toc23257"/>
      <w:bookmarkStart w:id="337" w:name="_Toc24368"/>
      <w:bookmarkStart w:id="338" w:name="_Toc460857950"/>
      <w:bookmarkStart w:id="339" w:name="_Toc18970"/>
      <w:r>
        <w:rPr>
          <w:rFonts w:hint="eastAsia" w:ascii="宋体" w:hAnsi="宋体" w:eastAsia="宋体" w:cs="宋体"/>
          <w:b/>
          <w:color w:val="auto"/>
          <w:highlight w:val="none"/>
        </w:rPr>
        <w:t>格式十五：</w:t>
      </w:r>
      <w:bookmarkEnd w:id="336"/>
      <w:bookmarkEnd w:id="337"/>
      <w:bookmarkEnd w:id="338"/>
      <w:bookmarkEnd w:id="339"/>
    </w:p>
    <w:p>
      <w:pPr>
        <w:pageBreakBefore w:val="0"/>
        <w:kinsoku/>
        <w:overflowPunct/>
        <w:topLinePunct w:val="0"/>
        <w:bidi w:val="0"/>
        <w:spacing w:line="400" w:lineRule="exact"/>
        <w:ind w:right="6"/>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中小企业声明函</w:t>
      </w:r>
    </w:p>
    <w:p>
      <w:pPr>
        <w:pageBreakBefore w:val="0"/>
        <w:kinsoku/>
        <w:overflowPunct/>
        <w:topLinePunct w:val="0"/>
        <w:bidi w:val="0"/>
        <w:spacing w:line="400" w:lineRule="exact"/>
        <w:rPr>
          <w:rFonts w:hint="eastAsia" w:ascii="宋体" w:hAnsi="宋体" w:eastAsia="宋体" w:cs="宋体"/>
          <w:color w:val="auto"/>
          <w:highlight w:val="none"/>
        </w:rPr>
      </w:pPr>
    </w:p>
    <w:p>
      <w:pPr>
        <w:pageBreakBefore w:val="0"/>
        <w:kinsoku/>
        <w:overflowPunct/>
        <w:topLinePunct w:val="0"/>
        <w:bidi w:val="0"/>
        <w:spacing w:line="400" w:lineRule="exact"/>
        <w:rPr>
          <w:rFonts w:hint="eastAsia" w:ascii="宋体" w:hAnsi="宋体" w:eastAsia="宋体" w:cs="宋体"/>
          <w:color w:val="auto"/>
          <w:highlight w:val="none"/>
        </w:rPr>
      </w:pPr>
    </w:p>
    <w:p>
      <w:pPr>
        <w:pageBreakBefore w:val="0"/>
        <w:kinsoku/>
        <w:overflowPunct/>
        <w:topLinePunct w:val="0"/>
        <w:bidi w:val="0"/>
        <w:spacing w:line="400" w:lineRule="exact"/>
        <w:rPr>
          <w:rFonts w:hint="eastAsia" w:ascii="宋体" w:hAnsi="宋体" w:eastAsia="宋体" w:cs="宋体"/>
          <w:color w:val="auto"/>
          <w:highlight w:val="none"/>
        </w:rPr>
      </w:pPr>
    </w:p>
    <w:p>
      <w:pPr>
        <w:pageBreakBefore w:val="0"/>
        <w:kinsoku/>
        <w:overflowPunct/>
        <w:topLinePunct w:val="0"/>
        <w:bidi w:val="0"/>
        <w:spacing w:line="400" w:lineRule="exact"/>
        <w:ind w:left="360" w:right="366" w:firstLine="64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采购活动，服务全部由符合政策要求的中小企业承接）。相关企业（含联合体中的中小企业、签订分包意向协议的中小企业）的具体情况如下：</w:t>
      </w:r>
    </w:p>
    <w:p>
      <w:pPr>
        <w:pageBreakBefore w:val="0"/>
        <w:kinsoku/>
        <w:overflowPunct/>
        <w:topLinePunct w:val="0"/>
        <w:bidi w:val="0"/>
        <w:spacing w:line="400" w:lineRule="exact"/>
        <w:ind w:left="360" w:right="366" w:firstLine="641"/>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cs="宋体"/>
          <w:color w:val="auto"/>
          <w:szCs w:val="21"/>
          <w:highlight w:val="none"/>
          <w:u w:val="single"/>
          <w:lang w:val="en-US" w:eastAsia="zh-CN"/>
        </w:rPr>
        <w:t>其他未列明行业</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 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万元，属于 </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 xml:space="preserve">； </w:t>
      </w:r>
    </w:p>
    <w:p>
      <w:pPr>
        <w:pageBreakBefore w:val="0"/>
        <w:kinsoku/>
        <w:overflowPunct/>
        <w:topLinePunct w:val="0"/>
        <w:bidi w:val="0"/>
        <w:spacing w:line="400" w:lineRule="exact"/>
        <w:ind w:left="360" w:right="366" w:firstLine="641"/>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pageBreakBefore w:val="0"/>
        <w:kinsoku/>
        <w:overflowPunct/>
        <w:topLinePunct w:val="0"/>
        <w:bidi w:val="0"/>
        <w:spacing w:line="400" w:lineRule="exact"/>
        <w:ind w:left="360" w:right="366" w:firstLine="646"/>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pPr>
        <w:pageBreakBefore w:val="0"/>
        <w:kinsoku/>
        <w:overflowPunct/>
        <w:topLinePunct w:val="0"/>
        <w:bidi w:val="0"/>
        <w:spacing w:line="400" w:lineRule="exact"/>
        <w:rPr>
          <w:rFonts w:hint="eastAsia" w:ascii="宋体" w:hAnsi="宋体" w:eastAsia="宋体" w:cs="宋体"/>
          <w:color w:val="auto"/>
          <w:szCs w:val="21"/>
          <w:highlight w:val="none"/>
        </w:rPr>
      </w:pPr>
    </w:p>
    <w:p>
      <w:pPr>
        <w:pageBreakBefore w:val="0"/>
        <w:kinsoku/>
        <w:overflowPunct/>
        <w:topLinePunct w:val="0"/>
        <w:bidi w:val="0"/>
        <w:spacing w:line="400" w:lineRule="exact"/>
        <w:ind w:left="360" w:right="366" w:firstLine="64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pPr>
        <w:pageBreakBefore w:val="0"/>
        <w:kinsoku/>
        <w:overflowPunct/>
        <w:topLinePunct w:val="0"/>
        <w:bidi w:val="0"/>
        <w:spacing w:line="400" w:lineRule="exact"/>
        <w:rPr>
          <w:rFonts w:hint="eastAsia" w:ascii="宋体" w:hAnsi="宋体" w:eastAsia="宋体" w:cs="宋体"/>
          <w:color w:val="auto"/>
          <w:szCs w:val="21"/>
          <w:highlight w:val="none"/>
        </w:rPr>
      </w:pPr>
    </w:p>
    <w:p>
      <w:pPr>
        <w:pageBreakBefore w:val="0"/>
        <w:kinsoku/>
        <w:overflowPunct/>
        <w:topLinePunct w:val="0"/>
        <w:bidi w:val="0"/>
        <w:spacing w:line="400" w:lineRule="exact"/>
        <w:ind w:left="4200" w:firstLine="210" w:firstLineChars="100"/>
        <w:rPr>
          <w:rFonts w:hint="eastAsia" w:ascii="宋体" w:hAnsi="宋体" w:eastAsia="宋体" w:cs="宋体"/>
          <w:color w:val="auto"/>
          <w:szCs w:val="21"/>
          <w:highlight w:val="none"/>
        </w:rPr>
      </w:pPr>
    </w:p>
    <w:p>
      <w:pPr>
        <w:pageBreakBefore w:val="0"/>
        <w:kinsoku/>
        <w:overflowPunct/>
        <w:topLinePunct w:val="0"/>
        <w:bidi w:val="0"/>
        <w:spacing w:line="400" w:lineRule="exact"/>
        <w:ind w:left="4200" w:firstLine="210" w:firstLineChars="100"/>
        <w:rPr>
          <w:rFonts w:hint="eastAsia" w:ascii="宋体" w:hAnsi="宋体" w:eastAsia="宋体" w:cs="宋体"/>
          <w:color w:val="auto"/>
          <w:szCs w:val="21"/>
          <w:highlight w:val="none"/>
        </w:rPr>
      </w:pPr>
    </w:p>
    <w:p>
      <w:pPr>
        <w:pageBreakBefore w:val="0"/>
        <w:kinsoku/>
        <w:overflowPunct/>
        <w:topLinePunct w:val="0"/>
        <w:bidi w:val="0"/>
        <w:spacing w:line="400" w:lineRule="exact"/>
        <w:ind w:left="420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企业名称（盖章）：</w:t>
      </w:r>
    </w:p>
    <w:p>
      <w:pPr>
        <w:pageBreakBefore w:val="0"/>
        <w:kinsoku/>
        <w:overflowPunct/>
        <w:topLinePunct w:val="0"/>
        <w:bidi w:val="0"/>
        <w:spacing w:line="400" w:lineRule="exact"/>
        <w:rPr>
          <w:rFonts w:hint="eastAsia" w:ascii="宋体" w:hAnsi="宋体" w:eastAsia="宋体" w:cs="宋体"/>
          <w:color w:val="auto"/>
          <w:szCs w:val="21"/>
          <w:highlight w:val="none"/>
        </w:rPr>
      </w:pPr>
    </w:p>
    <w:p>
      <w:pPr>
        <w:pageBreakBefore w:val="0"/>
        <w:kinsoku/>
        <w:overflowPunct/>
        <w:topLinePunct w:val="0"/>
        <w:bidi w:val="0"/>
        <w:spacing w:line="400" w:lineRule="exact"/>
        <w:ind w:firstLine="4410" w:firstLine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pPr>
        <w:pStyle w:val="76"/>
        <w:pageBreakBefore w:val="0"/>
        <w:kinsoku/>
        <w:overflowPunct/>
        <w:topLinePunct w:val="0"/>
        <w:bidi w:val="0"/>
        <w:spacing w:line="400" w:lineRule="exact"/>
        <w:rPr>
          <w:rFonts w:hint="eastAsia" w:ascii="宋体" w:hAnsi="宋体" w:eastAsia="宋体" w:cs="宋体"/>
          <w:color w:val="auto"/>
          <w:szCs w:val="21"/>
          <w:highlight w:val="none"/>
        </w:rPr>
      </w:pPr>
    </w:p>
    <w:p>
      <w:pPr>
        <w:pStyle w:val="76"/>
        <w:pageBreakBefore w:val="0"/>
        <w:kinsoku/>
        <w:overflowPunct/>
        <w:topLinePunct w:val="0"/>
        <w:bidi w:val="0"/>
        <w:spacing w:line="400" w:lineRule="exact"/>
        <w:rPr>
          <w:rFonts w:hint="eastAsia" w:ascii="宋体" w:hAnsi="宋体" w:eastAsia="宋体" w:cs="宋体"/>
          <w:color w:val="auto"/>
          <w:szCs w:val="21"/>
          <w:highlight w:val="none"/>
        </w:rPr>
      </w:pPr>
    </w:p>
    <w:p>
      <w:pPr>
        <w:pStyle w:val="76"/>
        <w:pageBreakBefore w:val="0"/>
        <w:kinsoku/>
        <w:overflowPunct/>
        <w:topLinePunct w:val="0"/>
        <w:bidi w:val="0"/>
        <w:spacing w:line="400" w:lineRule="exact"/>
        <w:rPr>
          <w:rFonts w:hint="eastAsia" w:ascii="宋体" w:hAnsi="宋体" w:eastAsia="宋体" w:cs="宋体"/>
          <w:color w:val="auto"/>
          <w:szCs w:val="21"/>
          <w:highlight w:val="none"/>
        </w:rPr>
      </w:pPr>
    </w:p>
    <w:p>
      <w:pPr>
        <w:pStyle w:val="76"/>
        <w:pageBreakBefore w:val="0"/>
        <w:kinsoku/>
        <w:overflowPunct/>
        <w:topLinePunct w:val="0"/>
        <w:bidi w:val="0"/>
        <w:spacing w:line="400" w:lineRule="exact"/>
        <w:rPr>
          <w:rFonts w:hint="eastAsia" w:ascii="宋体" w:hAnsi="宋体" w:eastAsia="宋体" w:cs="宋体"/>
          <w:color w:val="auto"/>
          <w:szCs w:val="21"/>
          <w:highlight w:val="none"/>
        </w:rPr>
      </w:pPr>
    </w:p>
    <w:p>
      <w:pPr>
        <w:pStyle w:val="76"/>
        <w:pageBreakBefore w:val="0"/>
        <w:kinsoku/>
        <w:overflowPunct/>
        <w:topLinePunct w:val="0"/>
        <w:bidi w:val="0"/>
        <w:spacing w:line="400" w:lineRule="exact"/>
        <w:rPr>
          <w:rFonts w:hint="eastAsia" w:ascii="宋体" w:hAnsi="宋体" w:eastAsia="宋体" w:cs="宋体"/>
          <w:color w:val="auto"/>
          <w:szCs w:val="21"/>
          <w:highlight w:val="none"/>
        </w:rPr>
      </w:pPr>
    </w:p>
    <w:p>
      <w:pPr>
        <w:pStyle w:val="76"/>
        <w:pageBreakBefore w:val="0"/>
        <w:kinsoku/>
        <w:overflowPunct/>
        <w:topLinePunct w:val="0"/>
        <w:bidi w:val="0"/>
        <w:spacing w:line="400" w:lineRule="exact"/>
        <w:rPr>
          <w:rFonts w:hint="eastAsia" w:ascii="宋体" w:hAnsi="宋体" w:eastAsia="宋体" w:cs="宋体"/>
          <w:color w:val="auto"/>
          <w:szCs w:val="21"/>
          <w:highlight w:val="none"/>
        </w:rPr>
      </w:pPr>
    </w:p>
    <w:p>
      <w:pPr>
        <w:pageBreakBefore w:val="0"/>
        <w:kinsoku/>
        <w:overflowPunct/>
        <w:topLinePunct w:val="0"/>
        <w:bidi w:val="0"/>
        <w:snapToGrid w:val="0"/>
        <w:spacing w:line="400" w:lineRule="exact"/>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说明：</w:t>
      </w:r>
    </w:p>
    <w:p>
      <w:pPr>
        <w:pageBreakBefore w:val="0"/>
        <w:kinsoku/>
        <w:overflowPunct/>
        <w:topLinePunct w:val="0"/>
        <w:bidi w:val="0"/>
        <w:snapToGrid w:val="0"/>
        <w:spacing w:line="400" w:lineRule="exact"/>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1从业人员、营业收入、资产总额填报上一年度数据，无上一年度数据的新成立企业可不填报。</w:t>
      </w:r>
    </w:p>
    <w:p>
      <w:pPr>
        <w:pageBreakBefore w:val="0"/>
        <w:kinsoku/>
        <w:overflowPunct/>
        <w:topLinePunct w:val="0"/>
        <w:bidi w:val="0"/>
        <w:snapToGrid w:val="0"/>
        <w:spacing w:line="400" w:lineRule="exact"/>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2、供应商根据采购文件规定的采购标的对应的中小企业划分标准所属行业，对照中小微行业划型标准规定（根据工信部联企业〔2011〕300号制定）如实填写。</w:t>
      </w:r>
    </w:p>
    <w:p>
      <w:pPr>
        <w:pageBreakBefore w:val="0"/>
        <w:kinsoku/>
        <w:overflowPunct/>
        <w:topLinePunct w:val="0"/>
        <w:bidi w:val="0"/>
        <w:snapToGrid w:val="0"/>
        <w:spacing w:line="400" w:lineRule="exact"/>
        <w:jc w:val="left"/>
        <w:rPr>
          <w:rFonts w:hint="eastAsia" w:ascii="宋体" w:hAnsi="宋体" w:eastAsia="宋体" w:cs="宋体"/>
          <w:color w:val="auto"/>
          <w:spacing w:val="6"/>
          <w:szCs w:val="21"/>
          <w:highlight w:val="none"/>
        </w:rPr>
        <w:sectPr>
          <w:headerReference r:id="rId15" w:type="default"/>
          <w:footerReference r:id="rId16" w:type="default"/>
          <w:pgSz w:w="11907" w:h="16840"/>
          <w:pgMar w:top="1276" w:right="1474" w:bottom="1242" w:left="1474" w:header="720" w:footer="720" w:gutter="0"/>
          <w:pgNumType w:fmt="decimal"/>
          <w:cols w:space="720" w:num="1"/>
          <w:docGrid w:linePitch="285" w:charSpace="0"/>
        </w:sectPr>
      </w:pPr>
      <w:r>
        <w:rPr>
          <w:rFonts w:hint="eastAsia" w:ascii="宋体" w:hAnsi="宋体" w:eastAsia="宋体" w:cs="宋体"/>
          <w:color w:val="auto"/>
          <w:spacing w:val="6"/>
          <w:szCs w:val="21"/>
          <w:highlight w:val="none"/>
        </w:rPr>
        <w:t>3、投标人提供的声明函与事实不符的，依据《政府采购法》第七十七条第一款的规定追究法律责任,如若中标本声明函随中标结果予以公示。</w:t>
      </w:r>
    </w:p>
    <w:p>
      <w:pPr>
        <w:pageBreakBefore w:val="0"/>
        <w:kinsoku/>
        <w:overflowPunct/>
        <w:topLinePunct w:val="0"/>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中小企业划型标准规定（工信部联企业[2011]300号）</w:t>
      </w:r>
    </w:p>
    <w:p>
      <w:pPr>
        <w:pStyle w:val="193"/>
        <w:pageBreakBefore w:val="0"/>
        <w:kinsoku/>
        <w:overflowPunct/>
        <w:topLinePunct w:val="0"/>
        <w:bidi w:val="0"/>
        <w:snapToGrid w:val="0"/>
        <w:spacing w:before="120" w:after="120" w:line="400" w:lineRule="exact"/>
        <w:jc w:val="center"/>
        <w:rPr>
          <w:rFonts w:hint="eastAsia" w:ascii="宋体" w:hAnsi="宋体" w:eastAsia="宋体" w:cs="宋体"/>
          <w:b/>
          <w:color w:val="auto"/>
          <w:sz w:val="28"/>
          <w:szCs w:val="28"/>
          <w:highlight w:val="none"/>
        </w:rPr>
      </w:pPr>
      <w:r>
        <w:rPr>
          <w:rFonts w:hint="eastAsia" w:ascii="宋体" w:hAnsi="宋体" w:eastAsia="宋体" w:cs="宋体"/>
          <w:color w:val="auto"/>
          <w:highlight w:val="none"/>
        </w:rPr>
        <w:drawing>
          <wp:anchor distT="0" distB="0" distL="114300" distR="114300" simplePos="0" relativeHeight="251664384" behindDoc="1" locked="0" layoutInCell="1" allowOverlap="1">
            <wp:simplePos x="0" y="0"/>
            <wp:positionH relativeFrom="column">
              <wp:posOffset>265430</wp:posOffset>
            </wp:positionH>
            <wp:positionV relativeFrom="page">
              <wp:posOffset>1236980</wp:posOffset>
            </wp:positionV>
            <wp:extent cx="8989060" cy="5436870"/>
            <wp:effectExtent l="0" t="0" r="2540" b="1143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8"/>
                    <a:stretch>
                      <a:fillRect/>
                    </a:stretch>
                  </pic:blipFill>
                  <pic:spPr>
                    <a:xfrm>
                      <a:off x="0" y="0"/>
                      <a:ext cx="8989060" cy="5436870"/>
                    </a:xfrm>
                    <a:prstGeom prst="rect">
                      <a:avLst/>
                    </a:prstGeom>
                    <a:noFill/>
                    <a:ln>
                      <a:noFill/>
                    </a:ln>
                  </pic:spPr>
                </pic:pic>
              </a:graphicData>
            </a:graphic>
          </wp:anchor>
        </w:drawing>
      </w:r>
    </w:p>
    <w:p>
      <w:pPr>
        <w:pStyle w:val="76"/>
        <w:pageBreakBefore w:val="0"/>
        <w:kinsoku/>
        <w:overflowPunct/>
        <w:topLinePunct w:val="0"/>
        <w:bidi w:val="0"/>
        <w:spacing w:line="400" w:lineRule="exact"/>
        <w:rPr>
          <w:rFonts w:hint="eastAsia" w:ascii="宋体" w:hAnsi="宋体" w:eastAsia="宋体" w:cs="宋体"/>
          <w:color w:val="auto"/>
          <w:highlight w:val="none"/>
        </w:rPr>
        <w:sectPr>
          <w:pgSz w:w="16840" w:h="11907" w:orient="landscape"/>
          <w:pgMar w:top="1474" w:right="1276" w:bottom="1474" w:left="1242" w:header="720" w:footer="720" w:gutter="0"/>
          <w:pgNumType w:fmt="decimal"/>
          <w:cols w:space="720" w:num="1"/>
          <w:docGrid w:linePitch="285" w:charSpace="0"/>
        </w:sectPr>
      </w:pPr>
    </w:p>
    <w:p>
      <w:pPr>
        <w:pageBreakBefore w:val="0"/>
        <w:widowControl/>
        <w:kinsoku/>
        <w:overflowPunct/>
        <w:topLinePunct w:val="0"/>
        <w:bidi w:val="0"/>
        <w:spacing w:line="400" w:lineRule="exact"/>
        <w:jc w:val="left"/>
        <w:outlineLvl w:val="1"/>
        <w:rPr>
          <w:rFonts w:hint="eastAsia" w:ascii="宋体" w:hAnsi="宋体" w:eastAsia="宋体" w:cs="宋体"/>
          <w:b/>
          <w:color w:val="auto"/>
          <w:highlight w:val="none"/>
        </w:rPr>
      </w:pPr>
      <w:bookmarkStart w:id="340" w:name="_Toc14107"/>
      <w:bookmarkStart w:id="341" w:name="_Toc14917"/>
      <w:bookmarkStart w:id="342" w:name="_Toc21746"/>
      <w:bookmarkStart w:id="343" w:name="OLE_LINK13"/>
      <w:bookmarkStart w:id="344" w:name="OLE_LINK14"/>
      <w:r>
        <w:rPr>
          <w:rFonts w:hint="eastAsia" w:ascii="宋体" w:hAnsi="宋体" w:eastAsia="宋体" w:cs="宋体"/>
          <w:b/>
          <w:color w:val="auto"/>
          <w:highlight w:val="none"/>
        </w:rPr>
        <w:t>格式十六：</w:t>
      </w:r>
      <w:bookmarkEnd w:id="340"/>
      <w:bookmarkEnd w:id="341"/>
      <w:bookmarkEnd w:id="342"/>
    </w:p>
    <w:p>
      <w:pPr>
        <w:pStyle w:val="17"/>
        <w:pageBreakBefore w:val="0"/>
        <w:kinsoku/>
        <w:overflowPunct/>
        <w:topLinePunct w:val="0"/>
        <w:bidi w:val="0"/>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bookmarkEnd w:id="343"/>
    <w:bookmarkEnd w:id="344"/>
    <w:p>
      <w:pPr>
        <w:pageBreakBefore w:val="0"/>
        <w:kinsoku/>
        <w:overflowPunct/>
        <w:topLinePunct w:val="0"/>
        <w:bidi w:val="0"/>
        <w:spacing w:line="400" w:lineRule="exact"/>
        <w:rPr>
          <w:rFonts w:hint="eastAsia" w:ascii="宋体" w:hAnsi="宋体" w:eastAsia="宋体" w:cs="宋体"/>
          <w:b/>
          <w:color w:val="auto"/>
          <w:spacing w:val="6"/>
          <w:szCs w:val="21"/>
          <w:highlight w:val="none"/>
        </w:rPr>
      </w:pPr>
    </w:p>
    <w:p>
      <w:pPr>
        <w:pageBreakBefore w:val="0"/>
        <w:kinsoku/>
        <w:overflowPunct/>
        <w:topLinePunct w:val="0"/>
        <w:bidi w:val="0"/>
        <w:spacing w:line="40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kinsoku/>
        <w:overflowPunct/>
        <w:topLinePunct w:val="0"/>
        <w:bidi w:val="0"/>
        <w:spacing w:line="40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pageBreakBefore w:val="0"/>
        <w:kinsoku/>
        <w:overflowPunct/>
        <w:topLinePunct w:val="0"/>
        <w:bidi w:val="0"/>
        <w:spacing w:line="400" w:lineRule="exact"/>
        <w:ind w:firstLine="444" w:firstLineChars="200"/>
        <w:rPr>
          <w:rFonts w:hint="eastAsia" w:ascii="宋体" w:hAnsi="宋体" w:eastAsia="宋体" w:cs="宋体"/>
          <w:color w:val="auto"/>
          <w:spacing w:val="6"/>
          <w:szCs w:val="21"/>
          <w:highlight w:val="none"/>
        </w:rPr>
      </w:pPr>
    </w:p>
    <w:p>
      <w:pPr>
        <w:pageBreakBefore w:val="0"/>
        <w:kinsoku/>
        <w:overflowPunct/>
        <w:topLinePunct w:val="0"/>
        <w:bidi w:val="0"/>
        <w:spacing w:line="400" w:lineRule="exact"/>
        <w:ind w:firstLine="444" w:firstLineChars="200"/>
        <w:rPr>
          <w:rFonts w:hint="eastAsia" w:ascii="宋体" w:hAnsi="宋体" w:eastAsia="宋体" w:cs="宋体"/>
          <w:color w:val="auto"/>
          <w:spacing w:val="6"/>
          <w:szCs w:val="21"/>
          <w:highlight w:val="none"/>
        </w:rPr>
      </w:pPr>
    </w:p>
    <w:p>
      <w:pPr>
        <w:pageBreakBefore w:val="0"/>
        <w:tabs>
          <w:tab w:val="left" w:pos="4860"/>
        </w:tabs>
        <w:kinsoku/>
        <w:overflowPunct/>
        <w:topLinePunct w:val="0"/>
        <w:bidi w:val="0"/>
        <w:spacing w:line="400" w:lineRule="exact"/>
        <w:ind w:right="1560" w:firstLine="50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4"/>
          <w:highlight w:val="none"/>
        </w:rPr>
        <w:t xml:space="preserve">                      </w:t>
      </w:r>
      <w:r>
        <w:rPr>
          <w:rFonts w:hint="eastAsia" w:ascii="宋体" w:hAnsi="宋体" w:eastAsia="宋体" w:cs="宋体"/>
          <w:color w:val="auto"/>
          <w:spacing w:val="6"/>
          <w:sz w:val="21"/>
          <w:szCs w:val="21"/>
          <w:highlight w:val="none"/>
        </w:rPr>
        <w:t xml:space="preserve"> 单位名称（盖章）：</w:t>
      </w:r>
    </w:p>
    <w:p>
      <w:pPr>
        <w:pageBreakBefore w:val="0"/>
        <w:tabs>
          <w:tab w:val="left" w:pos="4860"/>
        </w:tabs>
        <w:kinsoku/>
        <w:overflowPunct/>
        <w:topLinePunct w:val="0"/>
        <w:bidi w:val="0"/>
        <w:spacing w:line="400" w:lineRule="exact"/>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 日    期：</w:t>
      </w:r>
    </w:p>
    <w:p>
      <w:pPr>
        <w:pStyle w:val="76"/>
        <w:pageBreakBefore w:val="0"/>
        <w:kinsoku/>
        <w:overflowPunct/>
        <w:topLinePunct w:val="0"/>
        <w:bidi w:val="0"/>
        <w:spacing w:line="400" w:lineRule="exact"/>
        <w:rPr>
          <w:rFonts w:hint="eastAsia" w:ascii="宋体" w:hAnsi="宋体" w:eastAsia="宋体" w:cs="宋体"/>
          <w:color w:val="auto"/>
          <w:spacing w:val="6"/>
          <w:sz w:val="24"/>
          <w:highlight w:val="none"/>
        </w:rPr>
      </w:pPr>
    </w:p>
    <w:p>
      <w:pPr>
        <w:pStyle w:val="76"/>
        <w:pageBreakBefore w:val="0"/>
        <w:kinsoku/>
        <w:overflowPunct/>
        <w:topLinePunct w:val="0"/>
        <w:bidi w:val="0"/>
        <w:spacing w:line="400" w:lineRule="exact"/>
        <w:rPr>
          <w:rFonts w:hint="eastAsia" w:ascii="宋体" w:hAnsi="宋体" w:eastAsia="宋体" w:cs="宋体"/>
          <w:color w:val="auto"/>
          <w:spacing w:val="6"/>
          <w:sz w:val="24"/>
          <w:highlight w:val="none"/>
        </w:rPr>
      </w:pPr>
    </w:p>
    <w:p>
      <w:pPr>
        <w:pStyle w:val="76"/>
        <w:pageBreakBefore w:val="0"/>
        <w:kinsoku/>
        <w:overflowPunct/>
        <w:topLinePunct w:val="0"/>
        <w:bidi w:val="0"/>
        <w:spacing w:line="400" w:lineRule="exact"/>
        <w:rPr>
          <w:rFonts w:hint="eastAsia" w:ascii="宋体" w:hAnsi="宋体" w:eastAsia="宋体" w:cs="宋体"/>
          <w:color w:val="auto"/>
          <w:spacing w:val="6"/>
          <w:sz w:val="24"/>
          <w:highlight w:val="none"/>
        </w:rPr>
      </w:pPr>
    </w:p>
    <w:p>
      <w:pPr>
        <w:pStyle w:val="76"/>
        <w:pageBreakBefore w:val="0"/>
        <w:kinsoku/>
        <w:overflowPunct/>
        <w:topLinePunct w:val="0"/>
        <w:bidi w:val="0"/>
        <w:spacing w:line="400" w:lineRule="exact"/>
        <w:rPr>
          <w:rFonts w:hint="eastAsia" w:ascii="宋体" w:hAnsi="宋体" w:eastAsia="宋体" w:cs="宋体"/>
          <w:color w:val="auto"/>
          <w:spacing w:val="6"/>
          <w:sz w:val="24"/>
          <w:highlight w:val="none"/>
        </w:rPr>
      </w:pPr>
    </w:p>
    <w:p>
      <w:pPr>
        <w:pStyle w:val="76"/>
        <w:pageBreakBefore w:val="0"/>
        <w:kinsoku/>
        <w:overflowPunct/>
        <w:topLinePunct w:val="0"/>
        <w:bidi w:val="0"/>
        <w:spacing w:line="400" w:lineRule="exact"/>
        <w:rPr>
          <w:rFonts w:hint="eastAsia" w:ascii="宋体" w:hAnsi="宋体" w:eastAsia="宋体" w:cs="宋体"/>
          <w:color w:val="auto"/>
          <w:spacing w:val="6"/>
          <w:sz w:val="24"/>
          <w:highlight w:val="none"/>
        </w:rPr>
      </w:pPr>
    </w:p>
    <w:p>
      <w:pPr>
        <w:pStyle w:val="76"/>
        <w:pageBreakBefore w:val="0"/>
        <w:kinsoku/>
        <w:overflowPunct/>
        <w:topLinePunct w:val="0"/>
        <w:bidi w:val="0"/>
        <w:spacing w:line="400" w:lineRule="exact"/>
        <w:rPr>
          <w:rFonts w:hint="eastAsia" w:ascii="宋体" w:hAnsi="宋体" w:eastAsia="宋体" w:cs="宋体"/>
          <w:color w:val="auto"/>
          <w:spacing w:val="6"/>
          <w:sz w:val="24"/>
          <w:highlight w:val="none"/>
        </w:rPr>
      </w:pPr>
    </w:p>
    <w:p>
      <w:pPr>
        <w:pStyle w:val="76"/>
        <w:pageBreakBefore w:val="0"/>
        <w:kinsoku/>
        <w:overflowPunct/>
        <w:topLinePunct w:val="0"/>
        <w:bidi w:val="0"/>
        <w:spacing w:line="400" w:lineRule="exact"/>
        <w:rPr>
          <w:rFonts w:hint="eastAsia" w:ascii="宋体" w:hAnsi="宋体" w:eastAsia="宋体" w:cs="宋体"/>
          <w:color w:val="auto"/>
          <w:spacing w:val="6"/>
          <w:sz w:val="24"/>
          <w:highlight w:val="none"/>
        </w:rPr>
      </w:pPr>
    </w:p>
    <w:p>
      <w:pPr>
        <w:pageBreakBefore w:val="0"/>
        <w:kinsoku/>
        <w:overflowPunct/>
        <w:topLinePunct w:val="0"/>
        <w:bidi w:val="0"/>
        <w:spacing w:line="400" w:lineRule="exact"/>
        <w:rPr>
          <w:rFonts w:hint="eastAsia" w:ascii="宋体" w:hAnsi="宋体" w:eastAsia="宋体" w:cs="宋体"/>
          <w:color w:val="auto"/>
          <w:sz w:val="24"/>
          <w:highlight w:val="none"/>
        </w:rPr>
      </w:pPr>
    </w:p>
    <w:p>
      <w:pPr>
        <w:pageBreakBefore w:val="0"/>
        <w:kinsoku/>
        <w:overflowPunct/>
        <w:topLinePunct w:val="0"/>
        <w:bidi w:val="0"/>
        <w:spacing w:line="400" w:lineRule="exact"/>
        <w:rPr>
          <w:rFonts w:hint="eastAsia" w:ascii="宋体" w:hAnsi="宋体" w:eastAsia="宋体" w:cs="宋体"/>
          <w:color w:val="auto"/>
          <w:highlight w:val="none"/>
        </w:rPr>
      </w:pPr>
      <w:bookmarkStart w:id="345" w:name="_Toc12969"/>
      <w:r>
        <w:rPr>
          <w:rFonts w:hint="eastAsia" w:ascii="宋体" w:hAnsi="宋体" w:eastAsia="宋体" w:cs="宋体"/>
          <w:color w:val="auto"/>
          <w:highlight w:val="none"/>
        </w:rPr>
        <w:t>享受政府采购支持政策的残疾人福利性单位应当同时满足以下条件：</w:t>
      </w:r>
      <w:bookmarkEnd w:id="345"/>
    </w:p>
    <w:p>
      <w:pPr>
        <w:pageBreakBefore w:val="0"/>
        <w:kinsoku/>
        <w:overflowPunct/>
        <w:topLinePunct w:val="0"/>
        <w:bidi w:val="0"/>
        <w:spacing w:line="400" w:lineRule="exact"/>
        <w:rPr>
          <w:rFonts w:hint="eastAsia" w:ascii="宋体" w:hAnsi="宋体" w:eastAsia="宋体" w:cs="宋体"/>
          <w:color w:val="auto"/>
          <w:highlight w:val="none"/>
        </w:rPr>
      </w:pPr>
      <w:bookmarkStart w:id="346" w:name="_Toc25652"/>
      <w:r>
        <w:rPr>
          <w:rFonts w:hint="eastAsia" w:ascii="宋体" w:hAnsi="宋体" w:eastAsia="宋体" w:cs="宋体"/>
          <w:color w:val="auto"/>
          <w:highlight w:val="none"/>
        </w:rPr>
        <w:t>（一）安置的残疾人占本单位在职职工人数的比例不低于25%（含25%），并且安置的残疾人人数不少于10人（含10人）；</w:t>
      </w:r>
      <w:bookmarkEnd w:id="346"/>
    </w:p>
    <w:p>
      <w:pPr>
        <w:pageBreakBefore w:val="0"/>
        <w:kinsoku/>
        <w:overflowPunct/>
        <w:topLinePunct w:val="0"/>
        <w:bidi w:val="0"/>
        <w:spacing w:line="400" w:lineRule="exact"/>
        <w:rPr>
          <w:rFonts w:hint="eastAsia" w:ascii="宋体" w:hAnsi="宋体" w:eastAsia="宋体" w:cs="宋体"/>
          <w:color w:val="auto"/>
          <w:highlight w:val="none"/>
        </w:rPr>
      </w:pPr>
      <w:bookmarkStart w:id="347" w:name="_Toc9051"/>
      <w:r>
        <w:rPr>
          <w:rFonts w:hint="eastAsia" w:ascii="宋体" w:hAnsi="宋体" w:eastAsia="宋体" w:cs="宋体"/>
          <w:color w:val="auto"/>
          <w:highlight w:val="none"/>
        </w:rPr>
        <w:t>（二）依法与安置的每位残疾人签订了一年以上（含一年）的劳动合同或服务协议；</w:t>
      </w:r>
      <w:bookmarkEnd w:id="347"/>
    </w:p>
    <w:p>
      <w:pPr>
        <w:pageBreakBefore w:val="0"/>
        <w:kinsoku/>
        <w:overflowPunct/>
        <w:topLinePunct w:val="0"/>
        <w:bidi w:val="0"/>
        <w:spacing w:line="400" w:lineRule="exact"/>
        <w:rPr>
          <w:rFonts w:hint="eastAsia" w:ascii="宋体" w:hAnsi="宋体" w:eastAsia="宋体" w:cs="宋体"/>
          <w:color w:val="auto"/>
          <w:highlight w:val="none"/>
        </w:rPr>
      </w:pPr>
      <w:bookmarkStart w:id="348" w:name="_Toc16065"/>
      <w:r>
        <w:rPr>
          <w:rFonts w:hint="eastAsia" w:ascii="宋体" w:hAnsi="宋体" w:eastAsia="宋体" w:cs="宋体"/>
          <w:color w:val="auto"/>
          <w:highlight w:val="none"/>
        </w:rPr>
        <w:t>（三）为安置的每位残疾人按月足额缴纳了基本养老保险、基本医疗保险、失业保险、工伤保险和生育保险等社会保险费；</w:t>
      </w:r>
      <w:bookmarkEnd w:id="348"/>
    </w:p>
    <w:p>
      <w:pPr>
        <w:pageBreakBefore w:val="0"/>
        <w:kinsoku/>
        <w:overflowPunct/>
        <w:topLinePunct w:val="0"/>
        <w:bidi w:val="0"/>
        <w:spacing w:line="400" w:lineRule="exact"/>
        <w:rPr>
          <w:rFonts w:hint="eastAsia" w:ascii="宋体" w:hAnsi="宋体" w:eastAsia="宋体" w:cs="宋体"/>
          <w:color w:val="auto"/>
          <w:highlight w:val="none"/>
        </w:rPr>
      </w:pPr>
      <w:bookmarkStart w:id="349" w:name="_Toc9585"/>
      <w:r>
        <w:rPr>
          <w:rFonts w:hint="eastAsia" w:ascii="宋体" w:hAnsi="宋体" w:eastAsia="宋体" w:cs="宋体"/>
          <w:color w:val="auto"/>
          <w:highlight w:val="none"/>
        </w:rPr>
        <w:t>（四）通过银行等金融机构向安置的每位残疾人，按月支付了不低于单位所在区县适用的经省级人民政府批准的月最低工资标准的工资；</w:t>
      </w:r>
      <w:bookmarkEnd w:id="349"/>
    </w:p>
    <w:p>
      <w:pPr>
        <w:pageBreakBefore w:val="0"/>
        <w:kinsoku/>
        <w:overflowPunct/>
        <w:topLinePunct w:val="0"/>
        <w:bidi w:val="0"/>
        <w:spacing w:line="400" w:lineRule="exact"/>
        <w:rPr>
          <w:rFonts w:hint="eastAsia" w:ascii="宋体" w:hAnsi="宋体" w:eastAsia="宋体" w:cs="宋体"/>
          <w:color w:val="auto"/>
          <w:highlight w:val="none"/>
        </w:rPr>
      </w:pPr>
      <w:bookmarkStart w:id="350" w:name="_Toc15466"/>
      <w:r>
        <w:rPr>
          <w:rFonts w:hint="eastAsia" w:ascii="宋体" w:hAnsi="宋体" w:eastAsia="宋体" w:cs="宋体"/>
          <w:color w:val="auto"/>
          <w:highlight w:val="none"/>
        </w:rPr>
        <w:t>（五）提供本单位制造的货物、承担的工程或者服务（以下简称产品），或者提供其他残疾人福利性单位制造的货物（不包括使用非残疾人福利性单位注册商标的货物）。</w:t>
      </w:r>
      <w:bookmarkEnd w:id="350"/>
    </w:p>
    <w:p>
      <w:pPr>
        <w:pageBreakBefore w:val="0"/>
        <w:kinsoku/>
        <w:overflowPunct/>
        <w:topLinePunct w:val="0"/>
        <w:bidi w:val="0"/>
        <w:spacing w:line="400" w:lineRule="exact"/>
        <w:rPr>
          <w:rFonts w:hint="eastAsia" w:ascii="宋体" w:hAnsi="宋体" w:eastAsia="宋体" w:cs="宋体"/>
          <w:color w:val="auto"/>
          <w:sz w:val="24"/>
          <w:szCs w:val="44"/>
          <w:highlight w:val="none"/>
        </w:rPr>
      </w:pPr>
      <w:bookmarkStart w:id="351" w:name="_Toc30032"/>
      <w:r>
        <w:rPr>
          <w:rFonts w:hint="eastAsia" w:ascii="宋体" w:hAnsi="宋体" w:eastAsia="宋体" w:cs="宋体"/>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351"/>
    </w:p>
    <w:p>
      <w:pPr>
        <w:pStyle w:val="5"/>
        <w:pageBreakBefore w:val="0"/>
        <w:kinsoku/>
        <w:overflowPunct/>
        <w:topLinePunct w:val="0"/>
        <w:bidi w:val="0"/>
        <w:spacing w:before="0" w:after="0" w:line="400" w:lineRule="exact"/>
        <w:jc w:val="center"/>
        <w:rPr>
          <w:rFonts w:hint="eastAsia" w:ascii="宋体" w:hAnsi="宋体" w:eastAsia="宋体" w:cs="宋体"/>
          <w:color w:val="auto"/>
          <w:sz w:val="18"/>
          <w:szCs w:val="18"/>
          <w:highlight w:val="none"/>
        </w:rPr>
      </w:pPr>
    </w:p>
    <w:sectPr>
      <w:pgSz w:w="11907" w:h="16840"/>
      <w:pgMar w:top="1276" w:right="1474" w:bottom="1242" w:left="1474" w:header="720" w:footer="720"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46</w:t>
    </w:r>
    <w:r>
      <w:rPr>
        <w:lang w:val="zh-CN"/>
      </w:rP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0evMEBAACOAwAADgAAAGRycy9lMm9Eb2MueG1srVPNjtMwEL4j8Q6W&#10;79TZHlCI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1nX&#10;WZ8hQINp9wET0/jGj7g1ix/QmWmPKtr8RUIE46ju+aquHBMR+VG9rusKQwJjywXx2cPzECG9ld6S&#10;bLQ04viKqvz0HtKUuqTkas7faWPKCI37y4GY2cNy71OP2UrjfpwJ7X13Rj4DTr6lDhedEvPOobB5&#10;SRYjLsZ+NnINCK+PCQuXfjLqBDUXwzEVRvNK5T34816yHn6j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gc0evMEBAACOAwAADgAAAAAAAAABACAAAAAeAQAAZHJzL2Uyb0RvYy54bWxQSwUG&#10;AAAAAAYABgBZAQAAUQ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35</w:t>
                          </w:r>
                          <w:r>
                            <w:fldChar w:fldCharType="end"/>
                          </w:r>
                        </w:p>
                      </w:txbxContent>
                    </wps:txbx>
                    <wps:bodyPr wrap="none" lIns="0" tIns="0" rIns="0" bIns="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grw28MBAACO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fL&#10;11mfPkCNabcBE9Pw3g+4NbMf0JlpDyra/EVCBOOo7umirhwSEfnRarlaVRgSGJsviM/un4cI6YP0&#10;lmSjoRHHV1Tlx0+QxtQ5JVdz/kYbU0Zo3H8OxMwelnsfe8xWGnbDRGjn2xPy6XHyDXW46JSYjw6F&#10;zUsyG3E2dpORa0B4d0hYuPSTUUeoqRiOqTCaVirvwb/3knX/G2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2CvDbwwEAAI4DAAAOAAAAAAAAAAEAIAAAAB4BAABkcnMvZTJvRG9jLnhtbFBL&#10;BQYAAAAABgAGAFkBAABTBQ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jc w:val="center"/>
                          </w:pPr>
                        </w:p>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mE8mbCAQAAjgMAAA4AAAAAAAAAAQAgAAAAHgEAAGRycy9lMm9Eb2MueG1sUEsF&#10;BgAAAAAGAAYAWQEAAFIFAAAAAA==&#10;">
              <v:fill on="f" focussize="0,0"/>
              <v:stroke on="f"/>
              <v:imagedata o:title=""/>
              <o:lock v:ext="edit" aspectratio="f"/>
              <v:textbox inset="0mm,0mm,0mm,0mm" style="mso-fit-shape-to-text:t;">
                <w:txbxContent>
                  <w:p>
                    <w:pPr>
                      <w:pStyle w:val="25"/>
                      <w:jc w:val="center"/>
                    </w:pPr>
                  </w:p>
                  <w:p/>
                </w:txbxContent>
              </v:textbox>
            </v:shape>
          </w:pict>
        </mc:Fallback>
      </mc:AlternateContent>
    </w:r>
  </w:p>
  <w:p>
    <w:pPr>
      <w:pStyle w:val="2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8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SniKsMBAACO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Z&#10;vs369AFqTLsPmJiGd37ArZn9gM5Me1DR5i8SIhhHdU8XdeWQiMiPVsvVqsKQwNh8QXz28DxESO+l&#10;tyQbDY04vqIqP36ENKbOKbma83famDJC4/5xIGb2sNz72GO20rAbJkI7356QT4+Tb6jDRafEfHAo&#10;bF6S2YizsZuMXAPC7SFh4dJPRh2hpmI4psJoWqm8B4/vJevhN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5KeIqwwEAAI4DAAAOAAAAAAAAAAEAIAAAAB4BAABkcnMvZTJvRG9jLnhtbFBL&#10;BQYAAAAABgAGAFkBAABTBQ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48</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480"/>
                            <w:jc w:val="center"/>
                          </w:pPr>
                        </w:p>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qHGMIBAACO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KqhxjCAQAAjgMAAA4AAAAAAAAAAQAgAAAAHgEAAGRycy9lMm9Eb2MueG1sUEsF&#10;BgAAAAAGAAYAWQEAAFIFAAAAAA==&#10;">
              <v:fill on="f" focussize="0,0"/>
              <v:stroke on="f"/>
              <v:imagedata o:title=""/>
              <o:lock v:ext="edit" aspectratio="f"/>
              <v:textbox inset="0mm,0mm,0mm,0mm" style="mso-fit-shape-to-text:t;">
                <w:txbxContent>
                  <w:p>
                    <w:pPr>
                      <w:pStyle w:val="25"/>
                      <w:ind w:firstLine="480"/>
                      <w:jc w:val="center"/>
                    </w:pPr>
                  </w:p>
                  <w:p/>
                </w:txbxContent>
              </v:textbox>
            </v:shape>
          </w:pict>
        </mc:Fallback>
      </mc:AlternateContent>
    </w:r>
  </w:p>
  <w:p>
    <w:pPr>
      <w:pStyle w:val="25"/>
      <w:ind w:firstLine="4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51</w:t>
                          </w:r>
                          <w:r>
                            <w:fldChar w:fldCharType="end"/>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caJ8MBAACO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0s&#10;r7M+fYAa0+4DJqbhnR9wa2Y/oDPTHlS0+YuECMZR3dNFXTkkIvKj1XK1qjAkMDZfEJ89PA8R0nvp&#10;LclGQyOOr6jKjx8hjalzSq7m/J02pozQuH8ciJk9LPc+9pitNOyGidDOtyfk0+PkG+pw0SkxHxwK&#10;m5dkNuJs7CYj14Bwe0hYuPSTUUeoqRiOqTCaVirvweN7yXr4jT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AVxonwwEAAI4DAAAOAAAAAAAAAAEAIAAAAB4BAABkcnMvZTJvRG9jLnhtbFBL&#10;BQYAAAAABgAGAFkBAABTBQ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51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jc w:val="center"/>
                          </w:pPr>
                        </w:p>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S9uMIBAACO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kvbjCAQAAjgMAAA4AAAAAAAAAAQAgAAAAHgEAAGRycy9lMm9Eb2MueG1sUEsF&#10;BgAAAAAGAAYAWQEAAFIFAAAAAA==&#10;">
              <v:fill on="f" focussize="0,0"/>
              <v:stroke on="f"/>
              <v:imagedata o:title=""/>
              <o:lock v:ext="edit" aspectratio="f"/>
              <v:textbox inset="0mm,0mm,0mm,0mm" style="mso-fit-shape-to-text:t;">
                <w:txbxContent>
                  <w:p>
                    <w:pPr>
                      <w:pStyle w:val="25"/>
                      <w:jc w:val="center"/>
                    </w:pPr>
                  </w:p>
                  <w:p/>
                </w:txbxContent>
              </v:textbox>
            </v:shape>
          </w:pict>
        </mc:Fallback>
      </mc:AlternateContent>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85280"/>
    <w:multiLevelType w:val="singleLevel"/>
    <w:tmpl w:val="97C85280"/>
    <w:lvl w:ilvl="0" w:tentative="0">
      <w:start w:val="2"/>
      <w:numFmt w:val="decimal"/>
      <w:suff w:val="nothing"/>
      <w:lvlText w:val="（%1）"/>
      <w:lvlJc w:val="left"/>
    </w:lvl>
  </w:abstractNum>
  <w:abstractNum w:abstractNumId="1">
    <w:nsid w:val="D684109A"/>
    <w:multiLevelType w:val="multilevel"/>
    <w:tmpl w:val="D684109A"/>
    <w:lvl w:ilvl="0" w:tentative="0">
      <w:start w:val="1"/>
      <w:numFmt w:val="decimal"/>
      <w:lvlText w:val="（%1）"/>
      <w:lvlJc w:val="left"/>
      <w:pPr>
        <w:tabs>
          <w:tab w:val="left" w:pos="715"/>
        </w:tabs>
        <w:ind w:left="715" w:hanging="505"/>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2">
    <w:nsid w:val="E8951F4E"/>
    <w:multiLevelType w:val="singleLevel"/>
    <w:tmpl w:val="E8951F4E"/>
    <w:lvl w:ilvl="0" w:tentative="0">
      <w:start w:val="6"/>
      <w:numFmt w:val="chineseCounting"/>
      <w:suff w:val="nothing"/>
      <w:lvlText w:val="%1、"/>
      <w:lvlJc w:val="left"/>
      <w:rPr>
        <w:rFonts w:hint="eastAsia"/>
      </w:rPr>
    </w:lvl>
  </w:abstractNum>
  <w:abstractNum w:abstractNumId="3">
    <w:nsid w:val="0FFFFF7C"/>
    <w:multiLevelType w:val="singleLevel"/>
    <w:tmpl w:val="0FFFFF7C"/>
    <w:lvl w:ilvl="0" w:tentative="0">
      <w:start w:val="1"/>
      <w:numFmt w:val="decimal"/>
      <w:pStyle w:val="12"/>
      <w:lvlText w:val="%1."/>
      <w:lvlJc w:val="left"/>
      <w:pPr>
        <w:tabs>
          <w:tab w:val="left" w:pos="2040"/>
        </w:tabs>
        <w:ind w:left="2040" w:hanging="360"/>
      </w:pPr>
    </w:lvl>
  </w:abstractNum>
  <w:abstractNum w:abstractNumId="4">
    <w:nsid w:val="0FFFFF7D"/>
    <w:multiLevelType w:val="singleLevel"/>
    <w:tmpl w:val="0FFFFF7D"/>
    <w:lvl w:ilvl="0" w:tentative="0">
      <w:start w:val="1"/>
      <w:numFmt w:val="decimal"/>
      <w:pStyle w:val="16"/>
      <w:lvlText w:val="%1."/>
      <w:lvlJc w:val="left"/>
      <w:pPr>
        <w:tabs>
          <w:tab w:val="left" w:pos="1620"/>
        </w:tabs>
        <w:ind w:left="1620" w:hanging="360"/>
      </w:pPr>
    </w:lvl>
  </w:abstractNum>
  <w:abstractNum w:abstractNumId="5">
    <w:nsid w:val="0FFFFF7F"/>
    <w:multiLevelType w:val="singleLevel"/>
    <w:tmpl w:val="0FFFFF7F"/>
    <w:lvl w:ilvl="0" w:tentative="0">
      <w:start w:val="1"/>
      <w:numFmt w:val="decimal"/>
      <w:pStyle w:val="13"/>
      <w:lvlText w:val="%1."/>
      <w:lvlJc w:val="left"/>
      <w:pPr>
        <w:tabs>
          <w:tab w:val="left" w:pos="780"/>
        </w:tabs>
        <w:ind w:left="780" w:hanging="360"/>
      </w:pPr>
    </w:lvl>
  </w:abstractNum>
  <w:abstractNum w:abstractNumId="6">
    <w:nsid w:val="0FFFFF80"/>
    <w:multiLevelType w:val="singleLevel"/>
    <w:tmpl w:val="0FFFFF80"/>
    <w:lvl w:ilvl="0" w:tentative="0">
      <w:start w:val="1"/>
      <w:numFmt w:val="bullet"/>
      <w:pStyle w:val="22"/>
      <w:lvlText w:val=""/>
      <w:lvlJc w:val="left"/>
      <w:pPr>
        <w:tabs>
          <w:tab w:val="left" w:pos="2040"/>
        </w:tabs>
        <w:ind w:left="2040" w:hanging="360"/>
      </w:pPr>
      <w:rPr>
        <w:rFonts w:hint="default" w:ascii="Wingdings" w:hAnsi="Wingdings"/>
      </w:rPr>
    </w:lvl>
  </w:abstractNum>
  <w:abstractNum w:abstractNumId="7">
    <w:nsid w:val="0FFFFF81"/>
    <w:multiLevelType w:val="singleLevel"/>
    <w:tmpl w:val="0FFFFF81"/>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8">
    <w:nsid w:val="0FFFFF83"/>
    <w:multiLevelType w:val="singleLevel"/>
    <w:tmpl w:val="0FFFFF83"/>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9">
    <w:nsid w:val="0FFFFF89"/>
    <w:multiLevelType w:val="singleLevel"/>
    <w:tmpl w:val="0FFFFF89"/>
    <w:lvl w:ilvl="0" w:tentative="0">
      <w:start w:val="1"/>
      <w:numFmt w:val="bullet"/>
      <w:pStyle w:val="233"/>
      <w:lvlText w:val=""/>
      <w:lvlJc w:val="left"/>
      <w:pPr>
        <w:tabs>
          <w:tab w:val="left" w:pos="360"/>
        </w:tabs>
        <w:ind w:left="360" w:hanging="360"/>
      </w:pPr>
      <w:rPr>
        <w:rFonts w:hint="default" w:ascii="Wingdings" w:hAnsi="Wingdings"/>
      </w:rPr>
    </w:lvl>
  </w:abstractNum>
  <w:abstractNum w:abstractNumId="10">
    <w:nsid w:val="2B441A44"/>
    <w:multiLevelType w:val="singleLevel"/>
    <w:tmpl w:val="2B441A44"/>
    <w:lvl w:ilvl="0" w:tentative="0">
      <w:start w:val="2"/>
      <w:numFmt w:val="decimal"/>
      <w:suff w:val="nothing"/>
      <w:lvlText w:val="（%1）"/>
      <w:lvlJc w:val="left"/>
    </w:lvl>
  </w:abstractNum>
  <w:abstractNum w:abstractNumId="11">
    <w:nsid w:val="389EA229"/>
    <w:multiLevelType w:val="singleLevel"/>
    <w:tmpl w:val="389EA229"/>
    <w:lvl w:ilvl="0" w:tentative="0">
      <w:start w:val="5"/>
      <w:numFmt w:val="decimal"/>
      <w:suff w:val="nothing"/>
      <w:lvlText w:val="（%1）"/>
      <w:lvlJc w:val="left"/>
    </w:lvl>
  </w:abstractNum>
  <w:abstractNum w:abstractNumId="12">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6"/>
      <w:lvlText w:val="%1.%2"/>
      <w:lvlJc w:val="left"/>
      <w:pPr>
        <w:tabs>
          <w:tab w:val="left" w:pos="576"/>
        </w:tabs>
        <w:ind w:left="576" w:hanging="576"/>
      </w:pPr>
      <w:rPr>
        <w:rFonts w:hint="eastAsia"/>
      </w:rPr>
    </w:lvl>
    <w:lvl w:ilvl="2" w:tentative="0">
      <w:start w:val="1"/>
      <w:numFmt w:val="decimal"/>
      <w:pStyle w:val="7"/>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
    <w:nsid w:val="77584DC2"/>
    <w:multiLevelType w:val="multilevel"/>
    <w:tmpl w:val="77584DC2"/>
    <w:lvl w:ilvl="0" w:tentative="0">
      <w:start w:val="1"/>
      <w:numFmt w:val="decimal"/>
      <w:lvlText w:val="%1."/>
      <w:lvlJc w:val="left"/>
      <w:pPr>
        <w:ind w:left="420" w:hanging="420"/>
      </w:pPr>
      <w:rPr>
        <w:i w:val="0"/>
        <w:i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3"/>
  </w:num>
  <w:num w:numId="3">
    <w:abstractNumId w:val="5"/>
  </w:num>
  <w:num w:numId="4">
    <w:abstractNumId w:val="4"/>
  </w:num>
  <w:num w:numId="5">
    <w:abstractNumId w:val="7"/>
  </w:num>
  <w:num w:numId="6">
    <w:abstractNumId w:val="6"/>
  </w:num>
  <w:num w:numId="7">
    <w:abstractNumId w:val="8"/>
  </w:num>
  <w:num w:numId="8">
    <w:abstractNumId w:val="9"/>
  </w:num>
  <w:num w:numId="9">
    <w:abstractNumId w:val="13"/>
  </w:num>
  <w:num w:numId="10">
    <w:abstractNumId w:val="2"/>
  </w:num>
  <w:num w:numId="11">
    <w:abstractNumId w:val="10"/>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OTNkZWI5MTFjMGI2YWIzNDY3YmNmMGI5MGFjNGUifQ=="/>
  </w:docVars>
  <w:rsids>
    <w:rsidRoot w:val="001439E3"/>
    <w:rsid w:val="000018F6"/>
    <w:rsid w:val="00007555"/>
    <w:rsid w:val="00007C20"/>
    <w:rsid w:val="00007E5F"/>
    <w:rsid w:val="00012349"/>
    <w:rsid w:val="00012AEE"/>
    <w:rsid w:val="00012BF3"/>
    <w:rsid w:val="00012C9F"/>
    <w:rsid w:val="00013191"/>
    <w:rsid w:val="000152BD"/>
    <w:rsid w:val="00016E5B"/>
    <w:rsid w:val="0001776C"/>
    <w:rsid w:val="00017ADD"/>
    <w:rsid w:val="00021889"/>
    <w:rsid w:val="0002373B"/>
    <w:rsid w:val="00024329"/>
    <w:rsid w:val="000256D8"/>
    <w:rsid w:val="00026B94"/>
    <w:rsid w:val="000271E7"/>
    <w:rsid w:val="00027255"/>
    <w:rsid w:val="000276D0"/>
    <w:rsid w:val="000279D7"/>
    <w:rsid w:val="00027B64"/>
    <w:rsid w:val="00030A43"/>
    <w:rsid w:val="00031FDB"/>
    <w:rsid w:val="00033F5E"/>
    <w:rsid w:val="00041D53"/>
    <w:rsid w:val="0004351F"/>
    <w:rsid w:val="0004418C"/>
    <w:rsid w:val="00045734"/>
    <w:rsid w:val="000460B6"/>
    <w:rsid w:val="00046A9C"/>
    <w:rsid w:val="000479FF"/>
    <w:rsid w:val="00051AE2"/>
    <w:rsid w:val="0005301B"/>
    <w:rsid w:val="000540F4"/>
    <w:rsid w:val="0005509D"/>
    <w:rsid w:val="000561F5"/>
    <w:rsid w:val="00056633"/>
    <w:rsid w:val="000568C4"/>
    <w:rsid w:val="000572B3"/>
    <w:rsid w:val="00060411"/>
    <w:rsid w:val="0006085B"/>
    <w:rsid w:val="0006493A"/>
    <w:rsid w:val="00065D58"/>
    <w:rsid w:val="00065FC4"/>
    <w:rsid w:val="000660AC"/>
    <w:rsid w:val="00066102"/>
    <w:rsid w:val="000667FD"/>
    <w:rsid w:val="000704DD"/>
    <w:rsid w:val="00073814"/>
    <w:rsid w:val="00074067"/>
    <w:rsid w:val="00074B96"/>
    <w:rsid w:val="00075EFA"/>
    <w:rsid w:val="00076A36"/>
    <w:rsid w:val="00076D74"/>
    <w:rsid w:val="00076D9F"/>
    <w:rsid w:val="000771F8"/>
    <w:rsid w:val="00080C31"/>
    <w:rsid w:val="00081328"/>
    <w:rsid w:val="000815A6"/>
    <w:rsid w:val="00081F25"/>
    <w:rsid w:val="000824AE"/>
    <w:rsid w:val="00083E1A"/>
    <w:rsid w:val="00084A00"/>
    <w:rsid w:val="00085239"/>
    <w:rsid w:val="00086FBB"/>
    <w:rsid w:val="0008743B"/>
    <w:rsid w:val="00093C6D"/>
    <w:rsid w:val="0009619A"/>
    <w:rsid w:val="000A0D3B"/>
    <w:rsid w:val="000A253C"/>
    <w:rsid w:val="000A3965"/>
    <w:rsid w:val="000A3985"/>
    <w:rsid w:val="000A3B0D"/>
    <w:rsid w:val="000A40C6"/>
    <w:rsid w:val="000A4754"/>
    <w:rsid w:val="000A7433"/>
    <w:rsid w:val="000A74AD"/>
    <w:rsid w:val="000A796B"/>
    <w:rsid w:val="000B0334"/>
    <w:rsid w:val="000B0B05"/>
    <w:rsid w:val="000B0B8E"/>
    <w:rsid w:val="000B0D00"/>
    <w:rsid w:val="000B0DF4"/>
    <w:rsid w:val="000B1AC7"/>
    <w:rsid w:val="000B1DFC"/>
    <w:rsid w:val="000B3D29"/>
    <w:rsid w:val="000B5B96"/>
    <w:rsid w:val="000B794A"/>
    <w:rsid w:val="000C0DBC"/>
    <w:rsid w:val="000C16D5"/>
    <w:rsid w:val="000C5EC0"/>
    <w:rsid w:val="000C6496"/>
    <w:rsid w:val="000C76F6"/>
    <w:rsid w:val="000C79EE"/>
    <w:rsid w:val="000C7C45"/>
    <w:rsid w:val="000D03D2"/>
    <w:rsid w:val="000D06C1"/>
    <w:rsid w:val="000D06DD"/>
    <w:rsid w:val="000D074E"/>
    <w:rsid w:val="000D1716"/>
    <w:rsid w:val="000D3E4C"/>
    <w:rsid w:val="000D43DF"/>
    <w:rsid w:val="000D442A"/>
    <w:rsid w:val="000D5A6F"/>
    <w:rsid w:val="000D7001"/>
    <w:rsid w:val="000E02E9"/>
    <w:rsid w:val="000E282D"/>
    <w:rsid w:val="000E28C4"/>
    <w:rsid w:val="000E339F"/>
    <w:rsid w:val="000E3FF9"/>
    <w:rsid w:val="000E4396"/>
    <w:rsid w:val="000F02DE"/>
    <w:rsid w:val="000F1862"/>
    <w:rsid w:val="000F18E1"/>
    <w:rsid w:val="000F25BB"/>
    <w:rsid w:val="000F2B61"/>
    <w:rsid w:val="000F3A18"/>
    <w:rsid w:val="000F432C"/>
    <w:rsid w:val="000F576E"/>
    <w:rsid w:val="000F664C"/>
    <w:rsid w:val="000F72AD"/>
    <w:rsid w:val="0010057A"/>
    <w:rsid w:val="00101555"/>
    <w:rsid w:val="00101E31"/>
    <w:rsid w:val="001026FD"/>
    <w:rsid w:val="00103245"/>
    <w:rsid w:val="0010383D"/>
    <w:rsid w:val="0010556B"/>
    <w:rsid w:val="001062F0"/>
    <w:rsid w:val="0011033E"/>
    <w:rsid w:val="001128F6"/>
    <w:rsid w:val="00112D3B"/>
    <w:rsid w:val="001138CE"/>
    <w:rsid w:val="0011512C"/>
    <w:rsid w:val="0011515B"/>
    <w:rsid w:val="00115A71"/>
    <w:rsid w:val="001169A0"/>
    <w:rsid w:val="001175DB"/>
    <w:rsid w:val="00120C9D"/>
    <w:rsid w:val="00120FF4"/>
    <w:rsid w:val="00122125"/>
    <w:rsid w:val="00123804"/>
    <w:rsid w:val="00124FE1"/>
    <w:rsid w:val="0012576B"/>
    <w:rsid w:val="00127E5A"/>
    <w:rsid w:val="001301B5"/>
    <w:rsid w:val="0013096D"/>
    <w:rsid w:val="001318FC"/>
    <w:rsid w:val="0013194A"/>
    <w:rsid w:val="00131E4D"/>
    <w:rsid w:val="0013241C"/>
    <w:rsid w:val="00132C00"/>
    <w:rsid w:val="00133B7C"/>
    <w:rsid w:val="001362B9"/>
    <w:rsid w:val="00137501"/>
    <w:rsid w:val="001439E3"/>
    <w:rsid w:val="001440ED"/>
    <w:rsid w:val="00144532"/>
    <w:rsid w:val="001447D0"/>
    <w:rsid w:val="00145635"/>
    <w:rsid w:val="0015027D"/>
    <w:rsid w:val="00151365"/>
    <w:rsid w:val="00151612"/>
    <w:rsid w:val="00152DCB"/>
    <w:rsid w:val="00153406"/>
    <w:rsid w:val="00153EE1"/>
    <w:rsid w:val="001541B4"/>
    <w:rsid w:val="0015432B"/>
    <w:rsid w:val="00160224"/>
    <w:rsid w:val="001610FE"/>
    <w:rsid w:val="00161628"/>
    <w:rsid w:val="001622C8"/>
    <w:rsid w:val="0016304F"/>
    <w:rsid w:val="00167419"/>
    <w:rsid w:val="00170223"/>
    <w:rsid w:val="00172432"/>
    <w:rsid w:val="00172516"/>
    <w:rsid w:val="00173BD2"/>
    <w:rsid w:val="00173E58"/>
    <w:rsid w:val="0017411F"/>
    <w:rsid w:val="00174AF7"/>
    <w:rsid w:val="001753FF"/>
    <w:rsid w:val="00176612"/>
    <w:rsid w:val="00177A7E"/>
    <w:rsid w:val="001808F6"/>
    <w:rsid w:val="00180F4E"/>
    <w:rsid w:val="00180F90"/>
    <w:rsid w:val="00183754"/>
    <w:rsid w:val="00184457"/>
    <w:rsid w:val="001845F0"/>
    <w:rsid w:val="00184D0F"/>
    <w:rsid w:val="00184F9A"/>
    <w:rsid w:val="00185522"/>
    <w:rsid w:val="00185829"/>
    <w:rsid w:val="001862BA"/>
    <w:rsid w:val="0018688D"/>
    <w:rsid w:val="00186F4E"/>
    <w:rsid w:val="001874BA"/>
    <w:rsid w:val="001904AB"/>
    <w:rsid w:val="00191903"/>
    <w:rsid w:val="00193198"/>
    <w:rsid w:val="001945CA"/>
    <w:rsid w:val="00194EA5"/>
    <w:rsid w:val="00197956"/>
    <w:rsid w:val="00197991"/>
    <w:rsid w:val="001A29A1"/>
    <w:rsid w:val="001A3082"/>
    <w:rsid w:val="001A36F1"/>
    <w:rsid w:val="001A58AC"/>
    <w:rsid w:val="001A765D"/>
    <w:rsid w:val="001A78ED"/>
    <w:rsid w:val="001A7B63"/>
    <w:rsid w:val="001B0677"/>
    <w:rsid w:val="001B0C9C"/>
    <w:rsid w:val="001B1699"/>
    <w:rsid w:val="001B29B2"/>
    <w:rsid w:val="001B6A36"/>
    <w:rsid w:val="001B7CC3"/>
    <w:rsid w:val="001C048E"/>
    <w:rsid w:val="001C37E4"/>
    <w:rsid w:val="001C5394"/>
    <w:rsid w:val="001C6618"/>
    <w:rsid w:val="001C6911"/>
    <w:rsid w:val="001D226F"/>
    <w:rsid w:val="001D34D0"/>
    <w:rsid w:val="001D545A"/>
    <w:rsid w:val="001D74EE"/>
    <w:rsid w:val="001D764D"/>
    <w:rsid w:val="001E030C"/>
    <w:rsid w:val="001E0984"/>
    <w:rsid w:val="001E2B27"/>
    <w:rsid w:val="001E5FC5"/>
    <w:rsid w:val="001E7042"/>
    <w:rsid w:val="001F041C"/>
    <w:rsid w:val="001F062C"/>
    <w:rsid w:val="001F4C7C"/>
    <w:rsid w:val="001F4F06"/>
    <w:rsid w:val="001F60B3"/>
    <w:rsid w:val="001F60F0"/>
    <w:rsid w:val="001F670D"/>
    <w:rsid w:val="001F679D"/>
    <w:rsid w:val="001F78EC"/>
    <w:rsid w:val="001F7A6C"/>
    <w:rsid w:val="00200808"/>
    <w:rsid w:val="0020106F"/>
    <w:rsid w:val="002047C5"/>
    <w:rsid w:val="0020528F"/>
    <w:rsid w:val="00207898"/>
    <w:rsid w:val="00207960"/>
    <w:rsid w:val="00207983"/>
    <w:rsid w:val="0021092F"/>
    <w:rsid w:val="002111F5"/>
    <w:rsid w:val="00211449"/>
    <w:rsid w:val="00211F51"/>
    <w:rsid w:val="0021304A"/>
    <w:rsid w:val="002130ED"/>
    <w:rsid w:val="00214501"/>
    <w:rsid w:val="002150E7"/>
    <w:rsid w:val="00215D5C"/>
    <w:rsid w:val="00216895"/>
    <w:rsid w:val="00217409"/>
    <w:rsid w:val="00217978"/>
    <w:rsid w:val="00220740"/>
    <w:rsid w:val="00221AE0"/>
    <w:rsid w:val="00224C68"/>
    <w:rsid w:val="00231F34"/>
    <w:rsid w:val="002322C1"/>
    <w:rsid w:val="00232CED"/>
    <w:rsid w:val="002363F8"/>
    <w:rsid w:val="0023688D"/>
    <w:rsid w:val="00236BBB"/>
    <w:rsid w:val="0023730C"/>
    <w:rsid w:val="002375DD"/>
    <w:rsid w:val="00237A6E"/>
    <w:rsid w:val="002405AE"/>
    <w:rsid w:val="00241FB9"/>
    <w:rsid w:val="00244E8F"/>
    <w:rsid w:val="002514F6"/>
    <w:rsid w:val="00251A5D"/>
    <w:rsid w:val="00251F7E"/>
    <w:rsid w:val="002521D9"/>
    <w:rsid w:val="00252BCD"/>
    <w:rsid w:val="0025587D"/>
    <w:rsid w:val="00256785"/>
    <w:rsid w:val="00256892"/>
    <w:rsid w:val="002568C3"/>
    <w:rsid w:val="00260985"/>
    <w:rsid w:val="002615CB"/>
    <w:rsid w:val="00262C52"/>
    <w:rsid w:val="00264886"/>
    <w:rsid w:val="0026526D"/>
    <w:rsid w:val="002653ED"/>
    <w:rsid w:val="00266542"/>
    <w:rsid w:val="0026723B"/>
    <w:rsid w:val="00267FF7"/>
    <w:rsid w:val="00272D08"/>
    <w:rsid w:val="00272D84"/>
    <w:rsid w:val="00273D49"/>
    <w:rsid w:val="00274181"/>
    <w:rsid w:val="00277823"/>
    <w:rsid w:val="0027787E"/>
    <w:rsid w:val="00277932"/>
    <w:rsid w:val="00277D7E"/>
    <w:rsid w:val="002813CF"/>
    <w:rsid w:val="002817B4"/>
    <w:rsid w:val="00281AB0"/>
    <w:rsid w:val="00281E91"/>
    <w:rsid w:val="0028217D"/>
    <w:rsid w:val="00282492"/>
    <w:rsid w:val="002826B2"/>
    <w:rsid w:val="00282ED1"/>
    <w:rsid w:val="00284691"/>
    <w:rsid w:val="00284DDC"/>
    <w:rsid w:val="002851BF"/>
    <w:rsid w:val="00286876"/>
    <w:rsid w:val="00287F94"/>
    <w:rsid w:val="00290E7A"/>
    <w:rsid w:val="00291263"/>
    <w:rsid w:val="0029146B"/>
    <w:rsid w:val="00292065"/>
    <w:rsid w:val="00292F58"/>
    <w:rsid w:val="00293446"/>
    <w:rsid w:val="00293AD9"/>
    <w:rsid w:val="002945ED"/>
    <w:rsid w:val="00295033"/>
    <w:rsid w:val="00295D90"/>
    <w:rsid w:val="00296C48"/>
    <w:rsid w:val="002A3109"/>
    <w:rsid w:val="002A447D"/>
    <w:rsid w:val="002A57B8"/>
    <w:rsid w:val="002A667D"/>
    <w:rsid w:val="002A7CCC"/>
    <w:rsid w:val="002B1FEF"/>
    <w:rsid w:val="002B235D"/>
    <w:rsid w:val="002B2781"/>
    <w:rsid w:val="002B30AF"/>
    <w:rsid w:val="002B3D12"/>
    <w:rsid w:val="002B6DB9"/>
    <w:rsid w:val="002B7CF6"/>
    <w:rsid w:val="002C2250"/>
    <w:rsid w:val="002C23B8"/>
    <w:rsid w:val="002C292E"/>
    <w:rsid w:val="002C427D"/>
    <w:rsid w:val="002C5151"/>
    <w:rsid w:val="002C5A5F"/>
    <w:rsid w:val="002D0500"/>
    <w:rsid w:val="002D1AA5"/>
    <w:rsid w:val="002D2CBB"/>
    <w:rsid w:val="002D38B1"/>
    <w:rsid w:val="002D40E3"/>
    <w:rsid w:val="002D4916"/>
    <w:rsid w:val="002D5699"/>
    <w:rsid w:val="002D5930"/>
    <w:rsid w:val="002D7EAE"/>
    <w:rsid w:val="002D7F2F"/>
    <w:rsid w:val="002E0BC4"/>
    <w:rsid w:val="002E1EEC"/>
    <w:rsid w:val="002E2759"/>
    <w:rsid w:val="002E2AF1"/>
    <w:rsid w:val="002E2F07"/>
    <w:rsid w:val="002E3E0E"/>
    <w:rsid w:val="002E403B"/>
    <w:rsid w:val="002E45BD"/>
    <w:rsid w:val="002E620C"/>
    <w:rsid w:val="002E7221"/>
    <w:rsid w:val="002E7C7C"/>
    <w:rsid w:val="002F0A83"/>
    <w:rsid w:val="002F2B41"/>
    <w:rsid w:val="002F4748"/>
    <w:rsid w:val="002F60AA"/>
    <w:rsid w:val="002F643A"/>
    <w:rsid w:val="002F6981"/>
    <w:rsid w:val="0030178B"/>
    <w:rsid w:val="003019A0"/>
    <w:rsid w:val="003034B6"/>
    <w:rsid w:val="0030395D"/>
    <w:rsid w:val="00303CF1"/>
    <w:rsid w:val="00303F77"/>
    <w:rsid w:val="0030638A"/>
    <w:rsid w:val="003069DB"/>
    <w:rsid w:val="00311469"/>
    <w:rsid w:val="00312462"/>
    <w:rsid w:val="00313052"/>
    <w:rsid w:val="003145C9"/>
    <w:rsid w:val="0031698E"/>
    <w:rsid w:val="0032127D"/>
    <w:rsid w:val="003221FD"/>
    <w:rsid w:val="003227DE"/>
    <w:rsid w:val="0032312C"/>
    <w:rsid w:val="00324281"/>
    <w:rsid w:val="0032516D"/>
    <w:rsid w:val="00331114"/>
    <w:rsid w:val="003313A7"/>
    <w:rsid w:val="00331865"/>
    <w:rsid w:val="003334E5"/>
    <w:rsid w:val="003351B7"/>
    <w:rsid w:val="003369F1"/>
    <w:rsid w:val="00341A1E"/>
    <w:rsid w:val="00342744"/>
    <w:rsid w:val="00344665"/>
    <w:rsid w:val="00346625"/>
    <w:rsid w:val="00347025"/>
    <w:rsid w:val="003475CD"/>
    <w:rsid w:val="00347FA7"/>
    <w:rsid w:val="00350EA5"/>
    <w:rsid w:val="003523EA"/>
    <w:rsid w:val="00354198"/>
    <w:rsid w:val="00355CE9"/>
    <w:rsid w:val="00356486"/>
    <w:rsid w:val="00357708"/>
    <w:rsid w:val="00357C0B"/>
    <w:rsid w:val="0036096C"/>
    <w:rsid w:val="0036116F"/>
    <w:rsid w:val="00361D31"/>
    <w:rsid w:val="003620E0"/>
    <w:rsid w:val="003637CC"/>
    <w:rsid w:val="00365364"/>
    <w:rsid w:val="00365555"/>
    <w:rsid w:val="0036649D"/>
    <w:rsid w:val="00366A29"/>
    <w:rsid w:val="003674BD"/>
    <w:rsid w:val="00367AE3"/>
    <w:rsid w:val="0037091D"/>
    <w:rsid w:val="003710EC"/>
    <w:rsid w:val="003714DC"/>
    <w:rsid w:val="0037261D"/>
    <w:rsid w:val="00373253"/>
    <w:rsid w:val="003746C1"/>
    <w:rsid w:val="00375368"/>
    <w:rsid w:val="00375CA8"/>
    <w:rsid w:val="00375E95"/>
    <w:rsid w:val="00375EA2"/>
    <w:rsid w:val="003763EE"/>
    <w:rsid w:val="0037666D"/>
    <w:rsid w:val="003775DD"/>
    <w:rsid w:val="00382A84"/>
    <w:rsid w:val="003831EC"/>
    <w:rsid w:val="0038398E"/>
    <w:rsid w:val="003839E7"/>
    <w:rsid w:val="00384447"/>
    <w:rsid w:val="003850D5"/>
    <w:rsid w:val="0038574B"/>
    <w:rsid w:val="00385AFE"/>
    <w:rsid w:val="003869D6"/>
    <w:rsid w:val="0039122B"/>
    <w:rsid w:val="00394438"/>
    <w:rsid w:val="00395739"/>
    <w:rsid w:val="00395889"/>
    <w:rsid w:val="00395B29"/>
    <w:rsid w:val="00396ED5"/>
    <w:rsid w:val="003A2651"/>
    <w:rsid w:val="003A26AB"/>
    <w:rsid w:val="003A5C6A"/>
    <w:rsid w:val="003A6FAF"/>
    <w:rsid w:val="003A73F0"/>
    <w:rsid w:val="003B2FAA"/>
    <w:rsid w:val="003B31CD"/>
    <w:rsid w:val="003B33CF"/>
    <w:rsid w:val="003B3F6B"/>
    <w:rsid w:val="003B492F"/>
    <w:rsid w:val="003B4E05"/>
    <w:rsid w:val="003B4E4B"/>
    <w:rsid w:val="003B50C9"/>
    <w:rsid w:val="003B52A6"/>
    <w:rsid w:val="003B6691"/>
    <w:rsid w:val="003C03D0"/>
    <w:rsid w:val="003C04DF"/>
    <w:rsid w:val="003C1003"/>
    <w:rsid w:val="003C1E9C"/>
    <w:rsid w:val="003C245B"/>
    <w:rsid w:val="003C2F7E"/>
    <w:rsid w:val="003C3AFA"/>
    <w:rsid w:val="003C4454"/>
    <w:rsid w:val="003C559E"/>
    <w:rsid w:val="003C5622"/>
    <w:rsid w:val="003C7E14"/>
    <w:rsid w:val="003D01CC"/>
    <w:rsid w:val="003D12DE"/>
    <w:rsid w:val="003D1CFF"/>
    <w:rsid w:val="003D46D6"/>
    <w:rsid w:val="003D4E20"/>
    <w:rsid w:val="003D5C49"/>
    <w:rsid w:val="003D759B"/>
    <w:rsid w:val="003E0DF6"/>
    <w:rsid w:val="003E2C81"/>
    <w:rsid w:val="003E2FD9"/>
    <w:rsid w:val="003E47DD"/>
    <w:rsid w:val="003E602A"/>
    <w:rsid w:val="003E6A2B"/>
    <w:rsid w:val="003E6E04"/>
    <w:rsid w:val="003F11A4"/>
    <w:rsid w:val="003F25B6"/>
    <w:rsid w:val="003F2712"/>
    <w:rsid w:val="003F31A3"/>
    <w:rsid w:val="003F3D07"/>
    <w:rsid w:val="003F4550"/>
    <w:rsid w:val="003F49AE"/>
    <w:rsid w:val="003F5748"/>
    <w:rsid w:val="003F7149"/>
    <w:rsid w:val="003F7A3B"/>
    <w:rsid w:val="00400886"/>
    <w:rsid w:val="004029FC"/>
    <w:rsid w:val="0040305E"/>
    <w:rsid w:val="00404BFB"/>
    <w:rsid w:val="00404EAB"/>
    <w:rsid w:val="00405B1A"/>
    <w:rsid w:val="00407DB2"/>
    <w:rsid w:val="0041008E"/>
    <w:rsid w:val="0041370D"/>
    <w:rsid w:val="00417D3C"/>
    <w:rsid w:val="00417FFD"/>
    <w:rsid w:val="004200DD"/>
    <w:rsid w:val="0042106E"/>
    <w:rsid w:val="00422982"/>
    <w:rsid w:val="00422B4B"/>
    <w:rsid w:val="00423445"/>
    <w:rsid w:val="00430E82"/>
    <w:rsid w:val="00431E42"/>
    <w:rsid w:val="00432088"/>
    <w:rsid w:val="004320D8"/>
    <w:rsid w:val="00433C2F"/>
    <w:rsid w:val="00434717"/>
    <w:rsid w:val="00434DB7"/>
    <w:rsid w:val="004356B7"/>
    <w:rsid w:val="004361FC"/>
    <w:rsid w:val="004364DD"/>
    <w:rsid w:val="00436E52"/>
    <w:rsid w:val="0044041E"/>
    <w:rsid w:val="004416D1"/>
    <w:rsid w:val="00444F7A"/>
    <w:rsid w:val="00445A51"/>
    <w:rsid w:val="00447304"/>
    <w:rsid w:val="004478D1"/>
    <w:rsid w:val="004515D1"/>
    <w:rsid w:val="00454654"/>
    <w:rsid w:val="004553FE"/>
    <w:rsid w:val="00456F6A"/>
    <w:rsid w:val="004571A2"/>
    <w:rsid w:val="00457434"/>
    <w:rsid w:val="00460546"/>
    <w:rsid w:val="00461416"/>
    <w:rsid w:val="004615DF"/>
    <w:rsid w:val="00461678"/>
    <w:rsid w:val="004616EF"/>
    <w:rsid w:val="00461C1B"/>
    <w:rsid w:val="0046219F"/>
    <w:rsid w:val="004622BD"/>
    <w:rsid w:val="00462DBC"/>
    <w:rsid w:val="00463781"/>
    <w:rsid w:val="00464190"/>
    <w:rsid w:val="00467068"/>
    <w:rsid w:val="0047013A"/>
    <w:rsid w:val="00470AF6"/>
    <w:rsid w:val="00470DB8"/>
    <w:rsid w:val="00471736"/>
    <w:rsid w:val="004742BE"/>
    <w:rsid w:val="0048019C"/>
    <w:rsid w:val="00481054"/>
    <w:rsid w:val="00481C5B"/>
    <w:rsid w:val="00482763"/>
    <w:rsid w:val="004844B6"/>
    <w:rsid w:val="0048460A"/>
    <w:rsid w:val="004911E7"/>
    <w:rsid w:val="0049163F"/>
    <w:rsid w:val="00492755"/>
    <w:rsid w:val="00492B48"/>
    <w:rsid w:val="004934EC"/>
    <w:rsid w:val="0049689A"/>
    <w:rsid w:val="004A0D8E"/>
    <w:rsid w:val="004A175D"/>
    <w:rsid w:val="004A346B"/>
    <w:rsid w:val="004A55F9"/>
    <w:rsid w:val="004A5912"/>
    <w:rsid w:val="004A5F61"/>
    <w:rsid w:val="004A7D75"/>
    <w:rsid w:val="004B0231"/>
    <w:rsid w:val="004B0638"/>
    <w:rsid w:val="004B08F8"/>
    <w:rsid w:val="004B13BB"/>
    <w:rsid w:val="004B1449"/>
    <w:rsid w:val="004B56BF"/>
    <w:rsid w:val="004B5D80"/>
    <w:rsid w:val="004B71BF"/>
    <w:rsid w:val="004B71CF"/>
    <w:rsid w:val="004C0B41"/>
    <w:rsid w:val="004C2180"/>
    <w:rsid w:val="004C2CD3"/>
    <w:rsid w:val="004C7406"/>
    <w:rsid w:val="004D0AB1"/>
    <w:rsid w:val="004D1020"/>
    <w:rsid w:val="004D164A"/>
    <w:rsid w:val="004D3D86"/>
    <w:rsid w:val="004D4215"/>
    <w:rsid w:val="004D6457"/>
    <w:rsid w:val="004D75DD"/>
    <w:rsid w:val="004D7813"/>
    <w:rsid w:val="004E07D5"/>
    <w:rsid w:val="004E108F"/>
    <w:rsid w:val="004E3750"/>
    <w:rsid w:val="004E622F"/>
    <w:rsid w:val="004F0139"/>
    <w:rsid w:val="004F1189"/>
    <w:rsid w:val="004F1883"/>
    <w:rsid w:val="004F27BA"/>
    <w:rsid w:val="004F432D"/>
    <w:rsid w:val="004F5A9F"/>
    <w:rsid w:val="004F720B"/>
    <w:rsid w:val="0050013E"/>
    <w:rsid w:val="00500570"/>
    <w:rsid w:val="00502C90"/>
    <w:rsid w:val="005049BE"/>
    <w:rsid w:val="00505DBF"/>
    <w:rsid w:val="0050662C"/>
    <w:rsid w:val="005069CC"/>
    <w:rsid w:val="00507D53"/>
    <w:rsid w:val="00507EFE"/>
    <w:rsid w:val="0051412D"/>
    <w:rsid w:val="0052196A"/>
    <w:rsid w:val="005221CB"/>
    <w:rsid w:val="00522806"/>
    <w:rsid w:val="00524377"/>
    <w:rsid w:val="00524491"/>
    <w:rsid w:val="00526460"/>
    <w:rsid w:val="00527FC0"/>
    <w:rsid w:val="00530621"/>
    <w:rsid w:val="00530944"/>
    <w:rsid w:val="00530EF8"/>
    <w:rsid w:val="00531C1E"/>
    <w:rsid w:val="00533AF8"/>
    <w:rsid w:val="005340D4"/>
    <w:rsid w:val="005341E7"/>
    <w:rsid w:val="0053511F"/>
    <w:rsid w:val="00535391"/>
    <w:rsid w:val="00535CFD"/>
    <w:rsid w:val="00536507"/>
    <w:rsid w:val="00537812"/>
    <w:rsid w:val="00541A3B"/>
    <w:rsid w:val="00541B5B"/>
    <w:rsid w:val="00541FFD"/>
    <w:rsid w:val="005428E0"/>
    <w:rsid w:val="005442B6"/>
    <w:rsid w:val="00546DAA"/>
    <w:rsid w:val="00547683"/>
    <w:rsid w:val="005509CF"/>
    <w:rsid w:val="0055232E"/>
    <w:rsid w:val="005525A8"/>
    <w:rsid w:val="005539F5"/>
    <w:rsid w:val="00555588"/>
    <w:rsid w:val="005568C0"/>
    <w:rsid w:val="0055719E"/>
    <w:rsid w:val="0055736F"/>
    <w:rsid w:val="00561A6F"/>
    <w:rsid w:val="00562BD2"/>
    <w:rsid w:val="00562F32"/>
    <w:rsid w:val="00563B21"/>
    <w:rsid w:val="005644FC"/>
    <w:rsid w:val="00564796"/>
    <w:rsid w:val="00567069"/>
    <w:rsid w:val="00572738"/>
    <w:rsid w:val="00573260"/>
    <w:rsid w:val="005751B3"/>
    <w:rsid w:val="00576326"/>
    <w:rsid w:val="00577662"/>
    <w:rsid w:val="00582980"/>
    <w:rsid w:val="005835C7"/>
    <w:rsid w:val="00583BB5"/>
    <w:rsid w:val="00584049"/>
    <w:rsid w:val="0058444F"/>
    <w:rsid w:val="00584BC6"/>
    <w:rsid w:val="00584C5A"/>
    <w:rsid w:val="005850F1"/>
    <w:rsid w:val="0058533F"/>
    <w:rsid w:val="00585A1B"/>
    <w:rsid w:val="00586DDD"/>
    <w:rsid w:val="005870A9"/>
    <w:rsid w:val="0058741A"/>
    <w:rsid w:val="005874D9"/>
    <w:rsid w:val="005876C7"/>
    <w:rsid w:val="0059012B"/>
    <w:rsid w:val="0059167C"/>
    <w:rsid w:val="0059212E"/>
    <w:rsid w:val="00592271"/>
    <w:rsid w:val="005922FD"/>
    <w:rsid w:val="005931A4"/>
    <w:rsid w:val="005931C5"/>
    <w:rsid w:val="00594917"/>
    <w:rsid w:val="0059533F"/>
    <w:rsid w:val="005A0748"/>
    <w:rsid w:val="005A1D44"/>
    <w:rsid w:val="005A1EBB"/>
    <w:rsid w:val="005A26D6"/>
    <w:rsid w:val="005A37E9"/>
    <w:rsid w:val="005A6B55"/>
    <w:rsid w:val="005A71D2"/>
    <w:rsid w:val="005A7E37"/>
    <w:rsid w:val="005B1705"/>
    <w:rsid w:val="005B1765"/>
    <w:rsid w:val="005B1EA6"/>
    <w:rsid w:val="005B2556"/>
    <w:rsid w:val="005B3170"/>
    <w:rsid w:val="005B42F4"/>
    <w:rsid w:val="005B46F3"/>
    <w:rsid w:val="005B53EC"/>
    <w:rsid w:val="005C1B9D"/>
    <w:rsid w:val="005C250E"/>
    <w:rsid w:val="005C2704"/>
    <w:rsid w:val="005C38F3"/>
    <w:rsid w:val="005C3A50"/>
    <w:rsid w:val="005C41CA"/>
    <w:rsid w:val="005C5AEA"/>
    <w:rsid w:val="005C6947"/>
    <w:rsid w:val="005D02C5"/>
    <w:rsid w:val="005D0FD0"/>
    <w:rsid w:val="005D1078"/>
    <w:rsid w:val="005D1E58"/>
    <w:rsid w:val="005D30B2"/>
    <w:rsid w:val="005D56EC"/>
    <w:rsid w:val="005D5CDC"/>
    <w:rsid w:val="005D6EBA"/>
    <w:rsid w:val="005E040C"/>
    <w:rsid w:val="005E121D"/>
    <w:rsid w:val="005E15EF"/>
    <w:rsid w:val="005E1C44"/>
    <w:rsid w:val="005E2260"/>
    <w:rsid w:val="005E3CCB"/>
    <w:rsid w:val="005E4CB0"/>
    <w:rsid w:val="005E6760"/>
    <w:rsid w:val="005E6E1B"/>
    <w:rsid w:val="005E73A0"/>
    <w:rsid w:val="005E76CC"/>
    <w:rsid w:val="005E7F47"/>
    <w:rsid w:val="005F004A"/>
    <w:rsid w:val="005F20A9"/>
    <w:rsid w:val="005F22FD"/>
    <w:rsid w:val="005F48D4"/>
    <w:rsid w:val="005F616E"/>
    <w:rsid w:val="005F757F"/>
    <w:rsid w:val="006001F5"/>
    <w:rsid w:val="00600424"/>
    <w:rsid w:val="00601478"/>
    <w:rsid w:val="00602332"/>
    <w:rsid w:val="0060242A"/>
    <w:rsid w:val="00602E3C"/>
    <w:rsid w:val="006047F1"/>
    <w:rsid w:val="00605D81"/>
    <w:rsid w:val="00607495"/>
    <w:rsid w:val="0060789E"/>
    <w:rsid w:val="00607D86"/>
    <w:rsid w:val="006112B1"/>
    <w:rsid w:val="006141F7"/>
    <w:rsid w:val="00616DDA"/>
    <w:rsid w:val="006176F8"/>
    <w:rsid w:val="006220A2"/>
    <w:rsid w:val="006220E0"/>
    <w:rsid w:val="00622B02"/>
    <w:rsid w:val="006244F1"/>
    <w:rsid w:val="0062459A"/>
    <w:rsid w:val="006255CA"/>
    <w:rsid w:val="00625A78"/>
    <w:rsid w:val="00626050"/>
    <w:rsid w:val="006264CF"/>
    <w:rsid w:val="00627E6A"/>
    <w:rsid w:val="00630084"/>
    <w:rsid w:val="00630D4F"/>
    <w:rsid w:val="00631392"/>
    <w:rsid w:val="0063231F"/>
    <w:rsid w:val="006328C3"/>
    <w:rsid w:val="00632ECF"/>
    <w:rsid w:val="00633358"/>
    <w:rsid w:val="00635055"/>
    <w:rsid w:val="0063672E"/>
    <w:rsid w:val="0064059C"/>
    <w:rsid w:val="006422D2"/>
    <w:rsid w:val="006436B3"/>
    <w:rsid w:val="00644001"/>
    <w:rsid w:val="00644459"/>
    <w:rsid w:val="0065103D"/>
    <w:rsid w:val="00651EE8"/>
    <w:rsid w:val="00654FE9"/>
    <w:rsid w:val="006562E3"/>
    <w:rsid w:val="00661547"/>
    <w:rsid w:val="0066173F"/>
    <w:rsid w:val="006635AF"/>
    <w:rsid w:val="00664854"/>
    <w:rsid w:val="00664BCC"/>
    <w:rsid w:val="00665DBB"/>
    <w:rsid w:val="00666B97"/>
    <w:rsid w:val="006679FE"/>
    <w:rsid w:val="00667EE7"/>
    <w:rsid w:val="006715ED"/>
    <w:rsid w:val="00674757"/>
    <w:rsid w:val="00683947"/>
    <w:rsid w:val="006844F1"/>
    <w:rsid w:val="00684C7C"/>
    <w:rsid w:val="00685003"/>
    <w:rsid w:val="00687533"/>
    <w:rsid w:val="0069134D"/>
    <w:rsid w:val="00691DA9"/>
    <w:rsid w:val="00691FCE"/>
    <w:rsid w:val="00692935"/>
    <w:rsid w:val="00693D6A"/>
    <w:rsid w:val="006947B0"/>
    <w:rsid w:val="00694D5B"/>
    <w:rsid w:val="00694E14"/>
    <w:rsid w:val="006968F1"/>
    <w:rsid w:val="00697CEC"/>
    <w:rsid w:val="006A0406"/>
    <w:rsid w:val="006A2C6F"/>
    <w:rsid w:val="006A6430"/>
    <w:rsid w:val="006A748A"/>
    <w:rsid w:val="006A7CCA"/>
    <w:rsid w:val="006B318A"/>
    <w:rsid w:val="006B3270"/>
    <w:rsid w:val="006B38D9"/>
    <w:rsid w:val="006B6A1B"/>
    <w:rsid w:val="006C1020"/>
    <w:rsid w:val="006C1102"/>
    <w:rsid w:val="006C1C9F"/>
    <w:rsid w:val="006C36AD"/>
    <w:rsid w:val="006C4D69"/>
    <w:rsid w:val="006C6991"/>
    <w:rsid w:val="006C6CD6"/>
    <w:rsid w:val="006C6F66"/>
    <w:rsid w:val="006C7F4C"/>
    <w:rsid w:val="006D04BC"/>
    <w:rsid w:val="006D0BD6"/>
    <w:rsid w:val="006D1642"/>
    <w:rsid w:val="006D265B"/>
    <w:rsid w:val="006D46DD"/>
    <w:rsid w:val="006D68A7"/>
    <w:rsid w:val="006E1DFF"/>
    <w:rsid w:val="006E5B89"/>
    <w:rsid w:val="006E5C30"/>
    <w:rsid w:val="006E5DFC"/>
    <w:rsid w:val="006E7D2C"/>
    <w:rsid w:val="006E7DD6"/>
    <w:rsid w:val="006F3589"/>
    <w:rsid w:val="006F3A86"/>
    <w:rsid w:val="006F4158"/>
    <w:rsid w:val="006F4A94"/>
    <w:rsid w:val="006F519E"/>
    <w:rsid w:val="006F5C3B"/>
    <w:rsid w:val="006F746E"/>
    <w:rsid w:val="006F7D23"/>
    <w:rsid w:val="006F7D57"/>
    <w:rsid w:val="0070183B"/>
    <w:rsid w:val="00702510"/>
    <w:rsid w:val="0070349E"/>
    <w:rsid w:val="007037B7"/>
    <w:rsid w:val="00706C8F"/>
    <w:rsid w:val="00706E2F"/>
    <w:rsid w:val="00707365"/>
    <w:rsid w:val="0070760B"/>
    <w:rsid w:val="00710933"/>
    <w:rsid w:val="007117DE"/>
    <w:rsid w:val="00711BF7"/>
    <w:rsid w:val="00712A88"/>
    <w:rsid w:val="00713C54"/>
    <w:rsid w:val="007166FC"/>
    <w:rsid w:val="007208F2"/>
    <w:rsid w:val="00720BE6"/>
    <w:rsid w:val="0072231F"/>
    <w:rsid w:val="00722A64"/>
    <w:rsid w:val="007238E6"/>
    <w:rsid w:val="00723D99"/>
    <w:rsid w:val="00727BBD"/>
    <w:rsid w:val="00731214"/>
    <w:rsid w:val="007331F9"/>
    <w:rsid w:val="00733566"/>
    <w:rsid w:val="0073364E"/>
    <w:rsid w:val="00733DDC"/>
    <w:rsid w:val="007344A5"/>
    <w:rsid w:val="00735740"/>
    <w:rsid w:val="00736641"/>
    <w:rsid w:val="0073746A"/>
    <w:rsid w:val="007377CF"/>
    <w:rsid w:val="007416BB"/>
    <w:rsid w:val="0074174D"/>
    <w:rsid w:val="00741941"/>
    <w:rsid w:val="0074229D"/>
    <w:rsid w:val="0074244C"/>
    <w:rsid w:val="007433EA"/>
    <w:rsid w:val="00743D46"/>
    <w:rsid w:val="00746E76"/>
    <w:rsid w:val="007509AA"/>
    <w:rsid w:val="00751338"/>
    <w:rsid w:val="00752193"/>
    <w:rsid w:val="00752A4E"/>
    <w:rsid w:val="0075302F"/>
    <w:rsid w:val="0075437F"/>
    <w:rsid w:val="00754792"/>
    <w:rsid w:val="00755870"/>
    <w:rsid w:val="00757304"/>
    <w:rsid w:val="007623FB"/>
    <w:rsid w:val="0076471E"/>
    <w:rsid w:val="00765A9E"/>
    <w:rsid w:val="00767952"/>
    <w:rsid w:val="0077163C"/>
    <w:rsid w:val="00771B6F"/>
    <w:rsid w:val="00772A35"/>
    <w:rsid w:val="00772C46"/>
    <w:rsid w:val="00772CF1"/>
    <w:rsid w:val="00775D20"/>
    <w:rsid w:val="00781772"/>
    <w:rsid w:val="00784C18"/>
    <w:rsid w:val="00785832"/>
    <w:rsid w:val="00786107"/>
    <w:rsid w:val="007863BC"/>
    <w:rsid w:val="0078790B"/>
    <w:rsid w:val="007879B3"/>
    <w:rsid w:val="007913D7"/>
    <w:rsid w:val="00792F73"/>
    <w:rsid w:val="0079543A"/>
    <w:rsid w:val="00795E11"/>
    <w:rsid w:val="0079625E"/>
    <w:rsid w:val="00796DA9"/>
    <w:rsid w:val="007A10B3"/>
    <w:rsid w:val="007A1645"/>
    <w:rsid w:val="007A1D31"/>
    <w:rsid w:val="007A30D8"/>
    <w:rsid w:val="007A3A01"/>
    <w:rsid w:val="007A3F36"/>
    <w:rsid w:val="007A5B03"/>
    <w:rsid w:val="007A6354"/>
    <w:rsid w:val="007A76D2"/>
    <w:rsid w:val="007A7D62"/>
    <w:rsid w:val="007B056A"/>
    <w:rsid w:val="007B0E8A"/>
    <w:rsid w:val="007B1114"/>
    <w:rsid w:val="007B16C7"/>
    <w:rsid w:val="007B2905"/>
    <w:rsid w:val="007B2F4A"/>
    <w:rsid w:val="007B3654"/>
    <w:rsid w:val="007B41BA"/>
    <w:rsid w:val="007B5FEB"/>
    <w:rsid w:val="007B63B0"/>
    <w:rsid w:val="007C021D"/>
    <w:rsid w:val="007C027B"/>
    <w:rsid w:val="007C1B16"/>
    <w:rsid w:val="007C302B"/>
    <w:rsid w:val="007C37DF"/>
    <w:rsid w:val="007C410A"/>
    <w:rsid w:val="007C411B"/>
    <w:rsid w:val="007C4BC3"/>
    <w:rsid w:val="007C5A9C"/>
    <w:rsid w:val="007C6500"/>
    <w:rsid w:val="007C716F"/>
    <w:rsid w:val="007C7553"/>
    <w:rsid w:val="007D138A"/>
    <w:rsid w:val="007D1BFA"/>
    <w:rsid w:val="007D2980"/>
    <w:rsid w:val="007D2A8E"/>
    <w:rsid w:val="007D4940"/>
    <w:rsid w:val="007D50C6"/>
    <w:rsid w:val="007D5262"/>
    <w:rsid w:val="007D6837"/>
    <w:rsid w:val="007D708D"/>
    <w:rsid w:val="007D76D7"/>
    <w:rsid w:val="007E2F88"/>
    <w:rsid w:val="007F0FE8"/>
    <w:rsid w:val="007F4636"/>
    <w:rsid w:val="007F519A"/>
    <w:rsid w:val="007F53D0"/>
    <w:rsid w:val="007F57E7"/>
    <w:rsid w:val="008000C2"/>
    <w:rsid w:val="0080086E"/>
    <w:rsid w:val="00800AF8"/>
    <w:rsid w:val="00801F5C"/>
    <w:rsid w:val="00802742"/>
    <w:rsid w:val="0080314F"/>
    <w:rsid w:val="0080376C"/>
    <w:rsid w:val="00805AED"/>
    <w:rsid w:val="00811586"/>
    <w:rsid w:val="00814A7C"/>
    <w:rsid w:val="00816B35"/>
    <w:rsid w:val="0082130A"/>
    <w:rsid w:val="008228D6"/>
    <w:rsid w:val="008238FC"/>
    <w:rsid w:val="008239D0"/>
    <w:rsid w:val="00825450"/>
    <w:rsid w:val="00830FAC"/>
    <w:rsid w:val="00831A3F"/>
    <w:rsid w:val="00835FEB"/>
    <w:rsid w:val="0083712D"/>
    <w:rsid w:val="00840238"/>
    <w:rsid w:val="00840242"/>
    <w:rsid w:val="00840392"/>
    <w:rsid w:val="00840907"/>
    <w:rsid w:val="0084093A"/>
    <w:rsid w:val="008417B0"/>
    <w:rsid w:val="0084222E"/>
    <w:rsid w:val="00842AAB"/>
    <w:rsid w:val="008447FA"/>
    <w:rsid w:val="008460E0"/>
    <w:rsid w:val="008467A0"/>
    <w:rsid w:val="00846C85"/>
    <w:rsid w:val="008470A4"/>
    <w:rsid w:val="0084740E"/>
    <w:rsid w:val="008505C7"/>
    <w:rsid w:val="00851559"/>
    <w:rsid w:val="00852044"/>
    <w:rsid w:val="00853259"/>
    <w:rsid w:val="00853432"/>
    <w:rsid w:val="008535FE"/>
    <w:rsid w:val="00853E4F"/>
    <w:rsid w:val="008541CE"/>
    <w:rsid w:val="00854269"/>
    <w:rsid w:val="008548AC"/>
    <w:rsid w:val="00856322"/>
    <w:rsid w:val="0086070F"/>
    <w:rsid w:val="00860F1A"/>
    <w:rsid w:val="008616A3"/>
    <w:rsid w:val="0086181A"/>
    <w:rsid w:val="00861924"/>
    <w:rsid w:val="0086258F"/>
    <w:rsid w:val="00862E26"/>
    <w:rsid w:val="00863DBE"/>
    <w:rsid w:val="00864751"/>
    <w:rsid w:val="00865129"/>
    <w:rsid w:val="00865AE5"/>
    <w:rsid w:val="008663AF"/>
    <w:rsid w:val="0086682E"/>
    <w:rsid w:val="00867496"/>
    <w:rsid w:val="0086765D"/>
    <w:rsid w:val="00870574"/>
    <w:rsid w:val="00870B08"/>
    <w:rsid w:val="00872315"/>
    <w:rsid w:val="00872D1D"/>
    <w:rsid w:val="00873125"/>
    <w:rsid w:val="0087340E"/>
    <w:rsid w:val="00874204"/>
    <w:rsid w:val="00874689"/>
    <w:rsid w:val="00874948"/>
    <w:rsid w:val="00874C06"/>
    <w:rsid w:val="008772E4"/>
    <w:rsid w:val="00877564"/>
    <w:rsid w:val="00877785"/>
    <w:rsid w:val="008803C7"/>
    <w:rsid w:val="0088074A"/>
    <w:rsid w:val="00881345"/>
    <w:rsid w:val="008814F4"/>
    <w:rsid w:val="00881A8E"/>
    <w:rsid w:val="00882390"/>
    <w:rsid w:val="00883B2F"/>
    <w:rsid w:val="008852F2"/>
    <w:rsid w:val="008862BC"/>
    <w:rsid w:val="00890406"/>
    <w:rsid w:val="00892B3B"/>
    <w:rsid w:val="00893C3B"/>
    <w:rsid w:val="00893C89"/>
    <w:rsid w:val="00893D34"/>
    <w:rsid w:val="008944DB"/>
    <w:rsid w:val="0089594D"/>
    <w:rsid w:val="008A0F94"/>
    <w:rsid w:val="008A294B"/>
    <w:rsid w:val="008A3B9D"/>
    <w:rsid w:val="008A6A7C"/>
    <w:rsid w:val="008A7641"/>
    <w:rsid w:val="008B145B"/>
    <w:rsid w:val="008B1766"/>
    <w:rsid w:val="008B23BA"/>
    <w:rsid w:val="008B4BC7"/>
    <w:rsid w:val="008B4D0A"/>
    <w:rsid w:val="008B5457"/>
    <w:rsid w:val="008B65D9"/>
    <w:rsid w:val="008B7953"/>
    <w:rsid w:val="008C0AAD"/>
    <w:rsid w:val="008C0B44"/>
    <w:rsid w:val="008C28E7"/>
    <w:rsid w:val="008C35F5"/>
    <w:rsid w:val="008C3B72"/>
    <w:rsid w:val="008C3E88"/>
    <w:rsid w:val="008C47E0"/>
    <w:rsid w:val="008C4C58"/>
    <w:rsid w:val="008C567F"/>
    <w:rsid w:val="008C6ABE"/>
    <w:rsid w:val="008C6F53"/>
    <w:rsid w:val="008C794D"/>
    <w:rsid w:val="008D379D"/>
    <w:rsid w:val="008D4631"/>
    <w:rsid w:val="008D4A63"/>
    <w:rsid w:val="008D6A1B"/>
    <w:rsid w:val="008E173B"/>
    <w:rsid w:val="008E1C37"/>
    <w:rsid w:val="008E23B8"/>
    <w:rsid w:val="008E2A03"/>
    <w:rsid w:val="008E523C"/>
    <w:rsid w:val="008E5E6E"/>
    <w:rsid w:val="008E6776"/>
    <w:rsid w:val="008E6B9A"/>
    <w:rsid w:val="008E7B77"/>
    <w:rsid w:val="008F0308"/>
    <w:rsid w:val="008F49D4"/>
    <w:rsid w:val="008F73C1"/>
    <w:rsid w:val="008F7F23"/>
    <w:rsid w:val="009006D0"/>
    <w:rsid w:val="00900C18"/>
    <w:rsid w:val="00901550"/>
    <w:rsid w:val="00901BF1"/>
    <w:rsid w:val="0090332F"/>
    <w:rsid w:val="00903E72"/>
    <w:rsid w:val="00904A60"/>
    <w:rsid w:val="00907C5C"/>
    <w:rsid w:val="00910699"/>
    <w:rsid w:val="00912A0D"/>
    <w:rsid w:val="00912D98"/>
    <w:rsid w:val="00916143"/>
    <w:rsid w:val="00917652"/>
    <w:rsid w:val="00920618"/>
    <w:rsid w:val="00921BEC"/>
    <w:rsid w:val="0092311A"/>
    <w:rsid w:val="009258DB"/>
    <w:rsid w:val="0092772C"/>
    <w:rsid w:val="00927796"/>
    <w:rsid w:val="009321E2"/>
    <w:rsid w:val="009332BB"/>
    <w:rsid w:val="00935318"/>
    <w:rsid w:val="00935B8D"/>
    <w:rsid w:val="0093617A"/>
    <w:rsid w:val="009366F4"/>
    <w:rsid w:val="00936DDC"/>
    <w:rsid w:val="009371ED"/>
    <w:rsid w:val="00937C77"/>
    <w:rsid w:val="00942117"/>
    <w:rsid w:val="009436FC"/>
    <w:rsid w:val="0094537A"/>
    <w:rsid w:val="00945845"/>
    <w:rsid w:val="0094591D"/>
    <w:rsid w:val="00950E5E"/>
    <w:rsid w:val="00950FD3"/>
    <w:rsid w:val="009522FD"/>
    <w:rsid w:val="0095447D"/>
    <w:rsid w:val="009544F5"/>
    <w:rsid w:val="00954B0A"/>
    <w:rsid w:val="0095605D"/>
    <w:rsid w:val="00956696"/>
    <w:rsid w:val="00956769"/>
    <w:rsid w:val="00956E98"/>
    <w:rsid w:val="009571A0"/>
    <w:rsid w:val="0096087E"/>
    <w:rsid w:val="0096146C"/>
    <w:rsid w:val="009626AA"/>
    <w:rsid w:val="009628C2"/>
    <w:rsid w:val="0096304C"/>
    <w:rsid w:val="009634FF"/>
    <w:rsid w:val="00963527"/>
    <w:rsid w:val="0096375D"/>
    <w:rsid w:val="00963E5A"/>
    <w:rsid w:val="00964626"/>
    <w:rsid w:val="00964C75"/>
    <w:rsid w:val="00964C9F"/>
    <w:rsid w:val="00965B8C"/>
    <w:rsid w:val="00966F27"/>
    <w:rsid w:val="00970325"/>
    <w:rsid w:val="009704FA"/>
    <w:rsid w:val="009708C6"/>
    <w:rsid w:val="00970B0C"/>
    <w:rsid w:val="00970FBD"/>
    <w:rsid w:val="00971A3A"/>
    <w:rsid w:val="00971C43"/>
    <w:rsid w:val="00972C8E"/>
    <w:rsid w:val="00972DEE"/>
    <w:rsid w:val="009746F5"/>
    <w:rsid w:val="009749DE"/>
    <w:rsid w:val="00974A4C"/>
    <w:rsid w:val="00975FAE"/>
    <w:rsid w:val="0097632E"/>
    <w:rsid w:val="00976B05"/>
    <w:rsid w:val="00976D3F"/>
    <w:rsid w:val="00977804"/>
    <w:rsid w:val="00977D20"/>
    <w:rsid w:val="009806D2"/>
    <w:rsid w:val="009823B5"/>
    <w:rsid w:val="00982DD4"/>
    <w:rsid w:val="009830D9"/>
    <w:rsid w:val="00985CCA"/>
    <w:rsid w:val="009879D8"/>
    <w:rsid w:val="00987EBF"/>
    <w:rsid w:val="00990D66"/>
    <w:rsid w:val="00990DE9"/>
    <w:rsid w:val="009914ED"/>
    <w:rsid w:val="009915A3"/>
    <w:rsid w:val="00992CAB"/>
    <w:rsid w:val="00994766"/>
    <w:rsid w:val="0099530A"/>
    <w:rsid w:val="00995CB9"/>
    <w:rsid w:val="00996DFF"/>
    <w:rsid w:val="009A14A8"/>
    <w:rsid w:val="009A1A0F"/>
    <w:rsid w:val="009A1F1E"/>
    <w:rsid w:val="009A232C"/>
    <w:rsid w:val="009A23FC"/>
    <w:rsid w:val="009A2800"/>
    <w:rsid w:val="009A42C4"/>
    <w:rsid w:val="009A447B"/>
    <w:rsid w:val="009A4962"/>
    <w:rsid w:val="009A5713"/>
    <w:rsid w:val="009B0596"/>
    <w:rsid w:val="009B088C"/>
    <w:rsid w:val="009B1FCB"/>
    <w:rsid w:val="009B2A4A"/>
    <w:rsid w:val="009B31A9"/>
    <w:rsid w:val="009B400B"/>
    <w:rsid w:val="009B49F1"/>
    <w:rsid w:val="009B59F7"/>
    <w:rsid w:val="009B5E69"/>
    <w:rsid w:val="009B729E"/>
    <w:rsid w:val="009B7311"/>
    <w:rsid w:val="009C106A"/>
    <w:rsid w:val="009C18CA"/>
    <w:rsid w:val="009C2151"/>
    <w:rsid w:val="009C36B8"/>
    <w:rsid w:val="009C4CA6"/>
    <w:rsid w:val="009C5CB6"/>
    <w:rsid w:val="009C5F6A"/>
    <w:rsid w:val="009C6C6A"/>
    <w:rsid w:val="009D2279"/>
    <w:rsid w:val="009D22D0"/>
    <w:rsid w:val="009D23D0"/>
    <w:rsid w:val="009D2A07"/>
    <w:rsid w:val="009D3ADF"/>
    <w:rsid w:val="009D4A69"/>
    <w:rsid w:val="009D77F1"/>
    <w:rsid w:val="009E397C"/>
    <w:rsid w:val="009E438D"/>
    <w:rsid w:val="009E4ABE"/>
    <w:rsid w:val="009E4C92"/>
    <w:rsid w:val="009E6A2D"/>
    <w:rsid w:val="009E6A4C"/>
    <w:rsid w:val="009E6B07"/>
    <w:rsid w:val="009F0DAD"/>
    <w:rsid w:val="009F13DB"/>
    <w:rsid w:val="009F2059"/>
    <w:rsid w:val="009F37F1"/>
    <w:rsid w:val="009F41AF"/>
    <w:rsid w:val="009F6DEB"/>
    <w:rsid w:val="009F7FFB"/>
    <w:rsid w:val="00A0064B"/>
    <w:rsid w:val="00A01320"/>
    <w:rsid w:val="00A037AA"/>
    <w:rsid w:val="00A0479F"/>
    <w:rsid w:val="00A0593B"/>
    <w:rsid w:val="00A05C40"/>
    <w:rsid w:val="00A0606B"/>
    <w:rsid w:val="00A073F0"/>
    <w:rsid w:val="00A10848"/>
    <w:rsid w:val="00A11839"/>
    <w:rsid w:val="00A11EF4"/>
    <w:rsid w:val="00A122AA"/>
    <w:rsid w:val="00A1625F"/>
    <w:rsid w:val="00A174FB"/>
    <w:rsid w:val="00A178D3"/>
    <w:rsid w:val="00A2025A"/>
    <w:rsid w:val="00A21072"/>
    <w:rsid w:val="00A2140C"/>
    <w:rsid w:val="00A227E7"/>
    <w:rsid w:val="00A24754"/>
    <w:rsid w:val="00A2484F"/>
    <w:rsid w:val="00A25E37"/>
    <w:rsid w:val="00A263A8"/>
    <w:rsid w:val="00A310C5"/>
    <w:rsid w:val="00A313C9"/>
    <w:rsid w:val="00A31501"/>
    <w:rsid w:val="00A31A05"/>
    <w:rsid w:val="00A34611"/>
    <w:rsid w:val="00A3693F"/>
    <w:rsid w:val="00A37835"/>
    <w:rsid w:val="00A40B6B"/>
    <w:rsid w:val="00A415DF"/>
    <w:rsid w:val="00A416F3"/>
    <w:rsid w:val="00A42630"/>
    <w:rsid w:val="00A42631"/>
    <w:rsid w:val="00A428AC"/>
    <w:rsid w:val="00A43DA3"/>
    <w:rsid w:val="00A44119"/>
    <w:rsid w:val="00A4450E"/>
    <w:rsid w:val="00A4550E"/>
    <w:rsid w:val="00A45D5C"/>
    <w:rsid w:val="00A47C6D"/>
    <w:rsid w:val="00A51E8A"/>
    <w:rsid w:val="00A5201C"/>
    <w:rsid w:val="00A53EBB"/>
    <w:rsid w:val="00A55BED"/>
    <w:rsid w:val="00A571E2"/>
    <w:rsid w:val="00A57CA0"/>
    <w:rsid w:val="00A61302"/>
    <w:rsid w:val="00A61673"/>
    <w:rsid w:val="00A619A3"/>
    <w:rsid w:val="00A61D59"/>
    <w:rsid w:val="00A629A3"/>
    <w:rsid w:val="00A632FB"/>
    <w:rsid w:val="00A651C1"/>
    <w:rsid w:val="00A65954"/>
    <w:rsid w:val="00A70511"/>
    <w:rsid w:val="00A716CF"/>
    <w:rsid w:val="00A71F3C"/>
    <w:rsid w:val="00A72A2B"/>
    <w:rsid w:val="00A77589"/>
    <w:rsid w:val="00A8057D"/>
    <w:rsid w:val="00A824E0"/>
    <w:rsid w:val="00A825BA"/>
    <w:rsid w:val="00A84028"/>
    <w:rsid w:val="00A84995"/>
    <w:rsid w:val="00A84EF6"/>
    <w:rsid w:val="00A8601C"/>
    <w:rsid w:val="00A8729F"/>
    <w:rsid w:val="00A87CD6"/>
    <w:rsid w:val="00A916B9"/>
    <w:rsid w:val="00A91BF1"/>
    <w:rsid w:val="00A923F7"/>
    <w:rsid w:val="00A92738"/>
    <w:rsid w:val="00A93291"/>
    <w:rsid w:val="00A935F6"/>
    <w:rsid w:val="00A93B2C"/>
    <w:rsid w:val="00A93BFF"/>
    <w:rsid w:val="00A94F04"/>
    <w:rsid w:val="00A96376"/>
    <w:rsid w:val="00A968E7"/>
    <w:rsid w:val="00AA0FDE"/>
    <w:rsid w:val="00AA2A08"/>
    <w:rsid w:val="00AA4060"/>
    <w:rsid w:val="00AA6633"/>
    <w:rsid w:val="00AB1F9A"/>
    <w:rsid w:val="00AB275C"/>
    <w:rsid w:val="00AB3795"/>
    <w:rsid w:val="00AB52D9"/>
    <w:rsid w:val="00AB5373"/>
    <w:rsid w:val="00AB53B7"/>
    <w:rsid w:val="00AB6CA6"/>
    <w:rsid w:val="00AC1AD5"/>
    <w:rsid w:val="00AC226E"/>
    <w:rsid w:val="00AC3652"/>
    <w:rsid w:val="00AC4139"/>
    <w:rsid w:val="00AC52A1"/>
    <w:rsid w:val="00AC623B"/>
    <w:rsid w:val="00AC6311"/>
    <w:rsid w:val="00AD0820"/>
    <w:rsid w:val="00AD2AFD"/>
    <w:rsid w:val="00AD40D5"/>
    <w:rsid w:val="00AD587E"/>
    <w:rsid w:val="00AD5F6A"/>
    <w:rsid w:val="00AE1B09"/>
    <w:rsid w:val="00AE1D2D"/>
    <w:rsid w:val="00AE2679"/>
    <w:rsid w:val="00AE3198"/>
    <w:rsid w:val="00AE4B73"/>
    <w:rsid w:val="00AE5BF3"/>
    <w:rsid w:val="00AF0944"/>
    <w:rsid w:val="00AF2162"/>
    <w:rsid w:val="00AF2880"/>
    <w:rsid w:val="00AF4840"/>
    <w:rsid w:val="00AF4854"/>
    <w:rsid w:val="00AF48D6"/>
    <w:rsid w:val="00AF5076"/>
    <w:rsid w:val="00AF6658"/>
    <w:rsid w:val="00AF791F"/>
    <w:rsid w:val="00B00D8F"/>
    <w:rsid w:val="00B028DE"/>
    <w:rsid w:val="00B036C8"/>
    <w:rsid w:val="00B04301"/>
    <w:rsid w:val="00B06464"/>
    <w:rsid w:val="00B07C91"/>
    <w:rsid w:val="00B07F41"/>
    <w:rsid w:val="00B11BBC"/>
    <w:rsid w:val="00B11C35"/>
    <w:rsid w:val="00B12565"/>
    <w:rsid w:val="00B12AEC"/>
    <w:rsid w:val="00B12BE9"/>
    <w:rsid w:val="00B14795"/>
    <w:rsid w:val="00B15690"/>
    <w:rsid w:val="00B15BAB"/>
    <w:rsid w:val="00B1693C"/>
    <w:rsid w:val="00B16AA0"/>
    <w:rsid w:val="00B22CE4"/>
    <w:rsid w:val="00B25E2A"/>
    <w:rsid w:val="00B267B7"/>
    <w:rsid w:val="00B270C6"/>
    <w:rsid w:val="00B27A10"/>
    <w:rsid w:val="00B31180"/>
    <w:rsid w:val="00B31A46"/>
    <w:rsid w:val="00B33490"/>
    <w:rsid w:val="00B334F2"/>
    <w:rsid w:val="00B34451"/>
    <w:rsid w:val="00B34962"/>
    <w:rsid w:val="00B34E00"/>
    <w:rsid w:val="00B3683E"/>
    <w:rsid w:val="00B36A65"/>
    <w:rsid w:val="00B40D48"/>
    <w:rsid w:val="00B41761"/>
    <w:rsid w:val="00B429B5"/>
    <w:rsid w:val="00B42DAA"/>
    <w:rsid w:val="00B45982"/>
    <w:rsid w:val="00B51098"/>
    <w:rsid w:val="00B515E6"/>
    <w:rsid w:val="00B51664"/>
    <w:rsid w:val="00B51AE8"/>
    <w:rsid w:val="00B52A6B"/>
    <w:rsid w:val="00B54195"/>
    <w:rsid w:val="00B542B0"/>
    <w:rsid w:val="00B54768"/>
    <w:rsid w:val="00B5759C"/>
    <w:rsid w:val="00B60B92"/>
    <w:rsid w:val="00B60D1C"/>
    <w:rsid w:val="00B61DD4"/>
    <w:rsid w:val="00B634CA"/>
    <w:rsid w:val="00B6447E"/>
    <w:rsid w:val="00B65E95"/>
    <w:rsid w:val="00B66219"/>
    <w:rsid w:val="00B66E0B"/>
    <w:rsid w:val="00B67453"/>
    <w:rsid w:val="00B67D81"/>
    <w:rsid w:val="00B67E9E"/>
    <w:rsid w:val="00B67EA2"/>
    <w:rsid w:val="00B702B3"/>
    <w:rsid w:val="00B712C3"/>
    <w:rsid w:val="00B722F5"/>
    <w:rsid w:val="00B7271B"/>
    <w:rsid w:val="00B73028"/>
    <w:rsid w:val="00B74D55"/>
    <w:rsid w:val="00B77541"/>
    <w:rsid w:val="00B775B0"/>
    <w:rsid w:val="00B8102E"/>
    <w:rsid w:val="00B817E7"/>
    <w:rsid w:val="00B81D70"/>
    <w:rsid w:val="00B82DD8"/>
    <w:rsid w:val="00B838CA"/>
    <w:rsid w:val="00B83B05"/>
    <w:rsid w:val="00B83D01"/>
    <w:rsid w:val="00B84BB5"/>
    <w:rsid w:val="00B86244"/>
    <w:rsid w:val="00B905DE"/>
    <w:rsid w:val="00B90806"/>
    <w:rsid w:val="00B911C2"/>
    <w:rsid w:val="00B93F69"/>
    <w:rsid w:val="00B95289"/>
    <w:rsid w:val="00B95803"/>
    <w:rsid w:val="00B964E9"/>
    <w:rsid w:val="00B96D3A"/>
    <w:rsid w:val="00BA39E9"/>
    <w:rsid w:val="00BA473B"/>
    <w:rsid w:val="00BA74DE"/>
    <w:rsid w:val="00BA77D6"/>
    <w:rsid w:val="00BB00C9"/>
    <w:rsid w:val="00BB1058"/>
    <w:rsid w:val="00BB10E6"/>
    <w:rsid w:val="00BB3B46"/>
    <w:rsid w:val="00BB7820"/>
    <w:rsid w:val="00BC01E2"/>
    <w:rsid w:val="00BC1435"/>
    <w:rsid w:val="00BC18C3"/>
    <w:rsid w:val="00BC37AE"/>
    <w:rsid w:val="00BC3E69"/>
    <w:rsid w:val="00BC57AD"/>
    <w:rsid w:val="00BC6D8B"/>
    <w:rsid w:val="00BC7657"/>
    <w:rsid w:val="00BD0E80"/>
    <w:rsid w:val="00BD0F57"/>
    <w:rsid w:val="00BD16C4"/>
    <w:rsid w:val="00BD1EED"/>
    <w:rsid w:val="00BD2BCF"/>
    <w:rsid w:val="00BD445A"/>
    <w:rsid w:val="00BD51DB"/>
    <w:rsid w:val="00BD6465"/>
    <w:rsid w:val="00BD66A8"/>
    <w:rsid w:val="00BD7BE7"/>
    <w:rsid w:val="00BE0BBA"/>
    <w:rsid w:val="00BE221B"/>
    <w:rsid w:val="00BE2D4F"/>
    <w:rsid w:val="00BE37ED"/>
    <w:rsid w:val="00BE59AD"/>
    <w:rsid w:val="00BE5BD3"/>
    <w:rsid w:val="00BE66F6"/>
    <w:rsid w:val="00BE6EBE"/>
    <w:rsid w:val="00BE6F75"/>
    <w:rsid w:val="00BE7196"/>
    <w:rsid w:val="00BE71A4"/>
    <w:rsid w:val="00BE768B"/>
    <w:rsid w:val="00BF0007"/>
    <w:rsid w:val="00BF0018"/>
    <w:rsid w:val="00BF1774"/>
    <w:rsid w:val="00BF230B"/>
    <w:rsid w:val="00BF2E07"/>
    <w:rsid w:val="00BF3B36"/>
    <w:rsid w:val="00BF4B13"/>
    <w:rsid w:val="00BF54CB"/>
    <w:rsid w:val="00BF6B0E"/>
    <w:rsid w:val="00C03957"/>
    <w:rsid w:val="00C048E6"/>
    <w:rsid w:val="00C0704E"/>
    <w:rsid w:val="00C070CB"/>
    <w:rsid w:val="00C10711"/>
    <w:rsid w:val="00C12562"/>
    <w:rsid w:val="00C12A15"/>
    <w:rsid w:val="00C1440D"/>
    <w:rsid w:val="00C15A36"/>
    <w:rsid w:val="00C16E9D"/>
    <w:rsid w:val="00C1756D"/>
    <w:rsid w:val="00C17646"/>
    <w:rsid w:val="00C207F9"/>
    <w:rsid w:val="00C22570"/>
    <w:rsid w:val="00C22A11"/>
    <w:rsid w:val="00C22C03"/>
    <w:rsid w:val="00C23949"/>
    <w:rsid w:val="00C2414F"/>
    <w:rsid w:val="00C3041F"/>
    <w:rsid w:val="00C30C4F"/>
    <w:rsid w:val="00C316B6"/>
    <w:rsid w:val="00C31B4E"/>
    <w:rsid w:val="00C31D44"/>
    <w:rsid w:val="00C370C4"/>
    <w:rsid w:val="00C40E93"/>
    <w:rsid w:val="00C419E7"/>
    <w:rsid w:val="00C42823"/>
    <w:rsid w:val="00C42F02"/>
    <w:rsid w:val="00C45C0E"/>
    <w:rsid w:val="00C462B0"/>
    <w:rsid w:val="00C504ED"/>
    <w:rsid w:val="00C5167C"/>
    <w:rsid w:val="00C51DE6"/>
    <w:rsid w:val="00C52333"/>
    <w:rsid w:val="00C548D1"/>
    <w:rsid w:val="00C61AB3"/>
    <w:rsid w:val="00C61B14"/>
    <w:rsid w:val="00C62341"/>
    <w:rsid w:val="00C62F6D"/>
    <w:rsid w:val="00C634EC"/>
    <w:rsid w:val="00C64A8B"/>
    <w:rsid w:val="00C66878"/>
    <w:rsid w:val="00C67260"/>
    <w:rsid w:val="00C702AE"/>
    <w:rsid w:val="00C704B4"/>
    <w:rsid w:val="00C7075E"/>
    <w:rsid w:val="00C707C7"/>
    <w:rsid w:val="00C70801"/>
    <w:rsid w:val="00C70BFC"/>
    <w:rsid w:val="00C70EAA"/>
    <w:rsid w:val="00C71278"/>
    <w:rsid w:val="00C71397"/>
    <w:rsid w:val="00C71DB3"/>
    <w:rsid w:val="00C74902"/>
    <w:rsid w:val="00C76AEA"/>
    <w:rsid w:val="00C77616"/>
    <w:rsid w:val="00C801D5"/>
    <w:rsid w:val="00C80407"/>
    <w:rsid w:val="00C805EB"/>
    <w:rsid w:val="00C8184D"/>
    <w:rsid w:val="00C81C8A"/>
    <w:rsid w:val="00C826E1"/>
    <w:rsid w:val="00C86951"/>
    <w:rsid w:val="00C875B3"/>
    <w:rsid w:val="00C8789D"/>
    <w:rsid w:val="00C93922"/>
    <w:rsid w:val="00C961D3"/>
    <w:rsid w:val="00C96378"/>
    <w:rsid w:val="00C97309"/>
    <w:rsid w:val="00CA1B3B"/>
    <w:rsid w:val="00CA2346"/>
    <w:rsid w:val="00CA278C"/>
    <w:rsid w:val="00CA3413"/>
    <w:rsid w:val="00CA3F2B"/>
    <w:rsid w:val="00CA42D3"/>
    <w:rsid w:val="00CA5D2A"/>
    <w:rsid w:val="00CB002E"/>
    <w:rsid w:val="00CB3B81"/>
    <w:rsid w:val="00CB3DBD"/>
    <w:rsid w:val="00CB674C"/>
    <w:rsid w:val="00CC24CB"/>
    <w:rsid w:val="00CC2E0C"/>
    <w:rsid w:val="00CC40B1"/>
    <w:rsid w:val="00CC4FE6"/>
    <w:rsid w:val="00CC5B1F"/>
    <w:rsid w:val="00CC6B32"/>
    <w:rsid w:val="00CC7C59"/>
    <w:rsid w:val="00CC7D0E"/>
    <w:rsid w:val="00CD0176"/>
    <w:rsid w:val="00CD1484"/>
    <w:rsid w:val="00CD1CD4"/>
    <w:rsid w:val="00CD3930"/>
    <w:rsid w:val="00CD4D00"/>
    <w:rsid w:val="00CD56CE"/>
    <w:rsid w:val="00CD62DA"/>
    <w:rsid w:val="00CD6B0E"/>
    <w:rsid w:val="00CD6F64"/>
    <w:rsid w:val="00CE1222"/>
    <w:rsid w:val="00CE179E"/>
    <w:rsid w:val="00CE1D73"/>
    <w:rsid w:val="00CE297D"/>
    <w:rsid w:val="00CE3690"/>
    <w:rsid w:val="00CE4337"/>
    <w:rsid w:val="00CE5CA6"/>
    <w:rsid w:val="00CE6B9E"/>
    <w:rsid w:val="00CE6D42"/>
    <w:rsid w:val="00CE722C"/>
    <w:rsid w:val="00CE7846"/>
    <w:rsid w:val="00CF105C"/>
    <w:rsid w:val="00CF2E3A"/>
    <w:rsid w:val="00CF47A5"/>
    <w:rsid w:val="00CF4E1B"/>
    <w:rsid w:val="00CF5314"/>
    <w:rsid w:val="00CF5486"/>
    <w:rsid w:val="00CF61A0"/>
    <w:rsid w:val="00D01B24"/>
    <w:rsid w:val="00D027F3"/>
    <w:rsid w:val="00D028FF"/>
    <w:rsid w:val="00D02C5C"/>
    <w:rsid w:val="00D02DE1"/>
    <w:rsid w:val="00D03453"/>
    <w:rsid w:val="00D0358E"/>
    <w:rsid w:val="00D053C2"/>
    <w:rsid w:val="00D0768D"/>
    <w:rsid w:val="00D11DC6"/>
    <w:rsid w:val="00D11FC0"/>
    <w:rsid w:val="00D12D2F"/>
    <w:rsid w:val="00D13031"/>
    <w:rsid w:val="00D13FAE"/>
    <w:rsid w:val="00D1649D"/>
    <w:rsid w:val="00D21FBC"/>
    <w:rsid w:val="00D24FDA"/>
    <w:rsid w:val="00D26180"/>
    <w:rsid w:val="00D268D3"/>
    <w:rsid w:val="00D27713"/>
    <w:rsid w:val="00D27EDD"/>
    <w:rsid w:val="00D30304"/>
    <w:rsid w:val="00D313E8"/>
    <w:rsid w:val="00D32874"/>
    <w:rsid w:val="00D332AE"/>
    <w:rsid w:val="00D33CD3"/>
    <w:rsid w:val="00D343B8"/>
    <w:rsid w:val="00D36018"/>
    <w:rsid w:val="00D362DB"/>
    <w:rsid w:val="00D3777E"/>
    <w:rsid w:val="00D411F2"/>
    <w:rsid w:val="00D41E88"/>
    <w:rsid w:val="00D43473"/>
    <w:rsid w:val="00D434CB"/>
    <w:rsid w:val="00D4381B"/>
    <w:rsid w:val="00D43BCF"/>
    <w:rsid w:val="00D43F1A"/>
    <w:rsid w:val="00D44FEE"/>
    <w:rsid w:val="00D45CC9"/>
    <w:rsid w:val="00D47684"/>
    <w:rsid w:val="00D50E09"/>
    <w:rsid w:val="00D51C7C"/>
    <w:rsid w:val="00D528D7"/>
    <w:rsid w:val="00D56EBE"/>
    <w:rsid w:val="00D575A2"/>
    <w:rsid w:val="00D57EA6"/>
    <w:rsid w:val="00D609EC"/>
    <w:rsid w:val="00D6129E"/>
    <w:rsid w:val="00D61F57"/>
    <w:rsid w:val="00D62AD0"/>
    <w:rsid w:val="00D63BB1"/>
    <w:rsid w:val="00D659E5"/>
    <w:rsid w:val="00D66146"/>
    <w:rsid w:val="00D66809"/>
    <w:rsid w:val="00D675B5"/>
    <w:rsid w:val="00D67BD1"/>
    <w:rsid w:val="00D703D2"/>
    <w:rsid w:val="00D708EE"/>
    <w:rsid w:val="00D71CFD"/>
    <w:rsid w:val="00D73C9A"/>
    <w:rsid w:val="00D74A2C"/>
    <w:rsid w:val="00D74EEA"/>
    <w:rsid w:val="00D75F64"/>
    <w:rsid w:val="00D77F08"/>
    <w:rsid w:val="00D81215"/>
    <w:rsid w:val="00D81E8B"/>
    <w:rsid w:val="00D82166"/>
    <w:rsid w:val="00D821ED"/>
    <w:rsid w:val="00D83F0A"/>
    <w:rsid w:val="00D84168"/>
    <w:rsid w:val="00D84650"/>
    <w:rsid w:val="00D86B70"/>
    <w:rsid w:val="00D87229"/>
    <w:rsid w:val="00D90B51"/>
    <w:rsid w:val="00D924C5"/>
    <w:rsid w:val="00D92B77"/>
    <w:rsid w:val="00D92FDA"/>
    <w:rsid w:val="00D94128"/>
    <w:rsid w:val="00D9783D"/>
    <w:rsid w:val="00D97B6F"/>
    <w:rsid w:val="00D97C72"/>
    <w:rsid w:val="00D97DB5"/>
    <w:rsid w:val="00DA107F"/>
    <w:rsid w:val="00DA18F2"/>
    <w:rsid w:val="00DA2615"/>
    <w:rsid w:val="00DA3EF2"/>
    <w:rsid w:val="00DA4377"/>
    <w:rsid w:val="00DB05F8"/>
    <w:rsid w:val="00DB0AF4"/>
    <w:rsid w:val="00DB0FE6"/>
    <w:rsid w:val="00DB5055"/>
    <w:rsid w:val="00DC1639"/>
    <w:rsid w:val="00DC1803"/>
    <w:rsid w:val="00DC2DD3"/>
    <w:rsid w:val="00DC36E4"/>
    <w:rsid w:val="00DC4755"/>
    <w:rsid w:val="00DC5F04"/>
    <w:rsid w:val="00DC71AE"/>
    <w:rsid w:val="00DD1988"/>
    <w:rsid w:val="00DD2CB3"/>
    <w:rsid w:val="00DD38DE"/>
    <w:rsid w:val="00DD45F6"/>
    <w:rsid w:val="00DD5631"/>
    <w:rsid w:val="00DD5FC9"/>
    <w:rsid w:val="00DD700D"/>
    <w:rsid w:val="00DE143A"/>
    <w:rsid w:val="00DE3796"/>
    <w:rsid w:val="00DE3A27"/>
    <w:rsid w:val="00DE4B27"/>
    <w:rsid w:val="00DE5FAB"/>
    <w:rsid w:val="00DE64D2"/>
    <w:rsid w:val="00DE668A"/>
    <w:rsid w:val="00DE75E3"/>
    <w:rsid w:val="00DF175A"/>
    <w:rsid w:val="00DF1905"/>
    <w:rsid w:val="00DF1961"/>
    <w:rsid w:val="00DF30F3"/>
    <w:rsid w:val="00DF3B3C"/>
    <w:rsid w:val="00DF3B56"/>
    <w:rsid w:val="00DF3D56"/>
    <w:rsid w:val="00DF46D3"/>
    <w:rsid w:val="00DF60EA"/>
    <w:rsid w:val="00DF6EE2"/>
    <w:rsid w:val="00DF7B7E"/>
    <w:rsid w:val="00DF7C33"/>
    <w:rsid w:val="00E02A88"/>
    <w:rsid w:val="00E04933"/>
    <w:rsid w:val="00E04ED0"/>
    <w:rsid w:val="00E0583E"/>
    <w:rsid w:val="00E07310"/>
    <w:rsid w:val="00E07613"/>
    <w:rsid w:val="00E07CD6"/>
    <w:rsid w:val="00E11969"/>
    <w:rsid w:val="00E12D39"/>
    <w:rsid w:val="00E132D9"/>
    <w:rsid w:val="00E13A63"/>
    <w:rsid w:val="00E13ED5"/>
    <w:rsid w:val="00E153BA"/>
    <w:rsid w:val="00E15BFE"/>
    <w:rsid w:val="00E16E5C"/>
    <w:rsid w:val="00E1789A"/>
    <w:rsid w:val="00E211A0"/>
    <w:rsid w:val="00E21E41"/>
    <w:rsid w:val="00E22931"/>
    <w:rsid w:val="00E22CBE"/>
    <w:rsid w:val="00E24A2E"/>
    <w:rsid w:val="00E26D00"/>
    <w:rsid w:val="00E27F14"/>
    <w:rsid w:val="00E30D9A"/>
    <w:rsid w:val="00E31152"/>
    <w:rsid w:val="00E319A2"/>
    <w:rsid w:val="00E32138"/>
    <w:rsid w:val="00E32AA3"/>
    <w:rsid w:val="00E330FE"/>
    <w:rsid w:val="00E336DC"/>
    <w:rsid w:val="00E37B4C"/>
    <w:rsid w:val="00E37B74"/>
    <w:rsid w:val="00E37B95"/>
    <w:rsid w:val="00E402B7"/>
    <w:rsid w:val="00E40732"/>
    <w:rsid w:val="00E42E8D"/>
    <w:rsid w:val="00E46BF9"/>
    <w:rsid w:val="00E47A4A"/>
    <w:rsid w:val="00E47DB4"/>
    <w:rsid w:val="00E5043A"/>
    <w:rsid w:val="00E51C07"/>
    <w:rsid w:val="00E522FE"/>
    <w:rsid w:val="00E5295E"/>
    <w:rsid w:val="00E5395A"/>
    <w:rsid w:val="00E53D2B"/>
    <w:rsid w:val="00E54379"/>
    <w:rsid w:val="00E546D8"/>
    <w:rsid w:val="00E5472D"/>
    <w:rsid w:val="00E54E88"/>
    <w:rsid w:val="00E55560"/>
    <w:rsid w:val="00E560BB"/>
    <w:rsid w:val="00E57C45"/>
    <w:rsid w:val="00E602EB"/>
    <w:rsid w:val="00E60BB9"/>
    <w:rsid w:val="00E62ED7"/>
    <w:rsid w:val="00E64088"/>
    <w:rsid w:val="00E64350"/>
    <w:rsid w:val="00E643C1"/>
    <w:rsid w:val="00E64B6D"/>
    <w:rsid w:val="00E65380"/>
    <w:rsid w:val="00E657D7"/>
    <w:rsid w:val="00E66138"/>
    <w:rsid w:val="00E67178"/>
    <w:rsid w:val="00E70665"/>
    <w:rsid w:val="00E7290C"/>
    <w:rsid w:val="00E75635"/>
    <w:rsid w:val="00E7597B"/>
    <w:rsid w:val="00E76078"/>
    <w:rsid w:val="00E77FA0"/>
    <w:rsid w:val="00E80E34"/>
    <w:rsid w:val="00E8173C"/>
    <w:rsid w:val="00E81B51"/>
    <w:rsid w:val="00E81F45"/>
    <w:rsid w:val="00E82386"/>
    <w:rsid w:val="00E83487"/>
    <w:rsid w:val="00E834E9"/>
    <w:rsid w:val="00E85580"/>
    <w:rsid w:val="00E8602D"/>
    <w:rsid w:val="00E86249"/>
    <w:rsid w:val="00E8633D"/>
    <w:rsid w:val="00E914C1"/>
    <w:rsid w:val="00E92783"/>
    <w:rsid w:val="00E927A9"/>
    <w:rsid w:val="00E92829"/>
    <w:rsid w:val="00E9324C"/>
    <w:rsid w:val="00E95DA9"/>
    <w:rsid w:val="00E96544"/>
    <w:rsid w:val="00E96CB6"/>
    <w:rsid w:val="00EA0A73"/>
    <w:rsid w:val="00EA0FCB"/>
    <w:rsid w:val="00EA3F4F"/>
    <w:rsid w:val="00EA6662"/>
    <w:rsid w:val="00EA736B"/>
    <w:rsid w:val="00EB25D1"/>
    <w:rsid w:val="00EB2F2B"/>
    <w:rsid w:val="00EB2FA9"/>
    <w:rsid w:val="00EB30BA"/>
    <w:rsid w:val="00EB3985"/>
    <w:rsid w:val="00EB3F23"/>
    <w:rsid w:val="00EB6397"/>
    <w:rsid w:val="00EB6943"/>
    <w:rsid w:val="00EC25A2"/>
    <w:rsid w:val="00EC2B7E"/>
    <w:rsid w:val="00EC37D0"/>
    <w:rsid w:val="00EC4B06"/>
    <w:rsid w:val="00EC60DB"/>
    <w:rsid w:val="00EC7248"/>
    <w:rsid w:val="00EC7D2A"/>
    <w:rsid w:val="00ED067D"/>
    <w:rsid w:val="00ED1B84"/>
    <w:rsid w:val="00ED243F"/>
    <w:rsid w:val="00ED2E86"/>
    <w:rsid w:val="00ED38DB"/>
    <w:rsid w:val="00ED3B18"/>
    <w:rsid w:val="00ED515A"/>
    <w:rsid w:val="00ED7647"/>
    <w:rsid w:val="00EE0ADF"/>
    <w:rsid w:val="00EE2B32"/>
    <w:rsid w:val="00EE342A"/>
    <w:rsid w:val="00EE484E"/>
    <w:rsid w:val="00EE5510"/>
    <w:rsid w:val="00EE63BD"/>
    <w:rsid w:val="00EE644F"/>
    <w:rsid w:val="00EE6756"/>
    <w:rsid w:val="00EE68BC"/>
    <w:rsid w:val="00EE68C6"/>
    <w:rsid w:val="00EE7E9C"/>
    <w:rsid w:val="00EF2BC6"/>
    <w:rsid w:val="00EF426A"/>
    <w:rsid w:val="00EF4E89"/>
    <w:rsid w:val="00EF547E"/>
    <w:rsid w:val="00EF78AA"/>
    <w:rsid w:val="00EF7DB8"/>
    <w:rsid w:val="00F00B51"/>
    <w:rsid w:val="00F03FE9"/>
    <w:rsid w:val="00F047B2"/>
    <w:rsid w:val="00F06689"/>
    <w:rsid w:val="00F0788E"/>
    <w:rsid w:val="00F07CF8"/>
    <w:rsid w:val="00F101EA"/>
    <w:rsid w:val="00F10A12"/>
    <w:rsid w:val="00F1218A"/>
    <w:rsid w:val="00F12EC6"/>
    <w:rsid w:val="00F14C02"/>
    <w:rsid w:val="00F14E83"/>
    <w:rsid w:val="00F15EB6"/>
    <w:rsid w:val="00F15FBA"/>
    <w:rsid w:val="00F1676C"/>
    <w:rsid w:val="00F214FF"/>
    <w:rsid w:val="00F223DB"/>
    <w:rsid w:val="00F224D3"/>
    <w:rsid w:val="00F22719"/>
    <w:rsid w:val="00F23C88"/>
    <w:rsid w:val="00F255D2"/>
    <w:rsid w:val="00F25C90"/>
    <w:rsid w:val="00F26647"/>
    <w:rsid w:val="00F26943"/>
    <w:rsid w:val="00F26A19"/>
    <w:rsid w:val="00F27F3E"/>
    <w:rsid w:val="00F3002C"/>
    <w:rsid w:val="00F30B92"/>
    <w:rsid w:val="00F3386F"/>
    <w:rsid w:val="00F33F86"/>
    <w:rsid w:val="00F352B9"/>
    <w:rsid w:val="00F358BB"/>
    <w:rsid w:val="00F35CC5"/>
    <w:rsid w:val="00F35E90"/>
    <w:rsid w:val="00F3680A"/>
    <w:rsid w:val="00F37F2A"/>
    <w:rsid w:val="00F42053"/>
    <w:rsid w:val="00F42624"/>
    <w:rsid w:val="00F43C83"/>
    <w:rsid w:val="00F43D29"/>
    <w:rsid w:val="00F454AA"/>
    <w:rsid w:val="00F45885"/>
    <w:rsid w:val="00F45890"/>
    <w:rsid w:val="00F47154"/>
    <w:rsid w:val="00F47611"/>
    <w:rsid w:val="00F47625"/>
    <w:rsid w:val="00F47BD8"/>
    <w:rsid w:val="00F50209"/>
    <w:rsid w:val="00F5085A"/>
    <w:rsid w:val="00F51095"/>
    <w:rsid w:val="00F52A8D"/>
    <w:rsid w:val="00F53460"/>
    <w:rsid w:val="00F536F6"/>
    <w:rsid w:val="00F543F0"/>
    <w:rsid w:val="00F54E88"/>
    <w:rsid w:val="00F558DA"/>
    <w:rsid w:val="00F55A30"/>
    <w:rsid w:val="00F60DD0"/>
    <w:rsid w:val="00F613DE"/>
    <w:rsid w:val="00F619E9"/>
    <w:rsid w:val="00F6267F"/>
    <w:rsid w:val="00F6300D"/>
    <w:rsid w:val="00F630BD"/>
    <w:rsid w:val="00F64EFF"/>
    <w:rsid w:val="00F66BE0"/>
    <w:rsid w:val="00F6752D"/>
    <w:rsid w:val="00F67FB8"/>
    <w:rsid w:val="00F710DD"/>
    <w:rsid w:val="00F71B0F"/>
    <w:rsid w:val="00F73199"/>
    <w:rsid w:val="00F73229"/>
    <w:rsid w:val="00F740F2"/>
    <w:rsid w:val="00F745DC"/>
    <w:rsid w:val="00F7480E"/>
    <w:rsid w:val="00F74C34"/>
    <w:rsid w:val="00F763FF"/>
    <w:rsid w:val="00F7781A"/>
    <w:rsid w:val="00F77B84"/>
    <w:rsid w:val="00F80014"/>
    <w:rsid w:val="00F812FD"/>
    <w:rsid w:val="00F8224B"/>
    <w:rsid w:val="00F82A01"/>
    <w:rsid w:val="00F82A89"/>
    <w:rsid w:val="00F84E26"/>
    <w:rsid w:val="00F85C1A"/>
    <w:rsid w:val="00F86A2C"/>
    <w:rsid w:val="00F87D35"/>
    <w:rsid w:val="00F92578"/>
    <w:rsid w:val="00F93376"/>
    <w:rsid w:val="00F94E9F"/>
    <w:rsid w:val="00F95E4E"/>
    <w:rsid w:val="00F977BD"/>
    <w:rsid w:val="00FA11EB"/>
    <w:rsid w:val="00FA178E"/>
    <w:rsid w:val="00FA1806"/>
    <w:rsid w:val="00FA1C22"/>
    <w:rsid w:val="00FA30A6"/>
    <w:rsid w:val="00FA30DC"/>
    <w:rsid w:val="00FA442C"/>
    <w:rsid w:val="00FA4BC7"/>
    <w:rsid w:val="00FA69D8"/>
    <w:rsid w:val="00FA6E45"/>
    <w:rsid w:val="00FB0B24"/>
    <w:rsid w:val="00FB0E98"/>
    <w:rsid w:val="00FB556A"/>
    <w:rsid w:val="00FC055B"/>
    <w:rsid w:val="00FC3EF1"/>
    <w:rsid w:val="00FC4DDE"/>
    <w:rsid w:val="00FC56DB"/>
    <w:rsid w:val="00FC5B1C"/>
    <w:rsid w:val="00FD0317"/>
    <w:rsid w:val="00FD0881"/>
    <w:rsid w:val="00FD1254"/>
    <w:rsid w:val="00FD21CD"/>
    <w:rsid w:val="00FD2372"/>
    <w:rsid w:val="00FD59EA"/>
    <w:rsid w:val="00FD6C1C"/>
    <w:rsid w:val="00FD72BE"/>
    <w:rsid w:val="00FE0A8F"/>
    <w:rsid w:val="00FE0EE9"/>
    <w:rsid w:val="00FE141F"/>
    <w:rsid w:val="00FE2A78"/>
    <w:rsid w:val="00FE2AA6"/>
    <w:rsid w:val="00FE2D93"/>
    <w:rsid w:val="00FE3D26"/>
    <w:rsid w:val="00FE4347"/>
    <w:rsid w:val="00FE4D69"/>
    <w:rsid w:val="00FE5C0A"/>
    <w:rsid w:val="00FE5CEA"/>
    <w:rsid w:val="00FF0446"/>
    <w:rsid w:val="00FF0A66"/>
    <w:rsid w:val="00FF4D6A"/>
    <w:rsid w:val="00FF5631"/>
    <w:rsid w:val="00FF6566"/>
    <w:rsid w:val="00FF6F35"/>
    <w:rsid w:val="01201F0E"/>
    <w:rsid w:val="018C3887"/>
    <w:rsid w:val="01962906"/>
    <w:rsid w:val="01F42C24"/>
    <w:rsid w:val="024F2124"/>
    <w:rsid w:val="0278113C"/>
    <w:rsid w:val="032058D0"/>
    <w:rsid w:val="0462668B"/>
    <w:rsid w:val="046D5990"/>
    <w:rsid w:val="046F64E6"/>
    <w:rsid w:val="04963415"/>
    <w:rsid w:val="0518502E"/>
    <w:rsid w:val="053F22E2"/>
    <w:rsid w:val="05C45033"/>
    <w:rsid w:val="073B2203"/>
    <w:rsid w:val="073C75CA"/>
    <w:rsid w:val="075D1A9E"/>
    <w:rsid w:val="07E41AB2"/>
    <w:rsid w:val="07FF27C9"/>
    <w:rsid w:val="08047140"/>
    <w:rsid w:val="08353C69"/>
    <w:rsid w:val="085B1C26"/>
    <w:rsid w:val="08A90D2D"/>
    <w:rsid w:val="08EB572B"/>
    <w:rsid w:val="092B1742"/>
    <w:rsid w:val="09444084"/>
    <w:rsid w:val="09756FC8"/>
    <w:rsid w:val="09A911B7"/>
    <w:rsid w:val="09AF4121"/>
    <w:rsid w:val="0A011ECD"/>
    <w:rsid w:val="0A1001AF"/>
    <w:rsid w:val="0A61019F"/>
    <w:rsid w:val="0A8B375B"/>
    <w:rsid w:val="0AAE4FC2"/>
    <w:rsid w:val="0AB023E6"/>
    <w:rsid w:val="0AEF3A5E"/>
    <w:rsid w:val="0B212DFC"/>
    <w:rsid w:val="0B2D2642"/>
    <w:rsid w:val="0B71709D"/>
    <w:rsid w:val="0C277824"/>
    <w:rsid w:val="0C626972"/>
    <w:rsid w:val="0CE35ED0"/>
    <w:rsid w:val="0CFD0FF0"/>
    <w:rsid w:val="0DD83400"/>
    <w:rsid w:val="0DF800F6"/>
    <w:rsid w:val="0E0A2F49"/>
    <w:rsid w:val="0E282263"/>
    <w:rsid w:val="0E453549"/>
    <w:rsid w:val="0EAB3DCA"/>
    <w:rsid w:val="0EBD352B"/>
    <w:rsid w:val="0ED0622B"/>
    <w:rsid w:val="0EF319AC"/>
    <w:rsid w:val="0F000E74"/>
    <w:rsid w:val="0FB62C60"/>
    <w:rsid w:val="10085DA0"/>
    <w:rsid w:val="10E723F2"/>
    <w:rsid w:val="115077F7"/>
    <w:rsid w:val="118C7802"/>
    <w:rsid w:val="11C042F5"/>
    <w:rsid w:val="128607E6"/>
    <w:rsid w:val="128D2377"/>
    <w:rsid w:val="12C5264E"/>
    <w:rsid w:val="131C2DED"/>
    <w:rsid w:val="131F5965"/>
    <w:rsid w:val="1360023A"/>
    <w:rsid w:val="136961B1"/>
    <w:rsid w:val="13CB075B"/>
    <w:rsid w:val="148941A4"/>
    <w:rsid w:val="148C5AA4"/>
    <w:rsid w:val="14F16AD5"/>
    <w:rsid w:val="15B57A54"/>
    <w:rsid w:val="160F43B1"/>
    <w:rsid w:val="1698225D"/>
    <w:rsid w:val="16B22AB8"/>
    <w:rsid w:val="16FA0B7D"/>
    <w:rsid w:val="171C5A0F"/>
    <w:rsid w:val="17BB4C3E"/>
    <w:rsid w:val="17C27715"/>
    <w:rsid w:val="18D14309"/>
    <w:rsid w:val="190E2CBA"/>
    <w:rsid w:val="19185113"/>
    <w:rsid w:val="19390925"/>
    <w:rsid w:val="195E3E68"/>
    <w:rsid w:val="198A0A0F"/>
    <w:rsid w:val="19D3104D"/>
    <w:rsid w:val="1A6C1351"/>
    <w:rsid w:val="1B420B2B"/>
    <w:rsid w:val="1BF11972"/>
    <w:rsid w:val="1C0302FC"/>
    <w:rsid w:val="1C381E41"/>
    <w:rsid w:val="1CC26834"/>
    <w:rsid w:val="1CDC00D8"/>
    <w:rsid w:val="1D2C4085"/>
    <w:rsid w:val="1D727CAC"/>
    <w:rsid w:val="1D8B0AA5"/>
    <w:rsid w:val="1DEF5844"/>
    <w:rsid w:val="1E6B1AD7"/>
    <w:rsid w:val="1ED71397"/>
    <w:rsid w:val="1EDD4E34"/>
    <w:rsid w:val="1F5D309B"/>
    <w:rsid w:val="205242F2"/>
    <w:rsid w:val="205E0474"/>
    <w:rsid w:val="207974F2"/>
    <w:rsid w:val="20B97221"/>
    <w:rsid w:val="20C928EC"/>
    <w:rsid w:val="217F41C9"/>
    <w:rsid w:val="218B7385"/>
    <w:rsid w:val="21A54C65"/>
    <w:rsid w:val="21A553F5"/>
    <w:rsid w:val="220E6730"/>
    <w:rsid w:val="224C63B1"/>
    <w:rsid w:val="22FD3FC8"/>
    <w:rsid w:val="23654FF2"/>
    <w:rsid w:val="23DA26CA"/>
    <w:rsid w:val="240C37BD"/>
    <w:rsid w:val="241B66FE"/>
    <w:rsid w:val="24417C14"/>
    <w:rsid w:val="24575689"/>
    <w:rsid w:val="24DA743A"/>
    <w:rsid w:val="255B4D05"/>
    <w:rsid w:val="25A46DCB"/>
    <w:rsid w:val="25FD7FF2"/>
    <w:rsid w:val="260869BD"/>
    <w:rsid w:val="261328E8"/>
    <w:rsid w:val="26EC1B4A"/>
    <w:rsid w:val="272A158A"/>
    <w:rsid w:val="2745040A"/>
    <w:rsid w:val="275C4704"/>
    <w:rsid w:val="277D5976"/>
    <w:rsid w:val="27B10D21"/>
    <w:rsid w:val="27E201A6"/>
    <w:rsid w:val="27FA3DF1"/>
    <w:rsid w:val="287D2D7A"/>
    <w:rsid w:val="29370A81"/>
    <w:rsid w:val="294511F9"/>
    <w:rsid w:val="29591217"/>
    <w:rsid w:val="29703647"/>
    <w:rsid w:val="29FB66AE"/>
    <w:rsid w:val="2A8923EA"/>
    <w:rsid w:val="2A923D24"/>
    <w:rsid w:val="2AF60E4D"/>
    <w:rsid w:val="2AFA3165"/>
    <w:rsid w:val="2AFE14AA"/>
    <w:rsid w:val="2B1033B6"/>
    <w:rsid w:val="2B4E3811"/>
    <w:rsid w:val="2BC030FB"/>
    <w:rsid w:val="2BDA58ED"/>
    <w:rsid w:val="2BFF2F3A"/>
    <w:rsid w:val="2C4A6FC0"/>
    <w:rsid w:val="2C7D1A05"/>
    <w:rsid w:val="2C9C00DD"/>
    <w:rsid w:val="2D053ED4"/>
    <w:rsid w:val="2D4D5561"/>
    <w:rsid w:val="2DB63420"/>
    <w:rsid w:val="2DDC1FDE"/>
    <w:rsid w:val="2DE90247"/>
    <w:rsid w:val="2E01768D"/>
    <w:rsid w:val="2EB322AD"/>
    <w:rsid w:val="2F664EA5"/>
    <w:rsid w:val="2FA505D5"/>
    <w:rsid w:val="2FAB0637"/>
    <w:rsid w:val="2FBF1F67"/>
    <w:rsid w:val="2FC960B2"/>
    <w:rsid w:val="2FCF34F0"/>
    <w:rsid w:val="306F68A2"/>
    <w:rsid w:val="312D2B91"/>
    <w:rsid w:val="314B39CC"/>
    <w:rsid w:val="314E571E"/>
    <w:rsid w:val="31F2256C"/>
    <w:rsid w:val="3239692A"/>
    <w:rsid w:val="325C7F92"/>
    <w:rsid w:val="33394D0A"/>
    <w:rsid w:val="333A412B"/>
    <w:rsid w:val="336B3469"/>
    <w:rsid w:val="33812585"/>
    <w:rsid w:val="33C13344"/>
    <w:rsid w:val="33DA0878"/>
    <w:rsid w:val="34002C26"/>
    <w:rsid w:val="34331F89"/>
    <w:rsid w:val="351D5B33"/>
    <w:rsid w:val="352A429F"/>
    <w:rsid w:val="353B7F7E"/>
    <w:rsid w:val="355B39AE"/>
    <w:rsid w:val="356D6ABA"/>
    <w:rsid w:val="359D3DE4"/>
    <w:rsid w:val="35B24F50"/>
    <w:rsid w:val="360311CD"/>
    <w:rsid w:val="365B2966"/>
    <w:rsid w:val="369E0013"/>
    <w:rsid w:val="36AB4220"/>
    <w:rsid w:val="36B24617"/>
    <w:rsid w:val="36D14CE5"/>
    <w:rsid w:val="37A53D82"/>
    <w:rsid w:val="391E791F"/>
    <w:rsid w:val="39A84565"/>
    <w:rsid w:val="39AD1B7B"/>
    <w:rsid w:val="39F806F0"/>
    <w:rsid w:val="3A3659E4"/>
    <w:rsid w:val="3A4F49E1"/>
    <w:rsid w:val="3A987D9D"/>
    <w:rsid w:val="3AA85D33"/>
    <w:rsid w:val="3AAF5223"/>
    <w:rsid w:val="3ACA4B42"/>
    <w:rsid w:val="3AFF3D8E"/>
    <w:rsid w:val="3B266E38"/>
    <w:rsid w:val="3BA57890"/>
    <w:rsid w:val="3BADF5DD"/>
    <w:rsid w:val="3BC2523E"/>
    <w:rsid w:val="3BF27D19"/>
    <w:rsid w:val="3C084E29"/>
    <w:rsid w:val="3C3A346E"/>
    <w:rsid w:val="3C4D5B55"/>
    <w:rsid w:val="3CC26750"/>
    <w:rsid w:val="3CF0607E"/>
    <w:rsid w:val="3D440FF8"/>
    <w:rsid w:val="3D98044D"/>
    <w:rsid w:val="3DB20341"/>
    <w:rsid w:val="3DC32EC7"/>
    <w:rsid w:val="3E0543FF"/>
    <w:rsid w:val="3E1D685B"/>
    <w:rsid w:val="3E9450B8"/>
    <w:rsid w:val="3EB3D5A7"/>
    <w:rsid w:val="3F0E2561"/>
    <w:rsid w:val="3F252D85"/>
    <w:rsid w:val="3F405508"/>
    <w:rsid w:val="3FB603F6"/>
    <w:rsid w:val="3FD61FFF"/>
    <w:rsid w:val="3FF43934"/>
    <w:rsid w:val="405051A0"/>
    <w:rsid w:val="40BE25F5"/>
    <w:rsid w:val="40FC0CF2"/>
    <w:rsid w:val="41A22F19"/>
    <w:rsid w:val="426E79CE"/>
    <w:rsid w:val="428D2FFF"/>
    <w:rsid w:val="434B16B5"/>
    <w:rsid w:val="43903EB3"/>
    <w:rsid w:val="441508D3"/>
    <w:rsid w:val="443D3AFC"/>
    <w:rsid w:val="448F20A9"/>
    <w:rsid w:val="44FF28BE"/>
    <w:rsid w:val="45437C53"/>
    <w:rsid w:val="458549C3"/>
    <w:rsid w:val="45A42773"/>
    <w:rsid w:val="46507749"/>
    <w:rsid w:val="47121223"/>
    <w:rsid w:val="474B4782"/>
    <w:rsid w:val="47653A95"/>
    <w:rsid w:val="477E5B3E"/>
    <w:rsid w:val="47E36768"/>
    <w:rsid w:val="48303924"/>
    <w:rsid w:val="48560562"/>
    <w:rsid w:val="492B03C7"/>
    <w:rsid w:val="499038BC"/>
    <w:rsid w:val="49A563CB"/>
    <w:rsid w:val="49E806B7"/>
    <w:rsid w:val="49FA378D"/>
    <w:rsid w:val="4A3B6D2F"/>
    <w:rsid w:val="4A7310D2"/>
    <w:rsid w:val="4A984FE8"/>
    <w:rsid w:val="4A9D11F3"/>
    <w:rsid w:val="4B726C78"/>
    <w:rsid w:val="4BD60159"/>
    <w:rsid w:val="4CBE1552"/>
    <w:rsid w:val="4CFF52BD"/>
    <w:rsid w:val="4D1D7796"/>
    <w:rsid w:val="4D94072D"/>
    <w:rsid w:val="4E7E0EBE"/>
    <w:rsid w:val="4E856251"/>
    <w:rsid w:val="4EA61AF4"/>
    <w:rsid w:val="4ECC2490"/>
    <w:rsid w:val="4F215E18"/>
    <w:rsid w:val="4F9D358D"/>
    <w:rsid w:val="4FAF576A"/>
    <w:rsid w:val="4FBA24A4"/>
    <w:rsid w:val="4FCB6460"/>
    <w:rsid w:val="4FE46C9E"/>
    <w:rsid w:val="500C39B3"/>
    <w:rsid w:val="50744D49"/>
    <w:rsid w:val="50BA1169"/>
    <w:rsid w:val="50D636E3"/>
    <w:rsid w:val="510C0AB7"/>
    <w:rsid w:val="512C2E09"/>
    <w:rsid w:val="519B6C4F"/>
    <w:rsid w:val="51C27D36"/>
    <w:rsid w:val="51FE17FF"/>
    <w:rsid w:val="522309BA"/>
    <w:rsid w:val="526318B7"/>
    <w:rsid w:val="529C4870"/>
    <w:rsid w:val="529E574A"/>
    <w:rsid w:val="535A1FA9"/>
    <w:rsid w:val="541B7D16"/>
    <w:rsid w:val="544A759D"/>
    <w:rsid w:val="545A5F13"/>
    <w:rsid w:val="547E7FB3"/>
    <w:rsid w:val="54AB4AB2"/>
    <w:rsid w:val="557D122B"/>
    <w:rsid w:val="55A231C5"/>
    <w:rsid w:val="55BE4886"/>
    <w:rsid w:val="55C26D39"/>
    <w:rsid w:val="562944B3"/>
    <w:rsid w:val="56666AE7"/>
    <w:rsid w:val="56CA77C3"/>
    <w:rsid w:val="56D36F6E"/>
    <w:rsid w:val="56E80800"/>
    <w:rsid w:val="56FE41D4"/>
    <w:rsid w:val="573C2914"/>
    <w:rsid w:val="576356FC"/>
    <w:rsid w:val="57822C27"/>
    <w:rsid w:val="579849AF"/>
    <w:rsid w:val="57DA5C46"/>
    <w:rsid w:val="58040CF4"/>
    <w:rsid w:val="59075493"/>
    <w:rsid w:val="592F3F03"/>
    <w:rsid w:val="59487D11"/>
    <w:rsid w:val="595C1880"/>
    <w:rsid w:val="597539D3"/>
    <w:rsid w:val="598D29D8"/>
    <w:rsid w:val="59947FB5"/>
    <w:rsid w:val="59A815C0"/>
    <w:rsid w:val="5A0C1F98"/>
    <w:rsid w:val="5A1A4E57"/>
    <w:rsid w:val="5A926519"/>
    <w:rsid w:val="5A9745F8"/>
    <w:rsid w:val="5AC63628"/>
    <w:rsid w:val="5AC72703"/>
    <w:rsid w:val="5AC7773A"/>
    <w:rsid w:val="5ACF2C3A"/>
    <w:rsid w:val="5ADE0A5C"/>
    <w:rsid w:val="5ADF54B5"/>
    <w:rsid w:val="5B1E422F"/>
    <w:rsid w:val="5B642DCB"/>
    <w:rsid w:val="5B6B68B1"/>
    <w:rsid w:val="5B7948C3"/>
    <w:rsid w:val="5B9F2591"/>
    <w:rsid w:val="5BA109BC"/>
    <w:rsid w:val="5BD91E88"/>
    <w:rsid w:val="5BF5061D"/>
    <w:rsid w:val="5C703027"/>
    <w:rsid w:val="5CC873ED"/>
    <w:rsid w:val="5CD76CF1"/>
    <w:rsid w:val="5D2B5B3F"/>
    <w:rsid w:val="5DE8011E"/>
    <w:rsid w:val="5DED7EE9"/>
    <w:rsid w:val="5E9071F2"/>
    <w:rsid w:val="5EA10F4E"/>
    <w:rsid w:val="5EBF093E"/>
    <w:rsid w:val="5F2B66F1"/>
    <w:rsid w:val="5F715127"/>
    <w:rsid w:val="5F916F74"/>
    <w:rsid w:val="5FAF24EB"/>
    <w:rsid w:val="5FD423A2"/>
    <w:rsid w:val="5FE71540"/>
    <w:rsid w:val="601A244F"/>
    <w:rsid w:val="601F1848"/>
    <w:rsid w:val="60D10BE7"/>
    <w:rsid w:val="60D970BA"/>
    <w:rsid w:val="614D13CA"/>
    <w:rsid w:val="614F78C9"/>
    <w:rsid w:val="616F16B7"/>
    <w:rsid w:val="62044D81"/>
    <w:rsid w:val="626F0F50"/>
    <w:rsid w:val="627E3805"/>
    <w:rsid w:val="629B40CC"/>
    <w:rsid w:val="62AC775F"/>
    <w:rsid w:val="62CE4A7A"/>
    <w:rsid w:val="62D741DA"/>
    <w:rsid w:val="62F228E1"/>
    <w:rsid w:val="63715118"/>
    <w:rsid w:val="63BD1203"/>
    <w:rsid w:val="63CC33A2"/>
    <w:rsid w:val="63E21506"/>
    <w:rsid w:val="64731CBC"/>
    <w:rsid w:val="64B25724"/>
    <w:rsid w:val="64B25A4D"/>
    <w:rsid w:val="64C37868"/>
    <w:rsid w:val="65B5420A"/>
    <w:rsid w:val="65EB3B6F"/>
    <w:rsid w:val="662F17B4"/>
    <w:rsid w:val="665A00E6"/>
    <w:rsid w:val="6679056C"/>
    <w:rsid w:val="669058B5"/>
    <w:rsid w:val="66DC6F96"/>
    <w:rsid w:val="66F9191C"/>
    <w:rsid w:val="670275BC"/>
    <w:rsid w:val="672B3125"/>
    <w:rsid w:val="67EC4487"/>
    <w:rsid w:val="682B1D3A"/>
    <w:rsid w:val="684A4EFC"/>
    <w:rsid w:val="68760A3A"/>
    <w:rsid w:val="687D0652"/>
    <w:rsid w:val="698C05B6"/>
    <w:rsid w:val="69B35F1D"/>
    <w:rsid w:val="69C321BC"/>
    <w:rsid w:val="69DF5A6F"/>
    <w:rsid w:val="6A31115D"/>
    <w:rsid w:val="6A3328D3"/>
    <w:rsid w:val="6B040585"/>
    <w:rsid w:val="6B4C43FE"/>
    <w:rsid w:val="6B6E79DE"/>
    <w:rsid w:val="6BC90652"/>
    <w:rsid w:val="6C021003"/>
    <w:rsid w:val="6C354153"/>
    <w:rsid w:val="6C4F367C"/>
    <w:rsid w:val="6C92047A"/>
    <w:rsid w:val="6CBF6E0D"/>
    <w:rsid w:val="6D0C4D25"/>
    <w:rsid w:val="6D6C7644"/>
    <w:rsid w:val="6DCA33AD"/>
    <w:rsid w:val="6E07328C"/>
    <w:rsid w:val="6EB7D759"/>
    <w:rsid w:val="6F4E7ED8"/>
    <w:rsid w:val="6F8A7483"/>
    <w:rsid w:val="6F957D9A"/>
    <w:rsid w:val="6FA177FA"/>
    <w:rsid w:val="6FDD6953"/>
    <w:rsid w:val="700C0CDB"/>
    <w:rsid w:val="70B678F6"/>
    <w:rsid w:val="71285EA9"/>
    <w:rsid w:val="716233E1"/>
    <w:rsid w:val="71CB34A9"/>
    <w:rsid w:val="71F32927"/>
    <w:rsid w:val="7250526E"/>
    <w:rsid w:val="7282400E"/>
    <w:rsid w:val="72C57F04"/>
    <w:rsid w:val="733759F0"/>
    <w:rsid w:val="73EF1744"/>
    <w:rsid w:val="74B81C7F"/>
    <w:rsid w:val="75567077"/>
    <w:rsid w:val="75CD6CD9"/>
    <w:rsid w:val="75E9188C"/>
    <w:rsid w:val="76272E23"/>
    <w:rsid w:val="7681547F"/>
    <w:rsid w:val="768E2149"/>
    <w:rsid w:val="76AE4262"/>
    <w:rsid w:val="76B03EE1"/>
    <w:rsid w:val="76C021E7"/>
    <w:rsid w:val="76F96D07"/>
    <w:rsid w:val="772C1C69"/>
    <w:rsid w:val="77492EAE"/>
    <w:rsid w:val="777F9F48"/>
    <w:rsid w:val="77D807CB"/>
    <w:rsid w:val="77FE3A00"/>
    <w:rsid w:val="784142FD"/>
    <w:rsid w:val="786A6761"/>
    <w:rsid w:val="787C54EB"/>
    <w:rsid w:val="78C6353E"/>
    <w:rsid w:val="793C3951"/>
    <w:rsid w:val="795F6ED9"/>
    <w:rsid w:val="79766B8D"/>
    <w:rsid w:val="79A97746"/>
    <w:rsid w:val="7A1542B7"/>
    <w:rsid w:val="7A5E4818"/>
    <w:rsid w:val="7B551150"/>
    <w:rsid w:val="7B55315C"/>
    <w:rsid w:val="7B681E66"/>
    <w:rsid w:val="7B851DD5"/>
    <w:rsid w:val="7B911A04"/>
    <w:rsid w:val="7BFB6D89"/>
    <w:rsid w:val="7C142DB9"/>
    <w:rsid w:val="7C594C70"/>
    <w:rsid w:val="7C6D47AC"/>
    <w:rsid w:val="7C9B5171"/>
    <w:rsid w:val="7CDFEF79"/>
    <w:rsid w:val="7D4B192B"/>
    <w:rsid w:val="7D6547B5"/>
    <w:rsid w:val="7DDD367E"/>
    <w:rsid w:val="7E361165"/>
    <w:rsid w:val="7E972853"/>
    <w:rsid w:val="7EA95998"/>
    <w:rsid w:val="7ECB73D7"/>
    <w:rsid w:val="7EEC2333"/>
    <w:rsid w:val="7EF7625A"/>
    <w:rsid w:val="7F1E431F"/>
    <w:rsid w:val="7F2C0419"/>
    <w:rsid w:val="7F7D6BCB"/>
    <w:rsid w:val="7F8873BD"/>
    <w:rsid w:val="7FA7649F"/>
    <w:rsid w:val="7FB32B81"/>
    <w:rsid w:val="7FB87492"/>
    <w:rsid w:val="7FCB5142"/>
    <w:rsid w:val="7FFE219F"/>
    <w:rsid w:val="7FFFED8B"/>
    <w:rsid w:val="8F67E830"/>
    <w:rsid w:val="97CB62D3"/>
    <w:rsid w:val="BD3D4CDC"/>
    <w:rsid w:val="BDE72652"/>
    <w:rsid w:val="BFEB3F24"/>
    <w:rsid w:val="BFF5A9F4"/>
    <w:rsid w:val="C2FF773C"/>
    <w:rsid w:val="CBF9E0B4"/>
    <w:rsid w:val="D9FB8C98"/>
    <w:rsid w:val="DE97624A"/>
    <w:rsid w:val="DF763202"/>
    <w:rsid w:val="DFB5C16D"/>
    <w:rsid w:val="DFF73387"/>
    <w:rsid w:val="E5EE3E23"/>
    <w:rsid w:val="E5FEBF86"/>
    <w:rsid w:val="E7AE79B1"/>
    <w:rsid w:val="EFD709DA"/>
    <w:rsid w:val="F7550B7B"/>
    <w:rsid w:val="F97B0194"/>
    <w:rsid w:val="FFBFA17E"/>
    <w:rsid w:val="FFF7C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56"/>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7">
    <w:name w:val="heading 3"/>
    <w:basedOn w:val="1"/>
    <w:next w:val="1"/>
    <w:link w:val="57"/>
    <w:qFormat/>
    <w:uiPriority w:val="0"/>
    <w:pPr>
      <w:keepNext/>
      <w:keepLines/>
      <w:numPr>
        <w:ilvl w:val="2"/>
        <w:numId w:val="1"/>
      </w:numPr>
      <w:spacing w:before="260" w:after="260" w:line="415" w:lineRule="auto"/>
      <w:outlineLvl w:val="2"/>
    </w:pPr>
    <w:rPr>
      <w:b/>
      <w:bCs/>
      <w:kern w:val="0"/>
      <w:sz w:val="32"/>
      <w:szCs w:val="32"/>
    </w:rPr>
  </w:style>
  <w:style w:type="paragraph" w:styleId="8">
    <w:name w:val="heading 4"/>
    <w:basedOn w:val="1"/>
    <w:next w:val="1"/>
    <w:link w:val="58"/>
    <w:qFormat/>
    <w:uiPriority w:val="0"/>
    <w:pPr>
      <w:keepNext/>
      <w:keepLines/>
      <w:spacing w:before="280" w:after="290" w:line="372" w:lineRule="auto"/>
      <w:outlineLvl w:val="3"/>
    </w:pPr>
    <w:rPr>
      <w:rFonts w:ascii="Arial" w:hAnsi="Arial" w:eastAsia="黑体"/>
      <w:b/>
      <w:bCs/>
      <w:kern w:val="0"/>
      <w:sz w:val="28"/>
      <w:szCs w:val="28"/>
    </w:rPr>
  </w:style>
  <w:style w:type="paragraph" w:styleId="9">
    <w:name w:val="heading 5"/>
    <w:basedOn w:val="1"/>
    <w:next w:val="1"/>
    <w:link w:val="59"/>
    <w:qFormat/>
    <w:uiPriority w:val="0"/>
    <w:pPr>
      <w:keepNext/>
      <w:keepLines/>
      <w:spacing w:before="280" w:after="290" w:line="372" w:lineRule="auto"/>
      <w:outlineLvl w:val="4"/>
    </w:pPr>
    <w:rPr>
      <w:b/>
      <w:bCs/>
      <w:kern w:val="0"/>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link w:val="54"/>
    <w:qFormat/>
    <w:uiPriority w:val="0"/>
    <w:pPr>
      <w:spacing w:after="120"/>
    </w:pPr>
    <w:rPr>
      <w:kern w:val="0"/>
      <w:sz w:val="28"/>
    </w:rPr>
  </w:style>
  <w:style w:type="paragraph" w:styleId="4">
    <w:name w:val="toc 6"/>
    <w:basedOn w:val="1"/>
    <w:next w:val="1"/>
    <w:qFormat/>
    <w:uiPriority w:val="0"/>
    <w:pPr>
      <w:ind w:left="1400"/>
    </w:pPr>
    <w:rPr>
      <w:rFonts w:ascii="Calibri"/>
      <w:sz w:val="18"/>
      <w:szCs w:val="18"/>
    </w:rPr>
  </w:style>
  <w:style w:type="paragraph" w:styleId="10">
    <w:name w:val="List 3"/>
    <w:basedOn w:val="1"/>
    <w:qFormat/>
    <w:uiPriority w:val="0"/>
    <w:pPr>
      <w:ind w:left="1260" w:hanging="420"/>
    </w:pPr>
  </w:style>
  <w:style w:type="paragraph" w:styleId="11">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2">
    <w:name w:val="Normal Indent"/>
    <w:basedOn w:val="1"/>
    <w:next w:val="1"/>
    <w:qFormat/>
    <w:uiPriority w:val="0"/>
    <w:pPr>
      <w:numPr>
        <w:ilvl w:val="0"/>
        <w:numId w:val="2"/>
      </w:numPr>
      <w:ind w:left="0" w:firstLine="420"/>
    </w:pPr>
    <w:rPr>
      <w:szCs w:val="20"/>
    </w:rPr>
  </w:style>
  <w:style w:type="paragraph" w:styleId="13">
    <w:name w:val="caption"/>
    <w:basedOn w:val="1"/>
    <w:next w:val="1"/>
    <w:qFormat/>
    <w:uiPriority w:val="0"/>
    <w:pPr>
      <w:numPr>
        <w:ilvl w:val="0"/>
        <w:numId w:val="3"/>
      </w:numPr>
      <w:spacing w:before="152" w:after="160"/>
      <w:ind w:left="0" w:firstLine="0"/>
    </w:pPr>
    <w:rPr>
      <w:rFonts w:ascii="Arial" w:hAnsi="Arial" w:eastAsia="黑体" w:cs="Arial"/>
      <w:sz w:val="20"/>
      <w:szCs w:val="20"/>
    </w:rPr>
  </w:style>
  <w:style w:type="paragraph" w:styleId="14">
    <w:name w:val="Document Map"/>
    <w:basedOn w:val="1"/>
    <w:link w:val="60"/>
    <w:qFormat/>
    <w:uiPriority w:val="0"/>
    <w:pPr>
      <w:shd w:val="clear" w:color="auto" w:fill="000080"/>
    </w:pPr>
    <w:rPr>
      <w:kern w:val="0"/>
      <w:sz w:val="20"/>
    </w:rPr>
  </w:style>
  <w:style w:type="paragraph" w:styleId="15">
    <w:name w:val="annotation text"/>
    <w:basedOn w:val="1"/>
    <w:link w:val="61"/>
    <w:qFormat/>
    <w:uiPriority w:val="0"/>
    <w:pPr>
      <w:jc w:val="left"/>
    </w:pPr>
    <w:rPr>
      <w:kern w:val="0"/>
      <w:sz w:val="20"/>
      <w:szCs w:val="20"/>
    </w:rPr>
  </w:style>
  <w:style w:type="paragraph" w:styleId="16">
    <w:name w:val="Body Text 3"/>
    <w:basedOn w:val="1"/>
    <w:link w:val="62"/>
    <w:qFormat/>
    <w:uiPriority w:val="0"/>
    <w:pPr>
      <w:numPr>
        <w:ilvl w:val="0"/>
        <w:numId w:val="4"/>
      </w:numPr>
      <w:snapToGrid w:val="0"/>
      <w:spacing w:before="50" w:after="50"/>
      <w:ind w:left="0" w:firstLine="0"/>
    </w:pPr>
    <w:rPr>
      <w:rFonts w:eastAsia="仿宋_GB2312"/>
      <w:b/>
      <w:bCs/>
      <w:kern w:val="0"/>
      <w:sz w:val="24"/>
      <w:szCs w:val="20"/>
    </w:rPr>
  </w:style>
  <w:style w:type="paragraph" w:styleId="17">
    <w:name w:val="Body Text Indent"/>
    <w:basedOn w:val="1"/>
    <w:next w:val="1"/>
    <w:link w:val="63"/>
    <w:qFormat/>
    <w:uiPriority w:val="0"/>
    <w:pPr>
      <w:spacing w:line="200" w:lineRule="exact"/>
      <w:ind w:firstLine="301"/>
    </w:pPr>
    <w:rPr>
      <w:rFonts w:ascii="宋体"/>
      <w:spacing w:val="-4"/>
      <w:kern w:val="0"/>
      <w:sz w:val="18"/>
      <w:szCs w:val="20"/>
    </w:rPr>
  </w:style>
  <w:style w:type="paragraph" w:styleId="18">
    <w:name w:val="List Number 3"/>
    <w:basedOn w:val="1"/>
    <w:qFormat/>
    <w:uiPriority w:val="0"/>
    <w:pPr>
      <w:tabs>
        <w:tab w:val="left" w:pos="1200"/>
      </w:tabs>
      <w:ind w:left="1200" w:hanging="360"/>
    </w:pPr>
  </w:style>
  <w:style w:type="paragraph" w:styleId="19">
    <w:name w:val="List 2"/>
    <w:basedOn w:val="1"/>
    <w:qFormat/>
    <w:uiPriority w:val="0"/>
    <w:pPr>
      <w:numPr>
        <w:ilvl w:val="0"/>
        <w:numId w:val="5"/>
      </w:numPr>
      <w:ind w:left="400" w:leftChars="200" w:hanging="200" w:hangingChars="200"/>
    </w:pPr>
    <w:rPr>
      <w:sz w:val="28"/>
    </w:rPr>
  </w:style>
  <w:style w:type="paragraph" w:styleId="20">
    <w:name w:val="toc 3"/>
    <w:basedOn w:val="1"/>
    <w:next w:val="1"/>
    <w:qFormat/>
    <w:uiPriority w:val="39"/>
    <w:pPr>
      <w:ind w:left="400" w:leftChars="400"/>
    </w:pPr>
  </w:style>
  <w:style w:type="paragraph" w:styleId="21">
    <w:name w:val="Plain Text"/>
    <w:basedOn w:val="1"/>
    <w:next w:val="1"/>
    <w:link w:val="64"/>
    <w:qFormat/>
    <w:uiPriority w:val="0"/>
    <w:pPr>
      <w:spacing w:beforeLines="50" w:afterLines="50" w:line="400" w:lineRule="exact"/>
    </w:pPr>
    <w:rPr>
      <w:rFonts w:ascii="宋体"/>
      <w:kern w:val="0"/>
      <w:sz w:val="24"/>
    </w:rPr>
  </w:style>
  <w:style w:type="paragraph" w:styleId="22">
    <w:name w:val="Date"/>
    <w:basedOn w:val="1"/>
    <w:next w:val="1"/>
    <w:link w:val="65"/>
    <w:qFormat/>
    <w:uiPriority w:val="0"/>
    <w:pPr>
      <w:numPr>
        <w:ilvl w:val="0"/>
        <w:numId w:val="6"/>
      </w:numPr>
      <w:ind w:left="2500" w:leftChars="2500" w:firstLine="0"/>
    </w:pPr>
    <w:rPr>
      <w:rFonts w:eastAsia="楷体_GB2312"/>
      <w:kern w:val="0"/>
      <w:sz w:val="32"/>
      <w:szCs w:val="20"/>
    </w:rPr>
  </w:style>
  <w:style w:type="paragraph" w:styleId="23">
    <w:name w:val="Body Text Indent 2"/>
    <w:basedOn w:val="1"/>
    <w:link w:val="66"/>
    <w:qFormat/>
    <w:uiPriority w:val="0"/>
    <w:pPr>
      <w:snapToGrid w:val="0"/>
      <w:ind w:firstLine="225" w:firstLineChars="225"/>
    </w:pPr>
    <w:rPr>
      <w:rFonts w:ascii="仿宋_GB2312" w:hAnsi="仿宋_GB2312"/>
      <w:b/>
      <w:bCs/>
      <w:color w:val="000000"/>
      <w:kern w:val="0"/>
      <w:sz w:val="24"/>
    </w:rPr>
  </w:style>
  <w:style w:type="paragraph" w:styleId="24">
    <w:name w:val="Balloon Text"/>
    <w:basedOn w:val="1"/>
    <w:link w:val="67"/>
    <w:qFormat/>
    <w:uiPriority w:val="99"/>
    <w:rPr>
      <w:kern w:val="0"/>
      <w:sz w:val="18"/>
      <w:szCs w:val="18"/>
    </w:rPr>
  </w:style>
  <w:style w:type="paragraph" w:styleId="25">
    <w:name w:val="footer"/>
    <w:basedOn w:val="1"/>
    <w:link w:val="68"/>
    <w:unhideWhenUsed/>
    <w:qFormat/>
    <w:uiPriority w:val="99"/>
    <w:pPr>
      <w:tabs>
        <w:tab w:val="center" w:pos="4153"/>
        <w:tab w:val="right" w:pos="8306"/>
      </w:tabs>
      <w:snapToGrid w:val="0"/>
      <w:jc w:val="left"/>
    </w:pPr>
    <w:rPr>
      <w:rFonts w:ascii="Calibri" w:hAnsi="Calibri"/>
      <w:kern w:val="0"/>
      <w:sz w:val="18"/>
      <w:szCs w:val="18"/>
    </w:rPr>
  </w:style>
  <w:style w:type="paragraph" w:styleId="26">
    <w:name w:val="envelope return"/>
    <w:basedOn w:val="1"/>
    <w:unhideWhenUsed/>
    <w:qFormat/>
    <w:uiPriority w:val="99"/>
    <w:pPr>
      <w:snapToGrid w:val="0"/>
      <w:spacing w:line="280" w:lineRule="exact"/>
    </w:pPr>
    <w:rPr>
      <w:rFonts w:ascii="Arial" w:hAnsi="Arial"/>
    </w:rPr>
  </w:style>
  <w:style w:type="paragraph" w:styleId="27">
    <w:name w:val="header"/>
    <w:basedOn w:val="1"/>
    <w:link w:val="69"/>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8">
    <w:name w:val="toc 1"/>
    <w:basedOn w:val="1"/>
    <w:next w:val="1"/>
    <w:qFormat/>
    <w:uiPriority w:val="39"/>
  </w:style>
  <w:style w:type="paragraph" w:styleId="29">
    <w:name w:val="Subtitle"/>
    <w:basedOn w:val="1"/>
    <w:next w:val="1"/>
    <w:link w:val="70"/>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0"/>
    <w:pPr>
      <w:ind w:left="200" w:hanging="200" w:hangingChars="200"/>
    </w:pPr>
    <w:rPr>
      <w:sz w:val="28"/>
    </w:rPr>
  </w:style>
  <w:style w:type="paragraph" w:styleId="31">
    <w:name w:val="Body Text Indent 3"/>
    <w:basedOn w:val="1"/>
    <w:link w:val="71"/>
    <w:qFormat/>
    <w:uiPriority w:val="0"/>
    <w:pPr>
      <w:numPr>
        <w:ilvl w:val="0"/>
        <w:numId w:val="7"/>
      </w:numPr>
      <w:snapToGrid w:val="0"/>
      <w:ind w:left="0" w:firstLine="200" w:firstLineChars="200"/>
      <w:jc w:val="left"/>
    </w:pPr>
    <w:rPr>
      <w:rFonts w:ascii="仿宋_GB2312" w:eastAsia="仿宋_GB2312"/>
      <w:color w:val="000000"/>
      <w:kern w:val="0"/>
      <w:sz w:val="24"/>
    </w:rPr>
  </w:style>
  <w:style w:type="paragraph" w:styleId="32">
    <w:name w:val="toc 2"/>
    <w:basedOn w:val="1"/>
    <w:next w:val="1"/>
    <w:qFormat/>
    <w:uiPriority w:val="39"/>
    <w:pPr>
      <w:ind w:left="200" w:leftChars="200"/>
    </w:pPr>
  </w:style>
  <w:style w:type="paragraph" w:styleId="33">
    <w:name w:val="Body Text 2"/>
    <w:basedOn w:val="1"/>
    <w:link w:val="72"/>
    <w:qFormat/>
    <w:uiPriority w:val="0"/>
    <w:pPr>
      <w:widowControl/>
      <w:snapToGrid w:val="0"/>
      <w:spacing w:before="50" w:afterLines="50" w:line="400" w:lineRule="exact"/>
      <w:jc w:val="left"/>
    </w:pPr>
    <w:rPr>
      <w:rFonts w:ascii="宋体"/>
      <w:color w:val="000000"/>
      <w:kern w:val="0"/>
      <w:sz w:val="24"/>
    </w:rPr>
  </w:style>
  <w:style w:type="paragraph" w:styleId="34">
    <w:name w:val="HTML Preformatted"/>
    <w:basedOn w:val="1"/>
    <w:link w:val="7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qFormat/>
    <w:uiPriority w:val="0"/>
    <w:pPr>
      <w:widowControl/>
      <w:spacing w:before="100" w:beforeAutospacing="1" w:after="100" w:afterAutospacing="1"/>
      <w:jc w:val="left"/>
    </w:pPr>
    <w:rPr>
      <w:kern w:val="0"/>
      <w:sz w:val="24"/>
    </w:rPr>
  </w:style>
  <w:style w:type="paragraph" w:styleId="36">
    <w:name w:val="Title"/>
    <w:basedOn w:val="1"/>
    <w:next w:val="1"/>
    <w:qFormat/>
    <w:uiPriority w:val="0"/>
    <w:pPr>
      <w:spacing w:before="240" w:after="60"/>
      <w:jc w:val="center"/>
      <w:outlineLvl w:val="0"/>
    </w:pPr>
    <w:rPr>
      <w:rFonts w:ascii="Cambria" w:hAnsi="Cambria"/>
      <w:b/>
      <w:sz w:val="32"/>
    </w:rPr>
  </w:style>
  <w:style w:type="paragraph" w:styleId="37">
    <w:name w:val="annotation subject"/>
    <w:basedOn w:val="15"/>
    <w:next w:val="15"/>
    <w:link w:val="74"/>
    <w:qFormat/>
    <w:uiPriority w:val="0"/>
  </w:style>
  <w:style w:type="paragraph" w:styleId="38">
    <w:name w:val="Body Text First Indent 2"/>
    <w:basedOn w:val="17"/>
    <w:next w:val="39"/>
    <w:link w:val="75"/>
    <w:unhideWhenUsed/>
    <w:qFormat/>
    <w:uiPriority w:val="99"/>
    <w:pPr>
      <w:spacing w:after="120" w:line="240" w:lineRule="auto"/>
      <w:ind w:left="420" w:leftChars="200" w:firstLine="420" w:firstLineChars="200"/>
    </w:pPr>
    <w:rPr>
      <w:rFonts w:ascii="Times New Roman"/>
      <w:kern w:val="2"/>
      <w:sz w:val="21"/>
      <w:szCs w:val="24"/>
    </w:rPr>
  </w:style>
  <w:style w:type="paragraph" w:customStyle="1" w:styleId="39">
    <w:name w:val="样式 正文首行缩进 2 + Arial"/>
    <w:basedOn w:val="1"/>
    <w:next w:val="1"/>
    <w:qFormat/>
    <w:uiPriority w:val="0"/>
    <w:pPr>
      <w:spacing w:after="120" w:line="320" w:lineRule="atLeast"/>
      <w:ind w:firstLine="200"/>
    </w:pPr>
    <w:rPr>
      <w:rFonts w:ascii="Arial" w:hAnsi="Arial"/>
      <w:kern w:val="0"/>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99"/>
    <w:rPr>
      <w:color w:val="800080"/>
      <w:u w:val="single"/>
    </w:rPr>
  </w:style>
  <w:style w:type="character" w:styleId="46">
    <w:name w:val="Emphasis"/>
    <w:qFormat/>
    <w:uiPriority w:val="20"/>
    <w:rPr>
      <w:color w:val="CC0000"/>
    </w:rPr>
  </w:style>
  <w:style w:type="character" w:styleId="47">
    <w:name w:val="HTML Acronym"/>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paragraph" w:customStyle="1" w:styleId="50">
    <w:name w:val="Body Text First Indent 21"/>
    <w:basedOn w:val="51"/>
    <w:qFormat/>
    <w:uiPriority w:val="0"/>
    <w:pPr>
      <w:ind w:firstLine="420"/>
    </w:pPr>
    <w:rPr>
      <w:szCs w:val="21"/>
    </w:rPr>
  </w:style>
  <w:style w:type="paragraph" w:customStyle="1" w:styleId="51">
    <w:name w:val="Body Text Indent1"/>
    <w:basedOn w:val="1"/>
    <w:qFormat/>
    <w:uiPriority w:val="0"/>
    <w:pPr>
      <w:ind w:left="420" w:leftChars="200"/>
    </w:pPr>
  </w:style>
  <w:style w:type="paragraph" w:customStyle="1" w:styleId="52">
    <w:name w:val="公文"/>
    <w:basedOn w:val="1"/>
    <w:qFormat/>
    <w:uiPriority w:val="0"/>
    <w:pPr>
      <w:ind w:firstLine="640" w:firstLineChars="200"/>
    </w:pPr>
    <w:rPr>
      <w:rFonts w:ascii="仿宋_GB2312" w:hAnsi="仿宋_GB2312" w:eastAsia="仿宋_GB2312"/>
      <w:sz w:val="32"/>
    </w:rPr>
  </w:style>
  <w:style w:type="paragraph" w:customStyle="1" w:styleId="53">
    <w:name w:val="样式1"/>
    <w:basedOn w:val="8"/>
    <w:qFormat/>
    <w:uiPriority w:val="0"/>
  </w:style>
  <w:style w:type="character" w:customStyle="1" w:styleId="54">
    <w:name w:val="正文文本 字符"/>
    <w:link w:val="3"/>
    <w:qFormat/>
    <w:uiPriority w:val="0"/>
    <w:rPr>
      <w:rFonts w:ascii="Times New Roman" w:hAnsi="Times New Roman" w:eastAsia="宋体" w:cs="Times New Roman"/>
      <w:sz w:val="28"/>
      <w:szCs w:val="24"/>
    </w:rPr>
  </w:style>
  <w:style w:type="character" w:customStyle="1" w:styleId="55">
    <w:name w:val="标题 1 字符"/>
    <w:link w:val="5"/>
    <w:qFormat/>
    <w:uiPriority w:val="0"/>
    <w:rPr>
      <w:rFonts w:ascii="Times New Roman" w:hAnsi="Times New Roman" w:eastAsia="宋体" w:cs="Times New Roman"/>
      <w:b/>
      <w:bCs/>
      <w:kern w:val="44"/>
      <w:sz w:val="44"/>
      <w:szCs w:val="44"/>
    </w:rPr>
  </w:style>
  <w:style w:type="character" w:customStyle="1" w:styleId="56">
    <w:name w:val="标题 2 字符"/>
    <w:link w:val="6"/>
    <w:qFormat/>
    <w:uiPriority w:val="0"/>
    <w:rPr>
      <w:rFonts w:ascii="Arial" w:hAnsi="Arial" w:eastAsia="黑体"/>
      <w:b/>
      <w:bCs/>
      <w:sz w:val="32"/>
      <w:szCs w:val="32"/>
    </w:rPr>
  </w:style>
  <w:style w:type="character" w:customStyle="1" w:styleId="57">
    <w:name w:val="标题 3 字符"/>
    <w:link w:val="7"/>
    <w:qFormat/>
    <w:uiPriority w:val="0"/>
    <w:rPr>
      <w:rFonts w:ascii="Times New Roman" w:hAnsi="Times New Roman"/>
      <w:b/>
      <w:bCs/>
      <w:sz w:val="32"/>
      <w:szCs w:val="32"/>
    </w:rPr>
  </w:style>
  <w:style w:type="character" w:customStyle="1" w:styleId="58">
    <w:name w:val="标题 4 字符"/>
    <w:link w:val="8"/>
    <w:qFormat/>
    <w:uiPriority w:val="0"/>
    <w:rPr>
      <w:rFonts w:ascii="Arial" w:hAnsi="Arial" w:eastAsia="黑体" w:cs="Times New Roman"/>
      <w:b/>
      <w:bCs/>
      <w:sz w:val="28"/>
      <w:szCs w:val="28"/>
    </w:rPr>
  </w:style>
  <w:style w:type="character" w:customStyle="1" w:styleId="59">
    <w:name w:val="标题 5 字符"/>
    <w:link w:val="9"/>
    <w:qFormat/>
    <w:uiPriority w:val="0"/>
    <w:rPr>
      <w:rFonts w:ascii="Times New Roman" w:hAnsi="Times New Roman" w:eastAsia="宋体" w:cs="Times New Roman"/>
      <w:b/>
      <w:bCs/>
      <w:sz w:val="28"/>
      <w:szCs w:val="28"/>
    </w:rPr>
  </w:style>
  <w:style w:type="character" w:customStyle="1" w:styleId="60">
    <w:name w:val="文档结构图 字符"/>
    <w:link w:val="14"/>
    <w:qFormat/>
    <w:uiPriority w:val="0"/>
    <w:rPr>
      <w:rFonts w:ascii="Times New Roman" w:hAnsi="Times New Roman" w:eastAsia="宋体" w:cs="Times New Roman"/>
      <w:szCs w:val="24"/>
      <w:shd w:val="clear" w:color="auto" w:fill="000080"/>
    </w:rPr>
  </w:style>
  <w:style w:type="character" w:customStyle="1" w:styleId="61">
    <w:name w:val="批注文字 字符"/>
    <w:link w:val="15"/>
    <w:qFormat/>
    <w:uiPriority w:val="0"/>
    <w:rPr>
      <w:rFonts w:ascii="Times New Roman" w:hAnsi="Times New Roman" w:eastAsia="宋体" w:cs="Times New Roman"/>
      <w:szCs w:val="20"/>
    </w:rPr>
  </w:style>
  <w:style w:type="character" w:customStyle="1" w:styleId="62">
    <w:name w:val="正文文本 3 字符"/>
    <w:link w:val="16"/>
    <w:qFormat/>
    <w:uiPriority w:val="0"/>
    <w:rPr>
      <w:rFonts w:ascii="Times New Roman" w:hAnsi="Times New Roman" w:eastAsia="仿宋_GB2312"/>
      <w:b/>
      <w:bCs/>
      <w:sz w:val="24"/>
    </w:rPr>
  </w:style>
  <w:style w:type="character" w:customStyle="1" w:styleId="63">
    <w:name w:val="正文文本缩进 字符"/>
    <w:link w:val="17"/>
    <w:qFormat/>
    <w:uiPriority w:val="0"/>
    <w:rPr>
      <w:rFonts w:ascii="宋体" w:hAnsi="Times New Roman" w:eastAsia="宋体" w:cs="Times New Roman"/>
      <w:spacing w:val="-4"/>
      <w:sz w:val="18"/>
      <w:szCs w:val="20"/>
    </w:rPr>
  </w:style>
  <w:style w:type="character" w:customStyle="1" w:styleId="64">
    <w:name w:val="纯文本 字符2"/>
    <w:link w:val="21"/>
    <w:qFormat/>
    <w:uiPriority w:val="0"/>
    <w:rPr>
      <w:rFonts w:ascii="宋体" w:hAnsi="Times New Roman" w:eastAsia="宋体" w:cs="Times New Roman"/>
      <w:sz w:val="24"/>
      <w:szCs w:val="24"/>
    </w:rPr>
  </w:style>
  <w:style w:type="character" w:customStyle="1" w:styleId="65">
    <w:name w:val="日期 字符"/>
    <w:link w:val="22"/>
    <w:qFormat/>
    <w:uiPriority w:val="0"/>
    <w:rPr>
      <w:rFonts w:ascii="Times New Roman" w:hAnsi="Times New Roman" w:eastAsia="楷体_GB2312"/>
      <w:sz w:val="32"/>
    </w:rPr>
  </w:style>
  <w:style w:type="character" w:customStyle="1" w:styleId="66">
    <w:name w:val="正文文本缩进 2 字符"/>
    <w:link w:val="23"/>
    <w:qFormat/>
    <w:uiPriority w:val="0"/>
    <w:rPr>
      <w:rFonts w:ascii="仿宋_GB2312" w:hAnsi="仿宋_GB2312" w:eastAsia="宋体" w:cs="Times New Roman"/>
      <w:b/>
      <w:bCs/>
      <w:color w:val="000000"/>
      <w:sz w:val="24"/>
      <w:szCs w:val="24"/>
    </w:rPr>
  </w:style>
  <w:style w:type="character" w:customStyle="1" w:styleId="67">
    <w:name w:val="批注框文本 字符"/>
    <w:link w:val="24"/>
    <w:qFormat/>
    <w:uiPriority w:val="99"/>
    <w:rPr>
      <w:rFonts w:ascii="Times New Roman" w:hAnsi="Times New Roman" w:eastAsia="宋体" w:cs="Times New Roman"/>
      <w:sz w:val="18"/>
      <w:szCs w:val="18"/>
    </w:rPr>
  </w:style>
  <w:style w:type="character" w:customStyle="1" w:styleId="68">
    <w:name w:val="页脚 字符"/>
    <w:link w:val="25"/>
    <w:qFormat/>
    <w:uiPriority w:val="99"/>
    <w:rPr>
      <w:sz w:val="18"/>
      <w:szCs w:val="18"/>
    </w:rPr>
  </w:style>
  <w:style w:type="character" w:customStyle="1" w:styleId="69">
    <w:name w:val="页眉 字符"/>
    <w:link w:val="27"/>
    <w:qFormat/>
    <w:uiPriority w:val="99"/>
    <w:rPr>
      <w:sz w:val="18"/>
      <w:szCs w:val="18"/>
    </w:rPr>
  </w:style>
  <w:style w:type="character" w:customStyle="1" w:styleId="70">
    <w:name w:val="副标题 字符1"/>
    <w:link w:val="29"/>
    <w:qFormat/>
    <w:uiPriority w:val="0"/>
    <w:rPr>
      <w:rFonts w:ascii="Cambria" w:hAnsi="Cambria"/>
      <w:b/>
      <w:bCs/>
      <w:kern w:val="28"/>
      <w:sz w:val="32"/>
      <w:szCs w:val="32"/>
    </w:rPr>
  </w:style>
  <w:style w:type="character" w:customStyle="1" w:styleId="71">
    <w:name w:val="正文文本缩进 3 字符"/>
    <w:link w:val="31"/>
    <w:qFormat/>
    <w:uiPriority w:val="0"/>
    <w:rPr>
      <w:rFonts w:ascii="仿宋_GB2312" w:hAnsi="Times New Roman" w:eastAsia="仿宋_GB2312"/>
      <w:color w:val="000000"/>
      <w:sz w:val="24"/>
      <w:szCs w:val="24"/>
    </w:rPr>
  </w:style>
  <w:style w:type="character" w:customStyle="1" w:styleId="72">
    <w:name w:val="正文文本 2 字符"/>
    <w:link w:val="33"/>
    <w:qFormat/>
    <w:uiPriority w:val="0"/>
    <w:rPr>
      <w:rFonts w:ascii="宋体" w:hAnsi="Times New Roman" w:eastAsia="宋体" w:cs="Times New Roman"/>
      <w:color w:val="000000"/>
      <w:sz w:val="24"/>
      <w:szCs w:val="24"/>
    </w:rPr>
  </w:style>
  <w:style w:type="character" w:customStyle="1" w:styleId="73">
    <w:name w:val="HTML 预设格式 字符"/>
    <w:link w:val="34"/>
    <w:qFormat/>
    <w:uiPriority w:val="0"/>
    <w:rPr>
      <w:rFonts w:ascii="宋体" w:hAnsi="宋体" w:cs="宋体"/>
      <w:sz w:val="24"/>
      <w:szCs w:val="24"/>
    </w:rPr>
  </w:style>
  <w:style w:type="character" w:customStyle="1" w:styleId="74">
    <w:name w:val="批注主题 字符"/>
    <w:link w:val="37"/>
    <w:qFormat/>
    <w:uiPriority w:val="0"/>
    <w:rPr>
      <w:rFonts w:ascii="Times New Roman" w:hAnsi="Times New Roman" w:eastAsia="宋体" w:cs="Times New Roman"/>
      <w:szCs w:val="20"/>
    </w:rPr>
  </w:style>
  <w:style w:type="character" w:customStyle="1" w:styleId="75">
    <w:name w:val="正文文本首行缩进 2 字符"/>
    <w:link w:val="38"/>
    <w:qFormat/>
    <w:uiPriority w:val="99"/>
    <w:rPr>
      <w:rFonts w:ascii="Times New Roman" w:hAnsi="Times New Roman" w:eastAsia="宋体" w:cs="Times New Roman"/>
      <w:spacing w:val="-4"/>
      <w:kern w:val="2"/>
      <w:sz w:val="21"/>
      <w:szCs w:val="24"/>
    </w:rPr>
  </w:style>
  <w:style w:type="paragraph" w:customStyle="1" w:styleId="7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7">
    <w:name w:val="正文文本缩进 Char"/>
    <w:qFormat/>
    <w:uiPriority w:val="99"/>
    <w:rPr>
      <w:rFonts w:ascii="宋体" w:hAnsi="Times New Roman" w:eastAsia="宋体" w:cs="Times New Roman"/>
      <w:spacing w:val="-4"/>
      <w:sz w:val="18"/>
      <w:szCs w:val="20"/>
    </w:rPr>
  </w:style>
  <w:style w:type="character" w:customStyle="1" w:styleId="78">
    <w:name w:val="文档结构图 Char1"/>
    <w:qFormat/>
    <w:uiPriority w:val="0"/>
    <w:rPr>
      <w:rFonts w:ascii="Times New Roman" w:hAnsi="Times New Roman" w:eastAsia="宋体" w:cs="Times New Roman"/>
      <w:szCs w:val="24"/>
      <w:shd w:val="clear" w:color="auto" w:fill="000080"/>
    </w:rPr>
  </w:style>
  <w:style w:type="character" w:customStyle="1" w:styleId="79">
    <w:name w:val="日期 Char"/>
    <w:qFormat/>
    <w:uiPriority w:val="0"/>
    <w:rPr>
      <w:rFonts w:ascii="Times New Roman" w:hAnsi="Times New Roman" w:eastAsia="楷体_GB2312"/>
      <w:sz w:val="32"/>
    </w:rPr>
  </w:style>
  <w:style w:type="character" w:customStyle="1" w:styleId="80">
    <w:name w:val="HTML 预设格式 Char"/>
    <w:qFormat/>
    <w:uiPriority w:val="0"/>
    <w:rPr>
      <w:rFonts w:ascii="宋体" w:hAnsi="宋体" w:cs="宋体"/>
      <w:sz w:val="24"/>
      <w:szCs w:val="24"/>
    </w:rPr>
  </w:style>
  <w:style w:type="character" w:customStyle="1" w:styleId="81">
    <w:name w:val="标准文本 Char"/>
    <w:link w:val="82"/>
    <w:qFormat/>
    <w:locked/>
    <w:uiPriority w:val="0"/>
    <w:rPr>
      <w:lang w:val="zh-CN"/>
    </w:rPr>
  </w:style>
  <w:style w:type="paragraph" w:customStyle="1" w:styleId="82">
    <w:name w:val="标准文本"/>
    <w:basedOn w:val="1"/>
    <w:link w:val="81"/>
    <w:qFormat/>
    <w:uiPriority w:val="0"/>
    <w:pPr>
      <w:widowControl/>
      <w:spacing w:line="360" w:lineRule="auto"/>
      <w:ind w:firstLine="480" w:firstLineChars="200"/>
      <w:jc w:val="left"/>
    </w:pPr>
    <w:rPr>
      <w:rFonts w:ascii="Calibri" w:hAnsi="Calibri"/>
      <w:kern w:val="0"/>
      <w:sz w:val="20"/>
      <w:szCs w:val="20"/>
      <w:lang w:val="zh-CN"/>
    </w:rPr>
  </w:style>
  <w:style w:type="character" w:customStyle="1" w:styleId="83">
    <w:name w:val="apple-style-span"/>
    <w:qFormat/>
    <w:uiPriority w:val="0"/>
  </w:style>
  <w:style w:type="character" w:customStyle="1" w:styleId="84">
    <w:name w:val="正文文本缩进 2 Char"/>
    <w:qFormat/>
    <w:uiPriority w:val="0"/>
    <w:rPr>
      <w:rFonts w:ascii="仿宋_GB2312" w:hAnsi="仿宋_GB2312" w:eastAsia="宋体" w:cs="Times New Roman"/>
      <w:b/>
      <w:bCs/>
      <w:color w:val="000000"/>
      <w:sz w:val="24"/>
      <w:szCs w:val="24"/>
    </w:rPr>
  </w:style>
  <w:style w:type="character" w:customStyle="1" w:styleId="85">
    <w:name w:val="副标题 Char"/>
    <w:qFormat/>
    <w:uiPriority w:val="0"/>
    <w:rPr>
      <w:rFonts w:ascii="Cambria" w:hAnsi="Cambria"/>
      <w:b/>
      <w:bCs/>
      <w:kern w:val="28"/>
      <w:sz w:val="32"/>
      <w:szCs w:val="32"/>
    </w:rPr>
  </w:style>
  <w:style w:type="character" w:customStyle="1" w:styleId="86">
    <w:name w:val="font221"/>
    <w:qFormat/>
    <w:uiPriority w:val="0"/>
    <w:rPr>
      <w:rFonts w:hint="eastAsia" w:ascii="宋体" w:hAnsi="宋体" w:eastAsia="宋体" w:cs="宋体"/>
      <w:color w:val="000000"/>
      <w:sz w:val="18"/>
      <w:szCs w:val="18"/>
      <w:u w:val="none"/>
    </w:rPr>
  </w:style>
  <w:style w:type="character" w:customStyle="1" w:styleId="87">
    <w:name w:val="批注文字 Char1"/>
    <w:qFormat/>
    <w:uiPriority w:val="0"/>
    <w:rPr>
      <w:rFonts w:ascii="Times New Roman" w:hAnsi="Times New Roman" w:eastAsia="宋体" w:cs="Times New Roman"/>
      <w:szCs w:val="20"/>
    </w:rPr>
  </w:style>
  <w:style w:type="character" w:customStyle="1" w:styleId="88">
    <w:name w:val="标题 2 Char1"/>
    <w:qFormat/>
    <w:uiPriority w:val="0"/>
    <w:rPr>
      <w:rFonts w:ascii="Arial" w:hAnsi="Arial" w:eastAsia="黑体"/>
      <w:b/>
      <w:bCs/>
      <w:sz w:val="32"/>
      <w:szCs w:val="32"/>
    </w:rPr>
  </w:style>
  <w:style w:type="character" w:customStyle="1" w:styleId="89">
    <w:name w:val="页眉 Char"/>
    <w:qFormat/>
    <w:uiPriority w:val="99"/>
    <w:rPr>
      <w:sz w:val="18"/>
      <w:szCs w:val="18"/>
    </w:rPr>
  </w:style>
  <w:style w:type="character" w:styleId="90">
    <w:name w:val="Placeholder Text"/>
    <w:semiHidden/>
    <w:qFormat/>
    <w:uiPriority w:val="99"/>
    <w:rPr>
      <w:color w:val="808080"/>
    </w:rPr>
  </w:style>
  <w:style w:type="character" w:customStyle="1" w:styleId="91">
    <w:name w:val="正文文本缩进 2 Char1"/>
    <w:qFormat/>
    <w:uiPriority w:val="0"/>
    <w:rPr>
      <w:rFonts w:ascii="仿宋_GB2312" w:hAnsi="仿宋_GB2312" w:eastAsia="宋体" w:cs="Times New Roman"/>
      <w:b/>
      <w:bCs/>
      <w:color w:val="000000"/>
      <w:sz w:val="24"/>
      <w:szCs w:val="24"/>
    </w:rPr>
  </w:style>
  <w:style w:type="character" w:customStyle="1" w:styleId="92">
    <w:name w:val="正文文本 2 Char"/>
    <w:qFormat/>
    <w:uiPriority w:val="0"/>
    <w:rPr>
      <w:rFonts w:ascii="宋体" w:hAnsi="Times New Roman" w:eastAsia="宋体" w:cs="Times New Roman"/>
      <w:color w:val="000000"/>
      <w:sz w:val="24"/>
      <w:szCs w:val="24"/>
    </w:rPr>
  </w:style>
  <w:style w:type="character" w:customStyle="1" w:styleId="93">
    <w:name w:val="标题 2 Char"/>
    <w:qFormat/>
    <w:uiPriority w:val="0"/>
    <w:rPr>
      <w:rFonts w:ascii="Arial" w:hAnsi="Arial" w:eastAsia="黑体"/>
      <w:b/>
      <w:bCs/>
      <w:sz w:val="32"/>
      <w:szCs w:val="32"/>
    </w:rPr>
  </w:style>
  <w:style w:type="character" w:customStyle="1" w:styleId="94">
    <w:name w:val="纯文本 字符1"/>
    <w:qFormat/>
    <w:uiPriority w:val="0"/>
    <w:rPr>
      <w:rFonts w:ascii="宋体" w:hAnsi="Courier New" w:eastAsia="宋体"/>
      <w:kern w:val="2"/>
      <w:sz w:val="24"/>
      <w:szCs w:val="24"/>
      <w:lang w:val="en-US" w:eastAsia="zh-CN" w:bidi="ar-SA"/>
    </w:rPr>
  </w:style>
  <w:style w:type="character" w:customStyle="1" w:styleId="95">
    <w:name w:val="正文首行缩进 2 Char"/>
    <w:qFormat/>
    <w:uiPriority w:val="99"/>
  </w:style>
  <w:style w:type="character" w:customStyle="1" w:styleId="96">
    <w:name w:val="HTML 预设格式 Char1"/>
    <w:qFormat/>
    <w:uiPriority w:val="0"/>
    <w:rPr>
      <w:rFonts w:ascii="宋体" w:hAnsi="宋体" w:cs="宋体"/>
      <w:sz w:val="24"/>
      <w:szCs w:val="24"/>
    </w:rPr>
  </w:style>
  <w:style w:type="character" w:customStyle="1" w:styleId="97">
    <w:name w:val="正文文本缩进 3 Char"/>
    <w:qFormat/>
    <w:uiPriority w:val="0"/>
    <w:rPr>
      <w:rFonts w:ascii="仿宋_GB2312" w:hAnsi="Times New Roman" w:eastAsia="仿宋_GB2312"/>
      <w:color w:val="000000"/>
      <w:sz w:val="24"/>
      <w:szCs w:val="24"/>
    </w:rPr>
  </w:style>
  <w:style w:type="character" w:customStyle="1" w:styleId="98">
    <w:name w:val="批注框文本 Char"/>
    <w:qFormat/>
    <w:uiPriority w:val="99"/>
    <w:rPr>
      <w:rFonts w:ascii="Times New Roman" w:hAnsi="Times New Roman" w:eastAsia="宋体" w:cs="Times New Roman"/>
      <w:sz w:val="18"/>
      <w:szCs w:val="18"/>
    </w:rPr>
  </w:style>
  <w:style w:type="character" w:customStyle="1" w:styleId="99">
    <w:name w:val="批注文字 Char"/>
    <w:qFormat/>
    <w:uiPriority w:val="0"/>
    <w:rPr>
      <w:rFonts w:ascii="Times New Roman" w:hAnsi="Times New Roman" w:eastAsia="宋体" w:cs="Times New Roman"/>
      <w:szCs w:val="20"/>
    </w:rPr>
  </w:style>
  <w:style w:type="character" w:customStyle="1" w:styleId="100">
    <w:name w:val="NormalCharacter"/>
    <w:qFormat/>
    <w:uiPriority w:val="0"/>
    <w:rPr>
      <w:kern w:val="2"/>
      <w:sz w:val="21"/>
      <w:szCs w:val="24"/>
      <w:lang w:val="en-US" w:eastAsia="zh-CN" w:bidi="ar-SA"/>
    </w:rPr>
  </w:style>
  <w:style w:type="character" w:customStyle="1" w:styleId="101">
    <w:name w:val="标题 1 Char1"/>
    <w:qFormat/>
    <w:uiPriority w:val="0"/>
    <w:rPr>
      <w:rFonts w:ascii="Times New Roman" w:hAnsi="Times New Roman" w:eastAsia="宋体" w:cs="Times New Roman"/>
      <w:b/>
      <w:bCs/>
      <w:kern w:val="44"/>
      <w:sz w:val="44"/>
      <w:szCs w:val="44"/>
    </w:rPr>
  </w:style>
  <w:style w:type="character" w:customStyle="1" w:styleId="102">
    <w:name w:val="纯文本 Char1"/>
    <w:qFormat/>
    <w:uiPriority w:val="0"/>
    <w:rPr>
      <w:rFonts w:ascii="宋体" w:hAnsi="Times New Roman" w:eastAsia="宋体" w:cs="Times New Roman"/>
      <w:sz w:val="24"/>
      <w:szCs w:val="24"/>
    </w:rPr>
  </w:style>
  <w:style w:type="character" w:customStyle="1" w:styleId="103">
    <w:name w:val="标题 3 Char1"/>
    <w:qFormat/>
    <w:uiPriority w:val="0"/>
    <w:rPr>
      <w:b/>
      <w:bCs/>
      <w:sz w:val="32"/>
      <w:szCs w:val="32"/>
    </w:rPr>
  </w:style>
  <w:style w:type="character" w:customStyle="1" w:styleId="104">
    <w:name w:val="纯文本 字符"/>
    <w:qFormat/>
    <w:uiPriority w:val="0"/>
    <w:rPr>
      <w:rFonts w:ascii="宋体" w:hAnsi="Times New Roman" w:eastAsia="宋体" w:cs="Times New Roman"/>
      <w:sz w:val="24"/>
      <w:szCs w:val="24"/>
    </w:rPr>
  </w:style>
  <w:style w:type="character" w:customStyle="1" w:styleId="105">
    <w:name w:val="标题 3 Char"/>
    <w:qFormat/>
    <w:uiPriority w:val="0"/>
    <w:rPr>
      <w:rFonts w:ascii="Times New Roman" w:hAnsi="Times New Roman"/>
      <w:b/>
      <w:bCs/>
      <w:sz w:val="32"/>
      <w:szCs w:val="32"/>
    </w:rPr>
  </w:style>
  <w:style w:type="character" w:customStyle="1" w:styleId="106">
    <w:name w:val="批注主题 Char"/>
    <w:qFormat/>
    <w:uiPriority w:val="0"/>
    <w:rPr>
      <w:rFonts w:ascii="Times New Roman" w:hAnsi="Times New Roman" w:eastAsia="宋体" w:cs="Times New Roman"/>
      <w:szCs w:val="20"/>
    </w:rPr>
  </w:style>
  <w:style w:type="character" w:customStyle="1" w:styleId="107">
    <w:name w:val="正文文本 Char1"/>
    <w:qFormat/>
    <w:uiPriority w:val="0"/>
    <w:rPr>
      <w:rFonts w:ascii="Times New Roman" w:hAnsi="Times New Roman" w:eastAsia="宋体" w:cs="Times New Roman"/>
      <w:sz w:val="28"/>
      <w:szCs w:val="24"/>
    </w:rPr>
  </w:style>
  <w:style w:type="character" w:customStyle="1" w:styleId="108">
    <w:name w:val="正文文本缩进 3 Char1"/>
    <w:qFormat/>
    <w:uiPriority w:val="0"/>
    <w:rPr>
      <w:rFonts w:ascii="仿宋_GB2312" w:eastAsia="仿宋_GB2312"/>
      <w:color w:val="000000"/>
      <w:sz w:val="24"/>
      <w:szCs w:val="24"/>
    </w:rPr>
  </w:style>
  <w:style w:type="character" w:customStyle="1" w:styleId="109">
    <w:name w:val="批注文字 Char2"/>
    <w:qFormat/>
    <w:uiPriority w:val="0"/>
    <w:rPr>
      <w:rFonts w:ascii="Times New Roman" w:hAnsi="Times New Roman" w:eastAsia="宋体" w:cs="Times New Roman"/>
      <w:szCs w:val="20"/>
    </w:rPr>
  </w:style>
  <w:style w:type="character" w:customStyle="1" w:styleId="110">
    <w:name w:val="标题 5 Char1"/>
    <w:qFormat/>
    <w:uiPriority w:val="0"/>
    <w:rPr>
      <w:rFonts w:ascii="Times New Roman" w:hAnsi="Times New Roman" w:eastAsia="宋体" w:cs="Times New Roman"/>
      <w:b/>
      <w:bCs/>
      <w:sz w:val="28"/>
      <w:szCs w:val="28"/>
    </w:rPr>
  </w:style>
  <w:style w:type="character" w:customStyle="1" w:styleId="111">
    <w:name w:val="style7"/>
    <w:qFormat/>
    <w:uiPriority w:val="0"/>
  </w:style>
  <w:style w:type="character" w:customStyle="1" w:styleId="112">
    <w:name w:val="标题 4 Char"/>
    <w:qFormat/>
    <w:uiPriority w:val="0"/>
    <w:rPr>
      <w:rFonts w:ascii="Arial" w:hAnsi="Arial" w:eastAsia="黑体" w:cs="Times New Roman"/>
      <w:b/>
      <w:bCs/>
      <w:sz w:val="28"/>
      <w:szCs w:val="28"/>
    </w:rPr>
  </w:style>
  <w:style w:type="character" w:customStyle="1" w:styleId="113">
    <w:name w:val="font171"/>
    <w:qFormat/>
    <w:uiPriority w:val="0"/>
    <w:rPr>
      <w:rFonts w:hint="default" w:ascii="Wingdings 2" w:hAnsi="Wingdings 2" w:eastAsia="Wingdings 2" w:cs="Wingdings 2"/>
      <w:color w:val="000000"/>
      <w:sz w:val="18"/>
      <w:szCs w:val="18"/>
      <w:u w:val="none"/>
    </w:rPr>
  </w:style>
  <w:style w:type="character" w:customStyle="1" w:styleId="114">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15">
    <w:name w:val="页眉 Char1"/>
    <w:qFormat/>
    <w:uiPriority w:val="99"/>
    <w:rPr>
      <w:sz w:val="18"/>
      <w:szCs w:val="18"/>
    </w:rPr>
  </w:style>
  <w:style w:type="character" w:customStyle="1" w:styleId="116">
    <w:name w:val="标题 1 Char"/>
    <w:qFormat/>
    <w:uiPriority w:val="0"/>
    <w:rPr>
      <w:rFonts w:ascii="Times New Roman" w:hAnsi="Times New Roman" w:eastAsia="宋体" w:cs="Times New Roman"/>
      <w:b/>
      <w:bCs/>
      <w:kern w:val="44"/>
      <w:sz w:val="44"/>
      <w:szCs w:val="44"/>
    </w:rPr>
  </w:style>
  <w:style w:type="character" w:customStyle="1" w:styleId="117">
    <w:name w:val="正文文本 Char"/>
    <w:qFormat/>
    <w:uiPriority w:val="0"/>
    <w:rPr>
      <w:rFonts w:ascii="Times New Roman" w:hAnsi="Times New Roman" w:eastAsia="宋体" w:cs="Times New Roman"/>
      <w:sz w:val="28"/>
      <w:szCs w:val="24"/>
    </w:rPr>
  </w:style>
  <w:style w:type="character" w:customStyle="1" w:styleId="118">
    <w:name w:val="unnamed1"/>
    <w:qFormat/>
    <w:uiPriority w:val="0"/>
  </w:style>
  <w:style w:type="character" w:customStyle="1" w:styleId="119">
    <w:name w:val="页脚 Char"/>
    <w:qFormat/>
    <w:uiPriority w:val="99"/>
    <w:rPr>
      <w:sz w:val="18"/>
      <w:szCs w:val="18"/>
    </w:rPr>
  </w:style>
  <w:style w:type="character" w:customStyle="1" w:styleId="120">
    <w:name w:val="正文文本 3 Char"/>
    <w:qFormat/>
    <w:uiPriority w:val="0"/>
    <w:rPr>
      <w:rFonts w:ascii="Times New Roman" w:hAnsi="Times New Roman" w:eastAsia="仿宋_GB2312"/>
      <w:b/>
      <w:bCs/>
      <w:sz w:val="24"/>
    </w:rPr>
  </w:style>
  <w:style w:type="character" w:customStyle="1" w:styleId="121">
    <w:name w:val="页脚 Char1"/>
    <w:qFormat/>
    <w:uiPriority w:val="99"/>
    <w:rPr>
      <w:sz w:val="18"/>
      <w:szCs w:val="18"/>
    </w:rPr>
  </w:style>
  <w:style w:type="character" w:customStyle="1" w:styleId="122">
    <w:name w:val="日期 Char1"/>
    <w:qFormat/>
    <w:uiPriority w:val="0"/>
    <w:rPr>
      <w:rFonts w:eastAsia="楷体_GB2312"/>
      <w:sz w:val="32"/>
    </w:rPr>
  </w:style>
  <w:style w:type="character" w:customStyle="1" w:styleId="123">
    <w:name w:val="标题 4 Char1"/>
    <w:qFormat/>
    <w:uiPriority w:val="0"/>
    <w:rPr>
      <w:rFonts w:ascii="Arial" w:hAnsi="Arial" w:eastAsia="黑体" w:cs="Times New Roman"/>
      <w:b/>
      <w:bCs/>
      <w:sz w:val="28"/>
      <w:szCs w:val="28"/>
    </w:rPr>
  </w:style>
  <w:style w:type="character" w:customStyle="1" w:styleId="124">
    <w:name w:val="标题 5 Char"/>
    <w:qFormat/>
    <w:uiPriority w:val="0"/>
    <w:rPr>
      <w:rFonts w:ascii="Times New Roman" w:hAnsi="Times New Roman" w:eastAsia="宋体" w:cs="Times New Roman"/>
      <w:b/>
      <w:bCs/>
      <w:sz w:val="28"/>
      <w:szCs w:val="28"/>
    </w:rPr>
  </w:style>
  <w:style w:type="character" w:customStyle="1" w:styleId="125">
    <w:name w:val="列出段落 Char"/>
    <w:qFormat/>
    <w:uiPriority w:val="34"/>
    <w:rPr>
      <w:kern w:val="2"/>
      <w:sz w:val="21"/>
      <w:szCs w:val="22"/>
    </w:rPr>
  </w:style>
  <w:style w:type="character" w:customStyle="1" w:styleId="126">
    <w:name w:val="纯文本 Char"/>
    <w:qFormat/>
    <w:uiPriority w:val="0"/>
    <w:rPr>
      <w:rFonts w:ascii="宋体" w:hAnsi="Times New Roman" w:eastAsia="宋体" w:cs="Times New Roman"/>
      <w:sz w:val="24"/>
      <w:szCs w:val="24"/>
    </w:rPr>
  </w:style>
  <w:style w:type="character" w:customStyle="1" w:styleId="127">
    <w:name w:val="批注主题 Char1"/>
    <w:qFormat/>
    <w:uiPriority w:val="0"/>
    <w:rPr>
      <w:rFonts w:ascii="Times New Roman" w:hAnsi="Times New Roman" w:eastAsia="宋体" w:cs="Times New Roman"/>
      <w:szCs w:val="20"/>
    </w:rPr>
  </w:style>
  <w:style w:type="character" w:customStyle="1" w:styleId="128">
    <w:name w:val="font211"/>
    <w:qFormat/>
    <w:uiPriority w:val="0"/>
    <w:rPr>
      <w:rFonts w:hint="eastAsia" w:ascii="宋体" w:hAnsi="宋体" w:eastAsia="宋体" w:cs="宋体"/>
      <w:color w:val="000000"/>
      <w:sz w:val="20"/>
      <w:szCs w:val="20"/>
      <w:u w:val="none"/>
    </w:rPr>
  </w:style>
  <w:style w:type="character" w:customStyle="1" w:styleId="129">
    <w:name w:val="ca-32"/>
    <w:qFormat/>
    <w:uiPriority w:val="0"/>
  </w:style>
  <w:style w:type="character" w:customStyle="1" w:styleId="130">
    <w:name w:val="文档结构图 Char"/>
    <w:qFormat/>
    <w:uiPriority w:val="0"/>
    <w:rPr>
      <w:rFonts w:ascii="Times New Roman" w:hAnsi="Times New Roman" w:eastAsia="宋体" w:cs="Times New Roman"/>
      <w:szCs w:val="24"/>
      <w:shd w:val="clear" w:color="auto" w:fill="000080"/>
    </w:rPr>
  </w:style>
  <w:style w:type="character" w:customStyle="1" w:styleId="131">
    <w:name w:val="副标题 Char1"/>
    <w:qFormat/>
    <w:uiPriority w:val="11"/>
    <w:rPr>
      <w:rFonts w:ascii="Cambria" w:hAnsi="Cambria" w:eastAsia="宋体" w:cs="Times New Roman"/>
      <w:b/>
      <w:bCs/>
      <w:kern w:val="28"/>
      <w:sz w:val="32"/>
      <w:szCs w:val="32"/>
    </w:rPr>
  </w:style>
  <w:style w:type="character" w:customStyle="1" w:styleId="132">
    <w:name w:val="页脚 Char2"/>
    <w:qFormat/>
    <w:uiPriority w:val="99"/>
    <w:rPr>
      <w:sz w:val="18"/>
      <w:szCs w:val="18"/>
    </w:rPr>
  </w:style>
  <w:style w:type="character" w:customStyle="1" w:styleId="133">
    <w:name w:val="纯文本 Char2"/>
    <w:qFormat/>
    <w:uiPriority w:val="0"/>
    <w:rPr>
      <w:rFonts w:ascii="宋体" w:hAnsi="Times New Roman" w:eastAsia="宋体" w:cs="Times New Roman"/>
      <w:sz w:val="24"/>
      <w:szCs w:val="24"/>
    </w:rPr>
  </w:style>
  <w:style w:type="character" w:customStyle="1" w:styleId="134">
    <w:name w:val="列出段落 Char1"/>
    <w:qFormat/>
    <w:uiPriority w:val="34"/>
    <w:rPr>
      <w:kern w:val="2"/>
      <w:sz w:val="21"/>
      <w:szCs w:val="22"/>
    </w:rPr>
  </w:style>
  <w:style w:type="character" w:customStyle="1" w:styleId="135">
    <w:name w:val="正文文本缩进 Char1"/>
    <w:qFormat/>
    <w:uiPriority w:val="0"/>
    <w:rPr>
      <w:rFonts w:ascii="宋体" w:hAnsi="Times New Roman" w:eastAsia="宋体" w:cs="Times New Roman"/>
      <w:spacing w:val="-4"/>
      <w:sz w:val="18"/>
      <w:szCs w:val="20"/>
    </w:rPr>
  </w:style>
  <w:style w:type="character" w:customStyle="1" w:styleId="136">
    <w:name w:val="TableItem Char"/>
    <w:link w:val="137"/>
    <w:qFormat/>
    <w:uiPriority w:val="0"/>
    <w:rPr>
      <w:rFonts w:ascii="Verdana" w:hAnsi="Verdana" w:eastAsia="等线" w:cs="Verdana"/>
      <w:b/>
      <w:bCs/>
      <w:color w:val="538135"/>
      <w:spacing w:val="-10"/>
      <w:sz w:val="16"/>
      <w:szCs w:val="28"/>
      <w:lang w:val="en-US" w:eastAsia="zh-CN" w:bidi="ar-SA"/>
    </w:rPr>
  </w:style>
  <w:style w:type="paragraph" w:customStyle="1" w:styleId="137">
    <w:name w:val="TableItem"/>
    <w:link w:val="136"/>
    <w:qFormat/>
    <w:uiPriority w:val="0"/>
    <w:rPr>
      <w:rFonts w:ascii="Verdana" w:hAnsi="Verdana" w:eastAsia="等线" w:cs="Verdana"/>
      <w:b/>
      <w:bCs/>
      <w:color w:val="538135"/>
      <w:spacing w:val="-10"/>
      <w:sz w:val="16"/>
      <w:szCs w:val="28"/>
      <w:lang w:val="en-US" w:eastAsia="zh-CN" w:bidi="ar-SA"/>
    </w:rPr>
  </w:style>
  <w:style w:type="character" w:customStyle="1" w:styleId="138">
    <w:name w:val="列表段落 字符"/>
    <w:link w:val="139"/>
    <w:qFormat/>
    <w:uiPriority w:val="34"/>
    <w:rPr>
      <w:rFonts w:ascii="Calibri" w:hAnsi="Calibri"/>
      <w:kern w:val="2"/>
      <w:sz w:val="21"/>
      <w:szCs w:val="22"/>
    </w:rPr>
  </w:style>
  <w:style w:type="paragraph" w:styleId="139">
    <w:name w:val="List Paragraph"/>
    <w:basedOn w:val="1"/>
    <w:link w:val="138"/>
    <w:qFormat/>
    <w:uiPriority w:val="0"/>
    <w:pPr>
      <w:tabs>
        <w:tab w:val="left" w:pos="360"/>
      </w:tabs>
      <w:ind w:left="360" w:hanging="360"/>
    </w:pPr>
    <w:rPr>
      <w:rFonts w:ascii="Calibri" w:hAnsi="Calibri"/>
      <w:szCs w:val="22"/>
    </w:rPr>
  </w:style>
  <w:style w:type="character" w:customStyle="1" w:styleId="140">
    <w:name w:val="副标题 字符"/>
    <w:qFormat/>
    <w:uiPriority w:val="99"/>
    <w:rPr>
      <w:rFonts w:ascii="宋体" w:hAnsi="Tahoma" w:cs="宋体"/>
      <w:i/>
      <w:iCs/>
      <w:sz w:val="36"/>
      <w:szCs w:val="36"/>
      <w:lang w:val="en-AU"/>
    </w:rPr>
  </w:style>
  <w:style w:type="character" w:customStyle="1" w:styleId="141">
    <w:name w:val="正文文本 3 Char1"/>
    <w:qFormat/>
    <w:uiPriority w:val="0"/>
    <w:rPr>
      <w:rFonts w:eastAsia="仿宋_GB2312"/>
      <w:b/>
      <w:bCs/>
      <w:sz w:val="24"/>
    </w:rPr>
  </w:style>
  <w:style w:type="character" w:customStyle="1" w:styleId="142">
    <w:name w:val="副标题 Char2"/>
    <w:qFormat/>
    <w:uiPriority w:val="0"/>
    <w:rPr>
      <w:rFonts w:ascii="Cambria" w:hAnsi="Cambria"/>
      <w:b/>
      <w:bCs/>
      <w:kern w:val="28"/>
      <w:sz w:val="32"/>
      <w:szCs w:val="32"/>
    </w:rPr>
  </w:style>
  <w:style w:type="character" w:customStyle="1" w:styleId="143">
    <w:name w:val="c_title1"/>
    <w:qFormat/>
    <w:uiPriority w:val="0"/>
    <w:rPr>
      <w:rFonts w:ascii="黑体" w:eastAsia="黑体"/>
      <w:color w:val="03005C"/>
      <w:sz w:val="30"/>
      <w:szCs w:val="30"/>
      <w:u w:val="none"/>
    </w:rPr>
  </w:style>
  <w:style w:type="character" w:customStyle="1" w:styleId="144">
    <w:name w:val="批注框文本 Char1"/>
    <w:qFormat/>
    <w:uiPriority w:val="99"/>
    <w:rPr>
      <w:rFonts w:ascii="Times New Roman" w:hAnsi="Times New Roman" w:eastAsia="宋体" w:cs="Times New Roman"/>
      <w:sz w:val="18"/>
      <w:szCs w:val="18"/>
    </w:rPr>
  </w:style>
  <w:style w:type="character" w:customStyle="1" w:styleId="145">
    <w:name w:val="bookmark-item"/>
    <w:qFormat/>
    <w:uiPriority w:val="0"/>
  </w:style>
  <w:style w:type="character" w:customStyle="1" w:styleId="146">
    <w:name w:val="正文文本 2 Char1"/>
    <w:qFormat/>
    <w:uiPriority w:val="0"/>
    <w:rPr>
      <w:rFonts w:ascii="宋体" w:hAnsi="Times New Roman" w:eastAsia="宋体" w:cs="Times New Roman"/>
      <w:color w:val="000000"/>
      <w:sz w:val="24"/>
      <w:szCs w:val="24"/>
    </w:rPr>
  </w:style>
  <w:style w:type="character" w:customStyle="1" w:styleId="147">
    <w:name w:val="font14zd"/>
    <w:qFormat/>
    <w:uiPriority w:val="0"/>
    <w:rPr>
      <w:rFonts w:ascii="Times New Roman" w:hAnsi="Times New Roman" w:eastAsia="宋体" w:cs="Times New Roman"/>
    </w:rPr>
  </w:style>
  <w:style w:type="paragraph" w:customStyle="1" w:styleId="148">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149">
    <w:name w:val="font7"/>
    <w:basedOn w:val="1"/>
    <w:qFormat/>
    <w:uiPriority w:val="0"/>
    <w:pPr>
      <w:widowControl/>
      <w:spacing w:before="100" w:beforeAutospacing="1" w:after="100" w:afterAutospacing="1" w:line="280" w:lineRule="exact"/>
      <w:jc w:val="left"/>
    </w:pPr>
    <w:rPr>
      <w:kern w:val="0"/>
      <w:sz w:val="20"/>
      <w:szCs w:val="20"/>
    </w:rPr>
  </w:style>
  <w:style w:type="paragraph" w:customStyle="1" w:styleId="15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1">
    <w:name w:val="xl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52">
    <w:name w:val="Char21"/>
    <w:basedOn w:val="1"/>
    <w:qFormat/>
    <w:uiPriority w:val="0"/>
    <w:pPr>
      <w:jc w:val="left"/>
    </w:pPr>
    <w:rPr>
      <w:rFonts w:ascii="仿宋_GB2312" w:hAnsi="宋体" w:eastAsia="仿宋_GB2312" w:cs="Arial"/>
      <w:b/>
      <w:sz w:val="32"/>
      <w:szCs w:val="32"/>
    </w:rPr>
  </w:style>
  <w:style w:type="paragraph" w:customStyle="1" w:styleId="153">
    <w:name w:val="font8"/>
    <w:basedOn w:val="1"/>
    <w:qFormat/>
    <w:uiPriority w:val="0"/>
    <w:pPr>
      <w:widowControl/>
      <w:spacing w:before="100" w:beforeAutospacing="1" w:after="100" w:afterAutospacing="1" w:line="280" w:lineRule="exact"/>
      <w:jc w:val="left"/>
    </w:pPr>
    <w:rPr>
      <w:b/>
      <w:bCs/>
      <w:kern w:val="0"/>
      <w:sz w:val="32"/>
      <w:szCs w:val="32"/>
    </w:rPr>
  </w:style>
  <w:style w:type="paragraph" w:customStyle="1" w:styleId="154">
    <w:name w:val="pa-1"/>
    <w:basedOn w:val="1"/>
    <w:qFormat/>
    <w:uiPriority w:val="0"/>
    <w:pPr>
      <w:widowControl/>
      <w:spacing w:before="100" w:beforeAutospacing="1" w:after="100" w:afterAutospacing="1"/>
      <w:jc w:val="left"/>
    </w:pPr>
    <w:rPr>
      <w:rFonts w:ascii="宋体" w:cs="宋体"/>
      <w:kern w:val="0"/>
      <w:sz w:val="24"/>
    </w:rPr>
  </w:style>
  <w:style w:type="paragraph" w:customStyle="1" w:styleId="15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kern w:val="0"/>
      <w:sz w:val="20"/>
      <w:szCs w:val="20"/>
    </w:rPr>
  </w:style>
  <w:style w:type="paragraph" w:customStyle="1" w:styleId="156">
    <w:name w:val="Char Char Char Char1"/>
    <w:basedOn w:val="1"/>
    <w:qFormat/>
    <w:uiPriority w:val="0"/>
    <w:pPr>
      <w:widowControl/>
      <w:spacing w:after="160" w:line="240" w:lineRule="exact"/>
      <w:jc w:val="left"/>
    </w:pPr>
    <w:rPr>
      <w:rFonts w:ascii="宋体" w:hAnsi="宋体" w:cs="Arial"/>
      <w:szCs w:val="21"/>
    </w:rPr>
  </w:style>
  <w:style w:type="paragraph" w:customStyle="1" w:styleId="157">
    <w:name w:val="xl89"/>
    <w:basedOn w:val="1"/>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58">
    <w:name w:val="p0"/>
    <w:basedOn w:val="1"/>
    <w:qFormat/>
    <w:uiPriority w:val="0"/>
    <w:pPr>
      <w:widowControl/>
    </w:pPr>
    <w:rPr>
      <w:kern w:val="0"/>
      <w:szCs w:val="21"/>
    </w:rPr>
  </w:style>
  <w:style w:type="paragraph" w:customStyle="1" w:styleId="1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160">
    <w:name w:val="xl86"/>
    <w:basedOn w:val="1"/>
    <w:qFormat/>
    <w:uiPriority w:val="0"/>
    <w:pPr>
      <w:widowControl/>
      <w:shd w:val="clear" w:color="000000" w:fill="FFFFFF"/>
      <w:spacing w:before="100" w:beforeAutospacing="1" w:after="100" w:afterAutospacing="1" w:line="280" w:lineRule="exact"/>
      <w:jc w:val="center"/>
    </w:pPr>
    <w:rPr>
      <w:b/>
      <w:bCs/>
      <w:kern w:val="0"/>
      <w:sz w:val="32"/>
      <w:szCs w:val="32"/>
    </w:rPr>
  </w:style>
  <w:style w:type="paragraph" w:customStyle="1" w:styleId="161">
    <w:name w:val="Char1 Char Char Char1"/>
    <w:basedOn w:val="1"/>
    <w:qFormat/>
    <w:uiPriority w:val="0"/>
    <w:pPr>
      <w:tabs>
        <w:tab w:val="left" w:pos="840"/>
      </w:tabs>
      <w:ind w:left="840" w:hanging="420"/>
      <w:jc w:val="left"/>
    </w:pPr>
    <w:rPr>
      <w:rFonts w:ascii="宋体" w:hAnsi="宋体" w:cs="Arial"/>
      <w:sz w:val="24"/>
    </w:rPr>
  </w:style>
  <w:style w:type="paragraph" w:customStyle="1" w:styleId="162">
    <w:name w:val="op_mapdots_left"/>
    <w:basedOn w:val="1"/>
    <w:qFormat/>
    <w:uiPriority w:val="0"/>
    <w:pPr>
      <w:widowControl/>
      <w:jc w:val="left"/>
    </w:pPr>
    <w:rPr>
      <w:rFonts w:ascii="宋体" w:cs="宋体"/>
      <w:kern w:val="0"/>
      <w:sz w:val="24"/>
    </w:rPr>
  </w:style>
  <w:style w:type="paragraph" w:customStyle="1" w:styleId="163">
    <w:name w:val="列出段落2"/>
    <w:basedOn w:val="1"/>
    <w:qFormat/>
    <w:uiPriority w:val="34"/>
    <w:pPr>
      <w:spacing w:line="300" w:lineRule="auto"/>
      <w:ind w:firstLine="420" w:firstLineChars="200"/>
    </w:pPr>
    <w:rPr>
      <w:rFonts w:ascii="宋体"/>
      <w:kern w:val="0"/>
      <w:sz w:val="24"/>
      <w:szCs w:val="20"/>
    </w:rPr>
  </w:style>
  <w:style w:type="paragraph" w:customStyle="1" w:styleId="164">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165">
    <w:name w:val="xl85"/>
    <w:basedOn w:val="1"/>
    <w:qFormat/>
    <w:uiPriority w:val="0"/>
    <w:pPr>
      <w:widowControl/>
      <w:pBdr>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66">
    <w:name w:val="msolistparagraph"/>
    <w:basedOn w:val="1"/>
    <w:qFormat/>
    <w:uiPriority w:val="0"/>
    <w:pPr>
      <w:spacing w:line="280" w:lineRule="exact"/>
      <w:ind w:firstLine="420" w:firstLineChars="200"/>
    </w:pPr>
    <w:rPr>
      <w:rFonts w:ascii="Calibri" w:hAnsi="Calibri"/>
      <w:sz w:val="22"/>
      <w:szCs w:val="22"/>
    </w:rPr>
  </w:style>
  <w:style w:type="paragraph" w:customStyle="1" w:styleId="167">
    <w:name w:val="xl9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168">
    <w:name w:val="Default"/>
    <w:next w:val="16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0">
    <w:name w:val="正文段"/>
    <w:basedOn w:val="1"/>
    <w:qFormat/>
    <w:uiPriority w:val="0"/>
    <w:pPr>
      <w:widowControl/>
      <w:snapToGrid w:val="0"/>
      <w:spacing w:afterLines="50"/>
      <w:ind w:firstLine="200" w:firstLineChars="200"/>
    </w:pPr>
    <w:rPr>
      <w:kern w:val="0"/>
      <w:sz w:val="24"/>
      <w:szCs w:val="20"/>
    </w:rPr>
  </w:style>
  <w:style w:type="paragraph" w:customStyle="1" w:styleId="171">
    <w:name w:val="xl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72">
    <w:name w:val="Char1"/>
    <w:basedOn w:val="1"/>
    <w:qFormat/>
    <w:uiPriority w:val="0"/>
    <w:rPr>
      <w:rFonts w:ascii="Tahoma" w:hAnsi="Tahoma"/>
      <w:sz w:val="24"/>
      <w:szCs w:val="20"/>
    </w:rPr>
  </w:style>
  <w:style w:type="paragraph" w:customStyle="1" w:styleId="17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74">
    <w:name w:val="纯文本1"/>
    <w:basedOn w:val="1"/>
    <w:qFormat/>
    <w:uiPriority w:val="0"/>
    <w:pPr>
      <w:spacing w:beforeLines="50" w:afterLines="50" w:line="400" w:lineRule="exact"/>
    </w:pPr>
    <w:rPr>
      <w:rFonts w:ascii="宋体" w:hAnsi="Courier New"/>
      <w:sz w:val="24"/>
    </w:rPr>
  </w:style>
  <w:style w:type="paragraph" w:customStyle="1" w:styleId="17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76">
    <w:name w:val="xl79"/>
    <w:basedOn w:val="1"/>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177">
    <w:name w:val="table_lines"/>
    <w:basedOn w:val="1"/>
    <w:qFormat/>
    <w:uiPriority w:val="0"/>
    <w:rPr>
      <w:szCs w:val="20"/>
    </w:rPr>
  </w:style>
  <w:style w:type="paragraph" w:customStyle="1" w:styleId="178">
    <w:name w:val="List Paragraph1"/>
    <w:basedOn w:val="1"/>
    <w:qFormat/>
    <w:uiPriority w:val="0"/>
    <w:pPr>
      <w:ind w:firstLine="420" w:firstLineChars="200"/>
    </w:pPr>
    <w:rPr>
      <w:rFonts w:ascii="Calibri" w:hAnsi="Calibri"/>
      <w:szCs w:val="21"/>
    </w:rPr>
  </w:style>
  <w:style w:type="paragraph" w:customStyle="1" w:styleId="179">
    <w:name w:val="xl80"/>
    <w:basedOn w:val="1"/>
    <w:qFormat/>
    <w:uiPriority w:val="0"/>
    <w:pPr>
      <w:widowControl/>
      <w:shd w:val="clear" w:color="000000" w:fill="FFFFFF"/>
      <w:spacing w:before="100" w:beforeAutospacing="1" w:after="100" w:afterAutospacing="1" w:line="280" w:lineRule="exact"/>
      <w:jc w:val="center"/>
    </w:pPr>
    <w:rPr>
      <w:kern w:val="0"/>
      <w:sz w:val="20"/>
      <w:szCs w:val="20"/>
    </w:rPr>
  </w:style>
  <w:style w:type="paragraph" w:customStyle="1" w:styleId="180">
    <w:name w:val="xl8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1">
    <w:name w:val="列出段落1"/>
    <w:basedOn w:val="1"/>
    <w:qFormat/>
    <w:uiPriority w:val="0"/>
    <w:pPr>
      <w:ind w:firstLine="200" w:firstLineChars="200"/>
    </w:pPr>
    <w:rPr>
      <w:rFonts w:ascii="Calibri" w:hAnsi="Calibri"/>
      <w:szCs w:val="22"/>
    </w:rPr>
  </w:style>
  <w:style w:type="paragraph" w:customStyle="1" w:styleId="182">
    <w:name w:val="xl81"/>
    <w:basedOn w:val="1"/>
    <w:qFormat/>
    <w:uiPriority w:val="0"/>
    <w:pPr>
      <w:widowControl/>
      <w:pBdr>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4">
    <w:name w:val="_Style 86"/>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5">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86">
    <w:name w:val="xl6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18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188">
    <w:name w:val="style9"/>
    <w:basedOn w:val="1"/>
    <w:qFormat/>
    <w:uiPriority w:val="0"/>
    <w:pPr>
      <w:widowControl/>
      <w:spacing w:before="100" w:beforeAutospacing="1" w:after="100" w:afterAutospacing="1"/>
      <w:jc w:val="left"/>
    </w:pPr>
    <w:rPr>
      <w:rFonts w:ascii="宋体" w:cs="宋体"/>
      <w:kern w:val="0"/>
      <w:sz w:val="24"/>
    </w:rPr>
  </w:style>
  <w:style w:type="paragraph" w:customStyle="1" w:styleId="189">
    <w:name w:val="xl8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0">
    <w:name w:val="xl84"/>
    <w:basedOn w:val="1"/>
    <w:qFormat/>
    <w:uiPriority w:val="0"/>
    <w:pPr>
      <w:widowControl/>
      <w:pBdr>
        <w:lef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1">
    <w:name w:val="333"/>
    <w:basedOn w:val="1"/>
    <w:qFormat/>
    <w:uiPriority w:val="0"/>
    <w:pPr>
      <w:adjustRightInd w:val="0"/>
      <w:spacing w:line="312" w:lineRule="atLeast"/>
      <w:textAlignment w:val="baseline"/>
    </w:pPr>
    <w:rPr>
      <w:kern w:val="0"/>
      <w:szCs w:val="20"/>
    </w:rPr>
  </w:style>
  <w:style w:type="paragraph" w:customStyle="1" w:styleId="192">
    <w:name w:val="Char1 Char Char Char"/>
    <w:basedOn w:val="1"/>
    <w:qFormat/>
    <w:uiPriority w:val="0"/>
    <w:pPr>
      <w:tabs>
        <w:tab w:val="left" w:pos="840"/>
      </w:tabs>
      <w:ind w:left="840" w:hanging="420"/>
    </w:pPr>
    <w:rPr>
      <w:sz w:val="24"/>
    </w:rPr>
  </w:style>
  <w:style w:type="paragraph" w:customStyle="1" w:styleId="193">
    <w:name w:val="纯文本2"/>
    <w:basedOn w:val="1"/>
    <w:qFormat/>
    <w:uiPriority w:val="0"/>
    <w:pPr>
      <w:spacing w:before="156" w:beforeLines="50" w:after="156" w:afterLines="50" w:line="400" w:lineRule="exact"/>
    </w:pPr>
    <w:rPr>
      <w:rFonts w:ascii="宋体" w:hAnsi="Courier New"/>
      <w:sz w:val="24"/>
    </w:rPr>
  </w:style>
  <w:style w:type="paragraph" w:customStyle="1" w:styleId="194">
    <w:name w:val="列出段落11"/>
    <w:basedOn w:val="1"/>
    <w:qFormat/>
    <w:uiPriority w:val="0"/>
    <w:pPr>
      <w:ind w:firstLine="200" w:firstLineChars="200"/>
      <w:jc w:val="left"/>
    </w:pPr>
    <w:rPr>
      <w:rFonts w:ascii="Calibri" w:hAnsi="Calibri" w:cs="Arial"/>
      <w:szCs w:val="22"/>
    </w:rPr>
  </w:style>
  <w:style w:type="paragraph" w:customStyle="1" w:styleId="195">
    <w:name w:val="_Style 188"/>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6">
    <w:name w:val="xl6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7">
    <w:name w:val="xl9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9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9">
    <w:name w:val="Char3"/>
    <w:basedOn w:val="1"/>
    <w:qFormat/>
    <w:uiPriority w:val="0"/>
    <w:pPr>
      <w:ind w:firstLine="200" w:firstLineChars="200"/>
      <w:jc w:val="left"/>
    </w:pPr>
    <w:rPr>
      <w:rFonts w:ascii="幼圆" w:hAnsi="宋体" w:eastAsia="幼圆" w:cs="幼圆"/>
      <w:sz w:val="24"/>
      <w:szCs w:val="21"/>
    </w:rPr>
  </w:style>
  <w:style w:type="paragraph" w:customStyle="1" w:styleId="200">
    <w:name w:val="xl9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01">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202">
    <w:name w:val="Char"/>
    <w:basedOn w:val="1"/>
    <w:qFormat/>
    <w:uiPriority w:val="0"/>
    <w:pPr>
      <w:ind w:firstLine="200" w:firstLineChars="200"/>
    </w:pPr>
    <w:rPr>
      <w:rFonts w:ascii="幼圆" w:eastAsia="幼圆" w:cs="幼圆"/>
      <w:sz w:val="24"/>
      <w:szCs w:val="20"/>
    </w:rPr>
  </w:style>
  <w:style w:type="paragraph" w:customStyle="1" w:styleId="203">
    <w:name w:val="table_1stline"/>
    <w:basedOn w:val="1"/>
    <w:qFormat/>
    <w:uiPriority w:val="0"/>
    <w:pPr>
      <w:spacing w:before="120"/>
    </w:pPr>
    <w:rPr>
      <w:bCs/>
      <w:szCs w:val="20"/>
    </w:rPr>
  </w:style>
  <w:style w:type="paragraph" w:customStyle="1" w:styleId="204">
    <w:name w:val="font9"/>
    <w:basedOn w:val="1"/>
    <w:qFormat/>
    <w:uiPriority w:val="0"/>
    <w:pPr>
      <w:widowControl/>
      <w:spacing w:before="100" w:beforeAutospacing="1" w:after="100" w:afterAutospacing="1" w:line="280" w:lineRule="exact"/>
      <w:jc w:val="left"/>
    </w:pPr>
    <w:rPr>
      <w:rFonts w:ascii="宋体" w:hAnsi="宋体" w:cs="宋体"/>
      <w:b/>
      <w:bCs/>
      <w:kern w:val="0"/>
      <w:sz w:val="32"/>
      <w:szCs w:val="32"/>
    </w:rPr>
  </w:style>
  <w:style w:type="paragraph" w:customStyle="1" w:styleId="205">
    <w:name w:val="UserStyle_66"/>
    <w:basedOn w:val="1"/>
    <w:qFormat/>
    <w:uiPriority w:val="0"/>
    <w:pPr>
      <w:spacing w:line="280" w:lineRule="exact"/>
    </w:pPr>
    <w:rPr>
      <w:kern w:val="0"/>
      <w:szCs w:val="21"/>
    </w:rPr>
  </w:style>
  <w:style w:type="paragraph" w:customStyle="1" w:styleId="206">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07">
    <w:name w:val="Char Char Char Char Char Char"/>
    <w:basedOn w:val="1"/>
    <w:qFormat/>
    <w:uiPriority w:val="0"/>
    <w:pPr>
      <w:ind w:firstLine="200" w:firstLineChars="200"/>
    </w:pPr>
    <w:rPr>
      <w:rFonts w:ascii="Tahoma" w:hAnsi="Tahoma"/>
      <w:sz w:val="24"/>
      <w:szCs w:val="20"/>
    </w:rPr>
  </w:style>
  <w:style w:type="paragraph" w:customStyle="1" w:styleId="20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09">
    <w:name w:val="xl7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10">
    <w:name w:val="p15"/>
    <w:basedOn w:val="1"/>
    <w:qFormat/>
    <w:uiPriority w:val="0"/>
    <w:pPr>
      <w:widowControl/>
    </w:pPr>
    <w:rPr>
      <w:kern w:val="0"/>
      <w:szCs w:val="21"/>
    </w:rPr>
  </w:style>
  <w:style w:type="paragraph" w:customStyle="1" w:styleId="211">
    <w:name w:val="zhouzhe jianjie txt"/>
    <w:basedOn w:val="1"/>
    <w:qFormat/>
    <w:uiPriority w:val="0"/>
    <w:pPr>
      <w:spacing w:line="240" w:lineRule="exact"/>
      <w:jc w:val="left"/>
    </w:pPr>
    <w:rPr>
      <w:rFonts w:ascii="宋体" w:hAnsi="宋体" w:eastAsia="Times New Roman" w:cs="Arial"/>
      <w:sz w:val="15"/>
      <w:szCs w:val="15"/>
    </w:rPr>
  </w:style>
  <w:style w:type="paragraph" w:customStyle="1" w:styleId="212">
    <w:name w:val="自由格式 A"/>
    <w:qFormat/>
    <w:uiPriority w:val="0"/>
    <w:rPr>
      <w:rFonts w:ascii="Helvetica" w:hAnsi="Helvetica" w:eastAsia="ヒラギノ角ゴ Pro W3" w:cs="Times New Roman"/>
      <w:color w:val="000000"/>
      <w:sz w:val="24"/>
      <w:lang w:val="en-US" w:eastAsia="zh-CN" w:bidi="ar-SA"/>
    </w:rPr>
  </w:style>
  <w:style w:type="paragraph" w:customStyle="1" w:styleId="213">
    <w:name w:val="Char Char Char Char"/>
    <w:basedOn w:val="1"/>
    <w:qFormat/>
    <w:uiPriority w:val="0"/>
    <w:pPr>
      <w:widowControl/>
      <w:spacing w:after="160" w:line="240" w:lineRule="exact"/>
      <w:jc w:val="left"/>
    </w:pPr>
    <w:rPr>
      <w:szCs w:val="20"/>
    </w:rPr>
  </w:style>
  <w:style w:type="paragraph" w:customStyle="1" w:styleId="214">
    <w:name w:val="_Style 77"/>
    <w:basedOn w:val="1"/>
    <w:next w:val="139"/>
    <w:qFormat/>
    <w:uiPriority w:val="34"/>
    <w:pPr>
      <w:tabs>
        <w:tab w:val="left" w:pos="360"/>
      </w:tabs>
      <w:spacing w:line="280" w:lineRule="exact"/>
      <w:ind w:left="360" w:hanging="360"/>
    </w:pPr>
    <w:rPr>
      <w:rFonts w:ascii="Calibri" w:hAnsi="Calibri"/>
      <w:szCs w:val="22"/>
    </w:rPr>
  </w:style>
  <w:style w:type="paragraph" w:customStyle="1" w:styleId="2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16">
    <w:name w:val="Char11"/>
    <w:basedOn w:val="1"/>
    <w:qFormat/>
    <w:uiPriority w:val="0"/>
  </w:style>
  <w:style w:type="paragraph" w:customStyle="1" w:styleId="217">
    <w:name w:val="tgt2"/>
    <w:basedOn w:val="1"/>
    <w:qFormat/>
    <w:uiPriority w:val="0"/>
    <w:pPr>
      <w:widowControl/>
      <w:spacing w:after="150" w:line="360" w:lineRule="auto"/>
      <w:jc w:val="left"/>
    </w:pPr>
    <w:rPr>
      <w:rFonts w:ascii="宋体" w:cs="宋体"/>
      <w:b/>
      <w:bCs/>
      <w:kern w:val="0"/>
      <w:sz w:val="36"/>
      <w:szCs w:val="36"/>
    </w:rPr>
  </w:style>
  <w:style w:type="paragraph" w:customStyle="1" w:styleId="218">
    <w:name w:val="font5"/>
    <w:basedOn w:val="1"/>
    <w:qFormat/>
    <w:uiPriority w:val="0"/>
    <w:pPr>
      <w:widowControl/>
      <w:spacing w:before="100" w:beforeAutospacing="1" w:after="100" w:afterAutospacing="1" w:line="280" w:lineRule="exact"/>
      <w:jc w:val="left"/>
    </w:pPr>
    <w:rPr>
      <w:rFonts w:ascii="宋体" w:hAnsi="宋体" w:cs="宋体"/>
      <w:kern w:val="0"/>
      <w:sz w:val="18"/>
      <w:szCs w:val="18"/>
    </w:rPr>
  </w:style>
  <w:style w:type="paragraph" w:customStyle="1" w:styleId="219">
    <w:name w:val="xl72"/>
    <w:basedOn w:val="1"/>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20">
    <w:name w:val="Char Char Char Char Char Char Char Char Char Char Char Char1 Char"/>
    <w:basedOn w:val="14"/>
    <w:qFormat/>
    <w:uiPriority w:val="0"/>
    <w:rPr>
      <w:rFonts w:ascii="Tahoma" w:hAnsi="Tahoma"/>
      <w:sz w:val="24"/>
    </w:rPr>
  </w:style>
  <w:style w:type="paragraph" w:customStyle="1" w:styleId="221">
    <w:name w:val="Char Char Char Char Char Char1"/>
    <w:basedOn w:val="1"/>
    <w:qFormat/>
    <w:uiPriority w:val="0"/>
    <w:pPr>
      <w:ind w:firstLine="200" w:firstLineChars="200"/>
      <w:jc w:val="left"/>
    </w:pPr>
    <w:rPr>
      <w:rFonts w:ascii="Tahoma" w:hAnsi="Tahoma" w:cs="Arial"/>
      <w:sz w:val="24"/>
      <w:szCs w:val="21"/>
    </w:rPr>
  </w:style>
  <w:style w:type="paragraph" w:customStyle="1" w:styleId="222">
    <w:name w:val="正文－恩普"/>
    <w:basedOn w:val="12"/>
    <w:qFormat/>
    <w:uiPriority w:val="0"/>
    <w:pPr>
      <w:widowControl/>
      <w:numPr>
        <w:numId w:val="0"/>
      </w:numPr>
      <w:tabs>
        <w:tab w:val="clear" w:pos="2040"/>
      </w:tabs>
      <w:spacing w:afterLines="50" w:line="360" w:lineRule="auto"/>
      <w:ind w:firstLine="480" w:firstLineChars="200"/>
      <w:jc w:val="left"/>
    </w:pPr>
    <w:rPr>
      <w:kern w:val="0"/>
      <w:sz w:val="24"/>
    </w:rPr>
  </w:style>
  <w:style w:type="paragraph" w:customStyle="1" w:styleId="223">
    <w:name w:val="默认段落字体 Para Char Char Char Char Char Char Char Char Char1 Char Char Char Char"/>
    <w:basedOn w:val="1"/>
    <w:qFormat/>
    <w:uiPriority w:val="0"/>
    <w:rPr>
      <w:rFonts w:ascii="Tahoma" w:hAnsi="Tahoma"/>
      <w:sz w:val="24"/>
      <w:szCs w:val="20"/>
    </w:rPr>
  </w:style>
  <w:style w:type="paragraph" w:customStyle="1" w:styleId="22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225">
    <w:name w:val="xl7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26">
    <w:name w:val="xl73"/>
    <w:basedOn w:val="1"/>
    <w:qFormat/>
    <w:uiPriority w:val="0"/>
    <w:pPr>
      <w:widowControl/>
      <w:pBdr>
        <w:top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27">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28">
    <w:name w:val="Char2"/>
    <w:basedOn w:val="1"/>
    <w:qFormat/>
    <w:uiPriority w:val="0"/>
    <w:rPr>
      <w:rFonts w:ascii="仿宋_GB2312" w:eastAsia="仿宋_GB2312"/>
      <w:b/>
      <w:sz w:val="32"/>
      <w:szCs w:val="32"/>
    </w:rPr>
  </w:style>
  <w:style w:type="paragraph" w:customStyle="1" w:styleId="229">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30">
    <w:name w:val="xl65"/>
    <w:basedOn w:val="1"/>
    <w:qFormat/>
    <w:uiPriority w:val="0"/>
    <w:pPr>
      <w:widowControl/>
      <w:shd w:val="clear" w:color="000000" w:fill="FFFFFF"/>
      <w:spacing w:before="100" w:beforeAutospacing="1" w:after="100" w:afterAutospacing="1" w:line="280" w:lineRule="exact"/>
      <w:jc w:val="left"/>
    </w:pPr>
    <w:rPr>
      <w:kern w:val="0"/>
      <w:sz w:val="20"/>
      <w:szCs w:val="20"/>
    </w:rPr>
  </w:style>
  <w:style w:type="paragraph" w:customStyle="1" w:styleId="231">
    <w:name w:val="xl92"/>
    <w:basedOn w:val="1"/>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32">
    <w:name w:val="font6"/>
    <w:basedOn w:val="1"/>
    <w:qFormat/>
    <w:uiPriority w:val="0"/>
    <w:pPr>
      <w:widowControl/>
      <w:spacing w:before="100" w:beforeAutospacing="1" w:after="100" w:afterAutospacing="1" w:line="280" w:lineRule="exact"/>
      <w:jc w:val="left"/>
    </w:pPr>
    <w:rPr>
      <w:rFonts w:ascii="宋体" w:hAnsi="宋体" w:cs="宋体"/>
      <w:kern w:val="0"/>
      <w:sz w:val="20"/>
      <w:szCs w:val="20"/>
    </w:rPr>
  </w:style>
  <w:style w:type="paragraph" w:customStyle="1" w:styleId="233">
    <w:name w:val="_Style 148"/>
    <w:basedOn w:val="1"/>
    <w:next w:val="139"/>
    <w:qFormat/>
    <w:uiPriority w:val="34"/>
    <w:pPr>
      <w:numPr>
        <w:ilvl w:val="0"/>
        <w:numId w:val="8"/>
      </w:numPr>
    </w:pPr>
    <w:rPr>
      <w:rFonts w:ascii="Calibri" w:hAnsi="Calibri"/>
      <w:szCs w:val="22"/>
    </w:rPr>
  </w:style>
  <w:style w:type="paragraph" w:customStyle="1" w:styleId="234">
    <w:name w:val="Char Char Char Char Char Char Char Char Char Char Char Char1 Char1"/>
    <w:basedOn w:val="14"/>
    <w:qFormat/>
    <w:uiPriority w:val="0"/>
    <w:pPr>
      <w:jc w:val="left"/>
    </w:pPr>
    <w:rPr>
      <w:rFonts w:ascii="Tahoma" w:hAnsi="Tahoma" w:cs="Arial"/>
      <w:sz w:val="24"/>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236">
    <w:name w:val="表格文字"/>
    <w:basedOn w:val="1"/>
    <w:next w:val="3"/>
    <w:qFormat/>
    <w:uiPriority w:val="0"/>
    <w:pPr>
      <w:adjustRightInd w:val="0"/>
      <w:spacing w:line="420" w:lineRule="atLeast"/>
      <w:jc w:val="left"/>
      <w:textAlignment w:val="baseline"/>
    </w:pPr>
    <w:rPr>
      <w:kern w:val="0"/>
    </w:rPr>
  </w:style>
  <w:style w:type="paragraph" w:customStyle="1" w:styleId="23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San-Elepow CON.</Company>
  <Pages>49</Pages>
  <Words>24136</Words>
  <Characters>25396</Characters>
  <Lines>217</Lines>
  <Paragraphs>61</Paragraphs>
  <TotalTime>8</TotalTime>
  <ScaleCrop>false</ScaleCrop>
  <LinksUpToDate>false</LinksUpToDate>
  <CharactersWithSpaces>28236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2022-01-15T16:40:00Z</dcterms:created>
  <dc:creator>yan</dc:creator>
  <cp:lastModifiedBy>Janove</cp:lastModifiedBy>
  <cp:lastPrinted>2022-12-20T09:48:00Z</cp:lastPrinted>
  <dcterms:modified xsi:type="dcterms:W3CDTF">2022-12-22T14:09:47Z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27C25B0A8B5043AD92F5E91E33AA02E5</vt:lpwstr>
  </property>
</Properties>
</file>