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C40ED">
      <w:pPr>
        <w:spacing w:line="360" w:lineRule="auto"/>
        <w:jc w:val="center"/>
        <w:rPr>
          <w:rFonts w:hint="eastAsia" w:ascii="宋体" w:hAnsi="宋体" w:cs="宋体"/>
          <w:b/>
          <w:color w:val="auto"/>
          <w:sz w:val="24"/>
          <w:highlight w:val="none"/>
        </w:rPr>
      </w:pPr>
    </w:p>
    <w:p w14:paraId="6A2E3F23">
      <w:pPr>
        <w:adjustRightInd/>
        <w:spacing w:line="360" w:lineRule="auto"/>
        <w:jc w:val="center"/>
        <w:rPr>
          <w:rFonts w:hint="eastAsia" w:ascii="宋体" w:hAnsi="宋体" w:cs="宋体"/>
          <w:b/>
          <w:color w:val="auto"/>
          <w:sz w:val="48"/>
          <w:szCs w:val="48"/>
          <w:highlight w:val="none"/>
        </w:rPr>
      </w:pPr>
    </w:p>
    <w:p w14:paraId="290F9DC2">
      <w:pPr>
        <w:rPr>
          <w:color w:val="auto"/>
          <w:highlight w:val="none"/>
        </w:rPr>
      </w:pPr>
    </w:p>
    <w:p w14:paraId="72E9A6FE">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招标文件 （货物）</w:t>
      </w:r>
    </w:p>
    <w:p w14:paraId="6EA9EB53">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A72DE56">
      <w:pPr>
        <w:snapToGrid w:val="0"/>
        <w:spacing w:line="360" w:lineRule="auto"/>
        <w:jc w:val="left"/>
        <w:rPr>
          <w:rFonts w:hint="eastAsia" w:ascii="宋体" w:hAnsi="宋体" w:cs="宋体"/>
          <w:color w:val="auto"/>
          <w:sz w:val="30"/>
          <w:szCs w:val="30"/>
          <w:highlight w:val="none"/>
        </w:rPr>
      </w:pPr>
    </w:p>
    <w:p w14:paraId="0942B4F6">
      <w:pPr>
        <w:snapToGrid w:val="0"/>
        <w:spacing w:line="360" w:lineRule="auto"/>
        <w:jc w:val="left"/>
        <w:rPr>
          <w:rFonts w:hint="eastAsia" w:ascii="宋体" w:hAnsi="宋体" w:cs="宋体"/>
          <w:color w:val="auto"/>
          <w:sz w:val="30"/>
          <w:szCs w:val="30"/>
          <w:highlight w:val="none"/>
        </w:rPr>
      </w:pPr>
    </w:p>
    <w:p w14:paraId="2D1D1932">
      <w:pPr>
        <w:snapToGrid w:val="0"/>
        <w:spacing w:line="360" w:lineRule="auto"/>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CBNB-20256415G</w:t>
      </w:r>
      <w:r>
        <w:rPr>
          <w:rFonts w:hint="eastAsia" w:ascii="宋体" w:hAnsi="宋体" w:cs="宋体"/>
          <w:color w:val="auto"/>
          <w:sz w:val="30"/>
          <w:szCs w:val="30"/>
          <w:highlight w:val="none"/>
        </w:rPr>
        <w:t xml:space="preserve">   </w:t>
      </w:r>
    </w:p>
    <w:p w14:paraId="1047D55B">
      <w:pPr>
        <w:snapToGrid w:val="0"/>
        <w:spacing w:line="360" w:lineRule="auto"/>
        <w:jc w:val="left"/>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项目名称：</w:t>
      </w:r>
      <w:r>
        <w:rPr>
          <w:rFonts w:hint="eastAsia" w:ascii="宋体" w:hAnsi="宋体" w:cs="宋体"/>
          <w:color w:val="auto"/>
          <w:sz w:val="30"/>
          <w:szCs w:val="30"/>
          <w:highlight w:val="none"/>
          <w:lang w:eastAsia="zh-CN"/>
        </w:rPr>
        <w:t>宁海县总工会2025年高温慰问品采购项目</w:t>
      </w:r>
    </w:p>
    <w:p w14:paraId="58FF5EDB">
      <w:pPr>
        <w:adjustRightInd/>
        <w:spacing w:line="360" w:lineRule="auto"/>
        <w:rPr>
          <w:rFonts w:hint="eastAsia" w:ascii="宋体" w:hAnsi="宋体" w:cs="宋体"/>
          <w:color w:val="auto"/>
          <w:sz w:val="28"/>
          <w:szCs w:val="20"/>
          <w:highlight w:val="none"/>
        </w:rPr>
      </w:pPr>
    </w:p>
    <w:p w14:paraId="5765C2CF">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26FBA6C">
      <w:pPr>
        <w:spacing w:line="360" w:lineRule="auto"/>
        <w:jc w:val="center"/>
        <w:rPr>
          <w:rFonts w:hint="eastAsia" w:ascii="宋体" w:hAnsi="宋体" w:cs="宋体"/>
          <w:b/>
          <w:color w:val="auto"/>
          <w:sz w:val="44"/>
          <w:szCs w:val="44"/>
          <w:highlight w:val="none"/>
        </w:rPr>
      </w:pPr>
    </w:p>
    <w:p w14:paraId="53AD9D01">
      <w:pPr>
        <w:spacing w:line="360" w:lineRule="auto"/>
        <w:jc w:val="center"/>
        <w:rPr>
          <w:rFonts w:hint="eastAsia" w:ascii="宋体" w:hAnsi="宋体" w:cs="宋体"/>
          <w:color w:val="auto"/>
          <w:sz w:val="24"/>
          <w:highlight w:val="none"/>
        </w:rPr>
      </w:pPr>
    </w:p>
    <w:p w14:paraId="62D50C6E">
      <w:pPr>
        <w:spacing w:line="360" w:lineRule="auto"/>
        <w:rPr>
          <w:rFonts w:hint="eastAsia" w:ascii="宋体" w:hAnsi="宋体" w:cs="宋体"/>
          <w:color w:val="auto"/>
          <w:sz w:val="32"/>
          <w:szCs w:val="32"/>
          <w:highlight w:val="none"/>
        </w:rPr>
      </w:pPr>
    </w:p>
    <w:p w14:paraId="6CECEB4C">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采购人：</w:t>
      </w:r>
      <w:r>
        <w:rPr>
          <w:rFonts w:hint="eastAsia" w:ascii="宋体" w:hAnsi="宋体" w:cs="宋体"/>
          <w:bCs/>
          <w:color w:val="auto"/>
          <w:sz w:val="32"/>
          <w:szCs w:val="32"/>
          <w:highlight w:val="none"/>
          <w:lang w:eastAsia="zh-CN"/>
        </w:rPr>
        <w:t>宁海县总工会</w:t>
      </w:r>
    </w:p>
    <w:p w14:paraId="676283C4">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宁波中基国际招标有限公司</w:t>
      </w:r>
    </w:p>
    <w:p w14:paraId="1AA35494">
      <w:pPr>
        <w:snapToGrid w:val="0"/>
        <w:spacing w:line="360" w:lineRule="auto"/>
        <w:jc w:val="center"/>
        <w:rPr>
          <w:rFonts w:hint="eastAsia" w:ascii="宋体" w:hAnsi="宋体" w:cs="宋体"/>
          <w:bCs/>
          <w:color w:val="auto"/>
          <w:sz w:val="32"/>
          <w:szCs w:val="32"/>
          <w:highlight w:val="none"/>
        </w:rPr>
      </w:pPr>
    </w:p>
    <w:p w14:paraId="20617C0A">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707A2C6C">
      <w:pPr>
        <w:rPr>
          <w:rFonts w:hint="eastAsia" w:ascii="宋体" w:hAnsi="宋体" w:cs="宋体"/>
          <w:color w:val="auto"/>
          <w:sz w:val="24"/>
          <w:highlight w:val="none"/>
        </w:rPr>
      </w:pPr>
      <w:r>
        <w:rPr>
          <w:rFonts w:hint="eastAsia" w:ascii="宋体" w:hAnsi="宋体" w:cs="宋体"/>
          <w:color w:val="auto"/>
          <w:sz w:val="24"/>
          <w:highlight w:val="none"/>
        </w:rPr>
        <w:br w:type="page"/>
      </w:r>
    </w:p>
    <w:p w14:paraId="5F0FD2D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9B73A4C">
      <w:pPr>
        <w:spacing w:line="360" w:lineRule="auto"/>
        <w:jc w:val="center"/>
        <w:rPr>
          <w:rFonts w:hint="eastAsia" w:ascii="宋体" w:hAnsi="宋体" w:cs="宋体"/>
          <w:color w:val="auto"/>
          <w:sz w:val="24"/>
          <w:highlight w:val="none"/>
        </w:rPr>
      </w:pPr>
    </w:p>
    <w:p w14:paraId="3BEB4CAE">
      <w:pPr>
        <w:spacing w:line="360" w:lineRule="auto"/>
        <w:jc w:val="center"/>
        <w:rPr>
          <w:rFonts w:hint="eastAsia" w:ascii="宋体" w:hAnsi="宋体" w:cs="宋体"/>
          <w:b/>
          <w:color w:val="auto"/>
          <w:sz w:val="48"/>
          <w:szCs w:val="48"/>
          <w:highlight w:val="none"/>
        </w:rPr>
      </w:pPr>
    </w:p>
    <w:p w14:paraId="17E43B2F">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sdt>
      <w:sdtPr>
        <w:rPr>
          <w:rFonts w:ascii="宋体" w:hAnsi="宋体"/>
          <w:color w:val="auto"/>
          <w:highlight w:val="none"/>
        </w:rPr>
        <w:id w:val="147454320"/>
        <w15:color w:val="DBDBDB"/>
        <w:docPartObj>
          <w:docPartGallery w:val="Table of Contents"/>
          <w:docPartUnique/>
        </w:docPartObj>
      </w:sdtPr>
      <w:sdtEndPr>
        <w:rPr>
          <w:rFonts w:ascii="宋体" w:hAnsi="宋体" w:cs="宋体"/>
          <w:color w:val="auto"/>
          <w:szCs w:val="32"/>
          <w:highlight w:val="none"/>
        </w:rPr>
      </w:sdtEndPr>
      <w:sdtContent>
        <w:p w14:paraId="2B63B62C">
          <w:pPr>
            <w:jc w:val="center"/>
            <w:rPr>
              <w:color w:val="auto"/>
              <w:highlight w:val="none"/>
            </w:rPr>
          </w:pPr>
        </w:p>
        <w:p w14:paraId="718E158F">
          <w:pPr>
            <w:pStyle w:val="43"/>
            <w:tabs>
              <w:tab w:val="right" w:leader="dot" w:pos="9070"/>
            </w:tabs>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TOC \o "1-1" \h \u </w:instrText>
          </w:r>
          <w:r>
            <w:rPr>
              <w:rFonts w:hint="eastAsia" w:ascii="宋体" w:hAnsi="宋体"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"_Toc9238" </w:instrText>
          </w:r>
          <w:r>
            <w:rPr>
              <w:color w:val="auto"/>
              <w:highlight w:val="none"/>
            </w:rPr>
            <w:fldChar w:fldCharType="separate"/>
          </w:r>
          <w:r>
            <w:rPr>
              <w:rFonts w:hint="eastAsia" w:ascii="宋体" w:hAnsi="宋体" w:cs="宋体"/>
              <w:color w:val="auto"/>
              <w:sz w:val="32"/>
              <w:szCs w:val="32"/>
              <w:highlight w:val="none"/>
            </w:rPr>
            <w:t>第一部分  招标公告</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_Toc9238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1</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4901C95B">
          <w:pPr>
            <w:pStyle w:val="43"/>
            <w:tabs>
              <w:tab w:val="right" w:leader="dot" w:pos="9070"/>
            </w:tabs>
            <w:spacing w:line="360" w:lineRule="auto"/>
            <w:rPr>
              <w:rFonts w:hint="eastAsia"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"_Toc29691" </w:instrText>
          </w:r>
          <w:r>
            <w:rPr>
              <w:color w:val="auto"/>
              <w:highlight w:val="none"/>
            </w:rPr>
            <w:fldChar w:fldCharType="separate"/>
          </w:r>
          <w:r>
            <w:rPr>
              <w:rFonts w:hint="eastAsia" w:ascii="宋体" w:hAnsi="宋体" w:cs="宋体"/>
              <w:color w:val="auto"/>
              <w:sz w:val="32"/>
              <w:szCs w:val="32"/>
              <w:highlight w:val="none"/>
            </w:rPr>
            <w:t>第二部分  供应商须知</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_Toc29691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6</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26A50992">
          <w:pPr>
            <w:pStyle w:val="43"/>
            <w:tabs>
              <w:tab w:val="right" w:leader="dot" w:pos="9070"/>
            </w:tabs>
            <w:spacing w:line="360" w:lineRule="auto"/>
            <w:rPr>
              <w:rFonts w:hint="eastAsia"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"_Toc26044" </w:instrText>
          </w:r>
          <w:r>
            <w:rPr>
              <w:color w:val="auto"/>
              <w:highlight w:val="none"/>
            </w:rPr>
            <w:fldChar w:fldCharType="separate"/>
          </w:r>
          <w:r>
            <w:rPr>
              <w:rFonts w:hint="eastAsia" w:ascii="宋体" w:hAnsi="宋体" w:cs="宋体"/>
              <w:color w:val="auto"/>
              <w:sz w:val="32"/>
              <w:szCs w:val="32"/>
              <w:highlight w:val="none"/>
            </w:rPr>
            <w:t>第三部分  采购需求</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_Toc26044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22</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13BCD214">
          <w:pPr>
            <w:pStyle w:val="43"/>
            <w:tabs>
              <w:tab w:val="right" w:leader="dot" w:pos="9070"/>
            </w:tabs>
            <w:spacing w:line="360" w:lineRule="auto"/>
            <w:rPr>
              <w:rFonts w:hint="eastAsia" w:ascii="宋体" w:hAnsi="宋体" w:cs="宋体"/>
              <w:color w:val="auto"/>
              <w:sz w:val="32"/>
              <w:szCs w:val="32"/>
              <w:highlight w:val="none"/>
            </w:rPr>
          </w:pPr>
          <w:r>
            <w:rPr>
              <w:color w:val="auto"/>
              <w:highlight w:val="none"/>
            </w:rPr>
            <w:fldChar w:fldCharType="begin"/>
          </w:r>
          <w:r>
            <w:rPr>
              <w:color w:val="auto"/>
              <w:highlight w:val="none"/>
            </w:rPr>
            <w:instrText xml:space="preserve"> HYPERLINK \l "_Toc18651" </w:instrText>
          </w:r>
          <w:r>
            <w:rPr>
              <w:color w:val="auto"/>
              <w:highlight w:val="none"/>
            </w:rPr>
            <w:fldChar w:fldCharType="separate"/>
          </w:r>
          <w:r>
            <w:rPr>
              <w:rFonts w:hint="eastAsia" w:ascii="宋体" w:hAnsi="宋体" w:cs="宋体"/>
              <w:color w:val="auto"/>
              <w:sz w:val="32"/>
              <w:szCs w:val="32"/>
              <w:highlight w:val="none"/>
            </w:rPr>
            <w:t>第四部分  评标办法</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_Toc18651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33</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1B440CE7">
          <w:pPr>
            <w:pStyle w:val="43"/>
            <w:tabs>
              <w:tab w:val="right" w:leader="dot" w:pos="9070"/>
            </w:tabs>
            <w:spacing w:line="360" w:lineRule="auto"/>
            <w:rPr>
              <w:rFonts w:hint="eastAsia" w:ascii="宋体" w:hAnsi="宋体" w:cs="宋体"/>
              <w:color w:val="auto"/>
              <w:sz w:val="32"/>
              <w:szCs w:val="32"/>
              <w:highlight w:val="none"/>
            </w:rPr>
          </w:pPr>
          <w:r>
            <w:rPr>
              <w:color w:val="auto"/>
              <w:highlight w:val="none"/>
            </w:rPr>
            <w:fldChar w:fldCharType="begin"/>
          </w:r>
          <w:r>
            <w:rPr>
              <w:color w:val="auto"/>
              <w:highlight w:val="none"/>
            </w:rPr>
            <w:instrText xml:space="preserve"> HYPERLINK \l "_Toc8264" </w:instrText>
          </w:r>
          <w:r>
            <w:rPr>
              <w:color w:val="auto"/>
              <w:highlight w:val="none"/>
            </w:rPr>
            <w:fldChar w:fldCharType="separate"/>
          </w:r>
          <w:r>
            <w:rPr>
              <w:rFonts w:hint="eastAsia" w:ascii="宋体" w:hAnsi="宋体" w:cs="宋体"/>
              <w:color w:val="auto"/>
              <w:sz w:val="32"/>
              <w:szCs w:val="32"/>
              <w:highlight w:val="none"/>
            </w:rPr>
            <w:t>第五部分  拟签订的合同文本</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_Toc8264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42</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3DB155B2">
          <w:pPr>
            <w:pStyle w:val="43"/>
            <w:tabs>
              <w:tab w:val="right" w:leader="dot" w:pos="9070"/>
            </w:tabs>
            <w:spacing w:line="360" w:lineRule="auto"/>
            <w:rPr>
              <w:rFonts w:hint="eastAsia"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"_Toc22993" </w:instrText>
          </w:r>
          <w:r>
            <w:rPr>
              <w:color w:val="auto"/>
              <w:highlight w:val="none"/>
            </w:rPr>
            <w:fldChar w:fldCharType="separate"/>
          </w:r>
          <w:r>
            <w:rPr>
              <w:rFonts w:hint="eastAsia" w:ascii="宋体" w:hAnsi="宋体" w:cs="宋体"/>
              <w:color w:val="auto"/>
              <w:sz w:val="32"/>
              <w:szCs w:val="32"/>
              <w:highlight w:val="none"/>
            </w:rPr>
            <w:t>第六部分  应提交的有关格式范例</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_Toc22993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52</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25BAD815">
          <w:pPr>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end"/>
          </w:r>
        </w:p>
      </w:sdtContent>
    </w:sdt>
    <w:p w14:paraId="5A446027">
      <w:pPr>
        <w:spacing w:line="360" w:lineRule="auto"/>
        <w:rPr>
          <w:rFonts w:hint="eastAsia" w:ascii="宋体" w:hAnsi="宋体" w:cs="宋体"/>
          <w:color w:val="auto"/>
          <w:sz w:val="32"/>
          <w:szCs w:val="32"/>
          <w:highlight w:val="none"/>
        </w:rPr>
      </w:pPr>
    </w:p>
    <w:p w14:paraId="1DF553A2">
      <w:pPr>
        <w:spacing w:line="360" w:lineRule="auto"/>
        <w:rPr>
          <w:rFonts w:hint="eastAsia" w:ascii="宋体" w:hAnsi="宋体" w:cs="宋体"/>
          <w:color w:val="auto"/>
          <w:sz w:val="32"/>
          <w:szCs w:val="32"/>
          <w:highlight w:val="none"/>
        </w:rPr>
      </w:pPr>
    </w:p>
    <w:p w14:paraId="07379088">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09C6278F">
      <w:pPr>
        <w:spacing w:line="360" w:lineRule="auto"/>
        <w:ind w:firstLine="549" w:firstLineChars="229"/>
        <w:rPr>
          <w:rFonts w:hint="eastAsia" w:ascii="宋体" w:hAnsi="宋体" w:cs="宋体"/>
          <w:color w:val="auto"/>
          <w:sz w:val="24"/>
          <w:highlight w:val="none"/>
        </w:rPr>
      </w:pPr>
    </w:p>
    <w:p w14:paraId="0D2EF6D0">
      <w:pPr>
        <w:spacing w:line="360" w:lineRule="auto"/>
        <w:ind w:firstLine="549" w:firstLineChars="229"/>
        <w:rPr>
          <w:rFonts w:hint="eastAsia" w:ascii="宋体" w:hAnsi="宋体" w:cs="宋体"/>
          <w:color w:val="auto"/>
          <w:sz w:val="24"/>
          <w:highlight w:val="none"/>
        </w:rPr>
      </w:pPr>
    </w:p>
    <w:p w14:paraId="2BAEC0A8">
      <w:pPr>
        <w:spacing w:line="360" w:lineRule="auto"/>
        <w:ind w:firstLine="549" w:firstLineChars="229"/>
        <w:rPr>
          <w:rFonts w:hint="eastAsia" w:ascii="宋体" w:hAnsi="宋体" w:cs="宋体"/>
          <w:color w:val="auto"/>
          <w:sz w:val="24"/>
          <w:highlight w:val="none"/>
        </w:rPr>
      </w:pPr>
    </w:p>
    <w:p w14:paraId="22B686E3">
      <w:pPr>
        <w:spacing w:line="360" w:lineRule="auto"/>
        <w:ind w:firstLine="549" w:firstLineChars="229"/>
        <w:rPr>
          <w:rFonts w:hint="eastAsia" w:ascii="宋体" w:hAnsi="宋体" w:cs="宋体"/>
          <w:color w:val="auto"/>
          <w:sz w:val="24"/>
          <w:highlight w:val="none"/>
        </w:rPr>
      </w:pPr>
    </w:p>
    <w:p w14:paraId="4F6D9E75">
      <w:pPr>
        <w:spacing w:line="360" w:lineRule="auto"/>
        <w:ind w:firstLine="549" w:firstLineChars="229"/>
        <w:rPr>
          <w:rFonts w:hint="eastAsia" w:ascii="宋体" w:hAnsi="宋体" w:cs="宋体"/>
          <w:color w:val="auto"/>
          <w:sz w:val="24"/>
          <w:highlight w:val="none"/>
        </w:rPr>
      </w:pPr>
    </w:p>
    <w:p w14:paraId="158B51A7">
      <w:pPr>
        <w:spacing w:line="360" w:lineRule="auto"/>
        <w:ind w:firstLine="549" w:firstLineChars="229"/>
        <w:rPr>
          <w:rFonts w:hint="eastAsia" w:ascii="宋体" w:hAnsi="宋体" w:cs="宋体"/>
          <w:color w:val="auto"/>
          <w:sz w:val="24"/>
          <w:highlight w:val="none"/>
        </w:rPr>
      </w:pPr>
    </w:p>
    <w:p w14:paraId="1EC617B9">
      <w:pPr>
        <w:spacing w:line="360" w:lineRule="auto"/>
        <w:ind w:firstLine="549" w:firstLineChars="229"/>
        <w:rPr>
          <w:rFonts w:hint="eastAsia" w:ascii="宋体" w:hAnsi="宋体" w:cs="宋体"/>
          <w:color w:val="auto"/>
          <w:sz w:val="24"/>
          <w:highlight w:val="none"/>
        </w:rPr>
      </w:pPr>
    </w:p>
    <w:p w14:paraId="76AAFF16">
      <w:pPr>
        <w:spacing w:line="360" w:lineRule="auto"/>
        <w:ind w:firstLine="549" w:firstLineChars="229"/>
        <w:rPr>
          <w:rFonts w:hint="eastAsia" w:ascii="宋体" w:hAnsi="宋体" w:cs="宋体"/>
          <w:color w:val="auto"/>
          <w:sz w:val="24"/>
          <w:highlight w:val="none"/>
        </w:rPr>
      </w:pPr>
    </w:p>
    <w:p w14:paraId="17CA0422">
      <w:pPr>
        <w:spacing w:line="360" w:lineRule="auto"/>
        <w:ind w:firstLine="549" w:firstLineChars="229"/>
        <w:rPr>
          <w:rFonts w:hint="eastAsia" w:ascii="宋体" w:hAnsi="宋体" w:cs="宋体"/>
          <w:color w:val="auto"/>
          <w:sz w:val="24"/>
          <w:highlight w:val="none"/>
        </w:rPr>
      </w:pPr>
    </w:p>
    <w:p w14:paraId="789FB1AB">
      <w:pPr>
        <w:spacing w:line="360" w:lineRule="auto"/>
        <w:ind w:firstLine="549" w:firstLineChars="229"/>
        <w:rPr>
          <w:rFonts w:hint="eastAsia" w:ascii="宋体" w:hAnsi="宋体" w:cs="宋体"/>
          <w:color w:val="auto"/>
          <w:sz w:val="24"/>
          <w:highlight w:val="none"/>
        </w:rPr>
      </w:pPr>
    </w:p>
    <w:p w14:paraId="4579B463">
      <w:pPr>
        <w:spacing w:line="360" w:lineRule="auto"/>
        <w:ind w:firstLine="549" w:firstLineChars="229"/>
        <w:rPr>
          <w:rFonts w:hint="eastAsia" w:ascii="宋体" w:hAnsi="宋体" w:cs="宋体"/>
          <w:color w:val="auto"/>
          <w:sz w:val="24"/>
          <w:highlight w:val="none"/>
        </w:rPr>
      </w:pPr>
    </w:p>
    <w:p w14:paraId="29CD6A50">
      <w:pPr>
        <w:spacing w:line="360" w:lineRule="auto"/>
        <w:ind w:firstLine="549" w:firstLineChars="229"/>
        <w:rPr>
          <w:rFonts w:hint="eastAsia" w:ascii="宋体" w:hAnsi="宋体" w:cs="宋体"/>
          <w:color w:val="auto"/>
          <w:sz w:val="24"/>
          <w:highlight w:val="none"/>
        </w:rPr>
      </w:pPr>
    </w:p>
    <w:p w14:paraId="0F7F1B54">
      <w:pPr>
        <w:spacing w:line="360" w:lineRule="auto"/>
        <w:rPr>
          <w:rFonts w:hint="eastAsia" w:ascii="宋体" w:hAnsi="宋体" w:cs="宋体"/>
          <w:color w:val="auto"/>
          <w:sz w:val="24"/>
          <w:highlight w:val="none"/>
        </w:rPr>
      </w:pPr>
    </w:p>
    <w:bookmarkEnd w:id="2"/>
    <w:p w14:paraId="164615E2">
      <w:pPr>
        <w:rPr>
          <w:rFonts w:hint="eastAsia" w:ascii="宋体" w:hAnsi="宋体" w:cs="宋体"/>
          <w:b/>
          <w:color w:val="auto"/>
          <w:sz w:val="36"/>
          <w:szCs w:val="20"/>
          <w:highlight w:val="none"/>
        </w:rPr>
      </w:pPr>
      <w:bookmarkStart w:id="3" w:name="_Hlt74649545"/>
      <w:bookmarkEnd w:id="3"/>
      <w:bookmarkStart w:id="4" w:name="_Hlt74707423"/>
      <w:bookmarkEnd w:id="4"/>
      <w:bookmarkStart w:id="5" w:name="_Hlt74729822"/>
      <w:bookmarkEnd w:id="5"/>
      <w:bookmarkStart w:id="6" w:name="_Hlt74728647"/>
      <w:bookmarkEnd w:id="6"/>
      <w:bookmarkStart w:id="7" w:name="第二部分"/>
      <w:bookmarkStart w:id="8" w:name="_Toc91899870"/>
      <w:bookmarkStart w:id="9" w:name="_Toc91899871"/>
      <w:r>
        <w:rPr>
          <w:rFonts w:hint="eastAsia" w:ascii="宋体" w:hAnsi="宋体" w:cs="宋体"/>
          <w:b/>
          <w:color w:val="auto"/>
          <w:sz w:val="36"/>
          <w:szCs w:val="20"/>
          <w:highlight w:val="none"/>
        </w:rPr>
        <w:br w:type="page"/>
      </w:r>
    </w:p>
    <w:p w14:paraId="2000EE8C">
      <w:pPr>
        <w:rPr>
          <w:color w:val="auto"/>
          <w:highlight w:val="none"/>
        </w:rPr>
      </w:pPr>
      <w:r>
        <w:rPr>
          <w:rFonts w:hint="eastAsia"/>
          <w:color w:val="auto"/>
          <w:highlight w:val="none"/>
        </w:rPr>
        <w:br w:type="page"/>
      </w:r>
    </w:p>
    <w:p w14:paraId="06E7406A">
      <w:pPr>
        <w:rPr>
          <w:color w:val="auto"/>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3ECC8DE8">
      <w:pPr>
        <w:adjustRightInd/>
        <w:spacing w:line="360" w:lineRule="auto"/>
        <w:jc w:val="center"/>
        <w:outlineLvl w:val="0"/>
        <w:rPr>
          <w:rFonts w:hint="eastAsia" w:ascii="宋体" w:hAnsi="宋体" w:cs="宋体"/>
          <w:b/>
          <w:color w:val="auto"/>
          <w:sz w:val="36"/>
          <w:szCs w:val="20"/>
          <w:highlight w:val="none"/>
        </w:rPr>
      </w:pPr>
      <w:bookmarkStart w:id="10" w:name="_Toc9238"/>
      <w:r>
        <w:rPr>
          <w:rFonts w:hint="eastAsia" w:ascii="宋体" w:hAnsi="宋体" w:cs="宋体"/>
          <w:b/>
          <w:color w:val="auto"/>
          <w:sz w:val="36"/>
          <w:szCs w:val="20"/>
          <w:highlight w:val="none"/>
        </w:rPr>
        <w:t>第一部分 招标公告</w:t>
      </w:r>
      <w:bookmarkEnd w:id="10"/>
    </w:p>
    <w:p w14:paraId="335CF7C8">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2BB51CD5">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宁海县总工会2025年高温慰问品采购项目</w:t>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招标项目的潜在供应商应在政采云平台（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rPr>
        <w:t>2025</w:t>
      </w:r>
      <w:r>
        <w:rPr>
          <w:rStyle w:val="77"/>
          <w:rFonts w:cs="Times New Roman" w:asciiTheme="minorEastAsia" w:hAnsiTheme="minorEastAsia" w:eastAsiaTheme="minorEastAsia"/>
          <w:snapToGrid/>
          <w:color w:val="auto"/>
          <w:kern w:val="2"/>
          <w:sz w:val="24"/>
          <w:szCs w:val="24"/>
          <w:highlight w:val="none"/>
        </w:rPr>
        <w:t>年</w:t>
      </w:r>
      <w:r>
        <w:rPr>
          <w:rStyle w:val="77"/>
          <w:rFonts w:hint="eastAsia" w:cs="Times New Roman" w:asciiTheme="minorEastAsia" w:hAnsiTheme="minorEastAsia" w:eastAsiaTheme="minorEastAsia"/>
          <w:snapToGrid/>
          <w:color w:val="auto"/>
          <w:kern w:val="2"/>
          <w:sz w:val="24"/>
          <w:szCs w:val="24"/>
          <w:highlight w:val="none"/>
          <w:lang w:val="en-US" w:eastAsia="zh-CN"/>
        </w:rPr>
        <w:t>07</w:t>
      </w:r>
      <w:r>
        <w:rPr>
          <w:rStyle w:val="77"/>
          <w:rFonts w:hint="eastAsia" w:cs="Times New Roman" w:asciiTheme="minorEastAsia" w:hAnsiTheme="minorEastAsia" w:eastAsiaTheme="minorEastAsia"/>
          <w:snapToGrid/>
          <w:color w:val="auto"/>
          <w:kern w:val="2"/>
          <w:sz w:val="24"/>
          <w:szCs w:val="24"/>
          <w:highlight w:val="none"/>
        </w:rPr>
        <w:t>月</w:t>
      </w:r>
      <w:r>
        <w:rPr>
          <w:rStyle w:val="77"/>
          <w:rFonts w:hint="eastAsia" w:cs="Times New Roman" w:asciiTheme="minorEastAsia" w:hAnsiTheme="minorEastAsia" w:eastAsiaTheme="minorEastAsia"/>
          <w:snapToGrid/>
          <w:color w:val="auto"/>
          <w:kern w:val="2"/>
          <w:sz w:val="24"/>
          <w:szCs w:val="24"/>
          <w:highlight w:val="none"/>
          <w:lang w:val="en-US" w:eastAsia="zh-CN"/>
        </w:rPr>
        <w:t>22</w:t>
      </w:r>
      <w:r>
        <w:rPr>
          <w:rStyle w:val="77"/>
          <w:rFonts w:hint="eastAsia" w:cs="Times New Roman" w:asciiTheme="minorEastAsia" w:hAnsiTheme="minorEastAsia" w:eastAsiaTheme="minorEastAsia"/>
          <w:snapToGrid/>
          <w:color w:val="auto"/>
          <w:kern w:val="2"/>
          <w:sz w:val="24"/>
          <w:szCs w:val="24"/>
          <w:highlight w:val="none"/>
        </w:rPr>
        <w:t>日</w:t>
      </w:r>
      <w:r>
        <w:rPr>
          <w:rStyle w:val="77"/>
          <w:rFonts w:hint="eastAsia" w:cs="Times New Roman" w:asciiTheme="minorEastAsia" w:hAnsiTheme="minorEastAsia" w:eastAsiaTheme="minorEastAsia"/>
          <w:snapToGrid/>
          <w:color w:val="auto"/>
          <w:kern w:val="2"/>
          <w:sz w:val="24"/>
          <w:szCs w:val="24"/>
          <w:highlight w:val="none"/>
          <w:lang w:val="en-US" w:eastAsia="zh-CN"/>
        </w:rPr>
        <w:t>13</w:t>
      </w:r>
      <w:r>
        <w:rPr>
          <w:rStyle w:val="77"/>
          <w:rFonts w:hint="eastAsia" w:cs="Times New Roman" w:asciiTheme="minorEastAsia" w:hAnsiTheme="minorEastAsia" w:eastAsiaTheme="minorEastAsia"/>
          <w:snapToGrid/>
          <w:color w:val="auto"/>
          <w:kern w:val="2"/>
          <w:sz w:val="24"/>
          <w:szCs w:val="24"/>
          <w:highlight w:val="none"/>
        </w:rPr>
        <w:t>点</w:t>
      </w:r>
      <w:r>
        <w:rPr>
          <w:rStyle w:val="77"/>
          <w:rFonts w:hint="eastAsia" w:cs="Times New Roman" w:asciiTheme="minorEastAsia" w:hAnsiTheme="minorEastAsia" w:eastAsiaTheme="minorEastAsia"/>
          <w:snapToGrid/>
          <w:color w:val="auto"/>
          <w:kern w:val="2"/>
          <w:sz w:val="24"/>
          <w:szCs w:val="24"/>
          <w:highlight w:val="none"/>
          <w:lang w:val="en-US" w:eastAsia="zh-CN"/>
        </w:rPr>
        <w:t>3</w:t>
      </w:r>
      <w:r>
        <w:rPr>
          <w:rStyle w:val="77"/>
          <w:rFonts w:hint="eastAsia" w:cs="Times New Roman" w:asciiTheme="minorEastAsia" w:hAnsiTheme="minorEastAsia" w:eastAsiaTheme="minorEastAsia"/>
          <w:snapToGrid/>
          <w:color w:val="auto"/>
          <w:kern w:val="2"/>
          <w:sz w:val="24"/>
          <w:szCs w:val="24"/>
          <w:highlight w:val="none"/>
        </w:rPr>
        <w:t>0分</w:t>
      </w:r>
      <w:r>
        <w:rPr>
          <w:rStyle w:val="77"/>
          <w:rFonts w:hint="eastAsia" w:cs="Times New Roman" w:asciiTheme="minorEastAsia" w:hAnsiTheme="minorEastAsia" w:eastAsiaTheme="minorEastAsia"/>
          <w:bCs/>
          <w:snapToGrid/>
          <w:color w:val="auto"/>
          <w:kern w:val="2"/>
          <w:sz w:val="24"/>
          <w:szCs w:val="24"/>
          <w:highlight w:val="none"/>
        </w:rPr>
        <w:t>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38CEE3D0">
      <w:pPr>
        <w:spacing w:line="336"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7DE48D1">
      <w:pPr>
        <w:spacing w:line="336"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Cs/>
          <w:color w:val="auto"/>
          <w:sz w:val="24"/>
          <w:highlight w:val="none"/>
          <w:lang w:eastAsia="zh-CN"/>
        </w:rPr>
        <w:t>CBNB-20256415G</w:t>
      </w:r>
    </w:p>
    <w:p w14:paraId="675769A5">
      <w:pPr>
        <w:spacing w:line="336"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Cs/>
          <w:color w:val="auto"/>
          <w:sz w:val="24"/>
          <w:highlight w:val="none"/>
          <w:lang w:eastAsia="zh-CN"/>
        </w:rPr>
        <w:t>宁海县总工会2025年高温慰问品采购项目</w:t>
      </w:r>
    </w:p>
    <w:p w14:paraId="6FCF938F">
      <w:pPr>
        <w:spacing w:line="336"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500000.00</w:t>
      </w:r>
    </w:p>
    <w:p w14:paraId="1A7EE944">
      <w:pPr>
        <w:spacing w:line="336" w:lineRule="auto"/>
        <w:ind w:firstLine="480"/>
        <w:rPr>
          <w:rFonts w:hint="eastAsia"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500000.00</w:t>
      </w:r>
    </w:p>
    <w:p w14:paraId="21703F8C">
      <w:pPr>
        <w:pStyle w:val="7"/>
        <w:spacing w:line="336" w:lineRule="auto"/>
        <w:ind w:firstLine="480"/>
        <w:rPr>
          <w:rFonts w:hint="eastAsia" w:hAnsi="宋体" w:cs="宋体"/>
          <w:b/>
          <w:color w:val="auto"/>
          <w:sz w:val="24"/>
          <w:highlight w:val="none"/>
        </w:rPr>
      </w:pPr>
      <w:r>
        <w:rPr>
          <w:rFonts w:hint="eastAsia" w:hAnsi="宋体" w:cs="宋体"/>
          <w:b/>
          <w:color w:val="auto"/>
          <w:sz w:val="24"/>
          <w:highlight w:val="none"/>
        </w:rPr>
        <w:t>采购需求：</w:t>
      </w:r>
    </w:p>
    <w:p w14:paraId="1C5C4B66">
      <w:pPr>
        <w:spacing w:line="360" w:lineRule="auto"/>
        <w:ind w:left="210" w:leftChars="100" w:firstLine="480"/>
        <w:rPr>
          <w:rFonts w:hint="eastAsia" w:ascii="宋体" w:hAnsi="宋体" w:eastAsia="宋体" w:cs="宋体"/>
          <w:snapToGrid w:val="0"/>
          <w:color w:val="auto"/>
          <w:kern w:val="28"/>
          <w:sz w:val="24"/>
          <w:szCs w:val="20"/>
          <w:highlight w:val="none"/>
          <w:lang w:eastAsia="zh-CN"/>
        </w:rPr>
      </w:pPr>
      <w:r>
        <w:rPr>
          <w:rFonts w:hint="eastAsia" w:ascii="宋体" w:hAnsi="宋体" w:cs="宋体"/>
          <w:snapToGrid w:val="0"/>
          <w:color w:val="auto"/>
          <w:kern w:val="28"/>
          <w:sz w:val="24"/>
          <w:szCs w:val="20"/>
          <w:highlight w:val="none"/>
        </w:rPr>
        <w:t>标项名称：</w:t>
      </w:r>
      <w:r>
        <w:rPr>
          <w:rFonts w:hint="eastAsia" w:ascii="宋体" w:hAnsi="宋体" w:cs="宋体"/>
          <w:snapToGrid w:val="0"/>
          <w:color w:val="auto"/>
          <w:kern w:val="28"/>
          <w:sz w:val="24"/>
          <w:szCs w:val="20"/>
          <w:highlight w:val="none"/>
          <w:lang w:eastAsia="zh-CN"/>
        </w:rPr>
        <w:t>宁海县总工会2025年高温慰问品采购项目</w:t>
      </w:r>
    </w:p>
    <w:p w14:paraId="25E81D41">
      <w:pPr>
        <w:spacing w:line="360" w:lineRule="auto"/>
        <w:ind w:left="210" w:leftChars="100"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数量：1批</w:t>
      </w:r>
    </w:p>
    <w:p w14:paraId="7D63D476">
      <w:pPr>
        <w:spacing w:line="360" w:lineRule="auto"/>
        <w:ind w:left="210" w:leftChars="100"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预算金额（元）： </w:t>
      </w:r>
      <w:r>
        <w:rPr>
          <w:rFonts w:hint="eastAsia" w:ascii="宋体" w:hAnsi="宋体" w:cs="宋体"/>
          <w:snapToGrid w:val="0"/>
          <w:color w:val="auto"/>
          <w:kern w:val="28"/>
          <w:sz w:val="24"/>
          <w:szCs w:val="20"/>
          <w:highlight w:val="none"/>
          <w:lang w:val="en-US" w:eastAsia="zh-CN"/>
        </w:rPr>
        <w:t>500000.00</w:t>
      </w:r>
    </w:p>
    <w:p w14:paraId="3E6D3B16">
      <w:pPr>
        <w:spacing w:line="360" w:lineRule="auto"/>
        <w:ind w:left="210" w:leftChars="100"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简要规格描述或项目基本概况介绍、用途：</w:t>
      </w:r>
      <w:r>
        <w:rPr>
          <w:rFonts w:hint="eastAsia" w:ascii="宋体" w:hAnsi="宋体" w:cs="宋体"/>
          <w:snapToGrid w:val="0"/>
          <w:color w:val="auto"/>
          <w:kern w:val="28"/>
          <w:sz w:val="24"/>
          <w:szCs w:val="20"/>
          <w:highlight w:val="none"/>
          <w:lang w:val="en-US" w:eastAsia="zh-CN"/>
        </w:rPr>
        <w:t>为宁海县约6250名职工提供清凉礼包，约80元/人</w:t>
      </w:r>
      <w:r>
        <w:rPr>
          <w:rFonts w:hint="eastAsia" w:ascii="宋体" w:hAnsi="宋体" w:cs="宋体"/>
          <w:snapToGrid w:val="0"/>
          <w:color w:val="auto"/>
          <w:kern w:val="28"/>
          <w:sz w:val="24"/>
          <w:szCs w:val="20"/>
          <w:highlight w:val="none"/>
        </w:rPr>
        <w:t>；具体以招标文件第三部分采购需求为准，供应商可点击本公告下方“浏览采购文件”查看采购需求。</w:t>
      </w:r>
    </w:p>
    <w:p w14:paraId="576FC768">
      <w:pPr>
        <w:spacing w:line="360" w:lineRule="auto"/>
        <w:ind w:left="210" w:leftChars="100"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备注：组成联合体的成员（含联合体牵头人）数量不超过2个。</w:t>
      </w:r>
    </w:p>
    <w:p w14:paraId="3A63EF87">
      <w:pPr>
        <w:pStyle w:val="135"/>
        <w:spacing w:before="0" w:line="336" w:lineRule="auto"/>
        <w:ind w:firstLine="482"/>
        <w:rPr>
          <w:rFonts w:hint="eastAsia"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szCs w:val="21"/>
          <w:highlight w:val="none"/>
          <w:lang w:val="en-US" w:eastAsia="zh-CN"/>
        </w:rPr>
        <w:t>分批交货。</w:t>
      </w:r>
      <w:r>
        <w:rPr>
          <w:rFonts w:hint="eastAsia" w:ascii="宋体" w:hAnsi="宋体" w:cs="宋体"/>
          <w:color w:val="auto"/>
          <w:szCs w:val="21"/>
          <w:highlight w:val="none"/>
          <w:lang w:eastAsia="zh-CN"/>
        </w:rPr>
        <w:t>合同签订后，根据县总工会的通知一周内交货；</w:t>
      </w:r>
      <w:r>
        <w:rPr>
          <w:rFonts w:hint="eastAsia" w:ascii="宋体" w:hAnsi="宋体" w:cs="宋体"/>
          <w:color w:val="auto"/>
          <w:szCs w:val="21"/>
          <w:highlight w:val="none"/>
          <w:lang w:val="en-US" w:eastAsia="zh-CN"/>
        </w:rPr>
        <w:t>特殊情况中标人应在接县总工会通知后24小时内交货</w:t>
      </w:r>
      <w:r>
        <w:rPr>
          <w:rFonts w:hint="eastAsia" w:ascii="宋体" w:hAnsi="宋体" w:cs="宋体"/>
          <w:color w:val="auto"/>
          <w:szCs w:val="21"/>
          <w:highlight w:val="none"/>
        </w:rPr>
        <w:t>。</w:t>
      </w:r>
    </w:p>
    <w:p w14:paraId="2A33F8B9">
      <w:pPr>
        <w:pStyle w:val="7"/>
        <w:spacing w:line="336" w:lineRule="auto"/>
        <w:ind w:firstLine="480"/>
        <w:rPr>
          <w:rFonts w:hint="eastAsia"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1512949">
      <w:pPr>
        <w:spacing w:line="336" w:lineRule="auto"/>
        <w:rPr>
          <w:rFonts w:hint="eastAsia"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17A4AF9E">
      <w:pPr>
        <w:spacing w:line="336"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51629F56">
      <w:pPr>
        <w:spacing w:line="336" w:lineRule="auto"/>
        <w:ind w:firstLine="48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w:t>
      </w:r>
    </w:p>
    <w:p w14:paraId="0ADB671A">
      <w:pPr>
        <w:spacing w:line="336"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 落实政府采购政策需满足的资格要求：</w:t>
      </w:r>
    </w:p>
    <w:p w14:paraId="39AEB748">
      <w:pPr>
        <w:spacing w:line="336"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14:paraId="3AF96F29">
      <w:pPr>
        <w:spacing w:line="336"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85E0A6D">
      <w:pPr>
        <w:spacing w:line="336" w:lineRule="auto"/>
        <w:ind w:firstLine="897" w:firstLineChars="374"/>
        <w:rPr>
          <w:rFonts w:hint="eastAsia"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货物全部由符合政策要求的中小企业制造，提供中小企业声明函；</w:t>
      </w:r>
    </w:p>
    <w:p w14:paraId="5ED9499B">
      <w:pPr>
        <w:spacing w:line="336"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0BBE16AD">
      <w:pPr>
        <w:spacing w:line="336"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2709B393">
      <w:pPr>
        <w:spacing w:line="336"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B9A52EB">
      <w:pPr>
        <w:widowControl/>
        <w:numPr>
          <w:ilvl w:val="0"/>
          <w:numId w:val="1"/>
        </w:numPr>
        <w:adjustRightInd/>
        <w:spacing w:line="336"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本项目的特定资格要求：无；</w:t>
      </w:r>
    </w:p>
    <w:p w14:paraId="0AE3DD0C">
      <w:pPr>
        <w:widowControl/>
        <w:numPr>
          <w:ilvl w:val="0"/>
          <w:numId w:val="1"/>
        </w:numPr>
        <w:adjustRightInd/>
        <w:spacing w:line="336"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373218E9">
      <w:pPr>
        <w:spacing w:line="336"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315FEB3">
      <w:pPr>
        <w:spacing w:line="336"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cs="宋体" w:asciiTheme="minorEastAsia" w:hAnsiTheme="minorEastAsia" w:eastAsiaTheme="minorEastAsia"/>
          <w:bCs/>
          <w:color w:val="auto"/>
          <w:sz w:val="24"/>
          <w:highlight w:val="none"/>
        </w:rPr>
        <w:t>2025年</w:t>
      </w:r>
      <w:r>
        <w:rPr>
          <w:rFonts w:hint="eastAsia" w:cs="宋体" w:asciiTheme="minorEastAsia" w:hAnsiTheme="minorEastAsia" w:eastAsiaTheme="minorEastAsia"/>
          <w:bCs/>
          <w:color w:val="auto"/>
          <w:sz w:val="24"/>
          <w:highlight w:val="none"/>
          <w:lang w:val="en-US" w:eastAsia="zh-CN"/>
        </w:rPr>
        <w:t>06</w:t>
      </w:r>
      <w:r>
        <w:rPr>
          <w:rFonts w:hint="eastAsia" w:cs="宋体" w:asciiTheme="minorEastAsia" w:hAnsiTheme="minorEastAsia" w:eastAsiaTheme="minorEastAsia"/>
          <w:bCs/>
          <w:color w:val="auto"/>
          <w:sz w:val="24"/>
          <w:highlight w:val="none"/>
        </w:rPr>
        <w:t>月</w:t>
      </w:r>
      <w:r>
        <w:rPr>
          <w:rFonts w:hint="eastAsia" w:cs="宋体" w:asciiTheme="minorEastAsia" w:hAnsiTheme="minorEastAsia" w:eastAsiaTheme="minorEastAsia"/>
          <w:bCs/>
          <w:color w:val="auto"/>
          <w:sz w:val="24"/>
          <w:highlight w:val="none"/>
          <w:lang w:val="en-US" w:eastAsia="zh-CN"/>
        </w:rPr>
        <w:t>30</w:t>
      </w:r>
      <w:r>
        <w:rPr>
          <w:rFonts w:hint="eastAsia" w:cs="宋体" w:asciiTheme="minorEastAsia" w:hAnsiTheme="minorEastAsia" w:eastAsiaTheme="minorEastAsia"/>
          <w:bCs/>
          <w:color w:val="auto"/>
          <w:sz w:val="24"/>
          <w:highlight w:val="none"/>
        </w:rPr>
        <w:t>日至2025年</w:t>
      </w:r>
      <w:r>
        <w:rPr>
          <w:rFonts w:hint="eastAsia" w:cs="宋体" w:asciiTheme="minorEastAsia" w:hAnsiTheme="minorEastAsia" w:eastAsiaTheme="minorEastAsia"/>
          <w:bCs/>
          <w:color w:val="auto"/>
          <w:sz w:val="24"/>
          <w:highlight w:val="none"/>
          <w:lang w:val="en-US" w:eastAsia="zh-CN"/>
        </w:rPr>
        <w:t>07</w:t>
      </w:r>
      <w:r>
        <w:rPr>
          <w:rFonts w:hint="eastAsia" w:cs="宋体" w:asciiTheme="minorEastAsia" w:hAnsiTheme="minorEastAsia" w:eastAsiaTheme="minorEastAsia"/>
          <w:bCs/>
          <w:color w:val="auto"/>
          <w:sz w:val="24"/>
          <w:highlight w:val="none"/>
        </w:rPr>
        <w:t>月</w:t>
      </w:r>
      <w:r>
        <w:rPr>
          <w:rFonts w:hint="eastAsia" w:cs="宋体" w:asciiTheme="minorEastAsia" w:hAnsiTheme="minorEastAsia" w:eastAsiaTheme="minorEastAsia"/>
          <w:bCs/>
          <w:color w:val="auto"/>
          <w:sz w:val="24"/>
          <w:highlight w:val="none"/>
          <w:lang w:val="en-US" w:eastAsia="zh-CN"/>
        </w:rPr>
        <w:t>08</w:t>
      </w:r>
      <w:r>
        <w:rPr>
          <w:rFonts w:hint="eastAsia" w:cs="宋体" w:asciiTheme="minorEastAsia" w:hAnsiTheme="minorEastAsia" w:eastAsiaTheme="minorEastAsia"/>
          <w:bCs/>
          <w:color w:val="auto"/>
          <w:sz w:val="24"/>
          <w:highlight w:val="none"/>
        </w:rPr>
        <w:t>日</w:t>
      </w:r>
      <w:r>
        <w:rPr>
          <w:rFonts w:hint="eastAsia" w:cs="宋体" w:asciiTheme="minorEastAsia" w:hAnsiTheme="minorEastAsia" w:eastAsiaTheme="minorEastAsia"/>
          <w:color w:val="auto"/>
          <w:sz w:val="24"/>
          <w:highlight w:val="none"/>
        </w:rPr>
        <w:t>，</w:t>
      </w:r>
      <w:r>
        <w:rPr>
          <w:rFonts w:hint="eastAsia" w:ascii="宋体" w:hAnsi="宋体" w:cs="宋体"/>
          <w:color w:val="auto"/>
          <w:sz w:val="24"/>
          <w:highlight w:val="none"/>
        </w:rPr>
        <w:t>每天上午00:00至12:00 ，下午12:00至23:59（北京时间，线上获取法定节假日均可，线下获取文件法定节假日除外）</w:t>
      </w:r>
    </w:p>
    <w:p w14:paraId="465C8884">
      <w:pPr>
        <w:spacing w:line="336"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5B2C46D">
      <w:pPr>
        <w:spacing w:line="336"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供应商登录政采云平台https://www.zcygov.cn/在线申请获取招标文件（进入“项目采购”应用，在获取招标文件菜单中选择项目，申请获取招标文件）。 </w:t>
      </w:r>
    </w:p>
    <w:p w14:paraId="33F3CB91">
      <w:pPr>
        <w:spacing w:line="336"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14:paraId="0FCFBF61">
      <w:pPr>
        <w:spacing w:line="336"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D5AA81B">
      <w:pPr>
        <w:spacing w:line="336"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13点30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62615515">
      <w:pPr>
        <w:spacing w:line="336"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Theme="minorEastAsia" w:hAnsiTheme="minorEastAsia" w:eastAsiaTheme="minorEastAsia"/>
          <w:color w:val="auto"/>
          <w:sz w:val="24"/>
          <w:highlight w:val="none"/>
        </w:rPr>
        <w:t>政府采购云平台（http://www.zcygov.cn/）。</w:t>
      </w:r>
    </w:p>
    <w:p w14:paraId="13843B8D">
      <w:pPr>
        <w:spacing w:line="336"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13点30</w:t>
      </w:r>
      <w:r>
        <w:rPr>
          <w:rFonts w:hint="eastAsia" w:ascii="宋体" w:hAnsi="宋体" w:cs="宋体"/>
          <w:color w:val="auto"/>
          <w:sz w:val="24"/>
          <w:highlight w:val="none"/>
          <w:u w:val="single"/>
        </w:rPr>
        <w:t>分00秒</w:t>
      </w:r>
    </w:p>
    <w:p w14:paraId="5031C97E">
      <w:pPr>
        <w:spacing w:line="336"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Theme="minorEastAsia" w:hAnsiTheme="minorEastAsia" w:eastAsiaTheme="minorEastAsia"/>
          <w:color w:val="auto"/>
          <w:sz w:val="24"/>
          <w:highlight w:val="none"/>
        </w:rPr>
        <w:t>政府采购云平台（http://www.zcygov.cn/）。</w:t>
      </w:r>
    </w:p>
    <w:p w14:paraId="60453BAA">
      <w:pPr>
        <w:spacing w:line="336"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016DE73B">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46BB0B34">
      <w:pPr>
        <w:spacing w:line="336"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5511C780">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90D2A6D">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DC7998">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BF79B05">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w:t>
      </w:r>
    </w:p>
    <w:p w14:paraId="552B484D">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778429E6">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投标文件的制作</w:t>
      </w:r>
      <w:r>
        <w:rPr>
          <w:rFonts w:hint="eastAsia" w:cs="仿宋_GB2312" w:asciiTheme="minorEastAsia" w:hAnsiTheme="minorEastAsia" w:eastAsiaTheme="minorEastAsia"/>
          <w:color w:val="auto"/>
          <w:sz w:val="24"/>
          <w:highlight w:val="none"/>
        </w:rPr>
        <w:t>（文件后缀为：jmbs）</w:t>
      </w:r>
      <w:r>
        <w:rPr>
          <w:rFonts w:hint="eastAsia" w:ascii="宋体" w:hAnsi="宋体" w:cs="宋体"/>
          <w:color w:val="auto"/>
          <w:sz w:val="24"/>
          <w:highlight w:val="none"/>
        </w:rPr>
        <w:t>：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文件后缀为：bfbs）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14:paraId="242A8F28">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01F28494">
      <w:pPr>
        <w:spacing w:line="336"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（4）《第一部分  招标公告》中二、申请人的资格要求：第一条中的“重大税收违法案件当事人名单”即为“重大税收违法失信主体”。</w:t>
      </w:r>
      <w:r>
        <w:rPr>
          <w:rFonts w:hint="eastAsia" w:cs="宋体" w:asciiTheme="minorEastAsia" w:hAnsiTheme="minorEastAsia" w:eastAsiaTheme="minorEastAsia"/>
          <w:color w:val="auto"/>
          <w:sz w:val="24"/>
          <w:highlight w:val="none"/>
        </w:rPr>
        <w:br w:type="textWrapping"/>
      </w:r>
      <w:r>
        <w:rPr>
          <w:rFonts w:hint="eastAsia" w:cs="宋体" w:asciiTheme="minorEastAsia" w:hAnsiTheme="minorEastAsia" w:eastAsiaTheme="minorEastAsia"/>
          <w:color w:val="auto"/>
          <w:sz w:val="24"/>
          <w:highlight w:val="none"/>
        </w:rPr>
        <w:t xml:space="preserve">    （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73E836B">
      <w:pPr>
        <w:spacing w:line="336"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AE74AD8">
      <w:pPr>
        <w:keepNext/>
        <w:keepLines/>
        <w:widowControl w:val="0"/>
        <w:numPr>
          <w:ilvl w:val="0"/>
          <w:numId w:val="0"/>
        </w:numPr>
        <w:adjustRightInd/>
        <w:spacing w:line="360" w:lineRule="auto"/>
        <w:ind w:left="432" w:hanging="432"/>
        <w:jc w:val="left"/>
        <w:outlineLvl w:val="1"/>
        <w:rPr>
          <w:rFonts w:hint="eastAsia" w:ascii="宋体" w:hAnsi="宋体" w:eastAsia="宋体" w:cs="宋体"/>
          <w:b/>
          <w:bCs/>
          <w:color w:val="auto"/>
          <w:kern w:val="2"/>
          <w:sz w:val="24"/>
          <w:szCs w:val="24"/>
          <w:highlight w:val="none"/>
          <w:lang w:val="zh-CN" w:eastAsia="zh-CN" w:bidi="ar-SA"/>
        </w:rPr>
      </w:pPr>
      <w:bookmarkStart w:id="13" w:name="_Toc35393806"/>
      <w:bookmarkStart w:id="14" w:name="_Toc28359096"/>
      <w:bookmarkStart w:id="15" w:name="_Toc28359019"/>
      <w:bookmarkStart w:id="16" w:name="_Toc35393637"/>
      <w:r>
        <w:rPr>
          <w:rFonts w:hint="eastAsia" w:ascii="宋体" w:hAnsi="宋体" w:eastAsia="宋体" w:cs="宋体"/>
          <w:b/>
          <w:bCs/>
          <w:color w:val="auto"/>
          <w:kern w:val="2"/>
          <w:sz w:val="24"/>
          <w:szCs w:val="24"/>
          <w:highlight w:val="none"/>
          <w:lang w:val="zh-CN" w:eastAsia="zh-CN" w:bidi="ar-SA"/>
        </w:rPr>
        <w:t>1.采购人信息</w:t>
      </w:r>
      <w:bookmarkEnd w:id="13"/>
      <w:bookmarkEnd w:id="14"/>
      <w:bookmarkEnd w:id="15"/>
      <w:bookmarkEnd w:id="16"/>
      <w:r>
        <w:rPr>
          <w:rFonts w:hint="eastAsia" w:ascii="宋体" w:hAnsi="宋体" w:eastAsia="宋体" w:cs="宋体"/>
          <w:b/>
          <w:bCs/>
          <w:color w:val="auto"/>
          <w:kern w:val="2"/>
          <w:sz w:val="24"/>
          <w:szCs w:val="24"/>
          <w:highlight w:val="none"/>
          <w:lang w:val="zh-CN" w:eastAsia="zh-CN" w:bidi="ar-SA"/>
        </w:rPr>
        <w:t>：</w:t>
      </w:r>
    </w:p>
    <w:p w14:paraId="43F5CAD0">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称：宁海县总工会</w:t>
      </w:r>
    </w:p>
    <w:p w14:paraId="36C2BC24">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    址：宁海县桃源街道兴海北路608号</w:t>
      </w:r>
    </w:p>
    <w:p w14:paraId="40CB8195">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传    真：/</w:t>
      </w:r>
    </w:p>
    <w:p w14:paraId="6210D621">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项目联系人（询问）：金老师</w:t>
      </w:r>
    </w:p>
    <w:p w14:paraId="6F9CBF8C">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项目联系方式（询问）：0574-89281389</w:t>
      </w:r>
    </w:p>
    <w:p w14:paraId="0F7F69E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质疑联系人：王老师</w:t>
      </w:r>
    </w:p>
    <w:p w14:paraId="401B78E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质疑联系方式：0574-65563969</w:t>
      </w:r>
    </w:p>
    <w:p w14:paraId="5A8D66EE">
      <w:pPr>
        <w:keepNext/>
        <w:keepLines/>
        <w:widowControl w:val="0"/>
        <w:numPr>
          <w:ilvl w:val="0"/>
          <w:numId w:val="0"/>
        </w:numPr>
        <w:adjustRightInd/>
        <w:spacing w:line="360" w:lineRule="auto"/>
        <w:ind w:left="432" w:hanging="432"/>
        <w:jc w:val="left"/>
        <w:outlineLvl w:val="1"/>
        <w:rPr>
          <w:rFonts w:hint="eastAsia" w:ascii="宋体" w:hAnsi="宋体" w:eastAsia="宋体" w:cs="宋体"/>
          <w:b/>
          <w:bCs/>
          <w:color w:val="auto"/>
          <w:kern w:val="2"/>
          <w:sz w:val="24"/>
          <w:szCs w:val="32"/>
          <w:highlight w:val="none"/>
          <w:lang w:val="zh-CN" w:eastAsia="zh-CN" w:bidi="ar-SA"/>
        </w:rPr>
      </w:pPr>
      <w:bookmarkStart w:id="17" w:name="_Toc35393807"/>
      <w:bookmarkStart w:id="18" w:name="_Toc35393638"/>
      <w:bookmarkStart w:id="19" w:name="_Toc28359097"/>
      <w:bookmarkStart w:id="20" w:name="_Toc28359020"/>
      <w:r>
        <w:rPr>
          <w:rFonts w:hint="eastAsia" w:ascii="宋体" w:hAnsi="宋体" w:eastAsia="宋体" w:cs="宋体"/>
          <w:b/>
          <w:bCs/>
          <w:color w:val="auto"/>
          <w:kern w:val="2"/>
          <w:sz w:val="24"/>
          <w:szCs w:val="24"/>
          <w:highlight w:val="none"/>
          <w:lang w:val="zh-CN" w:eastAsia="zh-CN" w:bidi="ar-SA"/>
        </w:rPr>
        <w:t>2.采购代理机构信息</w:t>
      </w:r>
      <w:bookmarkEnd w:id="17"/>
      <w:bookmarkEnd w:id="18"/>
      <w:bookmarkEnd w:id="19"/>
      <w:bookmarkEnd w:id="20"/>
      <w:r>
        <w:rPr>
          <w:rFonts w:hint="eastAsia" w:ascii="宋体" w:hAnsi="宋体" w:eastAsia="宋体" w:cs="宋体"/>
          <w:b/>
          <w:bCs/>
          <w:color w:val="auto"/>
          <w:kern w:val="2"/>
          <w:sz w:val="24"/>
          <w:szCs w:val="24"/>
          <w:highlight w:val="none"/>
          <w:lang w:val="zh-CN" w:eastAsia="zh-CN" w:bidi="ar-SA"/>
        </w:rPr>
        <w:t>：</w:t>
      </w:r>
    </w:p>
    <w:p w14:paraId="058812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宁波中基国际招标有限公司</w:t>
      </w:r>
      <w:r>
        <w:rPr>
          <w:rFonts w:hint="eastAsia" w:ascii="宋体" w:hAnsi="宋体" w:eastAsia="宋体" w:cs="宋体"/>
          <w:color w:val="auto"/>
          <w:sz w:val="24"/>
          <w:highlight w:val="none"/>
        </w:rPr>
        <w:t xml:space="preserve">             </w:t>
      </w:r>
    </w:p>
    <w:p w14:paraId="4951258F">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地    址：</w:t>
      </w:r>
      <w:r>
        <w:rPr>
          <w:rFonts w:hint="eastAsia" w:ascii="宋体" w:hAnsi="宋体" w:eastAsia="宋体" w:cs="宋体"/>
          <w:color w:val="auto"/>
          <w:sz w:val="24"/>
          <w:highlight w:val="none"/>
          <w:lang w:val="en-US" w:eastAsia="zh-CN"/>
        </w:rPr>
        <w:t>宁波市鄞州区天童南路666号中基大厦19楼</w:t>
      </w:r>
    </w:p>
    <w:p w14:paraId="5079133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w:t>
      </w:r>
      <w:r>
        <w:rPr>
          <w:rFonts w:hint="eastAsia" w:ascii="宋体" w:hAnsi="宋体" w:eastAsia="宋体" w:cs="宋体"/>
          <w:color w:val="auto"/>
          <w:sz w:val="24"/>
          <w:highlight w:val="none"/>
          <w:lang w:val="en-US" w:eastAsia="zh-CN"/>
        </w:rPr>
        <w:t>0574-87425373</w:t>
      </w:r>
      <w:r>
        <w:rPr>
          <w:rFonts w:hint="eastAsia" w:ascii="宋体" w:hAnsi="宋体" w:eastAsia="宋体" w:cs="宋体"/>
          <w:color w:val="auto"/>
          <w:sz w:val="24"/>
          <w:highlight w:val="none"/>
        </w:rPr>
        <w:t xml:space="preserve">             </w:t>
      </w:r>
    </w:p>
    <w:p w14:paraId="03C6EA70">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项目联系人（询问）：孔晖</w:t>
      </w:r>
    </w:p>
    <w:p w14:paraId="478BB421">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项目联系方式（询问）：0574-87425279</w:t>
      </w:r>
    </w:p>
    <w:p w14:paraId="3DDFDAC5">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质疑联系人：王莹巧</w:t>
      </w:r>
    </w:p>
    <w:p w14:paraId="0D04E122">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质疑联系方式：0574-87425370</w:t>
      </w:r>
    </w:p>
    <w:p w14:paraId="568FA02F">
      <w:pPr>
        <w:spacing w:line="360" w:lineRule="auto"/>
        <w:rPr>
          <w:rFonts w:hint="eastAsia" w:ascii="宋体" w:hAnsi="宋体" w:eastAsia="宋体" w:cs="宋体"/>
          <w:b/>
          <w:color w:val="auto"/>
          <w:sz w:val="24"/>
          <w:highlight w:val="none"/>
        </w:rPr>
      </w:pPr>
      <w:bookmarkStart w:id="21" w:name="_Toc35393639"/>
      <w:bookmarkStart w:id="22" w:name="_Toc35393808"/>
      <w:bookmarkStart w:id="23" w:name="_Toc28359021"/>
      <w:bookmarkStart w:id="24" w:name="_Toc28359098"/>
      <w:r>
        <w:rPr>
          <w:rFonts w:hint="eastAsia" w:ascii="宋体" w:hAnsi="宋体" w:eastAsia="宋体" w:cs="宋体"/>
          <w:b/>
          <w:bCs/>
          <w:color w:val="auto"/>
          <w:sz w:val="24"/>
          <w:highlight w:val="none"/>
        </w:rPr>
        <w:t>3.</w:t>
      </w:r>
      <w:r>
        <w:rPr>
          <w:rFonts w:hint="eastAsia" w:ascii="宋体" w:hAnsi="宋体" w:eastAsia="宋体" w:cs="宋体"/>
          <w:b/>
          <w:color w:val="auto"/>
          <w:sz w:val="24"/>
          <w:highlight w:val="none"/>
        </w:rPr>
        <w:t xml:space="preserve"> 同级政府采购监督管理部门：            </w:t>
      </w:r>
    </w:p>
    <w:bookmarkEnd w:id="21"/>
    <w:bookmarkEnd w:id="22"/>
    <w:bookmarkEnd w:id="23"/>
    <w:bookmarkEnd w:id="24"/>
    <w:p w14:paraId="5E6F28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名    称：宁海县政府采购管理办公室             </w:t>
      </w:r>
    </w:p>
    <w:p w14:paraId="1A09EE0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    址：宁海县跃龙街道桃源中路218号            </w:t>
      </w:r>
    </w:p>
    <w:p w14:paraId="3E2BFB7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    真：0574-65265612            </w:t>
      </w:r>
    </w:p>
    <w:p w14:paraId="60FD6B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联系人 ：王老师             </w:t>
      </w:r>
    </w:p>
    <w:p w14:paraId="00503B53">
      <w:pPr>
        <w:spacing w:line="336" w:lineRule="auto"/>
        <w:ind w:firstLine="480"/>
        <w:rPr>
          <w:rFonts w:hint="eastAsia" w:ascii="宋体" w:hAnsi="宋体" w:cs="宋体"/>
          <w:color w:val="auto"/>
          <w:sz w:val="24"/>
          <w:highlight w:val="none"/>
        </w:rPr>
      </w:pPr>
      <w:bookmarkStart w:id="25" w:name="_Toc5959"/>
      <w:r>
        <w:rPr>
          <w:rFonts w:hint="eastAsia" w:ascii="宋体" w:hAnsi="宋体" w:eastAsia="宋体" w:cs="宋体"/>
          <w:color w:val="auto"/>
          <w:sz w:val="24"/>
          <w:highlight w:val="none"/>
        </w:rPr>
        <w:t>投诉电话：0574-65265668</w:t>
      </w:r>
      <w:bookmarkEnd w:id="25"/>
      <w:r>
        <w:rPr>
          <w:rFonts w:hint="eastAsia" w:ascii="宋体" w:hAnsi="宋体" w:cs="宋体"/>
          <w:color w:val="auto"/>
          <w:sz w:val="24"/>
          <w:highlight w:val="none"/>
        </w:rPr>
        <w:t xml:space="preserve"> </w:t>
      </w:r>
    </w:p>
    <w:p w14:paraId="71846484">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1C9C9693">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E04B3A3">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3C35705">
      <w:pPr>
        <w:pStyle w:val="33"/>
        <w:spacing w:line="360" w:lineRule="auto"/>
        <w:rPr>
          <w:rFonts w:hint="eastAsia" w:hAnsi="宋体" w:cs="宋体"/>
          <w:b/>
          <w:color w:val="auto"/>
          <w:sz w:val="36"/>
          <w:szCs w:val="20"/>
          <w:highlight w:val="none"/>
        </w:rPr>
      </w:pPr>
    </w:p>
    <w:p w14:paraId="0A7109C1">
      <w:pPr>
        <w:tabs>
          <w:tab w:val="left" w:pos="432"/>
        </w:tabs>
        <w:rPr>
          <w:rFonts w:ascii="宋体"/>
          <w:snapToGrid w:val="0"/>
          <w:color w:val="auto"/>
          <w:highlight w:val="none"/>
        </w:rPr>
      </w:pPr>
      <w:r>
        <w:rPr>
          <w:color w:val="auto"/>
          <w:highlight w:val="none"/>
        </w:rPr>
        <w:br w:type="page"/>
      </w:r>
    </w:p>
    <w:p w14:paraId="1DBA228D">
      <w:pPr>
        <w:adjustRightInd/>
        <w:spacing w:line="360" w:lineRule="auto"/>
        <w:jc w:val="center"/>
        <w:outlineLvl w:val="0"/>
        <w:rPr>
          <w:rFonts w:hint="eastAsia" w:ascii="宋体" w:hAnsi="宋体" w:cs="宋体"/>
          <w:b/>
          <w:color w:val="auto"/>
          <w:sz w:val="36"/>
          <w:szCs w:val="20"/>
          <w:highlight w:val="none"/>
        </w:rPr>
      </w:pPr>
      <w:bookmarkStart w:id="26" w:name="_Toc29691"/>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供应商须知</w:t>
      </w:r>
      <w:bookmarkEnd w:id="8"/>
      <w:bookmarkEnd w:id="26"/>
    </w:p>
    <w:p w14:paraId="7FBA2872">
      <w:pPr>
        <w:adjustRightInd/>
        <w:spacing w:line="360" w:lineRule="auto"/>
        <w:ind w:firstLine="3845" w:firstLineChars="1197"/>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1BD4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tcPr>
          <w:p w14:paraId="4B31EC3B">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vAlign w:val="center"/>
          </w:tcPr>
          <w:p w14:paraId="796869F1">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095" w:type="dxa"/>
            <w:vAlign w:val="center"/>
          </w:tcPr>
          <w:p w14:paraId="55DFEF5A">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77228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38B2F12F">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vAlign w:val="center"/>
          </w:tcPr>
          <w:p w14:paraId="21FD0119">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vAlign w:val="center"/>
          </w:tcPr>
          <w:p w14:paraId="3D499726">
            <w:pPr>
              <w:spacing w:line="288" w:lineRule="auto"/>
              <w:rPr>
                <w:rFonts w:hint="eastAsia" w:ascii="宋体" w:hAnsi="宋体" w:cs="宋体"/>
                <w:color w:val="auto"/>
                <w:sz w:val="24"/>
                <w:highlight w:val="none"/>
              </w:rPr>
            </w:pPr>
            <w:r>
              <w:rPr>
                <w:rFonts w:hint="eastAsia" w:ascii="宋体" w:hAnsi="宋体" w:cs="宋体"/>
                <w:color w:val="auto"/>
                <w:sz w:val="24"/>
                <w:highlight w:val="none"/>
              </w:rPr>
              <w:t>货物类，单一产品或核心产品为：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毛巾、洗发水、沐浴露、牙膏、牙刷、洗衣皂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09E3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5192C00B">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vAlign w:val="center"/>
          </w:tcPr>
          <w:p w14:paraId="67689E25">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vAlign w:val="center"/>
          </w:tcPr>
          <w:p w14:paraId="0DB57189">
            <w:pPr>
              <w:snapToGrid w:val="0"/>
              <w:spacing w:line="288"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val="en-US" w:eastAsia="zh-CN"/>
              </w:rPr>
              <w:t>毛巾、洗发水、沐浴露、牙膏、牙刷、洗衣皂</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工业</w:t>
            </w:r>
            <w:r>
              <w:rPr>
                <w:rFonts w:hint="eastAsia" w:ascii="宋体" w:hAnsi="宋体" w:cs="宋体"/>
                <w:color w:val="auto"/>
                <w:kern w:val="0"/>
                <w:sz w:val="24"/>
                <w:highlight w:val="none"/>
                <w:lang w:eastAsia="zh-CN"/>
              </w:rPr>
              <w:t>。</w:t>
            </w:r>
          </w:p>
          <w:p w14:paraId="6BB1F436">
            <w:pPr>
              <w:snapToGrid w:val="0"/>
              <w:spacing w:line="288"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（2）本项目专门面向中小企业。</w:t>
            </w:r>
          </w:p>
        </w:tc>
      </w:tr>
      <w:tr w14:paraId="515D7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2114881F">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vAlign w:val="center"/>
          </w:tcPr>
          <w:p w14:paraId="5576E990">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vAlign w:val="center"/>
          </w:tcPr>
          <w:p w14:paraId="19CC357D">
            <w:pPr>
              <w:spacing w:line="288"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本项目不允许采购进口产品。</w:t>
            </w:r>
          </w:p>
          <w:p w14:paraId="3704C095">
            <w:pPr>
              <w:spacing w:line="288" w:lineRule="auto"/>
              <w:rPr>
                <w:rFonts w:hint="eastAsia"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935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0246FFE8">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vAlign w:val="center"/>
          </w:tcPr>
          <w:p w14:paraId="21A1C378">
            <w:pPr>
              <w:snapToGrid w:val="0"/>
              <w:spacing w:line="288"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095" w:type="dxa"/>
            <w:vAlign w:val="center"/>
          </w:tcPr>
          <w:p w14:paraId="018B229E">
            <w:pPr>
              <w:spacing w:line="288"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15367086">
            <w:pPr>
              <w:spacing w:line="288"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C021AE0">
            <w:pPr>
              <w:spacing w:line="288"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106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3F3C06F9">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vAlign w:val="center"/>
          </w:tcPr>
          <w:p w14:paraId="62BD7317">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vAlign w:val="center"/>
          </w:tcPr>
          <w:p w14:paraId="555B5118">
            <w:pPr>
              <w:spacing w:line="288"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79300B1">
            <w:pPr>
              <w:spacing w:line="288"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4037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1B37A197">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vAlign w:val="center"/>
          </w:tcPr>
          <w:p w14:paraId="67789EDF">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95" w:type="dxa"/>
            <w:vAlign w:val="center"/>
          </w:tcPr>
          <w:p w14:paraId="60DB6D92">
            <w:pPr>
              <w:spacing w:line="360" w:lineRule="auto"/>
              <w:rPr>
                <w:rFonts w:hint="eastAsia" w:ascii="宋体" w:hAnsi="宋体" w:eastAsia="宋体" w:cs="宋体"/>
                <w:color w:val="auto"/>
                <w:sz w:val="24"/>
                <w:highlight w:val="none"/>
              </w:rPr>
            </w:pPr>
            <w:sdt>
              <w:sdtPr>
                <w:rPr>
                  <w:rFonts w:hint="eastAsia" w:ascii="宋体" w:hAnsi="宋体" w:cs="宋体"/>
                  <w:color w:val="auto"/>
                  <w:kern w:val="0"/>
                  <w:sz w:val="24"/>
                  <w:highlight w:val="none"/>
                </w:rPr>
                <w:id w:val="-163994648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D696DCF">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7194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B要求提供，</w:t>
            </w:r>
          </w:p>
          <w:p w14:paraId="3C20DC6F">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毛巾、洗发水、沐浴露、牙膏、牙刷、洗衣皂、包装盒或环保袋各一个</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14DEB076">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①毛巾、洗发水、沐浴露、牙膏、牙刷、洗衣皂为投标响应供货同品牌、同规格、同型号产品；②包装盒或环保袋须能完全装下每套产品，规格根据礼品大小及使用用途设计定制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7346EC6D">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评审标准</w:t>
            </w:r>
            <w:r>
              <w:rPr>
                <w:rFonts w:hint="eastAsia" w:ascii="宋体" w:hAnsi="宋体" w:eastAsia="宋体" w:cs="宋体"/>
                <w:color w:val="auto"/>
                <w:kern w:val="0"/>
                <w:sz w:val="24"/>
                <w:highlight w:val="none"/>
              </w:rPr>
              <w:t>；</w:t>
            </w:r>
          </w:p>
          <w:p w14:paraId="48F1726B">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4745327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4747423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w:t>
            </w:r>
          </w:p>
          <w:p w14:paraId="05A4988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p>
          <w:p w14:paraId="6F8BD770">
            <w:pPr>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sz w:val="24"/>
                <w:highlight w:val="none"/>
                <w:lang w:val="en-US" w:eastAsia="zh-CN"/>
              </w:rPr>
              <w:t>①直接提交样品的：</w:t>
            </w:r>
            <w:r>
              <w:rPr>
                <w:rFonts w:hint="eastAsia" w:ascii="宋体" w:hAnsi="宋体" w:eastAsia="宋体" w:cs="宋体"/>
                <w:color w:val="auto"/>
                <w:sz w:val="24"/>
                <w:highlight w:val="none"/>
                <w:u w:val="single"/>
              </w:rPr>
              <w:t>响应文件提交（上传）</w:t>
            </w:r>
            <w:r>
              <w:rPr>
                <w:rFonts w:hint="eastAsia" w:ascii="宋体" w:hAnsi="宋体" w:eastAsia="宋体" w:cs="宋体"/>
                <w:color w:val="auto"/>
                <w:sz w:val="24"/>
                <w:highlight w:val="none"/>
                <w:u w:val="single"/>
                <w:lang w:val="en-US" w:eastAsia="zh-CN"/>
              </w:rPr>
              <w:t>当天截止时间前</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lang w:val="en-US" w:eastAsia="zh-CN"/>
              </w:rPr>
              <w:t>宁海县公共资源交易中心五楼开标室（具体详见大屏幕）</w:t>
            </w:r>
            <w:r>
              <w:rPr>
                <w:rFonts w:hint="eastAsia" w:ascii="宋体" w:hAnsi="宋体" w:eastAsia="宋体" w:cs="宋体"/>
                <w:color w:val="auto"/>
                <w:kern w:val="0"/>
                <w:sz w:val="24"/>
                <w:highlight w:val="none"/>
                <w:lang w:eastAsia="zh-CN"/>
              </w:rPr>
              <w:t>。</w:t>
            </w:r>
          </w:p>
          <w:p w14:paraId="32017451">
            <w:pPr>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②以快递方式递交样品的：</w:t>
            </w:r>
          </w:p>
          <w:p w14:paraId="69395858">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lang w:val="en-US" w:eastAsia="zh-CN"/>
              </w:rPr>
              <w:t>样品送达截止时间：</w:t>
            </w:r>
            <w:r>
              <w:rPr>
                <w:rFonts w:hint="eastAsia" w:ascii="宋体" w:hAnsi="宋体" w:eastAsia="宋体" w:cs="宋体"/>
                <w:color w:val="auto"/>
                <w:kern w:val="0"/>
                <w:sz w:val="24"/>
                <w:highlight w:val="none"/>
                <w:u w:val="single"/>
                <w:lang w:val="en-US" w:eastAsia="zh-CN"/>
              </w:rPr>
              <w:t>响应文件开启时间前一个工作日的16:00止</w:t>
            </w:r>
            <w:r>
              <w:rPr>
                <w:rFonts w:hint="eastAsia" w:ascii="宋体" w:hAnsi="宋体" w:eastAsia="宋体" w:cs="宋体"/>
                <w:color w:val="auto"/>
                <w:kern w:val="0"/>
                <w:sz w:val="24"/>
                <w:highlight w:val="none"/>
                <w:lang w:val="en-US" w:eastAsia="zh-CN"/>
              </w:rPr>
              <w:t>。样品送达地点：</w:t>
            </w:r>
            <w:r>
              <w:rPr>
                <w:rFonts w:hint="eastAsia" w:ascii="宋体" w:hAnsi="宋体" w:eastAsia="宋体" w:cs="宋体"/>
                <w:color w:val="auto"/>
                <w:kern w:val="0"/>
                <w:sz w:val="24"/>
                <w:highlight w:val="none"/>
                <w:u w:val="single"/>
                <w:lang w:val="en-US" w:eastAsia="zh-CN"/>
              </w:rPr>
              <w:t xml:space="preserve"> 宁波市鄞州区天童南路666号中基大厦19楼业务六部 </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val="en-US" w:eastAsia="zh-CN"/>
              </w:rPr>
              <w:t>孔晖</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kern w:val="28"/>
                <w:sz w:val="24"/>
                <w:highlight w:val="none"/>
                <w:u w:val="single"/>
                <w:lang w:val="en-US" w:eastAsia="zh-CN"/>
              </w:rPr>
              <w:t>0</w:t>
            </w:r>
            <w:r>
              <w:rPr>
                <w:rFonts w:hint="eastAsia" w:ascii="宋体" w:hAnsi="宋体" w:eastAsia="宋体" w:cs="宋体"/>
                <w:color w:val="auto"/>
                <w:sz w:val="24"/>
                <w:highlight w:val="none"/>
                <w:u w:val="single"/>
                <w:lang w:val="en-US" w:eastAsia="zh-CN"/>
              </w:rPr>
              <w:t>574-87425279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邮寄过程中须保证样品不发生破损、丢失情形，供应商对邮寄过程中发生的破损、丢失、未按规定时间送达等情形负责。代理机构将在开标现场监控下拆开外包封，如发生破损、物品缺少等情形，责任由供应商自负。</w:t>
            </w:r>
          </w:p>
          <w:p w14:paraId="0302887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请供应商在上述时间内提供样品。超过截止时间的，采购人或采购代理机构将不予接收，并将清场并封闭样品现场。</w:t>
            </w:r>
          </w:p>
          <w:p w14:paraId="741F52FC">
            <w:pPr>
              <w:spacing w:line="360" w:lineRule="auto"/>
              <w:rPr>
                <w:rFonts w:hint="eastAsia" w:ascii="宋体" w:hAnsi="宋体" w:cs="宋体"/>
                <w:b/>
                <w:color w:val="auto"/>
                <w:sz w:val="24"/>
                <w:highlight w:val="none"/>
              </w:rPr>
            </w:pPr>
            <w:r>
              <w:rPr>
                <w:rFonts w:hint="eastAsia" w:ascii="宋体" w:hAnsi="宋体" w:eastAsia="宋体" w:cs="宋体"/>
                <w:color w:val="auto"/>
                <w:sz w:val="24"/>
                <w:highlight w:val="none"/>
              </w:rPr>
              <w:t xml:space="preserve"> (6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采购活动结束后，对于未</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提供的样品，采购人将进行保管、封存，并作为履约验收的</w:t>
            </w:r>
            <w:r>
              <w:rPr>
                <w:rFonts w:hint="eastAsia" w:ascii="宋体" w:hAnsi="宋体" w:eastAsia="宋体" w:cs="宋体"/>
                <w:color w:val="auto"/>
                <w:sz w:val="24"/>
                <w:highlight w:val="none"/>
                <w:lang w:val="en-US" w:eastAsia="zh-CN"/>
              </w:rPr>
              <w:t>依据</w:t>
            </w:r>
            <w:r>
              <w:rPr>
                <w:rFonts w:hint="eastAsia" w:ascii="宋体" w:hAnsi="宋体" w:eastAsia="宋体" w:cs="宋体"/>
                <w:color w:val="auto"/>
                <w:sz w:val="24"/>
                <w:highlight w:val="none"/>
              </w:rPr>
              <w:t>。</w:t>
            </w:r>
          </w:p>
        </w:tc>
      </w:tr>
      <w:tr w14:paraId="44D8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1F0D8DA8">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vAlign w:val="center"/>
          </w:tcPr>
          <w:p w14:paraId="5DD8FBC1">
            <w:pPr>
              <w:snapToGrid w:val="0"/>
              <w:spacing w:line="288"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vAlign w:val="center"/>
          </w:tcPr>
          <w:p w14:paraId="658F66E7">
            <w:pPr>
              <w:spacing w:line="288"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079DE66">
            <w:pPr>
              <w:spacing w:line="288"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B组织。</w:t>
            </w:r>
          </w:p>
          <w:p w14:paraId="6D2B71B1">
            <w:pPr>
              <w:snapToGrid w:val="0"/>
              <w:spacing w:line="288"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（1）在评标时安排每个供应商进行方案讲解演示。每个供应商时间不超过</w:t>
            </w:r>
            <w:r>
              <w:rPr>
                <w:rFonts w:hint="eastAsia" w:ascii="宋体" w:hAnsi="宋体" w:cs="宋体"/>
                <w:color w:val="auto"/>
                <w:kern w:val="0"/>
                <w:sz w:val="24"/>
                <w:highlight w:val="none"/>
                <w:u w:val="single"/>
              </w:rPr>
              <w:t>10</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2</w:t>
            </w:r>
            <w:r>
              <w:rPr>
                <w:rFonts w:hint="eastAsia" w:ascii="宋体" w:hAnsi="宋体" w:cs="宋体"/>
                <w:color w:val="auto"/>
                <w:kern w:val="0"/>
                <w:sz w:val="24"/>
                <w:highlight w:val="none"/>
              </w:rPr>
              <w:t>人。</w:t>
            </w:r>
          </w:p>
          <w:p w14:paraId="0A316D83">
            <w:pPr>
              <w:snapToGrid w:val="0"/>
              <w:spacing w:line="288"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0474BDA">
            <w:pPr>
              <w:snapToGrid w:val="0"/>
              <w:spacing w:line="288"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方式一：供应商可将演示内容单独制作并存储到U盘中。（因供应商演示内容无法播放或损坏的，视作未提供演示，打分时不予计分）。递交方式：①邮寄送达，送达地址：宁波中基国际招标有限公司 （宁波市鄞州区天童南路666号中基大厦19楼业务六部），联系人：孔</w:t>
            </w:r>
            <w:r>
              <w:rPr>
                <w:rFonts w:hint="eastAsia" w:ascii="宋体" w:hAnsi="宋体" w:cs="宋体"/>
                <w:color w:val="auto"/>
                <w:kern w:val="0"/>
                <w:sz w:val="24"/>
                <w:highlight w:val="none"/>
                <w:lang w:val="en-US" w:eastAsia="zh-CN"/>
              </w:rPr>
              <w:t>工</w:t>
            </w:r>
            <w:r>
              <w:rPr>
                <w:rFonts w:hint="eastAsia" w:ascii="宋体" w:hAnsi="宋体" w:cs="宋体"/>
                <w:color w:val="auto"/>
                <w:kern w:val="0"/>
                <w:sz w:val="24"/>
                <w:highlight w:val="none"/>
              </w:rPr>
              <w:t>，联系方式：0574-87425279供应商邮寄后可将邮件单号发送至采购代理机构电子邮箱（电子邮箱：24692711@qq.com），以便采购代理机构查询物流记录。各供应商应当确保“演示文件”的密封包装在邮寄过程保持完好，因邮寄造成“演示文件”密封破损的或邮寄过程中导致“演示文件”未按时送达的，采购代理机构将拒绝其“演示文件”。各供应商自行考虑邮寄在途时间，“演示文件”送达时间以采购代理机构工作人员实际签收时间为准。“演示文件”邮寄送达截止时间为：提交投标文件截止时间前一工作日的16:00点前。②现场提交：在开标当天，提交投标文件截止时间前送达宁海县政务服务中心五楼开标室（宁海县金水东路5号5楼，具体开标室见现场电子显示屏）。</w:t>
            </w:r>
          </w:p>
          <w:p w14:paraId="39C49DA4">
            <w:pPr>
              <w:snapToGrid w:val="0"/>
              <w:spacing w:line="288"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方式二：评标现场讲解演示。现场讲解地点为</w:t>
            </w:r>
            <w:r>
              <w:rPr>
                <w:rFonts w:hint="eastAsia" w:ascii="宋体" w:hAnsi="宋体" w:cs="宋体"/>
                <w:color w:val="auto"/>
                <w:sz w:val="24"/>
                <w:highlight w:val="none"/>
                <w:u w:val="single"/>
              </w:rPr>
              <w:t>宁海县政务服务中心七楼评标室（宁海县金水东路5号7楼，北门上）</w:t>
            </w:r>
            <w:r>
              <w:rPr>
                <w:rFonts w:hint="eastAsia" w:ascii="宋体" w:hAnsi="宋体" w:cs="宋体"/>
                <w:color w:val="auto"/>
                <w:kern w:val="0"/>
                <w:sz w:val="24"/>
                <w:highlight w:val="none"/>
              </w:rPr>
              <w:t>，讲解演示所用电脑等设备由供应商自备。现场讲解演示人员应于提交投标文件截止时间前完成现场签到，否则不得讲解演示。</w:t>
            </w:r>
          </w:p>
          <w:p w14:paraId="3919ACDE">
            <w:pPr>
              <w:snapToGrid w:val="0"/>
              <w:spacing w:line="288"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w:t>
            </w:r>
          </w:p>
        </w:tc>
      </w:tr>
      <w:tr w14:paraId="69C1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restart"/>
            <w:vAlign w:val="center"/>
          </w:tcPr>
          <w:p w14:paraId="3CF4C9D4">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vAlign w:val="center"/>
          </w:tcPr>
          <w:p w14:paraId="5343FACE">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095" w:type="dxa"/>
            <w:vAlign w:val="center"/>
          </w:tcPr>
          <w:p w14:paraId="6CE262D4">
            <w:pPr>
              <w:spacing w:line="288"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6C4F89E">
            <w:pPr>
              <w:spacing w:line="288"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供应商未提供有效的资格证明文件的，视为供应商不具备招标文件中规定的资格要求，投标无效。</w:t>
            </w:r>
          </w:p>
        </w:tc>
      </w:tr>
      <w:tr w14:paraId="7BAA7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continue"/>
            <w:vAlign w:val="center"/>
          </w:tcPr>
          <w:p w14:paraId="500752D2">
            <w:pPr>
              <w:snapToGrid w:val="0"/>
              <w:spacing w:line="288" w:lineRule="auto"/>
              <w:jc w:val="center"/>
              <w:rPr>
                <w:rFonts w:hint="eastAsia" w:ascii="宋体" w:hAnsi="宋体" w:cs="宋体"/>
                <w:color w:val="auto"/>
                <w:sz w:val="24"/>
                <w:highlight w:val="none"/>
              </w:rPr>
            </w:pPr>
          </w:p>
        </w:tc>
        <w:tc>
          <w:tcPr>
            <w:tcW w:w="1843" w:type="dxa"/>
            <w:vMerge w:val="continue"/>
            <w:vAlign w:val="center"/>
          </w:tcPr>
          <w:p w14:paraId="3F51E2E6">
            <w:pPr>
              <w:snapToGrid w:val="0"/>
              <w:spacing w:line="288" w:lineRule="auto"/>
              <w:jc w:val="center"/>
              <w:rPr>
                <w:rFonts w:hint="eastAsia" w:ascii="宋体" w:hAnsi="宋体" w:cs="宋体"/>
                <w:b/>
                <w:color w:val="auto"/>
                <w:sz w:val="24"/>
                <w:highlight w:val="none"/>
              </w:rPr>
            </w:pPr>
          </w:p>
        </w:tc>
        <w:tc>
          <w:tcPr>
            <w:tcW w:w="6095" w:type="dxa"/>
            <w:vAlign w:val="center"/>
          </w:tcPr>
          <w:p w14:paraId="32B0DF8C">
            <w:pPr>
              <w:spacing w:line="288"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7AE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69076BD1">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vAlign w:val="center"/>
          </w:tcPr>
          <w:p w14:paraId="3B0BB2D0">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vAlign w:val="center"/>
          </w:tcPr>
          <w:p w14:paraId="08742968">
            <w:pPr>
              <w:snapToGrid w:val="0"/>
              <w:spacing w:line="288" w:lineRule="auto"/>
              <w:rPr>
                <w:rFonts w:hint="eastAsia"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DF5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6146C9F9">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vAlign w:val="center"/>
          </w:tcPr>
          <w:p w14:paraId="7E501FE5">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095" w:type="dxa"/>
            <w:vAlign w:val="center"/>
          </w:tcPr>
          <w:p w14:paraId="5BC03F0B">
            <w:pPr>
              <w:snapToGrid w:val="0"/>
              <w:spacing w:line="288"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开标一览表（报价表）是报价的唯一载体，如供应商在政府采购云平台填写的投标报价与投标文件报价文件中开标一览表（报价表）不一致的，以报价文件中开标一览表（报价表）为准。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招标文件未列明，而供应商认为必需的费用也需列入报价。</w:t>
            </w:r>
          </w:p>
          <w:p w14:paraId="2BD8C2B3">
            <w:pPr>
              <w:snapToGrid w:val="0"/>
              <w:spacing w:line="288"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rPr>
              <w:t>本项目</w:t>
            </w:r>
            <w:r>
              <w:rPr>
                <w:rFonts w:hint="eastAsia" w:ascii="宋体" w:hAnsi="宋体" w:cs="宋体"/>
                <w:b/>
                <w:color w:val="auto"/>
                <w:kern w:val="0"/>
                <w:sz w:val="24"/>
                <w:highlight w:val="none"/>
                <w:lang w:val="zh-CN"/>
              </w:rPr>
              <w:t>采用</w:t>
            </w:r>
            <w:r>
              <w:rPr>
                <w:rFonts w:hint="eastAsia" w:ascii="宋体" w:hAnsi="宋体" w:cs="宋体"/>
                <w:b/>
                <w:color w:val="auto"/>
                <w:kern w:val="0"/>
                <w:sz w:val="24"/>
                <w:highlight w:val="none"/>
              </w:rPr>
              <w:t>人民币</w:t>
            </w:r>
            <w:r>
              <w:rPr>
                <w:rFonts w:hint="eastAsia" w:ascii="宋体" w:hAnsi="宋体" w:cs="宋体"/>
                <w:b/>
                <w:color w:val="auto"/>
                <w:kern w:val="0"/>
                <w:sz w:val="24"/>
                <w:highlight w:val="none"/>
                <w:lang w:val="zh-CN"/>
              </w:rPr>
              <w:t>报价。</w:t>
            </w:r>
          </w:p>
          <w:p w14:paraId="3FC9826C">
            <w:pPr>
              <w:snapToGrid w:val="0"/>
              <w:spacing w:line="288"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投标报价须是完成本项目的所有费用，</w:t>
            </w:r>
            <w:r>
              <w:rPr>
                <w:rFonts w:hint="eastAsia" w:ascii="宋体" w:hAnsi="宋体" w:cs="宋体"/>
                <w:b/>
                <w:color w:val="auto"/>
                <w:kern w:val="0"/>
                <w:sz w:val="24"/>
                <w:highlight w:val="none"/>
                <w:lang w:val="zh-CN" w:eastAsia="zh-CN"/>
              </w:rPr>
              <w:t>应包括货物价、货物运至项目现场的运输费、安装费、培训费、保险费、售后服务、利润、税金等一切与本次采购相关的费用。</w:t>
            </w:r>
          </w:p>
          <w:p w14:paraId="13E81C64">
            <w:pPr>
              <w:snapToGrid w:val="0"/>
              <w:spacing w:line="288"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不论投标结果如何，供应商均应自行承担所有与投标有关的全部费用。</w:t>
            </w:r>
          </w:p>
          <w:p w14:paraId="50CF490C">
            <w:pPr>
              <w:snapToGrid w:val="0"/>
              <w:spacing w:line="288"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45E30FD">
            <w:pPr>
              <w:snapToGrid w:val="0"/>
              <w:spacing w:line="288"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9A4544A">
            <w:pPr>
              <w:snapToGrid w:val="0"/>
              <w:spacing w:line="288" w:lineRule="auto"/>
              <w:ind w:firstLine="241" w:firstLineChars="1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62EA382">
            <w:pPr>
              <w:spacing w:line="288" w:lineRule="auto"/>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报价明显低于其他通过符合性审查供应商的报价（低于项目预算50%的），有可能影响产品质量或者不能诚信履约的，未能按要求提供书面说明或者提交相关证明材料，不能证明其报价合理性的</w:t>
            </w:r>
            <w:r>
              <w:rPr>
                <w:rFonts w:hint="eastAsia" w:ascii="宋体" w:hAnsi="宋体" w:cs="宋体"/>
                <w:b/>
                <w:color w:val="auto"/>
                <w:sz w:val="24"/>
                <w:szCs w:val="21"/>
                <w:highlight w:val="none"/>
              </w:rPr>
              <w:t>；</w:t>
            </w:r>
          </w:p>
          <w:p w14:paraId="7B113042">
            <w:pPr>
              <w:spacing w:line="288" w:lineRule="auto"/>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74C8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35DCB71E">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14:paraId="70870371">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vAlign w:val="center"/>
          </w:tcPr>
          <w:p w14:paraId="61E9A89C">
            <w:pPr>
              <w:spacing w:line="288" w:lineRule="auto"/>
              <w:ind w:firstLine="240" w:firstLineChars="100"/>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4A1F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682BD167">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vAlign w:val="center"/>
          </w:tcPr>
          <w:p w14:paraId="792131B5">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vAlign w:val="center"/>
          </w:tcPr>
          <w:p w14:paraId="737BDB5A">
            <w:pPr>
              <w:pStyle w:val="33"/>
              <w:spacing w:line="288" w:lineRule="auto"/>
              <w:rPr>
                <w:rFonts w:hint="eastAsia"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供应商可以准备U盘存储的电子备份投标文件1份，按政府采购云平台要求制作的电子备份投标文件，以用于异常情况处理。</w:t>
            </w:r>
          </w:p>
          <w:p w14:paraId="5B70343B">
            <w:pPr>
              <w:pStyle w:val="33"/>
              <w:spacing w:line="288" w:lineRule="auto"/>
              <w:rPr>
                <w:rFonts w:hint="eastAsia"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如提供备份投标文件的，应于投标文件提交（上传）截止时间前，将以U盘存储的电子备份投标文件密封，递交至</w:t>
            </w:r>
            <w:r>
              <w:rPr>
                <w:rFonts w:hint="eastAsia" w:cs="宋体" w:asciiTheme="minorEastAsia" w:hAnsiTheme="minorEastAsia" w:eastAsiaTheme="minorEastAsia"/>
                <w:color w:val="auto"/>
                <w:kern w:val="28"/>
                <w:sz w:val="24"/>
                <w:szCs w:val="24"/>
                <w:highlight w:val="none"/>
                <w:u w:val="single"/>
              </w:rPr>
              <w:t>宁海县公共资源交易中心（宁海县桃源街道金水东路5号五楼）</w:t>
            </w:r>
            <w:r>
              <w:rPr>
                <w:rFonts w:hint="eastAsia" w:cs="宋体" w:asciiTheme="minorEastAsia" w:hAnsiTheme="minorEastAsia" w:eastAsiaTheme="minorEastAsia"/>
                <w:color w:val="auto"/>
                <w:kern w:val="28"/>
                <w:sz w:val="24"/>
                <w:szCs w:val="24"/>
                <w:highlight w:val="none"/>
              </w:rPr>
              <w:t>，逾期送达或未密封将予以拒收。</w:t>
            </w:r>
          </w:p>
          <w:p w14:paraId="77AA78E5">
            <w:pPr>
              <w:pStyle w:val="33"/>
              <w:spacing w:line="288" w:lineRule="auto"/>
              <w:rPr>
                <w:rFonts w:hint="eastAsia" w:cs="宋体" w:asciiTheme="minorEastAsia" w:hAnsiTheme="minorEastAsia" w:eastAsiaTheme="minorEastAsia"/>
                <w:b/>
                <w:bCs/>
                <w:color w:val="auto"/>
                <w:kern w:val="28"/>
                <w:sz w:val="24"/>
                <w:szCs w:val="24"/>
                <w:highlight w:val="none"/>
              </w:rPr>
            </w:pPr>
            <w:r>
              <w:rPr>
                <w:rFonts w:hint="eastAsia" w:cs="宋体" w:asciiTheme="minorEastAsia" w:hAnsiTheme="minorEastAsia" w:eastAsiaTheme="minorEastAsia"/>
                <w:b/>
                <w:bCs/>
                <w:color w:val="auto"/>
                <w:kern w:val="28"/>
                <w:sz w:val="24"/>
                <w:szCs w:val="24"/>
                <w:highlight w:val="none"/>
              </w:rPr>
              <w:t>供应商可采用邮寄（含快递）方式递交备份投标文件。</w:t>
            </w:r>
          </w:p>
          <w:p w14:paraId="3AE33F26">
            <w:pPr>
              <w:pStyle w:val="33"/>
              <w:spacing w:line="288" w:lineRule="auto"/>
              <w:rPr>
                <w:rFonts w:hint="eastAsia"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12CC0142">
            <w:pPr>
              <w:pStyle w:val="33"/>
              <w:spacing w:line="288" w:lineRule="auto"/>
              <w:rPr>
                <w:rFonts w:hint="eastAsia"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拟在开标前一个工作日16:00前到件的邮寄地址为：宁波市鄞州区天童南路666号中基大厦19楼业务六部；</w:t>
            </w:r>
          </w:p>
          <w:p w14:paraId="5D786AD5">
            <w:pPr>
              <w:pStyle w:val="33"/>
              <w:spacing w:line="288" w:lineRule="auto"/>
              <w:rPr>
                <w:rFonts w:hint="eastAsia"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收件人：孔工   联系方式：0574-87425279</w:t>
            </w:r>
          </w:p>
          <w:p w14:paraId="74C0F8C8">
            <w:pPr>
              <w:pStyle w:val="33"/>
              <w:spacing w:line="288" w:lineRule="auto"/>
              <w:rPr>
                <w:rFonts w:hint="eastAsia"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请各供应商确保密封包装在邮寄过程密封包装完好，因邮寄过程的密封破损造成不符合开标要求的，本采购代理及采购人概不负责。</w:t>
            </w:r>
          </w:p>
          <w:p w14:paraId="6FCAC32E">
            <w:pPr>
              <w:pStyle w:val="33"/>
              <w:spacing w:line="288" w:lineRule="auto"/>
              <w:rPr>
                <w:rFonts w:hint="eastAsia" w:hAnsi="宋体" w:cs="宋体"/>
                <w:color w:val="auto"/>
                <w:kern w:val="28"/>
                <w:sz w:val="24"/>
                <w:highlight w:val="none"/>
              </w:rPr>
            </w:pPr>
            <w:r>
              <w:rPr>
                <w:rFonts w:hint="eastAsia" w:cs="宋体" w:asciiTheme="minorEastAsia" w:hAnsiTheme="minorEastAsia" w:eastAsiaTheme="minorEastAsia"/>
                <w:b/>
                <w:color w:val="auto"/>
                <w:sz w:val="24"/>
                <w:szCs w:val="24"/>
                <w:highlight w:val="none"/>
              </w:rPr>
              <w:t>采购人、采购代理机构不强制或变相强制供应商提交备份投标文件。</w:t>
            </w:r>
          </w:p>
        </w:tc>
      </w:tr>
      <w:tr w14:paraId="364E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restart"/>
            <w:vAlign w:val="center"/>
          </w:tcPr>
          <w:p w14:paraId="28AA928F">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vAlign w:val="center"/>
          </w:tcPr>
          <w:p w14:paraId="112A3BE0">
            <w:pPr>
              <w:snapToGrid w:val="0"/>
              <w:spacing w:line="288"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vAlign w:val="center"/>
          </w:tcPr>
          <w:p w14:paraId="7603D90A">
            <w:pPr>
              <w:spacing w:line="288"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34F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continue"/>
          </w:tcPr>
          <w:p w14:paraId="1FDAA284">
            <w:pPr>
              <w:snapToGrid w:val="0"/>
              <w:spacing w:line="288" w:lineRule="auto"/>
              <w:jc w:val="center"/>
              <w:rPr>
                <w:rFonts w:hint="eastAsia" w:ascii="宋体" w:hAnsi="宋体" w:cs="宋体"/>
                <w:color w:val="auto"/>
                <w:sz w:val="24"/>
                <w:highlight w:val="none"/>
              </w:rPr>
            </w:pPr>
          </w:p>
        </w:tc>
        <w:tc>
          <w:tcPr>
            <w:tcW w:w="1843" w:type="dxa"/>
            <w:vMerge w:val="continue"/>
            <w:vAlign w:val="center"/>
          </w:tcPr>
          <w:p w14:paraId="0FC8D4B9">
            <w:pPr>
              <w:snapToGrid w:val="0"/>
              <w:spacing w:line="288" w:lineRule="auto"/>
              <w:jc w:val="center"/>
              <w:rPr>
                <w:rFonts w:hint="eastAsia" w:ascii="宋体" w:hAnsi="宋体" w:cs="宋体"/>
                <w:b/>
                <w:color w:val="auto"/>
                <w:sz w:val="24"/>
                <w:highlight w:val="none"/>
              </w:rPr>
            </w:pPr>
          </w:p>
        </w:tc>
        <w:tc>
          <w:tcPr>
            <w:tcW w:w="6095" w:type="dxa"/>
            <w:vAlign w:val="center"/>
          </w:tcPr>
          <w:p w14:paraId="5969EC5D">
            <w:pPr>
              <w:spacing w:line="288"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0702C800">
            <w:pPr>
              <w:spacing w:line="288"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highlight w:val="none"/>
                  </w:rPr>
                  <w:t>þ</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81E8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1FB3D985">
            <w:pPr>
              <w:snapToGrid w:val="0"/>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w:t>
            </w:r>
          </w:p>
        </w:tc>
        <w:tc>
          <w:tcPr>
            <w:tcW w:w="1843" w:type="dxa"/>
            <w:vAlign w:val="center"/>
          </w:tcPr>
          <w:p w14:paraId="7B548C03">
            <w:pPr>
              <w:snapToGrid w:val="0"/>
              <w:spacing w:line="288"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其他说明</w:t>
            </w:r>
          </w:p>
        </w:tc>
        <w:tc>
          <w:tcPr>
            <w:tcW w:w="6095" w:type="dxa"/>
            <w:vAlign w:val="center"/>
          </w:tcPr>
          <w:p w14:paraId="4952E75C">
            <w:pPr>
              <w:spacing w:line="288" w:lineRule="auto"/>
              <w:rPr>
                <w:rFonts w:hint="default"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rPr>
              <w:t>招标代理服务费的收取标准：代理机构</w:t>
            </w:r>
            <w:r>
              <w:rPr>
                <w:rFonts w:hint="eastAsia" w:cs="Arial" w:asciiTheme="minorEastAsia" w:hAnsiTheme="minorEastAsia" w:eastAsiaTheme="minorEastAsia"/>
                <w:color w:val="auto"/>
                <w:kern w:val="0"/>
                <w:sz w:val="24"/>
                <w:highlight w:val="none"/>
                <w:lang w:val="en-US" w:eastAsia="zh-CN"/>
              </w:rPr>
              <w:t>向成交单位收取招标代理服务费7500元。</w:t>
            </w:r>
          </w:p>
          <w:p w14:paraId="16741933">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关于本次采购的服务费汇入以下账户：</w:t>
            </w:r>
          </w:p>
          <w:p w14:paraId="6AFD6CFA">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开户银行： 宁波银行科技支行</w:t>
            </w:r>
          </w:p>
          <w:p w14:paraId="214BFE0E">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lang w:eastAsia="zh-CN"/>
              </w:rPr>
              <w:t xml:space="preserve">账   </w:t>
            </w:r>
            <w:r>
              <w:rPr>
                <w:rFonts w:hint="eastAsia" w:cs="Arial" w:asciiTheme="minorEastAsia" w:hAnsiTheme="minorEastAsia" w:eastAsiaTheme="minorEastAsia"/>
                <w:color w:val="auto"/>
                <w:kern w:val="0"/>
                <w:sz w:val="24"/>
                <w:highlight w:val="none"/>
              </w:rPr>
              <w:t xml:space="preserve"> 号： 31010122000005488</w:t>
            </w:r>
          </w:p>
          <w:p w14:paraId="31E0062C">
            <w:pPr>
              <w:spacing w:line="288" w:lineRule="auto"/>
              <w:rPr>
                <w:rFonts w:hint="eastAsia" w:cs="Arial" w:asciiTheme="minorEastAsia" w:hAnsiTheme="minorEastAsia" w:eastAsiaTheme="minorEastAsia"/>
                <w:color w:val="auto"/>
                <w:kern w:val="0"/>
                <w:sz w:val="24"/>
                <w:highlight w:val="none"/>
                <w:lang w:eastAsia="zh-CN"/>
              </w:rPr>
            </w:pPr>
            <w:r>
              <w:rPr>
                <w:rFonts w:hint="eastAsia" w:cs="Arial" w:asciiTheme="minorEastAsia" w:hAnsiTheme="minorEastAsia" w:eastAsiaTheme="minorEastAsia"/>
                <w:color w:val="auto"/>
                <w:kern w:val="0"/>
                <w:sz w:val="24"/>
                <w:highlight w:val="none"/>
              </w:rPr>
              <w:t>户    名： 宁波中基国际招标有限公司</w:t>
            </w:r>
          </w:p>
        </w:tc>
      </w:tr>
      <w:bookmarkEnd w:id="9"/>
    </w:tbl>
    <w:p w14:paraId="02B0E363">
      <w:pPr>
        <w:rPr>
          <w:rFonts w:hint="eastAsia" w:ascii="宋体" w:hAnsi="宋体" w:cs="宋体"/>
          <w:b/>
          <w:color w:val="auto"/>
          <w:sz w:val="32"/>
          <w:szCs w:val="20"/>
          <w:highlight w:val="none"/>
        </w:rPr>
      </w:pPr>
      <w:bookmarkStart w:id="27" w:name="第三部分"/>
      <w:bookmarkStart w:id="28" w:name="_Toc164416483"/>
      <w:r>
        <w:rPr>
          <w:rFonts w:hint="eastAsia" w:ascii="宋体" w:hAnsi="宋体" w:cs="宋体"/>
          <w:b/>
          <w:color w:val="auto"/>
          <w:sz w:val="32"/>
          <w:szCs w:val="20"/>
          <w:highlight w:val="none"/>
        </w:rPr>
        <w:br w:type="page"/>
      </w:r>
    </w:p>
    <w:p w14:paraId="57FD40A1">
      <w:pPr>
        <w:adjustRightInd/>
        <w:spacing w:line="348" w:lineRule="auto"/>
        <w:ind w:firstLine="3845" w:firstLineChars="1197"/>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3E8D25CD">
      <w:pPr>
        <w:snapToGrid w:val="0"/>
        <w:spacing w:line="348" w:lineRule="auto"/>
        <w:ind w:firstLine="361" w:firstLineChars="150"/>
        <w:jc w:val="left"/>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36843FCA">
      <w:pPr>
        <w:snapToGrid w:val="0"/>
        <w:spacing w:line="348"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AE8146F">
      <w:pPr>
        <w:adjustRightInd/>
        <w:spacing w:line="348" w:lineRule="auto"/>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19BB7FAB">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726A350">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44725A19">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“供应商”系指是指响应招标、参加投标竞争的法人、其他组织或者自然人。</w:t>
      </w:r>
    </w:p>
    <w:p w14:paraId="33C8E530">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B1B76F9">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FF89542">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46D70E46">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FEC2081">
      <w:pPr>
        <w:spacing w:line="348"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F3E69B9">
      <w:pPr>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0F1099C">
      <w:pPr>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6477CC8B">
      <w:pPr>
        <w:spacing w:line="348"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w:t>
      </w:r>
    </w:p>
    <w:p w14:paraId="748427BD">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3.2.2纳入政府采购管理的修缮、装修类项目采购建材的，鼓励采购单位将绿色建材性能、指标等作为实质性条件纳入招标文件和合同，具体性能指标要求参考相关绿色建材政府采购需求标准。</w:t>
      </w:r>
    </w:p>
    <w:p w14:paraId="432B3BA8">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9"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FAF457F">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29"/>
    </w:p>
    <w:p w14:paraId="3CF6AB7B">
      <w:pPr>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1B76AEAF">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3C1276F">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79AE8AF">
      <w:pPr>
        <w:widowControl/>
        <w:spacing w:line="348"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供应商提供的货物符合下列情形的，享受中小企业扶持政策：在货物采购项目中，货物由中小企业制造，即货物由中小企业生产且使用该中小企业商号或者注册商标；在货物采购项目中，供应商提供的货物既有中小企业制造货物，也有大型企业制造货物的，不享受中小企业扶持政策。</w:t>
      </w:r>
    </w:p>
    <w:p w14:paraId="5EBCE072">
      <w:pPr>
        <w:widowControl/>
        <w:spacing w:line="34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E7B46D1">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30" w:name="_Hlk101132181"/>
      <w:r>
        <w:rPr>
          <w:rFonts w:hint="eastAsia" w:ascii="宋体" w:hAnsi="宋体" w:cs="宋体"/>
          <w:color w:val="auto"/>
          <w:sz w:val="24"/>
          <w:highlight w:val="none"/>
        </w:rPr>
        <w:t>联合协议或者分包意向协议约定小微企业的合同份额占到合同总金额30%以上的</w:t>
      </w:r>
      <w:bookmarkEnd w:id="30"/>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1DC4159F">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00004DE">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5B89CE7">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供应商应按照招标文件格式要求提供《中小企业声明函》，供应商提供的《中小企业声明函》与实际情况不符的，不享受中小企业扶持政策。声明内容不实的，属于提供虚假材料谋取中标、成交的，依法承担法律责任。</w:t>
      </w:r>
    </w:p>
    <w:p w14:paraId="0E750178">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FC70ABE">
      <w:pPr>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4B9904E">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对省级以上主管部门认定的首台套产品，自纳入《省推广应用指导目录》起三年内参加政府采购活动，视同已具备相应销售业绩，业绩分为满分。</w:t>
      </w:r>
    </w:p>
    <w:p w14:paraId="2CE6417A">
      <w:pPr>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327F2D4">
      <w:pPr>
        <w:spacing w:line="348"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351F772">
      <w:pPr>
        <w:pStyle w:val="887"/>
        <w:snapToGrid w:val="0"/>
        <w:spacing w:before="0" w:beforeAutospacing="0" w:after="0" w:afterAutospacing="0" w:line="348" w:lineRule="auto"/>
        <w:ind w:firstLine="400"/>
        <w:contextualSpacing/>
        <w:rPr>
          <w:rFonts w:hint="eastAsia"/>
          <w:color w:val="auto"/>
          <w:highlight w:val="none"/>
          <w:lang w:val="zh-CN"/>
        </w:rPr>
      </w:pPr>
      <w:r>
        <w:rPr>
          <w:rFonts w:hint="eastAsia"/>
          <w:color w:val="auto"/>
          <w:highlight w:val="none"/>
          <w:lang w:val="zh-CN"/>
        </w:rPr>
        <w:t>4.1在线询问、质疑、投诉</w:t>
      </w:r>
    </w:p>
    <w:p w14:paraId="5A8A7F8D">
      <w:pPr>
        <w:pStyle w:val="887"/>
        <w:snapToGrid w:val="0"/>
        <w:spacing w:before="0" w:beforeAutospacing="0" w:after="0" w:afterAutospacing="0" w:line="348" w:lineRule="auto"/>
        <w:ind w:firstLine="400"/>
        <w:contextualSpacing/>
        <w:rPr>
          <w:rFonts w:hint="eastAsia"/>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925A07B">
      <w:pPr>
        <w:autoSpaceDE w:val="0"/>
        <w:autoSpaceDN w:val="0"/>
        <w:spacing w:line="348"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715DC1A">
      <w:pPr>
        <w:autoSpaceDE w:val="0"/>
        <w:autoSpaceDN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B54E5F4">
      <w:pPr>
        <w:autoSpaceDE w:val="0"/>
        <w:autoSpaceDN w:val="0"/>
        <w:spacing w:line="348"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2E649D6">
      <w:pPr>
        <w:pStyle w:val="33"/>
        <w:spacing w:line="348"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5B5FE5E">
      <w:pPr>
        <w:pStyle w:val="33"/>
        <w:spacing w:line="348"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3116F86">
      <w:pPr>
        <w:pStyle w:val="7"/>
        <w:spacing w:line="348"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3D977AA">
      <w:pPr>
        <w:pStyle w:val="33"/>
        <w:spacing w:line="348"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BA69C68">
      <w:pPr>
        <w:pStyle w:val="33"/>
        <w:spacing w:line="348"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5854886">
      <w:pPr>
        <w:pStyle w:val="33"/>
        <w:spacing w:line="348"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0A08FAA">
      <w:pPr>
        <w:pStyle w:val="33"/>
        <w:spacing w:line="348"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8517256">
      <w:pPr>
        <w:pStyle w:val="33"/>
        <w:spacing w:line="348"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28991D3">
      <w:pPr>
        <w:pStyle w:val="33"/>
        <w:spacing w:line="348"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1673EEA9">
      <w:pPr>
        <w:pStyle w:val="33"/>
        <w:spacing w:line="348"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2F349EF8">
      <w:pPr>
        <w:pStyle w:val="33"/>
        <w:spacing w:line="348"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C14DFE2">
      <w:pPr>
        <w:pStyle w:val="887"/>
        <w:snapToGrid w:val="0"/>
        <w:spacing w:before="0" w:beforeAutospacing="0" w:after="0" w:afterAutospacing="0" w:line="348" w:lineRule="auto"/>
        <w:ind w:firstLine="400"/>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A8C7A87">
      <w:pPr>
        <w:pStyle w:val="887"/>
        <w:snapToGrid w:val="0"/>
        <w:spacing w:before="0" w:beforeAutospacing="0" w:after="0" w:afterAutospacing="0" w:line="348" w:lineRule="auto"/>
        <w:ind w:firstLine="400"/>
        <w:contextualSpacing/>
        <w:rPr>
          <w:rFonts w:hint="eastAsia"/>
          <w:color w:val="auto"/>
          <w:highlight w:val="none"/>
        </w:rPr>
      </w:pPr>
      <w:r>
        <w:rPr>
          <w:rFonts w:hint="eastAsia"/>
          <w:color w:val="auto"/>
          <w:highlight w:val="none"/>
        </w:rPr>
        <w:t>质疑函范本及制作说明详见附件2。</w:t>
      </w:r>
    </w:p>
    <w:p w14:paraId="2927C2E2">
      <w:pPr>
        <w:pStyle w:val="887"/>
        <w:snapToGrid w:val="0"/>
        <w:spacing w:before="0" w:beforeAutospacing="0" w:after="0" w:afterAutospacing="0" w:line="348" w:lineRule="auto"/>
        <w:ind w:firstLine="400"/>
        <w:contextualSpacing/>
        <w:rPr>
          <w:rFonts w:hint="eastAsia"/>
          <w:color w:val="auto"/>
          <w:highlight w:val="none"/>
        </w:rPr>
      </w:pPr>
      <w:r>
        <w:rPr>
          <w:rFonts w:hint="eastAsia"/>
          <w:color w:val="auto"/>
          <w:highlight w:val="none"/>
        </w:rPr>
        <w:t>4.3.4对同一采购程序环节的质疑，供应商须在法定质疑期内一次性提出。</w:t>
      </w:r>
    </w:p>
    <w:p w14:paraId="0DB8027E">
      <w:pPr>
        <w:pStyle w:val="887"/>
        <w:snapToGrid w:val="0"/>
        <w:spacing w:before="0" w:beforeAutospacing="0" w:after="0" w:afterAutospacing="0" w:line="348"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highlight w:val="none"/>
        </w:rPr>
        <w:t>根据《浙江省财政厅关于进一步加强政府采购公平竞争打造最优营商环境的通知》（浙财采监〔</w:t>
      </w:r>
      <w:r>
        <w:rPr>
          <w:rFonts w:asciiTheme="minorEastAsia" w:hAnsiTheme="minorEastAsia" w:eastAsiaTheme="minorEastAsia"/>
          <w:color w:val="auto"/>
          <w:highlight w:val="none"/>
        </w:rPr>
        <w:t>2021〕</w:t>
      </w:r>
      <w:r>
        <w:rPr>
          <w:rFonts w:hint="eastAsia" w:asciiTheme="minorEastAsia" w:hAnsiTheme="minorEastAsia" w:eastAsiaTheme="minorEastAsia"/>
          <w:color w:val="auto"/>
          <w:highlight w:val="none"/>
        </w:rPr>
        <w:t>22</w:t>
      </w:r>
      <w:r>
        <w:rPr>
          <w:rFonts w:asciiTheme="minorEastAsia" w:hAnsiTheme="minorEastAsia" w:eastAsiaTheme="minorEastAsia"/>
          <w:color w:val="auto"/>
          <w:highlight w:val="none"/>
        </w:rPr>
        <w:t>号）</w:t>
      </w:r>
      <w:r>
        <w:rPr>
          <w:rFonts w:hint="eastAsia" w:asciiTheme="minorEastAsia" w:hAnsiTheme="minorEastAsia" w:eastAsiaTheme="minorEastAsia"/>
          <w:color w:val="auto"/>
          <w:highlight w:val="none"/>
        </w:rPr>
        <w:t>，</w:t>
      </w:r>
      <w:r>
        <w:rPr>
          <w:rFonts w:hint="eastAsia"/>
          <w:color w:val="auto"/>
          <w:highlight w:val="none"/>
        </w:rPr>
        <w:t>采购人或者采购代理机构在质疑回复后5个工作日内，在浙江政府采购网的“其他公告”栏目公开质疑答复，答复内容应当完整。质疑函作为附件上传。</w:t>
      </w:r>
    </w:p>
    <w:p w14:paraId="454DC554">
      <w:pPr>
        <w:pStyle w:val="887"/>
        <w:snapToGrid w:val="0"/>
        <w:spacing w:before="0" w:beforeAutospacing="0" w:after="0" w:afterAutospacing="0" w:line="348"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D212EE8">
      <w:pPr>
        <w:pStyle w:val="887"/>
        <w:snapToGrid w:val="0"/>
        <w:spacing w:before="0" w:beforeAutospacing="0" w:after="0" w:afterAutospacing="0" w:line="348" w:lineRule="auto"/>
        <w:ind w:firstLine="480" w:firstLineChars="200"/>
        <w:contextualSpacing/>
        <w:rPr>
          <w:rFonts w:hint="eastAsia"/>
          <w:color w:val="auto"/>
          <w:highlight w:val="none"/>
          <w:lang w:val="zh-CN"/>
        </w:rPr>
      </w:pPr>
      <w:r>
        <w:rPr>
          <w:rFonts w:hint="eastAsia"/>
          <w:color w:val="auto"/>
          <w:highlight w:val="none"/>
          <w:lang w:val="zh-CN"/>
        </w:rPr>
        <w:t>4.4供应商投诉</w:t>
      </w:r>
    </w:p>
    <w:p w14:paraId="3EFEE7AD">
      <w:pPr>
        <w:pStyle w:val="887"/>
        <w:snapToGrid w:val="0"/>
        <w:spacing w:before="0" w:beforeAutospacing="0" w:after="0" w:afterAutospacing="0" w:line="348" w:lineRule="auto"/>
        <w:ind w:firstLine="400"/>
        <w:contextualSpacing/>
        <w:rPr>
          <w:rFonts w:hint="eastAsia"/>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6297466">
      <w:pPr>
        <w:pStyle w:val="887"/>
        <w:snapToGrid w:val="0"/>
        <w:spacing w:before="0" w:beforeAutospacing="0" w:after="0" w:afterAutospacing="0" w:line="348" w:lineRule="auto"/>
        <w:ind w:firstLine="400"/>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AFBF27D">
      <w:pPr>
        <w:pStyle w:val="887"/>
        <w:snapToGrid w:val="0"/>
        <w:spacing w:before="0" w:beforeAutospacing="0" w:after="0" w:afterAutospacing="0" w:line="348" w:lineRule="auto"/>
        <w:ind w:firstLine="400"/>
        <w:contextualSpacing/>
        <w:rPr>
          <w:rFonts w:hint="eastAsia"/>
          <w:color w:val="auto"/>
          <w:highlight w:val="none"/>
        </w:rPr>
      </w:pPr>
      <w:r>
        <w:rPr>
          <w:rFonts w:hint="eastAsia"/>
          <w:color w:val="auto"/>
          <w:highlight w:val="none"/>
        </w:rPr>
        <w:t>4.4.3供应商投诉应当有明确的请求和必要的证明材料。</w:t>
      </w:r>
    </w:p>
    <w:p w14:paraId="3AF8AB2D">
      <w:pPr>
        <w:pStyle w:val="887"/>
        <w:snapToGrid w:val="0"/>
        <w:spacing w:before="0" w:beforeAutospacing="0" w:after="0" w:afterAutospacing="0" w:line="348" w:lineRule="auto"/>
        <w:ind w:firstLine="4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14:paraId="55A28C48">
      <w:pPr>
        <w:pStyle w:val="887"/>
        <w:snapToGrid w:val="0"/>
        <w:spacing w:before="0" w:beforeAutospacing="0" w:after="0" w:afterAutospacing="0" w:line="348" w:lineRule="auto"/>
        <w:ind w:firstLine="480" w:firstLineChars="200"/>
        <w:contextualSpacing/>
        <w:rPr>
          <w:rFonts w:hint="eastAsia"/>
          <w:color w:val="auto"/>
          <w:highlight w:val="none"/>
        </w:rPr>
      </w:pPr>
      <w:r>
        <w:rPr>
          <w:rFonts w:hint="eastAsia"/>
          <w:color w:val="auto"/>
          <w:highlight w:val="none"/>
        </w:rPr>
        <w:t>4.4.5投诉材料</w:t>
      </w:r>
      <w:r>
        <w:rPr>
          <w:rFonts w:hint="eastAsia" w:hAnsi="Courier New"/>
          <w:color w:val="auto"/>
          <w:highlight w:val="none"/>
        </w:rPr>
        <w:t>寄送</w:t>
      </w:r>
      <w:r>
        <w:rPr>
          <w:rFonts w:hint="eastAsia"/>
          <w:color w:val="auto"/>
          <w:highlight w:val="none"/>
        </w:rPr>
        <w:t>相关信息详见《第一部分  招标公告》。</w:t>
      </w:r>
    </w:p>
    <w:p w14:paraId="516AA881">
      <w:pPr>
        <w:pStyle w:val="887"/>
        <w:snapToGrid w:val="0"/>
        <w:spacing w:before="0" w:beforeAutospacing="0" w:after="0" w:afterAutospacing="0" w:line="348" w:lineRule="auto"/>
        <w:ind w:firstLine="400"/>
        <w:contextualSpacing/>
        <w:rPr>
          <w:rFonts w:hint="eastAsia"/>
          <w:color w:val="auto"/>
          <w:highlight w:val="none"/>
        </w:rPr>
      </w:pPr>
      <w:r>
        <w:rPr>
          <w:rFonts w:hint="eastAsia"/>
          <w:color w:val="auto"/>
          <w:highlight w:val="none"/>
        </w:rPr>
        <w:t>投诉书范本及制作说明详见附件3。</w:t>
      </w:r>
    </w:p>
    <w:p w14:paraId="496B4C8A">
      <w:pPr>
        <w:adjustRightInd/>
        <w:spacing w:line="348"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2821A8E2">
      <w:pPr>
        <w:pStyle w:val="33"/>
        <w:spacing w:line="348"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7667665F">
      <w:pPr>
        <w:pStyle w:val="33"/>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2A0FEF81">
      <w:pPr>
        <w:pStyle w:val="33"/>
        <w:tabs>
          <w:tab w:val="left" w:pos="840"/>
        </w:tabs>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25A1BBCD">
      <w:pPr>
        <w:pStyle w:val="33"/>
        <w:tabs>
          <w:tab w:val="left" w:pos="840"/>
        </w:tabs>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5.1.2供应商须知；</w:t>
      </w:r>
    </w:p>
    <w:p w14:paraId="4488B6FB">
      <w:pPr>
        <w:pStyle w:val="33"/>
        <w:tabs>
          <w:tab w:val="left" w:pos="840"/>
        </w:tabs>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3B431926">
      <w:pPr>
        <w:pStyle w:val="33"/>
        <w:tabs>
          <w:tab w:val="left" w:pos="840"/>
        </w:tabs>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6E251C5D">
      <w:pPr>
        <w:pStyle w:val="33"/>
        <w:tabs>
          <w:tab w:val="left" w:pos="840"/>
        </w:tabs>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721F02D7">
      <w:pPr>
        <w:pStyle w:val="33"/>
        <w:tabs>
          <w:tab w:val="left" w:pos="840"/>
        </w:tabs>
        <w:spacing w:line="348"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68463C2">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EAF0B6F">
      <w:pPr>
        <w:pStyle w:val="33"/>
        <w:spacing w:line="348" w:lineRule="auto"/>
        <w:rPr>
          <w:rFonts w:hint="eastAsia" w:hAnsi="宋体" w:cs="宋体"/>
          <w:b/>
          <w:color w:val="auto"/>
          <w:sz w:val="24"/>
          <w:szCs w:val="24"/>
          <w:highlight w:val="none"/>
        </w:rPr>
      </w:pPr>
      <w:r>
        <w:rPr>
          <w:rFonts w:hint="eastAsia" w:hAnsi="宋体" w:cs="宋体"/>
          <w:b/>
          <w:color w:val="auto"/>
          <w:sz w:val="24"/>
          <w:szCs w:val="24"/>
          <w:highlight w:val="none"/>
        </w:rPr>
        <w:t>6.招标文件的澄清、修改</w:t>
      </w:r>
    </w:p>
    <w:p w14:paraId="10F273DD">
      <w:pPr>
        <w:pStyle w:val="135"/>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6.1已获取招标文件的潜在供应商，若有问题需要澄清，应于投标截止时间前，以书面形式向采购代理机构提出。</w:t>
      </w:r>
    </w:p>
    <w:p w14:paraId="7CAFA02B">
      <w:pPr>
        <w:pStyle w:val="135"/>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6.2采购代理机构对招标文件进行澄清或修改的，将同时通过电子交易平台通知已获取招标文件的潜在供应商。依法应当公告的，将按规定公告，同时视情况延长投标截止时间和开标时间。该澄清或者修改的内容为招标文件的组成部分。</w:t>
      </w:r>
    </w:p>
    <w:p w14:paraId="34B0624C">
      <w:pPr>
        <w:adjustRightInd/>
        <w:spacing w:line="348" w:lineRule="auto"/>
        <w:jc w:val="center"/>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14:paraId="6AF99940">
      <w:pPr>
        <w:pStyle w:val="33"/>
        <w:spacing w:line="348" w:lineRule="auto"/>
        <w:rPr>
          <w:rFonts w:hint="eastAsia" w:hAnsi="宋体" w:cs="宋体"/>
          <w:b/>
          <w:color w:val="auto"/>
          <w:sz w:val="24"/>
          <w:szCs w:val="24"/>
          <w:highlight w:val="none"/>
        </w:rPr>
      </w:pPr>
      <w:r>
        <w:rPr>
          <w:rFonts w:hint="eastAsia" w:hAnsi="宋体" w:cs="宋体"/>
          <w:b/>
          <w:color w:val="auto"/>
          <w:sz w:val="24"/>
          <w:szCs w:val="24"/>
          <w:highlight w:val="none"/>
        </w:rPr>
        <w:t>7.招标文件的获取</w:t>
      </w:r>
    </w:p>
    <w:p w14:paraId="19CE1F1C">
      <w:pPr>
        <w:spacing w:line="348"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A0F96B9">
      <w:pPr>
        <w:pStyle w:val="33"/>
        <w:spacing w:line="348"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55C4D387">
      <w:pPr>
        <w:pStyle w:val="33"/>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采购人组织潜在供应商现场考察或者召开开标前答疑会的，潜在供应商按第二部分供应商须知前附表的规定参加现场考察或者开标前答疑会。</w:t>
      </w:r>
    </w:p>
    <w:p w14:paraId="0A51CB61">
      <w:pPr>
        <w:pStyle w:val="33"/>
        <w:spacing w:line="348" w:lineRule="auto"/>
        <w:rPr>
          <w:rFonts w:hint="eastAsia" w:hAnsi="宋体" w:cs="宋体"/>
          <w:b/>
          <w:color w:val="auto"/>
          <w:szCs w:val="24"/>
          <w:highlight w:val="none"/>
        </w:rPr>
      </w:pPr>
      <w:r>
        <w:rPr>
          <w:rFonts w:hint="eastAsia" w:hAnsi="宋体" w:cs="宋体"/>
          <w:b/>
          <w:color w:val="auto"/>
          <w:kern w:val="28"/>
          <w:sz w:val="24"/>
          <w:szCs w:val="24"/>
          <w:highlight w:val="none"/>
        </w:rPr>
        <w:t>9.投标保证金</w:t>
      </w:r>
    </w:p>
    <w:p w14:paraId="4AE29936">
      <w:pPr>
        <w:pStyle w:val="7"/>
        <w:spacing w:line="348"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56EDB901">
      <w:pPr>
        <w:pStyle w:val="33"/>
        <w:spacing w:line="348"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0CEA67CE">
      <w:pPr>
        <w:autoSpaceDE w:val="0"/>
        <w:autoSpaceDN w:val="0"/>
        <w:spacing w:line="348"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投标文件及供应商与采购有关的来往通知、函件和文件均应使用中文。</w:t>
      </w:r>
    </w:p>
    <w:p w14:paraId="45EF406A">
      <w:pPr>
        <w:pStyle w:val="33"/>
        <w:spacing w:line="348"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6642A3A8">
      <w:pPr>
        <w:snapToGrid w:val="0"/>
        <w:spacing w:line="348"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11.1资格文件：</w:t>
      </w:r>
    </w:p>
    <w:p w14:paraId="36FABEA5">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03715FF">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31" w:name="_Hlk101259339"/>
      <w:r>
        <w:rPr>
          <w:rFonts w:hint="eastAsia" w:ascii="宋体" w:hAnsi="宋体" w:cs="宋体"/>
          <w:snapToGrid w:val="0"/>
          <w:color w:val="auto"/>
          <w:kern w:val="28"/>
          <w:sz w:val="24"/>
          <w:szCs w:val="20"/>
          <w:highlight w:val="none"/>
        </w:rPr>
        <w:t>联合协议</w:t>
      </w:r>
      <w:bookmarkEnd w:id="31"/>
      <w:r>
        <w:rPr>
          <w:rFonts w:hint="eastAsia" w:ascii="宋体" w:hAnsi="宋体" w:cs="宋体"/>
          <w:snapToGrid w:val="0"/>
          <w:color w:val="auto"/>
          <w:kern w:val="28"/>
          <w:sz w:val="24"/>
          <w:szCs w:val="20"/>
          <w:highlight w:val="none"/>
        </w:rPr>
        <w:t>（如果有）；</w:t>
      </w:r>
    </w:p>
    <w:p w14:paraId="49D8F129">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：中小企业声明函</w:t>
      </w:r>
      <w:r>
        <w:rPr>
          <w:rFonts w:hint="eastAsia" w:ascii="宋体" w:hAnsi="宋体" w:cs="宋体"/>
          <w:color w:val="auto"/>
          <w:sz w:val="24"/>
          <w:highlight w:val="none"/>
        </w:rPr>
        <w:t>；</w:t>
      </w:r>
    </w:p>
    <w:p w14:paraId="45FA0C42">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EF16895">
      <w:pPr>
        <w:snapToGrid w:val="0"/>
        <w:spacing w:line="348" w:lineRule="auto"/>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062E06F4">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p>
    <w:p w14:paraId="42EB71B3">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FD385A8">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9506E61">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D9601EB">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C29AED8">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商务技术偏离表；</w:t>
      </w:r>
    </w:p>
    <w:p w14:paraId="500200B8">
      <w:pPr>
        <w:snapToGrid w:val="0"/>
        <w:spacing w:line="348"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68E22A8F">
      <w:pPr>
        <w:snapToGrid w:val="0"/>
        <w:spacing w:line="348" w:lineRule="auto"/>
        <w:ind w:firstLine="482" w:firstLineChars="200"/>
        <w:rPr>
          <w:rFonts w:hint="eastAsia"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56A0BF31">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11.3.1开标一览表（报价表）、投标分项报价表；</w:t>
      </w:r>
    </w:p>
    <w:p w14:paraId="48BC68B6">
      <w:pPr>
        <w:snapToGrid w:val="0"/>
        <w:spacing w:line="348" w:lineRule="auto"/>
        <w:ind w:firstLine="960" w:firstLineChars="4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11.3.2中小企业声明函（如果有）；</w:t>
      </w:r>
    </w:p>
    <w:p w14:paraId="7FCA539D">
      <w:pPr>
        <w:spacing w:line="348" w:lineRule="auto"/>
        <w:ind w:firstLine="964" w:firstLineChars="400"/>
        <w:rPr>
          <w:rFonts w:hint="eastAsia" w:ascii="宋体" w:hAnsi="宋体" w:cs="宋体"/>
          <w:b/>
          <w:color w:val="auto"/>
          <w:sz w:val="24"/>
          <w:highlight w:val="none"/>
        </w:rPr>
      </w:pPr>
      <w:r>
        <w:rPr>
          <w:rFonts w:hint="eastAsia" w:ascii="宋体" w:hAnsi="宋体" w:cs="宋体"/>
          <w:b/>
          <w:color w:val="auto"/>
          <w:sz w:val="24"/>
          <w:highlight w:val="none"/>
        </w:rPr>
        <w:t>11.3.</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报价情况说明（如供应商报价低于项目预算50%的，应当提交本文档，详细阐述不影响产品质量或者诚信履约的具体原因）。</w:t>
      </w:r>
    </w:p>
    <w:p w14:paraId="72A7D777">
      <w:pPr>
        <w:spacing w:line="348" w:lineRule="auto"/>
        <w:ind w:firstLine="964" w:firstLineChars="4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C1B2E0C">
      <w:pPr>
        <w:spacing w:line="348" w:lineRule="auto"/>
        <w:ind w:firstLine="964" w:firstLineChars="4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30B0AF3E">
      <w:pPr>
        <w:spacing w:line="348" w:lineRule="auto"/>
        <w:ind w:firstLine="964" w:firstLineChars="400"/>
        <w:rPr>
          <w:rFonts w:hint="eastAsia" w:ascii="宋体" w:hAnsi="宋体" w:cs="宋体"/>
          <w:b/>
          <w:color w:val="auto"/>
          <w:sz w:val="24"/>
          <w:highlight w:val="none"/>
        </w:rPr>
      </w:pPr>
      <w:r>
        <w:rPr>
          <w:rFonts w:hint="eastAsia" w:ascii="宋体" w:hAnsi="宋体" w:cs="宋体"/>
          <w:b/>
          <w:color w:val="auto"/>
          <w:sz w:val="24"/>
          <w:highlight w:val="none"/>
        </w:rPr>
        <w:t>注：投标人可事先在公开官网查询、核对相关证书和报告内容，确保投标（响应）文件资料准确无误。投标人应对投标文件中材料的真实性、合法性负责。</w:t>
      </w:r>
    </w:p>
    <w:p w14:paraId="5416A5EF">
      <w:pPr>
        <w:pStyle w:val="135"/>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F3C1CF8">
      <w:pPr>
        <w:spacing w:line="348"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4E110B22">
      <w:pPr>
        <w:spacing w:line="348"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12.2供应商进行电子投标应安装客户端软件—“政采云电子交易客户端”，并按照招标文件和电子交易平台的要求编制并加密投标文件。供应商未按规定加密的投标文件，电子交易平台将拒收并提示。</w:t>
      </w:r>
    </w:p>
    <w:p w14:paraId="02F7FDAD">
      <w:pPr>
        <w:spacing w:line="348"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AF01222">
      <w:pPr>
        <w:snapToGrid w:val="0"/>
        <w:spacing w:line="348"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1EC6BC23">
      <w:pPr>
        <w:pStyle w:val="135"/>
        <w:snapToGrid w:val="0"/>
        <w:spacing w:before="0" w:line="348" w:lineRule="auto"/>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▲供应商的投标文件未按照招标文件要求签署、盖章的，其投标无效</w:t>
      </w:r>
      <w:r>
        <w:rPr>
          <w:rFonts w:hint="eastAsia" w:ascii="宋体" w:hAnsi="宋体" w:cs="宋体"/>
          <w:color w:val="auto"/>
          <w:szCs w:val="24"/>
          <w:highlight w:val="none"/>
        </w:rPr>
        <w:t>。</w:t>
      </w:r>
    </w:p>
    <w:p w14:paraId="39724924">
      <w:pPr>
        <w:pStyle w:val="135"/>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13.2为确保网上操作合法、有效和安全，供应商应当在投标截止时间前完成在“政府采购云平台”的身份认证，确保在电子投标过程中能够对相关数据电文进行加密和使用电子签名。</w:t>
      </w:r>
    </w:p>
    <w:p w14:paraId="15AA64DD">
      <w:pPr>
        <w:pStyle w:val="135"/>
        <w:snapToGrid w:val="0"/>
        <w:spacing w:before="0" w:line="348" w:lineRule="auto"/>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1BD7F55">
      <w:pPr>
        <w:pStyle w:val="135"/>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5618FB1">
      <w:pPr>
        <w:pStyle w:val="135"/>
        <w:spacing w:before="0" w:line="348" w:lineRule="auto"/>
        <w:ind w:firstLine="480"/>
        <w:rPr>
          <w:rFonts w:hint="eastAsia" w:ascii="宋体" w:hAnsi="宋体" w:cs="宋体"/>
          <w:color w:val="auto"/>
          <w:szCs w:val="24"/>
          <w:highlight w:val="none"/>
        </w:rPr>
      </w:pPr>
      <w:r>
        <w:rPr>
          <w:rFonts w:hint="eastAsia" w:ascii="宋体" w:hAnsi="宋体" w:cs="宋体"/>
          <w:color w:val="auto"/>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8271721">
      <w:pPr>
        <w:pStyle w:val="135"/>
        <w:spacing w:before="0" w:line="348" w:lineRule="auto"/>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198BA3C">
      <w:pPr>
        <w:pStyle w:val="135"/>
        <w:spacing w:before="0" w:line="348" w:lineRule="auto"/>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14.3采购人、采购代理机构可以视情况延长投标文件提交的截止时间。在上述情况下，采购代理机构与供应商以前在投标截止期方面的全部权利、责任和义务，将适用于延长至新的投标截止期。</w:t>
      </w:r>
    </w:p>
    <w:p w14:paraId="510A8DF0">
      <w:pPr>
        <w:pStyle w:val="33"/>
        <w:spacing w:line="348" w:lineRule="auto"/>
        <w:rPr>
          <w:rFonts w:hint="eastAsia" w:hAnsi="宋体" w:cs="宋体"/>
          <w:b/>
          <w:color w:val="auto"/>
          <w:sz w:val="24"/>
          <w:szCs w:val="24"/>
          <w:highlight w:val="none"/>
        </w:rPr>
      </w:pPr>
      <w:r>
        <w:rPr>
          <w:rFonts w:hint="eastAsia" w:hAnsi="宋体" w:cs="宋体"/>
          <w:b/>
          <w:color w:val="auto"/>
          <w:sz w:val="24"/>
          <w:szCs w:val="24"/>
          <w:highlight w:val="none"/>
        </w:rPr>
        <w:t>15.备份投标文件（文件后缀为：bfbs）</w:t>
      </w:r>
    </w:p>
    <w:p w14:paraId="6482BD68">
      <w:pPr>
        <w:pStyle w:val="33"/>
        <w:spacing w:line="348"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15.1供应商在电子交易平台传输递交投标文件后，还可以在投标截止时间前直接提交或者以邮政快递方式递交备份投标文件1份，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但采购人、采购代理机构不强制或变相强制供应商提交备份投标文件。</w:t>
      </w:r>
    </w:p>
    <w:p w14:paraId="4E96DAE3">
      <w:pPr>
        <w:pStyle w:val="33"/>
        <w:spacing w:line="348"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U盘</w:t>
      </w:r>
      <w:r>
        <w:rPr>
          <w:rFonts w:hint="eastAsia" w:hAnsi="宋体" w:cs="宋体"/>
          <w:color w:val="auto"/>
          <w:sz w:val="24"/>
          <w:szCs w:val="24"/>
          <w:highlight w:val="none"/>
        </w:rPr>
        <w:t>中。备份投标文件应当密封包装并在包装上加盖公章并注明投标项目名称，供应商名称（联合体投标的，包装物封面需注明联合体投标，并注明联合体成员各方的名称和联合协议中约定的牵头人的名称）。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F727DE3">
      <w:pPr>
        <w:pStyle w:val="33"/>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15.3直接提交备份投标文件的，供应商应于投标截止时间前在招标公告中载明的开标地点将备份投标文件提交给采购代理机构，采购代理机构将拒绝接受逾期送达的备份投标文件。</w:t>
      </w:r>
    </w:p>
    <w:p w14:paraId="63D44972">
      <w:pPr>
        <w:pStyle w:val="33"/>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15.4以邮政快递方式递交备份投标文件的，供应商应先将备份投标文件按要求密封和标记，再进行邮政快递包装后邮寄。备份投标文件须在投标截止时间之前送达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招标文件第二部分供应商须知前附表规定的备份投标文件送达地点；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送达时间以签收人签收时间为准。采购代理机构将拒绝接受逾期送达的备份投标文件。邮寄过程中，电子备份投标文件发生泄露、遗失、损坏或延期送达等情况的，由供应商自行负责。</w:t>
      </w:r>
    </w:p>
    <w:p w14:paraId="7A2F929C">
      <w:pPr>
        <w:pStyle w:val="33"/>
        <w:spacing w:line="348"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15.5供应商仅提交备份投标文件，未在电子交易平台传输递交投标文件的，投标无效。</w:t>
      </w:r>
    </w:p>
    <w:p w14:paraId="4E0E6FDD">
      <w:pPr>
        <w:pStyle w:val="135"/>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4F447E68">
      <w:pPr>
        <w:pStyle w:val="25"/>
        <w:spacing w:line="348"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75481399">
      <w:pPr>
        <w:pStyle w:val="135"/>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1855ACAF">
      <w:pPr>
        <w:spacing w:line="348"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供应商的投标文件中承</w:t>
      </w:r>
      <w:r>
        <w:rPr>
          <w:rFonts w:hint="eastAsia" w:ascii="宋体" w:hAnsi="宋体" w:cs="宋体"/>
          <w:b/>
          <w:color w:val="auto"/>
          <w:sz w:val="24"/>
          <w:szCs w:val="21"/>
          <w:highlight w:val="none"/>
        </w:rPr>
        <w:t>诺的投标有效期少于招标文件中载明的投标有效期的，投标无效。</w:t>
      </w:r>
    </w:p>
    <w:p w14:paraId="4D0A254B">
      <w:pPr>
        <w:pStyle w:val="135"/>
        <w:spacing w:before="0" w:line="348" w:lineRule="auto"/>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07DF802">
      <w:pPr>
        <w:pStyle w:val="135"/>
        <w:spacing w:before="0" w:line="348" w:lineRule="auto"/>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17.3在原定投标有效期满之前，如果出现特殊情况，采购代理机构可以以书面形式通知供应商延长投标有效期。供应商同意延长的，不得要求或被允许修改其投标文件，供应商拒绝延长的，其投标无效。</w:t>
      </w:r>
    </w:p>
    <w:p w14:paraId="78BF79B8">
      <w:pPr>
        <w:pStyle w:val="135"/>
        <w:spacing w:before="0" w:line="348" w:lineRule="auto"/>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689EF3C">
      <w:pPr>
        <w:pStyle w:val="555"/>
        <w:spacing w:before="0" w:line="348"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C37D2BB">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18.1采购代理机构按照招标文件规定的时间通过电子交易平台组织开标，所有供应商均应当准时在线参加。供应商不足3家的，不得开标。</w:t>
      </w:r>
    </w:p>
    <w:p w14:paraId="23C10BC3">
      <w:pPr>
        <w:pStyle w:val="555"/>
        <w:spacing w:before="0" w:line="348"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18.2开标时，电子交易平台按开标时间自动提取所有投标文件。采购代理机构依托电子交易平台发起开始解密指令，供应商按照平台提示和招标文件的规定在半小时内完成在线解密。</w:t>
      </w:r>
    </w:p>
    <w:p w14:paraId="052BB8CA">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18.2.1具体开标程序：</w:t>
      </w:r>
    </w:p>
    <w:p w14:paraId="2BAB41C9">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第一阶段：</w:t>
      </w:r>
    </w:p>
    <w:p w14:paraId="5E1FB3D1">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（1）投标截止时间后，供应商登录政府采购云平台，用“项目采购－开标评标”功能对电子投标文件进行在线解密，在线解密电子投标文件时间为开标时间后30分钟内。</w:t>
      </w:r>
    </w:p>
    <w:p w14:paraId="5DE5EBB0">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（2）在政府采购云平台开启已解密供应商的“资格文件、商务技术文件”，并做开标记录；</w:t>
      </w:r>
    </w:p>
    <w:p w14:paraId="3E7A434B">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第二阶段：</w:t>
      </w:r>
    </w:p>
    <w:p w14:paraId="4563B70A">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（1）在政府采购云平台宣告第一阶段评审无效供应商名单及理由；</w:t>
      </w:r>
    </w:p>
    <w:p w14:paraId="08A8B543">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（2）公布经第一阶段评审符合招标文件要求的供应商的商务技术得分情况；</w:t>
      </w:r>
    </w:p>
    <w:p w14:paraId="61D325D8">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（3）在政府采购云平台开启除第一阶段无效标外的供应商的“报价文件”，并做开标记录；</w:t>
      </w:r>
    </w:p>
    <w:p w14:paraId="37B9D012">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（4）在政府采购云平台公布评审结果。</w:t>
      </w:r>
    </w:p>
    <w:p w14:paraId="63D518A1">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（5）开标会议结束。</w:t>
      </w:r>
    </w:p>
    <w:p w14:paraId="75465538">
      <w:pPr>
        <w:pStyle w:val="555"/>
        <w:spacing w:before="0" w:line="348"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投标文件未按时解密，供应商提供了备份投标文件的，以备份投标文件作为依据，否则视为投标文件撤回。投标文件已按时解密的，备份投标文件自动失效。</w:t>
      </w:r>
    </w:p>
    <w:p w14:paraId="3B7FEC08">
      <w:pPr>
        <w:widowControl/>
        <w:spacing w:line="348"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6AEB90DC">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采购人或采购代理机构依据法律法规和招标文件的规定，对供应商的资格进行审查。</w:t>
      </w:r>
    </w:p>
    <w:p w14:paraId="753A7A32">
      <w:pPr>
        <w:pStyle w:val="135"/>
        <w:spacing w:before="0" w:line="348" w:lineRule="auto"/>
        <w:ind w:firstLine="480"/>
        <w:rPr>
          <w:rFonts w:hint="eastAsia" w:ascii="宋体" w:hAnsi="宋体" w:cs="宋体"/>
          <w:color w:val="auto"/>
          <w:highlight w:val="none"/>
        </w:rPr>
      </w:pPr>
      <w:r>
        <w:rPr>
          <w:rFonts w:hint="eastAsia" w:ascii="宋体" w:hAnsi="宋体" w:cs="宋体"/>
          <w:color w:val="auto"/>
          <w:kern w:val="0"/>
          <w:szCs w:val="24"/>
          <w:highlight w:val="none"/>
        </w:rPr>
        <w:t>19.2供应商未按照招标文件要求提供与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供应商不具备招标文件中规定的资格要求，其投标无效。</w:t>
      </w:r>
    </w:p>
    <w:p w14:paraId="517B91F0">
      <w:pPr>
        <w:pStyle w:val="135"/>
        <w:spacing w:before="0" w:line="348" w:lineRule="auto"/>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3对未通过资格审查的供应商，采购人或采购代理机构告知其未通过的原因。</w:t>
      </w:r>
    </w:p>
    <w:p w14:paraId="49CBDC1A">
      <w:pPr>
        <w:pStyle w:val="135"/>
        <w:spacing w:before="0" w:line="348" w:lineRule="auto"/>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4合格供应商不足3家的，不再评标。</w:t>
      </w:r>
    </w:p>
    <w:p w14:paraId="5FA61AE4">
      <w:pPr>
        <w:pStyle w:val="135"/>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035532F5">
      <w:pPr>
        <w:pStyle w:val="135"/>
        <w:spacing w:before="0" w:line="348" w:lineRule="auto"/>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325DC334">
      <w:pPr>
        <w:pStyle w:val="135"/>
        <w:spacing w:before="0" w:line="348" w:lineRule="auto"/>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20.2信用信息查询记录和证据留存的具体方式：现场查询的供应商的信用记录、查询结果经确认后将与招标文件一起存档。</w:t>
      </w:r>
    </w:p>
    <w:p w14:paraId="4DBDC24A">
      <w:pPr>
        <w:pStyle w:val="135"/>
        <w:spacing w:before="0" w:line="348" w:lineRule="auto"/>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w:t>
      </w:r>
      <w:r>
        <w:rPr>
          <w:rFonts w:hint="eastAsia" w:ascii="宋体" w:hAnsi="宋体" w:cs="宋体"/>
          <w:snapToGrid w:val="0"/>
          <w:color w:val="auto"/>
          <w:kern w:val="28"/>
          <w:highlight w:val="none"/>
        </w:rPr>
        <w:t>（重大税收违法失信主体）</w:t>
      </w:r>
      <w:r>
        <w:rPr>
          <w:rFonts w:hint="eastAsia" w:ascii="宋体" w:hAnsi="宋体" w:cs="宋体"/>
          <w:color w:val="auto"/>
          <w:kern w:val="0"/>
          <w:szCs w:val="24"/>
          <w:highlight w:val="none"/>
        </w:rPr>
        <w:t>、政府采购严重违法失信行为记录名单的供应商将被拒绝参与政府采购活动。</w:t>
      </w:r>
    </w:p>
    <w:p w14:paraId="09A1C15D">
      <w:pPr>
        <w:pStyle w:val="135"/>
        <w:spacing w:before="0" w:line="348" w:lineRule="auto"/>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63B8618">
      <w:pPr>
        <w:snapToGrid w:val="0"/>
        <w:spacing w:line="348"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14:paraId="4D8AE91F">
      <w:pPr>
        <w:spacing w:line="348" w:lineRule="auto"/>
        <w:rPr>
          <w:rFonts w:hint="eastAsia" w:ascii="宋体" w:hAnsi="宋体" w:cs="宋体"/>
          <w:b/>
          <w:color w:val="auto"/>
          <w:sz w:val="24"/>
          <w:highlight w:val="none"/>
        </w:rPr>
      </w:pPr>
      <w:bookmarkStart w:id="32"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供应商对招标文件的响应情况。对实质上响应招标文件的供应商，按照评审因素的量化指标排出推荐中标的供应商的先后顺序，并按顺序提出授标建议。</w:t>
      </w:r>
      <w:r>
        <w:rPr>
          <w:rFonts w:hint="eastAsia" w:ascii="宋体" w:hAnsi="宋体" w:cs="宋体"/>
          <w:b/>
          <w:color w:val="auto"/>
          <w:sz w:val="24"/>
          <w:highlight w:val="none"/>
        </w:rPr>
        <w:t>详见招标文件第四部分评标办法。</w:t>
      </w:r>
    </w:p>
    <w:p w14:paraId="5A22C0C0">
      <w:pPr>
        <w:snapToGrid w:val="0"/>
        <w:spacing w:line="348" w:lineRule="auto"/>
        <w:jc w:val="center"/>
        <w:rPr>
          <w:rFonts w:hint="eastAsia" w:ascii="宋体" w:hAnsi="宋体" w:cs="宋体"/>
          <w:b/>
          <w:color w:val="auto"/>
          <w:sz w:val="36"/>
          <w:szCs w:val="36"/>
          <w:highlight w:val="none"/>
        </w:rPr>
      </w:pPr>
    </w:p>
    <w:p w14:paraId="5C69749E">
      <w:pPr>
        <w:snapToGrid w:val="0"/>
        <w:spacing w:line="348"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14:paraId="39EF40D8">
      <w:pPr>
        <w:pStyle w:val="25"/>
        <w:spacing w:line="348" w:lineRule="auto"/>
        <w:ind w:left="479" w:hanging="479" w:hangingChars="199"/>
        <w:rPr>
          <w:rFonts w:hint="eastAsia" w:eastAsia="宋体" w:cs="宋体"/>
          <w:b/>
          <w:color w:val="auto"/>
          <w:highlight w:val="none"/>
          <w:lang w:eastAsia="zh-CN"/>
        </w:rPr>
      </w:pPr>
      <w:r>
        <w:rPr>
          <w:rFonts w:hint="eastAsia" w:cs="宋体"/>
          <w:b/>
          <w:color w:val="auto"/>
          <w:highlight w:val="none"/>
        </w:rPr>
        <w:t>22. 确定中标供应商</w:t>
      </w:r>
      <w:r>
        <w:rPr>
          <w:rFonts w:hint="eastAsia" w:cs="宋体"/>
          <w:b/>
          <w:color w:val="auto"/>
          <w:highlight w:val="none"/>
          <w:lang w:eastAsia="zh-CN"/>
        </w:rPr>
        <w:t>（</w:t>
      </w:r>
      <w:r>
        <w:rPr>
          <w:rFonts w:hint="eastAsia" w:cs="宋体"/>
          <w:b/>
          <w:color w:val="auto"/>
          <w:highlight w:val="none"/>
          <w:lang w:val="en-US" w:eastAsia="zh-CN"/>
        </w:rPr>
        <w:t>1名</w:t>
      </w:r>
      <w:r>
        <w:rPr>
          <w:rFonts w:hint="eastAsia" w:cs="宋体"/>
          <w:b/>
          <w:color w:val="auto"/>
          <w:highlight w:val="none"/>
          <w:lang w:eastAsia="zh-CN"/>
        </w:rPr>
        <w:t>）</w:t>
      </w:r>
    </w:p>
    <w:p w14:paraId="527E0BD2">
      <w:pPr>
        <w:pStyle w:val="135"/>
        <w:snapToGrid w:val="0"/>
        <w:spacing w:before="0" w:line="348" w:lineRule="auto"/>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444B1FB">
      <w:pPr>
        <w:pStyle w:val="135"/>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D1BA83F">
      <w:pPr>
        <w:widowControl/>
        <w:spacing w:line="348"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17A85222">
      <w:pPr>
        <w:widowControl/>
        <w:spacing w:line="348"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842B59F">
      <w:pPr>
        <w:widowControl/>
        <w:spacing w:line="348"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B8B8785">
      <w:pPr>
        <w:snapToGrid w:val="0"/>
        <w:spacing w:line="348"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3D0AAD45">
      <w:pPr>
        <w:pStyle w:val="25"/>
        <w:spacing w:line="348"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7C65132">
      <w:pPr>
        <w:pStyle w:val="25"/>
        <w:spacing w:line="348" w:lineRule="auto"/>
        <w:ind w:left="479" w:hanging="479" w:hangingChars="199"/>
        <w:rPr>
          <w:rFonts w:hint="eastAsia" w:cs="宋体"/>
          <w:b/>
          <w:color w:val="auto"/>
          <w:highlight w:val="none"/>
        </w:rPr>
      </w:pPr>
      <w:r>
        <w:rPr>
          <w:rFonts w:hint="eastAsia" w:cs="宋体"/>
          <w:b/>
          <w:color w:val="auto"/>
          <w:highlight w:val="none"/>
        </w:rPr>
        <w:t>25. 合同的签订</w:t>
      </w:r>
    </w:p>
    <w:p w14:paraId="6BB0C445">
      <w:pPr>
        <w:widowControl/>
        <w:spacing w:line="348"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招标文件确定的事项签订政府采购合同。</w:t>
      </w:r>
    </w:p>
    <w:p w14:paraId="3ADDD003">
      <w:pPr>
        <w:pStyle w:val="135"/>
        <w:snapToGrid w:val="0"/>
        <w:spacing w:before="0" w:line="348" w:lineRule="auto"/>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D17AB17">
      <w:pPr>
        <w:pStyle w:val="135"/>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E3D33DC">
      <w:pPr>
        <w:pStyle w:val="135"/>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7A5AE89">
      <w:pPr>
        <w:pStyle w:val="135"/>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590C57CD">
      <w:pPr>
        <w:pStyle w:val="25"/>
        <w:spacing w:line="348" w:lineRule="auto"/>
        <w:ind w:left="479" w:hanging="479" w:hangingChars="199"/>
        <w:rPr>
          <w:rFonts w:hint="eastAsia" w:cs="宋体"/>
          <w:b/>
          <w:color w:val="auto"/>
          <w:highlight w:val="none"/>
        </w:rPr>
      </w:pPr>
      <w:r>
        <w:rPr>
          <w:rFonts w:hint="eastAsia" w:cs="宋体"/>
          <w:b/>
          <w:color w:val="auto"/>
          <w:highlight w:val="none"/>
        </w:rPr>
        <w:t>26. 履约保证金</w:t>
      </w:r>
    </w:p>
    <w:p w14:paraId="7FFAED7A">
      <w:pPr>
        <w:tabs>
          <w:tab w:val="left" w:pos="0"/>
        </w:tabs>
        <w:spacing w:line="348"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D089ACC">
      <w:pPr>
        <w:tabs>
          <w:tab w:val="left" w:pos="432"/>
        </w:tabs>
        <w:spacing w:line="348"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A239BCD">
      <w:pPr>
        <w:tabs>
          <w:tab w:val="left" w:pos="432"/>
        </w:tabs>
        <w:spacing w:line="348" w:lineRule="auto"/>
        <w:rPr>
          <w:color w:val="auto"/>
          <w:highlight w:val="none"/>
        </w:rPr>
      </w:pPr>
      <w:r>
        <w:rPr>
          <w:rFonts w:ascii="宋体" w:hAnsi="宋体"/>
          <w:b/>
          <w:bCs/>
          <w:color w:val="auto"/>
          <w:sz w:val="24"/>
          <w:szCs w:val="32"/>
          <w:highlight w:val="none"/>
        </w:rPr>
        <w:t>27.预付款</w:t>
      </w:r>
    </w:p>
    <w:p w14:paraId="03F0E55C">
      <w:pPr>
        <w:adjustRightInd/>
        <w:spacing w:line="348"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w:t>
      </w:r>
      <w:r>
        <w:rPr>
          <w:rFonts w:ascii="宋体" w:hAnsi="宋体"/>
          <w:color w:val="auto"/>
          <w:sz w:val="24"/>
          <w:highlight w:val="none"/>
        </w:rPr>
        <w:t>/保函受理</w:t>
      </w:r>
      <w:r>
        <w:rPr>
          <w:rFonts w:hint="eastAsia" w:ascii="宋体" w:hAnsi="宋体"/>
          <w:color w:val="auto"/>
          <w:sz w:val="24"/>
          <w:highlight w:val="none"/>
        </w:rPr>
        <w:t>-</w:t>
      </w:r>
      <w:r>
        <w:rPr>
          <w:rFonts w:ascii="宋体" w:hAnsi="宋体"/>
          <w:color w:val="auto"/>
          <w:sz w:val="24"/>
          <w:highlight w:val="none"/>
        </w:rPr>
        <w:t>确认保单</w:t>
      </w:r>
      <w:r>
        <w:rPr>
          <w:rFonts w:hint="eastAsia" w:ascii="宋体" w:hAnsi="宋体"/>
          <w:color w:val="auto"/>
          <w:sz w:val="24"/>
          <w:highlight w:val="none"/>
        </w:rPr>
        <w:t>-</w:t>
      </w:r>
      <w:r>
        <w:rPr>
          <w:rFonts w:ascii="宋体" w:hAnsi="宋体"/>
          <w:color w:val="auto"/>
          <w:sz w:val="24"/>
          <w:highlight w:val="none"/>
        </w:rPr>
        <w:t>支付保费</w:t>
      </w:r>
      <w:r>
        <w:rPr>
          <w:rFonts w:hint="eastAsia" w:ascii="宋体" w:hAnsi="宋体"/>
          <w:color w:val="auto"/>
          <w:sz w:val="24"/>
          <w:highlight w:val="none"/>
        </w:rPr>
        <w:t>-</w:t>
      </w:r>
      <w:r>
        <w:rPr>
          <w:rFonts w:ascii="宋体" w:hAnsi="宋体"/>
          <w:color w:val="auto"/>
          <w:sz w:val="24"/>
          <w:highlight w:val="none"/>
        </w:rPr>
        <w:t>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5201AAAB">
      <w:pPr>
        <w:snapToGrid w:val="0"/>
        <w:spacing w:line="348"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77C864B7">
      <w:pPr>
        <w:pStyle w:val="135"/>
        <w:snapToGrid w:val="0"/>
        <w:spacing w:before="0" w:line="348" w:lineRule="auto"/>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2B44CF0B">
      <w:pPr>
        <w:pStyle w:val="135"/>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E7A00A5">
      <w:pPr>
        <w:pStyle w:val="135"/>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DE77A3F">
      <w:pPr>
        <w:pStyle w:val="135"/>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CBE8F33">
      <w:pPr>
        <w:pStyle w:val="135"/>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1AFD985">
      <w:pPr>
        <w:pStyle w:val="135"/>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CBABC35">
      <w:pPr>
        <w:pStyle w:val="135"/>
        <w:snapToGrid w:val="0"/>
        <w:spacing w:before="0" w:line="348" w:lineRule="auto"/>
        <w:ind w:firstLine="0" w:firstLineChars="0"/>
        <w:rPr>
          <w:rFonts w:hint="eastAsia"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29.出现以上情形，不影响采购公平、公正性的，采购组织机构可以待上述情形消除后继续组织电子交易活动；影响或可能影响采购公平、公正性的，应当重新采购。</w:t>
      </w:r>
    </w:p>
    <w:p w14:paraId="00530578">
      <w:pPr>
        <w:snapToGrid w:val="0"/>
        <w:spacing w:line="348" w:lineRule="auto"/>
        <w:ind w:left="120" w:leftChars="57"/>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14:paraId="4C8EA96E">
      <w:pPr>
        <w:pStyle w:val="25"/>
        <w:spacing w:line="348" w:lineRule="auto"/>
        <w:ind w:firstLine="0" w:firstLineChars="0"/>
        <w:rPr>
          <w:rFonts w:hint="eastAsia" w:cs="宋体"/>
          <w:b/>
          <w:color w:val="auto"/>
          <w:highlight w:val="none"/>
        </w:rPr>
      </w:pPr>
      <w:r>
        <w:rPr>
          <w:rFonts w:hint="eastAsia" w:cs="宋体"/>
          <w:b/>
          <w:color w:val="auto"/>
          <w:highlight w:val="none"/>
        </w:rPr>
        <w:t>30.验收</w:t>
      </w:r>
    </w:p>
    <w:p w14:paraId="3E925332">
      <w:pPr>
        <w:tabs>
          <w:tab w:val="left" w:pos="0"/>
        </w:tabs>
        <w:spacing w:line="348"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A378473">
      <w:pPr>
        <w:tabs>
          <w:tab w:val="left" w:pos="0"/>
        </w:tabs>
        <w:spacing w:line="348"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1759E971">
      <w:pPr>
        <w:tabs>
          <w:tab w:val="left" w:pos="0"/>
        </w:tabs>
        <w:spacing w:line="348"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69B3FF4">
      <w:pPr>
        <w:tabs>
          <w:tab w:val="left" w:pos="0"/>
        </w:tabs>
        <w:spacing w:line="348" w:lineRule="auto"/>
        <w:ind w:firstLine="480"/>
        <w:rPr>
          <w:rFonts w:hint="eastAsia"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2"/>
    <w:p w14:paraId="59DEA9D1">
      <w:pPr>
        <w:rPr>
          <w:rFonts w:hint="eastAsia" w:ascii="宋体" w:hAnsi="宋体" w:cs="宋体"/>
          <w:color w:val="auto"/>
          <w:kern w:val="0"/>
          <w:sz w:val="24"/>
          <w:highlight w:val="none"/>
        </w:rPr>
      </w:pPr>
      <w:bookmarkStart w:id="33" w:name="_Hlt68057669"/>
      <w:bookmarkEnd w:id="33"/>
      <w:bookmarkStart w:id="34" w:name="_Hlt68073093"/>
      <w:bookmarkEnd w:id="34"/>
      <w:bookmarkStart w:id="35" w:name="_Hlt68072990"/>
      <w:bookmarkEnd w:id="35"/>
      <w:bookmarkStart w:id="36" w:name="_Hlt74729768"/>
      <w:bookmarkEnd w:id="36"/>
      <w:bookmarkStart w:id="37" w:name="_Hlt75236011"/>
      <w:bookmarkEnd w:id="37"/>
      <w:bookmarkStart w:id="38" w:name="_Hlt75236290"/>
      <w:bookmarkEnd w:id="38"/>
      <w:bookmarkStart w:id="39" w:name="_Hlt74714665"/>
      <w:bookmarkEnd w:id="39"/>
      <w:bookmarkStart w:id="40" w:name="_Hlt68072998"/>
      <w:bookmarkEnd w:id="40"/>
      <w:bookmarkStart w:id="41" w:name="_Hlt74730295"/>
      <w:bookmarkEnd w:id="41"/>
      <w:bookmarkStart w:id="42" w:name="_Hlt74707468"/>
      <w:bookmarkEnd w:id="42"/>
      <w:bookmarkStart w:id="43" w:name="_Hlt68403820"/>
      <w:bookmarkEnd w:id="43"/>
      <w:bookmarkStart w:id="44" w:name="_Hlt75236101"/>
      <w:bookmarkEnd w:id="44"/>
    </w:p>
    <w:p w14:paraId="498588F7">
      <w:pPr>
        <w:rPr>
          <w:color w:val="auto"/>
          <w:highlight w:val="none"/>
        </w:rPr>
        <w:sectPr>
          <w:footerReference r:id="rId7" w:type="first"/>
          <w:footerReference r:id="rId6" w:type="default"/>
          <w:pgSz w:w="11906" w:h="16838"/>
          <w:pgMar w:top="680" w:right="1418" w:bottom="468" w:left="1418" w:header="851" w:footer="992" w:gutter="0"/>
          <w:pgNumType w:start="1"/>
          <w:cols w:space="720" w:num="1"/>
          <w:titlePg/>
          <w:docGrid w:linePitch="312" w:charSpace="0"/>
        </w:sectPr>
      </w:pPr>
    </w:p>
    <w:bookmarkEnd w:id="27"/>
    <w:bookmarkEnd w:id="28"/>
    <w:p w14:paraId="277B0E7A">
      <w:pPr>
        <w:spacing w:line="360" w:lineRule="auto"/>
        <w:jc w:val="center"/>
        <w:outlineLvl w:val="0"/>
        <w:rPr>
          <w:rFonts w:hint="eastAsia" w:ascii="宋体" w:hAnsi="宋体" w:cs="宋体"/>
          <w:b/>
          <w:color w:val="auto"/>
          <w:sz w:val="36"/>
          <w:szCs w:val="36"/>
          <w:highlight w:val="none"/>
        </w:rPr>
      </w:pPr>
      <w:bookmarkStart w:id="45" w:name="_Toc26044"/>
      <w:bookmarkStart w:id="46" w:name="第四部分"/>
      <w:r>
        <w:rPr>
          <w:rFonts w:hint="eastAsia" w:ascii="宋体" w:hAnsi="宋体" w:cs="宋体"/>
          <w:b/>
          <w:color w:val="auto"/>
          <w:sz w:val="36"/>
          <w:szCs w:val="36"/>
          <w:highlight w:val="none"/>
        </w:rPr>
        <w:t>第三部分   采购需求</w:t>
      </w:r>
      <w:bookmarkEnd w:id="45"/>
    </w:p>
    <w:p w14:paraId="46215B30">
      <w:pPr>
        <w:adjustRightInd/>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前附表</w:t>
      </w:r>
    </w:p>
    <w:tbl>
      <w:tblPr>
        <w:tblStyle w:val="63"/>
        <w:tblW w:w="8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732"/>
        <w:gridCol w:w="5216"/>
      </w:tblGrid>
      <w:tr w14:paraId="6CCB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01" w:type="dxa"/>
            <w:noWrap w:val="0"/>
            <w:vAlign w:val="center"/>
          </w:tcPr>
          <w:p w14:paraId="20C1884D">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732" w:type="dxa"/>
            <w:noWrap w:val="0"/>
            <w:vAlign w:val="center"/>
          </w:tcPr>
          <w:p w14:paraId="4CD44D95">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5216" w:type="dxa"/>
            <w:noWrap w:val="0"/>
            <w:vAlign w:val="center"/>
          </w:tcPr>
          <w:p w14:paraId="26EAD6EC">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采购需求内容</w:t>
            </w:r>
          </w:p>
        </w:tc>
      </w:tr>
      <w:tr w14:paraId="33B4B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noWrap w:val="0"/>
            <w:vAlign w:val="center"/>
          </w:tcPr>
          <w:p w14:paraId="23133AEB">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32" w:type="dxa"/>
            <w:noWrap w:val="0"/>
            <w:vAlign w:val="center"/>
          </w:tcPr>
          <w:p w14:paraId="70E07DC5">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5216" w:type="dxa"/>
            <w:noWrap w:val="0"/>
            <w:vAlign w:val="center"/>
          </w:tcPr>
          <w:p w14:paraId="517CB3F4">
            <w:pPr>
              <w:keepNext w:val="0"/>
              <w:keepLines w:val="0"/>
              <w:pageBreakBefore w:val="0"/>
              <w:widowControl w:val="0"/>
              <w:kinsoku/>
              <w:wordWrap/>
              <w:overflowPunct/>
              <w:topLinePunct w:val="0"/>
              <w:autoSpaceDE/>
              <w:autoSpaceDN/>
              <w:bidi w:val="0"/>
              <w:adjustRightInd/>
              <w:snapToGrid/>
              <w:spacing w:line="336"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高温慰问品</w:t>
            </w:r>
          </w:p>
        </w:tc>
      </w:tr>
      <w:tr w14:paraId="3EBD2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noWrap w:val="0"/>
            <w:vAlign w:val="center"/>
          </w:tcPr>
          <w:p w14:paraId="781875CE">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732" w:type="dxa"/>
            <w:noWrap w:val="0"/>
            <w:vAlign w:val="center"/>
          </w:tcPr>
          <w:p w14:paraId="3F344608">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单位及数量</w:t>
            </w:r>
          </w:p>
        </w:tc>
        <w:tc>
          <w:tcPr>
            <w:tcW w:w="5216" w:type="dxa"/>
            <w:noWrap w:val="0"/>
            <w:vAlign w:val="center"/>
          </w:tcPr>
          <w:p w14:paraId="5183BB3E">
            <w:pPr>
              <w:keepNext w:val="0"/>
              <w:keepLines w:val="0"/>
              <w:pageBreakBefore w:val="0"/>
              <w:widowControl w:val="0"/>
              <w:kinsoku/>
              <w:wordWrap/>
              <w:overflowPunct/>
              <w:topLinePunct w:val="0"/>
              <w:autoSpaceDE/>
              <w:autoSpaceDN/>
              <w:bidi w:val="0"/>
              <w:adjustRightInd/>
              <w:snapToGrid/>
              <w:spacing w:line="336"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详见</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第一部分  邀请供应商</w:t>
            </w:r>
            <w:r>
              <w:rPr>
                <w:rFonts w:hint="eastAsia" w:ascii="宋体" w:hAnsi="宋体" w:eastAsia="宋体" w:cs="宋体"/>
                <w:color w:val="auto"/>
                <w:sz w:val="24"/>
                <w:szCs w:val="24"/>
                <w:highlight w:val="none"/>
                <w:lang w:eastAsia="zh-CN"/>
              </w:rPr>
              <w:t>》</w:t>
            </w:r>
          </w:p>
        </w:tc>
      </w:tr>
      <w:tr w14:paraId="0BB6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01" w:type="dxa"/>
            <w:noWrap w:val="0"/>
            <w:vAlign w:val="center"/>
          </w:tcPr>
          <w:p w14:paraId="5E03AF9A">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732" w:type="dxa"/>
            <w:noWrap w:val="0"/>
            <w:vAlign w:val="center"/>
          </w:tcPr>
          <w:p w14:paraId="60E2A815">
            <w:pPr>
              <w:keepNext w:val="0"/>
              <w:keepLines w:val="0"/>
              <w:pageBreakBefore w:val="0"/>
              <w:widowControl w:val="0"/>
              <w:kinsoku/>
              <w:wordWrap/>
              <w:overflowPunct/>
              <w:topLinePunct w:val="0"/>
              <w:autoSpaceDE/>
              <w:autoSpaceDN/>
              <w:bidi w:val="0"/>
              <w:adjustRightInd/>
              <w:snapToGrid/>
              <w:spacing w:line="336"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交付或者实施的时间和地点</w:t>
            </w:r>
          </w:p>
        </w:tc>
        <w:tc>
          <w:tcPr>
            <w:tcW w:w="5216" w:type="dxa"/>
            <w:noWrap w:val="0"/>
            <w:vAlign w:val="center"/>
          </w:tcPr>
          <w:p w14:paraId="1EF7D83A">
            <w:pPr>
              <w:keepNext w:val="0"/>
              <w:keepLines w:val="0"/>
              <w:pageBreakBefore w:val="0"/>
              <w:widowControl w:val="0"/>
              <w:numPr>
                <w:ilvl w:val="0"/>
                <w:numId w:val="2"/>
              </w:numPr>
              <w:kinsoku/>
              <w:wordWrap/>
              <w:overflowPunct/>
              <w:topLinePunct w:val="0"/>
              <w:autoSpaceDE/>
              <w:autoSpaceDN/>
              <w:bidi w:val="0"/>
              <w:adjustRightInd/>
              <w:snapToGrid/>
              <w:spacing w:line="336" w:lineRule="auto"/>
              <w:jc w:val="both"/>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eastAsia="zh-CN"/>
              </w:rPr>
              <w:t>合同履约期限</w:t>
            </w:r>
            <w:r>
              <w:rPr>
                <w:rFonts w:hint="eastAsia" w:ascii="宋体" w:hAnsi="宋体" w:eastAsia="宋体" w:cs="宋体"/>
                <w:b w:val="0"/>
                <w:bCs w:val="0"/>
                <w:color w:val="auto"/>
                <w:sz w:val="24"/>
                <w:szCs w:val="24"/>
                <w:highlight w:val="none"/>
              </w:rPr>
              <w:t>：详见</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第一部分  邀请供应商</w:t>
            </w:r>
            <w:r>
              <w:rPr>
                <w:rFonts w:hint="eastAsia" w:ascii="宋体" w:hAnsi="宋体" w:eastAsia="宋体" w:cs="宋体"/>
                <w:b w:val="0"/>
                <w:bCs w:val="0"/>
                <w:color w:val="auto"/>
                <w:sz w:val="24"/>
                <w:szCs w:val="24"/>
                <w:highlight w:val="none"/>
                <w:lang w:eastAsia="zh-CN"/>
              </w:rPr>
              <w:t>》</w:t>
            </w:r>
          </w:p>
          <w:p w14:paraId="0C917A02">
            <w:pPr>
              <w:keepNext w:val="0"/>
              <w:keepLines w:val="0"/>
              <w:pageBreakBefore w:val="0"/>
              <w:widowControl w:val="0"/>
              <w:numPr>
                <w:ilvl w:val="0"/>
                <w:numId w:val="2"/>
              </w:numPr>
              <w:kinsoku/>
              <w:wordWrap/>
              <w:overflowPunct/>
              <w:topLinePunct w:val="0"/>
              <w:autoSpaceDE/>
              <w:autoSpaceDN/>
              <w:bidi w:val="0"/>
              <w:adjustRightInd/>
              <w:snapToGrid/>
              <w:spacing w:line="336" w:lineRule="auto"/>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实施地点：详见本章内容</w:t>
            </w:r>
          </w:p>
        </w:tc>
      </w:tr>
      <w:tr w14:paraId="55C3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1" w:type="dxa"/>
            <w:noWrap w:val="0"/>
            <w:vAlign w:val="center"/>
          </w:tcPr>
          <w:p w14:paraId="77CD4227">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732" w:type="dxa"/>
            <w:noWrap w:val="0"/>
            <w:vAlign w:val="center"/>
          </w:tcPr>
          <w:p w14:paraId="40426A6F">
            <w:pPr>
              <w:keepNext w:val="0"/>
              <w:keepLines w:val="0"/>
              <w:pageBreakBefore w:val="0"/>
              <w:widowControl w:val="0"/>
              <w:kinsoku/>
              <w:wordWrap/>
              <w:overflowPunct/>
              <w:topLinePunct w:val="0"/>
              <w:autoSpaceDE/>
              <w:autoSpaceDN/>
              <w:bidi w:val="0"/>
              <w:adjustRightInd/>
              <w:snapToGrid/>
              <w:spacing w:line="336"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需实现的功能或者目标</w:t>
            </w:r>
          </w:p>
        </w:tc>
        <w:tc>
          <w:tcPr>
            <w:tcW w:w="5216" w:type="dxa"/>
            <w:noWrap w:val="0"/>
            <w:vAlign w:val="center"/>
          </w:tcPr>
          <w:p w14:paraId="08868F5A">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val="en-US" w:eastAsia="zh-CN"/>
              </w:rPr>
              <w:t>本部分</w:t>
            </w:r>
            <w:r>
              <w:rPr>
                <w:rFonts w:hint="eastAsia" w:ascii="宋体" w:hAnsi="宋体" w:eastAsia="宋体" w:cs="宋体"/>
                <w:color w:val="auto"/>
                <w:sz w:val="24"/>
                <w:szCs w:val="24"/>
                <w:highlight w:val="none"/>
              </w:rPr>
              <w:t>内容</w:t>
            </w:r>
          </w:p>
        </w:tc>
      </w:tr>
      <w:tr w14:paraId="648E0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701" w:type="dxa"/>
            <w:noWrap w:val="0"/>
            <w:vAlign w:val="center"/>
          </w:tcPr>
          <w:p w14:paraId="1515807E">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732" w:type="dxa"/>
            <w:noWrap w:val="0"/>
            <w:vAlign w:val="center"/>
          </w:tcPr>
          <w:p w14:paraId="17F20C13">
            <w:pPr>
              <w:keepNext w:val="0"/>
              <w:keepLines w:val="0"/>
              <w:pageBreakBefore w:val="0"/>
              <w:widowControl w:val="0"/>
              <w:kinsoku/>
              <w:wordWrap/>
              <w:overflowPunct/>
              <w:topLinePunct w:val="0"/>
              <w:autoSpaceDE/>
              <w:autoSpaceDN/>
              <w:bidi w:val="0"/>
              <w:adjustRightInd/>
              <w:snapToGrid/>
              <w:spacing w:line="336"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执行的国家相关标准、行业标准、地方标准</w:t>
            </w:r>
            <w:r>
              <w:rPr>
                <w:rFonts w:hint="eastAsia" w:ascii="宋体" w:hAnsi="宋体" w:eastAsia="宋体" w:cs="宋体"/>
                <w:color w:val="auto"/>
                <w:sz w:val="24"/>
                <w:szCs w:val="24"/>
                <w:highlight w:val="none"/>
                <w:lang w:eastAsia="zh-CN"/>
              </w:rPr>
              <w:t>或者其他</w:t>
            </w:r>
            <w:r>
              <w:rPr>
                <w:rFonts w:hint="eastAsia" w:ascii="宋体" w:hAnsi="宋体" w:eastAsia="宋体" w:cs="宋体"/>
                <w:color w:val="auto"/>
                <w:sz w:val="24"/>
                <w:szCs w:val="24"/>
                <w:highlight w:val="none"/>
              </w:rPr>
              <w:t>标准、规范</w:t>
            </w:r>
          </w:p>
        </w:tc>
        <w:tc>
          <w:tcPr>
            <w:tcW w:w="5216" w:type="dxa"/>
            <w:noWrap w:val="0"/>
            <w:vAlign w:val="center"/>
          </w:tcPr>
          <w:p w14:paraId="68F0E1AB">
            <w:pPr>
              <w:keepNext w:val="0"/>
              <w:keepLines w:val="0"/>
              <w:pageBreakBefore w:val="0"/>
              <w:widowControl w:val="0"/>
              <w:kinsoku/>
              <w:wordWrap/>
              <w:overflowPunct/>
              <w:topLinePunct w:val="0"/>
              <w:autoSpaceDE/>
              <w:autoSpaceDN/>
              <w:bidi w:val="0"/>
              <w:adjustRightInd/>
              <w:snapToGrid/>
              <w:spacing w:line="336"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国家相关标准、行业标准、地方标准或者其他标准规范。</w:t>
            </w:r>
          </w:p>
        </w:tc>
      </w:tr>
      <w:tr w14:paraId="5C316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1" w:type="dxa"/>
            <w:noWrap w:val="0"/>
            <w:vAlign w:val="center"/>
          </w:tcPr>
          <w:p w14:paraId="0C080EC7">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732" w:type="dxa"/>
            <w:noWrap w:val="0"/>
            <w:vAlign w:val="center"/>
          </w:tcPr>
          <w:p w14:paraId="028F0D5B">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技术规格要求</w:t>
            </w:r>
          </w:p>
        </w:tc>
        <w:tc>
          <w:tcPr>
            <w:tcW w:w="5216" w:type="dxa"/>
            <w:noWrap w:val="0"/>
            <w:vAlign w:val="center"/>
          </w:tcPr>
          <w:p w14:paraId="6B7CCA69">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val="en-US" w:eastAsia="zh-CN"/>
              </w:rPr>
              <w:t>本部分</w:t>
            </w:r>
            <w:r>
              <w:rPr>
                <w:rFonts w:hint="eastAsia" w:ascii="宋体" w:hAnsi="宋体" w:eastAsia="宋体" w:cs="宋体"/>
                <w:color w:val="auto"/>
                <w:sz w:val="24"/>
                <w:szCs w:val="24"/>
                <w:highlight w:val="none"/>
              </w:rPr>
              <w:t>内容</w:t>
            </w:r>
          </w:p>
        </w:tc>
      </w:tr>
      <w:tr w14:paraId="0677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1" w:type="dxa"/>
            <w:noWrap w:val="0"/>
            <w:vAlign w:val="center"/>
          </w:tcPr>
          <w:p w14:paraId="1EE63712">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732" w:type="dxa"/>
            <w:noWrap w:val="0"/>
            <w:vAlign w:val="center"/>
          </w:tcPr>
          <w:p w14:paraId="6C021DDA">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物理特性要求</w:t>
            </w:r>
          </w:p>
        </w:tc>
        <w:tc>
          <w:tcPr>
            <w:tcW w:w="5216" w:type="dxa"/>
            <w:noWrap w:val="0"/>
            <w:vAlign w:val="center"/>
          </w:tcPr>
          <w:p w14:paraId="55465F62">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val="en-US" w:eastAsia="zh-CN"/>
              </w:rPr>
              <w:t>本部分</w:t>
            </w:r>
            <w:r>
              <w:rPr>
                <w:rFonts w:hint="eastAsia" w:ascii="宋体" w:hAnsi="宋体" w:eastAsia="宋体" w:cs="宋体"/>
                <w:color w:val="auto"/>
                <w:sz w:val="24"/>
                <w:szCs w:val="24"/>
                <w:highlight w:val="none"/>
              </w:rPr>
              <w:t>内容</w:t>
            </w:r>
          </w:p>
        </w:tc>
      </w:tr>
      <w:tr w14:paraId="7BBAF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1" w:type="dxa"/>
            <w:noWrap w:val="0"/>
            <w:vAlign w:val="center"/>
          </w:tcPr>
          <w:p w14:paraId="2C816DB3">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732" w:type="dxa"/>
            <w:noWrap w:val="0"/>
            <w:vAlign w:val="center"/>
          </w:tcPr>
          <w:p w14:paraId="3DB8CAE7">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质量、安全要求</w:t>
            </w:r>
          </w:p>
        </w:tc>
        <w:tc>
          <w:tcPr>
            <w:tcW w:w="5216" w:type="dxa"/>
            <w:noWrap w:val="0"/>
            <w:vAlign w:val="center"/>
          </w:tcPr>
          <w:p w14:paraId="22BA631F">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val="en-US" w:eastAsia="zh-CN"/>
              </w:rPr>
              <w:t>本部分</w:t>
            </w:r>
            <w:r>
              <w:rPr>
                <w:rFonts w:hint="eastAsia" w:ascii="宋体" w:hAnsi="宋体" w:eastAsia="宋体" w:cs="宋体"/>
                <w:color w:val="auto"/>
                <w:sz w:val="24"/>
                <w:szCs w:val="24"/>
                <w:highlight w:val="none"/>
              </w:rPr>
              <w:t>内容</w:t>
            </w:r>
          </w:p>
        </w:tc>
      </w:tr>
      <w:tr w14:paraId="6816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1" w:type="dxa"/>
            <w:noWrap w:val="0"/>
            <w:vAlign w:val="center"/>
          </w:tcPr>
          <w:p w14:paraId="058F9496">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732" w:type="dxa"/>
            <w:noWrap w:val="0"/>
            <w:vAlign w:val="center"/>
          </w:tcPr>
          <w:p w14:paraId="39A3E0F8">
            <w:pPr>
              <w:adjustRightInd/>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服务标准、期限、效率</w:t>
            </w:r>
          </w:p>
        </w:tc>
        <w:tc>
          <w:tcPr>
            <w:tcW w:w="5216" w:type="dxa"/>
            <w:noWrap w:val="0"/>
            <w:vAlign w:val="center"/>
          </w:tcPr>
          <w:p w14:paraId="32059D7E">
            <w:pPr>
              <w:adjustRightInd/>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第一部分  邀请供应商</w:t>
            </w:r>
            <w:r>
              <w:rPr>
                <w:rFonts w:hint="eastAsia" w:ascii="宋体" w:hAnsi="宋体" w:eastAsia="宋体" w:cs="宋体"/>
                <w:color w:val="auto"/>
                <w:sz w:val="24"/>
                <w:szCs w:val="24"/>
                <w:highlight w:val="none"/>
                <w:lang w:eastAsia="zh-CN"/>
              </w:rPr>
              <w:t>》</w:t>
            </w:r>
          </w:p>
        </w:tc>
      </w:tr>
      <w:tr w14:paraId="53A9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01" w:type="dxa"/>
            <w:noWrap w:val="0"/>
            <w:vAlign w:val="center"/>
          </w:tcPr>
          <w:p w14:paraId="023BD7F3">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732" w:type="dxa"/>
            <w:noWrap w:val="0"/>
            <w:vAlign w:val="center"/>
          </w:tcPr>
          <w:p w14:paraId="00867124">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验收标准</w:t>
            </w:r>
          </w:p>
        </w:tc>
        <w:tc>
          <w:tcPr>
            <w:tcW w:w="5216" w:type="dxa"/>
            <w:noWrap w:val="0"/>
            <w:vAlign w:val="center"/>
          </w:tcPr>
          <w:p w14:paraId="6EC31C81">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按照</w:t>
            </w:r>
            <w:r>
              <w:rPr>
                <w:rFonts w:hint="eastAsia" w:ascii="宋体" w:hAnsi="宋体" w:eastAsia="宋体" w:cs="宋体"/>
                <w:bCs/>
                <w:color w:val="auto"/>
                <w:sz w:val="24"/>
                <w:szCs w:val="24"/>
                <w:highlight w:val="none"/>
                <w:lang w:val="en-US" w:eastAsia="zh-CN"/>
              </w:rPr>
              <w:t>中标人</w:t>
            </w:r>
            <w:r>
              <w:rPr>
                <w:rFonts w:hint="eastAsia" w:ascii="宋体" w:hAnsi="宋体" w:eastAsia="宋体" w:cs="宋体"/>
                <w:bCs/>
                <w:color w:val="auto"/>
                <w:sz w:val="24"/>
                <w:szCs w:val="24"/>
                <w:highlight w:val="none"/>
              </w:rPr>
              <w:t>提供的</w:t>
            </w:r>
            <w:r>
              <w:rPr>
                <w:rFonts w:hint="eastAsia" w:ascii="宋体" w:hAnsi="宋体" w:eastAsia="宋体" w:cs="宋体"/>
                <w:bCs/>
                <w:color w:val="auto"/>
                <w:sz w:val="24"/>
                <w:szCs w:val="24"/>
                <w:highlight w:val="none"/>
                <w:lang w:val="en-US" w:eastAsia="zh-CN"/>
              </w:rPr>
              <w:t>响应</w:t>
            </w:r>
            <w:r>
              <w:rPr>
                <w:rFonts w:hint="eastAsia" w:ascii="宋体" w:hAnsi="宋体" w:eastAsia="宋体" w:cs="宋体"/>
                <w:bCs/>
                <w:color w:val="auto"/>
                <w:sz w:val="24"/>
                <w:szCs w:val="24"/>
                <w:highlight w:val="none"/>
              </w:rPr>
              <w:t>文件及</w:t>
            </w:r>
            <w:r>
              <w:rPr>
                <w:rFonts w:hint="eastAsia" w:ascii="宋体" w:hAnsi="宋体" w:eastAsia="宋体" w:cs="宋体"/>
                <w:bCs/>
                <w:color w:val="auto"/>
                <w:sz w:val="24"/>
                <w:szCs w:val="24"/>
                <w:highlight w:val="none"/>
                <w:lang w:val="en-US" w:eastAsia="zh-CN"/>
              </w:rPr>
              <w:t>中标人</w:t>
            </w:r>
            <w:r>
              <w:rPr>
                <w:rFonts w:hint="eastAsia" w:ascii="宋体" w:hAnsi="宋体" w:eastAsia="宋体" w:cs="宋体"/>
                <w:bCs/>
                <w:color w:val="auto"/>
                <w:sz w:val="24"/>
                <w:szCs w:val="24"/>
                <w:highlight w:val="none"/>
              </w:rPr>
              <w:t>和采购人签订的政府采购合同为标准进行验收。</w:t>
            </w:r>
          </w:p>
        </w:tc>
      </w:tr>
      <w:tr w14:paraId="76B30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noWrap w:val="0"/>
            <w:vAlign w:val="center"/>
          </w:tcPr>
          <w:p w14:paraId="3C4EFB3F">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p>
        </w:tc>
        <w:tc>
          <w:tcPr>
            <w:tcW w:w="2732" w:type="dxa"/>
            <w:noWrap w:val="0"/>
            <w:vAlign w:val="center"/>
          </w:tcPr>
          <w:p w14:paraId="7D2DF8B1">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现场踏勘</w:t>
            </w:r>
          </w:p>
        </w:tc>
        <w:tc>
          <w:tcPr>
            <w:tcW w:w="5216" w:type="dxa"/>
            <w:noWrap w:val="0"/>
            <w:vAlign w:val="center"/>
          </w:tcPr>
          <w:p w14:paraId="6487D364">
            <w:pPr>
              <w:keepNext w:val="0"/>
              <w:keepLines w:val="0"/>
              <w:pageBreakBefore w:val="0"/>
              <w:widowControl w:val="0"/>
              <w:kinsoku/>
              <w:wordWrap/>
              <w:overflowPunct/>
              <w:topLinePunct w:val="0"/>
              <w:autoSpaceDE/>
              <w:autoSpaceDN/>
              <w:bidi w:val="0"/>
              <w:adjustRightInd/>
              <w:snapToGrid/>
              <w:spacing w:line="336"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他损失、损害和引起的费用和开支承担责任。</w:t>
            </w:r>
          </w:p>
        </w:tc>
      </w:tr>
    </w:tbl>
    <w:p w14:paraId="5AB484E7">
      <w:pPr>
        <w:widowControl/>
        <w:kinsoku/>
        <w:wordWrap/>
        <w:overflowPunct/>
        <w:topLinePunct w:val="0"/>
        <w:bidi w:val="0"/>
        <w:adjustRightInd/>
        <w:spacing w:line="360" w:lineRule="auto"/>
        <w:jc w:val="left"/>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Cs w:val="21"/>
          <w:highlight w:val="none"/>
        </w:rPr>
        <w:br w:type="page"/>
      </w:r>
      <w:r>
        <w:rPr>
          <w:rFonts w:hint="eastAsia" w:ascii="宋体" w:hAnsi="宋体" w:eastAsia="宋体" w:cs="宋体"/>
          <w:b/>
          <w:color w:val="auto"/>
          <w:kern w:val="0"/>
          <w:sz w:val="24"/>
          <w:szCs w:val="24"/>
          <w:highlight w:val="none"/>
        </w:rPr>
        <w:t>一、重要商务要求一览表</w:t>
      </w:r>
    </w:p>
    <w:tbl>
      <w:tblPr>
        <w:tblStyle w:val="63"/>
        <w:tblW w:w="88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5"/>
        <w:gridCol w:w="6904"/>
      </w:tblGrid>
      <w:tr w14:paraId="7FB20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jc w:val="center"/>
        </w:trPr>
        <w:tc>
          <w:tcPr>
            <w:tcW w:w="1955" w:type="dxa"/>
            <w:tcBorders>
              <w:top w:val="single" w:color="auto" w:sz="4" w:space="0"/>
              <w:left w:val="single" w:color="auto" w:sz="4" w:space="0"/>
              <w:bottom w:val="single" w:color="auto" w:sz="4" w:space="0"/>
              <w:right w:val="single" w:color="auto" w:sz="4" w:space="0"/>
            </w:tcBorders>
            <w:noWrap w:val="0"/>
            <w:vAlign w:val="center"/>
          </w:tcPr>
          <w:p w14:paraId="49A9CD25">
            <w:pPr>
              <w:adjustRightInd/>
              <w:spacing w:line="360" w:lineRule="auto"/>
              <w:jc w:val="center"/>
              <w:rPr>
                <w:rFonts w:hint="eastAsia" w:ascii="宋体" w:hAnsi="宋体" w:eastAsia="宋体" w:cs="宋体"/>
                <w:b/>
                <w:bCs/>
                <w:color w:val="auto"/>
                <w:sz w:val="24"/>
                <w:szCs w:val="24"/>
                <w:highlight w:val="none"/>
              </w:rPr>
            </w:pPr>
            <w:bookmarkStart w:id="47" w:name="_Toc513103337"/>
            <w:r>
              <w:rPr>
                <w:rFonts w:hint="eastAsia" w:ascii="宋体" w:hAnsi="宋体" w:eastAsia="宋体" w:cs="宋体"/>
                <w:b/>
                <w:bCs/>
                <w:color w:val="auto"/>
                <w:sz w:val="24"/>
                <w:szCs w:val="24"/>
                <w:highlight w:val="none"/>
              </w:rPr>
              <w:t>项目</w:t>
            </w:r>
          </w:p>
        </w:tc>
        <w:tc>
          <w:tcPr>
            <w:tcW w:w="6904" w:type="dxa"/>
            <w:tcBorders>
              <w:top w:val="single" w:color="auto" w:sz="4" w:space="0"/>
              <w:left w:val="single" w:color="auto" w:sz="4" w:space="0"/>
              <w:bottom w:val="single" w:color="auto" w:sz="4" w:space="0"/>
              <w:right w:val="single" w:color="auto" w:sz="4" w:space="0"/>
            </w:tcBorders>
            <w:noWrap w:val="0"/>
            <w:vAlign w:val="center"/>
          </w:tcPr>
          <w:p w14:paraId="74F8324B">
            <w:pPr>
              <w:adjustRightInd/>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要 求 </w:t>
            </w:r>
          </w:p>
        </w:tc>
      </w:tr>
      <w:tr w14:paraId="712FC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55" w:type="dxa"/>
            <w:tcBorders>
              <w:top w:val="single" w:color="auto" w:sz="4" w:space="0"/>
              <w:left w:val="single" w:color="auto" w:sz="4" w:space="0"/>
              <w:bottom w:val="single" w:color="auto" w:sz="4" w:space="0"/>
              <w:right w:val="single" w:color="auto" w:sz="4" w:space="0"/>
            </w:tcBorders>
            <w:noWrap w:val="0"/>
            <w:vAlign w:val="center"/>
          </w:tcPr>
          <w:p w14:paraId="6893EDB2">
            <w:pPr>
              <w:adjustRightInd/>
              <w:spacing w:line="288"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1、交货地点</w:t>
            </w:r>
          </w:p>
        </w:tc>
        <w:tc>
          <w:tcPr>
            <w:tcW w:w="6904" w:type="dxa"/>
            <w:tcBorders>
              <w:top w:val="single" w:color="auto" w:sz="4" w:space="0"/>
              <w:left w:val="single" w:color="auto" w:sz="4" w:space="0"/>
              <w:bottom w:val="single" w:color="auto" w:sz="4" w:space="0"/>
              <w:right w:val="single" w:color="auto" w:sz="4" w:space="0"/>
            </w:tcBorders>
            <w:noWrap w:val="0"/>
            <w:vAlign w:val="center"/>
          </w:tcPr>
          <w:p w14:paraId="1BB4C2AD">
            <w:pPr>
              <w:adjustRightInd/>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宁海县总工会</w:t>
            </w:r>
            <w:r>
              <w:rPr>
                <w:rFonts w:hint="eastAsia" w:ascii="宋体" w:hAnsi="宋体" w:eastAsia="宋体" w:cs="宋体"/>
                <w:color w:val="auto"/>
                <w:sz w:val="24"/>
                <w:szCs w:val="24"/>
                <w:highlight w:val="none"/>
                <w:lang w:val="en-US" w:eastAsia="zh-CN"/>
              </w:rPr>
              <w:t>指定地点（宁海县内企事业单位）</w:t>
            </w:r>
            <w:r>
              <w:rPr>
                <w:rFonts w:hint="eastAsia" w:ascii="宋体" w:hAnsi="宋体" w:eastAsia="宋体" w:cs="宋体"/>
                <w:color w:val="auto"/>
                <w:sz w:val="24"/>
                <w:szCs w:val="24"/>
                <w:highlight w:val="none"/>
              </w:rPr>
              <w:t>。</w:t>
            </w:r>
          </w:p>
        </w:tc>
      </w:tr>
      <w:tr w14:paraId="5286A3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1955" w:type="dxa"/>
            <w:tcBorders>
              <w:top w:val="single" w:color="auto" w:sz="4" w:space="0"/>
              <w:left w:val="single" w:color="auto" w:sz="4" w:space="0"/>
              <w:bottom w:val="single" w:color="auto" w:sz="4" w:space="0"/>
              <w:right w:val="single" w:color="auto" w:sz="4" w:space="0"/>
            </w:tcBorders>
            <w:noWrap w:val="0"/>
            <w:vAlign w:val="center"/>
          </w:tcPr>
          <w:p w14:paraId="11F0C416">
            <w:pPr>
              <w:adjustRightInd/>
              <w:spacing w:line="288" w:lineRule="auto"/>
              <w:jc w:val="left"/>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2、交货期</w:t>
            </w:r>
          </w:p>
        </w:tc>
        <w:tc>
          <w:tcPr>
            <w:tcW w:w="6904" w:type="dxa"/>
            <w:tcBorders>
              <w:top w:val="single" w:color="auto" w:sz="4" w:space="0"/>
              <w:left w:val="single" w:color="auto" w:sz="4" w:space="0"/>
              <w:bottom w:val="single" w:color="auto" w:sz="4" w:space="0"/>
              <w:right w:val="single" w:color="auto" w:sz="4" w:space="0"/>
            </w:tcBorders>
            <w:noWrap w:val="0"/>
            <w:vAlign w:val="center"/>
          </w:tcPr>
          <w:p w14:paraId="34A4B2A0">
            <w:pPr>
              <w:adjustRightInd/>
              <w:spacing w:line="288"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分批交货。</w:t>
            </w:r>
            <w:r>
              <w:rPr>
                <w:rFonts w:hint="eastAsia" w:ascii="宋体" w:hAnsi="宋体" w:eastAsia="宋体" w:cs="宋体"/>
                <w:color w:val="auto"/>
                <w:sz w:val="24"/>
                <w:szCs w:val="24"/>
                <w:highlight w:val="none"/>
              </w:rPr>
              <w:t>合同签订后，根据县总工会的通知一周内交货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特殊情况中标人应在接县总工会通知后24小时内交货</w:t>
            </w:r>
            <w:r>
              <w:rPr>
                <w:rFonts w:hint="eastAsia" w:ascii="宋体" w:hAnsi="宋体" w:eastAsia="宋体" w:cs="宋体"/>
                <w:color w:val="auto"/>
                <w:sz w:val="24"/>
                <w:szCs w:val="24"/>
                <w:highlight w:val="none"/>
              </w:rPr>
              <w:t>。</w:t>
            </w:r>
          </w:p>
        </w:tc>
      </w:tr>
      <w:tr w14:paraId="6DE2C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55" w:type="dxa"/>
            <w:tcBorders>
              <w:top w:val="single" w:color="auto" w:sz="4" w:space="0"/>
              <w:left w:val="single" w:color="auto" w:sz="4" w:space="0"/>
              <w:bottom w:val="single" w:color="auto" w:sz="4" w:space="0"/>
              <w:right w:val="single" w:color="auto" w:sz="4" w:space="0"/>
            </w:tcBorders>
            <w:noWrap w:val="0"/>
            <w:vAlign w:val="center"/>
          </w:tcPr>
          <w:p w14:paraId="367490BB">
            <w:pPr>
              <w:adjustRightInd/>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3、付款方式</w:t>
            </w:r>
          </w:p>
        </w:tc>
        <w:tc>
          <w:tcPr>
            <w:tcW w:w="6904" w:type="dxa"/>
            <w:tcBorders>
              <w:top w:val="single" w:color="auto" w:sz="4" w:space="0"/>
              <w:left w:val="single" w:color="auto" w:sz="4" w:space="0"/>
              <w:bottom w:val="single" w:color="auto" w:sz="4" w:space="0"/>
              <w:right w:val="single" w:color="auto" w:sz="4" w:space="0"/>
            </w:tcBorders>
            <w:noWrap w:val="0"/>
            <w:vAlign w:val="center"/>
          </w:tcPr>
          <w:p w14:paraId="493E2687">
            <w:pPr>
              <w:widowControl w:val="0"/>
              <w:adjustRightInd/>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合同签订</w:t>
            </w:r>
            <w:r>
              <w:rPr>
                <w:rFonts w:hint="eastAsia" w:ascii="宋体" w:hAnsi="宋体" w:eastAsia="宋体" w:cs="宋体"/>
                <w:color w:val="auto"/>
                <w:kern w:val="0"/>
                <w:sz w:val="24"/>
                <w:szCs w:val="24"/>
                <w:highlight w:val="none"/>
                <w:lang w:val="en-US" w:eastAsia="zh-CN"/>
              </w:rPr>
              <w:t>且具备实施条件后</w:t>
            </w:r>
            <w:r>
              <w:rPr>
                <w:rFonts w:hint="eastAsia" w:ascii="宋体" w:hAnsi="宋体" w:eastAsia="宋体" w:cs="宋体"/>
                <w:color w:val="auto"/>
                <w:sz w:val="24"/>
                <w:szCs w:val="24"/>
                <w:highlight w:val="none"/>
                <w:lang w:val="en-US" w:eastAsia="zh-CN"/>
              </w:rPr>
              <w:t>7个工作日内</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采购人先预付合同金额的</w:t>
            </w:r>
            <w:r>
              <w:rPr>
                <w:rFonts w:hint="eastAsia" w:ascii="宋体" w:hAnsi="宋体" w:eastAsia="宋体" w:cs="宋体"/>
                <w:color w:val="auto"/>
                <w:kern w:val="0"/>
                <w:sz w:val="24"/>
                <w:szCs w:val="24"/>
                <w:highlight w:val="none"/>
                <w:lang w:val="en-US" w:eastAsia="zh-CN"/>
              </w:rPr>
              <w:t>40%作为预付款</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若在签订合同时，中标人明确表示无需预付款的，采购人可不予支付预付款。预付款支付约定以合同中约定为准。</w:t>
            </w:r>
            <w:r>
              <w:rPr>
                <w:rFonts w:hint="eastAsia" w:ascii="宋体" w:hAnsi="宋体" w:eastAsia="宋体" w:cs="宋体"/>
                <w:color w:val="auto"/>
                <w:kern w:val="0"/>
                <w:sz w:val="24"/>
                <w:szCs w:val="24"/>
                <w:highlight w:val="none"/>
                <w:lang w:eastAsia="zh-CN"/>
              </w:rPr>
              <w:t>）</w:t>
            </w:r>
          </w:p>
          <w:p w14:paraId="17D0C95B">
            <w:pPr>
              <w:adjustRightInd/>
              <w:spacing w:line="288"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完成所有慰问品发放后</w:t>
            </w:r>
            <w:r>
              <w:rPr>
                <w:rFonts w:hint="eastAsia" w:ascii="宋体" w:hAnsi="宋体" w:eastAsia="宋体" w:cs="宋体"/>
                <w:color w:val="auto"/>
                <w:sz w:val="24"/>
                <w:szCs w:val="24"/>
                <w:highlight w:val="none"/>
              </w:rPr>
              <w:t>30天内未出现质量问题的情况下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7个工作日内</w:t>
            </w:r>
            <w:r>
              <w:rPr>
                <w:rFonts w:hint="eastAsia" w:ascii="宋体" w:hAnsi="宋体" w:eastAsia="宋体" w:cs="宋体"/>
                <w:color w:val="auto"/>
                <w:sz w:val="24"/>
                <w:szCs w:val="24"/>
                <w:highlight w:val="none"/>
              </w:rPr>
              <w:t>一次性付清</w:t>
            </w:r>
            <w:r>
              <w:rPr>
                <w:rFonts w:hint="eastAsia" w:ascii="宋体" w:hAnsi="宋体" w:eastAsia="宋体" w:cs="宋体"/>
                <w:color w:val="auto"/>
                <w:sz w:val="24"/>
                <w:szCs w:val="24"/>
                <w:highlight w:val="none"/>
                <w:lang w:val="en-US" w:eastAsia="zh-CN"/>
              </w:rPr>
              <w:t>余款</w:t>
            </w:r>
            <w:r>
              <w:rPr>
                <w:rFonts w:hint="eastAsia" w:ascii="宋体" w:hAnsi="宋体" w:eastAsia="宋体" w:cs="宋体"/>
                <w:color w:val="auto"/>
                <w:sz w:val="24"/>
                <w:szCs w:val="24"/>
                <w:highlight w:val="none"/>
              </w:rPr>
              <w:t>。</w:t>
            </w:r>
          </w:p>
        </w:tc>
      </w:tr>
      <w:tr w14:paraId="3EE8B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55" w:type="dxa"/>
            <w:tcBorders>
              <w:top w:val="single" w:color="auto" w:sz="4" w:space="0"/>
              <w:left w:val="single" w:color="auto" w:sz="4" w:space="0"/>
              <w:bottom w:val="single" w:color="auto" w:sz="4" w:space="0"/>
              <w:right w:val="single" w:color="auto" w:sz="4" w:space="0"/>
            </w:tcBorders>
            <w:noWrap w:val="0"/>
            <w:vAlign w:val="center"/>
          </w:tcPr>
          <w:p w14:paraId="3DB98D70">
            <w:pPr>
              <w:adjustRightInd/>
              <w:spacing w:line="288"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4、质量标准</w:t>
            </w:r>
          </w:p>
        </w:tc>
        <w:tc>
          <w:tcPr>
            <w:tcW w:w="6904" w:type="dxa"/>
            <w:tcBorders>
              <w:top w:val="single" w:color="auto" w:sz="4" w:space="0"/>
              <w:left w:val="single" w:color="auto" w:sz="4" w:space="0"/>
              <w:bottom w:val="single" w:color="auto" w:sz="4" w:space="0"/>
              <w:right w:val="single" w:color="auto" w:sz="4" w:space="0"/>
            </w:tcBorders>
            <w:noWrap w:val="0"/>
            <w:vAlign w:val="center"/>
          </w:tcPr>
          <w:p w14:paraId="017D69C1">
            <w:pPr>
              <w:adjustRightInd/>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供应商保证所提供的货物应符合国家技术规格和质量标准的出厂原装合格产品，如发生所供的货物与合同不符，采购人有权拒收或退货，由此产生的一切责任和后果由供应商承担。</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须保证产品质量，如有质量问题，必须进行调换。</w:t>
            </w:r>
          </w:p>
        </w:tc>
      </w:tr>
      <w:tr w14:paraId="743EB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55" w:type="dxa"/>
            <w:tcBorders>
              <w:top w:val="single" w:color="auto" w:sz="4" w:space="0"/>
              <w:left w:val="single" w:color="auto" w:sz="4" w:space="0"/>
              <w:bottom w:val="single" w:color="auto" w:sz="4" w:space="0"/>
              <w:right w:val="single" w:color="auto" w:sz="4" w:space="0"/>
            </w:tcBorders>
            <w:noWrap w:val="0"/>
            <w:vAlign w:val="center"/>
          </w:tcPr>
          <w:p w14:paraId="6E5B55FB">
            <w:pPr>
              <w:adjustRightInd/>
              <w:spacing w:line="288"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5、应提供的伴随服务</w:t>
            </w:r>
          </w:p>
        </w:tc>
        <w:tc>
          <w:tcPr>
            <w:tcW w:w="6904" w:type="dxa"/>
            <w:tcBorders>
              <w:top w:val="single" w:color="auto" w:sz="4" w:space="0"/>
              <w:left w:val="single" w:color="auto" w:sz="4" w:space="0"/>
              <w:bottom w:val="single" w:color="auto" w:sz="4" w:space="0"/>
              <w:right w:val="single" w:color="auto" w:sz="4" w:space="0"/>
            </w:tcBorders>
            <w:noWrap w:val="0"/>
            <w:vAlign w:val="center"/>
          </w:tcPr>
          <w:p w14:paraId="7D6FF51C">
            <w:pPr>
              <w:adjustRightInd/>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在任何时候，供应商均不能免除因货物本身的缺陷所应负的责任。在质保期内发生质量问题，</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须无条件给予退换。</w:t>
            </w:r>
          </w:p>
        </w:tc>
      </w:tr>
      <w:tr w14:paraId="216D6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55" w:type="dxa"/>
            <w:tcBorders>
              <w:top w:val="single" w:color="auto" w:sz="4" w:space="0"/>
              <w:left w:val="single" w:color="auto" w:sz="4" w:space="0"/>
              <w:bottom w:val="single" w:color="auto" w:sz="4" w:space="0"/>
              <w:right w:val="single" w:color="auto" w:sz="4" w:space="0"/>
            </w:tcBorders>
            <w:noWrap w:val="0"/>
            <w:vAlign w:val="center"/>
          </w:tcPr>
          <w:p w14:paraId="027694CA">
            <w:pPr>
              <w:adjustRightInd/>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6、履约保证金</w:t>
            </w:r>
          </w:p>
        </w:tc>
        <w:tc>
          <w:tcPr>
            <w:tcW w:w="6904" w:type="dxa"/>
            <w:tcBorders>
              <w:top w:val="single" w:color="auto" w:sz="4" w:space="0"/>
              <w:left w:val="single" w:color="auto" w:sz="4" w:space="0"/>
              <w:bottom w:val="single" w:color="auto" w:sz="4" w:space="0"/>
              <w:right w:val="single" w:color="auto" w:sz="4" w:space="0"/>
            </w:tcBorders>
            <w:noWrap w:val="0"/>
            <w:vAlign w:val="center"/>
          </w:tcPr>
          <w:p w14:paraId="4DDC143D">
            <w:pPr>
              <w:adjustRightInd/>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本项目不收取</w:t>
            </w:r>
          </w:p>
        </w:tc>
      </w:tr>
      <w:tr w14:paraId="6F1CA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55" w:type="dxa"/>
            <w:tcBorders>
              <w:top w:val="single" w:color="auto" w:sz="4" w:space="0"/>
              <w:left w:val="single" w:color="auto" w:sz="4" w:space="0"/>
              <w:bottom w:val="single" w:color="auto" w:sz="4" w:space="0"/>
              <w:right w:val="single" w:color="auto" w:sz="4" w:space="0"/>
            </w:tcBorders>
            <w:noWrap w:val="0"/>
            <w:vAlign w:val="center"/>
          </w:tcPr>
          <w:p w14:paraId="0E1FD0C6">
            <w:pPr>
              <w:adjustRightInd/>
              <w:spacing w:line="288"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7、其他要求</w:t>
            </w:r>
          </w:p>
        </w:tc>
        <w:tc>
          <w:tcPr>
            <w:tcW w:w="6904" w:type="dxa"/>
            <w:tcBorders>
              <w:top w:val="single" w:color="auto" w:sz="4" w:space="0"/>
              <w:left w:val="single" w:color="auto" w:sz="4" w:space="0"/>
              <w:bottom w:val="single" w:color="auto" w:sz="4" w:space="0"/>
              <w:right w:val="single" w:color="auto" w:sz="4" w:space="0"/>
            </w:tcBorders>
            <w:noWrap w:val="0"/>
            <w:vAlign w:val="center"/>
          </w:tcPr>
          <w:p w14:paraId="018A1598">
            <w:pPr>
              <w:adjustRightInd/>
              <w:spacing w:line="288"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供应商应有固定的仓储场所；须配备不少于3人的服务团队并配备配送车辆，按采购人要求分批次送达慰问品。</w:t>
            </w:r>
          </w:p>
        </w:tc>
      </w:tr>
      <w:tr w14:paraId="213C9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55" w:type="dxa"/>
            <w:tcBorders>
              <w:top w:val="single" w:color="auto" w:sz="4" w:space="0"/>
              <w:left w:val="single" w:color="auto" w:sz="4" w:space="0"/>
              <w:bottom w:val="single" w:color="auto" w:sz="4" w:space="0"/>
              <w:right w:val="single" w:color="auto" w:sz="4" w:space="0"/>
            </w:tcBorders>
            <w:noWrap w:val="0"/>
            <w:vAlign w:val="center"/>
          </w:tcPr>
          <w:p w14:paraId="385D52E9">
            <w:pPr>
              <w:adjustRightInd/>
              <w:spacing w:line="288"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▲8、其他说明</w:t>
            </w:r>
          </w:p>
        </w:tc>
        <w:tc>
          <w:tcPr>
            <w:tcW w:w="6904" w:type="dxa"/>
            <w:tcBorders>
              <w:top w:val="single" w:color="auto" w:sz="4" w:space="0"/>
              <w:left w:val="single" w:color="auto" w:sz="4" w:space="0"/>
              <w:bottom w:val="single" w:color="auto" w:sz="4" w:space="0"/>
              <w:right w:val="single" w:color="auto" w:sz="4" w:space="0"/>
            </w:tcBorders>
            <w:noWrap w:val="0"/>
            <w:vAlign w:val="center"/>
          </w:tcPr>
          <w:p w14:paraId="7BF440F0">
            <w:pPr>
              <w:adjustRightInd/>
              <w:spacing w:line="288"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将协同市场监管部门对所供货物进行抽检核查，如某一中标人出现不能保证工作质量，或提供假冒伪劣产品、或发生重大差错事故，或被投诉事项经核实成立的，采购人有权对其承担的业务量进行调整。中标人须无条件服从采购人的安排。</w:t>
            </w:r>
          </w:p>
          <w:p w14:paraId="29809DF0">
            <w:pPr>
              <w:adjustRightInd/>
              <w:spacing w:line="288"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标人在产品中掺杂、掺假，以假充真，以次充好，或者以不合格产品冒充合格产品的，一经发现，采购人将上报有关市场监管部门责令停止销售，没收违法销售的产品，并处违法销售产品货值金额三倍的罚款；有违法所得的，并处没收违法所得；情节严重的，吊销营业执照；构成犯罪的，依法追究刑事责任。</w:t>
            </w:r>
          </w:p>
        </w:tc>
      </w:tr>
      <w:bookmarkEnd w:id="47"/>
    </w:tbl>
    <w:p w14:paraId="78FD4C7E">
      <w:pPr>
        <w:keepNext w:val="0"/>
        <w:keepLines w:val="0"/>
        <w:pageBreakBefore w:val="0"/>
        <w:widowControl/>
        <w:tabs>
          <w:tab w:val="left" w:pos="851"/>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kern w:val="0"/>
          <w:sz w:val="24"/>
          <w:szCs w:val="24"/>
          <w:highlight w:val="none"/>
        </w:rPr>
        <w:sectPr>
          <w:pgSz w:w="11907" w:h="16840"/>
          <w:pgMar w:top="1474" w:right="1814" w:bottom="1474" w:left="1814" w:header="851" w:footer="851" w:gutter="0"/>
          <w:pgNumType w:fmt="decimal" w:start="1"/>
          <w:cols w:space="720" w:num="1"/>
        </w:sectPr>
      </w:pPr>
    </w:p>
    <w:p w14:paraId="4DB3074B">
      <w:pPr>
        <w:tabs>
          <w:tab w:val="left" w:pos="7770"/>
        </w:tabs>
        <w:adjustRightInd/>
        <w:spacing w:line="360" w:lineRule="auto"/>
        <w:contextualSpacing/>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二、招标产品清单</w:t>
      </w:r>
    </w:p>
    <w:p w14:paraId="6672C6A9">
      <w:pPr>
        <w:widowControl w:val="0"/>
        <w:autoSpaceDE w:val="0"/>
        <w:autoSpaceDN w:val="0"/>
        <w:adjustRightInd w:val="0"/>
        <w:spacing w:line="360" w:lineRule="auto"/>
        <w:ind w:firstLine="420"/>
        <w:jc w:val="both"/>
        <w:rPr>
          <w:rFonts w:hint="eastAsia" w:ascii="宋体" w:hAnsi="Calibri" w:eastAsia="宋体" w:cs="Times New Roman"/>
          <w:snapToGrid/>
          <w:color w:val="auto"/>
          <w:kern w:val="2"/>
          <w:sz w:val="24"/>
          <w:szCs w:val="24"/>
          <w:highlight w:val="none"/>
          <w:lang w:val="zh-CN" w:eastAsia="zh-CN" w:bidi="ar-SA"/>
        </w:rPr>
      </w:pPr>
      <w:r>
        <w:rPr>
          <w:rFonts w:hint="eastAsia" w:ascii="宋体" w:hAnsi="宋体" w:eastAsia="宋体" w:cs="仿宋"/>
          <w:b/>
          <w:bCs/>
          <w:snapToGrid/>
          <w:color w:val="auto"/>
          <w:kern w:val="2"/>
          <w:sz w:val="24"/>
          <w:szCs w:val="24"/>
          <w:highlight w:val="none"/>
          <w:lang w:val="en-US" w:eastAsia="zh-CN" w:bidi="ar-SA"/>
        </w:rPr>
        <w:t>高温慰问品，每份包含如下：</w:t>
      </w:r>
    </w:p>
    <w:tbl>
      <w:tblPr>
        <w:tblStyle w:val="63"/>
        <w:tblW w:w="109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9"/>
        <w:gridCol w:w="927"/>
        <w:gridCol w:w="3476"/>
        <w:gridCol w:w="725"/>
        <w:gridCol w:w="700"/>
        <w:gridCol w:w="3412"/>
        <w:gridCol w:w="1168"/>
      </w:tblGrid>
      <w:tr w14:paraId="647DB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8"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812C">
            <w:pPr>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jc w:val="center"/>
              <w:textAlignment w:val="baseline"/>
              <w:rPr>
                <w:rFonts w:hint="eastAsia" w:ascii="宋体" w:hAnsi="宋体" w:eastAsia="宋体" w:cs="宋体"/>
                <w:b/>
                <w:bCs w:val="0"/>
                <w:i w:val="0"/>
                <w:color w:val="auto"/>
                <w:kern w:val="0"/>
                <w:sz w:val="24"/>
                <w:szCs w:val="24"/>
                <w:highlight w:val="none"/>
                <w:u w:val="none"/>
                <w:lang w:val="en-GB" w:eastAsia="zh-CN" w:bidi="ar-SA"/>
              </w:rPr>
            </w:pPr>
            <w:r>
              <w:rPr>
                <w:rFonts w:hint="eastAsia" w:ascii="Times New Roman" w:hAnsi="Times New Roman" w:eastAsia="宋体" w:cs="Times New Roman"/>
                <w:b/>
                <w:bCs w:val="0"/>
                <w:color w:val="auto"/>
                <w:kern w:val="0"/>
                <w:sz w:val="24"/>
                <w:szCs w:val="24"/>
                <w:highlight w:val="none"/>
                <w:vertAlign w:val="baseline"/>
                <w:lang w:val="en-US" w:eastAsia="zh-CN" w:bidi="ar-SA"/>
              </w:rPr>
              <w:t>序号</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11E7">
            <w:pPr>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jc w:val="center"/>
              <w:textAlignment w:val="baseline"/>
              <w:rPr>
                <w:rFonts w:hint="eastAsia" w:ascii="宋体" w:hAnsi="宋体" w:eastAsia="宋体" w:cs="宋体"/>
                <w:b/>
                <w:bCs w:val="0"/>
                <w:i w:val="0"/>
                <w:color w:val="auto"/>
                <w:kern w:val="0"/>
                <w:sz w:val="24"/>
                <w:szCs w:val="24"/>
                <w:highlight w:val="none"/>
                <w:u w:val="none"/>
                <w:lang w:val="en-GB" w:eastAsia="zh-CN" w:bidi="ar-SA"/>
              </w:rPr>
            </w:pPr>
            <w:r>
              <w:rPr>
                <w:rFonts w:hint="eastAsia" w:ascii="Times New Roman" w:hAnsi="Times New Roman" w:eastAsia="宋体" w:cs="Times New Roman"/>
                <w:b/>
                <w:bCs w:val="0"/>
                <w:color w:val="auto"/>
                <w:kern w:val="0"/>
                <w:sz w:val="24"/>
                <w:szCs w:val="24"/>
                <w:highlight w:val="none"/>
                <w:vertAlign w:val="baseline"/>
                <w:lang w:val="en-US" w:eastAsia="zh-CN" w:bidi="ar-SA"/>
              </w:rPr>
              <w:t>名称</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DC21">
            <w:pPr>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jc w:val="center"/>
              <w:textAlignment w:val="baseline"/>
              <w:rPr>
                <w:rFonts w:hint="eastAsia" w:ascii="宋体" w:hAnsi="宋体" w:eastAsia="宋体" w:cs="宋体"/>
                <w:b/>
                <w:bCs w:val="0"/>
                <w:i w:val="0"/>
                <w:color w:val="auto"/>
                <w:spacing w:val="-6"/>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参数规格</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BD5F">
            <w:pPr>
              <w:keepNext w:val="0"/>
              <w:keepLines w:val="0"/>
              <w:pageBreakBefore w:val="0"/>
              <w:widowControl/>
              <w:suppressLineNumbers w:val="0"/>
              <w:kinsoku/>
              <w:wordWrap/>
              <w:topLinePunct w:val="0"/>
              <w:bidi w:val="0"/>
              <w:adjustRightInd w:val="0"/>
              <w:snapToGrid/>
              <w:spacing w:line="360" w:lineRule="auto"/>
              <w:ind w:left="0" w:leftChars="0" w:right="0" w:rightChars="0"/>
              <w:jc w:val="center"/>
              <w:textAlignment w:val="center"/>
              <w:rPr>
                <w:rFonts w:hint="eastAsia" w:ascii="宋体" w:hAnsi="宋体" w:eastAsia="宋体" w:cs="宋体"/>
                <w:b/>
                <w:bCs w:val="0"/>
                <w:i w:val="0"/>
                <w:color w:val="auto"/>
                <w:spacing w:val="-6"/>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数量</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26BD">
            <w:pPr>
              <w:keepNext w:val="0"/>
              <w:keepLines w:val="0"/>
              <w:pageBreakBefore w:val="0"/>
              <w:widowControl/>
              <w:suppressLineNumbers w:val="0"/>
              <w:kinsoku/>
              <w:wordWrap/>
              <w:topLinePunct w:val="0"/>
              <w:bidi w:val="0"/>
              <w:adjustRightInd w:val="0"/>
              <w:snapToGrid/>
              <w:spacing w:line="360" w:lineRule="auto"/>
              <w:ind w:left="0" w:leftChars="0" w:right="0" w:rightChars="0"/>
              <w:jc w:val="center"/>
              <w:textAlignment w:val="center"/>
              <w:rPr>
                <w:rFonts w:hint="eastAsia" w:ascii="宋体" w:hAnsi="宋体" w:eastAsia="宋体" w:cs="宋体"/>
                <w:b/>
                <w:bCs w:val="0"/>
                <w:i w:val="0"/>
                <w:color w:val="auto"/>
                <w:spacing w:val="-6"/>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单位</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0155">
            <w:pPr>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jc w:val="center"/>
              <w:textAlignment w:val="baseline"/>
              <w:rPr>
                <w:rFonts w:hint="eastAsia" w:ascii="宋体" w:hAnsi="宋体" w:eastAsia="宋体" w:cs="宋体"/>
                <w:b/>
                <w:bCs w:val="0"/>
                <w:i w:val="0"/>
                <w:color w:val="auto"/>
                <w:spacing w:val="-6"/>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参考品牌</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4B92">
            <w:pPr>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jc w:val="center"/>
              <w:textAlignment w:val="baseline"/>
              <w:rPr>
                <w:rFonts w:hint="default"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投标响应</w:t>
            </w:r>
          </w:p>
        </w:tc>
      </w:tr>
      <w:tr w14:paraId="09618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B873">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Times New Roman" w:hAnsi="Times New Roman" w:eastAsia="宋体" w:cs="宋体"/>
                <w:i w:val="0"/>
                <w:color w:val="auto"/>
                <w:sz w:val="24"/>
                <w:szCs w:val="24"/>
                <w:highlight w:val="none"/>
                <w:u w:val="none"/>
                <w:lang w:val="en-US" w:eastAsia="zh-CN"/>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FD46">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牙膏</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673F">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不少于140g</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F8A3">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DD7F">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支</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7FD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default"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舒适达、佳洁士、高露洁、好来（黑人）、云南白药</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1372">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p>
        </w:tc>
      </w:tr>
      <w:tr w14:paraId="6746D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0559">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Times New Roman" w:hAnsi="Times New Roman" w:eastAsia="宋体" w:cs="宋体"/>
                <w:i w:val="0"/>
                <w:color w:val="auto"/>
                <w:sz w:val="24"/>
                <w:szCs w:val="24"/>
                <w:highlight w:val="none"/>
                <w:u w:val="none"/>
                <w:lang w:val="en-US" w:eastAsia="zh-CN"/>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AA4F">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牙刷</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0F1D">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软毛，成人规格</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0C16">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FA16">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支</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0D4D">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佳洁士、高露洁、好来（黑人）</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DA5C">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p>
        </w:tc>
      </w:tr>
      <w:tr w14:paraId="2497B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F3ED">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Times New Roman" w:hAnsi="Times New Roman" w:eastAsia="宋体" w:cs="宋体"/>
                <w:i w:val="0"/>
                <w:color w:val="auto"/>
                <w:sz w:val="24"/>
                <w:szCs w:val="24"/>
                <w:highlight w:val="none"/>
                <w:u w:val="none"/>
                <w:lang w:val="en-US" w:eastAsia="zh-CN"/>
              </w:rPr>
              <w:t>3</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FA00">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沐浴露</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2289">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不少于720ml或720g</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0D21">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F3BC">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瓶</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994C">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舒肤佳、六神、多芬</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80DA">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p>
        </w:tc>
      </w:tr>
      <w:tr w14:paraId="524A3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538B">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Times New Roman" w:hAnsi="Times New Roman" w:eastAsia="宋体" w:cs="宋体"/>
                <w:i w:val="0"/>
                <w:color w:val="auto"/>
                <w:sz w:val="24"/>
                <w:szCs w:val="24"/>
                <w:highlight w:val="none"/>
                <w:u w:val="none"/>
                <w:lang w:val="en-US" w:eastAsia="zh-CN"/>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CCBE">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洗发水</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ACE9">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不少于200ml或200g</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FC34">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6E7D">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瓶</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8B7F">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清扬、飘柔、欧莱雅、海飞丝</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D3B0">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p>
        </w:tc>
      </w:tr>
      <w:tr w14:paraId="2AA91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A84B">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Times New Roman" w:hAnsi="Times New Roman" w:eastAsia="宋体" w:cs="宋体"/>
                <w:i w:val="0"/>
                <w:color w:val="auto"/>
                <w:sz w:val="24"/>
                <w:szCs w:val="24"/>
                <w:highlight w:val="none"/>
                <w:u w:val="none"/>
                <w:lang w:val="en-US" w:eastAsia="zh-CN"/>
              </w:rPr>
              <w:t>5</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FAC3">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毛巾</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E9E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default"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b w:val="0"/>
                <w:bCs/>
                <w:i w:val="0"/>
                <w:iCs w:val="0"/>
                <w:color w:val="auto"/>
                <w:sz w:val="24"/>
                <w:szCs w:val="24"/>
                <w:highlight w:val="none"/>
                <w:u w:val="none"/>
                <w:lang w:val="en-US" w:eastAsia="zh-CN"/>
              </w:rPr>
              <w:t>尺寸不少于（72MM</w:t>
            </w:r>
            <w:r>
              <w:rPr>
                <w:rFonts w:hint="default" w:ascii="宋体" w:hAnsi="宋体" w:eastAsia="宋体" w:cs="宋体"/>
                <w:b w:val="0"/>
                <w:bCs/>
                <w:i w:val="0"/>
                <w:iCs w:val="0"/>
                <w:color w:val="auto"/>
                <w:sz w:val="24"/>
                <w:szCs w:val="24"/>
                <w:highlight w:val="none"/>
                <w:u w:val="none"/>
                <w:lang w:val="en-US" w:eastAsia="zh-CN"/>
              </w:rPr>
              <w:t>×</w:t>
            </w:r>
            <w:r>
              <w:rPr>
                <w:rFonts w:hint="eastAsia" w:ascii="宋体" w:hAnsi="宋体" w:eastAsia="宋体" w:cs="宋体"/>
                <w:b w:val="0"/>
                <w:bCs/>
                <w:i w:val="0"/>
                <w:iCs w:val="0"/>
                <w:color w:val="auto"/>
                <w:sz w:val="24"/>
                <w:szCs w:val="24"/>
                <w:highlight w:val="none"/>
                <w:u w:val="none"/>
                <w:lang w:val="en-US" w:eastAsia="zh-CN"/>
              </w:rPr>
              <w:t>33MM），成分：100%棉，一等品</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FE26">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6DE3">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条</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D95A">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洁丽雅、金号、全棉时代、三利</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A16E">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p>
        </w:tc>
      </w:tr>
      <w:tr w14:paraId="6532B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52A6">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Times New Roman" w:hAnsi="Times New Roman" w:eastAsia="宋体" w:cs="宋体"/>
                <w:i w:val="0"/>
                <w:color w:val="auto"/>
                <w:sz w:val="24"/>
                <w:szCs w:val="24"/>
                <w:highlight w:val="none"/>
                <w:u w:val="none"/>
                <w:lang w:val="en-US" w:eastAsia="zh-CN"/>
              </w:rPr>
              <w:t>6</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F992">
            <w:pPr>
              <w:keepNext w:val="0"/>
              <w:keepLines w:val="0"/>
              <w:pageBreakBefore w:val="0"/>
              <w:widowControl/>
              <w:suppressLineNumbers w:val="0"/>
              <w:kinsoku/>
              <w:wordWrap/>
              <w:overflowPunct/>
              <w:topLinePunct w:val="0"/>
              <w:autoSpaceDE/>
              <w:autoSpaceDN/>
              <w:bidi w:val="0"/>
              <w:adjustRightInd w:val="0"/>
              <w:snapToGrid/>
              <w:spacing w:line="240" w:lineRule="auto"/>
              <w:ind w:left="0" w:leftChars="0" w:right="0" w:rightChars="0"/>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pacing w:val="-6"/>
                <w:kern w:val="0"/>
                <w:sz w:val="24"/>
                <w:szCs w:val="24"/>
                <w:highlight w:val="none"/>
                <w:u w:val="none"/>
                <w:lang w:val="en-US" w:eastAsia="zh-CN" w:bidi="ar"/>
              </w:rPr>
              <w:t>洗衣皂</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8591">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不少于228g</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CBE5">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Times New Roman" w:hAnsi="Times New Roman" w:eastAsia="宋体" w:cs="宋体"/>
                <w:i w:val="0"/>
                <w:color w:val="auto"/>
                <w:spacing w:val="-6"/>
                <w:kern w:val="0"/>
                <w:sz w:val="24"/>
                <w:szCs w:val="24"/>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85E2">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Times New Roman" w:hAnsi="Times New Roman" w:eastAsia="宋体" w:cs="宋体"/>
                <w:i w:val="0"/>
                <w:color w:val="auto"/>
                <w:spacing w:val="-6"/>
                <w:kern w:val="0"/>
                <w:sz w:val="24"/>
                <w:szCs w:val="24"/>
                <w:highlight w:val="none"/>
                <w:u w:val="none"/>
                <w:lang w:val="en-US" w:eastAsia="zh-CN" w:bidi="ar"/>
              </w:rPr>
              <w:t>块</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9E7D">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超能、立白、雕牌</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FA00">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p>
        </w:tc>
      </w:tr>
      <w:tr w14:paraId="10FDD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177B">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Times New Roman" w:hAnsi="Times New Roman" w:eastAsia="宋体" w:cs="宋体"/>
                <w:i w:val="0"/>
                <w:color w:val="auto"/>
                <w:sz w:val="24"/>
                <w:szCs w:val="24"/>
                <w:highlight w:val="none"/>
                <w:u w:val="none"/>
                <w:lang w:val="en-US" w:eastAsia="zh-CN"/>
              </w:rPr>
              <w:t>7</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5A39">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Times New Roman" w:hAnsi="Times New Roman" w:eastAsia="宋体" w:cs="宋体"/>
                <w:i w:val="0"/>
                <w:color w:val="auto"/>
                <w:spacing w:val="-6"/>
                <w:kern w:val="0"/>
                <w:sz w:val="24"/>
                <w:szCs w:val="24"/>
                <w:highlight w:val="none"/>
                <w:u w:val="none"/>
                <w:lang w:val="en-US" w:eastAsia="zh-CN" w:bidi="ar"/>
              </w:rPr>
              <w:t>包装盒或环保袋</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EECD">
            <w:pPr>
              <w:keepNext w:val="0"/>
              <w:keepLines w:val="0"/>
              <w:pageBreakBefore w:val="0"/>
              <w:widowControl/>
              <w:kinsoku/>
              <w:wordWrap/>
              <w:overflowPunct/>
              <w:topLinePunct w:val="0"/>
              <w:autoSpaceDE/>
              <w:autoSpaceDN/>
              <w:bidi w:val="0"/>
              <w:adjustRightInd/>
              <w:snapToGrid/>
              <w:spacing w:line="240" w:lineRule="auto"/>
              <w:jc w:val="left"/>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i w:val="0"/>
                <w:color w:val="auto"/>
                <w:spacing w:val="-6"/>
                <w:kern w:val="0"/>
                <w:sz w:val="24"/>
                <w:szCs w:val="24"/>
                <w:highlight w:val="none"/>
                <w:u w:val="none"/>
                <w:lang w:val="en-US" w:eastAsia="zh-CN" w:bidi="ar"/>
              </w:rPr>
              <w:t>供应商须提供能完全装下每套产品的包装盒或无纺布环保袋，规格根据礼品大小及使用用途设计定制，包装盒或环保袋一面印“宁海县总工会”字样；一面印“高温慰问”字样。</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676C">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宋体"/>
                <w:i w:val="0"/>
                <w:color w:val="auto"/>
                <w:spacing w:val="-6"/>
                <w:kern w:val="0"/>
                <w:sz w:val="24"/>
                <w:szCs w:val="24"/>
                <w:highlight w:val="none"/>
                <w:u w:val="none"/>
                <w:lang w:val="en-US" w:eastAsia="zh-CN" w:bidi="ar"/>
              </w:rPr>
            </w:pPr>
            <w:r>
              <w:rPr>
                <w:rFonts w:hint="eastAsia" w:ascii="Times New Roman" w:hAnsi="Times New Roman" w:eastAsia="宋体" w:cs="宋体"/>
                <w:i w:val="0"/>
                <w:color w:val="auto"/>
                <w:spacing w:val="-6"/>
                <w:kern w:val="0"/>
                <w:sz w:val="24"/>
                <w:szCs w:val="24"/>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59C1">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宋体"/>
                <w:i w:val="0"/>
                <w:color w:val="auto"/>
                <w:spacing w:val="-6"/>
                <w:kern w:val="0"/>
                <w:sz w:val="24"/>
                <w:szCs w:val="24"/>
                <w:highlight w:val="none"/>
                <w:u w:val="none"/>
                <w:lang w:val="en-US" w:eastAsia="zh-CN" w:bidi="ar"/>
              </w:rPr>
            </w:pPr>
            <w:r>
              <w:rPr>
                <w:rFonts w:hint="eastAsia" w:ascii="Times New Roman" w:hAnsi="Times New Roman" w:eastAsia="宋体" w:cs="宋体"/>
                <w:i w:val="0"/>
                <w:color w:val="auto"/>
                <w:spacing w:val="-6"/>
                <w:kern w:val="0"/>
                <w:sz w:val="24"/>
                <w:szCs w:val="24"/>
                <w:highlight w:val="none"/>
                <w:u w:val="none"/>
                <w:lang w:val="en-US" w:eastAsia="zh-CN" w:bidi="ar"/>
              </w:rPr>
              <w:t>个</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15C5">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DA59">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p>
        </w:tc>
      </w:tr>
      <w:tr w14:paraId="2550A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02"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B783">
            <w:pPr>
              <w:keepNext w:val="0"/>
              <w:keepLines w:val="0"/>
              <w:pageBreakBefore w:val="0"/>
              <w:kinsoku/>
              <w:wordWrap/>
              <w:topLinePunct w:val="0"/>
              <w:bidi w:val="0"/>
              <w:adjustRightInd w:val="0"/>
              <w:snapToGrid/>
              <w:spacing w:line="360" w:lineRule="auto"/>
              <w:jc w:val="center"/>
              <w:textAlignment w:val="baseline"/>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rPr>
              <w:t>备注</w:t>
            </w:r>
          </w:p>
        </w:tc>
        <w:tc>
          <w:tcPr>
            <w:tcW w:w="92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F80AAD">
            <w:pPr>
              <w:keepNext w:val="0"/>
              <w:keepLines w:val="0"/>
              <w:pageBreakBefore w:val="0"/>
              <w:kinsoku/>
              <w:wordWrap/>
              <w:topLinePunct w:val="0"/>
              <w:bidi w:val="0"/>
              <w:adjustRightInd w:val="0"/>
              <w:snapToGrid/>
              <w:spacing w:line="360" w:lineRule="auto"/>
              <w:jc w:val="left"/>
              <w:textAlignment w:val="baseline"/>
              <w:rPr>
                <w:rFonts w:hint="eastAsia" w:ascii="Calibri" w:hAnsi="Calibri" w:eastAsia="宋体" w:cs="Times New Roman"/>
                <w:color w:val="auto"/>
                <w:sz w:val="24"/>
                <w:szCs w:val="24"/>
                <w:highlight w:val="none"/>
                <w:lang w:val="en-US" w:eastAsia="zh-CN"/>
              </w:rPr>
            </w:pPr>
            <w:r>
              <w:rPr>
                <w:rFonts w:hint="eastAsia" w:ascii="Calibri" w:hAnsi="Calibri" w:eastAsia="宋体" w:cs="Times New Roman"/>
                <w:color w:val="auto"/>
                <w:sz w:val="24"/>
                <w:szCs w:val="24"/>
                <w:highlight w:val="none"/>
                <w:lang w:val="en-US" w:eastAsia="zh-CN"/>
              </w:rPr>
              <w:t>▲（1）单价最高限价为80元/人。</w:t>
            </w:r>
          </w:p>
          <w:p w14:paraId="21EF3E87">
            <w:pPr>
              <w:keepNext w:val="0"/>
              <w:keepLines w:val="0"/>
              <w:pageBreakBefore w:val="0"/>
              <w:kinsoku/>
              <w:wordWrap/>
              <w:topLinePunct w:val="0"/>
              <w:bidi w:val="0"/>
              <w:adjustRightInd w:val="0"/>
              <w:snapToGrid/>
              <w:spacing w:line="360" w:lineRule="auto"/>
              <w:jc w:val="left"/>
              <w:textAlignment w:val="baseline"/>
              <w:rPr>
                <w:rFonts w:hint="eastAsia" w:ascii="Calibri" w:hAnsi="Calibri" w:eastAsia="宋体" w:cs="Times New Roman"/>
                <w:color w:val="auto"/>
                <w:sz w:val="24"/>
                <w:szCs w:val="24"/>
                <w:highlight w:val="none"/>
                <w:lang w:eastAsia="zh-CN"/>
              </w:rPr>
            </w:pPr>
            <w:r>
              <w:rPr>
                <w:rFonts w:hint="eastAsia" w:ascii="Calibri" w:hAnsi="Calibri" w:eastAsia="宋体" w:cs="Times New Roman"/>
                <w:color w:val="auto"/>
                <w:sz w:val="24"/>
                <w:szCs w:val="24"/>
                <w:highlight w:val="none"/>
                <w:lang w:val="en-US" w:eastAsia="zh-CN"/>
              </w:rPr>
              <w:t>（2）</w:t>
            </w:r>
            <w:r>
              <w:rPr>
                <w:rFonts w:hint="eastAsia" w:ascii="Calibri" w:hAnsi="Calibri" w:eastAsia="宋体" w:cs="Times New Roman"/>
                <w:color w:val="auto"/>
                <w:sz w:val="24"/>
                <w:szCs w:val="24"/>
                <w:highlight w:val="none"/>
                <w:lang w:eastAsia="zh-CN"/>
              </w:rPr>
              <w:t>清单数量为采购人暂定数量，最终费用按实际配送的数量（经采购人认可后）与</w:t>
            </w:r>
            <w:r>
              <w:rPr>
                <w:rFonts w:hint="eastAsia" w:ascii="Calibri" w:hAnsi="Calibri" w:cs="Times New Roman"/>
                <w:color w:val="auto"/>
                <w:sz w:val="24"/>
                <w:szCs w:val="24"/>
                <w:highlight w:val="none"/>
                <w:lang w:val="en-US" w:eastAsia="zh-CN"/>
              </w:rPr>
              <w:t>中标</w:t>
            </w:r>
            <w:r>
              <w:rPr>
                <w:rFonts w:hint="eastAsia" w:ascii="Calibri" w:hAnsi="Calibri" w:eastAsia="宋体" w:cs="Times New Roman"/>
                <w:color w:val="auto"/>
                <w:sz w:val="24"/>
                <w:szCs w:val="24"/>
                <w:highlight w:val="none"/>
                <w:lang w:eastAsia="zh-CN"/>
              </w:rPr>
              <w:t>单价（单价不作调整）的乘积计算，供应商应自行承担报价风险。</w:t>
            </w:r>
          </w:p>
          <w:p w14:paraId="6C71F52F">
            <w:pPr>
              <w:keepNext w:val="0"/>
              <w:keepLines w:val="0"/>
              <w:pageBreakBefore w:val="0"/>
              <w:kinsoku/>
              <w:wordWrap/>
              <w:topLinePunct w:val="0"/>
              <w:bidi w:val="0"/>
              <w:adjustRightInd w:val="0"/>
              <w:snapToGrid/>
              <w:spacing w:line="360" w:lineRule="auto"/>
              <w:jc w:val="left"/>
              <w:textAlignment w:val="baseline"/>
              <w:rPr>
                <w:rFonts w:hint="eastAsia" w:ascii="Calibri" w:hAnsi="Calibri" w:eastAsia="宋体" w:cs="Times New Roman"/>
                <w:color w:val="auto"/>
                <w:sz w:val="24"/>
                <w:szCs w:val="24"/>
                <w:highlight w:val="none"/>
                <w:lang w:eastAsia="zh-CN"/>
              </w:rPr>
            </w:pPr>
            <w:r>
              <w:rPr>
                <w:rFonts w:hint="eastAsia" w:ascii="Calibri" w:hAnsi="Calibri" w:eastAsia="宋体" w:cs="Times New Roman"/>
                <w:color w:val="auto"/>
                <w:sz w:val="24"/>
                <w:szCs w:val="24"/>
                <w:highlight w:val="none"/>
                <w:lang w:eastAsia="zh-CN"/>
              </w:rPr>
              <w:t>（</w:t>
            </w:r>
            <w:r>
              <w:rPr>
                <w:rFonts w:hint="eastAsia" w:ascii="Calibri" w:hAnsi="Calibri" w:eastAsia="宋体" w:cs="Times New Roman"/>
                <w:color w:val="auto"/>
                <w:sz w:val="24"/>
                <w:szCs w:val="24"/>
                <w:highlight w:val="none"/>
                <w:lang w:val="en-US" w:eastAsia="zh-CN"/>
              </w:rPr>
              <w:t>3</w:t>
            </w:r>
            <w:r>
              <w:rPr>
                <w:rFonts w:hint="eastAsia" w:ascii="Calibri" w:hAnsi="Calibri" w:eastAsia="宋体" w:cs="Times New Roman"/>
                <w:color w:val="auto"/>
                <w:sz w:val="24"/>
                <w:szCs w:val="24"/>
                <w:highlight w:val="none"/>
                <w:lang w:eastAsia="zh-CN"/>
              </w:rPr>
              <w:t>）供应商提供的产品如未采用参考品牌，需经</w:t>
            </w:r>
            <w:r>
              <w:rPr>
                <w:rFonts w:hint="eastAsia" w:ascii="Calibri" w:hAnsi="Calibri" w:cs="Times New Roman"/>
                <w:color w:val="auto"/>
                <w:sz w:val="24"/>
                <w:szCs w:val="24"/>
                <w:highlight w:val="none"/>
                <w:lang w:val="en-US" w:eastAsia="zh-CN"/>
              </w:rPr>
              <w:t>评标委员会</w:t>
            </w:r>
            <w:r>
              <w:rPr>
                <w:rFonts w:hint="eastAsia" w:ascii="Calibri" w:hAnsi="Calibri" w:eastAsia="宋体" w:cs="Times New Roman"/>
                <w:color w:val="auto"/>
                <w:sz w:val="24"/>
                <w:szCs w:val="24"/>
                <w:highlight w:val="none"/>
                <w:lang w:eastAsia="zh-CN"/>
              </w:rPr>
              <w:t>认定不低于参考品牌产品品质。</w:t>
            </w:r>
          </w:p>
          <w:p w14:paraId="4B98FC9C">
            <w:pPr>
              <w:keepNext w:val="0"/>
              <w:keepLines w:val="0"/>
              <w:pageBreakBefore w:val="0"/>
              <w:widowControl w:val="0"/>
              <w:kinsoku/>
              <w:wordWrap/>
              <w:topLinePunct w:val="0"/>
              <w:autoSpaceDE w:val="0"/>
              <w:autoSpaceDN w:val="0"/>
              <w:bidi w:val="0"/>
              <w:adjustRightInd w:val="0"/>
              <w:snapToGrid/>
              <w:spacing w:line="360" w:lineRule="auto"/>
              <w:jc w:val="both"/>
              <w:rPr>
                <w:rFonts w:hint="default" w:ascii="宋体" w:hAnsi="Arial" w:eastAsia="宋体" w:cs="Arial"/>
                <w:snapToGrid w:val="0"/>
                <w:color w:val="auto"/>
                <w:kern w:val="2"/>
                <w:sz w:val="24"/>
                <w:szCs w:val="24"/>
                <w:highlight w:val="none"/>
                <w:lang w:val="en-US" w:eastAsia="zh-CN" w:bidi="ar-SA"/>
              </w:rPr>
            </w:pPr>
            <w:r>
              <w:rPr>
                <w:rFonts w:hint="eastAsia" w:ascii="宋体" w:hAnsi="宋体" w:eastAsia="宋体" w:cs="仿宋"/>
                <w:snapToGrid w:val="0"/>
                <w:color w:val="auto"/>
                <w:kern w:val="2"/>
                <w:sz w:val="24"/>
                <w:szCs w:val="24"/>
                <w:highlight w:val="none"/>
                <w:lang w:val="zh-CN" w:eastAsia="zh-CN" w:bidi="ar-SA"/>
              </w:rPr>
              <w:t>▲</w:t>
            </w:r>
            <w:r>
              <w:rPr>
                <w:rFonts w:hint="eastAsia" w:ascii="Times New Roman" w:hAnsi="Times New Roman" w:eastAsia="宋体" w:cs="Times New Roman"/>
                <w:snapToGrid w:val="0"/>
                <w:color w:val="auto"/>
                <w:kern w:val="2"/>
                <w:sz w:val="24"/>
                <w:szCs w:val="24"/>
                <w:highlight w:val="none"/>
                <w:lang w:val="en-US" w:eastAsia="zh-CN" w:bidi="ar-SA"/>
              </w:rPr>
              <w:t>（4）</w:t>
            </w:r>
            <w:r>
              <w:rPr>
                <w:rFonts w:hint="eastAsia" w:cs="Times New Roman"/>
                <w:snapToGrid w:val="0"/>
                <w:color w:val="auto"/>
                <w:kern w:val="2"/>
                <w:sz w:val="24"/>
                <w:szCs w:val="24"/>
                <w:highlight w:val="none"/>
                <w:lang w:val="en-US" w:eastAsia="zh-CN" w:bidi="ar-SA"/>
              </w:rPr>
              <w:t>中标</w:t>
            </w:r>
            <w:r>
              <w:rPr>
                <w:rFonts w:hint="eastAsia" w:ascii="Times New Roman" w:hAnsi="Times New Roman" w:eastAsia="宋体" w:cs="Times New Roman"/>
                <w:snapToGrid w:val="0"/>
                <w:color w:val="auto"/>
                <w:kern w:val="2"/>
                <w:sz w:val="24"/>
                <w:szCs w:val="24"/>
                <w:highlight w:val="none"/>
                <w:lang w:val="en-US" w:eastAsia="zh-CN" w:bidi="ar-SA"/>
              </w:rPr>
              <w:t>供应商所提供的货物、服务须与响应文件中承诺一致，所供所有货物均须与投标响应同品牌、同规格、同型号款式，不得以次充好、假冒伪劣、偷工减料，</w:t>
            </w:r>
            <w:r>
              <w:rPr>
                <w:rFonts w:hint="eastAsia" w:cs="Times New Roman"/>
                <w:snapToGrid w:val="0"/>
                <w:color w:val="auto"/>
                <w:kern w:val="2"/>
                <w:sz w:val="24"/>
                <w:szCs w:val="24"/>
                <w:highlight w:val="none"/>
                <w:lang w:val="en-US" w:eastAsia="zh-CN" w:bidi="ar-SA"/>
              </w:rPr>
              <w:t>中标</w:t>
            </w:r>
            <w:r>
              <w:rPr>
                <w:rFonts w:hint="eastAsia" w:ascii="Times New Roman" w:hAnsi="Times New Roman" w:eastAsia="宋体" w:cs="Times New Roman"/>
                <w:snapToGrid w:val="0"/>
                <w:color w:val="auto"/>
                <w:kern w:val="2"/>
                <w:sz w:val="24"/>
                <w:szCs w:val="24"/>
                <w:highlight w:val="none"/>
                <w:lang w:val="en-US" w:eastAsia="zh-CN" w:bidi="ar-SA"/>
              </w:rPr>
              <w:t>后不得以断货、停产、价格上涨等任何理由更换供货产品。</w:t>
            </w:r>
            <w:r>
              <w:rPr>
                <w:rFonts w:hint="eastAsia" w:cs="Times New Roman"/>
                <w:snapToGrid w:val="0"/>
                <w:color w:val="auto"/>
                <w:kern w:val="2"/>
                <w:sz w:val="24"/>
                <w:szCs w:val="24"/>
                <w:highlight w:val="none"/>
                <w:lang w:val="en-US" w:eastAsia="zh-CN" w:bidi="ar-SA"/>
              </w:rPr>
              <w:t>所供货品须为正规渠道销货货品，不得使用内部或酒店专供品、赠品等进行供货，一经发现，采购人有权取消合同并拒绝支付对应货品费用。</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550E">
            <w:pPr>
              <w:keepNext w:val="0"/>
              <w:keepLines w:val="0"/>
              <w:pageBreakBefore w:val="0"/>
              <w:widowControl w:val="0"/>
              <w:kinsoku/>
              <w:wordWrap/>
              <w:topLinePunct w:val="0"/>
              <w:autoSpaceDE w:val="0"/>
              <w:autoSpaceDN w:val="0"/>
              <w:bidi w:val="0"/>
              <w:adjustRightInd w:val="0"/>
              <w:snapToGrid/>
              <w:spacing w:line="360" w:lineRule="auto"/>
              <w:jc w:val="both"/>
              <w:rPr>
                <w:rFonts w:hint="eastAsia" w:ascii="宋体" w:hAnsi="宋体" w:eastAsia="宋体" w:cs="仿宋"/>
                <w:snapToGrid w:val="0"/>
                <w:color w:val="auto"/>
                <w:kern w:val="2"/>
                <w:sz w:val="24"/>
                <w:szCs w:val="24"/>
                <w:highlight w:val="none"/>
                <w:lang w:val="zh-CN" w:eastAsia="zh-CN" w:bidi="ar-SA"/>
              </w:rPr>
            </w:pPr>
          </w:p>
        </w:tc>
      </w:tr>
    </w:tbl>
    <w:p w14:paraId="18880533">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三、供货要求</w:t>
      </w:r>
    </w:p>
    <w:p w14:paraId="1C524BB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1、供应商须针对本项目提供完整、详细的供货方案和配送方案。</w:t>
      </w:r>
    </w:p>
    <w:p w14:paraId="4D535C06">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四、售后服务要求</w:t>
      </w:r>
    </w:p>
    <w:p w14:paraId="50FD843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1、供应商须针对本项目提供完整的货物质量保证措施及售后服务方案。</w:t>
      </w:r>
    </w:p>
    <w:p w14:paraId="0792907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2、采购人在中标人出现以下情况之一时，有权终止其合同执行，并作退货处理，由此产生的相关责任和费用由中标人负责。</w:t>
      </w:r>
    </w:p>
    <w:p w14:paraId="7F5E748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w:t>
      </w:r>
      <w:r>
        <w:rPr>
          <w:rFonts w:hint="eastAsia" w:ascii="宋体" w:hAnsi="宋体" w:cs="宋体"/>
          <w:bCs/>
          <w:color w:val="auto"/>
          <w:kern w:val="0"/>
          <w:sz w:val="24"/>
          <w:szCs w:val="24"/>
          <w:highlight w:val="none"/>
          <w:lang w:val="en-US" w:eastAsia="zh-CN"/>
        </w:rPr>
        <w:t>投标</w:t>
      </w:r>
      <w:r>
        <w:rPr>
          <w:rFonts w:hint="eastAsia" w:ascii="宋体" w:hAnsi="宋体" w:eastAsia="宋体" w:cs="宋体"/>
          <w:bCs/>
          <w:color w:val="auto"/>
          <w:kern w:val="0"/>
          <w:sz w:val="24"/>
          <w:szCs w:val="24"/>
          <w:highlight w:val="none"/>
          <w:lang w:val="en-US" w:eastAsia="zh-CN"/>
        </w:rPr>
        <w:t>文件中有伪造和提供虚假信息、证明的行为；</w:t>
      </w:r>
    </w:p>
    <w:p w14:paraId="093F4E4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2）供货产品与采购（和</w:t>
      </w:r>
      <w:r>
        <w:rPr>
          <w:rFonts w:hint="eastAsia" w:ascii="宋体" w:hAnsi="宋体" w:cs="宋体"/>
          <w:bCs/>
          <w:color w:val="auto"/>
          <w:kern w:val="0"/>
          <w:sz w:val="24"/>
          <w:szCs w:val="24"/>
          <w:highlight w:val="none"/>
          <w:lang w:val="en-US" w:eastAsia="zh-CN"/>
        </w:rPr>
        <w:t>投标</w:t>
      </w:r>
      <w:r>
        <w:rPr>
          <w:rFonts w:hint="eastAsia" w:ascii="宋体" w:hAnsi="宋体" w:eastAsia="宋体" w:cs="宋体"/>
          <w:bCs/>
          <w:color w:val="auto"/>
          <w:kern w:val="0"/>
          <w:sz w:val="24"/>
          <w:szCs w:val="24"/>
          <w:highlight w:val="none"/>
          <w:lang w:val="en-US" w:eastAsia="zh-CN"/>
        </w:rPr>
        <w:t>）文件要求（或承诺）的产品质量和技术参数存在较大差异，如主要参数与性能指标负偏离采购（和</w:t>
      </w:r>
      <w:r>
        <w:rPr>
          <w:rFonts w:hint="eastAsia" w:ascii="宋体" w:hAnsi="宋体" w:cs="宋体"/>
          <w:bCs/>
          <w:color w:val="auto"/>
          <w:kern w:val="0"/>
          <w:sz w:val="24"/>
          <w:szCs w:val="24"/>
          <w:highlight w:val="none"/>
          <w:lang w:val="en-US" w:eastAsia="zh-CN"/>
        </w:rPr>
        <w:t>投标</w:t>
      </w:r>
      <w:r>
        <w:rPr>
          <w:rFonts w:hint="eastAsia" w:ascii="宋体" w:hAnsi="宋体" w:eastAsia="宋体" w:cs="宋体"/>
          <w:bCs/>
          <w:color w:val="auto"/>
          <w:kern w:val="0"/>
          <w:sz w:val="24"/>
          <w:szCs w:val="24"/>
          <w:highlight w:val="none"/>
          <w:lang w:val="en-US" w:eastAsia="zh-CN"/>
        </w:rPr>
        <w:t>）文件所要求（或承诺）的；</w:t>
      </w:r>
    </w:p>
    <w:p w14:paraId="6D5ECD5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lang w:val="en-US" w:eastAsia="zh-CN"/>
        </w:rPr>
        <w:t>中标</w:t>
      </w:r>
      <w:r>
        <w:rPr>
          <w:rFonts w:hint="eastAsia" w:ascii="宋体" w:hAnsi="宋体" w:eastAsia="宋体" w:cs="宋体"/>
          <w:bCs/>
          <w:color w:val="auto"/>
          <w:kern w:val="0"/>
          <w:sz w:val="24"/>
          <w:szCs w:val="24"/>
          <w:highlight w:val="none"/>
          <w:lang w:val="en-US" w:eastAsia="zh-CN"/>
        </w:rPr>
        <w:t>后，恶意拖延签署合同时间；</w:t>
      </w:r>
    </w:p>
    <w:p w14:paraId="77185F3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4）单方面擅自改变合同约定（内容、要求、方式、时间等）；</w:t>
      </w:r>
    </w:p>
    <w:p w14:paraId="291CF4C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5）没有通过抽查验收。</w:t>
      </w:r>
    </w:p>
    <w:p w14:paraId="58A909D2">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▲3、供应商必须认真按照本</w:t>
      </w:r>
      <w:r>
        <w:rPr>
          <w:rFonts w:hint="eastAsia" w:ascii="宋体" w:hAnsi="宋体" w:cs="宋体"/>
          <w:b/>
          <w:bCs w:val="0"/>
          <w:color w:val="auto"/>
          <w:kern w:val="0"/>
          <w:sz w:val="24"/>
          <w:szCs w:val="24"/>
          <w:highlight w:val="none"/>
          <w:lang w:val="en-US" w:eastAsia="zh-CN"/>
        </w:rPr>
        <w:t>招标</w:t>
      </w:r>
      <w:r>
        <w:rPr>
          <w:rFonts w:hint="eastAsia" w:ascii="宋体" w:hAnsi="宋体" w:eastAsia="宋体" w:cs="宋体"/>
          <w:b/>
          <w:bCs w:val="0"/>
          <w:color w:val="auto"/>
          <w:kern w:val="0"/>
          <w:sz w:val="24"/>
          <w:szCs w:val="24"/>
          <w:highlight w:val="none"/>
          <w:lang w:val="en-US" w:eastAsia="zh-CN"/>
        </w:rPr>
        <w:t>文件规定的格式填写并提供所投货物的品牌、规格、生产厂家等资料，谨慎报价；无品牌、规格的，可认定投标文件内容不齐全，按无效标处理。</w:t>
      </w:r>
    </w:p>
    <w:p w14:paraId="6589FE1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▲4、样品：</w:t>
      </w:r>
    </w:p>
    <w:p w14:paraId="604075A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1）样品清单：</w:t>
      </w:r>
    </w:p>
    <w:tbl>
      <w:tblPr>
        <w:tblStyle w:val="63"/>
        <w:tblW w:w="86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73"/>
        <w:gridCol w:w="1260"/>
        <w:gridCol w:w="4727"/>
        <w:gridCol w:w="986"/>
        <w:gridCol w:w="952"/>
      </w:tblGrid>
      <w:tr w14:paraId="4A2CF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3"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C1D3">
            <w:pPr>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jc w:val="center"/>
              <w:textAlignment w:val="baseline"/>
              <w:rPr>
                <w:rFonts w:hint="eastAsia" w:ascii="Times New Roman" w:hAnsi="Times New Roman" w:eastAsia="宋体" w:cs="宋体"/>
                <w:i w:val="0"/>
                <w:color w:val="auto"/>
                <w:sz w:val="24"/>
                <w:szCs w:val="24"/>
                <w:highlight w:val="none"/>
                <w:u w:val="none"/>
                <w:lang w:val="en-US" w:eastAsia="zh-CN"/>
              </w:rPr>
            </w:pPr>
            <w:r>
              <w:rPr>
                <w:rFonts w:hint="eastAsia" w:ascii="Times New Roman" w:hAnsi="Times New Roman" w:eastAsia="宋体" w:cs="Times New Roman"/>
                <w:b/>
                <w:bCs w:val="0"/>
                <w:color w:val="auto"/>
                <w:kern w:val="0"/>
                <w:sz w:val="24"/>
                <w:szCs w:val="24"/>
                <w:highlight w:val="none"/>
                <w:vertAlign w:val="baseline"/>
                <w:lang w:val="en-US" w:eastAsia="zh-CN" w:bidi="ar-SA"/>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D3BC">
            <w:pPr>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jc w:val="center"/>
              <w:textAlignment w:val="baseline"/>
              <w:rPr>
                <w:rFonts w:hint="eastAsia" w:ascii="宋体" w:hAnsi="宋体" w:eastAsia="宋体" w:cs="宋体"/>
                <w:i w:val="0"/>
                <w:color w:val="auto"/>
                <w:spacing w:val="-6"/>
                <w:kern w:val="0"/>
                <w:sz w:val="24"/>
                <w:szCs w:val="24"/>
                <w:highlight w:val="none"/>
                <w:u w:val="none"/>
                <w:lang w:val="en-US" w:eastAsia="zh-CN" w:bidi="ar"/>
              </w:rPr>
            </w:pPr>
            <w:r>
              <w:rPr>
                <w:rFonts w:hint="eastAsia" w:ascii="Times New Roman" w:hAnsi="Times New Roman" w:eastAsia="宋体" w:cs="Times New Roman"/>
                <w:b/>
                <w:bCs w:val="0"/>
                <w:color w:val="auto"/>
                <w:kern w:val="0"/>
                <w:sz w:val="24"/>
                <w:szCs w:val="24"/>
                <w:highlight w:val="none"/>
                <w:vertAlign w:val="baseline"/>
                <w:lang w:val="en-US" w:eastAsia="zh-CN" w:bidi="ar-SA"/>
              </w:rPr>
              <w:t>名称</w:t>
            </w:r>
          </w:p>
        </w:tc>
        <w:tc>
          <w:tcPr>
            <w:tcW w:w="4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BA9D">
            <w:pPr>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jc w:val="center"/>
              <w:textAlignment w:val="baseline"/>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参数规格</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A114">
            <w:pPr>
              <w:keepNext w:val="0"/>
              <w:keepLines w:val="0"/>
              <w:pageBreakBefore w:val="0"/>
              <w:widowControl/>
              <w:suppressLineNumbers w:val="0"/>
              <w:kinsoku/>
              <w:wordWrap/>
              <w:topLinePunct w:val="0"/>
              <w:bidi w:val="0"/>
              <w:adjustRightInd w:val="0"/>
              <w:snapToGrid/>
              <w:spacing w:line="360" w:lineRule="auto"/>
              <w:ind w:left="0" w:leftChars="0" w:right="0" w:rightChars="0"/>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数量</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CE61">
            <w:pPr>
              <w:keepNext w:val="0"/>
              <w:keepLines w:val="0"/>
              <w:pageBreakBefore w:val="0"/>
              <w:widowControl/>
              <w:suppressLineNumbers w:val="0"/>
              <w:kinsoku/>
              <w:wordWrap/>
              <w:topLinePunct w:val="0"/>
              <w:bidi w:val="0"/>
              <w:adjustRightInd w:val="0"/>
              <w:snapToGrid/>
              <w:spacing w:line="360" w:lineRule="auto"/>
              <w:ind w:left="0" w:leftChars="0" w:right="0" w:rightChars="0"/>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单位</w:t>
            </w:r>
          </w:p>
        </w:tc>
      </w:tr>
      <w:tr w14:paraId="60E1E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1D92">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Times New Roman" w:hAnsi="Times New Roman" w:eastAsia="宋体" w:cs="宋体"/>
                <w:i w:val="0"/>
                <w:color w:val="auto"/>
                <w:sz w:val="24"/>
                <w:szCs w:val="24"/>
                <w:highlight w:val="none"/>
                <w:u w:val="none"/>
                <w:lang w:val="en-US" w:eastAsia="zh-CN"/>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1016">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牙膏</w:t>
            </w:r>
          </w:p>
        </w:tc>
        <w:tc>
          <w:tcPr>
            <w:tcW w:w="4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9DC2">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不少于140g</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7C29">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DAD3">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支</w:t>
            </w:r>
          </w:p>
        </w:tc>
      </w:tr>
      <w:tr w14:paraId="5E9AA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46C9">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Times New Roman" w:hAnsi="Times New Roman" w:eastAsia="宋体" w:cs="宋体"/>
                <w:i w:val="0"/>
                <w:color w:val="auto"/>
                <w:sz w:val="24"/>
                <w:szCs w:val="24"/>
                <w:highlight w:val="none"/>
                <w:u w:val="none"/>
                <w:lang w:val="en-US" w:eastAsia="zh-CN"/>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5EDA">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牙刷</w:t>
            </w:r>
          </w:p>
        </w:tc>
        <w:tc>
          <w:tcPr>
            <w:tcW w:w="4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66DA">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软毛，成人规格</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0980">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A9C5">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支</w:t>
            </w:r>
          </w:p>
        </w:tc>
      </w:tr>
      <w:tr w14:paraId="586A2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3B92">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Times New Roman" w:hAnsi="Times New Roman" w:eastAsia="宋体" w:cs="宋体"/>
                <w:i w:val="0"/>
                <w:color w:val="auto"/>
                <w:sz w:val="24"/>
                <w:szCs w:val="24"/>
                <w:highlight w:val="none"/>
                <w:u w:val="none"/>
                <w:lang w:val="en-US" w:eastAsia="zh-CN"/>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2DAF">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沐浴露</w:t>
            </w:r>
          </w:p>
        </w:tc>
        <w:tc>
          <w:tcPr>
            <w:tcW w:w="4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82B9">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不少于720ml或720g</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23E2">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EA1C">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瓶</w:t>
            </w:r>
          </w:p>
        </w:tc>
      </w:tr>
      <w:tr w14:paraId="3630C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F8BD">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Times New Roman" w:hAnsi="Times New Roman" w:eastAsia="宋体" w:cs="宋体"/>
                <w:i w:val="0"/>
                <w:color w:val="auto"/>
                <w:sz w:val="24"/>
                <w:szCs w:val="24"/>
                <w:highlight w:val="none"/>
                <w:u w:val="none"/>
                <w:lang w:val="en-US" w:eastAsia="zh-CN"/>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AE5F">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洗发水</w:t>
            </w:r>
          </w:p>
        </w:tc>
        <w:tc>
          <w:tcPr>
            <w:tcW w:w="4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F42B">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不少于200ml或200g</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1DE8">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8A57">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瓶</w:t>
            </w:r>
          </w:p>
        </w:tc>
      </w:tr>
      <w:tr w14:paraId="2D8DE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7"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2E3F">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Times New Roman" w:hAnsi="Times New Roman" w:eastAsia="宋体" w:cs="宋体"/>
                <w:i w:val="0"/>
                <w:color w:val="auto"/>
                <w:sz w:val="24"/>
                <w:szCs w:val="24"/>
                <w:highlight w:val="none"/>
                <w:u w:val="none"/>
                <w:lang w:val="en-US" w:eastAsia="zh-CN"/>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EC58">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毛巾</w:t>
            </w:r>
          </w:p>
        </w:tc>
        <w:tc>
          <w:tcPr>
            <w:tcW w:w="4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837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default"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b w:val="0"/>
                <w:bCs/>
                <w:i w:val="0"/>
                <w:iCs w:val="0"/>
                <w:color w:val="auto"/>
                <w:sz w:val="24"/>
                <w:szCs w:val="24"/>
                <w:highlight w:val="none"/>
                <w:u w:val="none"/>
                <w:lang w:val="en-US" w:eastAsia="zh-CN"/>
              </w:rPr>
              <w:t>尺寸不少于（72MM</w:t>
            </w:r>
            <w:r>
              <w:rPr>
                <w:rFonts w:hint="default" w:ascii="宋体" w:hAnsi="宋体" w:eastAsia="宋体" w:cs="宋体"/>
                <w:b w:val="0"/>
                <w:bCs/>
                <w:i w:val="0"/>
                <w:iCs w:val="0"/>
                <w:color w:val="auto"/>
                <w:sz w:val="24"/>
                <w:szCs w:val="24"/>
                <w:highlight w:val="none"/>
                <w:u w:val="none"/>
                <w:lang w:val="en-US" w:eastAsia="zh-CN"/>
              </w:rPr>
              <w:t>×</w:t>
            </w:r>
            <w:r>
              <w:rPr>
                <w:rFonts w:hint="eastAsia" w:ascii="宋体" w:hAnsi="宋体" w:eastAsia="宋体" w:cs="宋体"/>
                <w:b w:val="0"/>
                <w:bCs/>
                <w:i w:val="0"/>
                <w:iCs w:val="0"/>
                <w:color w:val="auto"/>
                <w:sz w:val="24"/>
                <w:szCs w:val="24"/>
                <w:highlight w:val="none"/>
                <w:u w:val="none"/>
                <w:lang w:val="en-US" w:eastAsia="zh-CN"/>
              </w:rPr>
              <w:t>33MM），成分：100%棉，一等品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EE49">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25CD">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条</w:t>
            </w:r>
          </w:p>
        </w:tc>
      </w:tr>
      <w:tr w14:paraId="4ECB4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B460">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Times New Roman" w:hAnsi="Times New Roman" w:eastAsia="宋体" w:cs="宋体"/>
                <w:i w:val="0"/>
                <w:color w:val="auto"/>
                <w:sz w:val="24"/>
                <w:szCs w:val="24"/>
                <w:highlight w:val="none"/>
                <w:u w:val="none"/>
                <w:lang w:val="en-US" w:eastAsia="zh-CN"/>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7FC3">
            <w:pPr>
              <w:keepNext w:val="0"/>
              <w:keepLines w:val="0"/>
              <w:pageBreakBefore w:val="0"/>
              <w:widowControl/>
              <w:suppressLineNumbers w:val="0"/>
              <w:kinsoku/>
              <w:wordWrap/>
              <w:overflowPunct/>
              <w:topLinePunct w:val="0"/>
              <w:autoSpaceDE/>
              <w:autoSpaceDN/>
              <w:bidi w:val="0"/>
              <w:adjustRightInd w:val="0"/>
              <w:snapToGrid/>
              <w:spacing w:line="240" w:lineRule="auto"/>
              <w:ind w:left="0" w:leftChars="0" w:right="0" w:rightChars="0"/>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pacing w:val="-6"/>
                <w:kern w:val="0"/>
                <w:sz w:val="24"/>
                <w:szCs w:val="24"/>
                <w:highlight w:val="none"/>
                <w:u w:val="none"/>
                <w:lang w:val="en-US" w:eastAsia="zh-CN" w:bidi="ar"/>
              </w:rPr>
              <w:t>洗衣皂</w:t>
            </w:r>
          </w:p>
        </w:tc>
        <w:tc>
          <w:tcPr>
            <w:tcW w:w="4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2C66">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不少于228g</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CE04">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Times New Roman" w:hAnsi="Times New Roman" w:eastAsia="宋体" w:cs="宋体"/>
                <w:i w:val="0"/>
                <w:color w:val="auto"/>
                <w:spacing w:val="-6"/>
                <w:kern w:val="0"/>
                <w:sz w:val="24"/>
                <w:szCs w:val="24"/>
                <w:highlight w:val="none"/>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AFFC">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Times New Roman" w:hAnsi="Times New Roman" w:eastAsia="宋体" w:cs="宋体"/>
                <w:i w:val="0"/>
                <w:color w:val="auto"/>
                <w:spacing w:val="-6"/>
                <w:kern w:val="0"/>
                <w:sz w:val="24"/>
                <w:szCs w:val="24"/>
                <w:highlight w:val="none"/>
                <w:u w:val="none"/>
                <w:lang w:val="en-US" w:eastAsia="zh-CN" w:bidi="ar"/>
              </w:rPr>
              <w:t>块</w:t>
            </w:r>
          </w:p>
        </w:tc>
      </w:tr>
      <w:tr w14:paraId="7E592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1"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F7C5">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Times New Roman" w:hAnsi="Times New Roman" w:eastAsia="宋体" w:cs="宋体"/>
                <w:i w:val="0"/>
                <w:color w:val="auto"/>
                <w:sz w:val="24"/>
                <w:szCs w:val="24"/>
                <w:highlight w:val="none"/>
                <w:u w:val="none"/>
                <w:lang w:val="en-US" w:eastAsia="zh-CN"/>
              </w:rPr>
              <w:t>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044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Times New Roman" w:hAnsi="Times New Roman" w:eastAsia="宋体" w:cs="宋体"/>
                <w:i w:val="0"/>
                <w:color w:val="auto"/>
                <w:spacing w:val="-6"/>
                <w:kern w:val="0"/>
                <w:sz w:val="24"/>
                <w:szCs w:val="24"/>
                <w:highlight w:val="none"/>
                <w:u w:val="none"/>
                <w:lang w:val="en-US" w:eastAsia="zh-CN" w:bidi="ar"/>
              </w:rPr>
              <w:t>包装盒或环保袋</w:t>
            </w:r>
          </w:p>
        </w:tc>
        <w:tc>
          <w:tcPr>
            <w:tcW w:w="4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2E87">
            <w:pPr>
              <w:keepNext w:val="0"/>
              <w:keepLines w:val="0"/>
              <w:pageBreakBefore w:val="0"/>
              <w:widowControl/>
              <w:kinsoku/>
              <w:wordWrap/>
              <w:overflowPunct/>
              <w:topLinePunct w:val="0"/>
              <w:autoSpaceDE/>
              <w:autoSpaceDN/>
              <w:bidi w:val="0"/>
              <w:adjustRightInd/>
              <w:snapToGrid/>
              <w:spacing w:line="240" w:lineRule="auto"/>
              <w:jc w:val="left"/>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i w:val="0"/>
                <w:color w:val="auto"/>
                <w:spacing w:val="-6"/>
                <w:kern w:val="0"/>
                <w:sz w:val="24"/>
                <w:szCs w:val="24"/>
                <w:highlight w:val="none"/>
                <w:u w:val="none"/>
                <w:lang w:val="en-US" w:eastAsia="zh-CN" w:bidi="ar"/>
              </w:rPr>
              <w:t>供应商须提供能完全装下每套产品的包装盒或无纺布环保袋，规格根据礼品大小及使用用途设计定制，包装盒或环保袋一面印“宁海县总工会”字样；一面印“高温慰问”字样。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EF12">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宋体"/>
                <w:i w:val="0"/>
                <w:color w:val="auto"/>
                <w:spacing w:val="-6"/>
                <w:kern w:val="0"/>
                <w:sz w:val="24"/>
                <w:szCs w:val="24"/>
                <w:highlight w:val="none"/>
                <w:u w:val="none"/>
                <w:lang w:val="en-US" w:eastAsia="zh-CN" w:bidi="ar"/>
              </w:rPr>
            </w:pPr>
            <w:r>
              <w:rPr>
                <w:rFonts w:hint="eastAsia" w:ascii="Times New Roman" w:hAnsi="Times New Roman" w:eastAsia="宋体" w:cs="宋体"/>
                <w:i w:val="0"/>
                <w:color w:val="auto"/>
                <w:spacing w:val="-6"/>
                <w:kern w:val="0"/>
                <w:sz w:val="24"/>
                <w:szCs w:val="24"/>
                <w:highlight w:val="none"/>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2DF5">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宋体"/>
                <w:i w:val="0"/>
                <w:color w:val="auto"/>
                <w:spacing w:val="-6"/>
                <w:kern w:val="0"/>
                <w:sz w:val="24"/>
                <w:szCs w:val="24"/>
                <w:highlight w:val="none"/>
                <w:u w:val="none"/>
                <w:lang w:val="en-US" w:eastAsia="zh-CN" w:bidi="ar"/>
              </w:rPr>
            </w:pPr>
            <w:r>
              <w:rPr>
                <w:rFonts w:hint="eastAsia" w:ascii="Times New Roman" w:hAnsi="Times New Roman" w:eastAsia="宋体" w:cs="宋体"/>
                <w:i w:val="0"/>
                <w:color w:val="auto"/>
                <w:spacing w:val="-6"/>
                <w:kern w:val="0"/>
                <w:sz w:val="24"/>
                <w:szCs w:val="24"/>
                <w:highlight w:val="none"/>
                <w:u w:val="none"/>
                <w:lang w:val="en-US" w:eastAsia="zh-CN" w:bidi="ar"/>
              </w:rPr>
              <w:t>个</w:t>
            </w:r>
          </w:p>
        </w:tc>
      </w:tr>
    </w:tbl>
    <w:p w14:paraId="4917A5D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宋体"/>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2）供应商应提供上述清单中全部样品，样品应与所投产品完全一致。</w:t>
      </w:r>
      <w:r>
        <w:rPr>
          <w:rFonts w:hint="eastAsia" w:ascii="宋体" w:hAnsi="宋体" w:eastAsia="宋体" w:cs="宋体"/>
          <w:b/>
          <w:bCs w:val="0"/>
          <w:color w:val="auto"/>
          <w:kern w:val="0"/>
          <w:sz w:val="24"/>
          <w:szCs w:val="24"/>
          <w:highlight w:val="none"/>
          <w:lang w:val="en-US" w:eastAsia="zh-CN"/>
        </w:rPr>
        <w:t>未提供样品或提供样品不全的，</w:t>
      </w:r>
      <w:r>
        <w:rPr>
          <w:rFonts w:hint="eastAsia" w:ascii="宋体" w:hAnsi="宋体" w:cs="宋体"/>
          <w:b/>
          <w:bCs w:val="0"/>
          <w:color w:val="auto"/>
          <w:kern w:val="0"/>
          <w:sz w:val="24"/>
          <w:szCs w:val="24"/>
          <w:highlight w:val="none"/>
          <w:lang w:val="en-US" w:eastAsia="zh-CN"/>
        </w:rPr>
        <w:t>做无效投标处理</w:t>
      </w:r>
      <w:r>
        <w:rPr>
          <w:rFonts w:hint="eastAsia" w:ascii="宋体" w:hAnsi="宋体" w:eastAsia="宋体" w:cs="宋体"/>
          <w:b/>
          <w:bCs w:val="0"/>
          <w:color w:val="auto"/>
          <w:kern w:val="0"/>
          <w:sz w:val="24"/>
          <w:szCs w:val="24"/>
          <w:highlight w:val="none"/>
          <w:lang w:val="en-US" w:eastAsia="zh-CN"/>
        </w:rPr>
        <w:t>。</w:t>
      </w:r>
      <w:r>
        <w:rPr>
          <w:rFonts w:hint="eastAsia" w:ascii="宋体" w:hAnsi="宋体" w:eastAsia="宋体" w:cs="宋体"/>
          <w:b w:val="0"/>
          <w:bCs/>
          <w:color w:val="auto"/>
          <w:kern w:val="0"/>
          <w:sz w:val="24"/>
          <w:szCs w:val="24"/>
          <w:highlight w:val="none"/>
          <w:lang w:val="en-US" w:eastAsia="zh-CN"/>
        </w:rPr>
        <w:t>具体要求详见第三部分  供应商须知 一、前附表 6样品提供中相关要求。</w:t>
      </w:r>
    </w:p>
    <w:p w14:paraId="16A35A89">
      <w:pPr>
        <w:widowControl/>
        <w:kinsoku/>
        <w:wordWrap/>
        <w:overflowPunct/>
        <w:topLinePunct w:val="0"/>
        <w:bidi w:val="0"/>
        <w:adjustRightInd/>
        <w:spacing w:line="360" w:lineRule="auto"/>
        <w:jc w:val="left"/>
        <w:textAlignment w:val="auto"/>
        <w:outlineLvl w:val="9"/>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五、投标要求</w:t>
      </w:r>
    </w:p>
    <w:p w14:paraId="1C2AE459">
      <w:pPr>
        <w:adjustRightInd/>
        <w:spacing w:line="440" w:lineRule="exact"/>
        <w:ind w:firstLine="480" w:firstLineChars="200"/>
        <w:rPr>
          <w:rFonts w:hint="default" w:ascii="宋体" w:hAnsi="宋体" w:cs="宋体"/>
          <w:color w:val="auto"/>
          <w:sz w:val="24"/>
          <w:highlight w:val="none"/>
          <w:lang w:val="en-US" w:eastAsia="zh-CN"/>
        </w:rPr>
        <w:sectPr>
          <w:pgSz w:w="11907" w:h="16840"/>
          <w:pgMar w:top="1474" w:right="1814" w:bottom="1474" w:left="1814" w:header="851" w:footer="851" w:gutter="0"/>
          <w:cols w:space="720" w:num="1"/>
        </w:sectPr>
      </w:pPr>
      <w:r>
        <w:rPr>
          <w:rFonts w:hint="eastAsia" w:ascii="宋体" w:hAnsi="宋体" w:eastAsia="宋体" w:cs="宋体"/>
          <w:bCs/>
          <w:color w:val="auto"/>
          <w:kern w:val="0"/>
          <w:sz w:val="24"/>
          <w:szCs w:val="24"/>
          <w:highlight w:val="none"/>
          <w:lang w:val="en-US" w:eastAsia="zh-CN"/>
        </w:rPr>
        <w:t>1、供应商需在投标文件中提供对</w:t>
      </w:r>
      <w:r>
        <w:rPr>
          <w:rFonts w:hint="eastAsia" w:ascii="宋体" w:hAnsi="宋体" w:cs="宋体"/>
          <w:bCs/>
          <w:color w:val="auto"/>
          <w:kern w:val="0"/>
          <w:sz w:val="24"/>
          <w:szCs w:val="24"/>
          <w:highlight w:val="none"/>
          <w:lang w:val="en-US" w:eastAsia="zh-CN"/>
        </w:rPr>
        <w:t>招标</w:t>
      </w:r>
      <w:r>
        <w:rPr>
          <w:rFonts w:hint="eastAsia" w:ascii="宋体" w:hAnsi="宋体" w:eastAsia="宋体" w:cs="宋体"/>
          <w:bCs/>
          <w:color w:val="auto"/>
          <w:kern w:val="0"/>
          <w:sz w:val="24"/>
          <w:szCs w:val="24"/>
          <w:highlight w:val="none"/>
          <w:lang w:val="en-US" w:eastAsia="zh-CN"/>
        </w:rPr>
        <w:t>文件的技术指标响应性说明，企业综合能力说明，货源及供货保障措施，配送能力，质量保障措施，应急方案、售后服务、相关承诺、拟投入人员数量及分工、内部组织制度、岗位职责、质量考核办法、人员管理方案、成功业绩案例和政策加分的相关证明材料。</w:t>
      </w:r>
    </w:p>
    <w:p w14:paraId="534CC664">
      <w:pPr>
        <w:adjustRightInd/>
        <w:spacing w:line="360" w:lineRule="auto"/>
        <w:jc w:val="center"/>
        <w:rPr>
          <w:rFonts w:hint="eastAsia" w:ascii="宋体" w:hAnsi="宋体" w:cs="宋体"/>
          <w:b/>
          <w:color w:val="auto"/>
          <w:sz w:val="36"/>
          <w:szCs w:val="36"/>
          <w:highlight w:val="none"/>
        </w:rPr>
      </w:pPr>
      <w:bookmarkStart w:id="48" w:name="_Toc18651"/>
      <w:r>
        <w:rPr>
          <w:rFonts w:hint="eastAsia" w:ascii="宋体" w:hAnsi="宋体" w:cs="宋体"/>
          <w:b/>
          <w:color w:val="auto"/>
          <w:sz w:val="36"/>
          <w:szCs w:val="36"/>
          <w:highlight w:val="none"/>
        </w:rPr>
        <w:t xml:space="preserve">第四部分   </w:t>
      </w:r>
      <w:bookmarkStart w:id="49" w:name="_Toc184310279"/>
      <w:bookmarkEnd w:id="49"/>
      <w:bookmarkStart w:id="50" w:name="_Toc184314482"/>
      <w:bookmarkEnd w:id="50"/>
      <w:bookmarkStart w:id="51" w:name="_Toc184313294"/>
      <w:bookmarkEnd w:id="51"/>
      <w:bookmarkStart w:id="52" w:name="_Toc184310309"/>
      <w:bookmarkEnd w:id="52"/>
      <w:bookmarkStart w:id="53" w:name="_Toc184314444"/>
      <w:bookmarkEnd w:id="53"/>
      <w:bookmarkStart w:id="54" w:name="_Toc184314463"/>
      <w:bookmarkEnd w:id="54"/>
      <w:bookmarkStart w:id="55" w:name="_Toc184310307"/>
      <w:bookmarkEnd w:id="55"/>
      <w:bookmarkStart w:id="56" w:name="_Toc184314462"/>
      <w:bookmarkEnd w:id="56"/>
      <w:bookmarkStart w:id="57" w:name="_Toc184314425"/>
      <w:bookmarkEnd w:id="57"/>
      <w:bookmarkStart w:id="58" w:name="_Toc184312085"/>
      <w:bookmarkEnd w:id="58"/>
      <w:bookmarkStart w:id="59" w:name="_Toc184313285"/>
      <w:bookmarkEnd w:id="59"/>
      <w:bookmarkStart w:id="60" w:name="_Toc184308105"/>
      <w:bookmarkEnd w:id="60"/>
      <w:bookmarkStart w:id="61" w:name="_Toc184310338"/>
      <w:bookmarkEnd w:id="61"/>
      <w:bookmarkStart w:id="62" w:name="_Toc184314460"/>
      <w:bookmarkEnd w:id="62"/>
      <w:bookmarkStart w:id="63" w:name="_Toc184312132"/>
      <w:bookmarkEnd w:id="63"/>
      <w:bookmarkStart w:id="64" w:name="_Toc184310275"/>
      <w:bookmarkEnd w:id="64"/>
      <w:bookmarkStart w:id="65" w:name="_Toc184308070"/>
      <w:bookmarkEnd w:id="65"/>
      <w:bookmarkStart w:id="66" w:name="_Toc184308059"/>
      <w:bookmarkEnd w:id="66"/>
      <w:bookmarkStart w:id="67" w:name="_Toc184312089"/>
      <w:bookmarkEnd w:id="67"/>
      <w:bookmarkStart w:id="68" w:name="_Toc184314417"/>
      <w:bookmarkEnd w:id="68"/>
      <w:bookmarkStart w:id="69" w:name="_Toc184314429"/>
      <w:bookmarkEnd w:id="69"/>
      <w:bookmarkStart w:id="70" w:name="_Toc184308079"/>
      <w:bookmarkEnd w:id="70"/>
      <w:bookmarkStart w:id="71" w:name="_Toc184313281"/>
      <w:bookmarkEnd w:id="71"/>
      <w:bookmarkStart w:id="72" w:name="_Toc184310318"/>
      <w:bookmarkEnd w:id="72"/>
      <w:bookmarkStart w:id="73" w:name="_Toc184314431"/>
      <w:bookmarkEnd w:id="73"/>
      <w:bookmarkStart w:id="74" w:name="_Toc184314472"/>
      <w:bookmarkEnd w:id="74"/>
      <w:bookmarkStart w:id="75" w:name="_Toc184313251"/>
      <w:bookmarkEnd w:id="75"/>
      <w:bookmarkStart w:id="76" w:name="_Toc184308085"/>
      <w:bookmarkEnd w:id="76"/>
      <w:bookmarkStart w:id="77" w:name="_Toc184310300"/>
      <w:bookmarkEnd w:id="77"/>
      <w:bookmarkStart w:id="78" w:name="_Toc184313275"/>
      <w:bookmarkEnd w:id="78"/>
      <w:bookmarkStart w:id="79" w:name="_Toc184314410"/>
      <w:bookmarkEnd w:id="79"/>
      <w:bookmarkStart w:id="80" w:name="_Toc184314447"/>
      <w:bookmarkEnd w:id="80"/>
      <w:bookmarkStart w:id="81" w:name="_Toc184310285"/>
      <w:bookmarkEnd w:id="81"/>
      <w:bookmarkStart w:id="82" w:name="_Toc184312087"/>
      <w:bookmarkEnd w:id="82"/>
      <w:bookmarkStart w:id="83" w:name="_Toc184310288"/>
      <w:bookmarkEnd w:id="83"/>
      <w:bookmarkStart w:id="84" w:name="_Toc184310272"/>
      <w:bookmarkEnd w:id="84"/>
      <w:bookmarkStart w:id="85" w:name="_Toc184313259"/>
      <w:bookmarkEnd w:id="85"/>
      <w:bookmarkStart w:id="86" w:name="_Toc184314427"/>
      <w:bookmarkEnd w:id="86"/>
      <w:bookmarkStart w:id="87" w:name="_Toc184308097"/>
      <w:bookmarkEnd w:id="87"/>
      <w:bookmarkStart w:id="88" w:name="_Toc184312126"/>
      <w:bookmarkEnd w:id="88"/>
      <w:bookmarkStart w:id="89" w:name="_Toc184312092"/>
      <w:bookmarkEnd w:id="89"/>
      <w:bookmarkStart w:id="90" w:name="_Toc184314438"/>
      <w:bookmarkEnd w:id="90"/>
      <w:bookmarkStart w:id="91" w:name="_Toc184310310"/>
      <w:bookmarkEnd w:id="91"/>
      <w:bookmarkStart w:id="92" w:name="_Toc184312116"/>
      <w:bookmarkEnd w:id="92"/>
      <w:bookmarkStart w:id="93" w:name="_Toc184313262"/>
      <w:bookmarkEnd w:id="93"/>
      <w:bookmarkStart w:id="94" w:name="_Toc184312118"/>
      <w:bookmarkEnd w:id="94"/>
      <w:bookmarkStart w:id="95" w:name="_Toc184312106"/>
      <w:bookmarkEnd w:id="95"/>
      <w:bookmarkStart w:id="96" w:name="_Toc184314459"/>
      <w:bookmarkEnd w:id="96"/>
      <w:bookmarkStart w:id="97" w:name="_Toc184310273"/>
      <w:bookmarkEnd w:id="97"/>
      <w:bookmarkStart w:id="98" w:name="_Toc184313253"/>
      <w:bookmarkEnd w:id="98"/>
      <w:bookmarkStart w:id="99" w:name="_Toc184310277"/>
      <w:bookmarkEnd w:id="99"/>
      <w:bookmarkStart w:id="100" w:name="_Toc184308067"/>
      <w:bookmarkEnd w:id="100"/>
      <w:bookmarkStart w:id="101" w:name="_Toc184310342"/>
      <w:bookmarkEnd w:id="101"/>
      <w:bookmarkStart w:id="102" w:name="_Toc184314477"/>
      <w:bookmarkEnd w:id="102"/>
      <w:bookmarkStart w:id="103" w:name="_Toc184308060"/>
      <w:bookmarkEnd w:id="103"/>
      <w:bookmarkStart w:id="104" w:name="_Toc184314423"/>
      <w:bookmarkEnd w:id="104"/>
      <w:bookmarkStart w:id="105" w:name="_Toc184313286"/>
      <w:bookmarkEnd w:id="105"/>
      <w:bookmarkStart w:id="106" w:name="_Toc184312075"/>
      <w:bookmarkEnd w:id="106"/>
      <w:bookmarkStart w:id="107" w:name="_Toc184310283"/>
      <w:bookmarkEnd w:id="107"/>
      <w:bookmarkStart w:id="108" w:name="_Toc184314416"/>
      <w:bookmarkEnd w:id="108"/>
      <w:bookmarkStart w:id="109" w:name="_Toc184308102"/>
      <w:bookmarkEnd w:id="109"/>
      <w:bookmarkStart w:id="110" w:name="_Toc184308090"/>
      <w:bookmarkEnd w:id="110"/>
      <w:bookmarkStart w:id="111" w:name="_Toc184312113"/>
      <w:bookmarkEnd w:id="111"/>
      <w:bookmarkStart w:id="112" w:name="_Toc184310297"/>
      <w:bookmarkEnd w:id="112"/>
      <w:bookmarkStart w:id="113" w:name="_Toc184312103"/>
      <w:bookmarkEnd w:id="113"/>
      <w:bookmarkStart w:id="114" w:name="_Toc184314470"/>
      <w:bookmarkEnd w:id="114"/>
      <w:bookmarkStart w:id="115" w:name="_Toc184310335"/>
      <w:bookmarkEnd w:id="115"/>
      <w:bookmarkStart w:id="116" w:name="_Toc184308063"/>
      <w:bookmarkEnd w:id="116"/>
      <w:bookmarkStart w:id="117" w:name="_Toc184312117"/>
      <w:bookmarkEnd w:id="117"/>
      <w:bookmarkStart w:id="118" w:name="_Toc184308104"/>
      <w:bookmarkEnd w:id="118"/>
      <w:bookmarkStart w:id="119" w:name="_Toc184312138"/>
      <w:bookmarkEnd w:id="119"/>
      <w:bookmarkStart w:id="120" w:name="_Toc184313270"/>
      <w:bookmarkEnd w:id="120"/>
      <w:bookmarkStart w:id="121" w:name="_Toc184314464"/>
      <w:bookmarkEnd w:id="121"/>
      <w:bookmarkStart w:id="122" w:name="_Toc184313266"/>
      <w:bookmarkEnd w:id="122"/>
      <w:bookmarkStart w:id="123" w:name="_Toc184313282"/>
      <w:bookmarkEnd w:id="123"/>
      <w:bookmarkStart w:id="124" w:name="_Toc184310329"/>
      <w:bookmarkEnd w:id="124"/>
      <w:bookmarkStart w:id="125" w:name="_Toc184308100"/>
      <w:bookmarkEnd w:id="125"/>
      <w:bookmarkStart w:id="126" w:name="_Toc184308043"/>
      <w:bookmarkEnd w:id="126"/>
      <w:bookmarkStart w:id="127" w:name="_Toc184313299"/>
      <w:bookmarkEnd w:id="127"/>
      <w:bookmarkStart w:id="128" w:name="_Toc184310340"/>
      <w:bookmarkEnd w:id="128"/>
      <w:bookmarkStart w:id="129" w:name="_Toc184308073"/>
      <w:bookmarkEnd w:id="129"/>
      <w:bookmarkStart w:id="130" w:name="_Toc184313238"/>
      <w:bookmarkEnd w:id="130"/>
      <w:bookmarkStart w:id="131" w:name="_Toc184310282"/>
      <w:bookmarkEnd w:id="131"/>
      <w:bookmarkStart w:id="132" w:name="_Toc184312095"/>
      <w:bookmarkEnd w:id="132"/>
      <w:bookmarkStart w:id="133" w:name="_Toc184310332"/>
      <w:bookmarkEnd w:id="133"/>
      <w:bookmarkStart w:id="134" w:name="_Toc184308096"/>
      <w:bookmarkEnd w:id="134"/>
      <w:bookmarkStart w:id="135" w:name="_Toc184313263"/>
      <w:bookmarkEnd w:id="135"/>
      <w:bookmarkStart w:id="136" w:name="_Toc184312109"/>
      <w:bookmarkEnd w:id="136"/>
      <w:bookmarkStart w:id="137" w:name="_Toc184312096"/>
      <w:bookmarkEnd w:id="137"/>
      <w:bookmarkStart w:id="138" w:name="_Toc184308042"/>
      <w:bookmarkEnd w:id="138"/>
      <w:bookmarkStart w:id="139" w:name="_Toc184310323"/>
      <w:bookmarkEnd w:id="139"/>
      <w:bookmarkStart w:id="140" w:name="_Toc184313256"/>
      <w:bookmarkEnd w:id="140"/>
      <w:bookmarkStart w:id="141" w:name="_Toc184310311"/>
      <w:bookmarkEnd w:id="141"/>
      <w:bookmarkStart w:id="142" w:name="_Toc184314432"/>
      <w:bookmarkEnd w:id="142"/>
      <w:bookmarkStart w:id="143" w:name="_Toc184308064"/>
      <w:bookmarkEnd w:id="143"/>
      <w:bookmarkStart w:id="144" w:name="_Toc184312121"/>
      <w:bookmarkEnd w:id="144"/>
      <w:bookmarkStart w:id="145" w:name="_Toc184308057"/>
      <w:bookmarkEnd w:id="145"/>
      <w:bookmarkStart w:id="146" w:name="_Toc184308047"/>
      <w:bookmarkEnd w:id="146"/>
      <w:bookmarkStart w:id="147" w:name="_Toc184313284"/>
      <w:bookmarkEnd w:id="147"/>
      <w:bookmarkStart w:id="148" w:name="_Toc184308068"/>
      <w:bookmarkEnd w:id="148"/>
      <w:bookmarkStart w:id="149" w:name="_Toc184314439"/>
      <w:bookmarkEnd w:id="149"/>
      <w:bookmarkStart w:id="150" w:name="_Toc184314435"/>
      <w:bookmarkEnd w:id="150"/>
      <w:bookmarkStart w:id="151" w:name="_Toc184310319"/>
      <w:bookmarkEnd w:id="151"/>
      <w:bookmarkStart w:id="152" w:name="_Toc184314426"/>
      <w:bookmarkEnd w:id="152"/>
      <w:bookmarkStart w:id="153" w:name="_Toc184310315"/>
      <w:bookmarkEnd w:id="153"/>
      <w:bookmarkStart w:id="154" w:name="_Toc184308052"/>
      <w:bookmarkEnd w:id="154"/>
      <w:bookmarkStart w:id="155" w:name="_Toc184308106"/>
      <w:bookmarkEnd w:id="155"/>
      <w:bookmarkStart w:id="156" w:name="_Toc184313247"/>
      <w:bookmarkEnd w:id="156"/>
      <w:bookmarkStart w:id="157" w:name="_Toc184314424"/>
      <w:bookmarkEnd w:id="157"/>
      <w:bookmarkStart w:id="158" w:name="_Toc184314440"/>
      <w:bookmarkEnd w:id="158"/>
      <w:bookmarkStart w:id="159" w:name="_Toc184308087"/>
      <w:bookmarkEnd w:id="159"/>
      <w:bookmarkStart w:id="160" w:name="_Toc184314471"/>
      <w:bookmarkEnd w:id="160"/>
      <w:bookmarkStart w:id="161" w:name="_Toc184313288"/>
      <w:bookmarkEnd w:id="161"/>
      <w:bookmarkStart w:id="162" w:name="_Toc184314478"/>
      <w:bookmarkEnd w:id="162"/>
      <w:bookmarkStart w:id="163" w:name="_Toc184314475"/>
      <w:bookmarkEnd w:id="163"/>
      <w:bookmarkStart w:id="164" w:name="_Toc184308077"/>
      <w:bookmarkEnd w:id="164"/>
      <w:bookmarkStart w:id="165" w:name="_Toc184310303"/>
      <w:bookmarkEnd w:id="165"/>
      <w:bookmarkStart w:id="166" w:name="_Toc184313261"/>
      <w:bookmarkEnd w:id="166"/>
      <w:bookmarkStart w:id="167" w:name="_Toc184313252"/>
      <w:bookmarkEnd w:id="167"/>
      <w:bookmarkStart w:id="168" w:name="_Toc184313290"/>
      <w:bookmarkEnd w:id="168"/>
      <w:bookmarkStart w:id="169" w:name="_Toc184314467"/>
      <w:bookmarkEnd w:id="169"/>
      <w:bookmarkStart w:id="170" w:name="_Toc184312135"/>
      <w:bookmarkEnd w:id="170"/>
      <w:bookmarkStart w:id="171" w:name="_Toc184308081"/>
      <w:bookmarkEnd w:id="171"/>
      <w:bookmarkStart w:id="172" w:name="_Toc184312094"/>
      <w:bookmarkEnd w:id="172"/>
      <w:bookmarkStart w:id="173" w:name="_Toc184314481"/>
      <w:bookmarkEnd w:id="173"/>
      <w:bookmarkStart w:id="174" w:name="_Toc184308084"/>
      <w:bookmarkEnd w:id="174"/>
      <w:bookmarkStart w:id="175" w:name="_Toc184312084"/>
      <w:bookmarkEnd w:id="175"/>
      <w:bookmarkStart w:id="176" w:name="_Toc184313239"/>
      <w:bookmarkEnd w:id="176"/>
      <w:bookmarkStart w:id="177" w:name="_Toc184310281"/>
      <w:bookmarkEnd w:id="177"/>
      <w:bookmarkStart w:id="178" w:name="_Toc184308071"/>
      <w:bookmarkEnd w:id="178"/>
      <w:bookmarkStart w:id="179" w:name="_Toc184310314"/>
      <w:bookmarkEnd w:id="179"/>
      <w:bookmarkStart w:id="180" w:name="_Toc184312128"/>
      <w:bookmarkEnd w:id="180"/>
      <w:bookmarkStart w:id="181" w:name="_Toc184312081"/>
      <w:bookmarkEnd w:id="181"/>
      <w:bookmarkStart w:id="182" w:name="_Toc184313300"/>
      <w:bookmarkEnd w:id="182"/>
      <w:bookmarkStart w:id="183" w:name="_Toc184314441"/>
      <w:bookmarkEnd w:id="183"/>
      <w:bookmarkStart w:id="184" w:name="_Toc184314479"/>
      <w:bookmarkEnd w:id="184"/>
      <w:bookmarkStart w:id="185" w:name="_Toc184308056"/>
      <w:bookmarkEnd w:id="185"/>
      <w:bookmarkStart w:id="186" w:name="_Toc184310308"/>
      <w:bookmarkEnd w:id="186"/>
      <w:bookmarkStart w:id="187" w:name="_Toc184308108"/>
      <w:bookmarkEnd w:id="187"/>
      <w:bookmarkStart w:id="188" w:name="_Toc184313292"/>
      <w:bookmarkEnd w:id="188"/>
      <w:bookmarkStart w:id="189" w:name="_Toc184308061"/>
      <w:bookmarkEnd w:id="189"/>
      <w:bookmarkStart w:id="190" w:name="_Toc184313243"/>
      <w:bookmarkEnd w:id="190"/>
      <w:bookmarkStart w:id="191" w:name="_Toc184314453"/>
      <w:bookmarkEnd w:id="191"/>
      <w:bookmarkStart w:id="192" w:name="_Toc184312115"/>
      <w:bookmarkEnd w:id="192"/>
      <w:bookmarkStart w:id="193" w:name="_Toc184312098"/>
      <w:bookmarkEnd w:id="193"/>
      <w:bookmarkStart w:id="194" w:name="_Toc184313277"/>
      <w:bookmarkEnd w:id="194"/>
      <w:bookmarkStart w:id="195" w:name="_Toc184310337"/>
      <w:bookmarkEnd w:id="195"/>
      <w:bookmarkStart w:id="196" w:name="_Toc184310286"/>
      <w:bookmarkEnd w:id="196"/>
      <w:bookmarkStart w:id="197" w:name="_Toc184310305"/>
      <w:bookmarkEnd w:id="197"/>
      <w:bookmarkStart w:id="198" w:name="_Toc184310326"/>
      <w:bookmarkEnd w:id="198"/>
      <w:bookmarkStart w:id="199" w:name="_Toc184308039"/>
      <w:bookmarkEnd w:id="199"/>
      <w:bookmarkStart w:id="200" w:name="_Toc184310296"/>
      <w:bookmarkEnd w:id="200"/>
      <w:bookmarkStart w:id="201" w:name="_Toc184308092"/>
      <w:bookmarkEnd w:id="201"/>
      <w:bookmarkStart w:id="202" w:name="_Toc184308094"/>
      <w:bookmarkEnd w:id="202"/>
      <w:bookmarkStart w:id="203" w:name="_Toc184314418"/>
      <w:bookmarkEnd w:id="203"/>
      <w:bookmarkStart w:id="204" w:name="_Toc184310343"/>
      <w:bookmarkEnd w:id="204"/>
      <w:bookmarkStart w:id="205" w:name="_Toc184312137"/>
      <w:bookmarkEnd w:id="205"/>
      <w:bookmarkStart w:id="206" w:name="_Toc184308037"/>
      <w:bookmarkEnd w:id="206"/>
      <w:bookmarkStart w:id="207" w:name="_Toc184312068"/>
      <w:bookmarkEnd w:id="207"/>
      <w:bookmarkStart w:id="208" w:name="_Toc184310316"/>
      <w:bookmarkEnd w:id="208"/>
      <w:bookmarkStart w:id="209" w:name="_Toc184312077"/>
      <w:bookmarkEnd w:id="209"/>
      <w:bookmarkStart w:id="210" w:name="_Toc184314449"/>
      <w:bookmarkEnd w:id="210"/>
      <w:bookmarkStart w:id="211" w:name="_Toc184308093"/>
      <w:bookmarkEnd w:id="211"/>
      <w:bookmarkStart w:id="212" w:name="_Toc184313265"/>
      <w:bookmarkEnd w:id="212"/>
      <w:bookmarkStart w:id="213" w:name="_Toc184313250"/>
      <w:bookmarkEnd w:id="213"/>
      <w:bookmarkStart w:id="214" w:name="_Toc184308062"/>
      <w:bookmarkEnd w:id="214"/>
      <w:bookmarkStart w:id="215" w:name="_Toc184310287"/>
      <w:bookmarkEnd w:id="215"/>
      <w:bookmarkStart w:id="216" w:name="_Toc184308083"/>
      <w:bookmarkEnd w:id="216"/>
      <w:bookmarkStart w:id="217" w:name="_Toc184312090"/>
      <w:bookmarkEnd w:id="217"/>
      <w:bookmarkStart w:id="218" w:name="_Toc184310336"/>
      <w:bookmarkEnd w:id="218"/>
      <w:bookmarkStart w:id="219" w:name="_Toc184312070"/>
      <w:bookmarkEnd w:id="219"/>
      <w:bookmarkStart w:id="220" w:name="_Toc184310294"/>
      <w:bookmarkEnd w:id="220"/>
      <w:bookmarkStart w:id="221" w:name="_Toc184314465"/>
      <w:bookmarkEnd w:id="221"/>
      <w:bookmarkStart w:id="222" w:name="_Toc184308107"/>
      <w:bookmarkEnd w:id="222"/>
      <w:bookmarkStart w:id="223" w:name="_Toc184313240"/>
      <w:bookmarkEnd w:id="223"/>
      <w:bookmarkStart w:id="224" w:name="_Toc184313302"/>
      <w:bookmarkEnd w:id="224"/>
      <w:bookmarkStart w:id="225" w:name="_Toc184313301"/>
      <w:bookmarkEnd w:id="225"/>
      <w:bookmarkStart w:id="226" w:name="_Toc184314437"/>
      <w:bookmarkEnd w:id="226"/>
      <w:bookmarkStart w:id="227" w:name="_Toc184308045"/>
      <w:bookmarkEnd w:id="227"/>
      <w:bookmarkStart w:id="228" w:name="_Toc184310295"/>
      <w:bookmarkEnd w:id="228"/>
      <w:bookmarkStart w:id="229" w:name="_Toc184313274"/>
      <w:bookmarkEnd w:id="229"/>
      <w:bookmarkStart w:id="230" w:name="_Toc184314446"/>
      <w:bookmarkEnd w:id="230"/>
      <w:bookmarkStart w:id="231" w:name="_Toc184312123"/>
      <w:bookmarkEnd w:id="231"/>
      <w:bookmarkStart w:id="232" w:name="_Toc184310324"/>
      <w:bookmarkEnd w:id="232"/>
      <w:bookmarkStart w:id="233" w:name="_Toc184310292"/>
      <w:bookmarkEnd w:id="233"/>
      <w:bookmarkStart w:id="234" w:name="_Toc184314466"/>
      <w:bookmarkEnd w:id="234"/>
      <w:bookmarkStart w:id="235" w:name="_Toc184312130"/>
      <w:bookmarkEnd w:id="235"/>
      <w:bookmarkStart w:id="236" w:name="_Toc184313273"/>
      <w:bookmarkEnd w:id="236"/>
      <w:bookmarkStart w:id="237" w:name="_Toc184308044"/>
      <w:bookmarkEnd w:id="237"/>
      <w:bookmarkStart w:id="238" w:name="_Toc184310327"/>
      <w:bookmarkEnd w:id="238"/>
      <w:bookmarkStart w:id="239" w:name="_Toc184313255"/>
      <w:bookmarkEnd w:id="239"/>
      <w:bookmarkStart w:id="240" w:name="_Toc184308095"/>
      <w:bookmarkEnd w:id="240"/>
      <w:bookmarkStart w:id="241" w:name="_Toc184314457"/>
      <w:bookmarkEnd w:id="241"/>
      <w:bookmarkStart w:id="242" w:name="_Toc184312093"/>
      <w:bookmarkEnd w:id="242"/>
      <w:bookmarkStart w:id="243" w:name="_Toc184308055"/>
      <w:bookmarkEnd w:id="243"/>
      <w:bookmarkStart w:id="244" w:name="_Toc184308098"/>
      <w:bookmarkEnd w:id="244"/>
      <w:bookmarkStart w:id="245" w:name="_Toc184313249"/>
      <w:bookmarkEnd w:id="245"/>
      <w:bookmarkStart w:id="246" w:name="_Toc184314473"/>
      <w:bookmarkEnd w:id="246"/>
      <w:bookmarkStart w:id="247" w:name="_Toc184313298"/>
      <w:bookmarkEnd w:id="247"/>
      <w:bookmarkStart w:id="248" w:name="_Toc184312124"/>
      <w:bookmarkEnd w:id="248"/>
      <w:bookmarkStart w:id="249" w:name="_Toc184310330"/>
      <w:bookmarkEnd w:id="249"/>
      <w:bookmarkStart w:id="250" w:name="_Toc184310298"/>
      <w:bookmarkEnd w:id="250"/>
      <w:bookmarkStart w:id="251" w:name="_Toc184308051"/>
      <w:bookmarkEnd w:id="251"/>
      <w:bookmarkStart w:id="252" w:name="_Toc184310344"/>
      <w:bookmarkEnd w:id="252"/>
      <w:bookmarkStart w:id="253" w:name="_Toc184308054"/>
      <w:bookmarkEnd w:id="253"/>
      <w:bookmarkStart w:id="254" w:name="_Toc184314445"/>
      <w:bookmarkEnd w:id="254"/>
      <w:bookmarkStart w:id="255" w:name="_Toc184314442"/>
      <w:bookmarkEnd w:id="255"/>
      <w:bookmarkStart w:id="256" w:name="_Toc184310313"/>
      <w:bookmarkEnd w:id="256"/>
      <w:bookmarkStart w:id="257" w:name="_Toc184312079"/>
      <w:bookmarkEnd w:id="257"/>
      <w:bookmarkStart w:id="258" w:name="_Toc184313287"/>
      <w:bookmarkEnd w:id="258"/>
      <w:bookmarkStart w:id="259" w:name="_Toc184313257"/>
      <w:bookmarkEnd w:id="259"/>
      <w:bookmarkStart w:id="260" w:name="_Toc184312110"/>
      <w:bookmarkEnd w:id="260"/>
      <w:bookmarkStart w:id="261" w:name="_Toc184313309"/>
      <w:bookmarkEnd w:id="261"/>
      <w:bookmarkStart w:id="262" w:name="_Toc184314451"/>
      <w:bookmarkEnd w:id="262"/>
      <w:bookmarkStart w:id="263" w:name="_Toc184310312"/>
      <w:bookmarkEnd w:id="263"/>
      <w:bookmarkStart w:id="264" w:name="_Toc184310333"/>
      <w:bookmarkEnd w:id="264"/>
      <w:bookmarkStart w:id="265" w:name="_Toc184313271"/>
      <w:bookmarkEnd w:id="265"/>
      <w:bookmarkStart w:id="266" w:name="_Toc184308103"/>
      <w:bookmarkEnd w:id="266"/>
      <w:bookmarkStart w:id="267" w:name="_Toc184310321"/>
      <w:bookmarkEnd w:id="267"/>
      <w:bookmarkStart w:id="268" w:name="_Toc184310291"/>
      <w:bookmarkEnd w:id="268"/>
      <w:bookmarkStart w:id="269" w:name="_Toc184310341"/>
      <w:bookmarkEnd w:id="269"/>
      <w:bookmarkStart w:id="270" w:name="_Toc184308075"/>
      <w:bookmarkEnd w:id="270"/>
      <w:bookmarkStart w:id="271" w:name="_Toc184312104"/>
      <w:bookmarkEnd w:id="271"/>
      <w:bookmarkStart w:id="272" w:name="_Toc184313254"/>
      <w:bookmarkEnd w:id="272"/>
      <w:bookmarkStart w:id="273" w:name="_Toc184314422"/>
      <w:bookmarkEnd w:id="273"/>
      <w:bookmarkStart w:id="274" w:name="_Toc184308058"/>
      <w:bookmarkEnd w:id="274"/>
      <w:bookmarkStart w:id="275" w:name="_Toc184312086"/>
      <w:bookmarkEnd w:id="275"/>
      <w:bookmarkStart w:id="276" w:name="_Toc184314420"/>
      <w:bookmarkEnd w:id="276"/>
      <w:bookmarkStart w:id="277" w:name="_Toc184313305"/>
      <w:bookmarkEnd w:id="277"/>
      <w:bookmarkStart w:id="278" w:name="_Toc184312136"/>
      <w:bookmarkEnd w:id="278"/>
      <w:bookmarkStart w:id="279" w:name="_Toc184308065"/>
      <w:bookmarkEnd w:id="279"/>
      <w:bookmarkStart w:id="280" w:name="_Toc184314454"/>
      <w:bookmarkEnd w:id="280"/>
      <w:bookmarkStart w:id="281" w:name="_Toc184313272"/>
      <w:bookmarkEnd w:id="281"/>
      <w:bookmarkStart w:id="282" w:name="_Toc184313297"/>
      <w:bookmarkEnd w:id="282"/>
      <w:bookmarkStart w:id="283" w:name="_Toc184313264"/>
      <w:bookmarkEnd w:id="283"/>
      <w:bookmarkStart w:id="284" w:name="_Toc184308046"/>
      <w:bookmarkEnd w:id="284"/>
      <w:bookmarkStart w:id="285" w:name="_Toc184308086"/>
      <w:bookmarkEnd w:id="285"/>
      <w:bookmarkStart w:id="286" w:name="_Toc184312139"/>
      <w:bookmarkEnd w:id="286"/>
      <w:bookmarkStart w:id="287" w:name="_Toc184314428"/>
      <w:bookmarkEnd w:id="287"/>
      <w:bookmarkStart w:id="288" w:name="_Toc184314412"/>
      <w:bookmarkEnd w:id="288"/>
      <w:bookmarkStart w:id="289" w:name="_Toc184312101"/>
      <w:bookmarkEnd w:id="289"/>
      <w:bookmarkStart w:id="290" w:name="_Toc184310317"/>
      <w:bookmarkEnd w:id="290"/>
      <w:bookmarkStart w:id="291" w:name="_Toc184314411"/>
      <w:bookmarkEnd w:id="291"/>
      <w:bookmarkStart w:id="292" w:name="_Toc184314452"/>
      <w:bookmarkEnd w:id="292"/>
      <w:bookmarkStart w:id="293" w:name="_Toc184313245"/>
      <w:bookmarkEnd w:id="293"/>
      <w:bookmarkStart w:id="294" w:name="_Toc184312072"/>
      <w:bookmarkEnd w:id="294"/>
      <w:bookmarkStart w:id="295" w:name="_Toc184314455"/>
      <w:bookmarkEnd w:id="295"/>
      <w:bookmarkStart w:id="296" w:name="_Toc184312134"/>
      <w:bookmarkEnd w:id="296"/>
      <w:bookmarkStart w:id="297" w:name="_Toc184310334"/>
      <w:bookmarkEnd w:id="297"/>
      <w:bookmarkStart w:id="298" w:name="_Toc184314419"/>
      <w:bookmarkEnd w:id="298"/>
      <w:bookmarkStart w:id="299" w:name="_Toc184313306"/>
      <w:bookmarkEnd w:id="299"/>
      <w:bookmarkStart w:id="300" w:name="_Toc184310276"/>
      <w:bookmarkEnd w:id="300"/>
      <w:bookmarkStart w:id="301" w:name="_Toc184314436"/>
      <w:bookmarkEnd w:id="301"/>
      <w:bookmarkStart w:id="302" w:name="_Toc184312078"/>
      <w:bookmarkEnd w:id="302"/>
      <w:bookmarkStart w:id="303" w:name="_Toc184310306"/>
      <w:bookmarkEnd w:id="303"/>
      <w:bookmarkStart w:id="304" w:name="_Toc184310284"/>
      <w:bookmarkEnd w:id="304"/>
      <w:bookmarkStart w:id="305" w:name="_Toc184308074"/>
      <w:bookmarkEnd w:id="305"/>
      <w:bookmarkStart w:id="306" w:name="_Toc184312111"/>
      <w:bookmarkEnd w:id="306"/>
      <w:bookmarkStart w:id="307" w:name="_Toc184313241"/>
      <w:bookmarkEnd w:id="307"/>
      <w:bookmarkStart w:id="308" w:name="_Toc184314461"/>
      <w:bookmarkEnd w:id="308"/>
      <w:bookmarkStart w:id="309" w:name="_Toc184308050"/>
      <w:bookmarkEnd w:id="309"/>
      <w:bookmarkStart w:id="310" w:name="_Toc184310331"/>
      <w:bookmarkEnd w:id="310"/>
      <w:bookmarkStart w:id="311" w:name="_Toc184308053"/>
      <w:bookmarkEnd w:id="311"/>
      <w:bookmarkStart w:id="312" w:name="_Toc184312127"/>
      <w:bookmarkEnd w:id="312"/>
      <w:bookmarkStart w:id="313" w:name="_Toc184314458"/>
      <w:bookmarkEnd w:id="313"/>
      <w:bookmarkStart w:id="314" w:name="_Toc184312088"/>
      <w:bookmarkEnd w:id="314"/>
      <w:bookmarkStart w:id="315" w:name="_Toc184312099"/>
      <w:bookmarkEnd w:id="315"/>
      <w:bookmarkStart w:id="316" w:name="_Toc184312131"/>
      <w:bookmarkEnd w:id="316"/>
      <w:bookmarkStart w:id="317" w:name="_Toc184313268"/>
      <w:bookmarkEnd w:id="317"/>
      <w:bookmarkStart w:id="318" w:name="_Toc184312071"/>
      <w:bookmarkEnd w:id="318"/>
      <w:bookmarkStart w:id="319" w:name="_Toc184308101"/>
      <w:bookmarkEnd w:id="319"/>
      <w:bookmarkStart w:id="320" w:name="_Toc184312082"/>
      <w:bookmarkEnd w:id="320"/>
      <w:bookmarkStart w:id="321" w:name="_Toc184313278"/>
      <w:bookmarkEnd w:id="321"/>
      <w:bookmarkStart w:id="322" w:name="_Toc184312097"/>
      <w:bookmarkEnd w:id="322"/>
      <w:bookmarkStart w:id="323" w:name="_Toc184314433"/>
      <w:bookmarkEnd w:id="323"/>
      <w:bookmarkStart w:id="324" w:name="_Toc184312108"/>
      <w:bookmarkEnd w:id="324"/>
      <w:bookmarkStart w:id="325" w:name="_Toc184314430"/>
      <w:bookmarkEnd w:id="325"/>
      <w:bookmarkStart w:id="326" w:name="_Toc184312122"/>
      <w:bookmarkEnd w:id="326"/>
      <w:bookmarkStart w:id="327" w:name="_Toc184308038"/>
      <w:bookmarkEnd w:id="327"/>
      <w:bookmarkStart w:id="328" w:name="_Toc184314474"/>
      <w:bookmarkEnd w:id="328"/>
      <w:bookmarkStart w:id="329" w:name="_Toc184310304"/>
      <w:bookmarkEnd w:id="329"/>
      <w:bookmarkStart w:id="330" w:name="_Toc184313269"/>
      <w:bookmarkEnd w:id="330"/>
      <w:bookmarkStart w:id="331" w:name="_Toc184313246"/>
      <w:bookmarkEnd w:id="331"/>
      <w:bookmarkStart w:id="332" w:name="_Toc184312073"/>
      <w:bookmarkEnd w:id="332"/>
      <w:bookmarkStart w:id="333" w:name="_Toc184308088"/>
      <w:bookmarkEnd w:id="333"/>
      <w:bookmarkStart w:id="334" w:name="_Toc184310328"/>
      <w:bookmarkEnd w:id="334"/>
      <w:bookmarkStart w:id="335" w:name="_Toc184308069"/>
      <w:bookmarkEnd w:id="335"/>
      <w:bookmarkStart w:id="336" w:name="_Toc184312100"/>
      <w:bookmarkEnd w:id="336"/>
      <w:bookmarkStart w:id="337" w:name="_Toc184314415"/>
      <w:bookmarkEnd w:id="337"/>
      <w:bookmarkStart w:id="338" w:name="_Toc184313310"/>
      <w:bookmarkEnd w:id="338"/>
      <w:bookmarkStart w:id="339" w:name="_Toc184308041"/>
      <w:bookmarkEnd w:id="339"/>
      <w:bookmarkStart w:id="340" w:name="_Toc184312112"/>
      <w:bookmarkEnd w:id="340"/>
      <w:bookmarkStart w:id="341" w:name="_Toc184313244"/>
      <w:bookmarkEnd w:id="341"/>
      <w:bookmarkStart w:id="342" w:name="_Toc184312105"/>
      <w:bookmarkEnd w:id="342"/>
      <w:bookmarkStart w:id="343" w:name="_Toc184310302"/>
      <w:bookmarkEnd w:id="343"/>
      <w:bookmarkStart w:id="344" w:name="_Toc184312091"/>
      <w:bookmarkEnd w:id="344"/>
      <w:bookmarkStart w:id="345" w:name="_Toc184308040"/>
      <w:bookmarkEnd w:id="345"/>
      <w:bookmarkStart w:id="346" w:name="_Toc184308076"/>
      <w:bookmarkEnd w:id="346"/>
      <w:bookmarkStart w:id="347" w:name="_Toc184308072"/>
      <w:bookmarkEnd w:id="347"/>
      <w:bookmarkStart w:id="348" w:name="_Toc184313293"/>
      <w:bookmarkEnd w:id="348"/>
      <w:bookmarkStart w:id="349" w:name="_Toc184308049"/>
      <w:bookmarkEnd w:id="349"/>
      <w:bookmarkStart w:id="350" w:name="_Toc184314476"/>
      <w:bookmarkEnd w:id="350"/>
      <w:bookmarkStart w:id="351" w:name="_Toc184312119"/>
      <w:bookmarkEnd w:id="351"/>
      <w:bookmarkStart w:id="352" w:name="_Toc184310299"/>
      <w:bookmarkEnd w:id="352"/>
      <w:bookmarkStart w:id="353" w:name="_Toc184313283"/>
      <w:bookmarkEnd w:id="353"/>
      <w:bookmarkStart w:id="354" w:name="_Toc184313242"/>
      <w:bookmarkEnd w:id="354"/>
      <w:bookmarkStart w:id="355" w:name="_Toc184314480"/>
      <w:bookmarkEnd w:id="355"/>
      <w:bookmarkStart w:id="356" w:name="_Toc184310290"/>
      <w:bookmarkEnd w:id="356"/>
      <w:bookmarkStart w:id="357" w:name="_Toc184313296"/>
      <w:bookmarkEnd w:id="357"/>
      <w:bookmarkStart w:id="358" w:name="_Toc184314469"/>
      <w:bookmarkEnd w:id="358"/>
      <w:bookmarkStart w:id="359" w:name="_Toc184312107"/>
      <w:bookmarkEnd w:id="359"/>
      <w:bookmarkStart w:id="360" w:name="_Toc184314450"/>
      <w:bookmarkEnd w:id="360"/>
      <w:bookmarkStart w:id="361" w:name="_Toc184310289"/>
      <w:bookmarkEnd w:id="361"/>
      <w:bookmarkStart w:id="362" w:name="_Toc184314413"/>
      <w:bookmarkEnd w:id="362"/>
      <w:bookmarkStart w:id="363" w:name="_Toc184312102"/>
      <w:bookmarkEnd w:id="363"/>
      <w:bookmarkStart w:id="364" w:name="_Toc184312114"/>
      <w:bookmarkEnd w:id="364"/>
      <w:bookmarkStart w:id="365" w:name="_Toc184308099"/>
      <w:bookmarkEnd w:id="365"/>
      <w:bookmarkStart w:id="366" w:name="_Toc184308036"/>
      <w:bookmarkEnd w:id="366"/>
      <w:bookmarkStart w:id="367" w:name="_Toc184314456"/>
      <w:bookmarkEnd w:id="367"/>
      <w:bookmarkStart w:id="368" w:name="_Toc184308082"/>
      <w:bookmarkEnd w:id="368"/>
      <w:bookmarkStart w:id="369" w:name="_Toc184313260"/>
      <w:bookmarkEnd w:id="369"/>
      <w:bookmarkStart w:id="370" w:name="_Toc184314448"/>
      <w:bookmarkEnd w:id="370"/>
      <w:bookmarkStart w:id="371" w:name="_Toc184310301"/>
      <w:bookmarkEnd w:id="371"/>
      <w:bookmarkStart w:id="372" w:name="_Toc184314414"/>
      <w:bookmarkEnd w:id="372"/>
      <w:bookmarkStart w:id="373" w:name="_Toc184313258"/>
      <w:bookmarkEnd w:id="373"/>
      <w:bookmarkStart w:id="374" w:name="_Toc184308066"/>
      <w:bookmarkEnd w:id="374"/>
      <w:bookmarkStart w:id="375" w:name="_Toc184308080"/>
      <w:bookmarkEnd w:id="375"/>
      <w:bookmarkStart w:id="376" w:name="_Toc184312133"/>
      <w:bookmarkEnd w:id="376"/>
      <w:bookmarkStart w:id="377" w:name="_Toc184314468"/>
      <w:bookmarkEnd w:id="377"/>
      <w:bookmarkStart w:id="378" w:name="_Toc184310339"/>
      <w:bookmarkEnd w:id="378"/>
      <w:bookmarkStart w:id="379" w:name="_Toc184312083"/>
      <w:bookmarkEnd w:id="379"/>
      <w:bookmarkStart w:id="380" w:name="_Toc184308078"/>
      <w:bookmarkEnd w:id="380"/>
      <w:bookmarkStart w:id="381" w:name="_Toc184313308"/>
      <w:bookmarkEnd w:id="381"/>
      <w:bookmarkStart w:id="382" w:name="_Toc184313280"/>
      <w:bookmarkEnd w:id="382"/>
      <w:bookmarkStart w:id="383" w:name="_Toc184313303"/>
      <w:bookmarkEnd w:id="383"/>
      <w:bookmarkStart w:id="384" w:name="_Toc184310325"/>
      <w:bookmarkEnd w:id="384"/>
      <w:bookmarkStart w:id="385" w:name="_Toc184313291"/>
      <w:bookmarkEnd w:id="385"/>
      <w:bookmarkStart w:id="386" w:name="_Toc184313276"/>
      <w:bookmarkEnd w:id="386"/>
      <w:bookmarkStart w:id="387" w:name="_Toc184312080"/>
      <w:bookmarkEnd w:id="387"/>
      <w:bookmarkStart w:id="388" w:name="_Toc184313295"/>
      <w:bookmarkEnd w:id="388"/>
      <w:bookmarkStart w:id="389" w:name="_Toc184310278"/>
      <w:bookmarkEnd w:id="389"/>
      <w:bookmarkStart w:id="390" w:name="_Toc184310320"/>
      <w:bookmarkEnd w:id="390"/>
      <w:bookmarkStart w:id="391" w:name="_Toc184313289"/>
      <w:bookmarkEnd w:id="391"/>
      <w:bookmarkStart w:id="392" w:name="_Toc184313307"/>
      <w:bookmarkEnd w:id="392"/>
      <w:bookmarkStart w:id="393" w:name="_Toc184313279"/>
      <w:bookmarkEnd w:id="393"/>
      <w:bookmarkStart w:id="394" w:name="_Toc184314443"/>
      <w:bookmarkEnd w:id="394"/>
      <w:bookmarkStart w:id="395" w:name="_Toc184313248"/>
      <w:bookmarkEnd w:id="395"/>
      <w:bookmarkStart w:id="396" w:name="_Toc184312129"/>
      <w:bookmarkEnd w:id="396"/>
      <w:bookmarkStart w:id="397" w:name="_Toc184312076"/>
      <w:bookmarkEnd w:id="397"/>
      <w:bookmarkStart w:id="398" w:name="_Toc184312069"/>
      <w:bookmarkEnd w:id="398"/>
      <w:bookmarkStart w:id="399" w:name="_Toc184308091"/>
      <w:bookmarkEnd w:id="399"/>
      <w:bookmarkStart w:id="400" w:name="_Toc184313304"/>
      <w:bookmarkEnd w:id="400"/>
      <w:bookmarkStart w:id="401" w:name="_Toc184314434"/>
      <w:bookmarkEnd w:id="401"/>
      <w:bookmarkStart w:id="402" w:name="_Toc184310293"/>
      <w:bookmarkEnd w:id="402"/>
      <w:bookmarkStart w:id="403" w:name="_Toc184312125"/>
      <w:bookmarkEnd w:id="403"/>
      <w:bookmarkStart w:id="404" w:name="_Toc184313267"/>
      <w:bookmarkEnd w:id="404"/>
      <w:bookmarkStart w:id="405" w:name="_Toc184310280"/>
      <w:bookmarkEnd w:id="405"/>
      <w:bookmarkStart w:id="406" w:name="_Toc184312120"/>
      <w:bookmarkEnd w:id="406"/>
      <w:bookmarkStart w:id="407" w:name="_Toc184312074"/>
      <w:bookmarkEnd w:id="407"/>
      <w:bookmarkStart w:id="408" w:name="_Toc184310274"/>
      <w:bookmarkEnd w:id="408"/>
      <w:bookmarkStart w:id="409" w:name="_Toc184308048"/>
      <w:bookmarkEnd w:id="409"/>
      <w:bookmarkStart w:id="410" w:name="_Toc184308089"/>
      <w:bookmarkEnd w:id="410"/>
      <w:bookmarkStart w:id="411" w:name="_Toc184312067"/>
      <w:bookmarkEnd w:id="411"/>
      <w:bookmarkStart w:id="412" w:name="_Toc184310322"/>
      <w:bookmarkEnd w:id="412"/>
      <w:bookmarkStart w:id="413" w:name="_Toc184314421"/>
      <w:bookmarkEnd w:id="413"/>
      <w:r>
        <w:rPr>
          <w:rFonts w:hint="eastAsia" w:ascii="宋体" w:hAnsi="宋体" w:cs="宋体"/>
          <w:b/>
          <w:color w:val="auto"/>
          <w:sz w:val="36"/>
          <w:szCs w:val="36"/>
          <w:highlight w:val="none"/>
        </w:rPr>
        <w:t>评标办法</w:t>
      </w:r>
      <w:bookmarkEnd w:id="48"/>
    </w:p>
    <w:p w14:paraId="619A17AD">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42D9C71A">
      <w:pPr>
        <w:widowControl/>
        <w:adjustRightInd/>
        <w:spacing w:line="360" w:lineRule="exact"/>
        <w:jc w:val="center"/>
        <w:rPr>
          <w:rFonts w:hint="eastAsia" w:ascii="宋体" w:hAnsi="宋体" w:eastAsia="宋体" w:cs="宋体"/>
          <w:b/>
          <w:bCs/>
          <w:color w:val="auto"/>
          <w:kern w:val="0"/>
          <w:sz w:val="32"/>
          <w:szCs w:val="40"/>
          <w:highlight w:val="none"/>
          <w:lang w:eastAsia="zh-CN"/>
        </w:rPr>
      </w:pPr>
      <w:r>
        <w:rPr>
          <w:rFonts w:hint="eastAsia" w:ascii="宋体" w:hAnsi="宋体" w:cs="宋体"/>
          <w:b/>
          <w:bCs/>
          <w:color w:val="auto"/>
          <w:kern w:val="0"/>
          <w:sz w:val="32"/>
          <w:szCs w:val="40"/>
          <w:highlight w:val="none"/>
        </w:rPr>
        <w:t>评分标准表</w:t>
      </w:r>
    </w:p>
    <w:tbl>
      <w:tblPr>
        <w:tblStyle w:val="63"/>
        <w:tblW w:w="882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39"/>
        <w:gridCol w:w="1034"/>
        <w:gridCol w:w="258"/>
        <w:gridCol w:w="5212"/>
        <w:gridCol w:w="712"/>
        <w:gridCol w:w="774"/>
      </w:tblGrid>
      <w:tr w14:paraId="11BD73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39" w:type="dxa"/>
            <w:tcBorders>
              <w:right w:val="single" w:color="auto" w:sz="4" w:space="0"/>
            </w:tcBorders>
            <w:noWrap w:val="0"/>
            <w:vAlign w:val="center"/>
          </w:tcPr>
          <w:p w14:paraId="726376E6">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评审内容</w:t>
            </w:r>
          </w:p>
        </w:tc>
        <w:tc>
          <w:tcPr>
            <w:tcW w:w="6504" w:type="dxa"/>
            <w:gridSpan w:val="3"/>
            <w:tcBorders>
              <w:left w:val="single" w:color="auto" w:sz="4" w:space="0"/>
            </w:tcBorders>
            <w:noWrap w:val="0"/>
            <w:vAlign w:val="center"/>
          </w:tcPr>
          <w:p w14:paraId="16BCD1A8">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评分标准</w:t>
            </w:r>
          </w:p>
        </w:tc>
        <w:tc>
          <w:tcPr>
            <w:tcW w:w="712" w:type="dxa"/>
            <w:noWrap w:val="0"/>
            <w:vAlign w:val="center"/>
          </w:tcPr>
          <w:p w14:paraId="78E3229F">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分值</w:t>
            </w:r>
          </w:p>
        </w:tc>
        <w:tc>
          <w:tcPr>
            <w:tcW w:w="774" w:type="dxa"/>
            <w:noWrap w:val="0"/>
            <w:vAlign w:val="center"/>
          </w:tcPr>
          <w:p w14:paraId="2FC31F02">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评审因素</w:t>
            </w:r>
          </w:p>
        </w:tc>
      </w:tr>
      <w:tr w14:paraId="6A383C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39" w:type="dxa"/>
            <w:tcBorders>
              <w:right w:val="single" w:color="auto" w:sz="4" w:space="0"/>
            </w:tcBorders>
            <w:noWrap w:val="0"/>
            <w:vAlign w:val="center"/>
          </w:tcPr>
          <w:p w14:paraId="659AEC1B">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价格分</w:t>
            </w:r>
          </w:p>
          <w:p w14:paraId="571D0BF7">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30分</w:t>
            </w:r>
          </w:p>
        </w:tc>
        <w:tc>
          <w:tcPr>
            <w:tcW w:w="6504" w:type="dxa"/>
            <w:gridSpan w:val="3"/>
            <w:tcBorders>
              <w:left w:val="single" w:color="auto" w:sz="4" w:space="0"/>
            </w:tcBorders>
            <w:noWrap w:val="0"/>
            <w:vAlign w:val="center"/>
          </w:tcPr>
          <w:p w14:paraId="1C18D14A">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评标基准价指的是满足</w:t>
            </w:r>
            <w:r>
              <w:rPr>
                <w:rFonts w:hint="eastAsia" w:ascii="宋体" w:hAnsi="宋体" w:eastAsia="宋体" w:cs="宋体"/>
                <w:bCs/>
                <w:color w:val="auto"/>
                <w:kern w:val="0"/>
                <w:sz w:val="24"/>
                <w:szCs w:val="24"/>
                <w:highlight w:val="none"/>
                <w:lang w:val="en-US" w:eastAsia="zh-CN"/>
              </w:rPr>
              <w:t>招标</w:t>
            </w:r>
            <w:r>
              <w:rPr>
                <w:rFonts w:hint="eastAsia" w:ascii="宋体" w:hAnsi="宋体" w:eastAsia="宋体" w:cs="宋体"/>
                <w:bCs/>
                <w:color w:val="auto"/>
                <w:kern w:val="0"/>
                <w:sz w:val="24"/>
                <w:szCs w:val="24"/>
                <w:highlight w:val="none"/>
                <w:lang w:eastAsia="zh-CN"/>
              </w:rPr>
              <w:t>文件</w:t>
            </w:r>
            <w:r>
              <w:rPr>
                <w:rFonts w:hint="eastAsia" w:ascii="宋体" w:hAnsi="宋体" w:eastAsia="宋体" w:cs="宋体"/>
                <w:bCs/>
                <w:color w:val="auto"/>
                <w:kern w:val="0"/>
                <w:sz w:val="24"/>
                <w:szCs w:val="24"/>
                <w:highlight w:val="none"/>
              </w:rPr>
              <w:t>要求且最低的参与评审的价格。</w:t>
            </w:r>
          </w:p>
          <w:p w14:paraId="4A452787">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参与评审的价格=投标报价-小微企业价格扣除优惠值（如有）。</w:t>
            </w:r>
          </w:p>
          <w:p w14:paraId="2AA4E7BA">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参与评审的价格为评标基准价的其价格得分得满分30分。</w:t>
            </w:r>
          </w:p>
          <w:p w14:paraId="13C84912">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其他供应商价格得分按照下列公式计算：</w:t>
            </w:r>
          </w:p>
          <w:p w14:paraId="2D13C313">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价格得分=（评标基准价/参与评审的价格）×30%×100。</w:t>
            </w:r>
          </w:p>
        </w:tc>
        <w:tc>
          <w:tcPr>
            <w:tcW w:w="712" w:type="dxa"/>
            <w:noWrap w:val="0"/>
            <w:vAlign w:val="center"/>
          </w:tcPr>
          <w:p w14:paraId="5F1D2EDA">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30</w:t>
            </w:r>
          </w:p>
        </w:tc>
        <w:tc>
          <w:tcPr>
            <w:tcW w:w="774" w:type="dxa"/>
            <w:noWrap w:val="0"/>
            <w:vAlign w:val="center"/>
          </w:tcPr>
          <w:p w14:paraId="468F6A43">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客观评审</w:t>
            </w:r>
          </w:p>
        </w:tc>
      </w:tr>
      <w:tr w14:paraId="3BB35E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39" w:type="dxa"/>
            <w:vMerge w:val="restart"/>
            <w:noWrap w:val="0"/>
            <w:vAlign w:val="center"/>
          </w:tcPr>
          <w:p w14:paraId="4C10254E">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商务技术</w:t>
            </w:r>
            <w:r>
              <w:rPr>
                <w:rFonts w:hint="eastAsia" w:ascii="宋体" w:hAnsi="宋体" w:eastAsia="宋体" w:cs="宋体"/>
                <w:color w:val="auto"/>
                <w:kern w:val="0"/>
                <w:sz w:val="24"/>
                <w:szCs w:val="24"/>
                <w:highlight w:val="none"/>
              </w:rPr>
              <w:t>分</w:t>
            </w:r>
          </w:p>
          <w:p w14:paraId="33D133BD">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70</w:t>
            </w:r>
            <w:r>
              <w:rPr>
                <w:rFonts w:hint="eastAsia" w:ascii="宋体" w:hAnsi="宋体" w:eastAsia="宋体" w:cs="宋体"/>
                <w:color w:val="auto"/>
                <w:kern w:val="0"/>
                <w:sz w:val="24"/>
                <w:szCs w:val="24"/>
                <w:highlight w:val="none"/>
              </w:rPr>
              <w:t>分</w:t>
            </w:r>
          </w:p>
        </w:tc>
        <w:tc>
          <w:tcPr>
            <w:tcW w:w="6504" w:type="dxa"/>
            <w:gridSpan w:val="3"/>
            <w:noWrap w:val="0"/>
            <w:vAlign w:val="center"/>
          </w:tcPr>
          <w:p w14:paraId="466B31D7">
            <w:pPr>
              <w:keepNext w:val="0"/>
              <w:keepLines w:val="0"/>
              <w:pageBreakBefore w:val="0"/>
              <w:widowControl/>
              <w:numPr>
                <w:ilvl w:val="0"/>
                <w:numId w:val="3"/>
              </w:numPr>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投标产品完全符合招标文件第四部分 采购需求 二、招标产品清单 参数规格要求的得满分13分，每负偏离一项的扣2分。</w:t>
            </w:r>
          </w:p>
          <w:p w14:paraId="52F52FA5">
            <w:pPr>
              <w:keepNext w:val="0"/>
              <w:keepLines w:val="0"/>
              <w:pageBreakBefore w:val="0"/>
              <w:widowControl/>
              <w:numPr>
                <w:ilvl w:val="0"/>
                <w:numId w:val="0"/>
              </w:numPr>
              <w:kinsoku/>
              <w:wordWrap/>
              <w:overflowPunct/>
              <w:topLinePunct w:val="0"/>
              <w:bidi w:val="0"/>
              <w:adjustRightInd/>
              <w:snapToGrid/>
              <w:spacing w:line="240" w:lineRule="auto"/>
              <w:jc w:val="left"/>
              <w:textAlignment w:val="auto"/>
              <w:outlineLvl w:val="9"/>
              <w:rPr>
                <w:rFonts w:hint="default" w:ascii="宋体" w:hAnsi="宋体" w:eastAsia="宋体" w:cs="宋体"/>
                <w:bCs/>
                <w:color w:val="auto"/>
                <w:kern w:val="0"/>
                <w:sz w:val="24"/>
                <w:szCs w:val="24"/>
                <w:highlight w:val="none"/>
                <w:lang w:val="en-US"/>
              </w:rPr>
            </w:pPr>
            <w:r>
              <w:rPr>
                <w:rFonts w:hint="eastAsia" w:ascii="宋体" w:hAnsi="宋体" w:eastAsia="宋体" w:cs="宋体"/>
                <w:b/>
                <w:bCs/>
                <w:color w:val="auto"/>
                <w:kern w:val="0"/>
                <w:sz w:val="24"/>
                <w:szCs w:val="24"/>
                <w:highlight w:val="none"/>
                <w:lang w:val="en-US" w:eastAsia="zh-CN"/>
              </w:rPr>
              <w:t>注：当有供应商此项分值扣减至0分时，该供应商投标将被拒绝，其投标文件作无效标处理，不再进行评审。</w:t>
            </w:r>
          </w:p>
        </w:tc>
        <w:tc>
          <w:tcPr>
            <w:tcW w:w="712" w:type="dxa"/>
            <w:noWrap w:val="0"/>
            <w:vAlign w:val="center"/>
          </w:tcPr>
          <w:p w14:paraId="62CC821A">
            <w:pPr>
              <w:keepNext w:val="0"/>
              <w:keepLines w:val="0"/>
              <w:pageBreakBefore w:val="0"/>
              <w:widowControl/>
              <w:kinsoku/>
              <w:wordWrap/>
              <w:overflowPunct/>
              <w:topLinePunct w:val="0"/>
              <w:bidi w:val="0"/>
              <w:adjustRightInd/>
              <w:snapToGrid/>
              <w:spacing w:line="240" w:lineRule="auto"/>
              <w:jc w:val="center"/>
              <w:textAlignment w:val="auto"/>
              <w:outlineLvl w:val="9"/>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13</w:t>
            </w:r>
          </w:p>
        </w:tc>
        <w:tc>
          <w:tcPr>
            <w:tcW w:w="774" w:type="dxa"/>
            <w:noWrap w:val="0"/>
            <w:vAlign w:val="center"/>
          </w:tcPr>
          <w:p w14:paraId="3C7353E8">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客观评审</w:t>
            </w:r>
          </w:p>
        </w:tc>
      </w:tr>
      <w:tr w14:paraId="274B3B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48" w:hRule="atLeast"/>
          <w:jc w:val="center"/>
        </w:trPr>
        <w:tc>
          <w:tcPr>
            <w:tcW w:w="839" w:type="dxa"/>
            <w:vMerge w:val="continue"/>
            <w:noWrap w:val="0"/>
            <w:vAlign w:val="center"/>
          </w:tcPr>
          <w:p w14:paraId="01BDFB18">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rPr>
            </w:pPr>
          </w:p>
        </w:tc>
        <w:tc>
          <w:tcPr>
            <w:tcW w:w="1034" w:type="dxa"/>
            <w:vMerge w:val="restart"/>
            <w:noWrap w:val="0"/>
            <w:vAlign w:val="center"/>
          </w:tcPr>
          <w:p w14:paraId="55CA5C0C">
            <w:pPr>
              <w:keepNext w:val="0"/>
              <w:keepLines w:val="0"/>
              <w:pageBreakBefore w:val="0"/>
              <w:widowControl/>
              <w:kinsoku/>
              <w:wordWrap/>
              <w:overflowPunct/>
              <w:topLinePunct w:val="0"/>
              <w:bidi w:val="0"/>
              <w:adjustRightInd/>
              <w:snapToGrid/>
              <w:spacing w:line="240" w:lineRule="auto"/>
              <w:jc w:val="left"/>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2、样品分</w:t>
            </w:r>
          </w:p>
        </w:tc>
        <w:tc>
          <w:tcPr>
            <w:tcW w:w="5470" w:type="dxa"/>
            <w:gridSpan w:val="2"/>
            <w:noWrap w:val="0"/>
            <w:vAlign w:val="center"/>
          </w:tcPr>
          <w:p w14:paraId="3C7FE229">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根据</w:t>
            </w:r>
            <w:r>
              <w:rPr>
                <w:rFonts w:hint="eastAsia" w:ascii="宋体" w:hAnsi="宋体" w:eastAsia="宋体" w:cs="宋体"/>
                <w:color w:val="auto"/>
                <w:kern w:val="0"/>
                <w:sz w:val="24"/>
                <w:szCs w:val="24"/>
                <w:highlight w:val="none"/>
                <w:lang w:val="en-US" w:eastAsia="zh-CN"/>
              </w:rPr>
              <w:t>供应商提供的包装盒或环保袋样品外观设计</w:t>
            </w:r>
            <w:r>
              <w:rPr>
                <w:rFonts w:hint="eastAsia" w:ascii="宋体" w:hAnsi="宋体" w:eastAsia="宋体" w:cs="宋体"/>
                <w:color w:val="auto"/>
                <w:kern w:val="0"/>
                <w:sz w:val="24"/>
                <w:szCs w:val="24"/>
                <w:highlight w:val="none"/>
              </w:rPr>
              <w:t>情况</w:t>
            </w:r>
            <w:r>
              <w:rPr>
                <w:rFonts w:hint="eastAsia" w:ascii="宋体" w:hAnsi="宋体" w:eastAsia="宋体" w:cs="宋体"/>
                <w:color w:val="auto"/>
                <w:kern w:val="0"/>
                <w:sz w:val="24"/>
                <w:szCs w:val="24"/>
                <w:highlight w:val="none"/>
                <w:lang w:val="en-US" w:eastAsia="zh-CN"/>
              </w:rPr>
              <w:t>进行评议。</w:t>
            </w:r>
          </w:p>
          <w:p w14:paraId="53B83661">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设计新颖美观，体现项目特色，容量完全满足项目要求，方便携带的得4分；</w:t>
            </w:r>
          </w:p>
          <w:p w14:paraId="17EB86B6">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设计较美观，较好贴合项目使用实际情况，容量可满足项目要求，较方便携带的得3分；</w:t>
            </w:r>
          </w:p>
          <w:p w14:paraId="792F6EAE">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有设计但与本项目特色不贴切，容量基本满足项目要求，可携带的得2分；</w:t>
            </w:r>
          </w:p>
          <w:p w14:paraId="1FFA1B4C">
            <w:pPr>
              <w:keepNext w:val="0"/>
              <w:keepLines w:val="0"/>
              <w:pageBreakBefore w:val="0"/>
              <w:widowControl/>
              <w:kinsoku/>
              <w:wordWrap/>
              <w:overflowPunct/>
              <w:topLinePunct w:val="0"/>
              <w:bidi w:val="0"/>
              <w:adjustRightInd/>
              <w:snapToGrid/>
              <w:spacing w:line="240" w:lineRule="auto"/>
              <w:jc w:val="left"/>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仅进行文字印刷，未根据项目实际进行个性化设计，容量较小，不方便携带的得1分。</w:t>
            </w:r>
          </w:p>
        </w:tc>
        <w:tc>
          <w:tcPr>
            <w:tcW w:w="712" w:type="dxa"/>
            <w:noWrap w:val="0"/>
            <w:vAlign w:val="center"/>
          </w:tcPr>
          <w:p w14:paraId="463467EA">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4</w:t>
            </w:r>
          </w:p>
        </w:tc>
        <w:tc>
          <w:tcPr>
            <w:tcW w:w="774" w:type="dxa"/>
            <w:noWrap w:val="0"/>
            <w:vAlign w:val="center"/>
          </w:tcPr>
          <w:p w14:paraId="5E94ECE9">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主观评审</w:t>
            </w:r>
          </w:p>
        </w:tc>
      </w:tr>
      <w:tr w14:paraId="6408B8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48" w:hRule="atLeast"/>
          <w:jc w:val="center"/>
        </w:trPr>
        <w:tc>
          <w:tcPr>
            <w:tcW w:w="839" w:type="dxa"/>
            <w:vMerge w:val="continue"/>
            <w:noWrap w:val="0"/>
            <w:vAlign w:val="center"/>
          </w:tcPr>
          <w:p w14:paraId="0745CF87">
            <w:pPr>
              <w:keepNext w:val="0"/>
              <w:keepLines w:val="0"/>
              <w:pageBreakBefore w:val="0"/>
              <w:widowControl/>
              <w:kinsoku/>
              <w:wordWrap/>
              <w:overflowPunct/>
              <w:topLinePunct w:val="0"/>
              <w:bidi w:val="0"/>
              <w:adjustRightInd/>
              <w:snapToGrid/>
              <w:spacing w:line="240" w:lineRule="auto"/>
              <w:jc w:val="center"/>
              <w:textAlignment w:val="auto"/>
              <w:outlineLvl w:val="9"/>
              <w:rPr>
                <w:rFonts w:eastAsia="宋体"/>
                <w:color w:val="auto"/>
                <w:highlight w:val="none"/>
              </w:rPr>
            </w:pPr>
          </w:p>
        </w:tc>
        <w:tc>
          <w:tcPr>
            <w:tcW w:w="1034" w:type="dxa"/>
            <w:vMerge w:val="continue"/>
            <w:noWrap w:val="0"/>
            <w:vAlign w:val="center"/>
          </w:tcPr>
          <w:p w14:paraId="0203894F">
            <w:pPr>
              <w:keepNext w:val="0"/>
              <w:keepLines w:val="0"/>
              <w:pageBreakBefore w:val="0"/>
              <w:widowControl/>
              <w:kinsoku/>
              <w:wordWrap/>
              <w:overflowPunct/>
              <w:topLinePunct w:val="0"/>
              <w:bidi w:val="0"/>
              <w:adjustRightInd/>
              <w:snapToGrid/>
              <w:spacing w:line="240" w:lineRule="auto"/>
              <w:jc w:val="center"/>
              <w:textAlignment w:val="auto"/>
              <w:outlineLvl w:val="9"/>
              <w:rPr>
                <w:rFonts w:eastAsia="宋体"/>
                <w:color w:val="auto"/>
                <w:highlight w:val="none"/>
              </w:rPr>
            </w:pPr>
          </w:p>
        </w:tc>
        <w:tc>
          <w:tcPr>
            <w:tcW w:w="5470" w:type="dxa"/>
            <w:gridSpan w:val="2"/>
            <w:noWrap w:val="0"/>
            <w:vAlign w:val="center"/>
          </w:tcPr>
          <w:p w14:paraId="4660B313">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根据</w:t>
            </w:r>
            <w:r>
              <w:rPr>
                <w:rFonts w:hint="eastAsia" w:ascii="宋体" w:hAnsi="宋体" w:eastAsia="宋体" w:cs="宋体"/>
                <w:color w:val="auto"/>
                <w:kern w:val="0"/>
                <w:sz w:val="24"/>
                <w:szCs w:val="24"/>
                <w:highlight w:val="none"/>
                <w:lang w:val="en-US" w:eastAsia="zh-CN"/>
              </w:rPr>
              <w:t>供应商提供的包装盒或环保袋样品质量</w:t>
            </w:r>
            <w:r>
              <w:rPr>
                <w:rFonts w:hint="eastAsia" w:ascii="宋体" w:hAnsi="宋体" w:eastAsia="宋体" w:cs="宋体"/>
                <w:color w:val="auto"/>
                <w:kern w:val="0"/>
                <w:sz w:val="24"/>
                <w:szCs w:val="24"/>
                <w:highlight w:val="none"/>
              </w:rPr>
              <w:t>情况</w:t>
            </w:r>
            <w:r>
              <w:rPr>
                <w:rFonts w:hint="eastAsia" w:ascii="宋体" w:hAnsi="宋体" w:eastAsia="宋体" w:cs="宋体"/>
                <w:color w:val="auto"/>
                <w:kern w:val="0"/>
                <w:sz w:val="24"/>
                <w:szCs w:val="24"/>
                <w:highlight w:val="none"/>
                <w:lang w:val="en-US" w:eastAsia="zh-CN"/>
              </w:rPr>
              <w:t>进行评议。</w:t>
            </w:r>
          </w:p>
          <w:p w14:paraId="39B48370">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材质结实、耐用，可多次反复使用的得3分；</w:t>
            </w:r>
          </w:p>
          <w:p w14:paraId="0E8B33A8">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材质一般、可使用次数有限的得2分；</w:t>
            </w:r>
          </w:p>
          <w:p w14:paraId="05C452FC">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材质纤薄仅为一次性使用的得1分。</w:t>
            </w:r>
          </w:p>
        </w:tc>
        <w:tc>
          <w:tcPr>
            <w:tcW w:w="712" w:type="dxa"/>
            <w:noWrap w:val="0"/>
            <w:vAlign w:val="center"/>
          </w:tcPr>
          <w:p w14:paraId="2570E078">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3</w:t>
            </w:r>
          </w:p>
        </w:tc>
        <w:tc>
          <w:tcPr>
            <w:tcW w:w="774" w:type="dxa"/>
            <w:noWrap w:val="0"/>
            <w:vAlign w:val="center"/>
          </w:tcPr>
          <w:p w14:paraId="3467547D">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主观评审</w:t>
            </w:r>
          </w:p>
        </w:tc>
      </w:tr>
      <w:tr w14:paraId="3942D4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48" w:hRule="atLeast"/>
          <w:jc w:val="center"/>
        </w:trPr>
        <w:tc>
          <w:tcPr>
            <w:tcW w:w="839" w:type="dxa"/>
            <w:vMerge w:val="continue"/>
            <w:noWrap w:val="0"/>
            <w:vAlign w:val="center"/>
          </w:tcPr>
          <w:p w14:paraId="43B3B523">
            <w:pPr>
              <w:keepNext w:val="0"/>
              <w:keepLines w:val="0"/>
              <w:pageBreakBefore w:val="0"/>
              <w:widowControl/>
              <w:kinsoku/>
              <w:wordWrap/>
              <w:overflowPunct/>
              <w:topLinePunct w:val="0"/>
              <w:bidi w:val="0"/>
              <w:adjustRightInd/>
              <w:snapToGrid/>
              <w:spacing w:line="240" w:lineRule="auto"/>
              <w:jc w:val="center"/>
              <w:textAlignment w:val="auto"/>
              <w:outlineLvl w:val="9"/>
              <w:rPr>
                <w:rFonts w:eastAsia="宋体"/>
                <w:color w:val="auto"/>
                <w:highlight w:val="none"/>
              </w:rPr>
            </w:pPr>
          </w:p>
        </w:tc>
        <w:tc>
          <w:tcPr>
            <w:tcW w:w="1034" w:type="dxa"/>
            <w:vMerge w:val="continue"/>
            <w:noWrap w:val="0"/>
            <w:vAlign w:val="center"/>
          </w:tcPr>
          <w:p w14:paraId="450EF163">
            <w:pPr>
              <w:keepNext w:val="0"/>
              <w:keepLines w:val="0"/>
              <w:pageBreakBefore w:val="0"/>
              <w:widowControl/>
              <w:kinsoku/>
              <w:wordWrap/>
              <w:overflowPunct/>
              <w:topLinePunct w:val="0"/>
              <w:bidi w:val="0"/>
              <w:adjustRightInd/>
              <w:snapToGrid/>
              <w:spacing w:line="240" w:lineRule="auto"/>
              <w:jc w:val="center"/>
              <w:textAlignment w:val="auto"/>
              <w:outlineLvl w:val="9"/>
              <w:rPr>
                <w:rFonts w:eastAsia="宋体"/>
                <w:color w:val="auto"/>
                <w:highlight w:val="none"/>
              </w:rPr>
            </w:pPr>
          </w:p>
        </w:tc>
        <w:tc>
          <w:tcPr>
            <w:tcW w:w="5470" w:type="dxa"/>
            <w:gridSpan w:val="2"/>
            <w:noWrap w:val="0"/>
            <w:vAlign w:val="center"/>
          </w:tcPr>
          <w:p w14:paraId="2FAA0938">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根据</w:t>
            </w:r>
            <w:r>
              <w:rPr>
                <w:rFonts w:hint="eastAsia" w:ascii="宋体" w:hAnsi="宋体" w:eastAsia="宋体" w:cs="宋体"/>
                <w:color w:val="auto"/>
                <w:kern w:val="0"/>
                <w:sz w:val="24"/>
                <w:szCs w:val="24"/>
                <w:highlight w:val="none"/>
                <w:lang w:val="en-US" w:eastAsia="zh-CN"/>
              </w:rPr>
              <w:t>供应商提供的毛巾样品质量</w:t>
            </w:r>
            <w:r>
              <w:rPr>
                <w:rFonts w:hint="eastAsia" w:ascii="宋体" w:hAnsi="宋体" w:eastAsia="宋体" w:cs="宋体"/>
                <w:color w:val="auto"/>
                <w:kern w:val="0"/>
                <w:sz w:val="24"/>
                <w:szCs w:val="24"/>
                <w:highlight w:val="none"/>
              </w:rPr>
              <w:t>情况</w:t>
            </w:r>
            <w:r>
              <w:rPr>
                <w:rFonts w:hint="eastAsia" w:ascii="宋体" w:hAnsi="宋体" w:eastAsia="宋体" w:cs="宋体"/>
                <w:color w:val="auto"/>
                <w:kern w:val="0"/>
                <w:sz w:val="24"/>
                <w:szCs w:val="24"/>
                <w:highlight w:val="none"/>
                <w:lang w:val="en-US" w:eastAsia="zh-CN"/>
              </w:rPr>
              <w:t>进行评议。</w:t>
            </w:r>
          </w:p>
          <w:p w14:paraId="25B7C33A">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材质织数高、手感柔软的得3分；</w:t>
            </w:r>
          </w:p>
          <w:p w14:paraId="3DC5EBA7">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材质织数一般、手感较柔软的得2分；</w:t>
            </w:r>
          </w:p>
          <w:p w14:paraId="793DD1BF">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材质织数低、材质纤薄，手感差的得1分。</w:t>
            </w:r>
          </w:p>
        </w:tc>
        <w:tc>
          <w:tcPr>
            <w:tcW w:w="712" w:type="dxa"/>
            <w:noWrap w:val="0"/>
            <w:vAlign w:val="center"/>
          </w:tcPr>
          <w:p w14:paraId="1A19C5F6">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3</w:t>
            </w:r>
          </w:p>
        </w:tc>
        <w:tc>
          <w:tcPr>
            <w:tcW w:w="774" w:type="dxa"/>
            <w:noWrap w:val="0"/>
            <w:vAlign w:val="center"/>
          </w:tcPr>
          <w:p w14:paraId="3C7B0C57">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主观评审</w:t>
            </w:r>
          </w:p>
        </w:tc>
      </w:tr>
      <w:tr w14:paraId="4165FE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1" w:hRule="atLeast"/>
          <w:jc w:val="center"/>
        </w:trPr>
        <w:tc>
          <w:tcPr>
            <w:tcW w:w="839" w:type="dxa"/>
            <w:vMerge w:val="continue"/>
            <w:noWrap w:val="0"/>
            <w:vAlign w:val="center"/>
          </w:tcPr>
          <w:p w14:paraId="6E9706B3">
            <w:pPr>
              <w:keepNext w:val="0"/>
              <w:keepLines w:val="0"/>
              <w:pageBreakBefore w:val="0"/>
              <w:widowControl/>
              <w:kinsoku/>
              <w:wordWrap/>
              <w:overflowPunct/>
              <w:topLinePunct w:val="0"/>
              <w:bidi w:val="0"/>
              <w:adjustRightInd/>
              <w:snapToGrid/>
              <w:spacing w:line="240" w:lineRule="auto"/>
              <w:jc w:val="center"/>
              <w:textAlignment w:val="auto"/>
              <w:outlineLvl w:val="9"/>
              <w:rPr>
                <w:rFonts w:eastAsia="宋体"/>
                <w:color w:val="auto"/>
                <w:highlight w:val="none"/>
              </w:rPr>
            </w:pPr>
          </w:p>
        </w:tc>
        <w:tc>
          <w:tcPr>
            <w:tcW w:w="1034" w:type="dxa"/>
            <w:vMerge w:val="continue"/>
            <w:noWrap w:val="0"/>
            <w:vAlign w:val="center"/>
          </w:tcPr>
          <w:p w14:paraId="1757CB5B">
            <w:pPr>
              <w:keepNext w:val="0"/>
              <w:keepLines w:val="0"/>
              <w:pageBreakBefore w:val="0"/>
              <w:widowControl/>
              <w:kinsoku/>
              <w:wordWrap/>
              <w:overflowPunct/>
              <w:topLinePunct w:val="0"/>
              <w:bidi w:val="0"/>
              <w:adjustRightInd/>
              <w:snapToGrid/>
              <w:spacing w:line="240" w:lineRule="auto"/>
              <w:jc w:val="center"/>
              <w:textAlignment w:val="auto"/>
              <w:outlineLvl w:val="9"/>
              <w:rPr>
                <w:rFonts w:eastAsia="宋体"/>
                <w:color w:val="auto"/>
                <w:highlight w:val="none"/>
              </w:rPr>
            </w:pPr>
          </w:p>
        </w:tc>
        <w:tc>
          <w:tcPr>
            <w:tcW w:w="5470" w:type="dxa"/>
            <w:gridSpan w:val="2"/>
            <w:noWrap w:val="0"/>
            <w:vAlign w:val="center"/>
          </w:tcPr>
          <w:p w14:paraId="4E3A397D">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根据</w:t>
            </w:r>
            <w:r>
              <w:rPr>
                <w:rFonts w:hint="eastAsia" w:ascii="宋体" w:hAnsi="宋体" w:eastAsia="宋体" w:cs="宋体"/>
                <w:color w:val="auto"/>
                <w:kern w:val="0"/>
                <w:sz w:val="24"/>
                <w:szCs w:val="24"/>
                <w:highlight w:val="none"/>
                <w:lang w:val="en-US" w:eastAsia="zh-CN"/>
              </w:rPr>
              <w:t>供应商提供的牙刷样品质量</w:t>
            </w:r>
            <w:r>
              <w:rPr>
                <w:rFonts w:hint="eastAsia" w:ascii="宋体" w:hAnsi="宋体" w:eastAsia="宋体" w:cs="宋体"/>
                <w:color w:val="auto"/>
                <w:kern w:val="0"/>
                <w:sz w:val="24"/>
                <w:szCs w:val="24"/>
                <w:highlight w:val="none"/>
              </w:rPr>
              <w:t>情况</w:t>
            </w:r>
            <w:r>
              <w:rPr>
                <w:rFonts w:hint="eastAsia" w:ascii="宋体" w:hAnsi="宋体" w:eastAsia="宋体" w:cs="宋体"/>
                <w:color w:val="auto"/>
                <w:kern w:val="0"/>
                <w:sz w:val="24"/>
                <w:szCs w:val="24"/>
                <w:highlight w:val="none"/>
                <w:lang w:val="en-US" w:eastAsia="zh-CN"/>
              </w:rPr>
              <w:t>进行评议。</w:t>
            </w:r>
          </w:p>
          <w:p w14:paraId="5EC6AAE5">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刷毛柔软、握感舒适、材质做工佳的得2分；</w:t>
            </w:r>
          </w:p>
          <w:p w14:paraId="55DFC2B0">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刷毛硬、握感一般、材质做工一般的得1分。</w:t>
            </w:r>
          </w:p>
        </w:tc>
        <w:tc>
          <w:tcPr>
            <w:tcW w:w="712" w:type="dxa"/>
            <w:noWrap w:val="0"/>
            <w:vAlign w:val="center"/>
          </w:tcPr>
          <w:p w14:paraId="28DD19A2">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2</w:t>
            </w:r>
          </w:p>
        </w:tc>
        <w:tc>
          <w:tcPr>
            <w:tcW w:w="774" w:type="dxa"/>
            <w:noWrap w:val="0"/>
            <w:vAlign w:val="center"/>
          </w:tcPr>
          <w:p w14:paraId="5471F32E">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主观评审</w:t>
            </w:r>
          </w:p>
        </w:tc>
      </w:tr>
      <w:tr w14:paraId="24CED0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1" w:hRule="atLeast"/>
          <w:jc w:val="center"/>
        </w:trPr>
        <w:tc>
          <w:tcPr>
            <w:tcW w:w="839" w:type="dxa"/>
            <w:vMerge w:val="continue"/>
            <w:noWrap w:val="0"/>
            <w:vAlign w:val="center"/>
          </w:tcPr>
          <w:p w14:paraId="4180ECC1">
            <w:pPr>
              <w:keepNext w:val="0"/>
              <w:keepLines w:val="0"/>
              <w:pageBreakBefore w:val="0"/>
              <w:widowControl/>
              <w:kinsoku/>
              <w:wordWrap/>
              <w:overflowPunct/>
              <w:topLinePunct w:val="0"/>
              <w:bidi w:val="0"/>
              <w:adjustRightInd/>
              <w:snapToGrid/>
              <w:spacing w:line="240" w:lineRule="auto"/>
              <w:jc w:val="center"/>
              <w:textAlignment w:val="auto"/>
              <w:outlineLvl w:val="9"/>
              <w:rPr>
                <w:rFonts w:eastAsia="宋体"/>
                <w:color w:val="auto"/>
                <w:highlight w:val="none"/>
              </w:rPr>
            </w:pPr>
          </w:p>
        </w:tc>
        <w:tc>
          <w:tcPr>
            <w:tcW w:w="1034" w:type="dxa"/>
            <w:vMerge w:val="continue"/>
            <w:noWrap w:val="0"/>
            <w:vAlign w:val="center"/>
          </w:tcPr>
          <w:p w14:paraId="10A6226D">
            <w:pPr>
              <w:keepNext w:val="0"/>
              <w:keepLines w:val="0"/>
              <w:pageBreakBefore w:val="0"/>
              <w:widowControl/>
              <w:kinsoku/>
              <w:wordWrap/>
              <w:overflowPunct/>
              <w:topLinePunct w:val="0"/>
              <w:bidi w:val="0"/>
              <w:adjustRightInd/>
              <w:snapToGrid/>
              <w:spacing w:line="240" w:lineRule="auto"/>
              <w:jc w:val="center"/>
              <w:textAlignment w:val="auto"/>
              <w:outlineLvl w:val="9"/>
              <w:rPr>
                <w:rFonts w:eastAsia="宋体"/>
                <w:color w:val="auto"/>
                <w:highlight w:val="none"/>
              </w:rPr>
            </w:pPr>
          </w:p>
        </w:tc>
        <w:tc>
          <w:tcPr>
            <w:tcW w:w="5470" w:type="dxa"/>
            <w:gridSpan w:val="2"/>
            <w:noWrap w:val="0"/>
            <w:vAlign w:val="center"/>
          </w:tcPr>
          <w:p w14:paraId="4026A2DF">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根据</w:t>
            </w:r>
            <w:r>
              <w:rPr>
                <w:rFonts w:hint="eastAsia" w:ascii="宋体" w:hAnsi="宋体" w:eastAsia="宋体" w:cs="宋体"/>
                <w:color w:val="auto"/>
                <w:kern w:val="0"/>
                <w:sz w:val="24"/>
                <w:szCs w:val="24"/>
                <w:highlight w:val="none"/>
                <w:lang w:val="en-US" w:eastAsia="zh-CN"/>
              </w:rPr>
              <w:t>供应商提供的牙膏、沐浴露、洗发水、洗衣皂样品质量</w:t>
            </w:r>
            <w:r>
              <w:rPr>
                <w:rFonts w:hint="eastAsia" w:ascii="宋体" w:hAnsi="宋体" w:eastAsia="宋体" w:cs="宋体"/>
                <w:color w:val="auto"/>
                <w:kern w:val="0"/>
                <w:sz w:val="24"/>
                <w:szCs w:val="24"/>
                <w:highlight w:val="none"/>
              </w:rPr>
              <w:t>情况</w:t>
            </w:r>
            <w:r>
              <w:rPr>
                <w:rFonts w:hint="eastAsia" w:ascii="宋体" w:hAnsi="宋体" w:eastAsia="宋体" w:cs="宋体"/>
                <w:color w:val="auto"/>
                <w:kern w:val="0"/>
                <w:sz w:val="24"/>
                <w:szCs w:val="24"/>
                <w:highlight w:val="none"/>
                <w:lang w:val="en-US" w:eastAsia="zh-CN"/>
              </w:rPr>
              <w:t>进行评议。</w:t>
            </w:r>
          </w:p>
          <w:p w14:paraId="2F2CDC9D">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规格容量充足、味道清新的得3分；</w:t>
            </w:r>
          </w:p>
          <w:p w14:paraId="345A9393">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规格容量较充足、无刺鼻气味的得2分；</w:t>
            </w:r>
          </w:p>
          <w:p w14:paraId="187CA4F1">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规格容量一般或有刺鼻气味的得1分。</w:t>
            </w:r>
          </w:p>
        </w:tc>
        <w:tc>
          <w:tcPr>
            <w:tcW w:w="712" w:type="dxa"/>
            <w:noWrap w:val="0"/>
            <w:vAlign w:val="center"/>
          </w:tcPr>
          <w:p w14:paraId="2CE056F7">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3</w:t>
            </w:r>
          </w:p>
        </w:tc>
        <w:tc>
          <w:tcPr>
            <w:tcW w:w="774" w:type="dxa"/>
            <w:noWrap w:val="0"/>
            <w:vAlign w:val="center"/>
          </w:tcPr>
          <w:p w14:paraId="6301885A">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主观评审</w:t>
            </w:r>
          </w:p>
        </w:tc>
      </w:tr>
      <w:tr w14:paraId="314EA6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39" w:type="dxa"/>
            <w:vMerge w:val="continue"/>
            <w:noWrap w:val="0"/>
            <w:vAlign w:val="center"/>
          </w:tcPr>
          <w:p w14:paraId="07A398FF">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rPr>
            </w:pPr>
          </w:p>
        </w:tc>
        <w:tc>
          <w:tcPr>
            <w:tcW w:w="6504" w:type="dxa"/>
            <w:gridSpan w:val="3"/>
            <w:noWrap w:val="0"/>
            <w:vAlign w:val="center"/>
          </w:tcPr>
          <w:p w14:paraId="6AA0C5BD">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3、根据本项目服务对象和服务环境的特殊性，结合供应商自身特点，制定的货源及供货保障措施进行评议：</w:t>
            </w:r>
          </w:p>
          <w:p w14:paraId="7B3D537A">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措施合理，针对性强的，得5分；</w:t>
            </w:r>
          </w:p>
          <w:p w14:paraId="711322FF">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措施较合理，针对性较强的，得4分；</w:t>
            </w:r>
          </w:p>
          <w:p w14:paraId="3F86895E">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措施基本合理，具有针对性的，得3分；</w:t>
            </w:r>
          </w:p>
          <w:p w14:paraId="26BE565C">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措施一般，针对性较差的，得2分；</w:t>
            </w:r>
          </w:p>
          <w:p w14:paraId="6B192501">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措施差，针对性差的，得1分；</w:t>
            </w:r>
          </w:p>
          <w:p w14:paraId="6703DD85">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未提供相关说明的本项不得分。</w:t>
            </w:r>
          </w:p>
        </w:tc>
        <w:tc>
          <w:tcPr>
            <w:tcW w:w="712" w:type="dxa"/>
            <w:noWrap w:val="0"/>
            <w:vAlign w:val="center"/>
          </w:tcPr>
          <w:p w14:paraId="6DF931DE">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5</w:t>
            </w:r>
          </w:p>
        </w:tc>
        <w:tc>
          <w:tcPr>
            <w:tcW w:w="774" w:type="dxa"/>
            <w:noWrap w:val="0"/>
            <w:vAlign w:val="center"/>
          </w:tcPr>
          <w:p w14:paraId="64ACED0B">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主观评审</w:t>
            </w:r>
          </w:p>
        </w:tc>
      </w:tr>
      <w:tr w14:paraId="70E970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39" w:type="dxa"/>
            <w:vMerge w:val="continue"/>
            <w:noWrap w:val="0"/>
            <w:vAlign w:val="center"/>
          </w:tcPr>
          <w:p w14:paraId="11AF4C95">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rPr>
            </w:pPr>
          </w:p>
        </w:tc>
        <w:tc>
          <w:tcPr>
            <w:tcW w:w="6504" w:type="dxa"/>
            <w:gridSpan w:val="3"/>
            <w:noWrap w:val="0"/>
            <w:vAlign w:val="center"/>
          </w:tcPr>
          <w:p w14:paraId="219EA9E1">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4、配送能力：根据供应商车辆配置情况或物流方案、分批配送服务方案进行评议：</w:t>
            </w:r>
          </w:p>
          <w:p w14:paraId="62B0B923">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车辆配置合理，有自有车辆或提供完善的物流配送方案的，分批配送服务方案可行性、针对性强的，得5分；</w:t>
            </w:r>
          </w:p>
          <w:p w14:paraId="37D0D704">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车辆配置较合理或物流配送方案较完善的，分批配送服务方案可行性、针对性较强的，得4分；</w:t>
            </w:r>
          </w:p>
          <w:p w14:paraId="3D2506B4">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车辆配置基本合理，车辆均为租赁或提供的物流配送方案可行但存在一点漏洞，分批配送服务方案具有可行性、针对性的，得3分；</w:t>
            </w:r>
          </w:p>
          <w:p w14:paraId="739AD50C">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配送方案一般，分批配送服务方案可行性、针对性较差的，得2分；</w:t>
            </w:r>
          </w:p>
          <w:p w14:paraId="48E72257">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无配送车辆，分批配送服务方案可行性、针对性差的，得1分；</w:t>
            </w:r>
          </w:p>
          <w:p w14:paraId="59D8A654">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未提供相关说明的本项不得分。</w:t>
            </w:r>
          </w:p>
        </w:tc>
        <w:tc>
          <w:tcPr>
            <w:tcW w:w="712" w:type="dxa"/>
            <w:noWrap w:val="0"/>
            <w:vAlign w:val="center"/>
          </w:tcPr>
          <w:p w14:paraId="407D12BA">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774" w:type="dxa"/>
            <w:noWrap w:val="0"/>
            <w:vAlign w:val="center"/>
          </w:tcPr>
          <w:p w14:paraId="3EBDE1D0">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主观评审</w:t>
            </w:r>
          </w:p>
        </w:tc>
      </w:tr>
      <w:tr w14:paraId="662ED0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3" w:hRule="atLeast"/>
          <w:jc w:val="center"/>
        </w:trPr>
        <w:tc>
          <w:tcPr>
            <w:tcW w:w="839" w:type="dxa"/>
            <w:vMerge w:val="continue"/>
            <w:noWrap w:val="0"/>
            <w:vAlign w:val="center"/>
          </w:tcPr>
          <w:p w14:paraId="05B6C566">
            <w:pPr>
              <w:keepNext w:val="0"/>
              <w:keepLines w:val="0"/>
              <w:pageBreakBefore w:val="0"/>
              <w:widowControl/>
              <w:kinsoku/>
              <w:wordWrap/>
              <w:overflowPunct/>
              <w:topLinePunct w:val="0"/>
              <w:autoSpaceDE w:val="0"/>
              <w:autoSpaceDN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rPr>
            </w:pPr>
          </w:p>
        </w:tc>
        <w:tc>
          <w:tcPr>
            <w:tcW w:w="6504" w:type="dxa"/>
            <w:gridSpan w:val="3"/>
            <w:noWrap w:val="0"/>
            <w:vAlign w:val="center"/>
          </w:tcPr>
          <w:p w14:paraId="64C15F03">
            <w:pPr>
              <w:keepNext w:val="0"/>
              <w:keepLines w:val="0"/>
              <w:pageBreakBefore w:val="0"/>
              <w:widowControl/>
              <w:numPr>
                <w:ilvl w:val="0"/>
                <w:numId w:val="4"/>
              </w:numPr>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质量保障措施：对供应商提供的质量保证措施的合理性、可行性、有效性进行评议。</w:t>
            </w:r>
          </w:p>
          <w:p w14:paraId="06808657">
            <w:pPr>
              <w:keepNext w:val="0"/>
              <w:keepLines w:val="0"/>
              <w:pageBreakBefore w:val="0"/>
              <w:widowControl/>
              <w:numPr>
                <w:ilvl w:val="0"/>
                <w:numId w:val="0"/>
              </w:numPr>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措施合理，可行性、有效性强的，得5分；</w:t>
            </w:r>
          </w:p>
          <w:p w14:paraId="5BEEF20C">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措施较合理，可行性、有效性较强的，得4分；</w:t>
            </w:r>
          </w:p>
          <w:p w14:paraId="2A3349B4">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措施基本合理，具有可行性、有效性的，得3分；</w:t>
            </w:r>
          </w:p>
          <w:p w14:paraId="09E639F5">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措施一般，可行性、有效性较差的，得2分；</w:t>
            </w:r>
          </w:p>
          <w:p w14:paraId="0F345D1C">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措施差，可行性、有效性差的，得1分；</w:t>
            </w:r>
          </w:p>
          <w:p w14:paraId="6D0478FE">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未提供相关说明的本项不得分。</w:t>
            </w:r>
          </w:p>
        </w:tc>
        <w:tc>
          <w:tcPr>
            <w:tcW w:w="712" w:type="dxa"/>
            <w:noWrap w:val="0"/>
            <w:vAlign w:val="center"/>
          </w:tcPr>
          <w:p w14:paraId="6BADA784">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774" w:type="dxa"/>
            <w:noWrap w:val="0"/>
            <w:vAlign w:val="center"/>
          </w:tcPr>
          <w:p w14:paraId="72830A9C">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主观评审</w:t>
            </w:r>
          </w:p>
        </w:tc>
      </w:tr>
      <w:tr w14:paraId="485166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3" w:hRule="atLeast"/>
          <w:jc w:val="center"/>
        </w:trPr>
        <w:tc>
          <w:tcPr>
            <w:tcW w:w="839" w:type="dxa"/>
            <w:vMerge w:val="continue"/>
            <w:noWrap w:val="0"/>
            <w:vAlign w:val="center"/>
          </w:tcPr>
          <w:p w14:paraId="5A06AD49">
            <w:pPr>
              <w:keepNext w:val="0"/>
              <w:keepLines w:val="0"/>
              <w:pageBreakBefore w:val="0"/>
              <w:widowControl/>
              <w:kinsoku/>
              <w:wordWrap/>
              <w:overflowPunct/>
              <w:topLinePunct w:val="0"/>
              <w:autoSpaceDE w:val="0"/>
              <w:autoSpaceDN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rPr>
            </w:pPr>
          </w:p>
        </w:tc>
        <w:tc>
          <w:tcPr>
            <w:tcW w:w="6504" w:type="dxa"/>
            <w:gridSpan w:val="3"/>
            <w:shd w:val="clear" w:color="auto" w:fill="auto"/>
            <w:noWrap w:val="0"/>
            <w:vAlign w:val="center"/>
          </w:tcPr>
          <w:p w14:paraId="32F1FCC2">
            <w:pPr>
              <w:keepNext w:val="0"/>
              <w:keepLines w:val="0"/>
              <w:pageBreakBefore w:val="0"/>
              <w:widowControl/>
              <w:numPr>
                <w:ilvl w:val="0"/>
                <w:numId w:val="4"/>
              </w:numPr>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验收方案：对供应商提供的验收方案的合理性、可行性、有效性进行评议。</w:t>
            </w:r>
          </w:p>
          <w:p w14:paraId="112B9984">
            <w:pPr>
              <w:keepNext w:val="0"/>
              <w:keepLines w:val="0"/>
              <w:pageBreakBefore w:val="0"/>
              <w:widowControl/>
              <w:numPr>
                <w:ilvl w:val="0"/>
                <w:numId w:val="0"/>
              </w:numPr>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措施合理，可行性、有效性强的，得5分；</w:t>
            </w:r>
          </w:p>
          <w:p w14:paraId="35ABE402">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措施较合理，可行性、有效性较强的，得4分；</w:t>
            </w:r>
          </w:p>
          <w:p w14:paraId="6421FF5A">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措施基本合理，具有可行性、有效性的，得3分；</w:t>
            </w:r>
          </w:p>
          <w:p w14:paraId="35B0BEBA">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措施一般，可行性、有效性较差的，得2分；</w:t>
            </w:r>
          </w:p>
          <w:p w14:paraId="6CCDCFF8">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措施差，可行性、有效性差的，得1分；</w:t>
            </w:r>
          </w:p>
          <w:p w14:paraId="53B934C2">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未提供相关说明的本项不得分。</w:t>
            </w:r>
          </w:p>
        </w:tc>
        <w:tc>
          <w:tcPr>
            <w:tcW w:w="712" w:type="dxa"/>
            <w:shd w:val="clear" w:color="auto" w:fill="auto"/>
            <w:noWrap w:val="0"/>
            <w:vAlign w:val="center"/>
          </w:tcPr>
          <w:p w14:paraId="7BCB1A9F">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5</w:t>
            </w:r>
          </w:p>
        </w:tc>
        <w:tc>
          <w:tcPr>
            <w:tcW w:w="774" w:type="dxa"/>
            <w:shd w:val="clear" w:color="auto" w:fill="auto"/>
            <w:noWrap w:val="0"/>
            <w:vAlign w:val="center"/>
          </w:tcPr>
          <w:p w14:paraId="5887C5DD">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主观评审</w:t>
            </w:r>
          </w:p>
        </w:tc>
      </w:tr>
      <w:tr w14:paraId="750C8E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39" w:type="dxa"/>
            <w:vMerge w:val="continue"/>
            <w:noWrap w:val="0"/>
            <w:vAlign w:val="center"/>
          </w:tcPr>
          <w:p w14:paraId="22BBF011">
            <w:pPr>
              <w:keepNext w:val="0"/>
              <w:keepLines w:val="0"/>
              <w:pageBreakBefore w:val="0"/>
              <w:widowControl/>
              <w:kinsoku/>
              <w:wordWrap/>
              <w:overflowPunct/>
              <w:topLinePunct w:val="0"/>
              <w:autoSpaceDE w:val="0"/>
              <w:autoSpaceDN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rPr>
            </w:pPr>
          </w:p>
        </w:tc>
        <w:tc>
          <w:tcPr>
            <w:tcW w:w="6504" w:type="dxa"/>
            <w:gridSpan w:val="3"/>
            <w:noWrap w:val="0"/>
            <w:vAlign w:val="center"/>
          </w:tcPr>
          <w:p w14:paraId="32AD4FB3">
            <w:pPr>
              <w:keepNext w:val="0"/>
              <w:keepLines w:val="0"/>
              <w:pageBreakBefore w:val="0"/>
              <w:widowControl/>
              <w:numPr>
                <w:ilvl w:val="0"/>
                <w:numId w:val="0"/>
              </w:numPr>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bidi="ar-SA"/>
              </w:rPr>
              <w:t>7、</w:t>
            </w:r>
            <w:r>
              <w:rPr>
                <w:rFonts w:hint="eastAsia" w:ascii="宋体" w:hAnsi="宋体" w:eastAsia="宋体" w:cs="宋体"/>
                <w:color w:val="auto"/>
                <w:kern w:val="0"/>
                <w:sz w:val="24"/>
                <w:szCs w:val="24"/>
                <w:highlight w:val="none"/>
                <w:lang w:val="en-US" w:eastAsia="zh-CN"/>
              </w:rPr>
              <w:t>应急方案：对供应商提供的应急方案（应急预案、紧急供货措施、应急对策措施等）的合理性、可行性、有效性进行评议</w:t>
            </w:r>
            <w:r>
              <w:rPr>
                <w:rFonts w:hint="eastAsia" w:ascii="宋体" w:hAnsi="宋体" w:eastAsia="宋体" w:cs="宋体"/>
                <w:color w:val="auto"/>
                <w:kern w:val="0"/>
                <w:sz w:val="24"/>
                <w:szCs w:val="24"/>
                <w:highlight w:val="none"/>
                <w:lang w:eastAsia="zh-CN"/>
              </w:rPr>
              <w:t>。</w:t>
            </w:r>
          </w:p>
          <w:p w14:paraId="178A06BA">
            <w:pPr>
              <w:keepNext w:val="0"/>
              <w:keepLines w:val="0"/>
              <w:pageBreakBefore w:val="0"/>
              <w:widowControl/>
              <w:numPr>
                <w:ilvl w:val="0"/>
                <w:numId w:val="0"/>
              </w:numPr>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措施合理，可行性、针对性强的，得5分；</w:t>
            </w:r>
          </w:p>
          <w:p w14:paraId="54D12F05">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措施较合理，可行性、针对性较强的，得4分；</w:t>
            </w:r>
          </w:p>
          <w:p w14:paraId="536216F1">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措施基本合理，具有可行性、针对性的，得3分；</w:t>
            </w:r>
          </w:p>
          <w:p w14:paraId="523915E9">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措施一般，可行性、针对性较差的，得2分；</w:t>
            </w:r>
          </w:p>
          <w:p w14:paraId="5721F807">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措施差，可行性、针对性差的，得1分；</w:t>
            </w:r>
          </w:p>
          <w:p w14:paraId="3BF68635">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未提供相关说明的本项不得分。</w:t>
            </w:r>
          </w:p>
        </w:tc>
        <w:tc>
          <w:tcPr>
            <w:tcW w:w="712" w:type="dxa"/>
            <w:noWrap w:val="0"/>
            <w:vAlign w:val="center"/>
          </w:tcPr>
          <w:p w14:paraId="018A01BA">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774" w:type="dxa"/>
            <w:noWrap w:val="0"/>
            <w:vAlign w:val="center"/>
          </w:tcPr>
          <w:p w14:paraId="056DAD5A">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主观评审</w:t>
            </w:r>
          </w:p>
        </w:tc>
      </w:tr>
      <w:tr w14:paraId="47FB76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39" w:type="dxa"/>
            <w:vMerge w:val="continue"/>
            <w:noWrap w:val="0"/>
            <w:vAlign w:val="center"/>
          </w:tcPr>
          <w:p w14:paraId="0562E0E1">
            <w:pPr>
              <w:keepNext w:val="0"/>
              <w:keepLines w:val="0"/>
              <w:pageBreakBefore w:val="0"/>
              <w:widowControl/>
              <w:kinsoku/>
              <w:wordWrap/>
              <w:overflowPunct/>
              <w:topLinePunct w:val="0"/>
              <w:autoSpaceDE w:val="0"/>
              <w:autoSpaceDN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rPr>
            </w:pPr>
          </w:p>
        </w:tc>
        <w:tc>
          <w:tcPr>
            <w:tcW w:w="6504" w:type="dxa"/>
            <w:gridSpan w:val="3"/>
            <w:noWrap w:val="0"/>
            <w:vAlign w:val="center"/>
          </w:tcPr>
          <w:p w14:paraId="29856458">
            <w:pPr>
              <w:keepNext w:val="0"/>
              <w:keepLines w:val="0"/>
              <w:pageBreakBefore w:val="0"/>
              <w:widowControl/>
              <w:numPr>
                <w:ilvl w:val="0"/>
                <w:numId w:val="0"/>
              </w:numPr>
              <w:kinsoku/>
              <w:wordWrap/>
              <w:overflowPunct/>
              <w:topLinePunct w:val="0"/>
              <w:bidi w:val="0"/>
              <w:adjustRightInd/>
              <w:snapToGrid/>
              <w:spacing w:line="240" w:lineRule="auto"/>
              <w:ind w:left="0" w:leftChars="0" w:firstLine="0" w:firstLineChars="0"/>
              <w:jc w:val="left"/>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bidi="ar-SA"/>
              </w:rPr>
              <w:t>8、</w:t>
            </w:r>
            <w:r>
              <w:rPr>
                <w:rFonts w:hint="eastAsia" w:ascii="宋体" w:hAnsi="宋体" w:eastAsia="宋体" w:cs="宋体"/>
                <w:color w:val="auto"/>
                <w:kern w:val="0"/>
                <w:sz w:val="24"/>
                <w:szCs w:val="24"/>
                <w:highlight w:val="none"/>
                <w:lang w:val="en-US" w:eastAsia="zh-CN"/>
              </w:rPr>
              <w:t>售后服务：为保证职工利益，根据供应商提供的退换货服务措施方案进行评议</w:t>
            </w:r>
            <w:r>
              <w:rPr>
                <w:rFonts w:hint="eastAsia" w:ascii="宋体" w:hAnsi="宋体" w:eastAsia="宋体" w:cs="宋体"/>
                <w:snapToGrid w:val="0"/>
                <w:color w:val="auto"/>
                <w:kern w:val="0"/>
                <w:sz w:val="24"/>
                <w:szCs w:val="24"/>
                <w:highlight w:val="none"/>
                <w:lang w:val="en-US" w:eastAsia="zh-CN"/>
              </w:rPr>
              <w:t>。</w:t>
            </w:r>
          </w:p>
          <w:p w14:paraId="01DF088F">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措施合理，可行性强的，得5分；</w:t>
            </w:r>
          </w:p>
          <w:p w14:paraId="2EF5D8B1">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措施较合理，可行性较强的，得4分；</w:t>
            </w:r>
          </w:p>
          <w:p w14:paraId="66593AA7">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措施基本合理，具有可行性的，得3分；</w:t>
            </w:r>
          </w:p>
          <w:p w14:paraId="73281EC5">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措施一般，可行性较差的，得2分；</w:t>
            </w:r>
          </w:p>
          <w:p w14:paraId="6FBE2C03">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措施差，可行性差的，得1分；</w:t>
            </w:r>
          </w:p>
          <w:p w14:paraId="6EA9E342">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未提供相关说明的本项不得分。</w:t>
            </w:r>
          </w:p>
        </w:tc>
        <w:tc>
          <w:tcPr>
            <w:tcW w:w="712" w:type="dxa"/>
            <w:noWrap w:val="0"/>
            <w:vAlign w:val="center"/>
          </w:tcPr>
          <w:p w14:paraId="1D6F1625">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774" w:type="dxa"/>
            <w:noWrap w:val="0"/>
            <w:vAlign w:val="center"/>
          </w:tcPr>
          <w:p w14:paraId="1EC382B9">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主观评审</w:t>
            </w:r>
          </w:p>
        </w:tc>
      </w:tr>
      <w:tr w14:paraId="508FCB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39" w:type="dxa"/>
            <w:vMerge w:val="continue"/>
            <w:noWrap w:val="0"/>
            <w:vAlign w:val="center"/>
          </w:tcPr>
          <w:p w14:paraId="6A867121">
            <w:pPr>
              <w:keepNext w:val="0"/>
              <w:keepLines w:val="0"/>
              <w:pageBreakBefore w:val="0"/>
              <w:widowControl/>
              <w:kinsoku/>
              <w:wordWrap/>
              <w:overflowPunct/>
              <w:topLinePunct w:val="0"/>
              <w:autoSpaceDE w:val="0"/>
              <w:autoSpaceDN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rPr>
            </w:pPr>
          </w:p>
        </w:tc>
        <w:tc>
          <w:tcPr>
            <w:tcW w:w="6504" w:type="dxa"/>
            <w:gridSpan w:val="3"/>
            <w:noWrap w:val="0"/>
            <w:vAlign w:val="center"/>
          </w:tcPr>
          <w:p w14:paraId="20CA54D0">
            <w:pPr>
              <w:keepNext w:val="0"/>
              <w:keepLines w:val="0"/>
              <w:pageBreakBefore w:val="0"/>
              <w:widowControl/>
              <w:numPr>
                <w:ilvl w:val="0"/>
                <w:numId w:val="0"/>
              </w:numPr>
              <w:kinsoku/>
              <w:wordWrap/>
              <w:overflowPunct/>
              <w:topLinePunct w:val="0"/>
              <w:bidi w:val="0"/>
              <w:adjustRightInd/>
              <w:snapToGrid/>
              <w:spacing w:line="240" w:lineRule="auto"/>
              <w:jc w:val="left"/>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bidi="ar-SA"/>
              </w:rPr>
              <w:t>9、</w:t>
            </w:r>
            <w:r>
              <w:rPr>
                <w:rFonts w:hint="eastAsia" w:ascii="宋体" w:hAnsi="宋体" w:eastAsia="宋体" w:cs="宋体"/>
                <w:snapToGrid w:val="0"/>
                <w:color w:val="auto"/>
                <w:kern w:val="0"/>
                <w:sz w:val="24"/>
                <w:szCs w:val="24"/>
                <w:highlight w:val="none"/>
                <w:lang w:val="en-US" w:eastAsia="zh-CN"/>
              </w:rPr>
              <w:t>服务便捷性：根据供应商服务网点、服务响应时间、便捷性说明等进行评议。</w:t>
            </w:r>
          </w:p>
          <w:p w14:paraId="2E7A0655">
            <w:pPr>
              <w:keepNext w:val="0"/>
              <w:keepLines w:val="0"/>
              <w:pageBreakBefore w:val="0"/>
              <w:widowControl/>
              <w:numPr>
                <w:ilvl w:val="0"/>
                <w:numId w:val="0"/>
              </w:numPr>
              <w:kinsoku/>
              <w:wordWrap/>
              <w:overflowPunct/>
              <w:topLinePunct w:val="0"/>
              <w:bidi w:val="0"/>
              <w:adjustRightInd/>
              <w:snapToGrid/>
              <w:spacing w:line="240" w:lineRule="auto"/>
              <w:jc w:val="left"/>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网点设置合理，响应迅速，服务便捷的，得5分；</w:t>
            </w:r>
          </w:p>
          <w:p w14:paraId="292217DD">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网点设置较合理，响应及时，服务较便捷的，得4分；</w:t>
            </w:r>
          </w:p>
          <w:p w14:paraId="0A3CB5FF">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网点设置基本满足项目要求，响应速度基本满足项目要求，服务便捷性一般的，得3分；</w:t>
            </w:r>
          </w:p>
          <w:p w14:paraId="096622EE">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网点设置对提供服务有一定局限性的得2分</w:t>
            </w:r>
          </w:p>
          <w:p w14:paraId="13A043AA">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网点设置不利于提供服务的得1分；</w:t>
            </w:r>
          </w:p>
          <w:p w14:paraId="456984D6">
            <w:pPr>
              <w:keepNext w:val="0"/>
              <w:keepLines w:val="0"/>
              <w:pageBreakBefore w:val="0"/>
              <w:widowControl/>
              <w:kinsoku/>
              <w:wordWrap/>
              <w:overflowPunct/>
              <w:topLinePunct w:val="0"/>
              <w:bidi w:val="0"/>
              <w:adjustRightInd/>
              <w:snapToGrid/>
              <w:spacing w:line="240" w:lineRule="auto"/>
              <w:jc w:val="left"/>
              <w:textAlignment w:val="auto"/>
              <w:outlineLvl w:val="9"/>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未提供相关说明的本项不得分。</w:t>
            </w:r>
          </w:p>
        </w:tc>
        <w:tc>
          <w:tcPr>
            <w:tcW w:w="712" w:type="dxa"/>
            <w:noWrap w:val="0"/>
            <w:vAlign w:val="center"/>
          </w:tcPr>
          <w:p w14:paraId="01009923">
            <w:pPr>
              <w:keepNext w:val="0"/>
              <w:keepLines w:val="0"/>
              <w:pageBreakBefore w:val="0"/>
              <w:widowControl/>
              <w:kinsoku/>
              <w:wordWrap/>
              <w:overflowPunct/>
              <w:topLinePunct w:val="0"/>
              <w:bidi w:val="0"/>
              <w:adjustRightInd/>
              <w:snapToGrid/>
              <w:spacing w:line="240" w:lineRule="auto"/>
              <w:jc w:val="center"/>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774" w:type="dxa"/>
            <w:noWrap w:val="0"/>
            <w:vAlign w:val="center"/>
          </w:tcPr>
          <w:p w14:paraId="1628D48E">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主观评审</w:t>
            </w:r>
          </w:p>
        </w:tc>
      </w:tr>
      <w:tr w14:paraId="476C50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39" w:type="dxa"/>
            <w:vMerge w:val="continue"/>
            <w:noWrap w:val="0"/>
            <w:vAlign w:val="center"/>
          </w:tcPr>
          <w:p w14:paraId="2359F65C">
            <w:pPr>
              <w:keepNext w:val="0"/>
              <w:keepLines w:val="0"/>
              <w:pageBreakBefore w:val="0"/>
              <w:widowControl/>
              <w:kinsoku/>
              <w:wordWrap/>
              <w:overflowPunct/>
              <w:topLinePunct w:val="0"/>
              <w:autoSpaceDE w:val="0"/>
              <w:autoSpaceDN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rPr>
            </w:pPr>
          </w:p>
        </w:tc>
        <w:tc>
          <w:tcPr>
            <w:tcW w:w="6504" w:type="dxa"/>
            <w:gridSpan w:val="3"/>
            <w:noWrap w:val="0"/>
            <w:vAlign w:val="center"/>
          </w:tcPr>
          <w:p w14:paraId="4A34A7A0">
            <w:pPr>
              <w:keepNext w:val="0"/>
              <w:keepLines w:val="0"/>
              <w:pageBreakBefore w:val="0"/>
              <w:widowControl/>
              <w:kinsoku/>
              <w:wordWrap/>
              <w:overflowPunct/>
              <w:topLinePunct w:val="0"/>
              <w:bidi w:val="0"/>
              <w:adjustRightInd/>
              <w:snapToGrid/>
              <w:spacing w:line="240" w:lineRule="auto"/>
              <w:jc w:val="left"/>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10、供应商承诺提供全部货品剩余保质时间超过保质期二分之一（含）以上的得1分，须提供承诺书，未提供的不得分。</w:t>
            </w:r>
          </w:p>
        </w:tc>
        <w:tc>
          <w:tcPr>
            <w:tcW w:w="712" w:type="dxa"/>
            <w:noWrap w:val="0"/>
            <w:vAlign w:val="center"/>
          </w:tcPr>
          <w:p w14:paraId="4DD28878">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w:t>
            </w:r>
          </w:p>
        </w:tc>
        <w:tc>
          <w:tcPr>
            <w:tcW w:w="774" w:type="dxa"/>
            <w:noWrap w:val="0"/>
            <w:vAlign w:val="center"/>
          </w:tcPr>
          <w:p w14:paraId="3BEB516A">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客观评审</w:t>
            </w:r>
          </w:p>
        </w:tc>
      </w:tr>
      <w:tr w14:paraId="39C9E3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39" w:type="dxa"/>
            <w:vMerge w:val="continue"/>
            <w:noWrap w:val="0"/>
            <w:vAlign w:val="center"/>
          </w:tcPr>
          <w:p w14:paraId="49819C57">
            <w:pPr>
              <w:keepNext w:val="0"/>
              <w:keepLines w:val="0"/>
              <w:pageBreakBefore w:val="0"/>
              <w:widowControl/>
              <w:kinsoku/>
              <w:wordWrap/>
              <w:overflowPunct/>
              <w:topLinePunct w:val="0"/>
              <w:autoSpaceDE w:val="0"/>
              <w:autoSpaceDN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rPr>
            </w:pPr>
          </w:p>
        </w:tc>
        <w:tc>
          <w:tcPr>
            <w:tcW w:w="6504" w:type="dxa"/>
            <w:gridSpan w:val="3"/>
            <w:noWrap w:val="0"/>
            <w:vAlign w:val="center"/>
          </w:tcPr>
          <w:p w14:paraId="558B9626">
            <w:pPr>
              <w:keepNext w:val="0"/>
              <w:keepLines w:val="0"/>
              <w:pageBreakBefore w:val="0"/>
              <w:widowControl/>
              <w:numPr>
                <w:ilvl w:val="0"/>
                <w:numId w:val="0"/>
              </w:numPr>
              <w:kinsoku/>
              <w:wordWrap/>
              <w:overflowPunct/>
              <w:topLinePunct w:val="0"/>
              <w:bidi w:val="0"/>
              <w:adjustRightInd/>
              <w:snapToGrid/>
              <w:spacing w:line="240" w:lineRule="auto"/>
              <w:ind w:left="0" w:leftChars="0" w:firstLine="0" w:firstLineChars="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11、</w:t>
            </w:r>
            <w:r>
              <w:rPr>
                <w:rFonts w:hint="eastAsia" w:ascii="宋体" w:hAnsi="宋体" w:eastAsia="宋体" w:cs="宋体"/>
                <w:color w:val="auto"/>
                <w:kern w:val="0"/>
                <w:sz w:val="24"/>
                <w:szCs w:val="24"/>
                <w:highlight w:val="none"/>
                <w:lang w:val="en-US" w:eastAsia="zh-CN"/>
              </w:rPr>
              <w:t>根据供应商拟投入人员数量及分工、内部组织制度、岗位职责、质量考核办法、人员管理方案进行评议：</w:t>
            </w:r>
          </w:p>
          <w:p w14:paraId="500CFB19">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制度健全、措施合理，考核规范的，得5分；</w:t>
            </w:r>
          </w:p>
          <w:p w14:paraId="4AD7245B">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制度较健全、措施较合理，考核较规范的，得4分；</w:t>
            </w:r>
          </w:p>
          <w:p w14:paraId="6BD48DED">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制度基本健全、措施基本合理，考核可行的，得3分；</w:t>
            </w:r>
          </w:p>
          <w:p w14:paraId="2B053404">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制度欠健全、措施较差，考核欠规范的，得2分；</w:t>
            </w:r>
          </w:p>
          <w:p w14:paraId="645AC6AC">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制度不健全、措施差，考核不规范的，得1分；</w:t>
            </w:r>
          </w:p>
          <w:p w14:paraId="28CA3BF9">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未提供相关说明的本项不得分。</w:t>
            </w:r>
          </w:p>
          <w:p w14:paraId="708F8C0A">
            <w:pPr>
              <w:keepNext w:val="0"/>
              <w:keepLines w:val="0"/>
              <w:pageBreakBefore w:val="0"/>
              <w:widowControl/>
              <w:kinsoku/>
              <w:wordWrap/>
              <w:overflowPunct/>
              <w:topLinePunct w:val="0"/>
              <w:bidi w:val="0"/>
              <w:adjustRightInd/>
              <w:snapToGrid/>
              <w:spacing w:line="240" w:lineRule="auto"/>
              <w:jc w:val="left"/>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注：需提供供应商服务团队提交响应文件截止时间前近三个月中任意一个月的社保证明</w:t>
            </w:r>
          </w:p>
        </w:tc>
        <w:tc>
          <w:tcPr>
            <w:tcW w:w="712" w:type="dxa"/>
            <w:noWrap w:val="0"/>
            <w:vAlign w:val="center"/>
          </w:tcPr>
          <w:p w14:paraId="6C2FD285">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5</w:t>
            </w:r>
          </w:p>
        </w:tc>
        <w:tc>
          <w:tcPr>
            <w:tcW w:w="774" w:type="dxa"/>
            <w:noWrap w:val="0"/>
            <w:vAlign w:val="center"/>
          </w:tcPr>
          <w:p w14:paraId="5115FD0F">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主观评审</w:t>
            </w:r>
          </w:p>
        </w:tc>
      </w:tr>
      <w:tr w14:paraId="009CD1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39" w:type="dxa"/>
            <w:vMerge w:val="continue"/>
            <w:noWrap w:val="0"/>
            <w:vAlign w:val="center"/>
          </w:tcPr>
          <w:p w14:paraId="3911B0C1">
            <w:pPr>
              <w:keepNext w:val="0"/>
              <w:keepLines w:val="0"/>
              <w:pageBreakBefore w:val="0"/>
              <w:widowControl/>
              <w:kinsoku/>
              <w:wordWrap/>
              <w:overflowPunct/>
              <w:topLinePunct w:val="0"/>
              <w:autoSpaceDE w:val="0"/>
              <w:autoSpaceDN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rPr>
            </w:pPr>
          </w:p>
        </w:tc>
        <w:tc>
          <w:tcPr>
            <w:tcW w:w="1292" w:type="dxa"/>
            <w:gridSpan w:val="2"/>
            <w:noWrap w:val="0"/>
            <w:vAlign w:val="center"/>
          </w:tcPr>
          <w:p w14:paraId="5B432A9D">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12、政策加分</w:t>
            </w:r>
          </w:p>
        </w:tc>
        <w:tc>
          <w:tcPr>
            <w:tcW w:w="5212" w:type="dxa"/>
            <w:noWrap w:val="0"/>
            <w:vAlign w:val="center"/>
          </w:tcPr>
          <w:p w14:paraId="5201D489">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节能环保（</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3CEC1782">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1）投标产品</w:t>
            </w:r>
            <w:r>
              <w:rPr>
                <w:rFonts w:hint="eastAsia" w:ascii="宋体" w:hAnsi="宋体" w:eastAsia="宋体" w:cs="宋体"/>
                <w:color w:val="auto"/>
                <w:kern w:val="0"/>
                <w:sz w:val="24"/>
                <w:szCs w:val="24"/>
                <w:highlight w:val="none"/>
                <w:lang w:val="en-US" w:eastAsia="zh-CN"/>
              </w:rPr>
              <w:t>全部</w:t>
            </w:r>
            <w:r>
              <w:rPr>
                <w:rFonts w:hint="eastAsia" w:ascii="宋体" w:hAnsi="宋体" w:eastAsia="宋体" w:cs="宋体"/>
                <w:color w:val="auto"/>
                <w:kern w:val="0"/>
                <w:sz w:val="24"/>
                <w:szCs w:val="24"/>
                <w:highlight w:val="none"/>
              </w:rPr>
              <w:t>属于《节能产品政府采购品目清单》范围的且具有国家确定的认证机构出具的、处于有效期之内的节能产品认证证书的得</w:t>
            </w:r>
            <w:r>
              <w:rPr>
                <w:rFonts w:hint="eastAsia" w:ascii="宋体" w:hAnsi="宋体" w:eastAsia="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分；</w:t>
            </w:r>
          </w:p>
          <w:p w14:paraId="3D439C04">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2）投标产品</w:t>
            </w:r>
            <w:r>
              <w:rPr>
                <w:rFonts w:hint="eastAsia" w:ascii="宋体" w:hAnsi="宋体" w:eastAsia="宋体" w:cs="宋体"/>
                <w:color w:val="auto"/>
                <w:kern w:val="0"/>
                <w:sz w:val="24"/>
                <w:szCs w:val="24"/>
                <w:highlight w:val="none"/>
                <w:lang w:val="en-US" w:eastAsia="zh-CN"/>
              </w:rPr>
              <w:t>全部</w:t>
            </w:r>
            <w:r>
              <w:rPr>
                <w:rFonts w:hint="eastAsia" w:ascii="宋体" w:hAnsi="宋体" w:eastAsia="宋体" w:cs="宋体"/>
                <w:color w:val="auto"/>
                <w:kern w:val="0"/>
                <w:sz w:val="24"/>
                <w:szCs w:val="24"/>
                <w:highlight w:val="none"/>
              </w:rPr>
              <w:t>属于《环境标志产品政府采购品目清单》范围的且具有国家确定的认证机构出具的、处于有效期之内的环境标志产品认证证书的得</w:t>
            </w:r>
            <w:r>
              <w:rPr>
                <w:rFonts w:hint="eastAsia" w:ascii="宋体" w:hAnsi="宋体" w:eastAsia="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分。</w:t>
            </w:r>
          </w:p>
          <w:p w14:paraId="0005018D">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文件中必须同时提供以下资料：</w:t>
            </w:r>
          </w:p>
          <w:p w14:paraId="21738400">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①</w:t>
            </w:r>
            <w:r>
              <w:rPr>
                <w:rFonts w:hint="eastAsia" w:ascii="宋体" w:hAnsi="宋体" w:eastAsia="宋体" w:cs="宋体"/>
                <w:color w:val="auto"/>
                <w:kern w:val="0"/>
                <w:sz w:val="24"/>
                <w:szCs w:val="24"/>
                <w:highlight w:val="none"/>
              </w:rPr>
              <w:t>提供政府采购品目清单相关内容页（并对相关内容作圈记），采购品目清单详见《关于印发环境标志产品政府采购品目清单的通知》（财库〔2019〕18号）和《关于印发节能产品政府采购品目清单的通知》（财库〔2019〕19号）。</w:t>
            </w:r>
          </w:p>
          <w:p w14:paraId="3CAEC4E6">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②</w:t>
            </w:r>
            <w:r>
              <w:rPr>
                <w:rFonts w:hint="eastAsia" w:ascii="宋体" w:hAnsi="宋体" w:eastAsia="宋体" w:cs="宋体"/>
                <w:color w:val="auto"/>
                <w:kern w:val="0"/>
                <w:sz w:val="24"/>
                <w:szCs w:val="24"/>
                <w:highlight w:val="none"/>
              </w:rPr>
              <w:t>《市场监管总局关于发布参与实施政府采购节能产品、环境标志产品认证机构名录的公告》中的认证机构出具的、处于有效期之内的节能产品/环境标志产品认证证书复印件并加盖公章。</w:t>
            </w:r>
          </w:p>
        </w:tc>
        <w:tc>
          <w:tcPr>
            <w:tcW w:w="712" w:type="dxa"/>
            <w:noWrap w:val="0"/>
            <w:vAlign w:val="center"/>
          </w:tcPr>
          <w:p w14:paraId="6DD77097">
            <w:pPr>
              <w:widowControl/>
              <w:kinsoku/>
              <w:wordWrap/>
              <w:overflowPunct/>
              <w:topLinePunct w:val="0"/>
              <w:bidi w:val="0"/>
              <w:adjustRightInd/>
              <w:jc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774" w:type="dxa"/>
            <w:noWrap w:val="0"/>
            <w:vAlign w:val="center"/>
          </w:tcPr>
          <w:p w14:paraId="2E1AECCE">
            <w:pPr>
              <w:keepNext w:val="0"/>
              <w:keepLines w:val="0"/>
              <w:pageBreakBefore w:val="0"/>
              <w:widowControl/>
              <w:kinsoku/>
              <w:wordWrap/>
              <w:overflowPunct/>
              <w:topLinePunct w:val="0"/>
              <w:bidi w:val="0"/>
              <w:adjustRightInd/>
              <w:snapToGrid/>
              <w:spacing w:after="0" w:afterLines="0" w:line="240" w:lineRule="auto"/>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客观评审</w:t>
            </w:r>
          </w:p>
        </w:tc>
      </w:tr>
      <w:tr w14:paraId="659A1D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43" w:type="dxa"/>
            <w:gridSpan w:val="4"/>
            <w:noWrap w:val="0"/>
            <w:vAlign w:val="center"/>
          </w:tcPr>
          <w:p w14:paraId="3507D11C">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总分（100分）</w:t>
            </w:r>
          </w:p>
        </w:tc>
        <w:tc>
          <w:tcPr>
            <w:tcW w:w="712" w:type="dxa"/>
            <w:noWrap w:val="0"/>
            <w:vAlign w:val="center"/>
          </w:tcPr>
          <w:p w14:paraId="6C393CB7">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kern w:val="0"/>
                <w:sz w:val="24"/>
                <w:szCs w:val="24"/>
                <w:highlight w:val="none"/>
                <w:lang w:val="en-US" w:eastAsia="zh-CN"/>
              </w:rPr>
            </w:pPr>
          </w:p>
        </w:tc>
        <w:tc>
          <w:tcPr>
            <w:tcW w:w="774" w:type="dxa"/>
            <w:noWrap w:val="0"/>
            <w:vAlign w:val="center"/>
          </w:tcPr>
          <w:p w14:paraId="404EEC16">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kern w:val="0"/>
                <w:sz w:val="24"/>
                <w:szCs w:val="24"/>
                <w:highlight w:val="none"/>
                <w:lang w:val="en-US" w:eastAsia="zh-CN"/>
              </w:rPr>
            </w:pPr>
          </w:p>
        </w:tc>
      </w:tr>
    </w:tbl>
    <w:p w14:paraId="7B938063">
      <w:pPr>
        <w:widowControl/>
        <w:adjustRightInd/>
        <w:spacing w:line="320" w:lineRule="exact"/>
        <w:jc w:val="left"/>
        <w:rPr>
          <w:rFonts w:hint="eastAsia" w:ascii="宋体" w:hAnsi="宋体" w:cs="宋体"/>
          <w:bCs/>
          <w:color w:val="auto"/>
          <w:sz w:val="24"/>
          <w:highlight w:val="none"/>
        </w:rPr>
      </w:pPr>
      <w:r>
        <w:rPr>
          <w:rFonts w:hint="eastAsia" w:ascii="宋体" w:hAnsi="宋体" w:cs="宋体"/>
          <w:bCs/>
          <w:color w:val="auto"/>
          <w:sz w:val="24"/>
          <w:highlight w:val="none"/>
        </w:rPr>
        <w:t>备注：1、供应商编制投标文件（商务技术文件部分）时，建议按此目录（序号和内容）提供评标标准相应的商务技术资料。2、小数点后保留一位数。3、各评标委员会成员自行按以上参考分值评分。4、重大事件由评标委员会集体讨论，应当按照少数服从多数的原则作出结论。</w:t>
      </w:r>
    </w:p>
    <w:p w14:paraId="35B3A1FC">
      <w:pPr>
        <w:widowControl/>
        <w:adjustRightInd/>
        <w:spacing w:line="320" w:lineRule="exact"/>
        <w:jc w:val="left"/>
        <w:rPr>
          <w:rFonts w:hint="eastAsia" w:ascii="宋体" w:hAnsi="宋体" w:cs="宋体"/>
          <w:bCs/>
          <w:color w:val="auto"/>
          <w:sz w:val="24"/>
          <w:highlight w:val="none"/>
        </w:rPr>
      </w:pPr>
      <w:r>
        <w:rPr>
          <w:rFonts w:hint="eastAsia" w:ascii="宋体" w:hAnsi="宋体" w:cs="宋体"/>
          <w:b/>
          <w:bCs/>
          <w:color w:val="auto"/>
          <w:sz w:val="32"/>
          <w:szCs w:val="40"/>
          <w:highlight w:val="none"/>
        </w:rPr>
        <w:br w:type="page"/>
      </w:r>
    </w:p>
    <w:p w14:paraId="3363D4CE">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5F2728F9">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综合评分法，是指投标文件满足招标文件全部实质性要求，且按照评审因素的量化指标评审得分最高的供应商为中标候选人的评标方法。</w:t>
      </w:r>
    </w:p>
    <w:p w14:paraId="76FC88B3">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0B610F04">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E93E43B">
      <w:pPr>
        <w:spacing w:line="360" w:lineRule="auto"/>
        <w:rPr>
          <w:rFonts w:hint="eastAsia" w:ascii="宋体" w:hAnsi="宋体" w:cs="宋体"/>
          <w:b/>
          <w:color w:val="auto"/>
          <w:sz w:val="36"/>
          <w:szCs w:val="36"/>
          <w:highlight w:val="none"/>
        </w:rPr>
      </w:pPr>
      <w:r>
        <w:rPr>
          <w:rFonts w:hint="eastAsia" w:ascii="宋体" w:hAnsi="宋体" w:cs="宋体"/>
          <w:b/>
          <w:color w:val="auto"/>
          <w:sz w:val="32"/>
          <w:highlight w:val="none"/>
        </w:rPr>
        <w:t>三、评标程序</w:t>
      </w:r>
    </w:p>
    <w:p w14:paraId="7A7B862D">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评标委员会应当对符合资格的供应商的投标文件进行符合性审查，以确定其是否满足招标文件的实质性要求。不满足招标文件的实质性要求的，投标无效。</w:t>
      </w:r>
    </w:p>
    <w:p w14:paraId="405675EF">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1B54B90">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评标委员会各成员应当独立对每个供应商的商务和技术文件进行评价，并汇总商务技术得分情况。</w:t>
      </w:r>
    </w:p>
    <w:p w14:paraId="57BB1404">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12826E7">
      <w:pPr>
        <w:pStyle w:val="135"/>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0D22338">
      <w:pPr>
        <w:pStyle w:val="13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DCB1D87">
      <w:pPr>
        <w:pStyle w:val="13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50B2A00">
      <w:pPr>
        <w:pStyle w:val="13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D93426E">
      <w:pPr>
        <w:pStyle w:val="13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27F7D7D">
      <w:pPr>
        <w:pStyle w:val="13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3.4.1.5同时出现两种以上不一致的，按照3.4.1规定的顺序修正。修正后的报价按照财政部第87号令《政府采购货物和服务招标投标管理办法》第五十一条第二款的规定经供应商确认后产生约束力。</w:t>
      </w:r>
    </w:p>
    <w:p w14:paraId="1C241EAA">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3AC7009">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2F78D42">
      <w:pPr>
        <w:pStyle w:val="13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供应商的报价明显低于其他通过符合性审查供应商的报价（如供应商报价低于项目预算50%的，应当提交本文档，详细阐述不影响产品质量或者诚信履约的具体原因），有可能影响产品质量或者不能诚信履约的，应当要求其在合理的时间内提供书面说明，必要时提交相关证明材料；供应商不能证明其报价合理性的，评标委员会应当将其作为无效投标处理。</w:t>
      </w:r>
    </w:p>
    <w:p w14:paraId="7FE904EB">
      <w:pPr>
        <w:pStyle w:val="13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BEF7650">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r>
        <w:rPr>
          <w:rFonts w:hint="eastAsia" w:ascii="宋体" w:hAnsi="宋体" w:cs="宋体"/>
          <w:b/>
          <w:bCs/>
          <w:color w:val="auto"/>
          <w:kern w:val="0"/>
          <w:sz w:val="24"/>
          <w:highlight w:val="none"/>
        </w:rPr>
        <w:t>有效投标供应商数量等于3家时，中标候选人数量为1家；有效投标供应商数量等于4家时，中标候选人数量为2家；有效投标供应商数量大于等于5家时，中标候选人数量为3家。</w:t>
      </w:r>
    </w:p>
    <w:p w14:paraId="65C9B39A">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14:paraId="3FF72234">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2C74D40">
      <w:pPr>
        <w:widowControl/>
        <w:adjustRightInd/>
        <w:spacing w:after="225" w:line="315" w:lineRule="atLeast"/>
        <w:jc w:val="left"/>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3B4C1F79">
      <w:pPr>
        <w:pStyle w:val="135"/>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501F6BE6">
      <w:pPr>
        <w:pStyle w:val="25"/>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88E93D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4.2.1供应商不具备招标文件中规定的资格要求的（供应商未提供有效的资格文件的，视为供应商不具备招标文件中规定的资格要求）；</w:t>
      </w:r>
    </w:p>
    <w:p w14:paraId="3030AD7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5931AD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4.2.3采购人拟采购的产品属于政府强制采购的节能产品品目清单范围的，供应商相应的投标产品未获得国家确定的认证机构出具的、处于有效期之内的节能产品认证证书的；</w:t>
      </w:r>
    </w:p>
    <w:p w14:paraId="1E46D8D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AFF0C0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0E8FE4C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4.2.6投标文件出现不是唯一的、有选择性投标报价的；</w:t>
      </w:r>
    </w:p>
    <w:p w14:paraId="5DB3AD3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46854B1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2F4A368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14:paraId="688F059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4.2.10供应商提供虚假材料投标的；</w:t>
      </w:r>
    </w:p>
    <w:p w14:paraId="3B648FB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4.2.11供应商有恶意串通、妨碍其他供应商的竞争行为、损害采购人或者其他供应商的合法权益情形的；</w:t>
      </w:r>
    </w:p>
    <w:p w14:paraId="00AD51F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4.2.12供应商仅提交备份投标文件，未在电子交易平台传输递交投标文件的，投标无效；</w:t>
      </w:r>
    </w:p>
    <w:p w14:paraId="5EAE58F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 投标文件不满足招标文件的其他实质性要求的；</w:t>
      </w:r>
    </w:p>
    <w:p w14:paraId="76B46ED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3875AE6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4.2.15上传投标文件同一网卡地址、同一IP地址的为无效标。</w:t>
      </w:r>
    </w:p>
    <w:p w14:paraId="4BB43E8D">
      <w:pPr>
        <w:pStyle w:val="25"/>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669D84F0">
      <w:pPr>
        <w:pStyle w:val="25"/>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7B09B2E6">
      <w:pPr>
        <w:pStyle w:val="25"/>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413ECAC3">
      <w:pPr>
        <w:pStyle w:val="25"/>
        <w:snapToGrid w:val="0"/>
        <w:spacing w:line="360" w:lineRule="auto"/>
        <w:rPr>
          <w:rFonts w:hint="eastAsia" w:cs="宋体"/>
          <w:color w:val="auto"/>
          <w:highlight w:val="none"/>
        </w:rPr>
      </w:pPr>
      <w:r>
        <w:rPr>
          <w:rFonts w:hint="eastAsia" w:cs="宋体"/>
          <w:color w:val="auto"/>
          <w:highlight w:val="none"/>
        </w:rPr>
        <w:t>5.3供应商的报价均超过了采购预算，采购人不能支付的；</w:t>
      </w:r>
    </w:p>
    <w:p w14:paraId="1C2746F4">
      <w:pPr>
        <w:pStyle w:val="25"/>
        <w:snapToGrid w:val="0"/>
        <w:spacing w:line="360" w:lineRule="auto"/>
        <w:rPr>
          <w:rFonts w:hint="eastAsia" w:cs="宋体"/>
          <w:color w:val="auto"/>
          <w:highlight w:val="none"/>
        </w:rPr>
      </w:pPr>
      <w:r>
        <w:rPr>
          <w:rFonts w:hint="eastAsia" w:cs="宋体"/>
          <w:color w:val="auto"/>
          <w:highlight w:val="none"/>
        </w:rPr>
        <w:t>5.4因重大变故，采购任务取消的。</w:t>
      </w:r>
    </w:p>
    <w:p w14:paraId="14F486B9">
      <w:pPr>
        <w:pStyle w:val="25"/>
        <w:snapToGrid w:val="0"/>
        <w:spacing w:line="360" w:lineRule="auto"/>
        <w:rPr>
          <w:rFonts w:hint="eastAsia" w:cs="宋体"/>
          <w:color w:val="auto"/>
          <w:highlight w:val="none"/>
        </w:rPr>
      </w:pPr>
      <w:r>
        <w:rPr>
          <w:rFonts w:hint="eastAsia" w:cs="宋体"/>
          <w:color w:val="auto"/>
          <w:highlight w:val="none"/>
        </w:rPr>
        <w:t>废标后，采购代理机构应当将废标理由通知所有供应商。</w:t>
      </w:r>
    </w:p>
    <w:p w14:paraId="323AEA29">
      <w:pPr>
        <w:pStyle w:val="25"/>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3355FD8">
      <w:pPr>
        <w:pStyle w:val="25"/>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311C0F4">
      <w:pPr>
        <w:pStyle w:val="25"/>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1C08DE73">
      <w:pPr>
        <w:pStyle w:val="25"/>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4217DA7">
      <w:pPr>
        <w:pStyle w:val="25"/>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1C3BDCC">
      <w:pPr>
        <w:pStyle w:val="25"/>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5A6E981D">
      <w:pPr>
        <w:pStyle w:val="25"/>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42526C8">
      <w:pPr>
        <w:pStyle w:val="25"/>
        <w:snapToGrid w:val="0"/>
        <w:spacing w:line="360" w:lineRule="auto"/>
        <w:ind w:firstLine="0" w:firstLineChars="0"/>
        <w:rPr>
          <w:rFonts w:hint="eastAsia" w:cs="宋体"/>
          <w:color w:val="auto"/>
          <w:highlight w:val="none"/>
        </w:rPr>
      </w:pPr>
    </w:p>
    <w:bookmarkEnd w:id="46"/>
    <w:p w14:paraId="1C4F0E8C">
      <w:pPr>
        <w:spacing w:line="360" w:lineRule="auto"/>
        <w:ind w:left="720" w:leftChars="343" w:firstLine="1084" w:firstLineChars="300"/>
        <w:rPr>
          <w:rFonts w:hint="eastAsia" w:ascii="宋体" w:hAnsi="宋体" w:cs="宋体"/>
          <w:b/>
          <w:color w:val="auto"/>
          <w:sz w:val="36"/>
          <w:szCs w:val="36"/>
          <w:highlight w:val="none"/>
        </w:rPr>
      </w:pPr>
      <w:bookmarkStart w:id="414" w:name="第五部分"/>
      <w:bookmarkStart w:id="415" w:name="_Toc86217003"/>
    </w:p>
    <w:p w14:paraId="0EB1794D">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0BCF848C">
      <w:pPr>
        <w:spacing w:line="360" w:lineRule="auto"/>
        <w:ind w:left="720" w:leftChars="343" w:firstLine="1084" w:firstLineChars="300"/>
        <w:outlineLvl w:val="0"/>
        <w:rPr>
          <w:rFonts w:hint="eastAsia" w:ascii="宋体" w:hAnsi="宋体" w:cs="宋体"/>
          <w:b/>
          <w:color w:val="auto"/>
          <w:sz w:val="36"/>
          <w:szCs w:val="36"/>
          <w:highlight w:val="none"/>
        </w:rPr>
      </w:pPr>
      <w:bookmarkStart w:id="416" w:name="_Toc8264"/>
      <w:r>
        <w:rPr>
          <w:rFonts w:hint="eastAsia" w:ascii="宋体" w:hAnsi="宋体" w:cs="宋体"/>
          <w:b/>
          <w:color w:val="auto"/>
          <w:sz w:val="36"/>
          <w:szCs w:val="36"/>
          <w:highlight w:val="none"/>
        </w:rPr>
        <w:t>第五部分 拟签订的合同文本</w:t>
      </w:r>
      <w:bookmarkEnd w:id="416"/>
    </w:p>
    <w:p w14:paraId="69F554DE">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9CDC608">
      <w:pPr>
        <w:spacing w:line="480" w:lineRule="auto"/>
        <w:jc w:val="center"/>
        <w:rPr>
          <w:rFonts w:hint="eastAsia" w:ascii="宋体" w:hAnsi="宋体" w:cs="宋体"/>
          <w:b/>
          <w:color w:val="auto"/>
          <w:sz w:val="28"/>
          <w:szCs w:val="28"/>
          <w:highlight w:val="none"/>
        </w:rPr>
      </w:pPr>
    </w:p>
    <w:p w14:paraId="73273D18">
      <w:pPr>
        <w:spacing w:line="480" w:lineRule="auto"/>
        <w:jc w:val="center"/>
        <w:rPr>
          <w:rFonts w:hint="eastAsia" w:ascii="宋体" w:hAnsi="宋体" w:cs="宋体"/>
          <w:b/>
          <w:color w:val="auto"/>
          <w:sz w:val="24"/>
          <w:highlight w:val="none"/>
        </w:rPr>
      </w:pPr>
    </w:p>
    <w:p w14:paraId="62D0F02A">
      <w:pPr>
        <w:spacing w:line="480" w:lineRule="auto"/>
        <w:jc w:val="center"/>
        <w:rPr>
          <w:rFonts w:hint="eastAsia" w:ascii="宋体" w:hAnsi="宋体" w:cs="宋体"/>
          <w:b/>
          <w:color w:val="auto"/>
          <w:sz w:val="24"/>
          <w:highlight w:val="none"/>
        </w:rPr>
      </w:pPr>
    </w:p>
    <w:p w14:paraId="13D14CD7">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24CD44F5">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（货物类）</w:t>
      </w:r>
    </w:p>
    <w:p w14:paraId="0F4D67B3">
      <w:pPr>
        <w:pStyle w:val="700"/>
        <w:rPr>
          <w:rFonts w:hint="eastAsia" w:ascii="宋体" w:hAnsi="宋体" w:cs="宋体"/>
          <w:color w:val="auto"/>
          <w:szCs w:val="24"/>
          <w:highlight w:val="none"/>
        </w:rPr>
      </w:pPr>
    </w:p>
    <w:p w14:paraId="004F37F2">
      <w:pPr>
        <w:pStyle w:val="700"/>
        <w:rPr>
          <w:rFonts w:hint="eastAsia" w:ascii="宋体" w:hAnsi="宋体" w:cs="宋体"/>
          <w:color w:val="auto"/>
          <w:szCs w:val="24"/>
          <w:highlight w:val="none"/>
        </w:rPr>
      </w:pPr>
    </w:p>
    <w:p w14:paraId="02C53AFA">
      <w:pPr>
        <w:pStyle w:val="700"/>
        <w:jc w:val="center"/>
        <w:rPr>
          <w:rFonts w:hint="eastAsia" w:ascii="宋体" w:hAnsi="宋体" w:cs="宋体"/>
          <w:color w:val="auto"/>
          <w:szCs w:val="24"/>
          <w:highlight w:val="none"/>
        </w:rPr>
      </w:pPr>
    </w:p>
    <w:p w14:paraId="30DE09B2">
      <w:pPr>
        <w:pStyle w:val="700"/>
        <w:ind w:firstLine="2843" w:firstLineChars="1180"/>
        <w:rPr>
          <w:rFonts w:hint="eastAsia" w:ascii="宋体" w:hAnsi="宋体" w:cs="宋体"/>
          <w:b/>
          <w:color w:val="auto"/>
          <w:szCs w:val="24"/>
          <w:highlight w:val="none"/>
        </w:rPr>
      </w:pPr>
      <w:r>
        <w:rPr>
          <w:rFonts w:hint="eastAsia" w:ascii="宋体" w:hAnsi="宋体" w:cs="宋体"/>
          <w:b/>
          <w:color w:val="auto"/>
          <w:szCs w:val="24"/>
          <w:highlight w:val="none"/>
        </w:rPr>
        <w:t>第一部分 合同书</w:t>
      </w:r>
    </w:p>
    <w:p w14:paraId="5888C125">
      <w:pPr>
        <w:pStyle w:val="700"/>
        <w:rPr>
          <w:rFonts w:hint="eastAsia" w:ascii="宋体" w:hAnsi="宋体" w:cs="宋体"/>
          <w:color w:val="auto"/>
          <w:szCs w:val="24"/>
          <w:highlight w:val="none"/>
        </w:rPr>
      </w:pPr>
    </w:p>
    <w:p w14:paraId="3CCC30DE">
      <w:pPr>
        <w:pStyle w:val="700"/>
        <w:rPr>
          <w:rFonts w:hint="eastAsia" w:ascii="宋体" w:hAnsi="宋体" w:cs="宋体"/>
          <w:color w:val="auto"/>
          <w:szCs w:val="24"/>
          <w:highlight w:val="none"/>
        </w:rPr>
      </w:pPr>
    </w:p>
    <w:p w14:paraId="1194A961">
      <w:pPr>
        <w:spacing w:before="120" w:line="22" w:lineRule="atLeast"/>
        <w:rPr>
          <w:rFonts w:hint="eastAsia" w:ascii="宋体" w:hAnsi="宋体" w:cs="宋体"/>
          <w:color w:val="auto"/>
          <w:sz w:val="24"/>
          <w:highlight w:val="none"/>
        </w:rPr>
      </w:pPr>
    </w:p>
    <w:p w14:paraId="05F4B0BE">
      <w:pPr>
        <w:spacing w:before="120" w:line="22" w:lineRule="atLeast"/>
        <w:ind w:left="96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宁海县总工会2025年高温慰问品采购项目</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3FF2BCC2">
      <w:pPr>
        <w:rPr>
          <w:rFonts w:hint="eastAsia" w:ascii="宋体" w:hAnsi="宋体" w:cs="宋体"/>
          <w:color w:val="auto"/>
          <w:sz w:val="24"/>
          <w:highlight w:val="none"/>
        </w:rPr>
      </w:pPr>
    </w:p>
    <w:p w14:paraId="67CFC8AA">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 xml:space="preserve">甲方：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宁海县总工会</w:t>
      </w:r>
      <w:r>
        <w:rPr>
          <w:rFonts w:hint="eastAsia" w:ascii="宋体" w:hAnsi="宋体" w:cs="宋体"/>
          <w:color w:val="auto"/>
          <w:sz w:val="24"/>
          <w:highlight w:val="none"/>
          <w:u w:val="single"/>
        </w:rPr>
        <w:t xml:space="preserve">                                                  </w:t>
      </w:r>
    </w:p>
    <w:p w14:paraId="5E1C1F0E">
      <w:pPr>
        <w:spacing w:before="120" w:line="22" w:lineRule="atLeast"/>
        <w:rPr>
          <w:rFonts w:hint="eastAsia" w:ascii="宋体" w:hAnsi="宋体" w:cs="宋体"/>
          <w:color w:val="auto"/>
          <w:sz w:val="24"/>
          <w:highlight w:val="none"/>
        </w:rPr>
      </w:pPr>
    </w:p>
    <w:p w14:paraId="548C497F">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ADCF930">
      <w:pPr>
        <w:spacing w:before="120" w:line="22" w:lineRule="atLeast"/>
        <w:rPr>
          <w:rFonts w:hint="eastAsia" w:ascii="宋体" w:hAnsi="宋体" w:cs="宋体"/>
          <w:color w:val="auto"/>
          <w:sz w:val="24"/>
          <w:highlight w:val="none"/>
        </w:rPr>
      </w:pPr>
    </w:p>
    <w:p w14:paraId="063B05BE">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宁海县                                                  </w:t>
      </w:r>
    </w:p>
    <w:p w14:paraId="568C723C">
      <w:pPr>
        <w:pStyle w:val="85"/>
        <w:ind w:firstLine="0" w:firstLineChars="0"/>
        <w:rPr>
          <w:color w:val="auto"/>
          <w:highlight w:val="none"/>
        </w:rPr>
      </w:pPr>
    </w:p>
    <w:p w14:paraId="6C8D876D">
      <w:pPr>
        <w:spacing w:before="120" w:line="22" w:lineRule="atLeast"/>
        <w:ind w:firstLine="960" w:firstLineChars="400"/>
        <w:rPr>
          <w:rFonts w:hint="eastAsia" w:ascii="宋体" w:hAnsi="宋体" w:cs="宋体"/>
          <w:color w:val="auto"/>
          <w:sz w:val="24"/>
          <w:highlight w:val="none"/>
        </w:rPr>
        <w:sectPr>
          <w:pgSz w:w="11907" w:h="16840"/>
          <w:pgMar w:top="1474" w:right="1814" w:bottom="1474" w:left="1814" w:header="851" w:footer="851" w:gutter="0"/>
          <w:cols w:space="720" w:num="1"/>
        </w:sectPr>
      </w:pPr>
      <w:r>
        <w:rPr>
          <w:rFonts w:hint="eastAsia" w:ascii="宋体" w:hAnsi="宋体" w:cs="宋体"/>
          <w:color w:val="auto"/>
          <w:sz w:val="24"/>
          <w:highlight w:val="none"/>
        </w:rPr>
        <w:t>见证方：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宁波中基国际招标有限公司</w:t>
      </w:r>
      <w:r>
        <w:rPr>
          <w:rFonts w:hint="eastAsia" w:ascii="宋体" w:hAnsi="宋体" w:cs="宋体"/>
          <w:color w:val="auto"/>
          <w:sz w:val="24"/>
          <w:highlight w:val="none"/>
          <w:u w:val="single"/>
        </w:rPr>
        <w:t xml:space="preserve">                           </w:t>
      </w:r>
    </w:p>
    <w:p w14:paraId="2E4B774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宁海县总工会</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公开招标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宁海县总工会2025年高温慰问品采购项目</w:t>
      </w:r>
      <w:r>
        <w:rPr>
          <w:rFonts w:hint="eastAsia" w:ascii="宋体" w:hAnsi="宋体" w:cs="宋体"/>
          <w:color w:val="auto"/>
          <w:sz w:val="24"/>
          <w:highlight w:val="none"/>
          <w:u w:val="single"/>
        </w:rPr>
        <w:t>（项目编号：</w:t>
      </w:r>
      <w:r>
        <w:rPr>
          <w:rFonts w:hint="eastAsia" w:ascii="宋体" w:hAnsi="宋体" w:cs="宋体"/>
          <w:color w:val="auto"/>
          <w:sz w:val="24"/>
          <w:highlight w:val="none"/>
          <w:u w:val="single"/>
          <w:lang w:eastAsia="zh-CN"/>
        </w:rPr>
        <w:t>CBNB-20256415G</w:t>
      </w:r>
      <w:r>
        <w:rPr>
          <w:rFonts w:hint="eastAsia" w:ascii="宋体" w:hAnsi="宋体" w:cs="宋体"/>
          <w:color w:val="auto"/>
          <w:sz w:val="24"/>
          <w:highlight w:val="none"/>
          <w:u w:val="single"/>
        </w:rPr>
        <w:t>）</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评标委员会</w:t>
      </w:r>
      <w:r>
        <w:rPr>
          <w:rFonts w:hint="eastAsia" w:ascii="宋体" w:hAnsi="宋体" w:cs="宋体"/>
          <w:color w:val="auto"/>
          <w:sz w:val="24"/>
          <w:highlight w:val="none"/>
        </w:rPr>
        <w:t>评定，</w:t>
      </w:r>
      <w:r>
        <w:rPr>
          <w:rFonts w:hint="eastAsia" w:ascii="宋体" w:hAnsi="宋体" w:cs="宋体"/>
          <w:color w:val="auto"/>
          <w:sz w:val="24"/>
          <w:highlight w:val="none"/>
          <w:u w:val="single"/>
        </w:rPr>
        <w:t>（中标供应商名称）</w:t>
      </w:r>
      <w:r>
        <w:rPr>
          <w:rFonts w:hint="eastAsia" w:ascii="宋体" w:hAnsi="宋体" w:cs="宋体"/>
          <w:color w:val="auto"/>
          <w:sz w:val="24"/>
          <w:highlight w:val="none"/>
        </w:rPr>
        <w:t>为该项目中标供应商。现于中标通知书发出之日起30日内，按照招标文件等确定的事项签订本合同。</w:t>
      </w:r>
    </w:p>
    <w:p w14:paraId="2C6F22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宁海县总工会</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1C1E4D82">
      <w:pPr>
        <w:spacing w:line="360" w:lineRule="auto"/>
        <w:ind w:firstLine="482" w:firstLineChars="200"/>
        <w:rPr>
          <w:rFonts w:hint="eastAsia" w:ascii="宋体" w:hAnsi="宋体" w:cs="宋体"/>
          <w:b/>
          <w:color w:val="auto"/>
          <w:sz w:val="24"/>
          <w:highlight w:val="none"/>
        </w:rPr>
      </w:pPr>
      <w:bookmarkStart w:id="417" w:name="_Toc3029"/>
      <w:bookmarkStart w:id="418" w:name="_Toc2232"/>
      <w:bookmarkStart w:id="419" w:name="_Toc24059"/>
      <w:r>
        <w:rPr>
          <w:rFonts w:hint="eastAsia" w:ascii="宋体" w:hAnsi="宋体" w:cs="宋体"/>
          <w:b/>
          <w:color w:val="auto"/>
          <w:sz w:val="24"/>
          <w:highlight w:val="none"/>
        </w:rPr>
        <w:t>1.1 合同组成部分</w:t>
      </w:r>
      <w:bookmarkEnd w:id="417"/>
      <w:bookmarkEnd w:id="418"/>
      <w:bookmarkEnd w:id="419"/>
    </w:p>
    <w:p w14:paraId="0BA7AC9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264F4B8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 本合同及其补充合同、变更协议；</w:t>
      </w:r>
    </w:p>
    <w:p w14:paraId="382BF93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 中标或者成交通知书；</w:t>
      </w:r>
    </w:p>
    <w:p w14:paraId="60DA106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7B09D23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 招标文件（含澄清或者修改文件）；</w:t>
      </w:r>
    </w:p>
    <w:p w14:paraId="5226802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 其他相关招标文件。</w:t>
      </w:r>
    </w:p>
    <w:p w14:paraId="58A1A525">
      <w:pPr>
        <w:spacing w:line="360" w:lineRule="auto"/>
        <w:ind w:firstLine="482" w:firstLineChars="200"/>
        <w:rPr>
          <w:rFonts w:hint="eastAsia" w:ascii="宋体" w:hAnsi="宋体" w:cs="宋体"/>
          <w:b/>
          <w:color w:val="auto"/>
          <w:sz w:val="24"/>
          <w:highlight w:val="none"/>
        </w:rPr>
      </w:pPr>
      <w:bookmarkStart w:id="420" w:name="_Toc24300"/>
      <w:bookmarkStart w:id="421" w:name="_Toc27126"/>
      <w:bookmarkStart w:id="422" w:name="_Toc21295"/>
      <w:r>
        <w:rPr>
          <w:rFonts w:hint="eastAsia" w:ascii="宋体" w:hAnsi="宋体" w:cs="宋体"/>
          <w:b/>
          <w:color w:val="auto"/>
          <w:sz w:val="24"/>
          <w:highlight w:val="none"/>
        </w:rPr>
        <w:t>1.2 货物</w:t>
      </w:r>
      <w:bookmarkEnd w:id="420"/>
      <w:bookmarkEnd w:id="421"/>
      <w:bookmarkEnd w:id="422"/>
    </w:p>
    <w:p w14:paraId="69920FFA">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1.2.1 货物名称、品牌、规格型号：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6F44CEC">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1FAFCF">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1D471C5B">
      <w:pPr>
        <w:spacing w:line="360" w:lineRule="auto"/>
        <w:ind w:firstLine="482" w:firstLineChars="200"/>
        <w:rPr>
          <w:rFonts w:hint="eastAsia" w:ascii="宋体" w:hAnsi="宋体" w:cs="宋体"/>
          <w:b/>
          <w:color w:val="auto"/>
          <w:sz w:val="24"/>
          <w:highlight w:val="none"/>
        </w:rPr>
      </w:pPr>
      <w:bookmarkStart w:id="423" w:name="_Toc23292"/>
      <w:bookmarkStart w:id="424" w:name="_Toc21631"/>
      <w:bookmarkStart w:id="425" w:name="_Toc21551"/>
      <w:r>
        <w:rPr>
          <w:rFonts w:hint="eastAsia" w:ascii="宋体" w:hAnsi="宋体" w:cs="宋体"/>
          <w:b/>
          <w:color w:val="auto"/>
          <w:sz w:val="24"/>
          <w:highlight w:val="none"/>
        </w:rPr>
        <w:t>1.3 价款</w:t>
      </w:r>
      <w:bookmarkEnd w:id="423"/>
      <w:bookmarkEnd w:id="424"/>
      <w:bookmarkEnd w:id="425"/>
    </w:p>
    <w:p w14:paraId="47E43A6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本合同单价（含税）为：￥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bookmarkStart w:id="426" w:name="_Toc10340"/>
      <w:bookmarkStart w:id="427" w:name="_Toc1814"/>
      <w:bookmarkStart w:id="428" w:name="_Toc22618"/>
      <w:r>
        <w:rPr>
          <w:rFonts w:hint="eastAsia" w:ascii="宋体" w:hAnsi="宋体" w:cs="宋体"/>
          <w:color w:val="auto"/>
          <w:sz w:val="24"/>
          <w:highlight w:val="none"/>
          <w:lang w:val="en-US" w:eastAsia="zh-CN"/>
        </w:rPr>
        <w:t>/人，</w:t>
      </w:r>
      <w:r>
        <w:rPr>
          <w:rFonts w:hint="eastAsia" w:ascii="宋体" w:hAnsi="宋体" w:cs="宋体"/>
          <w:color w:val="auto"/>
          <w:sz w:val="24"/>
          <w:highlight w:val="none"/>
        </w:rPr>
        <w:t>合同</w:t>
      </w:r>
      <w:r>
        <w:rPr>
          <w:rFonts w:hint="eastAsia" w:ascii="宋体" w:hAnsi="宋体" w:cs="宋体"/>
          <w:color w:val="auto"/>
          <w:sz w:val="24"/>
          <w:highlight w:val="none"/>
          <w:lang w:eastAsia="zh-CN"/>
        </w:rPr>
        <w:t>总</w:t>
      </w:r>
      <w:r>
        <w:rPr>
          <w:rFonts w:hint="eastAsia" w:ascii="宋体" w:hAnsi="宋体" w:cs="宋体"/>
          <w:color w:val="auto"/>
          <w:sz w:val="24"/>
          <w:highlight w:val="none"/>
        </w:rPr>
        <w:t>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元（含公路运输）。</w:t>
      </w:r>
    </w:p>
    <w:p w14:paraId="75B98145">
      <w:pPr>
        <w:pStyle w:val="958"/>
        <w:spacing w:before="0" w:beforeAutospacing="0" w:after="0" w:afterAutospacing="0" w:line="360" w:lineRule="auto"/>
        <w:ind w:firstLine="480"/>
        <w:rPr>
          <w:rFonts w:hint="eastAsia"/>
          <w:b/>
          <w:color w:val="auto"/>
          <w:highlight w:val="none"/>
        </w:rPr>
      </w:pPr>
      <w:r>
        <w:rPr>
          <w:rFonts w:hint="eastAsia"/>
          <w:b/>
          <w:color w:val="auto"/>
          <w:highlight w:val="none"/>
        </w:rPr>
        <w:t>1.4履约保证金</w:t>
      </w:r>
    </w:p>
    <w:p w14:paraId="515AC1CE">
      <w:pPr>
        <w:pStyle w:val="958"/>
        <w:spacing w:before="0" w:beforeAutospacing="0" w:after="0" w:afterAutospacing="0" w:line="360" w:lineRule="auto"/>
        <w:ind w:firstLine="480"/>
        <w:rPr>
          <w:rFonts w:hint="eastAsia"/>
          <w:color w:val="auto"/>
          <w:highlight w:val="none"/>
        </w:rPr>
      </w:pPr>
      <w:r>
        <w:rPr>
          <w:rFonts w:hint="eastAsia"/>
          <w:color w:val="auto"/>
          <w:highlight w:val="none"/>
        </w:rPr>
        <w:t>乙方</w:t>
      </w:r>
      <w:r>
        <w:rPr>
          <w:rFonts w:hint="eastAsia"/>
          <w:color w:val="auto"/>
          <w:highlight w:val="none"/>
          <w:u w:val="single"/>
        </w:rPr>
        <w:t xml:space="preserve">  否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3CC6AFF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14:paraId="0293D78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Cs/>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778AC2E">
      <w:pPr>
        <w:tabs>
          <w:tab w:val="left" w:pos="0"/>
        </w:tabs>
        <w:spacing w:line="360" w:lineRule="auto"/>
        <w:ind w:firstLine="480" w:firstLineChars="200"/>
        <w:rPr>
          <w:color w:val="auto"/>
          <w:highlight w:val="none"/>
        </w:rPr>
      </w:pPr>
      <w:r>
        <w:rPr>
          <w:rFonts w:hint="eastAsia" w:ascii="宋体" w:hAnsi="宋体" w:cs="宋体"/>
          <w:color w:val="auto"/>
          <w:kern w:val="0"/>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118C8C0">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1.5</w:t>
      </w:r>
      <w:bookmarkEnd w:id="426"/>
      <w:bookmarkEnd w:id="427"/>
      <w:bookmarkEnd w:id="428"/>
      <w:r>
        <w:rPr>
          <w:rFonts w:hint="eastAsia" w:ascii="宋体" w:hAnsi="宋体" w:cs="宋体"/>
          <w:b/>
          <w:color w:val="auto"/>
          <w:sz w:val="24"/>
          <w:highlight w:val="none"/>
        </w:rPr>
        <w:t>预付款</w:t>
      </w:r>
    </w:p>
    <w:p w14:paraId="1AC39D9A">
      <w:pPr>
        <w:pStyle w:val="958"/>
        <w:spacing w:before="0" w:beforeAutospacing="0" w:after="0" w:afterAutospacing="0" w:line="360" w:lineRule="auto"/>
        <w:ind w:firstLine="480"/>
        <w:rPr>
          <w:rFonts w:hint="eastAsia"/>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0D08720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10BB6F1">
      <w:pPr>
        <w:pStyle w:val="958"/>
        <w:spacing w:before="0" w:beforeAutospacing="0" w:after="0" w:afterAutospacing="0" w:line="360" w:lineRule="auto"/>
        <w:ind w:firstLine="480"/>
        <w:rPr>
          <w:rFonts w:hint="eastAsia"/>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0871164">
      <w:pPr>
        <w:pStyle w:val="958"/>
        <w:spacing w:before="0" w:beforeAutospacing="0" w:after="0" w:afterAutospacing="0" w:line="360" w:lineRule="auto"/>
        <w:ind w:firstLine="480"/>
        <w:rPr>
          <w:rFonts w:hint="eastAsia"/>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BAC9CCA">
      <w:pPr>
        <w:pStyle w:val="958"/>
        <w:spacing w:before="0" w:beforeAutospacing="0" w:after="0" w:afterAutospacing="0" w:line="360" w:lineRule="auto"/>
        <w:ind w:firstLine="480"/>
        <w:rPr>
          <w:rFonts w:hint="eastAsia"/>
          <w:b/>
          <w:bCs/>
          <w:color w:val="auto"/>
          <w:highlight w:val="none"/>
        </w:rPr>
      </w:pPr>
      <w:r>
        <w:rPr>
          <w:rFonts w:hint="eastAsia"/>
          <w:b/>
          <w:bCs/>
          <w:color w:val="auto"/>
          <w:highlight w:val="none"/>
        </w:rPr>
        <w:t>1.6资金支付</w:t>
      </w:r>
    </w:p>
    <w:p w14:paraId="7C2F7016">
      <w:pPr>
        <w:pStyle w:val="958"/>
        <w:spacing w:before="0" w:beforeAutospacing="0" w:after="0" w:afterAutospacing="0" w:line="360" w:lineRule="auto"/>
        <w:ind w:firstLine="480"/>
        <w:rPr>
          <w:rFonts w:hint="eastAsia"/>
          <w:color w:val="auto"/>
          <w:highlight w:val="none"/>
        </w:rPr>
      </w:pPr>
      <w:r>
        <w:rPr>
          <w:rFonts w:hint="eastAsia"/>
          <w:color w:val="auto"/>
          <w:highlight w:val="none"/>
        </w:rPr>
        <w:t>1.6.1甲方应严格履行合同，及时组织验收。</w:t>
      </w:r>
    </w:p>
    <w:p w14:paraId="1739CA0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0C8B8460">
      <w:pPr>
        <w:spacing w:line="360" w:lineRule="auto"/>
        <w:ind w:firstLine="482" w:firstLineChars="200"/>
        <w:rPr>
          <w:rFonts w:hint="eastAsia" w:ascii="宋体" w:hAnsi="宋体" w:cs="宋体"/>
          <w:b/>
          <w:color w:val="auto"/>
          <w:sz w:val="24"/>
          <w:highlight w:val="none"/>
        </w:rPr>
      </w:pPr>
      <w:bookmarkStart w:id="429" w:name="_Toc19304"/>
      <w:bookmarkStart w:id="430" w:name="_Toc32071"/>
      <w:bookmarkStart w:id="431" w:name="_Toc2846"/>
      <w:r>
        <w:rPr>
          <w:rFonts w:hint="eastAsia" w:ascii="宋体" w:hAnsi="宋体" w:cs="宋体"/>
          <w:b/>
          <w:color w:val="auto"/>
          <w:sz w:val="24"/>
          <w:highlight w:val="none"/>
        </w:rPr>
        <w:t>1.7货物交付期限、地点和方式</w:t>
      </w:r>
      <w:bookmarkEnd w:id="429"/>
      <w:bookmarkEnd w:id="430"/>
      <w:bookmarkEnd w:id="431"/>
    </w:p>
    <w:p w14:paraId="0698E921">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3A5DBC5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77D077F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3618F009">
      <w:pPr>
        <w:spacing w:line="360" w:lineRule="auto"/>
        <w:ind w:firstLine="482" w:firstLineChars="200"/>
        <w:rPr>
          <w:rFonts w:hint="eastAsia" w:ascii="宋体" w:hAnsi="宋体" w:cs="宋体"/>
          <w:b/>
          <w:color w:val="auto"/>
          <w:sz w:val="24"/>
          <w:highlight w:val="none"/>
        </w:rPr>
      </w:pPr>
      <w:bookmarkStart w:id="432" w:name="_Toc21423"/>
      <w:bookmarkStart w:id="433" w:name="_Toc27250"/>
      <w:bookmarkStart w:id="434" w:name="_Toc19554"/>
      <w:r>
        <w:rPr>
          <w:rFonts w:hint="eastAsia" w:ascii="宋体" w:hAnsi="宋体" w:cs="宋体"/>
          <w:b/>
          <w:color w:val="auto"/>
          <w:sz w:val="24"/>
          <w:highlight w:val="none"/>
        </w:rPr>
        <w:t>1.8违约责任</w:t>
      </w:r>
      <w:bookmarkEnd w:id="432"/>
      <w:bookmarkEnd w:id="433"/>
      <w:bookmarkEnd w:id="434"/>
    </w:p>
    <w:p w14:paraId="417BEBD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50DABF1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1.8.2 本合同有效期内，甲、乙双方任何一方均不能擅自解除或终止本合同，一方确有客观原因需要解除或终止本合同的，应提前三个月以书面形式向另一方进行说明解除或终止合同的原因，并应向另一方支付壹万元违约金，方能解除或终止合同，如果通过诉讼或仲裁追究违约方的违约责任，则违约方应承担守约方为此而支出的诉讼或仲裁费、保全费、保全担保费、律师费、审计评估费、鉴定费和公证费等全部费用。</w:t>
      </w:r>
    </w:p>
    <w:p w14:paraId="7F6B5733">
      <w:pPr>
        <w:spacing w:line="360" w:lineRule="auto"/>
        <w:ind w:left="-420" w:leftChars="-200" w:right="-420" w:rightChars="-200" w:firstLine="960" w:firstLineChars="400"/>
        <w:rPr>
          <w:rFonts w:hint="eastAsia" w:ascii="宋体" w:hAnsi="宋体" w:cs="宋体"/>
          <w:color w:val="auto"/>
          <w:highlight w:val="none"/>
        </w:rPr>
      </w:pPr>
      <w:r>
        <w:rPr>
          <w:rFonts w:hint="eastAsia" w:ascii="宋体" w:hAnsi="宋体" w:cs="宋体"/>
          <w:color w:val="auto"/>
          <w:sz w:val="24"/>
          <w:highlight w:val="none"/>
        </w:rPr>
        <w:t>1.8.3违约责任</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另有约定的，从其约定。</w:t>
      </w:r>
    </w:p>
    <w:p w14:paraId="215FFDA1">
      <w:pPr>
        <w:spacing w:line="360" w:lineRule="auto"/>
        <w:ind w:firstLine="482" w:firstLineChars="200"/>
        <w:rPr>
          <w:rFonts w:hint="eastAsia" w:ascii="宋体" w:hAnsi="宋体" w:cs="宋体"/>
          <w:b/>
          <w:color w:val="auto"/>
          <w:sz w:val="24"/>
          <w:highlight w:val="none"/>
        </w:rPr>
      </w:pPr>
      <w:bookmarkStart w:id="435" w:name="_Toc28375"/>
      <w:bookmarkStart w:id="436" w:name="_Toc15583"/>
      <w:bookmarkStart w:id="437" w:name="_Toc16021"/>
      <w:r>
        <w:rPr>
          <w:rFonts w:hint="eastAsia" w:ascii="宋体" w:hAnsi="宋体" w:cs="宋体"/>
          <w:b/>
          <w:color w:val="auto"/>
          <w:sz w:val="24"/>
          <w:highlight w:val="none"/>
        </w:rPr>
        <w:t>1.9合同争议的解决</w:t>
      </w:r>
      <w:bookmarkEnd w:id="435"/>
      <w:bookmarkEnd w:id="436"/>
      <w:bookmarkEnd w:id="437"/>
    </w:p>
    <w:p w14:paraId="2A245E34">
      <w:pPr>
        <w:spacing w:line="360" w:lineRule="auto"/>
        <w:ind w:left="-61" w:leftChars="-29" w:right="-420" w:rightChars="-20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rPr>
        <w:t>条款规定的方式解决：</w:t>
      </w:r>
    </w:p>
    <w:p w14:paraId="76688688">
      <w:pPr>
        <w:spacing w:line="360" w:lineRule="auto"/>
        <w:ind w:left="-420" w:leftChars="-200" w:right="-420" w:rightChars="-200" w:firstLine="840" w:firstLineChars="350"/>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7425F0CC">
      <w:pPr>
        <w:spacing w:line="360" w:lineRule="auto"/>
        <w:ind w:left="-420" w:leftChars="-200" w:right="-420" w:rightChars="-200" w:firstLine="840" w:firstLineChars="350"/>
        <w:rPr>
          <w:rFonts w:hint="eastAsia"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人民法院起诉。</w:t>
      </w:r>
    </w:p>
    <w:p w14:paraId="591D1382">
      <w:pPr>
        <w:spacing w:line="360" w:lineRule="auto"/>
        <w:ind w:firstLine="482" w:firstLineChars="200"/>
        <w:rPr>
          <w:rFonts w:hint="eastAsia" w:ascii="宋体" w:hAnsi="宋体" w:cs="宋体"/>
          <w:b/>
          <w:color w:val="auto"/>
          <w:sz w:val="24"/>
          <w:highlight w:val="none"/>
        </w:rPr>
      </w:pPr>
      <w:bookmarkStart w:id="438" w:name="_Toc7245"/>
      <w:bookmarkStart w:id="439" w:name="_Toc15322"/>
      <w:bookmarkStart w:id="440" w:name="_Toc11173"/>
    </w:p>
    <w:p w14:paraId="77D73022">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2.0 合同生效</w:t>
      </w:r>
      <w:bookmarkEnd w:id="438"/>
      <w:bookmarkEnd w:id="439"/>
      <w:bookmarkEnd w:id="440"/>
    </w:p>
    <w:p w14:paraId="312B36A2">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04BB05A3">
      <w:pPr>
        <w:autoSpaceDE w:val="0"/>
        <w:autoSpaceDN w:val="0"/>
        <w:spacing w:line="360" w:lineRule="auto"/>
        <w:rPr>
          <w:rFonts w:hint="eastAsia" w:ascii="宋体" w:hAnsi="宋体" w:cs="宋体"/>
          <w:b/>
          <w:color w:val="auto"/>
          <w:sz w:val="24"/>
          <w:highlight w:val="none"/>
          <w:lang w:val="zh-CN"/>
        </w:rPr>
      </w:pPr>
    </w:p>
    <w:p w14:paraId="2BC821E8">
      <w:pPr>
        <w:autoSpaceDE w:val="0"/>
        <w:autoSpaceDN w:val="0"/>
        <w:spacing w:line="360" w:lineRule="auto"/>
        <w:rPr>
          <w:rFonts w:hint="eastAsia"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61ACDA6C">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7818FE2D">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住所：                                   住所：</w:t>
      </w:r>
    </w:p>
    <w:p w14:paraId="2BE20E2F">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054DC259">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18D738BE">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4595ECC0">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6145AFB1">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2D71A2E6">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5079B275">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传真：                                    传真：</w:t>
      </w:r>
    </w:p>
    <w:p w14:paraId="45F8EA28">
      <w:pPr>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zh-CN"/>
        </w:rPr>
        <w:t>电子邮箱：                               电子邮箱：</w:t>
      </w:r>
    </w:p>
    <w:p w14:paraId="53826F51">
      <w:pPr>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14:paraId="7265D2A5">
      <w:pPr>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开户名称：                               开户名称： </w:t>
      </w:r>
    </w:p>
    <w:p w14:paraId="18BEAE50">
      <w:pPr>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00A61202">
      <w:pPr>
        <w:autoSpaceDE w:val="0"/>
        <w:autoSpaceDN w:val="0"/>
        <w:spacing w:line="360" w:lineRule="auto"/>
        <w:rPr>
          <w:rFonts w:hint="eastAsia" w:ascii="宋体" w:hAnsi="宋体" w:cs="宋体"/>
          <w:color w:val="auto"/>
          <w:sz w:val="24"/>
          <w:highlight w:val="none"/>
        </w:rPr>
      </w:pPr>
    </w:p>
    <w:p w14:paraId="41682C29">
      <w:pPr>
        <w:autoSpaceDE w:val="0"/>
        <w:autoSpaceDN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见证方：</w:t>
      </w:r>
      <w:r>
        <w:rPr>
          <w:rFonts w:hint="eastAsia" w:ascii="宋体" w:hAnsi="宋体" w:cs="宋体"/>
          <w:color w:val="auto"/>
          <w:sz w:val="24"/>
          <w:highlight w:val="none"/>
          <w:lang w:eastAsia="zh-CN"/>
        </w:rPr>
        <w:t>宁波中基国际招标有限公司</w:t>
      </w:r>
    </w:p>
    <w:p w14:paraId="648C9F49">
      <w:pPr>
        <w:tabs>
          <w:tab w:val="left" w:pos="432"/>
        </w:tabs>
        <w:rPr>
          <w:rFonts w:hint="eastAsia" w:ascii="宋体" w:hAnsi="宋体" w:cs="宋体"/>
          <w:color w:val="auto"/>
          <w:sz w:val="24"/>
          <w:highlight w:val="none"/>
        </w:rPr>
      </w:pPr>
    </w:p>
    <w:p w14:paraId="1998FFD7">
      <w:pPr>
        <w:rPr>
          <w:rFonts w:hint="eastAsia" w:ascii="宋体" w:hAnsi="宋体" w:cs="宋体"/>
          <w:color w:val="auto"/>
          <w:sz w:val="24"/>
          <w:highlight w:val="none"/>
        </w:rPr>
      </w:pPr>
    </w:p>
    <w:p w14:paraId="77A1A7D1">
      <w:pPr>
        <w:tabs>
          <w:tab w:val="left" w:pos="432"/>
        </w:tabs>
        <w:rPr>
          <w:rFonts w:hint="eastAsia" w:ascii="宋体" w:hAnsi="宋体" w:cs="宋体"/>
          <w:color w:val="auto"/>
          <w:sz w:val="24"/>
          <w:highlight w:val="none"/>
        </w:rPr>
      </w:pPr>
    </w:p>
    <w:p w14:paraId="682301A7">
      <w:pPr>
        <w:rPr>
          <w:rFonts w:hint="eastAsia" w:ascii="宋体" w:hAnsi="宋体" w:cs="宋体"/>
          <w:color w:val="auto"/>
          <w:sz w:val="24"/>
          <w:highlight w:val="none"/>
        </w:rPr>
      </w:pPr>
    </w:p>
    <w:p w14:paraId="6CB0BB92">
      <w:pPr>
        <w:tabs>
          <w:tab w:val="left" w:pos="432"/>
        </w:tabs>
        <w:rPr>
          <w:rFonts w:hint="eastAsia" w:ascii="宋体" w:hAnsi="宋体" w:cs="宋体"/>
          <w:color w:val="auto"/>
          <w:sz w:val="24"/>
          <w:highlight w:val="none"/>
        </w:rPr>
      </w:pPr>
    </w:p>
    <w:p w14:paraId="687BA457">
      <w:pPr>
        <w:rPr>
          <w:rFonts w:hint="eastAsia" w:ascii="宋体" w:hAnsi="宋体" w:cs="宋体"/>
          <w:color w:val="auto"/>
          <w:sz w:val="24"/>
          <w:highlight w:val="none"/>
        </w:rPr>
      </w:pPr>
    </w:p>
    <w:p w14:paraId="7A0FAD65">
      <w:pPr>
        <w:rPr>
          <w:rFonts w:hint="eastAsia" w:ascii="宋体" w:hAnsi="宋体" w:cs="宋体"/>
          <w:b/>
          <w:color w:val="auto"/>
          <w:highlight w:val="none"/>
        </w:rPr>
      </w:pPr>
      <w:r>
        <w:rPr>
          <w:rFonts w:hint="eastAsia" w:ascii="宋体" w:hAnsi="宋体" w:cs="宋体"/>
          <w:b/>
          <w:color w:val="auto"/>
          <w:highlight w:val="none"/>
        </w:rPr>
        <w:br w:type="page"/>
      </w:r>
    </w:p>
    <w:p w14:paraId="334875AC">
      <w:pPr>
        <w:pStyle w:val="700"/>
        <w:spacing w:line="560" w:lineRule="exact"/>
        <w:ind w:firstLine="482"/>
        <w:jc w:val="center"/>
        <w:rPr>
          <w:rFonts w:hint="eastAsia" w:ascii="宋体" w:hAnsi="宋体" w:cs="宋体"/>
          <w:b/>
          <w:color w:val="auto"/>
          <w:szCs w:val="24"/>
          <w:highlight w:val="none"/>
        </w:rPr>
      </w:pPr>
      <w:r>
        <w:rPr>
          <w:rFonts w:hint="eastAsia" w:ascii="宋体" w:hAnsi="宋体" w:cs="宋体"/>
          <w:b/>
          <w:color w:val="auto"/>
          <w:szCs w:val="24"/>
          <w:highlight w:val="none"/>
        </w:rPr>
        <w:t>第二部分 合同一般条款</w:t>
      </w:r>
    </w:p>
    <w:p w14:paraId="75D7657C">
      <w:pPr>
        <w:spacing w:line="560" w:lineRule="exact"/>
        <w:ind w:firstLine="482" w:firstLineChars="200"/>
        <w:rPr>
          <w:rFonts w:hint="eastAsia" w:ascii="宋体" w:hAnsi="宋体" w:cs="宋体"/>
          <w:b/>
          <w:color w:val="auto"/>
          <w:sz w:val="24"/>
          <w:highlight w:val="none"/>
        </w:rPr>
      </w:pPr>
      <w:bookmarkStart w:id="441" w:name="_Toc28763"/>
      <w:bookmarkStart w:id="442" w:name="_Ref467379195"/>
      <w:bookmarkStart w:id="443" w:name="_Toc259093669"/>
      <w:bookmarkStart w:id="444" w:name="_Ref467378463"/>
      <w:bookmarkStart w:id="445" w:name="_Ref467379094"/>
      <w:bookmarkStart w:id="446" w:name="_Ref467379225"/>
      <w:bookmarkStart w:id="447" w:name="_Ref467379205"/>
      <w:bookmarkStart w:id="448" w:name="_Ref467378404"/>
      <w:bookmarkStart w:id="449" w:name="_Ref467378499"/>
      <w:bookmarkStart w:id="450" w:name="_Toc16917"/>
      <w:bookmarkStart w:id="451" w:name="_Toc19614"/>
      <w:bookmarkStart w:id="452" w:name="_Ref467379109"/>
      <w:bookmarkStart w:id="453" w:name="_Ref467379101"/>
      <w:bookmarkStart w:id="454" w:name="_Ref467379214"/>
      <w:bookmarkStart w:id="455" w:name="_Toc279701240"/>
      <w:bookmarkStart w:id="456" w:name="_Toc487900349"/>
      <w:r>
        <w:rPr>
          <w:rFonts w:hint="eastAsia" w:ascii="宋体" w:hAnsi="宋体" w:cs="宋体"/>
          <w:b/>
          <w:color w:val="auto"/>
          <w:sz w:val="24"/>
          <w:highlight w:val="none"/>
        </w:rPr>
        <w:t>2.1 定义</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0F9A6AD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0335AD9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5D6AAEA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4A8E0BD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4609F89B">
      <w:pPr>
        <w:spacing w:line="560" w:lineRule="exact"/>
        <w:ind w:firstLine="480" w:firstLineChars="200"/>
        <w:rPr>
          <w:rFonts w:hint="eastAsia" w:ascii="宋体" w:hAnsi="宋体" w:cs="宋体"/>
          <w:color w:val="auto"/>
          <w:sz w:val="24"/>
          <w:highlight w:val="none"/>
        </w:rPr>
      </w:pPr>
      <w:bookmarkStart w:id="457" w:name="_Ref467378840"/>
      <w:r>
        <w:rPr>
          <w:rFonts w:hint="eastAsia" w:ascii="宋体" w:hAnsi="宋体" w:cs="宋体"/>
          <w:color w:val="auto"/>
          <w:sz w:val="24"/>
          <w:highlight w:val="none"/>
        </w:rPr>
        <w:t>2.1.4 “甲方”系指与中标或成交供应商签署合同的采购人</w:t>
      </w:r>
      <w:bookmarkEnd w:id="457"/>
      <w:r>
        <w:rPr>
          <w:rFonts w:hint="eastAsia" w:ascii="宋体" w:hAnsi="宋体" w:cs="宋体"/>
          <w:color w:val="auto"/>
          <w:sz w:val="24"/>
          <w:highlight w:val="none"/>
        </w:rPr>
        <w:t>；采购人委托采购代理机构代表其与乙方签订合同的，采购人的授权委托书作为合同附件。</w:t>
      </w:r>
    </w:p>
    <w:p w14:paraId="3BA45850">
      <w:pPr>
        <w:spacing w:line="560" w:lineRule="exact"/>
        <w:ind w:firstLine="480" w:firstLineChars="200"/>
        <w:rPr>
          <w:rFonts w:hint="eastAsia" w:ascii="宋体" w:hAnsi="宋体" w:cs="宋体"/>
          <w:color w:val="auto"/>
          <w:sz w:val="24"/>
          <w:highlight w:val="none"/>
        </w:rPr>
      </w:pPr>
      <w:bookmarkStart w:id="458" w:name="_Ref467379400"/>
      <w:r>
        <w:rPr>
          <w:rFonts w:hint="eastAsia" w:ascii="宋体" w:hAnsi="宋体" w:cs="宋体"/>
          <w:color w:val="auto"/>
          <w:sz w:val="24"/>
          <w:highlight w:val="none"/>
        </w:rPr>
        <w:t>2.1.5 “乙方”系指根据合同约定交付货物的中标或成交供应商</w:t>
      </w:r>
      <w:bookmarkEnd w:id="458"/>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C3D8B49">
      <w:pPr>
        <w:spacing w:line="560" w:lineRule="exact"/>
        <w:ind w:firstLine="480" w:firstLineChars="200"/>
        <w:rPr>
          <w:rFonts w:hint="eastAsia" w:ascii="宋体" w:hAnsi="宋体" w:cs="宋体"/>
          <w:color w:val="auto"/>
          <w:sz w:val="24"/>
          <w:highlight w:val="none"/>
        </w:rPr>
      </w:pPr>
      <w:bookmarkStart w:id="459" w:name="_Ref467379436"/>
      <w:r>
        <w:rPr>
          <w:rFonts w:hint="eastAsia" w:ascii="宋体" w:hAnsi="宋体" w:cs="宋体"/>
          <w:color w:val="auto"/>
          <w:sz w:val="24"/>
          <w:highlight w:val="none"/>
        </w:rPr>
        <w:t>2.1.6 “现场”系指合同约定货物将要运至或者安装的地点。</w:t>
      </w:r>
      <w:bookmarkEnd w:id="459"/>
    </w:p>
    <w:p w14:paraId="67A0194C">
      <w:pPr>
        <w:spacing w:line="560" w:lineRule="exact"/>
        <w:ind w:firstLine="482" w:firstLineChars="200"/>
        <w:rPr>
          <w:rFonts w:hint="eastAsia" w:ascii="宋体" w:hAnsi="宋体" w:cs="宋体"/>
          <w:b/>
          <w:color w:val="auto"/>
          <w:sz w:val="24"/>
          <w:highlight w:val="none"/>
        </w:rPr>
      </w:pPr>
      <w:bookmarkStart w:id="460" w:name="_Toc259093670"/>
      <w:bookmarkStart w:id="461" w:name="_Toc279701241"/>
      <w:bookmarkStart w:id="462" w:name="_Toc27635"/>
      <w:bookmarkStart w:id="463" w:name="_Toc32504"/>
      <w:bookmarkStart w:id="464" w:name="_Toc487900350"/>
      <w:bookmarkStart w:id="465" w:name="_Toc13336"/>
      <w:r>
        <w:rPr>
          <w:rFonts w:hint="eastAsia" w:ascii="宋体" w:hAnsi="宋体" w:cs="宋体"/>
          <w:b/>
          <w:color w:val="auto"/>
          <w:sz w:val="24"/>
          <w:highlight w:val="none"/>
        </w:rPr>
        <w:t>2.2 技术规范</w:t>
      </w:r>
      <w:bookmarkEnd w:id="460"/>
      <w:bookmarkEnd w:id="461"/>
      <w:bookmarkEnd w:id="462"/>
      <w:bookmarkEnd w:id="463"/>
      <w:bookmarkEnd w:id="464"/>
      <w:bookmarkEnd w:id="465"/>
    </w:p>
    <w:p w14:paraId="71907A5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货物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0313B30A">
      <w:pPr>
        <w:spacing w:line="560" w:lineRule="exact"/>
        <w:ind w:firstLine="482" w:firstLineChars="200"/>
        <w:rPr>
          <w:rFonts w:hint="eastAsia" w:ascii="宋体" w:hAnsi="宋体" w:cs="宋体"/>
          <w:b/>
          <w:color w:val="auto"/>
          <w:sz w:val="24"/>
          <w:highlight w:val="none"/>
        </w:rPr>
      </w:pPr>
      <w:bookmarkStart w:id="466" w:name="_Toc259093671"/>
      <w:bookmarkStart w:id="467" w:name="_Toc279701242"/>
      <w:bookmarkStart w:id="468" w:name="_Toc487900351"/>
      <w:bookmarkStart w:id="469" w:name="_Toc9829"/>
      <w:bookmarkStart w:id="470" w:name="_Toc27853"/>
      <w:bookmarkStart w:id="471" w:name="_Toc31634"/>
      <w:r>
        <w:rPr>
          <w:rFonts w:hint="eastAsia" w:ascii="宋体" w:hAnsi="宋体" w:cs="宋体"/>
          <w:b/>
          <w:color w:val="auto"/>
          <w:sz w:val="24"/>
          <w:highlight w:val="none"/>
        </w:rPr>
        <w:t>2.3 知识产权</w:t>
      </w:r>
      <w:bookmarkEnd w:id="466"/>
      <w:bookmarkEnd w:id="467"/>
      <w:bookmarkEnd w:id="468"/>
      <w:bookmarkEnd w:id="469"/>
      <w:bookmarkEnd w:id="470"/>
      <w:bookmarkEnd w:id="471"/>
    </w:p>
    <w:p w14:paraId="3A1FD54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18515FF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7F6E7D02">
      <w:pPr>
        <w:spacing w:line="560" w:lineRule="exact"/>
        <w:ind w:firstLine="482" w:firstLineChars="200"/>
        <w:rPr>
          <w:rFonts w:hint="eastAsia" w:ascii="宋体" w:hAnsi="宋体" w:cs="宋体"/>
          <w:b/>
          <w:color w:val="auto"/>
          <w:sz w:val="24"/>
          <w:highlight w:val="none"/>
        </w:rPr>
      </w:pPr>
      <w:bookmarkStart w:id="472" w:name="_Toc4194"/>
      <w:bookmarkStart w:id="473" w:name="_Toc11932"/>
      <w:bookmarkStart w:id="474" w:name="_Toc29149"/>
      <w:r>
        <w:rPr>
          <w:rFonts w:hint="eastAsia" w:ascii="宋体" w:hAnsi="宋体" w:cs="宋体"/>
          <w:b/>
          <w:color w:val="auto"/>
          <w:sz w:val="24"/>
          <w:highlight w:val="none"/>
        </w:rPr>
        <w:t>2.4 包装和装运</w:t>
      </w:r>
      <w:bookmarkEnd w:id="472"/>
      <w:bookmarkEnd w:id="473"/>
      <w:bookmarkEnd w:id="474"/>
    </w:p>
    <w:p w14:paraId="72C552A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06D9E4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03A964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1A0AF7AE">
      <w:pPr>
        <w:spacing w:line="560" w:lineRule="exact"/>
        <w:ind w:firstLine="482" w:firstLineChars="200"/>
        <w:rPr>
          <w:rFonts w:hint="eastAsia" w:ascii="宋体" w:hAnsi="宋体" w:cs="宋体"/>
          <w:b/>
          <w:color w:val="auto"/>
          <w:sz w:val="24"/>
          <w:highlight w:val="none"/>
        </w:rPr>
      </w:pPr>
      <w:bookmarkStart w:id="475" w:name="_Ref467378591"/>
      <w:bookmarkStart w:id="476" w:name="_Ref467379536"/>
      <w:bookmarkStart w:id="477" w:name="_Toc487900354"/>
      <w:bookmarkStart w:id="478" w:name="_Ref467379542"/>
      <w:bookmarkStart w:id="479" w:name="_Toc279701245"/>
      <w:bookmarkStart w:id="480" w:name="_Ref467378541"/>
      <w:bookmarkStart w:id="481" w:name="_Ref467379527"/>
      <w:bookmarkStart w:id="482" w:name="_Toc259093674"/>
      <w:bookmarkStart w:id="483" w:name="_Toc19074"/>
      <w:bookmarkStart w:id="484" w:name="_Toc30272"/>
      <w:bookmarkStart w:id="485" w:name="_Toc26182"/>
      <w:r>
        <w:rPr>
          <w:rFonts w:hint="eastAsia" w:ascii="宋体" w:hAnsi="宋体" w:cs="宋体"/>
          <w:b/>
          <w:color w:val="auto"/>
          <w:sz w:val="24"/>
          <w:highlight w:val="none"/>
        </w:rPr>
        <w:t>2.</w:t>
      </w:r>
      <w:bookmarkEnd w:id="475"/>
      <w:bookmarkEnd w:id="476"/>
      <w:bookmarkEnd w:id="477"/>
      <w:bookmarkEnd w:id="478"/>
      <w:bookmarkEnd w:id="479"/>
      <w:bookmarkEnd w:id="480"/>
      <w:bookmarkEnd w:id="481"/>
      <w:bookmarkEnd w:id="482"/>
      <w:r>
        <w:rPr>
          <w:rFonts w:hint="eastAsia" w:ascii="宋体" w:hAnsi="宋体" w:cs="宋体"/>
          <w:b/>
          <w:color w:val="auto"/>
          <w:sz w:val="24"/>
          <w:highlight w:val="none"/>
        </w:rPr>
        <w:t>5 履约检查和问题反馈</w:t>
      </w:r>
      <w:bookmarkEnd w:id="483"/>
      <w:bookmarkEnd w:id="484"/>
      <w:bookmarkEnd w:id="485"/>
    </w:p>
    <w:p w14:paraId="74D63A37">
      <w:pPr>
        <w:spacing w:line="560" w:lineRule="exact"/>
        <w:ind w:firstLine="480" w:firstLineChars="200"/>
        <w:rPr>
          <w:rFonts w:hint="eastAsia" w:ascii="宋体" w:hAnsi="宋体" w:cs="宋体"/>
          <w:color w:val="auto"/>
          <w:sz w:val="24"/>
          <w:highlight w:val="none"/>
        </w:rPr>
      </w:pPr>
      <w:bookmarkStart w:id="486" w:name="_Ref467379657"/>
      <w:r>
        <w:rPr>
          <w:rFonts w:hint="eastAsia" w:ascii="宋体" w:hAnsi="宋体" w:cs="宋体"/>
          <w:color w:val="auto"/>
          <w:sz w:val="24"/>
          <w:highlight w:val="none"/>
        </w:rPr>
        <w:t>2.5.1</w:t>
      </w:r>
      <w:bookmarkEnd w:id="486"/>
      <w:bookmarkStart w:id="487" w:name="_Toc186431854"/>
      <w:bookmarkStart w:id="488" w:name="_Ref467379793"/>
      <w:bookmarkStart w:id="489" w:name="_Toc259093676"/>
      <w:bookmarkStart w:id="490" w:name="_Toc487900357"/>
      <w:bookmarkStart w:id="491" w:name="_Ref467379807"/>
      <w:bookmarkStart w:id="492" w:name="_Toc27970124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26D7680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87"/>
      <w:bookmarkStart w:id="493" w:name="_Toc186431855"/>
      <w:r>
        <w:rPr>
          <w:rFonts w:hint="eastAsia" w:ascii="宋体" w:hAnsi="宋体" w:cs="宋体"/>
          <w:color w:val="auto"/>
          <w:sz w:val="24"/>
          <w:highlight w:val="none"/>
        </w:rPr>
        <w:t>。</w:t>
      </w:r>
    </w:p>
    <w:bookmarkEnd w:id="488"/>
    <w:bookmarkEnd w:id="489"/>
    <w:bookmarkEnd w:id="490"/>
    <w:bookmarkEnd w:id="491"/>
    <w:bookmarkEnd w:id="492"/>
    <w:bookmarkEnd w:id="493"/>
    <w:p w14:paraId="77966F3D">
      <w:pPr>
        <w:spacing w:line="560" w:lineRule="exact"/>
        <w:ind w:firstLine="482" w:firstLineChars="200"/>
        <w:rPr>
          <w:rFonts w:hint="eastAsia" w:ascii="宋体" w:hAnsi="宋体" w:cs="宋体"/>
          <w:b/>
          <w:color w:val="auto"/>
          <w:sz w:val="24"/>
          <w:highlight w:val="none"/>
        </w:rPr>
      </w:pPr>
      <w:bookmarkStart w:id="494" w:name="_Ref467379852"/>
      <w:bookmarkStart w:id="495" w:name="_Ref467379863"/>
      <w:bookmarkStart w:id="496" w:name="_Ref467379923"/>
      <w:bookmarkStart w:id="497" w:name="_Toc487900358"/>
      <w:bookmarkStart w:id="498" w:name="_Toc259093677"/>
      <w:bookmarkStart w:id="499" w:name="_Toc279701248"/>
      <w:bookmarkStart w:id="500" w:name="_Toc774"/>
      <w:bookmarkStart w:id="501" w:name="_Toc16110"/>
      <w:bookmarkStart w:id="502" w:name="_Toc3225"/>
      <w:r>
        <w:rPr>
          <w:rFonts w:hint="eastAsia" w:ascii="宋体" w:hAnsi="宋体" w:cs="宋体"/>
          <w:b/>
          <w:color w:val="auto"/>
          <w:sz w:val="24"/>
          <w:highlight w:val="none"/>
        </w:rPr>
        <w:t>2.6 技术资料</w:t>
      </w:r>
      <w:bookmarkEnd w:id="494"/>
      <w:bookmarkEnd w:id="495"/>
      <w:bookmarkEnd w:id="496"/>
      <w:bookmarkEnd w:id="497"/>
      <w:bookmarkEnd w:id="498"/>
      <w:bookmarkEnd w:id="499"/>
      <w:r>
        <w:rPr>
          <w:rFonts w:hint="eastAsia" w:ascii="宋体" w:hAnsi="宋体" w:cs="宋体"/>
          <w:b/>
          <w:color w:val="auto"/>
          <w:sz w:val="24"/>
          <w:highlight w:val="none"/>
        </w:rPr>
        <w:t>和保密义务</w:t>
      </w:r>
      <w:bookmarkEnd w:id="500"/>
      <w:bookmarkEnd w:id="501"/>
      <w:bookmarkEnd w:id="502"/>
    </w:p>
    <w:p w14:paraId="1FE4908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67DC020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68B3217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14F75E9">
      <w:pPr>
        <w:spacing w:line="560" w:lineRule="exact"/>
        <w:ind w:firstLine="482" w:firstLineChars="200"/>
        <w:rPr>
          <w:rFonts w:hint="eastAsia" w:ascii="宋体" w:hAnsi="宋体" w:cs="宋体"/>
          <w:b/>
          <w:color w:val="auto"/>
          <w:sz w:val="24"/>
          <w:highlight w:val="none"/>
        </w:rPr>
      </w:pPr>
      <w:bookmarkStart w:id="503" w:name="_Toc7860"/>
      <w:r>
        <w:rPr>
          <w:rFonts w:hint="eastAsia" w:ascii="宋体" w:hAnsi="宋体" w:cs="宋体"/>
          <w:b/>
          <w:color w:val="auto"/>
          <w:sz w:val="24"/>
          <w:highlight w:val="none"/>
        </w:rPr>
        <w:t>2.7 质量保证</w:t>
      </w:r>
      <w:bookmarkEnd w:id="503"/>
    </w:p>
    <w:p w14:paraId="567659C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04FF754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3242C442">
      <w:pPr>
        <w:spacing w:line="560" w:lineRule="exact"/>
        <w:ind w:firstLine="482" w:firstLineChars="200"/>
        <w:rPr>
          <w:rFonts w:hint="eastAsia" w:ascii="宋体" w:hAnsi="宋体" w:cs="宋体"/>
          <w:b/>
          <w:color w:val="auto"/>
          <w:sz w:val="24"/>
          <w:highlight w:val="none"/>
        </w:rPr>
      </w:pPr>
      <w:bookmarkStart w:id="504" w:name="_Toc17244"/>
      <w:bookmarkStart w:id="505" w:name="_Toc279701252"/>
      <w:bookmarkStart w:id="506" w:name="_Toc259093681"/>
      <w:bookmarkStart w:id="507" w:name="_Toc487900362"/>
      <w:r>
        <w:rPr>
          <w:rFonts w:hint="eastAsia" w:ascii="宋体" w:hAnsi="宋体" w:cs="宋体"/>
          <w:b/>
          <w:color w:val="auto"/>
          <w:sz w:val="24"/>
          <w:highlight w:val="none"/>
        </w:rPr>
        <w:t>2.8 货物的风险负担</w:t>
      </w:r>
      <w:bookmarkEnd w:id="504"/>
    </w:p>
    <w:p w14:paraId="2ED74AA7">
      <w:pPr>
        <w:spacing w:line="56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286C710E">
      <w:pPr>
        <w:spacing w:line="560" w:lineRule="exact"/>
        <w:ind w:firstLine="482" w:firstLineChars="200"/>
        <w:rPr>
          <w:rFonts w:hint="eastAsia" w:ascii="宋体" w:hAnsi="宋体" w:cs="宋体"/>
          <w:b/>
          <w:color w:val="auto"/>
          <w:sz w:val="24"/>
          <w:highlight w:val="none"/>
        </w:rPr>
      </w:pPr>
      <w:bookmarkStart w:id="508" w:name="_Toc14055"/>
      <w:r>
        <w:rPr>
          <w:rFonts w:hint="eastAsia" w:ascii="宋体" w:hAnsi="宋体" w:cs="宋体"/>
          <w:b/>
          <w:color w:val="auto"/>
          <w:sz w:val="24"/>
          <w:highlight w:val="none"/>
        </w:rPr>
        <w:t>2.9 延迟交货</w:t>
      </w:r>
      <w:bookmarkEnd w:id="505"/>
      <w:bookmarkEnd w:id="506"/>
      <w:bookmarkEnd w:id="507"/>
      <w:bookmarkEnd w:id="508"/>
    </w:p>
    <w:p w14:paraId="225CDA80">
      <w:pPr>
        <w:spacing w:line="560" w:lineRule="exact"/>
        <w:ind w:firstLine="480" w:firstLineChars="200"/>
        <w:rPr>
          <w:rFonts w:hint="eastAsia"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F4D2F33">
      <w:pPr>
        <w:spacing w:line="560" w:lineRule="exact"/>
        <w:ind w:firstLine="482" w:firstLineChars="200"/>
        <w:rPr>
          <w:rFonts w:hint="eastAsia" w:ascii="宋体" w:hAnsi="宋体" w:cs="宋体"/>
          <w:b/>
          <w:color w:val="auto"/>
          <w:sz w:val="24"/>
          <w:highlight w:val="none"/>
        </w:rPr>
      </w:pPr>
      <w:bookmarkStart w:id="509" w:name="_Toc7502"/>
      <w:bookmarkStart w:id="510" w:name="_Toc487900364"/>
      <w:bookmarkStart w:id="511" w:name="_Ref467378121"/>
      <w:bookmarkStart w:id="512" w:name="_Toc279701254"/>
      <w:bookmarkStart w:id="513" w:name="_Toc259093683"/>
      <w:r>
        <w:rPr>
          <w:rFonts w:hint="eastAsia" w:ascii="宋体" w:hAnsi="宋体" w:cs="宋体"/>
          <w:b/>
          <w:color w:val="auto"/>
          <w:sz w:val="24"/>
          <w:highlight w:val="none"/>
        </w:rPr>
        <w:t>2.10 合同变更</w:t>
      </w:r>
      <w:bookmarkEnd w:id="509"/>
    </w:p>
    <w:p w14:paraId="3D35970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14" w:name="_Toc279701259"/>
      <w:bookmarkStart w:id="515" w:name="_Toc487900369"/>
      <w:bookmarkStart w:id="516" w:name="_Toc259093688"/>
    </w:p>
    <w:p w14:paraId="24948CC5">
      <w:pPr>
        <w:spacing w:line="560" w:lineRule="exact"/>
        <w:ind w:firstLine="482" w:firstLineChars="200"/>
        <w:rPr>
          <w:rFonts w:hint="eastAsia" w:ascii="宋体" w:hAnsi="宋体" w:cs="宋体"/>
          <w:b/>
          <w:color w:val="auto"/>
          <w:sz w:val="24"/>
          <w:highlight w:val="none"/>
        </w:rPr>
      </w:pPr>
      <w:bookmarkStart w:id="517" w:name="_Toc10366"/>
      <w:bookmarkStart w:id="518" w:name="_Toc22955"/>
      <w:bookmarkStart w:id="519" w:name="_Toc15237"/>
      <w:r>
        <w:rPr>
          <w:rFonts w:hint="eastAsia" w:ascii="宋体" w:hAnsi="宋体" w:cs="宋体"/>
          <w:b/>
          <w:color w:val="auto"/>
          <w:sz w:val="24"/>
          <w:highlight w:val="none"/>
        </w:rPr>
        <w:t>2.11 合同转让</w:t>
      </w:r>
      <w:bookmarkEnd w:id="514"/>
      <w:bookmarkEnd w:id="515"/>
      <w:bookmarkEnd w:id="516"/>
      <w:r>
        <w:rPr>
          <w:rFonts w:hint="eastAsia" w:ascii="宋体" w:hAnsi="宋体" w:cs="宋体"/>
          <w:b/>
          <w:color w:val="auto"/>
          <w:sz w:val="24"/>
          <w:highlight w:val="none"/>
        </w:rPr>
        <w:t>和分包</w:t>
      </w:r>
      <w:bookmarkEnd w:id="517"/>
      <w:bookmarkEnd w:id="518"/>
      <w:bookmarkEnd w:id="519"/>
    </w:p>
    <w:p w14:paraId="49A1CBD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072719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70BA7B79">
      <w:pPr>
        <w:spacing w:line="560" w:lineRule="exact"/>
        <w:ind w:firstLine="482" w:firstLineChars="200"/>
        <w:rPr>
          <w:rFonts w:hint="eastAsia" w:ascii="宋体" w:hAnsi="宋体" w:cs="宋体"/>
          <w:b/>
          <w:color w:val="auto"/>
          <w:sz w:val="24"/>
          <w:highlight w:val="none"/>
        </w:rPr>
      </w:pPr>
      <w:bookmarkStart w:id="520" w:name="_Toc13566"/>
      <w:bookmarkStart w:id="521" w:name="_Toc14066"/>
      <w:bookmarkStart w:id="522" w:name="_Toc16508"/>
      <w:r>
        <w:rPr>
          <w:rFonts w:hint="eastAsia" w:ascii="宋体" w:hAnsi="宋体" w:cs="宋体"/>
          <w:b/>
          <w:color w:val="auto"/>
          <w:sz w:val="24"/>
          <w:highlight w:val="none"/>
        </w:rPr>
        <w:t>2.12 不可抗力</w:t>
      </w:r>
      <w:bookmarkEnd w:id="520"/>
      <w:bookmarkEnd w:id="521"/>
      <w:bookmarkEnd w:id="522"/>
    </w:p>
    <w:p w14:paraId="03F25F9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02DC739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2FD3997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约定时间内以书面形式变更合同；</w:t>
      </w:r>
    </w:p>
    <w:p w14:paraId="57FEA89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5F47D481">
      <w:pPr>
        <w:spacing w:line="560" w:lineRule="exact"/>
        <w:ind w:firstLine="482" w:firstLineChars="200"/>
        <w:rPr>
          <w:rFonts w:hint="eastAsia" w:ascii="宋体" w:hAnsi="宋体" w:cs="宋体"/>
          <w:b/>
          <w:color w:val="auto"/>
          <w:sz w:val="24"/>
          <w:highlight w:val="none"/>
        </w:rPr>
      </w:pPr>
      <w:bookmarkStart w:id="523" w:name="_Toc259093684"/>
      <w:bookmarkStart w:id="524" w:name="_Toc487900365"/>
      <w:bookmarkStart w:id="525" w:name="_Toc6969"/>
      <w:bookmarkStart w:id="526" w:name="_Toc689"/>
      <w:bookmarkStart w:id="527" w:name="_Toc279701255"/>
      <w:bookmarkStart w:id="528" w:name="_Toc30676"/>
      <w:r>
        <w:rPr>
          <w:rFonts w:hint="eastAsia" w:ascii="宋体" w:hAnsi="宋体" w:cs="宋体"/>
          <w:b/>
          <w:color w:val="auto"/>
          <w:sz w:val="24"/>
          <w:highlight w:val="none"/>
        </w:rPr>
        <w:t>2.13 税费</w:t>
      </w:r>
      <w:bookmarkEnd w:id="523"/>
      <w:bookmarkEnd w:id="524"/>
      <w:bookmarkEnd w:id="525"/>
      <w:bookmarkEnd w:id="526"/>
      <w:bookmarkEnd w:id="527"/>
      <w:bookmarkEnd w:id="528"/>
    </w:p>
    <w:p w14:paraId="6C3321A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1C7156FF">
      <w:pPr>
        <w:spacing w:line="560" w:lineRule="exact"/>
        <w:ind w:firstLine="482" w:firstLineChars="200"/>
        <w:rPr>
          <w:rFonts w:hint="eastAsia" w:ascii="宋体" w:hAnsi="宋体" w:cs="宋体"/>
          <w:b/>
          <w:color w:val="auto"/>
          <w:sz w:val="24"/>
          <w:highlight w:val="none"/>
        </w:rPr>
      </w:pPr>
      <w:bookmarkStart w:id="529" w:name="_Toc279701258"/>
      <w:bookmarkStart w:id="530" w:name="_Toc259093687"/>
      <w:bookmarkStart w:id="531" w:name="_Toc487900368"/>
      <w:bookmarkStart w:id="532" w:name="_Toc7102"/>
      <w:bookmarkStart w:id="533" w:name="_Toc16959"/>
      <w:bookmarkStart w:id="534" w:name="_Toc8298"/>
      <w:r>
        <w:rPr>
          <w:rFonts w:hint="eastAsia" w:ascii="宋体" w:hAnsi="宋体" w:cs="宋体"/>
          <w:b/>
          <w:color w:val="auto"/>
          <w:sz w:val="24"/>
          <w:highlight w:val="none"/>
        </w:rPr>
        <w:t>2.14乙方破产</w:t>
      </w:r>
      <w:bookmarkEnd w:id="529"/>
      <w:bookmarkEnd w:id="530"/>
      <w:bookmarkEnd w:id="531"/>
      <w:bookmarkEnd w:id="532"/>
      <w:bookmarkEnd w:id="533"/>
      <w:bookmarkEnd w:id="534"/>
    </w:p>
    <w:p w14:paraId="3165671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0B78534">
      <w:pPr>
        <w:spacing w:line="560" w:lineRule="exact"/>
        <w:ind w:firstLine="482" w:firstLineChars="200"/>
        <w:rPr>
          <w:rFonts w:hint="eastAsia" w:ascii="宋体" w:hAnsi="宋体" w:cs="宋体"/>
          <w:b/>
          <w:color w:val="auto"/>
          <w:sz w:val="24"/>
          <w:highlight w:val="none"/>
        </w:rPr>
      </w:pPr>
      <w:bookmarkStart w:id="535" w:name="_Toc6134"/>
      <w:bookmarkStart w:id="536" w:name="_Toc29333"/>
      <w:bookmarkStart w:id="537" w:name="_Toc15387"/>
      <w:r>
        <w:rPr>
          <w:rFonts w:hint="eastAsia" w:ascii="宋体" w:hAnsi="宋体" w:cs="宋体"/>
          <w:b/>
          <w:color w:val="auto"/>
          <w:sz w:val="24"/>
          <w:highlight w:val="none"/>
        </w:rPr>
        <w:t>2.15 合同中止、终止</w:t>
      </w:r>
      <w:bookmarkEnd w:id="535"/>
      <w:bookmarkEnd w:id="536"/>
      <w:bookmarkEnd w:id="537"/>
    </w:p>
    <w:p w14:paraId="07E1A58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4769560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5794C3DF">
      <w:pPr>
        <w:spacing w:line="560" w:lineRule="exact"/>
        <w:ind w:firstLine="482" w:firstLineChars="200"/>
        <w:rPr>
          <w:rFonts w:hint="eastAsia" w:ascii="宋体" w:hAnsi="宋体" w:cs="宋体"/>
          <w:b/>
          <w:color w:val="auto"/>
          <w:sz w:val="24"/>
          <w:highlight w:val="none"/>
        </w:rPr>
      </w:pPr>
      <w:bookmarkStart w:id="538" w:name="_Toc6596"/>
      <w:bookmarkStart w:id="539" w:name="_Toc1125"/>
      <w:bookmarkStart w:id="540" w:name="_Toc14563"/>
      <w:r>
        <w:rPr>
          <w:rFonts w:hint="eastAsia" w:ascii="宋体" w:hAnsi="宋体" w:cs="宋体"/>
          <w:b/>
          <w:color w:val="auto"/>
          <w:sz w:val="24"/>
          <w:highlight w:val="none"/>
        </w:rPr>
        <w:t>2.16检验和验收</w:t>
      </w:r>
      <w:bookmarkEnd w:id="538"/>
      <w:bookmarkEnd w:id="539"/>
      <w:bookmarkEnd w:id="540"/>
    </w:p>
    <w:p w14:paraId="3A0B12FD">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2251E520">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B648AD4">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bookmarkEnd w:id="510"/>
    <w:bookmarkEnd w:id="511"/>
    <w:bookmarkEnd w:id="512"/>
    <w:bookmarkEnd w:id="513"/>
    <w:p w14:paraId="300BEDD6">
      <w:pPr>
        <w:spacing w:line="560" w:lineRule="exact"/>
        <w:ind w:firstLine="482" w:firstLineChars="200"/>
        <w:rPr>
          <w:rFonts w:hint="eastAsia" w:ascii="宋体" w:hAnsi="宋体" w:cs="宋体"/>
          <w:b/>
          <w:color w:val="auto"/>
          <w:sz w:val="24"/>
          <w:highlight w:val="none"/>
        </w:rPr>
      </w:pPr>
      <w:bookmarkStart w:id="541" w:name="_Toc279701261"/>
      <w:bookmarkStart w:id="542" w:name="_Toc259093690"/>
      <w:bookmarkStart w:id="543" w:name="_Toc487900371"/>
      <w:bookmarkStart w:id="544" w:name="_Toc25182"/>
      <w:bookmarkStart w:id="545" w:name="_Toc19604"/>
      <w:bookmarkStart w:id="546" w:name="_Toc11284"/>
      <w:r>
        <w:rPr>
          <w:rFonts w:hint="eastAsia" w:ascii="宋体" w:hAnsi="宋体" w:cs="宋体"/>
          <w:b/>
          <w:color w:val="auto"/>
          <w:sz w:val="24"/>
          <w:highlight w:val="none"/>
        </w:rPr>
        <w:t>2.17 通知</w:t>
      </w:r>
      <w:bookmarkEnd w:id="541"/>
      <w:bookmarkEnd w:id="542"/>
      <w:bookmarkEnd w:id="543"/>
      <w:r>
        <w:rPr>
          <w:rFonts w:hint="eastAsia" w:ascii="宋体" w:hAnsi="宋体" w:cs="宋体"/>
          <w:b/>
          <w:color w:val="auto"/>
          <w:sz w:val="24"/>
          <w:highlight w:val="none"/>
        </w:rPr>
        <w:t>和送达</w:t>
      </w:r>
      <w:bookmarkEnd w:id="544"/>
      <w:bookmarkEnd w:id="545"/>
      <w:bookmarkEnd w:id="546"/>
    </w:p>
    <w:p w14:paraId="625EEB68">
      <w:pPr>
        <w:spacing w:line="560" w:lineRule="exact"/>
        <w:ind w:firstLine="480" w:firstLineChars="200"/>
        <w:rPr>
          <w:rFonts w:hint="eastAsia" w:ascii="宋体" w:hAnsi="宋体" w:cs="宋体"/>
          <w:color w:val="auto"/>
          <w:sz w:val="24"/>
          <w:highlight w:val="none"/>
        </w:rPr>
      </w:pPr>
      <w:bookmarkStart w:id="547" w:name="_Toc3135"/>
      <w:bookmarkStart w:id="548" w:name="_Toc6698"/>
      <w:bookmarkStart w:id="549" w:name="_Toc259093691"/>
      <w:bookmarkStart w:id="550" w:name="_Toc279701262"/>
      <w:bookmarkStart w:id="551" w:name="_Toc487900372"/>
      <w:r>
        <w:rPr>
          <w:rFonts w:hint="eastAsia" w:ascii="宋体" w:hAnsi="宋体" w:cs="宋体"/>
          <w:color w:val="auto"/>
          <w:sz w:val="24"/>
          <w:highlight w:val="none"/>
        </w:rPr>
        <w:t>2.17.1任何一方因履行合同而以合同第一部分尾部所列明的传真或电子邮件发出的所有通知、文件、材料，均视为已向对方当事人送达；任何一方变更上述送达方式或者地址的，应于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47"/>
      <w:bookmarkEnd w:id="548"/>
    </w:p>
    <w:p w14:paraId="7A88E6BB">
      <w:pPr>
        <w:spacing w:line="560" w:lineRule="exact"/>
        <w:ind w:firstLine="480" w:firstLineChars="200"/>
        <w:rPr>
          <w:rFonts w:hint="eastAsia" w:ascii="宋体" w:hAnsi="宋体" w:cs="宋体"/>
          <w:color w:val="auto"/>
          <w:sz w:val="24"/>
          <w:highlight w:val="none"/>
        </w:rPr>
      </w:pPr>
      <w:bookmarkStart w:id="552" w:name="_Toc23294"/>
      <w:bookmarkStart w:id="553"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52"/>
      <w:bookmarkEnd w:id="553"/>
    </w:p>
    <w:p w14:paraId="376A894C">
      <w:pPr>
        <w:spacing w:line="560" w:lineRule="exact"/>
        <w:ind w:firstLine="482" w:firstLineChars="200"/>
        <w:rPr>
          <w:rFonts w:hint="eastAsia" w:ascii="宋体" w:hAnsi="宋体" w:cs="宋体"/>
          <w:b/>
          <w:color w:val="auto"/>
          <w:sz w:val="24"/>
          <w:highlight w:val="none"/>
        </w:rPr>
      </w:pPr>
      <w:bookmarkStart w:id="554" w:name="_Toc30599"/>
      <w:bookmarkStart w:id="555" w:name="_Toc18540"/>
      <w:bookmarkStart w:id="556" w:name="_Toc4355"/>
      <w:r>
        <w:rPr>
          <w:rFonts w:hint="eastAsia" w:ascii="宋体" w:hAnsi="宋体" w:cs="宋体"/>
          <w:b/>
          <w:color w:val="auto"/>
          <w:sz w:val="24"/>
          <w:highlight w:val="none"/>
        </w:rPr>
        <w:t>2.18 计量单位</w:t>
      </w:r>
      <w:bookmarkEnd w:id="549"/>
      <w:bookmarkEnd w:id="550"/>
      <w:bookmarkEnd w:id="551"/>
      <w:bookmarkEnd w:id="554"/>
      <w:bookmarkEnd w:id="555"/>
      <w:bookmarkEnd w:id="556"/>
    </w:p>
    <w:p w14:paraId="168DA7E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564B3AA">
      <w:pPr>
        <w:spacing w:line="560" w:lineRule="exact"/>
        <w:ind w:firstLine="482" w:firstLineChars="200"/>
        <w:rPr>
          <w:rFonts w:hint="eastAsia" w:ascii="宋体" w:hAnsi="宋体" w:cs="宋体"/>
          <w:b/>
          <w:color w:val="auto"/>
          <w:sz w:val="24"/>
          <w:highlight w:val="none"/>
        </w:rPr>
      </w:pPr>
      <w:bookmarkStart w:id="557" w:name="_Toc279701263"/>
      <w:bookmarkStart w:id="558" w:name="_Toc12773"/>
      <w:bookmarkStart w:id="559" w:name="_Toc259093692"/>
      <w:bookmarkStart w:id="560" w:name="_Toc18567"/>
      <w:bookmarkStart w:id="561" w:name="_Toc487900373"/>
      <w:bookmarkStart w:id="562" w:name="_Toc10330"/>
      <w:r>
        <w:rPr>
          <w:rFonts w:hint="eastAsia" w:ascii="宋体" w:hAnsi="宋体" w:cs="宋体"/>
          <w:b/>
          <w:color w:val="auto"/>
          <w:sz w:val="24"/>
          <w:highlight w:val="none"/>
        </w:rPr>
        <w:t>2.19 合同使用的文字和适用的法律</w:t>
      </w:r>
      <w:bookmarkEnd w:id="557"/>
      <w:bookmarkEnd w:id="558"/>
      <w:bookmarkEnd w:id="559"/>
      <w:bookmarkEnd w:id="560"/>
      <w:bookmarkEnd w:id="561"/>
      <w:bookmarkEnd w:id="562"/>
    </w:p>
    <w:p w14:paraId="50F0BAA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2.19.1 合同使用汉语书就、变更和解释；</w:t>
      </w:r>
    </w:p>
    <w:p w14:paraId="7604535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2.19.2 合同适用中华人民共和国法律。</w:t>
      </w:r>
    </w:p>
    <w:p w14:paraId="14D0EABB">
      <w:pPr>
        <w:spacing w:line="560" w:lineRule="exact"/>
        <w:ind w:firstLine="482" w:firstLineChars="200"/>
        <w:rPr>
          <w:rFonts w:hint="eastAsia" w:ascii="宋体" w:hAnsi="宋体" w:cs="宋体"/>
          <w:b/>
          <w:color w:val="auto"/>
          <w:sz w:val="24"/>
          <w:highlight w:val="none"/>
        </w:rPr>
      </w:pPr>
      <w:bookmarkStart w:id="563" w:name="_Toc19890"/>
      <w:bookmarkStart w:id="564" w:name="_Toc14001"/>
      <w:bookmarkStart w:id="565" w:name="_Toc6885"/>
      <w:r>
        <w:rPr>
          <w:rFonts w:hint="eastAsia" w:ascii="宋体" w:hAnsi="宋体" w:cs="宋体"/>
          <w:b/>
          <w:color w:val="auto"/>
          <w:sz w:val="24"/>
          <w:highlight w:val="none"/>
        </w:rPr>
        <w:t>2.20 合同份数</w:t>
      </w:r>
      <w:bookmarkEnd w:id="563"/>
      <w:bookmarkEnd w:id="564"/>
      <w:bookmarkEnd w:id="565"/>
    </w:p>
    <w:p w14:paraId="3361AC4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规定，每份均具有同等法律效力。</w:t>
      </w:r>
    </w:p>
    <w:p w14:paraId="2EEF8841">
      <w:pPr>
        <w:adjustRightInd/>
        <w:spacing w:line="360" w:lineRule="auto"/>
        <w:ind w:firstLine="2513" w:firstLineChars="1197"/>
        <w:rPr>
          <w:rFonts w:hint="eastAsia"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475F0BF9">
      <w:pPr>
        <w:ind w:left="-420" w:leftChars="-200"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247EC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5" w:type="pct"/>
            <w:tcBorders>
              <w:left w:val="single" w:color="auto" w:sz="4" w:space="0"/>
            </w:tcBorders>
            <w:vAlign w:val="center"/>
          </w:tcPr>
          <w:p w14:paraId="122B7C5B">
            <w:pPr>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40F4300E">
            <w:pPr>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14:paraId="7875E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9C843AC">
            <w:pPr>
              <w:rPr>
                <w:rFonts w:hint="eastAsia" w:ascii="宋体" w:hAnsi="宋体" w:cs="宋体"/>
                <w:color w:val="auto"/>
                <w:sz w:val="24"/>
                <w:highlight w:val="none"/>
              </w:rPr>
            </w:pPr>
            <w:r>
              <w:rPr>
                <w:rFonts w:hint="eastAsia" w:ascii="宋体" w:hAnsi="宋体" w:cs="宋体"/>
                <w:color w:val="auto"/>
                <w:sz w:val="24"/>
                <w:highlight w:val="none"/>
              </w:rPr>
              <w:t>1.4.2</w:t>
            </w:r>
          </w:p>
        </w:tc>
        <w:tc>
          <w:tcPr>
            <w:tcW w:w="4534" w:type="pct"/>
            <w:vAlign w:val="center"/>
          </w:tcPr>
          <w:p w14:paraId="77F4F50D">
            <w:pPr>
              <w:rPr>
                <w:rFonts w:hint="eastAsia" w:ascii="宋体" w:hAnsi="宋体" w:cs="宋体"/>
                <w:color w:val="auto"/>
                <w:sz w:val="24"/>
                <w:highlight w:val="none"/>
              </w:rPr>
            </w:pPr>
            <w:r>
              <w:rPr>
                <w:rFonts w:hint="eastAsia" w:ascii="宋体" w:hAnsi="宋体" w:cs="宋体"/>
                <w:color w:val="auto"/>
                <w:sz w:val="24"/>
                <w:highlight w:val="none"/>
              </w:rPr>
              <w:t>/</w:t>
            </w:r>
          </w:p>
        </w:tc>
      </w:tr>
      <w:tr w14:paraId="143C6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EDD752B">
            <w:pPr>
              <w:rPr>
                <w:rFonts w:hint="eastAsia"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2607FC5A">
            <w:pPr>
              <w:rPr>
                <w:rFonts w:hint="eastAsia" w:ascii="宋体" w:hAnsi="宋体" w:cs="宋体"/>
                <w:color w:val="auto"/>
                <w:sz w:val="24"/>
                <w:highlight w:val="none"/>
              </w:rPr>
            </w:pPr>
            <w:r>
              <w:rPr>
                <w:rFonts w:hint="eastAsia" w:ascii="宋体" w:hAnsi="宋体" w:cs="宋体"/>
                <w:color w:val="auto"/>
                <w:sz w:val="24"/>
                <w:highlight w:val="none"/>
                <w:lang w:val="en-US" w:eastAsia="zh-CN"/>
              </w:rPr>
              <w:t>合同签订且具备实施条件后7个工作日内，甲方先预付合同金额的40%作为预付款</w:t>
            </w:r>
            <w:r>
              <w:rPr>
                <w:rFonts w:hint="eastAsia" w:ascii="宋体" w:hAnsi="宋体" w:cs="宋体"/>
                <w:color w:val="auto"/>
                <w:sz w:val="24"/>
                <w:highlight w:val="none"/>
              </w:rPr>
              <w:t>；</w:t>
            </w:r>
          </w:p>
        </w:tc>
      </w:tr>
      <w:tr w14:paraId="0BC16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E420DB2">
            <w:pPr>
              <w:rPr>
                <w:rFonts w:hint="eastAsia"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14:paraId="2273520A">
            <w:pPr>
              <w:rPr>
                <w:rFonts w:hint="eastAsia" w:ascii="宋体" w:hAnsi="宋体" w:cs="宋体"/>
                <w:color w:val="auto"/>
                <w:sz w:val="24"/>
                <w:highlight w:val="none"/>
              </w:rPr>
            </w:pPr>
            <w:r>
              <w:rPr>
                <w:rFonts w:hint="eastAsia" w:ascii="宋体" w:hAnsi="宋体" w:cs="宋体"/>
                <w:color w:val="auto"/>
                <w:sz w:val="24"/>
                <w:highlight w:val="none"/>
              </w:rPr>
              <w:t>/</w:t>
            </w:r>
          </w:p>
        </w:tc>
      </w:tr>
      <w:tr w14:paraId="52B8F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8F6D853">
            <w:pPr>
              <w:rPr>
                <w:rFonts w:hint="eastAsia"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48CBD34D">
            <w:pPr>
              <w:rPr>
                <w:rFonts w:hint="eastAsia" w:ascii="宋体" w:hAnsi="宋体" w:cs="宋体"/>
                <w:color w:val="auto"/>
                <w:sz w:val="24"/>
                <w:highlight w:val="none"/>
              </w:rPr>
            </w:pPr>
            <w:r>
              <w:rPr>
                <w:rFonts w:hint="eastAsia" w:ascii="宋体" w:hAnsi="宋体" w:cs="宋体"/>
                <w:color w:val="auto"/>
                <w:sz w:val="24"/>
                <w:highlight w:val="none"/>
              </w:rPr>
              <w:t>/</w:t>
            </w:r>
          </w:p>
        </w:tc>
      </w:tr>
      <w:tr w14:paraId="4D2E6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1575A90">
            <w:pPr>
              <w:rPr>
                <w:rFonts w:hint="eastAsia"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22782F1D">
            <w:pPr>
              <w:rPr>
                <w:rFonts w:hint="eastAsia" w:ascii="宋体" w:hAnsi="宋体" w:cs="宋体"/>
                <w:color w:val="auto"/>
                <w:sz w:val="24"/>
                <w:highlight w:val="none"/>
              </w:rPr>
            </w:pPr>
            <w:r>
              <w:rPr>
                <w:rFonts w:hint="eastAsia" w:ascii="宋体" w:hAnsi="宋体" w:cs="宋体"/>
                <w:color w:val="auto"/>
                <w:sz w:val="24"/>
                <w:highlight w:val="none"/>
              </w:rPr>
              <w:t>①</w:t>
            </w:r>
            <w:r>
              <w:rPr>
                <w:rFonts w:hint="eastAsia" w:ascii="宋体" w:hAnsi="宋体" w:cs="宋体"/>
                <w:color w:val="auto"/>
                <w:sz w:val="24"/>
                <w:highlight w:val="none"/>
                <w:lang w:val="en-US" w:eastAsia="zh-CN"/>
              </w:rPr>
              <w:t>合同签订且具备实施条件后7个工作日内，甲方先预付合同金额的40%作为预付款</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若在签订合同时，乙方明确表示无需预付款的，甲方可不予支付预付款。预付款支付约定以合同中约定为准。</w:t>
            </w:r>
            <w:r>
              <w:rPr>
                <w:rFonts w:hint="eastAsia" w:ascii="宋体" w:hAnsi="宋体" w:cs="宋体"/>
                <w:color w:val="auto"/>
                <w:sz w:val="24"/>
                <w:highlight w:val="none"/>
              </w:rPr>
              <w:t>）；</w:t>
            </w:r>
          </w:p>
          <w:p w14:paraId="79F8AA7F">
            <w:pPr>
              <w:rPr>
                <w:rFonts w:hint="eastAsia" w:ascii="宋体" w:hAnsi="宋体" w:cs="宋体"/>
                <w:color w:val="auto"/>
                <w:sz w:val="24"/>
                <w:highlight w:val="none"/>
              </w:rPr>
            </w:pPr>
            <w:r>
              <w:rPr>
                <w:rFonts w:hint="eastAsia" w:ascii="宋体" w:hAnsi="宋体" w:cs="宋体"/>
                <w:color w:val="auto"/>
                <w:sz w:val="24"/>
                <w:highlight w:val="none"/>
              </w:rPr>
              <w:t>②</w:t>
            </w:r>
            <w:r>
              <w:rPr>
                <w:rFonts w:hint="eastAsia" w:ascii="宋体" w:hAnsi="宋体" w:cs="宋体"/>
                <w:color w:val="auto"/>
                <w:sz w:val="24"/>
                <w:highlight w:val="none"/>
                <w:lang w:val="en-US" w:eastAsia="zh-CN"/>
              </w:rPr>
              <w:t>完成所有慰问品发放后30天内未出现质量问题的情况下，7个工作日内一次性付清余款。</w:t>
            </w:r>
          </w:p>
        </w:tc>
      </w:tr>
      <w:tr w14:paraId="0E1C3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0C7297E">
            <w:pPr>
              <w:rPr>
                <w:rFonts w:hint="eastAsia"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67744309">
            <w:pPr>
              <w:rPr>
                <w:rFonts w:hint="eastAsia" w:ascii="宋体" w:hAnsi="宋体" w:cs="宋体"/>
                <w:color w:val="auto"/>
                <w:sz w:val="24"/>
                <w:highlight w:val="none"/>
              </w:rPr>
            </w:pPr>
            <w:r>
              <w:rPr>
                <w:rFonts w:hint="eastAsia" w:ascii="宋体" w:hAnsi="宋体" w:cs="宋体"/>
                <w:color w:val="auto"/>
                <w:kern w:val="0"/>
                <w:sz w:val="24"/>
                <w:highlight w:val="none"/>
                <w:lang w:val="en-US" w:eastAsia="zh-CN"/>
              </w:rPr>
              <w:t>分批交货。</w:t>
            </w:r>
            <w:r>
              <w:rPr>
                <w:rFonts w:hint="eastAsia" w:ascii="宋体" w:hAnsi="宋体" w:cs="宋体"/>
                <w:color w:val="auto"/>
                <w:kern w:val="0"/>
                <w:sz w:val="24"/>
                <w:highlight w:val="none"/>
                <w:lang w:eastAsia="zh-CN"/>
              </w:rPr>
              <w:t>合同签订后，根据县总工会的通知一周内交货；</w:t>
            </w:r>
            <w:r>
              <w:rPr>
                <w:rFonts w:hint="eastAsia" w:ascii="宋体" w:hAnsi="宋体" w:cs="宋体"/>
                <w:color w:val="auto"/>
                <w:kern w:val="0"/>
                <w:sz w:val="24"/>
                <w:highlight w:val="none"/>
                <w:lang w:val="en-US" w:eastAsia="zh-CN"/>
              </w:rPr>
              <w:t>特殊情况乙方应在接县总工会通知后24小时内交货</w:t>
            </w:r>
            <w:r>
              <w:rPr>
                <w:rFonts w:hint="eastAsia" w:ascii="宋体" w:hAnsi="宋体" w:cs="宋体"/>
                <w:color w:val="auto"/>
                <w:kern w:val="0"/>
                <w:sz w:val="24"/>
                <w:highlight w:val="none"/>
              </w:rPr>
              <w:t>。</w:t>
            </w:r>
          </w:p>
        </w:tc>
      </w:tr>
      <w:tr w14:paraId="6C89C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FF47A9">
            <w:pPr>
              <w:rPr>
                <w:rFonts w:hint="eastAsia"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74D3ED00">
            <w:pPr>
              <w:rPr>
                <w:rFonts w:hint="eastAsia" w:ascii="宋体" w:hAnsi="宋体" w:cs="宋体"/>
                <w:color w:val="auto"/>
                <w:sz w:val="24"/>
                <w:highlight w:val="none"/>
              </w:rPr>
            </w:pPr>
            <w:r>
              <w:rPr>
                <w:rFonts w:hint="eastAsia" w:ascii="宋体" w:hAnsi="宋体" w:cs="宋体"/>
                <w:color w:val="auto"/>
                <w:sz w:val="24"/>
                <w:highlight w:val="none"/>
                <w:lang w:val="en-US" w:eastAsia="zh-CN"/>
              </w:rPr>
              <w:t>宁海县总工会指定地点（宁海县内企事业单位）</w:t>
            </w:r>
            <w:r>
              <w:rPr>
                <w:rFonts w:hint="eastAsia" w:ascii="宋体" w:hAnsi="宋体" w:cs="宋体"/>
                <w:color w:val="auto"/>
                <w:sz w:val="24"/>
                <w:highlight w:val="none"/>
              </w:rPr>
              <w:t>。</w:t>
            </w:r>
          </w:p>
        </w:tc>
      </w:tr>
      <w:tr w14:paraId="56B1F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B82938C">
            <w:pPr>
              <w:rPr>
                <w:rFonts w:hint="eastAsia"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52ECCEE5">
            <w:pPr>
              <w:rPr>
                <w:rFonts w:hint="eastAsia" w:ascii="宋体" w:hAnsi="宋体" w:cs="宋体"/>
                <w:color w:val="auto"/>
                <w:sz w:val="24"/>
                <w:highlight w:val="none"/>
              </w:rPr>
            </w:pPr>
            <w:r>
              <w:rPr>
                <w:rFonts w:hint="eastAsia" w:ascii="宋体" w:hAnsi="宋体" w:cs="宋体"/>
                <w:color w:val="auto"/>
                <w:sz w:val="24"/>
                <w:highlight w:val="none"/>
              </w:rPr>
              <w:t>满足甲方要求，现场交货。</w:t>
            </w:r>
          </w:p>
        </w:tc>
      </w:tr>
      <w:tr w14:paraId="08BA8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D0E3AD4">
            <w:pPr>
              <w:rPr>
                <w:rFonts w:hint="eastAsia" w:ascii="宋体" w:hAnsi="宋体" w:cs="宋体"/>
                <w:color w:val="auto"/>
                <w:sz w:val="24"/>
                <w:highlight w:val="none"/>
              </w:rPr>
            </w:pPr>
            <w:r>
              <w:rPr>
                <w:rFonts w:hint="eastAsia" w:ascii="宋体" w:hAnsi="宋体" w:cs="宋体"/>
                <w:color w:val="auto"/>
                <w:sz w:val="24"/>
                <w:highlight w:val="none"/>
              </w:rPr>
              <w:t>1.8.3</w:t>
            </w:r>
          </w:p>
        </w:tc>
        <w:tc>
          <w:tcPr>
            <w:tcW w:w="4534" w:type="pct"/>
            <w:vAlign w:val="center"/>
          </w:tcPr>
          <w:p w14:paraId="7075CFCB">
            <w:pPr>
              <w:rPr>
                <w:rFonts w:hint="eastAsia" w:ascii="宋体" w:hAnsi="宋体" w:cs="宋体"/>
                <w:color w:val="auto"/>
                <w:sz w:val="24"/>
                <w:highlight w:val="none"/>
              </w:rPr>
            </w:pPr>
            <w:r>
              <w:rPr>
                <w:rFonts w:hint="eastAsia" w:ascii="宋体" w:hAnsi="宋体" w:cs="宋体"/>
                <w:color w:val="auto"/>
                <w:sz w:val="24"/>
                <w:highlight w:val="none"/>
              </w:rPr>
              <w:t>/</w:t>
            </w:r>
          </w:p>
        </w:tc>
      </w:tr>
      <w:tr w14:paraId="0E6C8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90E1449">
            <w:pPr>
              <w:rPr>
                <w:rFonts w:hint="eastAsia"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373D1AD0">
            <w:pPr>
              <w:rPr>
                <w:rFonts w:hint="eastAsia" w:ascii="宋体" w:hAnsi="宋体" w:cs="宋体"/>
                <w:color w:val="auto"/>
                <w:sz w:val="24"/>
                <w:highlight w:val="none"/>
              </w:rPr>
            </w:pPr>
            <w:r>
              <w:rPr>
                <w:rFonts w:hint="eastAsia" w:ascii="宋体" w:hAnsi="宋体" w:cs="宋体"/>
                <w:color w:val="auto"/>
                <w:sz w:val="24"/>
                <w:highlight w:val="none"/>
              </w:rPr>
              <w:t>宁波市宁海县。</w:t>
            </w:r>
          </w:p>
        </w:tc>
      </w:tr>
      <w:tr w14:paraId="0AB28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137604">
            <w:pPr>
              <w:rPr>
                <w:rFonts w:hint="eastAsia"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5475DC22">
            <w:pPr>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归甲方所有。</w:t>
            </w:r>
          </w:p>
        </w:tc>
      </w:tr>
      <w:tr w14:paraId="4BEFB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280ADEE">
            <w:pPr>
              <w:rPr>
                <w:rFonts w:hint="eastAsia"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7AB92F11">
            <w:pPr>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tc>
      </w:tr>
      <w:tr w14:paraId="0D338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5CB33CB">
            <w:pPr>
              <w:rPr>
                <w:rFonts w:hint="eastAsia"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642D64AC">
            <w:pPr>
              <w:rPr>
                <w:rFonts w:hint="eastAsia" w:ascii="宋体" w:hAnsi="宋体" w:cs="宋体"/>
                <w:color w:val="auto"/>
                <w:sz w:val="24"/>
                <w:highlight w:val="none"/>
              </w:rPr>
            </w:pPr>
            <w:r>
              <w:rPr>
                <w:rFonts w:hint="eastAsia" w:ascii="宋体" w:hAnsi="宋体" w:cs="宋体"/>
                <w:color w:val="auto"/>
                <w:sz w:val="24"/>
                <w:highlight w:val="none"/>
              </w:rPr>
              <w:t>满足甲方要求。</w:t>
            </w:r>
          </w:p>
        </w:tc>
      </w:tr>
      <w:tr w14:paraId="70BAB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37A04982">
            <w:pPr>
              <w:rPr>
                <w:rFonts w:hint="eastAsia"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14:paraId="56572207">
            <w:pPr>
              <w:rPr>
                <w:rFonts w:hint="eastAsia" w:ascii="宋体" w:hAnsi="宋体" w:cs="宋体"/>
                <w:color w:val="auto"/>
                <w:sz w:val="24"/>
                <w:highlight w:val="none"/>
              </w:rPr>
            </w:pPr>
            <w:r>
              <w:rPr>
                <w:rFonts w:hint="eastAsia" w:ascii="宋体" w:hAnsi="宋体" w:cs="宋体"/>
                <w:color w:val="auto"/>
                <w:sz w:val="24"/>
                <w:highlight w:val="none"/>
              </w:rPr>
              <w:t>责任方承担。</w:t>
            </w:r>
          </w:p>
        </w:tc>
      </w:tr>
      <w:tr w14:paraId="168B9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5C935B">
            <w:pPr>
              <w:rPr>
                <w:rFonts w:hint="eastAsia"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14:paraId="0B8E2444">
            <w:pPr>
              <w:rPr>
                <w:rFonts w:hint="eastAsia" w:ascii="宋体" w:hAnsi="宋体" w:cs="宋体"/>
                <w:color w:val="auto"/>
                <w:sz w:val="24"/>
                <w:highlight w:val="none"/>
              </w:rPr>
            </w:pPr>
            <w:r>
              <w:rPr>
                <w:rFonts w:hint="eastAsia" w:ascii="宋体" w:hAnsi="宋体" w:cs="宋体"/>
                <w:color w:val="auto"/>
                <w:sz w:val="24"/>
                <w:highlight w:val="none"/>
              </w:rPr>
              <w:t>不可抗力时间发生后7天。</w:t>
            </w:r>
          </w:p>
        </w:tc>
      </w:tr>
      <w:tr w14:paraId="057E9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FCEC087">
            <w:pPr>
              <w:rPr>
                <w:rFonts w:hint="eastAsia" w:ascii="宋体" w:hAnsi="宋体" w:cs="宋体"/>
                <w:color w:val="auto"/>
                <w:sz w:val="24"/>
                <w:highlight w:val="none"/>
              </w:rPr>
            </w:pPr>
            <w:r>
              <w:rPr>
                <w:rFonts w:hint="eastAsia" w:ascii="宋体" w:hAnsi="宋体" w:cs="宋体"/>
                <w:color w:val="auto"/>
                <w:sz w:val="24"/>
                <w:highlight w:val="none"/>
              </w:rPr>
              <w:t>2.12.4</w:t>
            </w:r>
          </w:p>
        </w:tc>
        <w:tc>
          <w:tcPr>
            <w:tcW w:w="4534" w:type="pct"/>
          </w:tcPr>
          <w:p w14:paraId="0F8BCDF9">
            <w:pPr>
              <w:rPr>
                <w:rFonts w:hint="eastAsia" w:ascii="宋体" w:hAnsi="宋体" w:cs="宋体"/>
                <w:color w:val="auto"/>
                <w:sz w:val="24"/>
                <w:highlight w:val="none"/>
              </w:rPr>
            </w:pPr>
            <w:r>
              <w:rPr>
                <w:rFonts w:hint="eastAsia" w:ascii="宋体" w:hAnsi="宋体" w:cs="宋体"/>
                <w:color w:val="auto"/>
                <w:sz w:val="24"/>
                <w:highlight w:val="none"/>
              </w:rPr>
              <w:t>不可抗力时间发生后7天。</w:t>
            </w:r>
          </w:p>
        </w:tc>
      </w:tr>
      <w:tr w14:paraId="4B070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5729006">
            <w:pPr>
              <w:rPr>
                <w:rFonts w:hint="eastAsia"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14:paraId="3AB1F698">
            <w:pPr>
              <w:rPr>
                <w:rFonts w:hint="eastAsia" w:ascii="宋体" w:hAnsi="宋体" w:cs="宋体"/>
                <w:color w:val="auto"/>
                <w:sz w:val="24"/>
                <w:highlight w:val="none"/>
              </w:rPr>
            </w:pPr>
            <w:r>
              <w:rPr>
                <w:rFonts w:hint="eastAsia" w:ascii="宋体" w:hAnsi="宋体" w:cs="宋体"/>
                <w:color w:val="auto"/>
                <w:sz w:val="24"/>
                <w:highlight w:val="none"/>
              </w:rPr>
              <w:t>以甲方约定为准。</w:t>
            </w:r>
          </w:p>
        </w:tc>
      </w:tr>
      <w:tr w14:paraId="34483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165AB328">
            <w:pPr>
              <w:rPr>
                <w:rFonts w:hint="eastAsia"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14:paraId="24B9FAF3">
            <w:pPr>
              <w:rPr>
                <w:rFonts w:hint="eastAsia" w:ascii="宋体" w:hAnsi="宋体" w:cs="宋体"/>
                <w:color w:val="auto"/>
                <w:sz w:val="24"/>
                <w:highlight w:val="none"/>
              </w:rPr>
            </w:pPr>
            <w:r>
              <w:rPr>
                <w:rFonts w:hint="eastAsia" w:ascii="宋体" w:hAnsi="宋体" w:cs="宋体"/>
                <w:color w:val="auto"/>
                <w:sz w:val="24"/>
                <w:highlight w:val="none"/>
              </w:rPr>
              <w:t>1）验收标准：与产品技术数据及标书技术文件一致，符合国家有关技术规范和技术标准。</w:t>
            </w:r>
          </w:p>
          <w:p w14:paraId="23FAF7DA">
            <w:pPr>
              <w:rPr>
                <w:rFonts w:hint="eastAsia" w:ascii="宋体" w:hAnsi="宋体" w:cs="宋体"/>
                <w:color w:val="auto"/>
                <w:sz w:val="24"/>
                <w:highlight w:val="none"/>
              </w:rPr>
            </w:pPr>
            <w:r>
              <w:rPr>
                <w:rFonts w:hint="eastAsia" w:ascii="宋体" w:hAnsi="宋体" w:cs="宋体"/>
                <w:color w:val="auto"/>
                <w:sz w:val="24"/>
                <w:highlight w:val="none"/>
              </w:rPr>
              <w:t>2）安装、验收所产生的一切费用（包括卸货、搬运费等）由乙方负责。</w:t>
            </w:r>
          </w:p>
        </w:tc>
      </w:tr>
      <w:tr w14:paraId="344A5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40F21010">
            <w:pPr>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tcPr>
          <w:p w14:paraId="4C00FACA">
            <w:pPr>
              <w:rPr>
                <w:rFonts w:hint="eastAsia" w:ascii="宋体" w:hAnsi="宋体" w:cs="宋体"/>
                <w:color w:val="auto"/>
                <w:sz w:val="24"/>
                <w:highlight w:val="none"/>
              </w:rPr>
            </w:pPr>
            <w:r>
              <w:rPr>
                <w:rFonts w:hint="eastAsia" w:ascii="宋体" w:hAnsi="宋体" w:cs="宋体"/>
                <w:color w:val="auto"/>
                <w:sz w:val="24"/>
                <w:highlight w:val="none"/>
              </w:rPr>
              <w:t>本合同一式   份，甲方执   份，乙方执   份，采购办存档一份。每份均具有同等法律效力。</w:t>
            </w:r>
          </w:p>
        </w:tc>
      </w:tr>
    </w:tbl>
    <w:p w14:paraId="06BAC144">
      <w:pPr>
        <w:rPr>
          <w:color w:val="auto"/>
          <w:highlight w:val="none"/>
        </w:rPr>
      </w:pPr>
    </w:p>
    <w:p w14:paraId="0E25D7FE">
      <w:pPr>
        <w:rPr>
          <w:rFonts w:hint="eastAsia" w:ascii="宋体" w:hAnsi="宋体" w:cs="宋体"/>
          <w:b/>
          <w:color w:val="auto"/>
          <w:sz w:val="36"/>
          <w:szCs w:val="20"/>
          <w:highlight w:val="none"/>
        </w:rPr>
      </w:pPr>
      <w:bookmarkStart w:id="566" w:name="_Toc22993"/>
      <w:r>
        <w:rPr>
          <w:rFonts w:hint="eastAsia" w:ascii="宋体" w:hAnsi="宋体" w:cs="宋体"/>
          <w:b/>
          <w:color w:val="auto"/>
          <w:sz w:val="36"/>
          <w:szCs w:val="20"/>
          <w:highlight w:val="none"/>
        </w:rPr>
        <w:br w:type="page"/>
      </w:r>
    </w:p>
    <w:p w14:paraId="58DC4B6D">
      <w:pPr>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14"/>
      <w:r>
        <w:rPr>
          <w:rFonts w:hint="eastAsia" w:ascii="宋体" w:hAnsi="宋体" w:cs="宋体"/>
          <w:b/>
          <w:color w:val="auto"/>
          <w:sz w:val="36"/>
          <w:szCs w:val="20"/>
          <w:highlight w:val="none"/>
        </w:rPr>
        <w:t xml:space="preserve"> </w:t>
      </w:r>
      <w:bookmarkEnd w:id="415"/>
      <w:r>
        <w:rPr>
          <w:rFonts w:hint="eastAsia" w:ascii="宋体" w:hAnsi="宋体" w:cs="宋体"/>
          <w:b/>
          <w:color w:val="auto"/>
          <w:sz w:val="36"/>
          <w:szCs w:val="20"/>
          <w:highlight w:val="none"/>
        </w:rPr>
        <w:t>应提交的有关格式范例</w:t>
      </w:r>
      <w:bookmarkEnd w:id="566"/>
    </w:p>
    <w:p w14:paraId="57F084B5">
      <w:pPr>
        <w:spacing w:line="360" w:lineRule="auto"/>
        <w:jc w:val="center"/>
        <w:rPr>
          <w:rFonts w:hint="eastAsia" w:ascii="宋体" w:hAnsi="宋体" w:cs="宋体"/>
          <w:b/>
          <w:color w:val="auto"/>
          <w:kern w:val="0"/>
          <w:sz w:val="36"/>
          <w:szCs w:val="36"/>
          <w:highlight w:val="none"/>
        </w:rPr>
      </w:pPr>
    </w:p>
    <w:p w14:paraId="5E460173">
      <w:pPr>
        <w:spacing w:line="360" w:lineRule="auto"/>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3278FD6">
      <w:pPr>
        <w:spacing w:line="360" w:lineRule="auto"/>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84DFB55">
      <w:pPr>
        <w:spacing w:line="360" w:lineRule="auto"/>
        <w:jc w:val="center"/>
        <w:rPr>
          <w:rFonts w:hint="eastAsia" w:ascii="宋体" w:hAnsi="宋体" w:cs="宋体"/>
          <w:b/>
          <w:color w:val="auto"/>
          <w:kern w:val="0"/>
          <w:sz w:val="36"/>
          <w:szCs w:val="36"/>
          <w:highlight w:val="none"/>
        </w:rPr>
      </w:pPr>
    </w:p>
    <w:p w14:paraId="16C665A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F4E5907">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1D6619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D800D8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D25B21F">
      <w:pPr>
        <w:snapToGrid w:val="0"/>
        <w:spacing w:line="360" w:lineRule="auto"/>
        <w:ind w:firstLine="480" w:firstLineChars="200"/>
        <w:rPr>
          <w:rFonts w:hint="eastAsia" w:ascii="宋体" w:hAnsi="宋体" w:cs="宋体"/>
          <w:color w:val="auto"/>
          <w:sz w:val="24"/>
          <w:highlight w:val="none"/>
        </w:rPr>
      </w:pPr>
    </w:p>
    <w:p w14:paraId="7429A5FE">
      <w:pPr>
        <w:spacing w:line="360" w:lineRule="auto"/>
        <w:ind w:firstLine="480" w:firstLineChars="200"/>
        <w:rPr>
          <w:rFonts w:hint="eastAsia" w:ascii="宋体" w:hAnsi="宋体" w:cs="宋体"/>
          <w:color w:val="auto"/>
          <w:sz w:val="24"/>
          <w:highlight w:val="none"/>
        </w:rPr>
      </w:pPr>
    </w:p>
    <w:p w14:paraId="2CB71197">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一、符合参加政府采购活动应当具备的一般条件的承诺函</w:t>
      </w:r>
    </w:p>
    <w:p w14:paraId="5823C4A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5A072C2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6856BFA">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EA3829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1714ECB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F706A3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8CC6BF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ADC591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BF5500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1992FB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（二）未被信用中国（www.creditchina.gov.cn）、中国政府采购网（www.ccgp.gov.cn）列入失信被执行人、重大税收违法案件当事人名单、政府采购严重违法失信行为记录名单。未在中国裁判文书网有行贿犯罪相关记录。</w:t>
      </w:r>
    </w:p>
    <w:p w14:paraId="353F8B9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7FB24DF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04EBF8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DFA5FB0">
      <w:pPr>
        <w:snapToGrid w:val="0"/>
        <w:spacing w:line="360" w:lineRule="auto"/>
        <w:ind w:firstLine="480" w:firstLineChars="200"/>
        <w:rPr>
          <w:rFonts w:hint="eastAsia" w:ascii="宋体" w:hAnsi="宋体" w:cs="宋体"/>
          <w:color w:val="auto"/>
          <w:sz w:val="24"/>
          <w:highlight w:val="none"/>
        </w:rPr>
      </w:pPr>
    </w:p>
    <w:p w14:paraId="265EBB43">
      <w:pPr>
        <w:snapToGrid w:val="0"/>
        <w:spacing w:line="360" w:lineRule="auto"/>
        <w:ind w:firstLine="5520" w:firstLineChars="2300"/>
        <w:rPr>
          <w:rFonts w:hint="eastAsia" w:ascii="宋体" w:hAnsi="宋体" w:cs="宋体"/>
          <w:color w:val="auto"/>
          <w:kern w:val="0"/>
          <w:sz w:val="24"/>
          <w:highlight w:val="none"/>
          <w:lang w:val="zh-CN"/>
        </w:rPr>
      </w:pPr>
    </w:p>
    <w:p w14:paraId="5617B19B">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6E65D0F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6614FDC">
      <w:pPr>
        <w:snapToGrid w:val="0"/>
        <w:spacing w:line="360" w:lineRule="auto"/>
        <w:ind w:right="480"/>
        <w:jc w:val="center"/>
        <w:rPr>
          <w:rFonts w:hint="eastAsia" w:ascii="宋体" w:hAnsi="宋体" w:cs="宋体"/>
          <w:b/>
          <w:color w:val="auto"/>
          <w:kern w:val="0"/>
          <w:sz w:val="32"/>
          <w:szCs w:val="32"/>
          <w:highlight w:val="none"/>
        </w:rPr>
      </w:pPr>
    </w:p>
    <w:p w14:paraId="5DFE85E6">
      <w:pPr>
        <w:snapToGrid w:val="0"/>
        <w:spacing w:line="360" w:lineRule="auto"/>
        <w:ind w:right="480"/>
        <w:jc w:val="center"/>
        <w:rPr>
          <w:rFonts w:hint="eastAsia" w:ascii="宋体" w:hAnsi="宋体" w:cs="宋体"/>
          <w:b/>
          <w:color w:val="auto"/>
          <w:kern w:val="0"/>
          <w:sz w:val="32"/>
          <w:szCs w:val="32"/>
          <w:highlight w:val="none"/>
        </w:rPr>
      </w:pPr>
    </w:p>
    <w:p w14:paraId="341955E2">
      <w:pPr>
        <w:snapToGrid w:val="0"/>
        <w:spacing w:line="360" w:lineRule="auto"/>
        <w:ind w:right="480"/>
        <w:jc w:val="center"/>
        <w:rPr>
          <w:rFonts w:hint="eastAsia" w:ascii="宋体" w:hAnsi="宋体" w:cs="宋体"/>
          <w:b/>
          <w:color w:val="auto"/>
          <w:kern w:val="0"/>
          <w:sz w:val="32"/>
          <w:szCs w:val="32"/>
          <w:highlight w:val="none"/>
        </w:rPr>
      </w:pPr>
    </w:p>
    <w:p w14:paraId="72A4BCF1">
      <w:pPr>
        <w:rPr>
          <w:rFonts w:hint="eastAsia" w:ascii="宋体" w:hAnsi="宋体" w:cs="宋体"/>
          <w:color w:val="auto"/>
          <w:highlight w:val="none"/>
        </w:rPr>
      </w:pPr>
    </w:p>
    <w:p w14:paraId="17AB9600">
      <w:pPr>
        <w:snapToGrid w:val="0"/>
        <w:spacing w:line="360" w:lineRule="auto"/>
        <w:ind w:right="480"/>
        <w:jc w:val="center"/>
        <w:rPr>
          <w:rFonts w:hint="eastAsia" w:ascii="宋体" w:hAnsi="宋体" w:cs="宋体"/>
          <w:b/>
          <w:color w:val="auto"/>
          <w:kern w:val="0"/>
          <w:sz w:val="32"/>
          <w:szCs w:val="32"/>
          <w:highlight w:val="none"/>
        </w:rPr>
      </w:pPr>
    </w:p>
    <w:p w14:paraId="6E59098F">
      <w:pPr>
        <w:widowControl/>
        <w:spacing w:line="360" w:lineRule="auto"/>
        <w:ind w:firstLine="643" w:firstLineChars="200"/>
        <w:jc w:val="center"/>
        <w:rPr>
          <w:rFonts w:hint="eastAsia" w:ascii="宋体" w:hAnsi="宋体" w:cs="宋体"/>
          <w:b/>
          <w:color w:val="auto"/>
          <w:kern w:val="0"/>
          <w:sz w:val="32"/>
          <w:szCs w:val="32"/>
          <w:highlight w:val="none"/>
        </w:rPr>
      </w:pPr>
    </w:p>
    <w:p w14:paraId="6C654424">
      <w:pPr>
        <w:widowControl/>
        <w:spacing w:line="360" w:lineRule="auto"/>
        <w:ind w:firstLine="643" w:firstLineChars="200"/>
        <w:jc w:val="center"/>
        <w:rPr>
          <w:rFonts w:hint="eastAsia" w:ascii="宋体" w:hAnsi="宋体" w:cs="宋体"/>
          <w:b/>
          <w:color w:val="auto"/>
          <w:kern w:val="0"/>
          <w:sz w:val="32"/>
          <w:szCs w:val="32"/>
          <w:highlight w:val="none"/>
        </w:rPr>
      </w:pPr>
    </w:p>
    <w:p w14:paraId="23518DBF">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83CBE6A">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[以联合体形式投标的，提供联合协议（附件5）；本项目不接受联合体投标或者供应商不以联合体形式投标的，则不需要提供]</w:t>
      </w:r>
    </w:p>
    <w:p w14:paraId="38B33745">
      <w:pPr>
        <w:snapToGrid w:val="0"/>
        <w:spacing w:line="360" w:lineRule="auto"/>
        <w:ind w:right="480"/>
        <w:jc w:val="center"/>
        <w:rPr>
          <w:rFonts w:hint="eastAsia" w:ascii="宋体" w:hAnsi="宋体" w:cs="宋体"/>
          <w:b/>
          <w:color w:val="auto"/>
          <w:kern w:val="0"/>
          <w:sz w:val="32"/>
          <w:szCs w:val="32"/>
          <w:highlight w:val="none"/>
        </w:rPr>
      </w:pPr>
    </w:p>
    <w:p w14:paraId="5E021D91">
      <w:pPr>
        <w:snapToGrid w:val="0"/>
        <w:spacing w:line="360" w:lineRule="auto"/>
        <w:ind w:right="480"/>
        <w:jc w:val="center"/>
        <w:rPr>
          <w:rFonts w:hint="eastAsia" w:ascii="宋体" w:hAnsi="宋体" w:cs="宋体"/>
          <w:b/>
          <w:color w:val="auto"/>
          <w:kern w:val="0"/>
          <w:sz w:val="32"/>
          <w:szCs w:val="32"/>
          <w:highlight w:val="none"/>
        </w:rPr>
      </w:pPr>
    </w:p>
    <w:p w14:paraId="5DE6C34A">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560D7CA">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B9A4D5D">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42B5753">
      <w:pPr>
        <w:widowControl/>
        <w:spacing w:line="360" w:lineRule="auto"/>
        <w:ind w:firstLine="480"/>
        <w:jc w:val="left"/>
        <w:rPr>
          <w:rFonts w:hint="eastAsia" w:ascii="宋体" w:hAnsi="宋体" w:cs="宋体"/>
          <w:color w:val="auto"/>
          <w:sz w:val="24"/>
          <w:highlight w:val="none"/>
        </w:rPr>
      </w:pPr>
    </w:p>
    <w:p w14:paraId="53382274">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AE34DF7">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67FA2886">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B130E22">
      <w:pPr>
        <w:widowControl/>
        <w:spacing w:line="360" w:lineRule="auto"/>
        <w:ind w:left="150"/>
        <w:jc w:val="center"/>
        <w:rPr>
          <w:rFonts w:hint="eastAsia" w:ascii="宋体" w:hAnsi="宋体" w:cs="宋体"/>
          <w:b/>
          <w:color w:val="auto"/>
          <w:kern w:val="0"/>
          <w:sz w:val="32"/>
          <w:szCs w:val="32"/>
          <w:highlight w:val="none"/>
        </w:rPr>
      </w:pPr>
    </w:p>
    <w:p w14:paraId="07403257">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334F7A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03CF5D2">
      <w:pPr>
        <w:rPr>
          <w:rFonts w:hint="eastAsia" w:ascii="宋体" w:hAnsi="宋体" w:cs="宋体"/>
          <w:color w:val="auto"/>
          <w:highlight w:val="none"/>
        </w:rPr>
      </w:pPr>
    </w:p>
    <w:p w14:paraId="59A672EC">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EF6D848">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166B50B">
      <w:pPr>
        <w:spacing w:line="360" w:lineRule="auto"/>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6CC517">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355DB6">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35E4DE6">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07E1E2D">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（6）商务技术偏离表</w:t>
      </w:r>
      <w:r>
        <w:rPr>
          <w:rFonts w:hint="eastAsia" w:ascii="宋体" w:hAnsi="宋体" w:cs="宋体"/>
          <w:color w:val="auto"/>
          <w:highlight w:val="none"/>
        </w:rPr>
        <w:t>………………………………………………………………………（页码）</w:t>
      </w:r>
    </w:p>
    <w:p w14:paraId="5AB1DFD0">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12C1608">
      <w:pPr>
        <w:snapToGrid w:val="0"/>
        <w:spacing w:line="360" w:lineRule="auto"/>
        <w:jc w:val="center"/>
        <w:rPr>
          <w:rFonts w:hint="eastAsia" w:ascii="宋体" w:hAnsi="宋体" w:cs="宋体"/>
          <w:b/>
          <w:color w:val="auto"/>
          <w:kern w:val="0"/>
          <w:sz w:val="32"/>
          <w:szCs w:val="32"/>
          <w:highlight w:val="none"/>
          <w:lang w:val="zh-CN"/>
        </w:rPr>
      </w:pPr>
    </w:p>
    <w:p w14:paraId="5B236260">
      <w:pPr>
        <w:snapToGrid w:val="0"/>
        <w:spacing w:line="360" w:lineRule="auto"/>
        <w:jc w:val="center"/>
        <w:rPr>
          <w:rFonts w:hint="eastAsia" w:ascii="宋体" w:hAnsi="宋体" w:cs="宋体"/>
          <w:b/>
          <w:color w:val="auto"/>
          <w:kern w:val="0"/>
          <w:sz w:val="32"/>
          <w:szCs w:val="32"/>
          <w:highlight w:val="none"/>
          <w:lang w:val="zh-CN"/>
        </w:rPr>
      </w:pPr>
    </w:p>
    <w:p w14:paraId="0DC15EFE">
      <w:pPr>
        <w:snapToGrid w:val="0"/>
        <w:spacing w:line="360" w:lineRule="auto"/>
        <w:jc w:val="center"/>
        <w:rPr>
          <w:rFonts w:hint="eastAsia" w:ascii="宋体" w:hAnsi="宋体" w:cs="宋体"/>
          <w:b/>
          <w:color w:val="auto"/>
          <w:kern w:val="0"/>
          <w:sz w:val="32"/>
          <w:szCs w:val="32"/>
          <w:highlight w:val="none"/>
          <w:lang w:val="zh-CN"/>
        </w:rPr>
      </w:pPr>
    </w:p>
    <w:p w14:paraId="72750622">
      <w:pPr>
        <w:snapToGrid w:val="0"/>
        <w:spacing w:line="360" w:lineRule="auto"/>
        <w:jc w:val="center"/>
        <w:rPr>
          <w:rFonts w:hint="eastAsia" w:ascii="宋体" w:hAnsi="宋体" w:cs="宋体"/>
          <w:b/>
          <w:color w:val="auto"/>
          <w:kern w:val="0"/>
          <w:sz w:val="32"/>
          <w:szCs w:val="32"/>
          <w:highlight w:val="none"/>
          <w:lang w:val="zh-CN"/>
        </w:rPr>
      </w:pPr>
    </w:p>
    <w:p w14:paraId="7F51B771">
      <w:pPr>
        <w:snapToGrid w:val="0"/>
        <w:spacing w:line="360" w:lineRule="auto"/>
        <w:jc w:val="center"/>
        <w:rPr>
          <w:rFonts w:hint="eastAsia" w:ascii="宋体" w:hAnsi="宋体" w:cs="宋体"/>
          <w:b/>
          <w:color w:val="auto"/>
          <w:kern w:val="0"/>
          <w:sz w:val="32"/>
          <w:szCs w:val="32"/>
          <w:highlight w:val="none"/>
          <w:lang w:val="zh-CN"/>
        </w:rPr>
      </w:pPr>
    </w:p>
    <w:p w14:paraId="2B1A9CB5">
      <w:pPr>
        <w:snapToGrid w:val="0"/>
        <w:spacing w:line="360" w:lineRule="auto"/>
        <w:jc w:val="center"/>
        <w:rPr>
          <w:rFonts w:hint="eastAsia" w:ascii="宋体" w:hAnsi="宋体" w:cs="宋体"/>
          <w:b/>
          <w:color w:val="auto"/>
          <w:kern w:val="0"/>
          <w:sz w:val="32"/>
          <w:szCs w:val="32"/>
          <w:highlight w:val="none"/>
        </w:rPr>
      </w:pPr>
    </w:p>
    <w:p w14:paraId="6DC518D6">
      <w:pPr>
        <w:snapToGrid w:val="0"/>
        <w:spacing w:line="360" w:lineRule="auto"/>
        <w:jc w:val="center"/>
        <w:rPr>
          <w:rFonts w:hint="eastAsia" w:ascii="宋体" w:hAnsi="宋体" w:cs="宋体"/>
          <w:b/>
          <w:color w:val="auto"/>
          <w:kern w:val="0"/>
          <w:sz w:val="32"/>
          <w:szCs w:val="32"/>
          <w:highlight w:val="none"/>
        </w:rPr>
      </w:pPr>
    </w:p>
    <w:p w14:paraId="7D89D2CA">
      <w:pPr>
        <w:rPr>
          <w:rFonts w:hint="eastAsia" w:ascii="宋体" w:hAnsi="宋体" w:cs="宋体"/>
          <w:color w:val="auto"/>
          <w:highlight w:val="none"/>
        </w:rPr>
      </w:pPr>
    </w:p>
    <w:p w14:paraId="2C1C2000">
      <w:pPr>
        <w:snapToGrid w:val="0"/>
        <w:spacing w:line="360" w:lineRule="auto"/>
        <w:jc w:val="center"/>
        <w:rPr>
          <w:rFonts w:hint="eastAsia" w:ascii="宋体" w:hAnsi="宋体" w:cs="宋体"/>
          <w:b/>
          <w:color w:val="auto"/>
          <w:kern w:val="0"/>
          <w:sz w:val="32"/>
          <w:szCs w:val="32"/>
          <w:highlight w:val="none"/>
        </w:rPr>
      </w:pPr>
    </w:p>
    <w:p w14:paraId="24566029">
      <w:pPr>
        <w:snapToGrid w:val="0"/>
        <w:spacing w:line="360" w:lineRule="auto"/>
        <w:jc w:val="center"/>
        <w:rPr>
          <w:rFonts w:hint="eastAsia" w:ascii="宋体" w:hAnsi="宋体" w:cs="宋体"/>
          <w:b/>
          <w:color w:val="auto"/>
          <w:kern w:val="0"/>
          <w:sz w:val="32"/>
          <w:szCs w:val="32"/>
          <w:highlight w:val="none"/>
        </w:rPr>
      </w:pPr>
    </w:p>
    <w:p w14:paraId="004B5A54">
      <w:pPr>
        <w:tabs>
          <w:tab w:val="left" w:pos="432"/>
        </w:tabs>
        <w:rPr>
          <w:color w:val="auto"/>
          <w:highlight w:val="none"/>
        </w:rPr>
      </w:pPr>
    </w:p>
    <w:p w14:paraId="3C676AA1">
      <w:pPr>
        <w:rPr>
          <w:color w:val="auto"/>
          <w:highlight w:val="none"/>
        </w:rPr>
      </w:pPr>
    </w:p>
    <w:p w14:paraId="37770013">
      <w:pPr>
        <w:snapToGrid w:val="0"/>
        <w:spacing w:line="360" w:lineRule="auto"/>
        <w:ind w:firstLine="3855" w:firstLineChars="1200"/>
        <w:rPr>
          <w:rFonts w:hint="eastAsia" w:ascii="宋体" w:hAnsi="宋体" w:cs="宋体"/>
          <w:b/>
          <w:color w:val="auto"/>
          <w:kern w:val="0"/>
          <w:sz w:val="32"/>
          <w:szCs w:val="32"/>
          <w:highlight w:val="none"/>
        </w:rPr>
      </w:pPr>
    </w:p>
    <w:p w14:paraId="4375387E">
      <w:pPr>
        <w:snapToGrid w:val="0"/>
        <w:spacing w:line="360" w:lineRule="auto"/>
        <w:ind w:firstLine="3855" w:firstLineChars="1200"/>
        <w:rPr>
          <w:rFonts w:hint="eastAsia" w:ascii="宋体" w:hAnsi="宋体" w:cs="宋体"/>
          <w:b/>
          <w:color w:val="auto"/>
          <w:kern w:val="0"/>
          <w:sz w:val="32"/>
          <w:szCs w:val="32"/>
          <w:highlight w:val="none"/>
        </w:rPr>
      </w:pPr>
    </w:p>
    <w:p w14:paraId="43D167DB">
      <w:pPr>
        <w:snapToGrid w:val="0"/>
        <w:spacing w:line="360" w:lineRule="auto"/>
        <w:ind w:firstLine="3855" w:firstLineChars="1200"/>
        <w:rPr>
          <w:rFonts w:hint="eastAsia" w:ascii="宋体" w:hAnsi="宋体" w:cs="宋体"/>
          <w:b/>
          <w:color w:val="auto"/>
          <w:kern w:val="0"/>
          <w:sz w:val="32"/>
          <w:szCs w:val="32"/>
          <w:highlight w:val="none"/>
        </w:rPr>
      </w:pPr>
    </w:p>
    <w:p w14:paraId="5C720A17">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EB14B14">
      <w:pPr>
        <w:snapToGrid w:val="0"/>
        <w:spacing w:line="360" w:lineRule="auto"/>
        <w:ind w:firstLine="3855" w:firstLineChars="120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EE2DCC2">
      <w:pPr>
        <w:snapToGrid w:val="0"/>
        <w:spacing w:line="312"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2EC19ED0">
      <w:pPr>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162373CB">
      <w:pPr>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2EBE77B">
      <w:pPr>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13D08BF0">
      <w:pPr>
        <w:snapToGrid w:val="0"/>
        <w:spacing w:line="312"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7FC23D0C">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61E48DA0">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402B2708">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8C14392">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101F31D">
      <w:pPr>
        <w:snapToGrid w:val="0"/>
        <w:spacing w:line="312"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2F0E410">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5A42214">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178165D">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4A30E1D">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44DCB71">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BCADBAC">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2.2.6商务技术偏离表；</w:t>
      </w:r>
    </w:p>
    <w:p w14:paraId="430198E3">
      <w:pPr>
        <w:snapToGrid w:val="0"/>
        <w:spacing w:line="312"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7EB5E671">
      <w:pPr>
        <w:snapToGrid w:val="0"/>
        <w:spacing w:line="312"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2619B80">
      <w:pPr>
        <w:snapToGrid w:val="0"/>
        <w:spacing w:line="312" w:lineRule="auto"/>
        <w:ind w:left="420" w:leftChars="200"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2.3.1开标一览表（报价表）、投标分项报价表</w:t>
      </w:r>
      <w:r>
        <w:rPr>
          <w:rFonts w:hint="eastAsia" w:ascii="宋体" w:hAnsi="宋体" w:cs="宋体"/>
          <w:color w:val="auto"/>
          <w:sz w:val="24"/>
          <w:highlight w:val="none"/>
          <w:lang w:eastAsia="zh-CN"/>
        </w:rPr>
        <w:t>；</w:t>
      </w:r>
    </w:p>
    <w:p w14:paraId="12A4CB53">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2.3.2中小企业声明函（如果有）</w:t>
      </w:r>
      <w:r>
        <w:rPr>
          <w:rFonts w:hint="eastAsia" w:ascii="宋体" w:hAnsi="宋体" w:cs="宋体"/>
          <w:color w:val="auto"/>
          <w:sz w:val="24"/>
          <w:highlight w:val="none"/>
        </w:rPr>
        <w:t>。</w:t>
      </w:r>
    </w:p>
    <w:p w14:paraId="7E179B24">
      <w:pPr>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23ABD4A8">
      <w:pPr>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6D2CF1FB">
      <w:pPr>
        <w:snapToGrid w:val="0"/>
        <w:spacing w:line="312"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47A4FA6">
      <w:pPr>
        <w:snapToGrid w:val="0"/>
        <w:spacing w:line="312"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D2C1659">
      <w:pPr>
        <w:snapToGrid w:val="0"/>
        <w:spacing w:line="312"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87DC7FE">
      <w:pPr>
        <w:snapToGrid w:val="0"/>
        <w:spacing w:line="312"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4.4在合同约定的期限内完成合同规定的全部义务。</w:t>
      </w:r>
    </w:p>
    <w:p w14:paraId="7E8261EF">
      <w:pPr>
        <w:snapToGrid w:val="0"/>
        <w:spacing w:line="312"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4.5</w:t>
      </w:r>
      <w:r>
        <w:rPr>
          <w:rFonts w:hint="eastAsia" w:cs="宋体" w:asciiTheme="minorEastAsia" w:hAnsiTheme="minorEastAsia" w:eastAsiaTheme="minorEastAsia"/>
          <w:color w:val="auto"/>
          <w:sz w:val="24"/>
          <w:highlight w:val="none"/>
        </w:rPr>
        <w:t>按照招标文件的规定，在中标后向采购代理机构一次性支付招标代理服务费。</w:t>
      </w:r>
      <w:r>
        <w:rPr>
          <w:rFonts w:hint="eastAsia" w:ascii="宋体" w:hAnsi="宋体" w:cs="宋体"/>
          <w:color w:val="auto"/>
          <w:sz w:val="24"/>
          <w:highlight w:val="none"/>
        </w:rPr>
        <w:t xml:space="preserve"> </w:t>
      </w:r>
    </w:p>
    <w:p w14:paraId="3D1240DB">
      <w:pPr>
        <w:snapToGrid w:val="0"/>
        <w:spacing w:line="312"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CB6A161">
      <w:pPr>
        <w:spacing w:line="312"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16BCBF27">
      <w:pPr>
        <w:spacing w:line="312"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180BAC2D">
      <w:pPr>
        <w:widowControl/>
        <w:adjustRightInd/>
        <w:jc w:val="left"/>
        <w:rPr>
          <w:rFonts w:hint="eastAsia" w:ascii="宋体" w:hAnsi="宋体" w:cs="宋体"/>
          <w:b/>
          <w:color w:val="auto"/>
          <w:kern w:val="0"/>
          <w:sz w:val="32"/>
          <w:szCs w:val="32"/>
          <w:highlight w:val="none"/>
        </w:rPr>
      </w:pPr>
      <w:r>
        <w:rPr>
          <w:rFonts w:hint="eastAsia" w:ascii="宋体" w:hAnsi="宋体" w:cs="宋体"/>
          <w:color w:val="auto"/>
          <w:sz w:val="24"/>
          <w:highlight w:val="none"/>
        </w:rPr>
        <w:t>注：按本格式和要求提供。</w:t>
      </w:r>
      <w:r>
        <w:rPr>
          <w:rFonts w:ascii="宋体" w:hAnsi="宋体" w:cs="宋体"/>
          <w:b/>
          <w:color w:val="auto"/>
          <w:kern w:val="0"/>
          <w:sz w:val="32"/>
          <w:szCs w:val="32"/>
          <w:highlight w:val="none"/>
        </w:rPr>
        <w:br w:type="page"/>
      </w:r>
    </w:p>
    <w:p w14:paraId="53712231">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57085F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68A22C7B">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7A13C9B">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889DB76">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935BC1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1579303">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C208E3A">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3789E638">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7B06791">
      <w:pPr>
        <w:snapToGrid w:val="0"/>
        <w:spacing w:line="360" w:lineRule="auto"/>
        <w:rPr>
          <w:rFonts w:hint="eastAsia" w:ascii="宋体" w:hAnsi="宋体" w:cs="宋体"/>
          <w:color w:val="auto"/>
          <w:sz w:val="24"/>
          <w:highlight w:val="none"/>
        </w:rPr>
      </w:pPr>
    </w:p>
    <w:p w14:paraId="5577F376">
      <w:pPr>
        <w:snapToGrid w:val="0"/>
        <w:spacing w:line="360" w:lineRule="auto"/>
        <w:rPr>
          <w:rFonts w:hint="eastAsia" w:ascii="宋体" w:hAnsi="宋体" w:cs="宋体"/>
          <w:color w:val="auto"/>
          <w:sz w:val="24"/>
          <w:highlight w:val="none"/>
        </w:rPr>
      </w:pPr>
    </w:p>
    <w:p w14:paraId="3AD7522F">
      <w:pPr>
        <w:snapToGrid w:val="0"/>
        <w:spacing w:line="360" w:lineRule="auto"/>
        <w:rPr>
          <w:rFonts w:hint="eastAsia" w:ascii="宋体" w:hAnsi="宋体" w:cs="宋体"/>
          <w:color w:val="auto"/>
          <w:sz w:val="24"/>
          <w:highlight w:val="none"/>
        </w:rPr>
      </w:pPr>
    </w:p>
    <w:p w14:paraId="7C1A65E3">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5D2CA50">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ADE7F63">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54D8E8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2E57A1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0E9D8F1">
      <w:pPr>
        <w:jc w:val="center"/>
        <w:rPr>
          <w:rFonts w:hint="eastAsia" w:ascii="宋体" w:hAnsi="宋体" w:cs="宋体"/>
          <w:b/>
          <w:color w:val="auto"/>
          <w:kern w:val="0"/>
          <w:sz w:val="32"/>
          <w:szCs w:val="32"/>
          <w:highlight w:val="none"/>
        </w:rPr>
      </w:pPr>
    </w:p>
    <w:p w14:paraId="3D58BC3A">
      <w:pPr>
        <w:jc w:val="center"/>
        <w:rPr>
          <w:rFonts w:hint="eastAsia" w:ascii="宋体" w:hAnsi="宋体" w:cs="宋体"/>
          <w:b/>
          <w:color w:val="auto"/>
          <w:kern w:val="0"/>
          <w:sz w:val="32"/>
          <w:szCs w:val="32"/>
          <w:highlight w:val="none"/>
        </w:rPr>
      </w:pPr>
    </w:p>
    <w:p w14:paraId="7CE8CF58">
      <w:pPr>
        <w:jc w:val="center"/>
        <w:rPr>
          <w:rFonts w:hint="eastAsia" w:ascii="宋体" w:hAnsi="宋体" w:cs="宋体"/>
          <w:b/>
          <w:color w:val="auto"/>
          <w:kern w:val="0"/>
          <w:sz w:val="32"/>
          <w:szCs w:val="32"/>
          <w:highlight w:val="none"/>
        </w:rPr>
      </w:pPr>
    </w:p>
    <w:p w14:paraId="5AAA3969">
      <w:pPr>
        <w:rPr>
          <w:rFonts w:hint="eastAsia" w:ascii="宋体" w:hAnsi="宋体" w:cs="宋体"/>
          <w:color w:val="auto"/>
          <w:highlight w:val="none"/>
        </w:rPr>
      </w:pPr>
    </w:p>
    <w:p w14:paraId="4D19A655">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CF6F9CD">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D6B32F5">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57DA61EA">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3191E7B">
      <w:pPr>
        <w:autoSpaceDE w:val="0"/>
        <w:autoSpaceDN w:val="0"/>
        <w:spacing w:line="360" w:lineRule="auto"/>
        <w:jc w:val="center"/>
        <w:rPr>
          <w:rFonts w:hint="eastAsia" w:ascii="宋体" w:hAnsi="宋体" w:cs="宋体"/>
          <w:b/>
          <w:color w:val="auto"/>
          <w:kern w:val="0"/>
          <w:sz w:val="32"/>
          <w:szCs w:val="32"/>
          <w:highlight w:val="none"/>
          <w:lang w:val="zh-CN"/>
        </w:rPr>
      </w:pPr>
    </w:p>
    <w:p w14:paraId="5233B882">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的身份证明（适用于法定代表人、单位负责人或者自然人本人代表供应商参加投标）</w:t>
      </w:r>
    </w:p>
    <w:p w14:paraId="67B06CC5">
      <w:pPr>
        <w:pStyle w:val="153"/>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561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101F6F0">
            <w:pPr>
              <w:pStyle w:val="153"/>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0986857D">
            <w:pPr>
              <w:pStyle w:val="153"/>
              <w:adjustRightInd w:val="0"/>
              <w:spacing w:line="360" w:lineRule="auto"/>
              <w:rPr>
                <w:rFonts w:hint="eastAsia" w:hAnsi="宋体" w:cs="宋体"/>
                <w:bCs/>
                <w:color w:val="auto"/>
                <w:sz w:val="24"/>
                <w:highlight w:val="none"/>
              </w:rPr>
            </w:pPr>
          </w:p>
        </w:tc>
      </w:tr>
    </w:tbl>
    <w:p w14:paraId="3FD9C953">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F4C11EB">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6CE2152A">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17487B3">
      <w:pPr>
        <w:jc w:val="center"/>
        <w:rPr>
          <w:rFonts w:hint="eastAsia" w:ascii="宋体" w:hAnsi="宋体" w:cs="宋体"/>
          <w:b/>
          <w:color w:val="auto"/>
          <w:kern w:val="0"/>
          <w:sz w:val="32"/>
          <w:szCs w:val="32"/>
          <w:highlight w:val="none"/>
        </w:rPr>
      </w:pPr>
    </w:p>
    <w:p w14:paraId="76122CFD">
      <w:pPr>
        <w:jc w:val="center"/>
        <w:rPr>
          <w:rFonts w:hint="eastAsia" w:ascii="宋体" w:hAnsi="宋体" w:cs="宋体"/>
          <w:b/>
          <w:color w:val="auto"/>
          <w:kern w:val="0"/>
          <w:sz w:val="32"/>
          <w:szCs w:val="32"/>
          <w:highlight w:val="none"/>
        </w:rPr>
      </w:pPr>
    </w:p>
    <w:p w14:paraId="48731625">
      <w:pPr>
        <w:jc w:val="center"/>
        <w:rPr>
          <w:rFonts w:hint="eastAsia" w:ascii="宋体" w:hAnsi="宋体" w:cs="宋体"/>
          <w:b/>
          <w:color w:val="auto"/>
          <w:kern w:val="0"/>
          <w:sz w:val="32"/>
          <w:szCs w:val="32"/>
          <w:highlight w:val="none"/>
        </w:rPr>
      </w:pPr>
    </w:p>
    <w:p w14:paraId="2FC21954">
      <w:pPr>
        <w:jc w:val="center"/>
        <w:rPr>
          <w:rFonts w:hint="eastAsia" w:ascii="宋体" w:hAnsi="宋体" w:cs="宋体"/>
          <w:b/>
          <w:color w:val="auto"/>
          <w:kern w:val="0"/>
          <w:sz w:val="32"/>
          <w:szCs w:val="32"/>
          <w:highlight w:val="none"/>
        </w:rPr>
      </w:pPr>
    </w:p>
    <w:p w14:paraId="34BB919D">
      <w:pPr>
        <w:jc w:val="center"/>
        <w:rPr>
          <w:rFonts w:hint="eastAsia" w:ascii="宋体" w:hAnsi="宋体" w:cs="宋体"/>
          <w:b/>
          <w:color w:val="auto"/>
          <w:kern w:val="0"/>
          <w:sz w:val="32"/>
          <w:szCs w:val="32"/>
          <w:highlight w:val="none"/>
        </w:rPr>
      </w:pPr>
    </w:p>
    <w:p w14:paraId="3BDA6883">
      <w:pPr>
        <w:jc w:val="center"/>
        <w:rPr>
          <w:rFonts w:hint="eastAsia" w:ascii="宋体" w:hAnsi="宋体" w:cs="宋体"/>
          <w:b/>
          <w:color w:val="auto"/>
          <w:kern w:val="0"/>
          <w:sz w:val="32"/>
          <w:szCs w:val="32"/>
          <w:highlight w:val="none"/>
        </w:rPr>
      </w:pPr>
    </w:p>
    <w:p w14:paraId="620E97FB">
      <w:pPr>
        <w:jc w:val="center"/>
        <w:rPr>
          <w:rFonts w:hint="eastAsia" w:ascii="宋体" w:hAnsi="宋体" w:cs="宋体"/>
          <w:b/>
          <w:color w:val="auto"/>
          <w:kern w:val="0"/>
          <w:sz w:val="32"/>
          <w:szCs w:val="32"/>
          <w:highlight w:val="none"/>
        </w:rPr>
      </w:pPr>
    </w:p>
    <w:p w14:paraId="1510934A">
      <w:pPr>
        <w:jc w:val="center"/>
        <w:rPr>
          <w:rFonts w:hint="eastAsia" w:ascii="宋体" w:hAnsi="宋体" w:cs="宋体"/>
          <w:b/>
          <w:color w:val="auto"/>
          <w:kern w:val="0"/>
          <w:sz w:val="32"/>
          <w:szCs w:val="32"/>
          <w:highlight w:val="none"/>
        </w:rPr>
      </w:pPr>
    </w:p>
    <w:p w14:paraId="6BBF6A2C">
      <w:pPr>
        <w:jc w:val="center"/>
        <w:rPr>
          <w:rFonts w:hint="eastAsia" w:ascii="宋体" w:hAnsi="宋体" w:cs="宋体"/>
          <w:b/>
          <w:color w:val="auto"/>
          <w:kern w:val="0"/>
          <w:sz w:val="32"/>
          <w:szCs w:val="32"/>
          <w:highlight w:val="none"/>
        </w:rPr>
      </w:pPr>
    </w:p>
    <w:p w14:paraId="3973FD73">
      <w:pPr>
        <w:jc w:val="center"/>
        <w:rPr>
          <w:rFonts w:hint="eastAsia" w:ascii="宋体" w:hAnsi="宋体" w:cs="宋体"/>
          <w:b/>
          <w:color w:val="auto"/>
          <w:kern w:val="0"/>
          <w:sz w:val="32"/>
          <w:szCs w:val="32"/>
          <w:highlight w:val="none"/>
        </w:rPr>
      </w:pPr>
    </w:p>
    <w:p w14:paraId="4814EB4C">
      <w:pPr>
        <w:snapToGrid w:val="0"/>
        <w:spacing w:line="360" w:lineRule="auto"/>
        <w:ind w:right="480"/>
        <w:rPr>
          <w:rFonts w:hint="eastAsia"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2F9B016">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FF0C9EA">
      <w:pPr>
        <w:widowControl/>
        <w:spacing w:line="360" w:lineRule="auto"/>
        <w:ind w:firstLine="120" w:firstLineChars="50"/>
        <w:jc w:val="left"/>
        <w:rPr>
          <w:rFonts w:hint="eastAsia" w:ascii="宋体" w:hAnsi="宋体" w:cs="宋体"/>
          <w:color w:val="auto"/>
          <w:sz w:val="24"/>
          <w:highlight w:val="none"/>
        </w:rPr>
      </w:pPr>
      <w:bookmarkStart w:id="567"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中标后以分包方式履行合同的，提供分包意向协议（附件6）；采购人不同意分包或者供应商中标后不以分包方式履行合同的，则不需要提供</w:t>
      </w:r>
      <w:r>
        <w:rPr>
          <w:rFonts w:hint="eastAsia" w:ascii="宋体" w:hAnsi="宋体" w:cs="宋体"/>
          <w:color w:val="auto"/>
          <w:sz w:val="24"/>
          <w:highlight w:val="none"/>
        </w:rPr>
        <w:t>]</w:t>
      </w:r>
    </w:p>
    <w:bookmarkEnd w:id="567"/>
    <w:p w14:paraId="12B839FF">
      <w:pPr>
        <w:snapToGrid w:val="0"/>
        <w:spacing w:line="360" w:lineRule="auto"/>
        <w:rPr>
          <w:rFonts w:hint="eastAsia" w:ascii="宋体" w:hAnsi="宋体" w:cs="宋体"/>
          <w:color w:val="auto"/>
          <w:kern w:val="0"/>
          <w:sz w:val="24"/>
          <w:highlight w:val="none"/>
        </w:rPr>
      </w:pPr>
    </w:p>
    <w:p w14:paraId="1EFD0584">
      <w:pPr>
        <w:jc w:val="center"/>
        <w:rPr>
          <w:rFonts w:hint="eastAsia" w:ascii="宋体" w:hAnsi="宋体" w:cs="宋体"/>
          <w:b/>
          <w:color w:val="auto"/>
          <w:kern w:val="0"/>
          <w:sz w:val="32"/>
          <w:szCs w:val="32"/>
          <w:highlight w:val="none"/>
        </w:rPr>
      </w:pPr>
    </w:p>
    <w:p w14:paraId="486105BA">
      <w:pPr>
        <w:tabs>
          <w:tab w:val="left" w:pos="432"/>
        </w:tabs>
        <w:rPr>
          <w:color w:val="auto"/>
          <w:highlight w:val="none"/>
        </w:rPr>
      </w:pPr>
    </w:p>
    <w:p w14:paraId="1E12CABE">
      <w:pPr>
        <w:rPr>
          <w:color w:val="auto"/>
          <w:highlight w:val="none"/>
        </w:rPr>
      </w:pPr>
    </w:p>
    <w:p w14:paraId="087E28E3">
      <w:pPr>
        <w:tabs>
          <w:tab w:val="left" w:pos="432"/>
        </w:tabs>
        <w:rPr>
          <w:color w:val="auto"/>
          <w:highlight w:val="none"/>
        </w:rPr>
      </w:pPr>
    </w:p>
    <w:p w14:paraId="02A3708E">
      <w:pPr>
        <w:jc w:val="center"/>
        <w:rPr>
          <w:rFonts w:hint="eastAsia" w:ascii="宋体" w:hAnsi="宋体" w:cs="宋体"/>
          <w:b/>
          <w:color w:val="auto"/>
          <w:kern w:val="0"/>
          <w:sz w:val="32"/>
          <w:szCs w:val="32"/>
          <w:highlight w:val="none"/>
        </w:rPr>
      </w:pPr>
    </w:p>
    <w:p w14:paraId="46A59EB8">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F4BFFEE">
      <w:pPr>
        <w:jc w:val="center"/>
        <w:rPr>
          <w:rFonts w:hint="eastAsia"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441"/>
        <w:gridCol w:w="3101"/>
        <w:gridCol w:w="1418"/>
      </w:tblGrid>
      <w:tr w14:paraId="0AD0B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DA5400F">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441" w:type="dxa"/>
            <w:vAlign w:val="center"/>
          </w:tcPr>
          <w:p w14:paraId="2F296721">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3101" w:type="dxa"/>
            <w:vAlign w:val="center"/>
          </w:tcPr>
          <w:p w14:paraId="0A6D60C0">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1D793A8">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6106B68B">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091E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BE049C">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441" w:type="dxa"/>
            <w:vAlign w:val="center"/>
          </w:tcPr>
          <w:p w14:paraId="715E9F5A">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3101" w:type="dxa"/>
            <w:vAlign w:val="center"/>
          </w:tcPr>
          <w:p w14:paraId="4AAA0D66">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2848F52B">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585902CE">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06C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948087">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441" w:type="dxa"/>
            <w:vAlign w:val="center"/>
          </w:tcPr>
          <w:p w14:paraId="7B8D066B">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101" w:type="dxa"/>
            <w:vAlign w:val="center"/>
          </w:tcPr>
          <w:p w14:paraId="22DD3814">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4C52695B">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261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4F2731">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441" w:type="dxa"/>
            <w:vAlign w:val="center"/>
          </w:tcPr>
          <w:p w14:paraId="18D48FF2">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投标文件满足招标文件的其他实质性要求。</w:t>
            </w:r>
          </w:p>
        </w:tc>
        <w:tc>
          <w:tcPr>
            <w:tcW w:w="3101" w:type="dxa"/>
            <w:vAlign w:val="center"/>
          </w:tcPr>
          <w:p w14:paraId="1BEA1F16">
            <w:pPr>
              <w:rPr>
                <w:rFonts w:hint="eastAsia" w:ascii="宋体" w:hAnsi="宋体" w:cs="宋体"/>
                <w:color w:val="auto"/>
                <w:sz w:val="24"/>
                <w:highlight w:val="none"/>
              </w:rPr>
            </w:pPr>
            <w:r>
              <w:rPr>
                <w:rFonts w:hint="eastAsia" w:ascii="宋体" w:hAnsi="宋体" w:cs="宋体"/>
                <w:color w:val="auto"/>
                <w:kern w:val="0"/>
                <w:sz w:val="24"/>
                <w:highlight w:val="none"/>
              </w:rPr>
              <w:t>招标文件其他实质性要求相应的材料（“▲” 系指实质性要求条款，招标文件无其他实质性要求的，无需提供）</w:t>
            </w:r>
          </w:p>
        </w:tc>
        <w:tc>
          <w:tcPr>
            <w:tcW w:w="1418" w:type="dxa"/>
            <w:vAlign w:val="center"/>
          </w:tcPr>
          <w:p w14:paraId="1551BBC9">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4FFEEA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B100C93">
      <w:pPr>
        <w:jc w:val="center"/>
        <w:rPr>
          <w:rFonts w:hint="eastAsia" w:ascii="宋体" w:hAnsi="宋体" w:cs="宋体"/>
          <w:b/>
          <w:color w:val="auto"/>
          <w:kern w:val="0"/>
          <w:sz w:val="32"/>
          <w:szCs w:val="32"/>
          <w:highlight w:val="none"/>
        </w:rPr>
      </w:pPr>
    </w:p>
    <w:p w14:paraId="38431723">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2FEAB3B">
      <w:pPr>
        <w:jc w:val="center"/>
        <w:rPr>
          <w:rFonts w:hint="eastAsia" w:ascii="宋体" w:hAnsi="宋体" w:cs="宋体"/>
          <w:b/>
          <w:color w:val="auto"/>
          <w:kern w:val="0"/>
          <w:sz w:val="32"/>
          <w:szCs w:val="32"/>
          <w:highlight w:val="none"/>
        </w:rPr>
      </w:pPr>
    </w:p>
    <w:p w14:paraId="3A92D8E2">
      <w:pPr>
        <w:jc w:val="center"/>
        <w:rPr>
          <w:rFonts w:hint="eastAsia" w:ascii="宋体" w:hAnsi="宋体" w:cs="宋体"/>
          <w:b/>
          <w:color w:val="auto"/>
          <w:kern w:val="0"/>
          <w:sz w:val="32"/>
          <w:szCs w:val="32"/>
          <w:highlight w:val="none"/>
        </w:rPr>
      </w:pPr>
    </w:p>
    <w:p w14:paraId="59606766">
      <w:pPr>
        <w:jc w:val="center"/>
        <w:rPr>
          <w:rFonts w:hint="eastAsia" w:ascii="宋体" w:hAnsi="宋体" w:cs="宋体"/>
          <w:b/>
          <w:color w:val="auto"/>
          <w:kern w:val="0"/>
          <w:sz w:val="32"/>
          <w:szCs w:val="32"/>
          <w:highlight w:val="none"/>
        </w:rPr>
      </w:pPr>
    </w:p>
    <w:p w14:paraId="04918E00">
      <w:pPr>
        <w:jc w:val="center"/>
        <w:rPr>
          <w:rFonts w:hint="eastAsia" w:ascii="宋体" w:hAnsi="宋体" w:cs="宋体"/>
          <w:b/>
          <w:color w:val="auto"/>
          <w:kern w:val="0"/>
          <w:sz w:val="32"/>
          <w:szCs w:val="32"/>
          <w:highlight w:val="none"/>
        </w:rPr>
      </w:pPr>
    </w:p>
    <w:p w14:paraId="7FA97E88">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DB357CC">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DDC7D7D">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68DFA921">
      <w:pPr>
        <w:jc w:val="center"/>
        <w:rPr>
          <w:rFonts w:hint="eastAsia" w:ascii="宋体" w:hAnsi="宋体" w:cs="宋体"/>
          <w:b/>
          <w:color w:val="auto"/>
          <w:kern w:val="0"/>
          <w:sz w:val="32"/>
          <w:szCs w:val="32"/>
          <w:highlight w:val="none"/>
        </w:rPr>
      </w:pPr>
    </w:p>
    <w:p w14:paraId="7BF24B62">
      <w:pPr>
        <w:jc w:val="center"/>
        <w:rPr>
          <w:rFonts w:hint="eastAsia" w:ascii="宋体" w:hAnsi="宋体" w:cs="宋体"/>
          <w:b/>
          <w:color w:val="auto"/>
          <w:kern w:val="0"/>
          <w:sz w:val="32"/>
          <w:szCs w:val="32"/>
          <w:highlight w:val="none"/>
        </w:rPr>
      </w:pPr>
    </w:p>
    <w:p w14:paraId="71060946">
      <w:pPr>
        <w:jc w:val="center"/>
        <w:rPr>
          <w:rFonts w:hint="eastAsia" w:ascii="宋体" w:hAnsi="宋体" w:cs="宋体"/>
          <w:b/>
          <w:color w:val="auto"/>
          <w:kern w:val="0"/>
          <w:sz w:val="32"/>
          <w:szCs w:val="32"/>
          <w:highlight w:val="none"/>
        </w:rPr>
      </w:pPr>
    </w:p>
    <w:p w14:paraId="6E33DE61">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105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493C8A">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55A309D">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07152119">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C298CDC">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5E5E6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614D9C">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B9CD2AD">
            <w:pPr>
              <w:jc w:val="center"/>
              <w:rPr>
                <w:rFonts w:hint="eastAsia" w:ascii="宋体" w:hAnsi="宋体" w:cs="宋体"/>
                <w:b/>
                <w:color w:val="auto"/>
                <w:kern w:val="0"/>
                <w:sz w:val="32"/>
                <w:szCs w:val="32"/>
                <w:highlight w:val="none"/>
              </w:rPr>
            </w:pPr>
          </w:p>
        </w:tc>
        <w:tc>
          <w:tcPr>
            <w:tcW w:w="3546" w:type="dxa"/>
          </w:tcPr>
          <w:p w14:paraId="515D3D95">
            <w:pPr>
              <w:jc w:val="center"/>
              <w:rPr>
                <w:rFonts w:hint="eastAsia" w:ascii="宋体" w:hAnsi="宋体" w:cs="宋体"/>
                <w:b/>
                <w:color w:val="auto"/>
                <w:kern w:val="0"/>
                <w:sz w:val="32"/>
                <w:szCs w:val="32"/>
                <w:highlight w:val="none"/>
              </w:rPr>
            </w:pPr>
          </w:p>
        </w:tc>
        <w:tc>
          <w:tcPr>
            <w:tcW w:w="1276" w:type="dxa"/>
          </w:tcPr>
          <w:p w14:paraId="228336B3">
            <w:pPr>
              <w:jc w:val="center"/>
              <w:rPr>
                <w:rFonts w:hint="eastAsia" w:ascii="宋体" w:hAnsi="宋体" w:cs="宋体"/>
                <w:b/>
                <w:color w:val="auto"/>
                <w:kern w:val="0"/>
                <w:sz w:val="32"/>
                <w:szCs w:val="32"/>
                <w:highlight w:val="none"/>
              </w:rPr>
            </w:pPr>
          </w:p>
        </w:tc>
      </w:tr>
      <w:tr w14:paraId="5EDF4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1502CB">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3D0801D">
            <w:pPr>
              <w:jc w:val="center"/>
              <w:rPr>
                <w:rFonts w:hint="eastAsia" w:ascii="宋体" w:hAnsi="宋体" w:cs="宋体"/>
                <w:b/>
                <w:color w:val="auto"/>
                <w:kern w:val="0"/>
                <w:sz w:val="32"/>
                <w:szCs w:val="32"/>
                <w:highlight w:val="none"/>
              </w:rPr>
            </w:pPr>
          </w:p>
        </w:tc>
        <w:tc>
          <w:tcPr>
            <w:tcW w:w="3546" w:type="dxa"/>
          </w:tcPr>
          <w:p w14:paraId="2B867AF3">
            <w:pPr>
              <w:jc w:val="center"/>
              <w:rPr>
                <w:rFonts w:hint="eastAsia" w:ascii="宋体" w:hAnsi="宋体" w:cs="宋体"/>
                <w:b/>
                <w:color w:val="auto"/>
                <w:kern w:val="0"/>
                <w:sz w:val="32"/>
                <w:szCs w:val="32"/>
                <w:highlight w:val="none"/>
              </w:rPr>
            </w:pPr>
          </w:p>
        </w:tc>
        <w:tc>
          <w:tcPr>
            <w:tcW w:w="1276" w:type="dxa"/>
          </w:tcPr>
          <w:p w14:paraId="48BFAE7D">
            <w:pPr>
              <w:jc w:val="center"/>
              <w:rPr>
                <w:rFonts w:hint="eastAsia" w:ascii="宋体" w:hAnsi="宋体" w:cs="宋体"/>
                <w:b/>
                <w:color w:val="auto"/>
                <w:kern w:val="0"/>
                <w:sz w:val="32"/>
                <w:szCs w:val="32"/>
                <w:highlight w:val="none"/>
              </w:rPr>
            </w:pPr>
          </w:p>
        </w:tc>
      </w:tr>
      <w:tr w14:paraId="730C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D71BF0">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2192B59">
            <w:pPr>
              <w:jc w:val="center"/>
              <w:rPr>
                <w:rFonts w:hint="eastAsia" w:ascii="宋体" w:hAnsi="宋体" w:cs="宋体"/>
                <w:b/>
                <w:color w:val="auto"/>
                <w:kern w:val="0"/>
                <w:sz w:val="32"/>
                <w:szCs w:val="32"/>
                <w:highlight w:val="none"/>
              </w:rPr>
            </w:pPr>
          </w:p>
        </w:tc>
        <w:tc>
          <w:tcPr>
            <w:tcW w:w="3546" w:type="dxa"/>
          </w:tcPr>
          <w:p w14:paraId="1B73F681">
            <w:pPr>
              <w:jc w:val="center"/>
              <w:rPr>
                <w:rFonts w:hint="eastAsia" w:ascii="宋体" w:hAnsi="宋体" w:cs="宋体"/>
                <w:b/>
                <w:color w:val="auto"/>
                <w:kern w:val="0"/>
                <w:sz w:val="32"/>
                <w:szCs w:val="32"/>
                <w:highlight w:val="none"/>
              </w:rPr>
            </w:pPr>
          </w:p>
        </w:tc>
        <w:tc>
          <w:tcPr>
            <w:tcW w:w="1276" w:type="dxa"/>
          </w:tcPr>
          <w:p w14:paraId="01E0B638">
            <w:pPr>
              <w:jc w:val="center"/>
              <w:rPr>
                <w:rFonts w:hint="eastAsia" w:ascii="宋体" w:hAnsi="宋体" w:cs="宋体"/>
                <w:b/>
                <w:color w:val="auto"/>
                <w:kern w:val="0"/>
                <w:sz w:val="32"/>
                <w:szCs w:val="32"/>
                <w:highlight w:val="none"/>
              </w:rPr>
            </w:pPr>
          </w:p>
        </w:tc>
      </w:tr>
    </w:tbl>
    <w:p w14:paraId="3A2098F2">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供应商保证：除商务技术偏离表列出的偏离外，供应商响应招标文件的全部要求</w:t>
      </w:r>
    </w:p>
    <w:p w14:paraId="1BACA666">
      <w:pPr>
        <w:jc w:val="center"/>
        <w:rPr>
          <w:rFonts w:hint="eastAsia" w:ascii="宋体" w:hAnsi="宋体" w:cs="宋体"/>
          <w:b/>
          <w:color w:val="auto"/>
          <w:kern w:val="0"/>
          <w:sz w:val="32"/>
          <w:szCs w:val="32"/>
          <w:highlight w:val="none"/>
        </w:rPr>
      </w:pPr>
    </w:p>
    <w:p w14:paraId="180F397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BBA474B">
      <w:pPr>
        <w:ind w:firstLine="1911" w:firstLineChars="595"/>
        <w:rPr>
          <w:rFonts w:hint="eastAsia" w:ascii="宋体" w:hAnsi="宋体" w:cs="宋体"/>
          <w:b/>
          <w:bCs/>
          <w:color w:val="auto"/>
          <w:sz w:val="32"/>
          <w:szCs w:val="32"/>
          <w:highlight w:val="none"/>
        </w:rPr>
      </w:pPr>
    </w:p>
    <w:p w14:paraId="6B9B83C3">
      <w:pPr>
        <w:ind w:firstLine="1911" w:firstLineChars="595"/>
        <w:rPr>
          <w:rFonts w:hint="eastAsia" w:ascii="宋体" w:hAnsi="宋体" w:cs="宋体"/>
          <w:b/>
          <w:bCs/>
          <w:color w:val="auto"/>
          <w:sz w:val="32"/>
          <w:szCs w:val="32"/>
          <w:highlight w:val="none"/>
        </w:rPr>
      </w:pPr>
    </w:p>
    <w:p w14:paraId="11B89512">
      <w:pPr>
        <w:ind w:firstLine="1911" w:firstLineChars="595"/>
        <w:rPr>
          <w:rFonts w:hint="eastAsia" w:ascii="宋体" w:hAnsi="宋体" w:cs="宋体"/>
          <w:b/>
          <w:bCs/>
          <w:color w:val="auto"/>
          <w:sz w:val="32"/>
          <w:szCs w:val="32"/>
          <w:highlight w:val="none"/>
        </w:rPr>
      </w:pPr>
    </w:p>
    <w:p w14:paraId="655FA5FC">
      <w:pPr>
        <w:ind w:firstLine="1911" w:firstLineChars="595"/>
        <w:rPr>
          <w:rFonts w:hint="eastAsia" w:ascii="宋体" w:hAnsi="宋体" w:cs="宋体"/>
          <w:b/>
          <w:bCs/>
          <w:color w:val="auto"/>
          <w:sz w:val="32"/>
          <w:szCs w:val="32"/>
          <w:highlight w:val="none"/>
        </w:rPr>
      </w:pPr>
    </w:p>
    <w:p w14:paraId="0A70718B">
      <w:pPr>
        <w:ind w:firstLine="1911" w:firstLineChars="595"/>
        <w:rPr>
          <w:rFonts w:hint="eastAsia" w:ascii="宋体" w:hAnsi="宋体" w:cs="宋体"/>
          <w:b/>
          <w:bCs/>
          <w:color w:val="auto"/>
          <w:sz w:val="32"/>
          <w:szCs w:val="32"/>
          <w:highlight w:val="none"/>
        </w:rPr>
      </w:pPr>
    </w:p>
    <w:p w14:paraId="3A81406B">
      <w:pPr>
        <w:widowControl/>
        <w:adjustRightInd/>
        <w:jc w:val="left"/>
        <w:rPr>
          <w:rFonts w:hint="eastAsia" w:ascii="宋体" w:hAnsi="宋体" w:cs="宋体"/>
          <w:b/>
          <w:bCs/>
          <w:color w:val="auto"/>
          <w:sz w:val="32"/>
          <w:szCs w:val="32"/>
          <w:highlight w:val="none"/>
        </w:rPr>
      </w:pPr>
      <w:r>
        <w:rPr>
          <w:rFonts w:ascii="宋体" w:hAnsi="宋体" w:cs="宋体"/>
          <w:b/>
          <w:bCs/>
          <w:color w:val="auto"/>
          <w:sz w:val="32"/>
          <w:szCs w:val="32"/>
          <w:highlight w:val="none"/>
        </w:rPr>
        <w:br w:type="page"/>
      </w:r>
    </w:p>
    <w:p w14:paraId="70F1BD5C">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E9C0307">
      <w:pPr>
        <w:snapToGrid w:val="0"/>
        <w:spacing w:line="360" w:lineRule="auto"/>
        <w:rPr>
          <w:rFonts w:hint="eastAsia" w:ascii="宋体" w:hAnsi="宋体" w:cs="宋体"/>
          <w:color w:val="auto"/>
          <w:sz w:val="24"/>
          <w:highlight w:val="none"/>
        </w:rPr>
      </w:pPr>
    </w:p>
    <w:p w14:paraId="3A14591D">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1AE3B4E">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B017693">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53633AE">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E25E0D7">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D1AC557">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B133F56">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BFB8FF1">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C36627B">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0890DA3">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EDB39EA">
      <w:pPr>
        <w:autoSpaceDE w:val="0"/>
        <w:autoSpaceDN w:val="0"/>
        <w:spacing w:line="360" w:lineRule="auto"/>
        <w:ind w:left="2"/>
        <w:jc w:val="left"/>
        <w:rPr>
          <w:rFonts w:hint="eastAsia" w:ascii="宋体" w:hAnsi="宋体" w:cs="宋体"/>
          <w:color w:val="auto"/>
          <w:kern w:val="0"/>
          <w:sz w:val="24"/>
          <w:highlight w:val="none"/>
          <w:lang w:val="zh-CN"/>
        </w:rPr>
      </w:pPr>
    </w:p>
    <w:p w14:paraId="061477AE">
      <w:pPr>
        <w:autoSpaceDE w:val="0"/>
        <w:autoSpaceDN w:val="0"/>
        <w:spacing w:line="360" w:lineRule="auto"/>
        <w:ind w:left="2"/>
        <w:jc w:val="left"/>
        <w:rPr>
          <w:rFonts w:hint="eastAsia" w:ascii="宋体" w:hAnsi="宋体" w:cs="宋体"/>
          <w:color w:val="auto"/>
          <w:kern w:val="0"/>
          <w:sz w:val="24"/>
          <w:highlight w:val="none"/>
          <w:lang w:val="zh-CN"/>
        </w:rPr>
      </w:pPr>
    </w:p>
    <w:p w14:paraId="5FB11AC7">
      <w:pPr>
        <w:autoSpaceDE w:val="0"/>
        <w:autoSpaceDN w:val="0"/>
        <w:spacing w:line="360" w:lineRule="auto"/>
        <w:ind w:left="2"/>
        <w:jc w:val="left"/>
        <w:rPr>
          <w:rFonts w:hint="eastAsia" w:ascii="宋体" w:hAnsi="宋体" w:cs="宋体"/>
          <w:color w:val="auto"/>
          <w:kern w:val="0"/>
          <w:sz w:val="24"/>
          <w:highlight w:val="none"/>
          <w:lang w:val="zh-CN"/>
        </w:rPr>
      </w:pPr>
    </w:p>
    <w:p w14:paraId="2DA0F49C">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31C1117">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EB9A6C1">
      <w:pPr>
        <w:spacing w:line="360" w:lineRule="auto"/>
        <w:jc w:val="center"/>
        <w:rPr>
          <w:rFonts w:hint="eastAsia" w:ascii="宋体" w:hAnsi="宋体" w:cs="宋体"/>
          <w:b/>
          <w:bCs/>
          <w:color w:val="auto"/>
          <w:sz w:val="24"/>
          <w:highlight w:val="none"/>
        </w:rPr>
      </w:pPr>
    </w:p>
    <w:p w14:paraId="62358D0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A255B86">
      <w:pPr>
        <w:spacing w:line="360" w:lineRule="auto"/>
        <w:jc w:val="center"/>
        <w:rPr>
          <w:rFonts w:hint="eastAsia"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72AFED9">
      <w:pPr>
        <w:spacing w:line="360" w:lineRule="auto"/>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74EBC20">
      <w:pPr>
        <w:spacing w:line="360" w:lineRule="auto"/>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2225B3D">
      <w:pPr>
        <w:spacing w:line="360" w:lineRule="auto"/>
        <w:jc w:val="center"/>
        <w:rPr>
          <w:rFonts w:hint="eastAsia" w:ascii="宋体" w:hAnsi="宋体" w:cs="宋体"/>
          <w:b/>
          <w:color w:val="auto"/>
          <w:kern w:val="0"/>
          <w:sz w:val="36"/>
          <w:szCs w:val="36"/>
          <w:highlight w:val="none"/>
        </w:rPr>
      </w:pPr>
    </w:p>
    <w:p w14:paraId="63A24DD2">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开标一览表（报价表）、投标分项报价表…………………………………（页码）</w:t>
      </w:r>
    </w:p>
    <w:p w14:paraId="1BED1A21">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中小企业声明函（如果有）…………………………………………………（页码）</w:t>
      </w:r>
    </w:p>
    <w:p w14:paraId="7D5F716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）报价情况说明(如供应商报价低于项目预算50%的，应当提交本文档，详细阐述不影响产品质量或者诚信履约的具体原因）…………………………………………（页码）</w:t>
      </w:r>
    </w:p>
    <w:p w14:paraId="4E637AE6">
      <w:pPr>
        <w:snapToGrid w:val="0"/>
        <w:spacing w:line="360" w:lineRule="auto"/>
        <w:ind w:right="480"/>
        <w:jc w:val="center"/>
        <w:rPr>
          <w:rFonts w:hint="eastAsia" w:ascii="宋体" w:hAnsi="宋体" w:cs="宋体"/>
          <w:b/>
          <w:color w:val="auto"/>
          <w:kern w:val="0"/>
          <w:sz w:val="32"/>
          <w:szCs w:val="32"/>
          <w:highlight w:val="none"/>
        </w:rPr>
      </w:pPr>
    </w:p>
    <w:p w14:paraId="751B77F0">
      <w:pPr>
        <w:snapToGrid w:val="0"/>
        <w:spacing w:line="360" w:lineRule="auto"/>
        <w:ind w:right="480"/>
        <w:jc w:val="center"/>
        <w:rPr>
          <w:rFonts w:hint="eastAsia" w:ascii="宋体" w:hAnsi="宋体" w:cs="宋体"/>
          <w:b/>
          <w:color w:val="auto"/>
          <w:kern w:val="0"/>
          <w:sz w:val="32"/>
          <w:szCs w:val="32"/>
          <w:highlight w:val="none"/>
        </w:rPr>
      </w:pPr>
    </w:p>
    <w:p w14:paraId="5516467E">
      <w:pPr>
        <w:snapToGrid w:val="0"/>
        <w:spacing w:line="360" w:lineRule="auto"/>
        <w:ind w:right="480"/>
        <w:jc w:val="center"/>
        <w:rPr>
          <w:rFonts w:hint="eastAsia" w:ascii="宋体" w:hAnsi="宋体" w:cs="宋体"/>
          <w:b/>
          <w:color w:val="auto"/>
          <w:kern w:val="0"/>
          <w:sz w:val="32"/>
          <w:szCs w:val="32"/>
          <w:highlight w:val="none"/>
        </w:rPr>
      </w:pPr>
    </w:p>
    <w:p w14:paraId="77D730E0">
      <w:pPr>
        <w:snapToGrid w:val="0"/>
        <w:spacing w:line="360" w:lineRule="auto"/>
        <w:ind w:right="480"/>
        <w:jc w:val="center"/>
        <w:rPr>
          <w:rFonts w:hint="eastAsia" w:ascii="宋体" w:hAnsi="宋体" w:cs="宋体"/>
          <w:b/>
          <w:color w:val="auto"/>
          <w:kern w:val="0"/>
          <w:sz w:val="32"/>
          <w:szCs w:val="32"/>
          <w:highlight w:val="none"/>
        </w:rPr>
      </w:pPr>
    </w:p>
    <w:p w14:paraId="00BB98FD">
      <w:pPr>
        <w:snapToGrid w:val="0"/>
        <w:spacing w:line="360" w:lineRule="auto"/>
        <w:ind w:right="480"/>
        <w:jc w:val="center"/>
        <w:rPr>
          <w:rFonts w:hint="eastAsia" w:ascii="宋体" w:hAnsi="宋体" w:cs="宋体"/>
          <w:b/>
          <w:color w:val="auto"/>
          <w:kern w:val="0"/>
          <w:sz w:val="32"/>
          <w:szCs w:val="32"/>
          <w:highlight w:val="none"/>
        </w:rPr>
      </w:pPr>
    </w:p>
    <w:p w14:paraId="56037C4D">
      <w:pPr>
        <w:snapToGrid w:val="0"/>
        <w:spacing w:line="360" w:lineRule="auto"/>
        <w:ind w:right="480"/>
        <w:jc w:val="center"/>
        <w:rPr>
          <w:rFonts w:hint="eastAsia" w:ascii="宋体" w:hAnsi="宋体" w:cs="宋体"/>
          <w:b/>
          <w:color w:val="auto"/>
          <w:kern w:val="0"/>
          <w:sz w:val="32"/>
          <w:szCs w:val="32"/>
          <w:highlight w:val="none"/>
        </w:rPr>
      </w:pPr>
    </w:p>
    <w:p w14:paraId="7E20D624">
      <w:pPr>
        <w:snapToGrid w:val="0"/>
        <w:spacing w:line="360" w:lineRule="auto"/>
        <w:ind w:right="480"/>
        <w:jc w:val="center"/>
        <w:rPr>
          <w:rFonts w:hint="eastAsia" w:ascii="宋体" w:hAnsi="宋体" w:cs="宋体"/>
          <w:b/>
          <w:color w:val="auto"/>
          <w:kern w:val="0"/>
          <w:sz w:val="32"/>
          <w:szCs w:val="32"/>
          <w:highlight w:val="none"/>
        </w:rPr>
      </w:pPr>
    </w:p>
    <w:p w14:paraId="5A937635">
      <w:pPr>
        <w:snapToGrid w:val="0"/>
        <w:spacing w:line="360" w:lineRule="auto"/>
        <w:ind w:right="480"/>
        <w:jc w:val="center"/>
        <w:rPr>
          <w:rFonts w:hint="eastAsia" w:ascii="宋体" w:hAnsi="宋体" w:cs="宋体"/>
          <w:b/>
          <w:color w:val="auto"/>
          <w:kern w:val="0"/>
          <w:sz w:val="32"/>
          <w:szCs w:val="32"/>
          <w:highlight w:val="none"/>
        </w:rPr>
      </w:pPr>
    </w:p>
    <w:p w14:paraId="2D7812FD">
      <w:pPr>
        <w:snapToGrid w:val="0"/>
        <w:spacing w:line="360" w:lineRule="auto"/>
        <w:ind w:right="480"/>
        <w:jc w:val="center"/>
        <w:rPr>
          <w:rFonts w:hint="eastAsia" w:ascii="宋体" w:hAnsi="宋体" w:cs="宋体"/>
          <w:b/>
          <w:color w:val="auto"/>
          <w:kern w:val="0"/>
          <w:sz w:val="32"/>
          <w:szCs w:val="32"/>
          <w:highlight w:val="none"/>
        </w:rPr>
      </w:pPr>
    </w:p>
    <w:p w14:paraId="3CD1A2D4">
      <w:pPr>
        <w:snapToGrid w:val="0"/>
        <w:spacing w:line="360" w:lineRule="auto"/>
        <w:ind w:right="480"/>
        <w:jc w:val="center"/>
        <w:rPr>
          <w:rFonts w:hint="eastAsia" w:ascii="宋体" w:hAnsi="宋体" w:cs="宋体"/>
          <w:b/>
          <w:color w:val="auto"/>
          <w:kern w:val="0"/>
          <w:sz w:val="32"/>
          <w:szCs w:val="32"/>
          <w:highlight w:val="none"/>
        </w:rPr>
      </w:pPr>
    </w:p>
    <w:p w14:paraId="17D2DE59">
      <w:pPr>
        <w:snapToGrid w:val="0"/>
        <w:spacing w:line="360" w:lineRule="auto"/>
        <w:ind w:right="480"/>
        <w:jc w:val="center"/>
        <w:rPr>
          <w:rFonts w:hint="eastAsia" w:ascii="宋体" w:hAnsi="宋体" w:cs="宋体"/>
          <w:b/>
          <w:color w:val="auto"/>
          <w:kern w:val="0"/>
          <w:sz w:val="32"/>
          <w:szCs w:val="32"/>
          <w:highlight w:val="none"/>
        </w:rPr>
      </w:pPr>
    </w:p>
    <w:p w14:paraId="342B5356">
      <w:pPr>
        <w:snapToGrid w:val="0"/>
        <w:spacing w:line="360" w:lineRule="auto"/>
        <w:ind w:right="480"/>
        <w:jc w:val="center"/>
        <w:rPr>
          <w:rFonts w:hint="eastAsia" w:ascii="宋体" w:hAnsi="宋体" w:cs="宋体"/>
          <w:b/>
          <w:color w:val="auto"/>
          <w:kern w:val="0"/>
          <w:sz w:val="32"/>
          <w:szCs w:val="32"/>
          <w:highlight w:val="none"/>
        </w:rPr>
      </w:pPr>
    </w:p>
    <w:p w14:paraId="65F22104">
      <w:pPr>
        <w:snapToGrid w:val="0"/>
        <w:spacing w:line="360" w:lineRule="auto"/>
        <w:ind w:right="480"/>
        <w:jc w:val="center"/>
        <w:rPr>
          <w:rFonts w:hint="eastAsia" w:ascii="宋体" w:hAnsi="宋体" w:cs="宋体"/>
          <w:b/>
          <w:color w:val="auto"/>
          <w:kern w:val="0"/>
          <w:sz w:val="32"/>
          <w:szCs w:val="32"/>
          <w:highlight w:val="none"/>
        </w:rPr>
      </w:pPr>
    </w:p>
    <w:p w14:paraId="6E019D0D">
      <w:pPr>
        <w:snapToGrid w:val="0"/>
        <w:spacing w:line="360" w:lineRule="auto"/>
        <w:ind w:right="480"/>
        <w:jc w:val="center"/>
        <w:rPr>
          <w:rFonts w:hint="eastAsia" w:ascii="宋体" w:hAnsi="宋体" w:cs="宋体"/>
          <w:b/>
          <w:color w:val="auto"/>
          <w:kern w:val="0"/>
          <w:sz w:val="32"/>
          <w:szCs w:val="32"/>
          <w:highlight w:val="none"/>
        </w:rPr>
      </w:pPr>
    </w:p>
    <w:p w14:paraId="721BBD59">
      <w:pPr>
        <w:snapToGrid w:val="0"/>
        <w:spacing w:line="360" w:lineRule="auto"/>
        <w:ind w:right="480"/>
        <w:jc w:val="center"/>
        <w:rPr>
          <w:rFonts w:hint="eastAsia" w:ascii="宋体" w:hAnsi="宋体" w:cs="宋体"/>
          <w:b/>
          <w:color w:val="auto"/>
          <w:kern w:val="0"/>
          <w:sz w:val="32"/>
          <w:szCs w:val="32"/>
          <w:highlight w:val="none"/>
        </w:rPr>
      </w:pPr>
    </w:p>
    <w:p w14:paraId="1A1CC083">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EDFBBE3">
      <w:pPr>
        <w:snapToGrid w:val="0"/>
        <w:spacing w:before="120" w:after="120" w:line="360" w:lineRule="auto"/>
        <w:ind w:firstLine="643"/>
        <w:jc w:val="center"/>
        <w:rPr>
          <w:rFonts w:hint="eastAsia" w:ascii="宋体" w:hAnsi="宋体" w:cs="宋体"/>
          <w:b/>
          <w:color w:val="auto"/>
          <w:sz w:val="32"/>
          <w:szCs w:val="32"/>
          <w:highlight w:val="none"/>
        </w:rPr>
      </w:pPr>
      <w:bookmarkStart w:id="568" w:name="_Toc26425"/>
      <w:bookmarkStart w:id="569" w:name="_Toc18859"/>
      <w:r>
        <w:rPr>
          <w:rFonts w:hint="eastAsia" w:ascii="宋体" w:hAnsi="宋体" w:cs="宋体"/>
          <w:b/>
          <w:color w:val="auto"/>
          <w:sz w:val="32"/>
          <w:szCs w:val="32"/>
          <w:highlight w:val="none"/>
        </w:rPr>
        <w:t>一、开标一览表（报价表）</w:t>
      </w:r>
    </w:p>
    <w:p w14:paraId="214A5A11">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BD0FA8D">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609C4888">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266"/>
        <w:gridCol w:w="5776"/>
      </w:tblGrid>
      <w:tr w14:paraId="36DC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14:paraId="11895046">
            <w:pPr>
              <w:widowControl/>
              <w:adjustRightInd/>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标项号</w:t>
            </w:r>
          </w:p>
        </w:tc>
        <w:tc>
          <w:tcPr>
            <w:tcW w:w="2266" w:type="dxa"/>
            <w:tcBorders>
              <w:top w:val="single" w:color="auto" w:sz="4" w:space="0"/>
              <w:left w:val="single" w:color="auto" w:sz="4" w:space="0"/>
              <w:bottom w:val="single" w:color="auto" w:sz="4" w:space="0"/>
              <w:right w:val="single" w:color="auto" w:sz="4" w:space="0"/>
            </w:tcBorders>
            <w:vAlign w:val="center"/>
          </w:tcPr>
          <w:p w14:paraId="5127AB07">
            <w:pPr>
              <w:widowControl/>
              <w:adjustRightInd/>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标项名称</w:t>
            </w:r>
          </w:p>
        </w:tc>
        <w:tc>
          <w:tcPr>
            <w:tcW w:w="5776" w:type="dxa"/>
            <w:tcBorders>
              <w:top w:val="single" w:color="auto" w:sz="4" w:space="0"/>
              <w:left w:val="single" w:color="auto" w:sz="4" w:space="0"/>
              <w:bottom w:val="single" w:color="auto" w:sz="4" w:space="0"/>
              <w:right w:val="single" w:color="auto" w:sz="4" w:space="0"/>
            </w:tcBorders>
            <w:vAlign w:val="center"/>
          </w:tcPr>
          <w:p w14:paraId="42FEC153">
            <w:pPr>
              <w:widowControl/>
              <w:adjustRightInd/>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合同履约期限</w:t>
            </w:r>
          </w:p>
        </w:tc>
      </w:tr>
      <w:tr w14:paraId="62049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14:paraId="47BFC3AF">
            <w:pPr>
              <w:widowControl/>
              <w:adjustRightInd/>
              <w:spacing w:line="360" w:lineRule="auto"/>
              <w:jc w:val="center"/>
              <w:rPr>
                <w:rFonts w:hint="eastAsia" w:ascii="宋体" w:hAnsi="宋体" w:cs="宋体"/>
                <w:color w:val="auto"/>
                <w:kern w:val="0"/>
                <w:sz w:val="24"/>
                <w:highlight w:val="none"/>
              </w:rPr>
            </w:pPr>
          </w:p>
        </w:tc>
        <w:tc>
          <w:tcPr>
            <w:tcW w:w="2266" w:type="dxa"/>
            <w:tcBorders>
              <w:top w:val="single" w:color="auto" w:sz="4" w:space="0"/>
              <w:left w:val="single" w:color="auto" w:sz="4" w:space="0"/>
              <w:bottom w:val="single" w:color="auto" w:sz="4" w:space="0"/>
              <w:right w:val="single" w:color="auto" w:sz="4" w:space="0"/>
            </w:tcBorders>
            <w:vAlign w:val="center"/>
          </w:tcPr>
          <w:p w14:paraId="3923F1EF">
            <w:pPr>
              <w:widowControl/>
              <w:adjustRightInd/>
              <w:spacing w:line="360" w:lineRule="auto"/>
              <w:jc w:val="center"/>
              <w:rPr>
                <w:rFonts w:hint="eastAsia" w:ascii="宋体" w:hAnsi="宋体" w:cs="宋体"/>
                <w:color w:val="auto"/>
                <w:kern w:val="0"/>
                <w:sz w:val="24"/>
                <w:highlight w:val="none"/>
              </w:rPr>
            </w:pPr>
          </w:p>
        </w:tc>
        <w:tc>
          <w:tcPr>
            <w:tcW w:w="5776" w:type="dxa"/>
            <w:tcBorders>
              <w:top w:val="single" w:color="auto" w:sz="4" w:space="0"/>
              <w:left w:val="single" w:color="auto" w:sz="4" w:space="0"/>
              <w:bottom w:val="single" w:color="auto" w:sz="4" w:space="0"/>
              <w:right w:val="single" w:color="auto" w:sz="4" w:space="0"/>
            </w:tcBorders>
            <w:vAlign w:val="center"/>
          </w:tcPr>
          <w:p w14:paraId="230A3C5E">
            <w:pPr>
              <w:widowControl/>
              <w:adjustRightInd/>
              <w:spacing w:line="360" w:lineRule="auto"/>
              <w:rPr>
                <w:rFonts w:hint="eastAsia" w:ascii="宋体" w:hAnsi="宋体" w:cs="宋体"/>
                <w:bCs/>
                <w:color w:val="auto"/>
                <w:kern w:val="0"/>
                <w:sz w:val="24"/>
                <w:highlight w:val="none"/>
              </w:rPr>
            </w:pPr>
          </w:p>
        </w:tc>
      </w:tr>
      <w:tr w14:paraId="5D56B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3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844ECA">
            <w:pPr>
              <w:widowControl/>
              <w:adjustRightInd/>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单价</w:t>
            </w:r>
            <w:r>
              <w:rPr>
                <w:rFonts w:hint="eastAsia" w:ascii="宋体" w:hAnsi="宋体" w:cs="宋体"/>
                <w:color w:val="auto"/>
                <w:kern w:val="0"/>
                <w:sz w:val="24"/>
                <w:highlight w:val="none"/>
              </w:rPr>
              <w:t>报价合计</w:t>
            </w:r>
          </w:p>
        </w:tc>
        <w:tc>
          <w:tcPr>
            <w:tcW w:w="5776" w:type="dxa"/>
            <w:tcBorders>
              <w:top w:val="single" w:color="auto" w:sz="4" w:space="0"/>
              <w:left w:val="single" w:color="auto" w:sz="4" w:space="0"/>
              <w:bottom w:val="single" w:color="auto" w:sz="4" w:space="0"/>
              <w:right w:val="single" w:color="auto" w:sz="4" w:space="0"/>
            </w:tcBorders>
            <w:shd w:val="clear" w:color="auto" w:fill="auto"/>
            <w:vAlign w:val="center"/>
          </w:tcPr>
          <w:p w14:paraId="3527B24A">
            <w:pPr>
              <w:widowControl/>
              <w:adjustRightInd/>
              <w:spacing w:line="360" w:lineRule="auto"/>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rPr>
              <w:t>小写：</w:t>
            </w:r>
            <w:r>
              <w:rPr>
                <w:rFonts w:hint="eastAsia" w:ascii="宋体" w:hAnsi="宋体" w:cs="宋体"/>
                <w:bCs/>
                <w:color w:val="auto"/>
                <w:kern w:val="0"/>
                <w:sz w:val="24"/>
                <w:highlight w:val="none"/>
                <w:lang w:val="en-US" w:eastAsia="zh-CN"/>
              </w:rPr>
              <w:t xml:space="preserve">    元/人</w:t>
            </w:r>
          </w:p>
          <w:p w14:paraId="10F0A25D">
            <w:pPr>
              <w:widowControl/>
              <w:adjustRightInd/>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highlight w:val="none"/>
              </w:rPr>
              <w:t>大写：</w:t>
            </w:r>
            <w:r>
              <w:rPr>
                <w:rFonts w:hint="eastAsia" w:ascii="宋体" w:hAnsi="宋体" w:cs="宋体"/>
                <w:bCs/>
                <w:color w:val="auto"/>
                <w:kern w:val="0"/>
                <w:sz w:val="24"/>
                <w:highlight w:val="none"/>
                <w:lang w:val="en-US" w:eastAsia="zh-CN"/>
              </w:rPr>
              <w:t xml:space="preserve">    元/人</w:t>
            </w:r>
          </w:p>
        </w:tc>
      </w:tr>
      <w:tr w14:paraId="2057B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343" w:type="dxa"/>
            <w:gridSpan w:val="2"/>
            <w:tcBorders>
              <w:top w:val="single" w:color="auto" w:sz="4" w:space="0"/>
              <w:left w:val="single" w:color="auto" w:sz="4" w:space="0"/>
              <w:bottom w:val="single" w:color="auto" w:sz="4" w:space="0"/>
              <w:right w:val="single" w:color="auto" w:sz="4" w:space="0"/>
            </w:tcBorders>
            <w:vAlign w:val="center"/>
          </w:tcPr>
          <w:p w14:paraId="0E42E5F0">
            <w:pPr>
              <w:widowControl/>
              <w:adjustRightInd/>
              <w:spacing w:line="360" w:lineRule="auto"/>
              <w:jc w:val="center"/>
              <w:rPr>
                <w:rFonts w:hint="eastAsia" w:ascii="宋体" w:hAnsi="宋体" w:eastAsia="宋体" w:cs="宋体"/>
                <w:color w:val="auto"/>
                <w:kern w:val="0"/>
                <w:sz w:val="24"/>
                <w:highlight w:val="none"/>
                <w:lang w:eastAsia="zh-CN"/>
              </w:rPr>
            </w:pPr>
            <w:bookmarkStart w:id="578" w:name="_GoBack"/>
            <w:r>
              <w:rPr>
                <w:rFonts w:hint="eastAsia" w:ascii="宋体" w:hAnsi="宋体" w:cs="宋体"/>
                <w:color w:val="auto"/>
                <w:kern w:val="0"/>
                <w:sz w:val="24"/>
                <w:highlight w:val="none"/>
              </w:rPr>
              <w:t>投标</w:t>
            </w:r>
            <w:r>
              <w:rPr>
                <w:rFonts w:hint="eastAsia" w:ascii="宋体" w:hAnsi="宋体" w:cs="宋体"/>
                <w:color w:val="auto"/>
                <w:kern w:val="0"/>
                <w:sz w:val="24"/>
                <w:highlight w:val="none"/>
                <w:lang w:val="en-US" w:eastAsia="zh-CN"/>
              </w:rPr>
              <w:t>总价</w:t>
            </w:r>
            <w:bookmarkEnd w:id="578"/>
          </w:p>
        </w:tc>
        <w:tc>
          <w:tcPr>
            <w:tcW w:w="5776" w:type="dxa"/>
            <w:tcBorders>
              <w:top w:val="single" w:color="auto" w:sz="4" w:space="0"/>
              <w:left w:val="single" w:color="auto" w:sz="4" w:space="0"/>
              <w:bottom w:val="single" w:color="auto" w:sz="4" w:space="0"/>
              <w:right w:val="single" w:color="auto" w:sz="4" w:space="0"/>
            </w:tcBorders>
            <w:vAlign w:val="center"/>
          </w:tcPr>
          <w:p w14:paraId="097006FE">
            <w:pPr>
              <w:widowControl/>
              <w:adjustRightInd/>
              <w:spacing w:line="360"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小写：</w:t>
            </w:r>
          </w:p>
          <w:p w14:paraId="7D95409E">
            <w:pPr>
              <w:widowControl/>
              <w:adjustRightInd/>
              <w:spacing w:line="360"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大写：</w:t>
            </w:r>
          </w:p>
        </w:tc>
      </w:tr>
      <w:tr w14:paraId="2B54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3343" w:type="dxa"/>
            <w:gridSpan w:val="2"/>
            <w:tcBorders>
              <w:top w:val="single" w:color="auto" w:sz="4" w:space="0"/>
              <w:left w:val="single" w:color="auto" w:sz="4" w:space="0"/>
              <w:bottom w:val="single" w:color="auto" w:sz="4" w:space="0"/>
              <w:right w:val="single" w:color="auto" w:sz="4" w:space="0"/>
            </w:tcBorders>
            <w:vAlign w:val="center"/>
          </w:tcPr>
          <w:p w14:paraId="320C7203">
            <w:pPr>
              <w:widowControl/>
              <w:adjustRightInd/>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投标声明</w:t>
            </w:r>
          </w:p>
        </w:tc>
        <w:tc>
          <w:tcPr>
            <w:tcW w:w="5776" w:type="dxa"/>
            <w:tcBorders>
              <w:top w:val="single" w:color="auto" w:sz="4" w:space="0"/>
              <w:left w:val="single" w:color="auto" w:sz="4" w:space="0"/>
              <w:bottom w:val="single" w:color="auto" w:sz="4" w:space="0"/>
            </w:tcBorders>
            <w:vAlign w:val="center"/>
          </w:tcPr>
          <w:p w14:paraId="632656FC">
            <w:pPr>
              <w:widowControl/>
              <w:adjustRightInd/>
              <w:spacing w:before="240" w:line="360" w:lineRule="auto"/>
              <w:jc w:val="center"/>
              <w:rPr>
                <w:rFonts w:hint="eastAsia" w:ascii="宋体" w:hAnsi="宋体" w:cs="宋体"/>
                <w:color w:val="auto"/>
                <w:kern w:val="0"/>
                <w:sz w:val="24"/>
                <w:highlight w:val="none"/>
              </w:rPr>
            </w:pPr>
          </w:p>
        </w:tc>
      </w:tr>
    </w:tbl>
    <w:p w14:paraId="1A7E72E5">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62A28D5">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3B3B2B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C163055">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19A58CA5">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7034952">
      <w:pPr>
        <w:rPr>
          <w:rFonts w:hint="eastAsia" w:ascii="宋体" w:hAnsi="宋体" w:cs="宋体"/>
          <w:color w:val="auto"/>
          <w:sz w:val="32"/>
          <w:szCs w:val="32"/>
          <w:highlight w:val="none"/>
        </w:rPr>
      </w:pPr>
      <w:r>
        <w:rPr>
          <w:rFonts w:ascii="宋体" w:hAnsi="宋体" w:cs="宋体"/>
          <w:color w:val="auto"/>
          <w:sz w:val="32"/>
          <w:szCs w:val="32"/>
          <w:highlight w:val="none"/>
        </w:rPr>
        <w:br w:type="page"/>
      </w:r>
    </w:p>
    <w:p w14:paraId="6206B14A">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投标分项报价表（单位均为人民币元）</w:t>
      </w:r>
    </w:p>
    <w:tbl>
      <w:tblPr>
        <w:tblStyle w:val="63"/>
        <w:tblW w:w="10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715"/>
        <w:gridCol w:w="1234"/>
        <w:gridCol w:w="1920"/>
        <w:gridCol w:w="1118"/>
        <w:gridCol w:w="1235"/>
        <w:gridCol w:w="1383"/>
        <w:gridCol w:w="1115"/>
      </w:tblGrid>
      <w:tr w14:paraId="459D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49" w:type="dxa"/>
            <w:vAlign w:val="center"/>
          </w:tcPr>
          <w:p w14:paraId="0C699D07">
            <w:pPr>
              <w:adjustRightInd/>
              <w:spacing w:line="360" w:lineRule="auto"/>
              <w:jc w:val="center"/>
              <w:rPr>
                <w:rFonts w:ascii="宋体" w:hAnsi="宋体" w:eastAsia="宋体" w:cs="仿宋"/>
                <w:b/>
                <w:color w:val="auto"/>
                <w:sz w:val="24"/>
                <w:highlight w:val="none"/>
              </w:rPr>
            </w:pPr>
            <w:r>
              <w:rPr>
                <w:rFonts w:hint="eastAsia" w:ascii="宋体" w:hAnsi="宋体" w:eastAsia="宋体" w:cs="仿宋"/>
                <w:b/>
                <w:color w:val="auto"/>
                <w:sz w:val="24"/>
                <w:highlight w:val="none"/>
              </w:rPr>
              <w:t>序号</w:t>
            </w:r>
          </w:p>
        </w:tc>
        <w:tc>
          <w:tcPr>
            <w:tcW w:w="1715" w:type="dxa"/>
            <w:vAlign w:val="center"/>
          </w:tcPr>
          <w:p w14:paraId="491E81B6">
            <w:pPr>
              <w:adjustRightInd/>
              <w:spacing w:line="360" w:lineRule="auto"/>
              <w:jc w:val="center"/>
              <w:rPr>
                <w:rFonts w:ascii="宋体" w:hAnsi="宋体" w:eastAsia="宋体" w:cs="仿宋"/>
                <w:b/>
                <w:color w:val="auto"/>
                <w:sz w:val="24"/>
                <w:highlight w:val="none"/>
              </w:rPr>
            </w:pPr>
            <w:r>
              <w:rPr>
                <w:rFonts w:hint="eastAsia" w:ascii="宋体" w:hAnsi="宋体" w:eastAsia="宋体" w:cs="仿宋"/>
                <w:b/>
                <w:color w:val="auto"/>
                <w:sz w:val="24"/>
                <w:highlight w:val="none"/>
              </w:rPr>
              <w:t>名称</w:t>
            </w:r>
          </w:p>
        </w:tc>
        <w:tc>
          <w:tcPr>
            <w:tcW w:w="1234" w:type="dxa"/>
            <w:vAlign w:val="center"/>
          </w:tcPr>
          <w:p w14:paraId="66021F4B">
            <w:pPr>
              <w:adjustRightInd/>
              <w:spacing w:line="360" w:lineRule="auto"/>
              <w:jc w:val="center"/>
              <w:rPr>
                <w:rFonts w:ascii="宋体" w:hAnsi="宋体" w:eastAsia="宋体" w:cs="仿宋"/>
                <w:b/>
                <w:color w:val="auto"/>
                <w:sz w:val="24"/>
                <w:highlight w:val="none"/>
              </w:rPr>
            </w:pPr>
            <w:r>
              <w:rPr>
                <w:rFonts w:hint="eastAsia" w:ascii="宋体" w:hAnsi="宋体" w:eastAsia="宋体" w:cs="仿宋"/>
                <w:b/>
                <w:color w:val="auto"/>
                <w:sz w:val="24"/>
                <w:highlight w:val="none"/>
              </w:rPr>
              <w:t>品牌</w:t>
            </w:r>
          </w:p>
        </w:tc>
        <w:tc>
          <w:tcPr>
            <w:tcW w:w="1920" w:type="dxa"/>
            <w:vAlign w:val="center"/>
          </w:tcPr>
          <w:p w14:paraId="42317166">
            <w:pPr>
              <w:adjustRightInd/>
              <w:spacing w:line="360" w:lineRule="auto"/>
              <w:jc w:val="center"/>
              <w:rPr>
                <w:rFonts w:ascii="宋体" w:hAnsi="宋体" w:eastAsia="宋体" w:cs="仿宋"/>
                <w:b/>
                <w:color w:val="auto"/>
                <w:sz w:val="24"/>
                <w:highlight w:val="none"/>
              </w:rPr>
            </w:pPr>
            <w:r>
              <w:rPr>
                <w:rFonts w:hint="eastAsia" w:ascii="宋体" w:hAnsi="宋体" w:eastAsia="宋体" w:cs="仿宋"/>
                <w:b/>
                <w:color w:val="auto"/>
                <w:sz w:val="24"/>
                <w:highlight w:val="none"/>
              </w:rPr>
              <w:t>规格型号</w:t>
            </w:r>
          </w:p>
        </w:tc>
        <w:tc>
          <w:tcPr>
            <w:tcW w:w="1118" w:type="dxa"/>
            <w:vAlign w:val="center"/>
          </w:tcPr>
          <w:p w14:paraId="5873919E">
            <w:pPr>
              <w:adjustRightInd/>
              <w:spacing w:line="360" w:lineRule="auto"/>
              <w:jc w:val="center"/>
              <w:rPr>
                <w:rFonts w:ascii="宋体" w:hAnsi="宋体" w:eastAsia="宋体" w:cs="仿宋"/>
                <w:b/>
                <w:color w:val="auto"/>
                <w:sz w:val="24"/>
                <w:highlight w:val="none"/>
              </w:rPr>
            </w:pPr>
            <w:r>
              <w:rPr>
                <w:rFonts w:hint="eastAsia" w:ascii="宋体" w:hAnsi="宋体" w:eastAsia="宋体" w:cs="仿宋"/>
                <w:b/>
                <w:color w:val="auto"/>
                <w:sz w:val="24"/>
                <w:highlight w:val="none"/>
              </w:rPr>
              <w:t>数量</w:t>
            </w:r>
          </w:p>
        </w:tc>
        <w:tc>
          <w:tcPr>
            <w:tcW w:w="1235" w:type="dxa"/>
            <w:vAlign w:val="center"/>
          </w:tcPr>
          <w:p w14:paraId="181383B4">
            <w:pPr>
              <w:adjustRightInd/>
              <w:spacing w:line="360" w:lineRule="auto"/>
              <w:jc w:val="center"/>
              <w:rPr>
                <w:rFonts w:hint="default" w:ascii="宋体" w:hAnsi="宋体" w:eastAsia="宋体" w:cs="仿宋"/>
                <w:b/>
                <w:color w:val="auto"/>
                <w:sz w:val="24"/>
                <w:highlight w:val="none"/>
                <w:lang w:val="en-US" w:eastAsia="zh-CN"/>
              </w:rPr>
            </w:pPr>
            <w:r>
              <w:rPr>
                <w:rFonts w:hint="eastAsia" w:ascii="宋体" w:hAnsi="宋体" w:eastAsia="宋体" w:cs="仿宋"/>
                <w:b/>
                <w:color w:val="auto"/>
                <w:sz w:val="24"/>
                <w:highlight w:val="none"/>
                <w:lang w:val="en-US" w:eastAsia="zh-CN"/>
              </w:rPr>
              <w:t>单位</w:t>
            </w:r>
          </w:p>
        </w:tc>
        <w:tc>
          <w:tcPr>
            <w:tcW w:w="1383" w:type="dxa"/>
            <w:vAlign w:val="center"/>
          </w:tcPr>
          <w:p w14:paraId="7DDE21FD">
            <w:pPr>
              <w:adjustRightInd/>
              <w:spacing w:line="360" w:lineRule="auto"/>
              <w:jc w:val="center"/>
              <w:rPr>
                <w:rFonts w:hint="eastAsia" w:ascii="宋体" w:hAnsi="宋体" w:eastAsia="宋体" w:cs="仿宋"/>
                <w:b/>
                <w:color w:val="auto"/>
                <w:sz w:val="24"/>
                <w:highlight w:val="none"/>
                <w:lang w:eastAsia="zh-CN"/>
              </w:rPr>
            </w:pPr>
            <w:r>
              <w:rPr>
                <w:rFonts w:hint="eastAsia" w:ascii="宋体" w:hAnsi="宋体" w:eastAsia="宋体" w:cs="仿宋"/>
                <w:b/>
                <w:color w:val="auto"/>
                <w:sz w:val="24"/>
                <w:highlight w:val="none"/>
              </w:rPr>
              <w:t>单价</w:t>
            </w:r>
            <w:r>
              <w:rPr>
                <w:rFonts w:hint="eastAsia" w:ascii="宋体" w:hAnsi="宋体" w:eastAsia="宋体" w:cs="仿宋"/>
                <w:b/>
                <w:color w:val="auto"/>
                <w:sz w:val="24"/>
                <w:highlight w:val="none"/>
                <w:lang w:eastAsia="zh-CN"/>
              </w:rPr>
              <w:t>（</w:t>
            </w:r>
            <w:r>
              <w:rPr>
                <w:rFonts w:hint="eastAsia" w:ascii="宋体" w:hAnsi="宋体" w:eastAsia="宋体" w:cs="仿宋"/>
                <w:b/>
                <w:color w:val="auto"/>
                <w:sz w:val="24"/>
                <w:highlight w:val="none"/>
                <w:lang w:val="en-US" w:eastAsia="zh-CN"/>
              </w:rPr>
              <w:t>元</w:t>
            </w:r>
            <w:r>
              <w:rPr>
                <w:rFonts w:hint="eastAsia" w:ascii="宋体" w:hAnsi="宋体" w:eastAsia="宋体" w:cs="仿宋"/>
                <w:b/>
                <w:color w:val="auto"/>
                <w:sz w:val="24"/>
                <w:highlight w:val="none"/>
                <w:lang w:eastAsia="zh-CN"/>
              </w:rPr>
              <w:t>）</w:t>
            </w:r>
          </w:p>
        </w:tc>
        <w:tc>
          <w:tcPr>
            <w:tcW w:w="1115" w:type="dxa"/>
            <w:vAlign w:val="center"/>
          </w:tcPr>
          <w:p w14:paraId="2CE0C93D">
            <w:pPr>
              <w:adjustRightInd/>
              <w:spacing w:line="360" w:lineRule="auto"/>
              <w:jc w:val="center"/>
              <w:rPr>
                <w:rFonts w:ascii="宋体" w:hAnsi="宋体" w:eastAsia="宋体" w:cs="仿宋"/>
                <w:b/>
                <w:color w:val="auto"/>
                <w:sz w:val="24"/>
                <w:highlight w:val="none"/>
              </w:rPr>
            </w:pPr>
            <w:r>
              <w:rPr>
                <w:rFonts w:hint="eastAsia" w:ascii="宋体" w:hAnsi="宋体" w:eastAsia="宋体" w:cs="仿宋"/>
                <w:b/>
                <w:color w:val="auto"/>
                <w:sz w:val="24"/>
                <w:highlight w:val="none"/>
              </w:rPr>
              <w:t>备注</w:t>
            </w:r>
          </w:p>
        </w:tc>
      </w:tr>
      <w:tr w14:paraId="501F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49" w:type="dxa"/>
            <w:vAlign w:val="center"/>
          </w:tcPr>
          <w:p w14:paraId="50F1C64A">
            <w:pPr>
              <w:keepNext w:val="0"/>
              <w:keepLines w:val="0"/>
              <w:pageBreakBefore w:val="0"/>
              <w:widowControl/>
              <w:suppressLineNumbers w:val="0"/>
              <w:kinsoku/>
              <w:wordWrap/>
              <w:topLinePunct w:val="0"/>
              <w:bidi w:val="0"/>
              <w:adjustRightInd w:val="0"/>
              <w:snapToGrid/>
              <w:spacing w:line="360" w:lineRule="auto"/>
              <w:jc w:val="center"/>
              <w:textAlignment w:val="center"/>
              <w:rPr>
                <w:rFonts w:ascii="宋体" w:hAnsi="宋体" w:eastAsia="宋体" w:cs="仿宋"/>
                <w:color w:val="auto"/>
                <w:sz w:val="24"/>
                <w:highlight w:val="none"/>
              </w:rPr>
            </w:pPr>
            <w:r>
              <w:rPr>
                <w:rFonts w:hint="eastAsia" w:ascii="Times New Roman" w:hAnsi="Times New Roman" w:eastAsia="宋体" w:cs="宋体"/>
                <w:i w:val="0"/>
                <w:color w:val="auto"/>
                <w:sz w:val="24"/>
                <w:szCs w:val="24"/>
                <w:highlight w:val="none"/>
                <w:u w:val="none"/>
                <w:lang w:val="en-US" w:eastAsia="zh-CN"/>
              </w:rPr>
              <w:t>1</w:t>
            </w:r>
          </w:p>
        </w:tc>
        <w:tc>
          <w:tcPr>
            <w:tcW w:w="1715" w:type="dxa"/>
            <w:vAlign w:val="center"/>
          </w:tcPr>
          <w:p w14:paraId="52990D57">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Calibri" w:eastAsia="宋体" w:cs="Times New Roman"/>
                <w:color w:val="auto"/>
                <w:kern w:val="2"/>
                <w:sz w:val="21"/>
                <w:szCs w:val="21"/>
                <w:highlight w:val="none"/>
                <w:lang w:val="en-US" w:eastAsia="zh-CN" w:bidi="ar-SA"/>
              </w:rPr>
            </w:pPr>
            <w:r>
              <w:rPr>
                <w:rFonts w:hint="eastAsia" w:ascii="宋体" w:hAnsi="宋体" w:eastAsia="宋体" w:cs="宋体"/>
                <w:i w:val="0"/>
                <w:color w:val="auto"/>
                <w:spacing w:val="-6"/>
                <w:kern w:val="0"/>
                <w:sz w:val="24"/>
                <w:szCs w:val="24"/>
                <w:highlight w:val="none"/>
                <w:u w:val="none"/>
                <w:lang w:val="en-US" w:eastAsia="zh-CN" w:bidi="ar"/>
              </w:rPr>
              <w:t>牙膏</w:t>
            </w:r>
          </w:p>
        </w:tc>
        <w:tc>
          <w:tcPr>
            <w:tcW w:w="1234" w:type="dxa"/>
            <w:vAlign w:val="center"/>
          </w:tcPr>
          <w:p w14:paraId="2A4C21B7">
            <w:pPr>
              <w:adjustRightInd w:val="0"/>
              <w:spacing w:line="360" w:lineRule="auto"/>
              <w:jc w:val="center"/>
              <w:textAlignment w:val="baseline"/>
              <w:rPr>
                <w:rFonts w:hint="eastAsia" w:ascii="宋体" w:hAnsi="Calibri" w:eastAsia="宋体" w:cs="Times New Roman"/>
                <w:color w:val="auto"/>
                <w:kern w:val="2"/>
                <w:sz w:val="21"/>
                <w:szCs w:val="21"/>
                <w:highlight w:val="none"/>
                <w:lang w:val="en-US" w:eastAsia="zh-CN" w:bidi="ar-SA"/>
              </w:rPr>
            </w:pPr>
          </w:p>
        </w:tc>
        <w:tc>
          <w:tcPr>
            <w:tcW w:w="1920" w:type="dxa"/>
            <w:vAlign w:val="center"/>
          </w:tcPr>
          <w:p w14:paraId="18EF5AC4">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p>
        </w:tc>
        <w:tc>
          <w:tcPr>
            <w:tcW w:w="1118" w:type="dxa"/>
            <w:vAlign w:val="center"/>
          </w:tcPr>
          <w:p w14:paraId="264D87DB">
            <w:pPr>
              <w:keepNext w:val="0"/>
              <w:keepLines w:val="0"/>
              <w:pageBreakBefore w:val="0"/>
              <w:widowControl/>
              <w:suppressLineNumbers w:val="0"/>
              <w:kinsoku/>
              <w:wordWrap/>
              <w:topLinePunct w:val="0"/>
              <w:bidi w:val="0"/>
              <w:adjustRightInd w:val="0"/>
              <w:snapToGrid/>
              <w:spacing w:line="360" w:lineRule="auto"/>
              <w:jc w:val="center"/>
              <w:textAlignment w:val="center"/>
              <w:rPr>
                <w:rFonts w:ascii="宋体" w:hAnsi="宋体" w:eastAsia="宋体" w:cs="仿宋"/>
                <w:color w:val="auto"/>
                <w:sz w:val="24"/>
                <w:highlight w:val="none"/>
              </w:rPr>
            </w:pPr>
            <w:r>
              <w:rPr>
                <w:rFonts w:hint="eastAsia" w:ascii="宋体" w:hAnsi="宋体" w:eastAsia="宋体" w:cs="宋体"/>
                <w:i w:val="0"/>
                <w:color w:val="auto"/>
                <w:spacing w:val="-6"/>
                <w:kern w:val="0"/>
                <w:sz w:val="24"/>
                <w:szCs w:val="24"/>
                <w:highlight w:val="none"/>
                <w:u w:val="none"/>
                <w:lang w:val="en-US" w:eastAsia="zh-CN" w:bidi="ar"/>
              </w:rPr>
              <w:t>1</w:t>
            </w:r>
          </w:p>
        </w:tc>
        <w:tc>
          <w:tcPr>
            <w:tcW w:w="1235" w:type="dxa"/>
            <w:vAlign w:val="center"/>
          </w:tcPr>
          <w:p w14:paraId="13AD65F9">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Calibri" w:eastAsia="宋体"/>
                <w:color w:val="auto"/>
                <w:szCs w:val="21"/>
                <w:highlight w:val="none"/>
                <w:lang w:val="en-US" w:eastAsia="zh-CN"/>
              </w:rPr>
            </w:pPr>
            <w:r>
              <w:rPr>
                <w:rFonts w:hint="eastAsia" w:ascii="宋体" w:hAnsi="宋体" w:eastAsia="宋体" w:cs="宋体"/>
                <w:i w:val="0"/>
                <w:color w:val="auto"/>
                <w:spacing w:val="-6"/>
                <w:kern w:val="0"/>
                <w:sz w:val="24"/>
                <w:szCs w:val="24"/>
                <w:highlight w:val="none"/>
                <w:u w:val="none"/>
                <w:lang w:val="en-US" w:eastAsia="zh-CN" w:bidi="ar"/>
              </w:rPr>
              <w:t>支</w:t>
            </w:r>
          </w:p>
        </w:tc>
        <w:tc>
          <w:tcPr>
            <w:tcW w:w="1383" w:type="dxa"/>
            <w:vAlign w:val="center"/>
          </w:tcPr>
          <w:p w14:paraId="47C949C2">
            <w:pPr>
              <w:adjustRightInd/>
              <w:spacing w:line="360" w:lineRule="auto"/>
              <w:jc w:val="center"/>
              <w:rPr>
                <w:rFonts w:ascii="宋体" w:hAnsi="宋体" w:eastAsia="宋体" w:cs="仿宋"/>
                <w:color w:val="auto"/>
                <w:sz w:val="24"/>
                <w:highlight w:val="none"/>
              </w:rPr>
            </w:pPr>
          </w:p>
        </w:tc>
        <w:tc>
          <w:tcPr>
            <w:tcW w:w="1115" w:type="dxa"/>
            <w:vAlign w:val="center"/>
          </w:tcPr>
          <w:p w14:paraId="0E60350A">
            <w:pPr>
              <w:adjustRightInd/>
              <w:spacing w:line="360" w:lineRule="auto"/>
              <w:jc w:val="center"/>
              <w:rPr>
                <w:rFonts w:ascii="宋体" w:hAnsi="宋体" w:eastAsia="宋体" w:cs="仿宋"/>
                <w:color w:val="auto"/>
                <w:sz w:val="24"/>
                <w:highlight w:val="none"/>
              </w:rPr>
            </w:pPr>
          </w:p>
        </w:tc>
      </w:tr>
      <w:tr w14:paraId="0B6E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49" w:type="dxa"/>
            <w:vAlign w:val="center"/>
          </w:tcPr>
          <w:p w14:paraId="0DE9EC84">
            <w:pPr>
              <w:keepNext w:val="0"/>
              <w:keepLines w:val="0"/>
              <w:pageBreakBefore w:val="0"/>
              <w:widowControl/>
              <w:suppressLineNumbers w:val="0"/>
              <w:kinsoku/>
              <w:wordWrap/>
              <w:topLinePunct w:val="0"/>
              <w:bidi w:val="0"/>
              <w:adjustRightInd w:val="0"/>
              <w:snapToGrid/>
              <w:spacing w:line="360" w:lineRule="auto"/>
              <w:jc w:val="center"/>
              <w:textAlignment w:val="center"/>
              <w:rPr>
                <w:rFonts w:ascii="宋体" w:hAnsi="宋体" w:eastAsia="宋体" w:cs="仿宋"/>
                <w:color w:val="auto"/>
                <w:sz w:val="24"/>
                <w:highlight w:val="none"/>
              </w:rPr>
            </w:pPr>
            <w:r>
              <w:rPr>
                <w:rFonts w:hint="eastAsia" w:ascii="Times New Roman" w:hAnsi="Times New Roman" w:eastAsia="宋体" w:cs="宋体"/>
                <w:i w:val="0"/>
                <w:color w:val="auto"/>
                <w:sz w:val="24"/>
                <w:szCs w:val="24"/>
                <w:highlight w:val="none"/>
                <w:u w:val="none"/>
                <w:lang w:val="en-US" w:eastAsia="zh-CN"/>
              </w:rPr>
              <w:t>2</w:t>
            </w:r>
          </w:p>
        </w:tc>
        <w:tc>
          <w:tcPr>
            <w:tcW w:w="1715" w:type="dxa"/>
            <w:vAlign w:val="center"/>
          </w:tcPr>
          <w:p w14:paraId="3D9A8996">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Calibri" w:eastAsia="宋体" w:cs="Times New Roman"/>
                <w:color w:val="auto"/>
                <w:kern w:val="2"/>
                <w:sz w:val="21"/>
                <w:szCs w:val="21"/>
                <w:highlight w:val="none"/>
                <w:lang w:val="en-US" w:eastAsia="zh-CN" w:bidi="ar-SA"/>
              </w:rPr>
            </w:pPr>
            <w:r>
              <w:rPr>
                <w:rFonts w:hint="eastAsia" w:ascii="宋体" w:hAnsi="宋体" w:eastAsia="宋体" w:cs="宋体"/>
                <w:i w:val="0"/>
                <w:color w:val="auto"/>
                <w:spacing w:val="-6"/>
                <w:kern w:val="0"/>
                <w:sz w:val="24"/>
                <w:szCs w:val="24"/>
                <w:highlight w:val="none"/>
                <w:u w:val="none"/>
                <w:lang w:val="en-US" w:eastAsia="zh-CN" w:bidi="ar"/>
              </w:rPr>
              <w:t>牙刷</w:t>
            </w:r>
          </w:p>
        </w:tc>
        <w:tc>
          <w:tcPr>
            <w:tcW w:w="1234" w:type="dxa"/>
            <w:vAlign w:val="center"/>
          </w:tcPr>
          <w:p w14:paraId="7D8A8325">
            <w:pPr>
              <w:adjustRightInd w:val="0"/>
              <w:spacing w:line="360" w:lineRule="auto"/>
              <w:jc w:val="center"/>
              <w:textAlignment w:val="baseline"/>
              <w:rPr>
                <w:rFonts w:hint="eastAsia" w:ascii="宋体" w:hAnsi="Calibri" w:eastAsia="宋体" w:cs="Times New Roman"/>
                <w:color w:val="auto"/>
                <w:kern w:val="2"/>
                <w:sz w:val="21"/>
                <w:szCs w:val="21"/>
                <w:highlight w:val="none"/>
                <w:lang w:val="en-US" w:eastAsia="zh-CN" w:bidi="ar-SA"/>
              </w:rPr>
            </w:pPr>
          </w:p>
        </w:tc>
        <w:tc>
          <w:tcPr>
            <w:tcW w:w="1920" w:type="dxa"/>
            <w:vAlign w:val="center"/>
          </w:tcPr>
          <w:p w14:paraId="59DCA6D8">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p>
        </w:tc>
        <w:tc>
          <w:tcPr>
            <w:tcW w:w="1118" w:type="dxa"/>
            <w:vAlign w:val="center"/>
          </w:tcPr>
          <w:p w14:paraId="21768A34">
            <w:pPr>
              <w:keepNext w:val="0"/>
              <w:keepLines w:val="0"/>
              <w:pageBreakBefore w:val="0"/>
              <w:widowControl/>
              <w:suppressLineNumbers w:val="0"/>
              <w:kinsoku/>
              <w:wordWrap/>
              <w:topLinePunct w:val="0"/>
              <w:bidi w:val="0"/>
              <w:adjustRightInd w:val="0"/>
              <w:snapToGrid/>
              <w:spacing w:line="360" w:lineRule="auto"/>
              <w:jc w:val="center"/>
              <w:textAlignment w:val="center"/>
              <w:rPr>
                <w:rFonts w:ascii="宋体" w:hAnsi="宋体" w:eastAsia="宋体" w:cs="仿宋"/>
                <w:color w:val="auto"/>
                <w:sz w:val="24"/>
                <w:highlight w:val="none"/>
              </w:rPr>
            </w:pPr>
            <w:r>
              <w:rPr>
                <w:rFonts w:hint="eastAsia" w:ascii="宋体" w:hAnsi="宋体" w:eastAsia="宋体" w:cs="宋体"/>
                <w:i w:val="0"/>
                <w:color w:val="auto"/>
                <w:spacing w:val="-6"/>
                <w:kern w:val="0"/>
                <w:sz w:val="24"/>
                <w:szCs w:val="24"/>
                <w:highlight w:val="none"/>
                <w:u w:val="none"/>
                <w:lang w:val="en-US" w:eastAsia="zh-CN" w:bidi="ar"/>
              </w:rPr>
              <w:t>1</w:t>
            </w:r>
          </w:p>
        </w:tc>
        <w:tc>
          <w:tcPr>
            <w:tcW w:w="1235" w:type="dxa"/>
            <w:vAlign w:val="center"/>
          </w:tcPr>
          <w:p w14:paraId="64E079C7">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Calibri" w:eastAsia="宋体"/>
                <w:color w:val="auto"/>
                <w:szCs w:val="21"/>
                <w:highlight w:val="none"/>
                <w:lang w:val="en-US" w:eastAsia="zh-CN"/>
              </w:rPr>
            </w:pPr>
            <w:r>
              <w:rPr>
                <w:rFonts w:hint="eastAsia" w:ascii="宋体" w:hAnsi="宋体" w:eastAsia="宋体" w:cs="宋体"/>
                <w:i w:val="0"/>
                <w:color w:val="auto"/>
                <w:spacing w:val="-6"/>
                <w:kern w:val="0"/>
                <w:sz w:val="24"/>
                <w:szCs w:val="24"/>
                <w:highlight w:val="none"/>
                <w:u w:val="none"/>
                <w:lang w:val="en-US" w:eastAsia="zh-CN" w:bidi="ar"/>
              </w:rPr>
              <w:t>支</w:t>
            </w:r>
          </w:p>
        </w:tc>
        <w:tc>
          <w:tcPr>
            <w:tcW w:w="1383" w:type="dxa"/>
            <w:vAlign w:val="center"/>
          </w:tcPr>
          <w:p w14:paraId="53E35422">
            <w:pPr>
              <w:adjustRightInd/>
              <w:spacing w:line="360" w:lineRule="auto"/>
              <w:jc w:val="center"/>
              <w:rPr>
                <w:rFonts w:ascii="宋体" w:hAnsi="宋体" w:eastAsia="宋体" w:cs="仿宋"/>
                <w:color w:val="auto"/>
                <w:sz w:val="24"/>
                <w:highlight w:val="none"/>
              </w:rPr>
            </w:pPr>
          </w:p>
        </w:tc>
        <w:tc>
          <w:tcPr>
            <w:tcW w:w="1115" w:type="dxa"/>
            <w:vAlign w:val="center"/>
          </w:tcPr>
          <w:p w14:paraId="2367AF10">
            <w:pPr>
              <w:adjustRightInd/>
              <w:spacing w:line="360" w:lineRule="auto"/>
              <w:jc w:val="center"/>
              <w:rPr>
                <w:rFonts w:ascii="宋体" w:hAnsi="宋体" w:eastAsia="宋体" w:cs="仿宋"/>
                <w:color w:val="auto"/>
                <w:sz w:val="24"/>
                <w:highlight w:val="none"/>
              </w:rPr>
            </w:pPr>
          </w:p>
        </w:tc>
      </w:tr>
      <w:tr w14:paraId="267D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49" w:type="dxa"/>
            <w:vAlign w:val="center"/>
          </w:tcPr>
          <w:p w14:paraId="51C404A8">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宋体" w:eastAsia="宋体" w:cs="仿宋"/>
                <w:color w:val="auto"/>
                <w:sz w:val="24"/>
                <w:highlight w:val="none"/>
              </w:rPr>
            </w:pPr>
            <w:r>
              <w:rPr>
                <w:rFonts w:hint="eastAsia" w:ascii="Times New Roman" w:hAnsi="Times New Roman" w:eastAsia="宋体" w:cs="宋体"/>
                <w:i w:val="0"/>
                <w:color w:val="auto"/>
                <w:sz w:val="24"/>
                <w:szCs w:val="24"/>
                <w:highlight w:val="none"/>
                <w:u w:val="none"/>
                <w:lang w:val="en-US" w:eastAsia="zh-CN"/>
              </w:rPr>
              <w:t>3</w:t>
            </w:r>
          </w:p>
        </w:tc>
        <w:tc>
          <w:tcPr>
            <w:tcW w:w="1715" w:type="dxa"/>
            <w:vAlign w:val="center"/>
          </w:tcPr>
          <w:p w14:paraId="67067E7F">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Calibri" w:eastAsia="宋体" w:cs="Times New Roman"/>
                <w:color w:val="auto"/>
                <w:kern w:val="2"/>
                <w:sz w:val="21"/>
                <w:szCs w:val="21"/>
                <w:highlight w:val="none"/>
                <w:lang w:val="en-US" w:eastAsia="zh-CN" w:bidi="ar-SA"/>
              </w:rPr>
            </w:pPr>
            <w:r>
              <w:rPr>
                <w:rFonts w:hint="eastAsia" w:ascii="宋体" w:hAnsi="宋体" w:eastAsia="宋体" w:cs="宋体"/>
                <w:i w:val="0"/>
                <w:color w:val="auto"/>
                <w:spacing w:val="-6"/>
                <w:kern w:val="0"/>
                <w:sz w:val="24"/>
                <w:szCs w:val="24"/>
                <w:highlight w:val="none"/>
                <w:u w:val="none"/>
                <w:lang w:val="en-US" w:eastAsia="zh-CN" w:bidi="ar"/>
              </w:rPr>
              <w:t>沐浴露</w:t>
            </w:r>
          </w:p>
        </w:tc>
        <w:tc>
          <w:tcPr>
            <w:tcW w:w="1234" w:type="dxa"/>
            <w:vAlign w:val="center"/>
          </w:tcPr>
          <w:p w14:paraId="2ABD44A7">
            <w:pPr>
              <w:adjustRightInd w:val="0"/>
              <w:spacing w:line="360" w:lineRule="auto"/>
              <w:jc w:val="center"/>
              <w:textAlignment w:val="baseline"/>
              <w:rPr>
                <w:rFonts w:hint="eastAsia" w:ascii="宋体" w:hAnsi="Calibri" w:eastAsia="宋体" w:cs="Times New Roman"/>
                <w:color w:val="auto"/>
                <w:kern w:val="2"/>
                <w:sz w:val="21"/>
                <w:szCs w:val="21"/>
                <w:highlight w:val="none"/>
                <w:lang w:val="en-US" w:eastAsia="zh-CN" w:bidi="ar-SA"/>
              </w:rPr>
            </w:pPr>
          </w:p>
        </w:tc>
        <w:tc>
          <w:tcPr>
            <w:tcW w:w="1920" w:type="dxa"/>
            <w:vAlign w:val="center"/>
          </w:tcPr>
          <w:p w14:paraId="6AC6FB0A">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p>
        </w:tc>
        <w:tc>
          <w:tcPr>
            <w:tcW w:w="1118" w:type="dxa"/>
            <w:vAlign w:val="center"/>
          </w:tcPr>
          <w:p w14:paraId="49424152">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Calibri" w:eastAsia="宋体"/>
                <w:color w:val="auto"/>
                <w:szCs w:val="21"/>
                <w:highlight w:val="none"/>
                <w:lang w:val="en-US" w:eastAsia="zh-CN"/>
              </w:rPr>
            </w:pPr>
            <w:r>
              <w:rPr>
                <w:rFonts w:hint="eastAsia" w:ascii="宋体" w:hAnsi="宋体" w:eastAsia="宋体" w:cs="宋体"/>
                <w:i w:val="0"/>
                <w:color w:val="auto"/>
                <w:spacing w:val="-6"/>
                <w:kern w:val="0"/>
                <w:sz w:val="24"/>
                <w:szCs w:val="24"/>
                <w:highlight w:val="none"/>
                <w:u w:val="none"/>
                <w:lang w:val="en-US" w:eastAsia="zh-CN" w:bidi="ar"/>
              </w:rPr>
              <w:t>1</w:t>
            </w:r>
          </w:p>
        </w:tc>
        <w:tc>
          <w:tcPr>
            <w:tcW w:w="1235" w:type="dxa"/>
            <w:vAlign w:val="center"/>
          </w:tcPr>
          <w:p w14:paraId="32862FAC">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Calibri" w:eastAsia="宋体"/>
                <w:color w:val="auto"/>
                <w:szCs w:val="21"/>
                <w:highlight w:val="none"/>
                <w:lang w:val="en-US" w:eastAsia="zh-CN"/>
              </w:rPr>
            </w:pPr>
            <w:r>
              <w:rPr>
                <w:rFonts w:hint="eastAsia" w:ascii="宋体" w:hAnsi="宋体" w:eastAsia="宋体" w:cs="宋体"/>
                <w:i w:val="0"/>
                <w:color w:val="auto"/>
                <w:spacing w:val="-6"/>
                <w:kern w:val="0"/>
                <w:sz w:val="24"/>
                <w:szCs w:val="24"/>
                <w:highlight w:val="none"/>
                <w:u w:val="none"/>
                <w:lang w:val="en-US" w:eastAsia="zh-CN" w:bidi="ar"/>
              </w:rPr>
              <w:t>瓶</w:t>
            </w:r>
          </w:p>
        </w:tc>
        <w:tc>
          <w:tcPr>
            <w:tcW w:w="1383" w:type="dxa"/>
            <w:vAlign w:val="center"/>
          </w:tcPr>
          <w:p w14:paraId="5D24DEB7">
            <w:pPr>
              <w:adjustRightInd/>
              <w:spacing w:line="360" w:lineRule="auto"/>
              <w:jc w:val="center"/>
              <w:rPr>
                <w:rFonts w:ascii="宋体" w:hAnsi="宋体" w:eastAsia="宋体" w:cs="仿宋"/>
                <w:color w:val="auto"/>
                <w:sz w:val="24"/>
                <w:highlight w:val="none"/>
              </w:rPr>
            </w:pPr>
          </w:p>
        </w:tc>
        <w:tc>
          <w:tcPr>
            <w:tcW w:w="1115" w:type="dxa"/>
            <w:vAlign w:val="center"/>
          </w:tcPr>
          <w:p w14:paraId="7A3AAA35">
            <w:pPr>
              <w:adjustRightInd/>
              <w:spacing w:line="360" w:lineRule="auto"/>
              <w:jc w:val="center"/>
              <w:rPr>
                <w:rFonts w:ascii="宋体" w:hAnsi="宋体" w:eastAsia="宋体" w:cs="仿宋"/>
                <w:color w:val="auto"/>
                <w:sz w:val="24"/>
                <w:highlight w:val="none"/>
              </w:rPr>
            </w:pPr>
          </w:p>
        </w:tc>
      </w:tr>
      <w:tr w14:paraId="7D724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49" w:type="dxa"/>
            <w:vAlign w:val="center"/>
          </w:tcPr>
          <w:p w14:paraId="60EA82B8">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宋体" w:eastAsia="宋体" w:cs="仿宋"/>
                <w:color w:val="auto"/>
                <w:sz w:val="24"/>
                <w:highlight w:val="none"/>
              </w:rPr>
            </w:pPr>
            <w:r>
              <w:rPr>
                <w:rFonts w:hint="eastAsia" w:ascii="Times New Roman" w:hAnsi="Times New Roman" w:eastAsia="宋体" w:cs="宋体"/>
                <w:i w:val="0"/>
                <w:color w:val="auto"/>
                <w:sz w:val="24"/>
                <w:szCs w:val="24"/>
                <w:highlight w:val="none"/>
                <w:u w:val="none"/>
                <w:lang w:val="en-US" w:eastAsia="zh-CN"/>
              </w:rPr>
              <w:t>4</w:t>
            </w:r>
          </w:p>
        </w:tc>
        <w:tc>
          <w:tcPr>
            <w:tcW w:w="1715" w:type="dxa"/>
            <w:vAlign w:val="center"/>
          </w:tcPr>
          <w:p w14:paraId="7816E65B">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Calibri" w:eastAsia="宋体" w:cs="Times New Roman"/>
                <w:color w:val="auto"/>
                <w:kern w:val="2"/>
                <w:sz w:val="21"/>
                <w:szCs w:val="21"/>
                <w:highlight w:val="none"/>
                <w:lang w:val="en-US" w:eastAsia="zh-CN" w:bidi="ar-SA"/>
              </w:rPr>
            </w:pPr>
            <w:r>
              <w:rPr>
                <w:rFonts w:hint="eastAsia" w:ascii="宋体" w:hAnsi="宋体" w:eastAsia="宋体" w:cs="宋体"/>
                <w:i w:val="0"/>
                <w:color w:val="auto"/>
                <w:spacing w:val="-6"/>
                <w:kern w:val="0"/>
                <w:sz w:val="24"/>
                <w:szCs w:val="24"/>
                <w:highlight w:val="none"/>
                <w:u w:val="none"/>
                <w:lang w:val="en-US" w:eastAsia="zh-CN" w:bidi="ar"/>
              </w:rPr>
              <w:t>洗发水</w:t>
            </w:r>
          </w:p>
        </w:tc>
        <w:tc>
          <w:tcPr>
            <w:tcW w:w="1234" w:type="dxa"/>
            <w:vAlign w:val="center"/>
          </w:tcPr>
          <w:p w14:paraId="3B9B4246">
            <w:pPr>
              <w:adjustRightInd w:val="0"/>
              <w:spacing w:line="360" w:lineRule="auto"/>
              <w:jc w:val="center"/>
              <w:textAlignment w:val="baseline"/>
              <w:rPr>
                <w:rFonts w:hint="eastAsia" w:ascii="宋体" w:hAnsi="Calibri" w:eastAsia="宋体" w:cs="Times New Roman"/>
                <w:color w:val="auto"/>
                <w:kern w:val="2"/>
                <w:sz w:val="21"/>
                <w:szCs w:val="21"/>
                <w:highlight w:val="none"/>
                <w:lang w:val="en-US" w:eastAsia="zh-CN" w:bidi="ar-SA"/>
              </w:rPr>
            </w:pPr>
          </w:p>
        </w:tc>
        <w:tc>
          <w:tcPr>
            <w:tcW w:w="1920" w:type="dxa"/>
            <w:vAlign w:val="center"/>
          </w:tcPr>
          <w:p w14:paraId="29AD7D48">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p>
        </w:tc>
        <w:tc>
          <w:tcPr>
            <w:tcW w:w="1118" w:type="dxa"/>
            <w:vAlign w:val="center"/>
          </w:tcPr>
          <w:p w14:paraId="62F4FA66">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Calibri" w:eastAsia="宋体"/>
                <w:color w:val="auto"/>
                <w:szCs w:val="21"/>
                <w:highlight w:val="none"/>
                <w:lang w:val="en-US" w:eastAsia="zh-CN"/>
              </w:rPr>
            </w:pPr>
            <w:r>
              <w:rPr>
                <w:rFonts w:hint="eastAsia" w:ascii="宋体" w:hAnsi="宋体" w:eastAsia="宋体" w:cs="宋体"/>
                <w:i w:val="0"/>
                <w:color w:val="auto"/>
                <w:spacing w:val="-6"/>
                <w:kern w:val="0"/>
                <w:sz w:val="24"/>
                <w:szCs w:val="24"/>
                <w:highlight w:val="none"/>
                <w:u w:val="none"/>
                <w:lang w:val="en-US" w:eastAsia="zh-CN" w:bidi="ar"/>
              </w:rPr>
              <w:t>1</w:t>
            </w:r>
          </w:p>
        </w:tc>
        <w:tc>
          <w:tcPr>
            <w:tcW w:w="1235" w:type="dxa"/>
            <w:vAlign w:val="center"/>
          </w:tcPr>
          <w:p w14:paraId="638A4FAA">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Calibri" w:eastAsia="宋体"/>
                <w:color w:val="auto"/>
                <w:szCs w:val="21"/>
                <w:highlight w:val="none"/>
                <w:lang w:val="en-US" w:eastAsia="zh-CN"/>
              </w:rPr>
            </w:pPr>
            <w:r>
              <w:rPr>
                <w:rFonts w:hint="eastAsia" w:ascii="宋体" w:hAnsi="宋体" w:eastAsia="宋体" w:cs="宋体"/>
                <w:i w:val="0"/>
                <w:color w:val="auto"/>
                <w:spacing w:val="-6"/>
                <w:kern w:val="0"/>
                <w:sz w:val="24"/>
                <w:szCs w:val="24"/>
                <w:highlight w:val="none"/>
                <w:u w:val="none"/>
                <w:lang w:val="en-US" w:eastAsia="zh-CN" w:bidi="ar"/>
              </w:rPr>
              <w:t>瓶</w:t>
            </w:r>
          </w:p>
        </w:tc>
        <w:tc>
          <w:tcPr>
            <w:tcW w:w="1383" w:type="dxa"/>
            <w:vAlign w:val="center"/>
          </w:tcPr>
          <w:p w14:paraId="05DA722A">
            <w:pPr>
              <w:adjustRightInd/>
              <w:spacing w:line="360" w:lineRule="auto"/>
              <w:jc w:val="center"/>
              <w:rPr>
                <w:rFonts w:ascii="宋体" w:hAnsi="宋体" w:eastAsia="宋体" w:cs="仿宋"/>
                <w:color w:val="auto"/>
                <w:sz w:val="24"/>
                <w:highlight w:val="none"/>
              </w:rPr>
            </w:pPr>
          </w:p>
        </w:tc>
        <w:tc>
          <w:tcPr>
            <w:tcW w:w="1115" w:type="dxa"/>
            <w:vAlign w:val="center"/>
          </w:tcPr>
          <w:p w14:paraId="4620BF08">
            <w:pPr>
              <w:adjustRightInd/>
              <w:spacing w:line="360" w:lineRule="auto"/>
              <w:jc w:val="center"/>
              <w:rPr>
                <w:rFonts w:ascii="宋体" w:hAnsi="宋体" w:eastAsia="宋体" w:cs="仿宋"/>
                <w:color w:val="auto"/>
                <w:sz w:val="24"/>
                <w:highlight w:val="none"/>
              </w:rPr>
            </w:pPr>
          </w:p>
        </w:tc>
      </w:tr>
      <w:tr w14:paraId="13E4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49" w:type="dxa"/>
            <w:vAlign w:val="center"/>
          </w:tcPr>
          <w:p w14:paraId="162C0064">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宋体" w:eastAsia="宋体" w:cs="仿宋"/>
                <w:color w:val="auto"/>
                <w:sz w:val="24"/>
                <w:highlight w:val="none"/>
              </w:rPr>
            </w:pPr>
            <w:r>
              <w:rPr>
                <w:rFonts w:hint="eastAsia" w:ascii="Times New Roman" w:hAnsi="Times New Roman" w:eastAsia="宋体" w:cs="宋体"/>
                <w:i w:val="0"/>
                <w:color w:val="auto"/>
                <w:sz w:val="24"/>
                <w:szCs w:val="24"/>
                <w:highlight w:val="none"/>
                <w:u w:val="none"/>
                <w:lang w:val="en-US" w:eastAsia="zh-CN"/>
              </w:rPr>
              <w:t>5</w:t>
            </w:r>
          </w:p>
        </w:tc>
        <w:tc>
          <w:tcPr>
            <w:tcW w:w="1715" w:type="dxa"/>
            <w:vAlign w:val="center"/>
          </w:tcPr>
          <w:p w14:paraId="02AD7E97">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Calibri" w:eastAsia="宋体" w:cs="Times New Roman"/>
                <w:color w:val="auto"/>
                <w:kern w:val="2"/>
                <w:sz w:val="21"/>
                <w:szCs w:val="21"/>
                <w:highlight w:val="none"/>
                <w:lang w:val="en-US" w:eastAsia="zh-CN" w:bidi="ar-SA"/>
              </w:rPr>
            </w:pPr>
            <w:r>
              <w:rPr>
                <w:rFonts w:hint="eastAsia" w:ascii="宋体" w:hAnsi="宋体" w:eastAsia="宋体" w:cs="宋体"/>
                <w:i w:val="0"/>
                <w:color w:val="auto"/>
                <w:spacing w:val="-6"/>
                <w:kern w:val="0"/>
                <w:sz w:val="24"/>
                <w:szCs w:val="24"/>
                <w:highlight w:val="none"/>
                <w:u w:val="none"/>
                <w:lang w:val="en-US" w:eastAsia="zh-CN" w:bidi="ar"/>
              </w:rPr>
              <w:t>毛巾</w:t>
            </w:r>
          </w:p>
        </w:tc>
        <w:tc>
          <w:tcPr>
            <w:tcW w:w="1234" w:type="dxa"/>
            <w:vAlign w:val="center"/>
          </w:tcPr>
          <w:p w14:paraId="2D65BE83">
            <w:pPr>
              <w:adjustRightInd w:val="0"/>
              <w:spacing w:line="360" w:lineRule="auto"/>
              <w:jc w:val="center"/>
              <w:textAlignment w:val="baseline"/>
              <w:rPr>
                <w:rFonts w:hint="eastAsia" w:ascii="宋体" w:hAnsi="Calibri" w:eastAsia="宋体" w:cs="Times New Roman"/>
                <w:color w:val="auto"/>
                <w:kern w:val="2"/>
                <w:sz w:val="21"/>
                <w:szCs w:val="21"/>
                <w:highlight w:val="none"/>
                <w:lang w:val="en-US" w:eastAsia="zh-CN" w:bidi="ar-SA"/>
              </w:rPr>
            </w:pPr>
          </w:p>
        </w:tc>
        <w:tc>
          <w:tcPr>
            <w:tcW w:w="1920" w:type="dxa"/>
            <w:vAlign w:val="center"/>
          </w:tcPr>
          <w:p w14:paraId="7BA299AD">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p>
        </w:tc>
        <w:tc>
          <w:tcPr>
            <w:tcW w:w="1118" w:type="dxa"/>
            <w:vAlign w:val="center"/>
          </w:tcPr>
          <w:p w14:paraId="45D0A5F6">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Calibri" w:eastAsia="宋体"/>
                <w:color w:val="auto"/>
                <w:szCs w:val="21"/>
                <w:highlight w:val="none"/>
                <w:lang w:val="en-US" w:eastAsia="zh-CN"/>
              </w:rPr>
            </w:pPr>
            <w:r>
              <w:rPr>
                <w:rFonts w:hint="eastAsia" w:ascii="宋体" w:hAnsi="宋体" w:eastAsia="宋体" w:cs="宋体"/>
                <w:i w:val="0"/>
                <w:color w:val="auto"/>
                <w:spacing w:val="-6"/>
                <w:kern w:val="0"/>
                <w:sz w:val="24"/>
                <w:szCs w:val="24"/>
                <w:highlight w:val="none"/>
                <w:u w:val="none"/>
                <w:lang w:val="en-US" w:eastAsia="zh-CN" w:bidi="ar"/>
              </w:rPr>
              <w:t>1</w:t>
            </w:r>
          </w:p>
        </w:tc>
        <w:tc>
          <w:tcPr>
            <w:tcW w:w="1235" w:type="dxa"/>
            <w:vAlign w:val="center"/>
          </w:tcPr>
          <w:p w14:paraId="45F23FD7">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Calibri" w:eastAsia="宋体"/>
                <w:color w:val="auto"/>
                <w:szCs w:val="21"/>
                <w:highlight w:val="none"/>
                <w:lang w:val="en-US" w:eastAsia="zh-CN"/>
              </w:rPr>
            </w:pPr>
            <w:r>
              <w:rPr>
                <w:rFonts w:hint="eastAsia" w:ascii="宋体" w:hAnsi="宋体" w:eastAsia="宋体" w:cs="宋体"/>
                <w:i w:val="0"/>
                <w:color w:val="auto"/>
                <w:spacing w:val="-6"/>
                <w:kern w:val="0"/>
                <w:sz w:val="24"/>
                <w:szCs w:val="24"/>
                <w:highlight w:val="none"/>
                <w:u w:val="none"/>
                <w:lang w:val="en-US" w:eastAsia="zh-CN" w:bidi="ar"/>
              </w:rPr>
              <w:t>条</w:t>
            </w:r>
          </w:p>
        </w:tc>
        <w:tc>
          <w:tcPr>
            <w:tcW w:w="1383" w:type="dxa"/>
            <w:vAlign w:val="center"/>
          </w:tcPr>
          <w:p w14:paraId="58B1C720">
            <w:pPr>
              <w:adjustRightInd/>
              <w:spacing w:line="360" w:lineRule="auto"/>
              <w:jc w:val="center"/>
              <w:rPr>
                <w:rFonts w:ascii="宋体" w:hAnsi="宋体" w:eastAsia="宋体" w:cs="仿宋"/>
                <w:color w:val="auto"/>
                <w:sz w:val="24"/>
                <w:highlight w:val="none"/>
              </w:rPr>
            </w:pPr>
          </w:p>
        </w:tc>
        <w:tc>
          <w:tcPr>
            <w:tcW w:w="1115" w:type="dxa"/>
            <w:vAlign w:val="center"/>
          </w:tcPr>
          <w:p w14:paraId="77B9D193">
            <w:pPr>
              <w:adjustRightInd/>
              <w:spacing w:line="360" w:lineRule="auto"/>
              <w:jc w:val="center"/>
              <w:rPr>
                <w:rFonts w:ascii="宋体" w:hAnsi="宋体" w:eastAsia="宋体" w:cs="仿宋"/>
                <w:color w:val="auto"/>
                <w:sz w:val="24"/>
                <w:highlight w:val="none"/>
              </w:rPr>
            </w:pPr>
          </w:p>
        </w:tc>
      </w:tr>
      <w:tr w14:paraId="6744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49" w:type="dxa"/>
            <w:vAlign w:val="center"/>
          </w:tcPr>
          <w:p w14:paraId="4F76CD69">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宋体" w:eastAsia="宋体" w:cs="仿宋"/>
                <w:color w:val="auto"/>
                <w:sz w:val="24"/>
                <w:highlight w:val="none"/>
              </w:rPr>
            </w:pPr>
            <w:r>
              <w:rPr>
                <w:rFonts w:hint="eastAsia" w:ascii="Times New Roman" w:hAnsi="Times New Roman" w:eastAsia="宋体" w:cs="宋体"/>
                <w:i w:val="0"/>
                <w:color w:val="auto"/>
                <w:sz w:val="24"/>
                <w:szCs w:val="24"/>
                <w:highlight w:val="none"/>
                <w:u w:val="none"/>
                <w:lang w:val="en-US" w:eastAsia="zh-CN"/>
              </w:rPr>
              <w:t>6</w:t>
            </w:r>
          </w:p>
        </w:tc>
        <w:tc>
          <w:tcPr>
            <w:tcW w:w="1715" w:type="dxa"/>
            <w:vAlign w:val="center"/>
          </w:tcPr>
          <w:p w14:paraId="20EA3BC3">
            <w:pPr>
              <w:keepNext w:val="0"/>
              <w:keepLines w:val="0"/>
              <w:pageBreakBefore w:val="0"/>
              <w:widowControl/>
              <w:suppressLineNumbers w:val="0"/>
              <w:kinsoku/>
              <w:wordWrap/>
              <w:topLinePunct w:val="0"/>
              <w:bidi w:val="0"/>
              <w:adjustRightInd w:val="0"/>
              <w:snapToGrid/>
              <w:spacing w:line="360" w:lineRule="auto"/>
              <w:ind w:left="0" w:leftChars="0" w:right="0" w:rightChars="0"/>
              <w:jc w:val="center"/>
              <w:textAlignment w:val="center"/>
              <w:rPr>
                <w:rFonts w:hint="eastAsia" w:ascii="宋体" w:hAnsi="Calibri" w:eastAsia="宋体" w:cs="Times New Roman"/>
                <w:color w:val="auto"/>
                <w:kern w:val="2"/>
                <w:sz w:val="21"/>
                <w:szCs w:val="21"/>
                <w:highlight w:val="none"/>
                <w:lang w:val="en-US" w:eastAsia="zh-CN" w:bidi="ar-SA"/>
              </w:rPr>
            </w:pPr>
            <w:r>
              <w:rPr>
                <w:rFonts w:hint="eastAsia" w:ascii="宋体" w:hAnsi="宋体" w:eastAsia="宋体" w:cs="宋体"/>
                <w:i w:val="0"/>
                <w:color w:val="auto"/>
                <w:spacing w:val="-6"/>
                <w:kern w:val="0"/>
                <w:sz w:val="24"/>
                <w:szCs w:val="24"/>
                <w:highlight w:val="none"/>
                <w:u w:val="none"/>
                <w:lang w:val="en-US" w:eastAsia="zh-CN" w:bidi="ar"/>
              </w:rPr>
              <w:t>洗衣皂</w:t>
            </w:r>
          </w:p>
        </w:tc>
        <w:tc>
          <w:tcPr>
            <w:tcW w:w="1234" w:type="dxa"/>
            <w:vAlign w:val="center"/>
          </w:tcPr>
          <w:p w14:paraId="68C5F83A">
            <w:pPr>
              <w:adjustRightInd w:val="0"/>
              <w:spacing w:line="360" w:lineRule="auto"/>
              <w:jc w:val="center"/>
              <w:textAlignment w:val="baseline"/>
              <w:rPr>
                <w:rFonts w:hint="eastAsia" w:ascii="宋体" w:hAnsi="Calibri" w:eastAsia="宋体" w:cs="Times New Roman"/>
                <w:color w:val="auto"/>
                <w:kern w:val="2"/>
                <w:sz w:val="21"/>
                <w:szCs w:val="21"/>
                <w:highlight w:val="none"/>
                <w:lang w:val="en-US" w:eastAsia="zh-CN" w:bidi="ar-SA"/>
              </w:rPr>
            </w:pPr>
          </w:p>
        </w:tc>
        <w:tc>
          <w:tcPr>
            <w:tcW w:w="1920" w:type="dxa"/>
            <w:vAlign w:val="center"/>
          </w:tcPr>
          <w:p w14:paraId="70CC6A21">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p>
        </w:tc>
        <w:tc>
          <w:tcPr>
            <w:tcW w:w="1118" w:type="dxa"/>
            <w:vAlign w:val="center"/>
          </w:tcPr>
          <w:p w14:paraId="3C305C9C">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Calibri" w:eastAsia="宋体" w:cs="Times New Roman"/>
                <w:color w:val="auto"/>
                <w:kern w:val="2"/>
                <w:sz w:val="21"/>
                <w:szCs w:val="21"/>
                <w:highlight w:val="none"/>
                <w:lang w:val="en-US" w:eastAsia="zh-CN" w:bidi="ar-SA"/>
              </w:rPr>
            </w:pPr>
            <w:r>
              <w:rPr>
                <w:rFonts w:hint="eastAsia" w:ascii="Times New Roman" w:hAnsi="Times New Roman" w:eastAsia="宋体" w:cs="宋体"/>
                <w:i w:val="0"/>
                <w:color w:val="auto"/>
                <w:spacing w:val="-6"/>
                <w:kern w:val="0"/>
                <w:sz w:val="24"/>
                <w:szCs w:val="24"/>
                <w:highlight w:val="none"/>
                <w:u w:val="none"/>
                <w:lang w:val="en-US" w:eastAsia="zh-CN" w:bidi="ar"/>
              </w:rPr>
              <w:t>1</w:t>
            </w:r>
          </w:p>
        </w:tc>
        <w:tc>
          <w:tcPr>
            <w:tcW w:w="1235" w:type="dxa"/>
            <w:vAlign w:val="center"/>
          </w:tcPr>
          <w:p w14:paraId="490CEB6F">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Calibri" w:eastAsia="宋体" w:cs="Times New Roman"/>
                <w:color w:val="auto"/>
                <w:kern w:val="2"/>
                <w:sz w:val="21"/>
                <w:szCs w:val="21"/>
                <w:highlight w:val="none"/>
                <w:lang w:val="en-US" w:eastAsia="zh-CN" w:bidi="ar-SA"/>
              </w:rPr>
            </w:pPr>
            <w:r>
              <w:rPr>
                <w:rFonts w:hint="eastAsia" w:ascii="Times New Roman" w:hAnsi="Times New Roman" w:eastAsia="宋体" w:cs="宋体"/>
                <w:i w:val="0"/>
                <w:color w:val="auto"/>
                <w:spacing w:val="-6"/>
                <w:kern w:val="0"/>
                <w:sz w:val="24"/>
                <w:szCs w:val="24"/>
                <w:highlight w:val="none"/>
                <w:u w:val="none"/>
                <w:lang w:val="en-US" w:eastAsia="zh-CN" w:bidi="ar"/>
              </w:rPr>
              <w:t>块</w:t>
            </w:r>
          </w:p>
        </w:tc>
        <w:tc>
          <w:tcPr>
            <w:tcW w:w="1383" w:type="dxa"/>
            <w:vAlign w:val="center"/>
          </w:tcPr>
          <w:p w14:paraId="502D9469">
            <w:pPr>
              <w:adjustRightInd/>
              <w:spacing w:line="360" w:lineRule="auto"/>
              <w:jc w:val="center"/>
              <w:rPr>
                <w:rFonts w:ascii="宋体" w:hAnsi="宋体" w:eastAsia="宋体" w:cs="仿宋"/>
                <w:color w:val="auto"/>
                <w:sz w:val="24"/>
                <w:highlight w:val="none"/>
              </w:rPr>
            </w:pPr>
          </w:p>
        </w:tc>
        <w:tc>
          <w:tcPr>
            <w:tcW w:w="1115" w:type="dxa"/>
            <w:vAlign w:val="center"/>
          </w:tcPr>
          <w:p w14:paraId="414AD874">
            <w:pPr>
              <w:adjustRightInd/>
              <w:spacing w:line="360" w:lineRule="auto"/>
              <w:jc w:val="center"/>
              <w:rPr>
                <w:rFonts w:ascii="宋体" w:hAnsi="宋体" w:eastAsia="宋体" w:cs="仿宋"/>
                <w:color w:val="auto"/>
                <w:sz w:val="24"/>
                <w:highlight w:val="none"/>
              </w:rPr>
            </w:pPr>
          </w:p>
        </w:tc>
      </w:tr>
      <w:tr w14:paraId="6256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49" w:type="dxa"/>
            <w:vAlign w:val="center"/>
          </w:tcPr>
          <w:p w14:paraId="558F0F77">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宋体" w:eastAsia="宋体" w:cs="仿宋"/>
                <w:color w:val="auto"/>
                <w:sz w:val="24"/>
                <w:highlight w:val="none"/>
              </w:rPr>
            </w:pPr>
            <w:r>
              <w:rPr>
                <w:rFonts w:hint="eastAsia" w:ascii="Times New Roman" w:hAnsi="Times New Roman" w:eastAsia="宋体" w:cs="宋体"/>
                <w:i w:val="0"/>
                <w:color w:val="auto"/>
                <w:sz w:val="24"/>
                <w:szCs w:val="24"/>
                <w:highlight w:val="none"/>
                <w:u w:val="none"/>
                <w:lang w:val="en-US" w:eastAsia="zh-CN"/>
              </w:rPr>
              <w:t>7</w:t>
            </w:r>
          </w:p>
        </w:tc>
        <w:tc>
          <w:tcPr>
            <w:tcW w:w="1715" w:type="dxa"/>
            <w:vAlign w:val="center"/>
          </w:tcPr>
          <w:p w14:paraId="6B07FBEB">
            <w:pPr>
              <w:keepNext w:val="0"/>
              <w:keepLines w:val="0"/>
              <w:pageBreakBefore w:val="0"/>
              <w:widowControl/>
              <w:suppressLineNumbers w:val="0"/>
              <w:kinsoku/>
              <w:wordWrap/>
              <w:topLinePunct w:val="0"/>
              <w:bidi w:val="0"/>
              <w:adjustRightInd w:val="0"/>
              <w:snapToGrid/>
              <w:spacing w:line="360" w:lineRule="auto"/>
              <w:ind w:left="0" w:leftChars="0" w:right="0" w:rightChars="0"/>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礼盒或环保袋</w:t>
            </w:r>
          </w:p>
        </w:tc>
        <w:tc>
          <w:tcPr>
            <w:tcW w:w="1234" w:type="dxa"/>
            <w:vAlign w:val="center"/>
          </w:tcPr>
          <w:p w14:paraId="6E87D356">
            <w:pPr>
              <w:keepNext w:val="0"/>
              <w:keepLines w:val="0"/>
              <w:pageBreakBefore w:val="0"/>
              <w:widowControl/>
              <w:suppressLineNumbers w:val="0"/>
              <w:kinsoku/>
              <w:wordWrap/>
              <w:topLinePunct w:val="0"/>
              <w:bidi w:val="0"/>
              <w:adjustRightInd w:val="0"/>
              <w:snapToGrid/>
              <w:spacing w:line="360" w:lineRule="auto"/>
              <w:ind w:left="0" w:leftChars="0" w:right="0" w:rightChars="0"/>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w:t>
            </w:r>
          </w:p>
        </w:tc>
        <w:tc>
          <w:tcPr>
            <w:tcW w:w="1920" w:type="dxa"/>
            <w:vAlign w:val="center"/>
          </w:tcPr>
          <w:p w14:paraId="2E9BB032">
            <w:pPr>
              <w:keepNext w:val="0"/>
              <w:keepLines w:val="0"/>
              <w:pageBreakBefore w:val="0"/>
              <w:widowControl/>
              <w:suppressLineNumbers w:val="0"/>
              <w:kinsoku/>
              <w:wordWrap/>
              <w:topLinePunct w:val="0"/>
              <w:bidi w:val="0"/>
              <w:adjustRightInd w:val="0"/>
              <w:snapToGrid/>
              <w:spacing w:line="360" w:lineRule="auto"/>
              <w:ind w:left="0" w:leftChars="0" w:right="0" w:rightChars="0"/>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定制</w:t>
            </w:r>
          </w:p>
        </w:tc>
        <w:tc>
          <w:tcPr>
            <w:tcW w:w="1118" w:type="dxa"/>
            <w:vAlign w:val="center"/>
          </w:tcPr>
          <w:p w14:paraId="0318A792">
            <w:pPr>
              <w:keepNext w:val="0"/>
              <w:keepLines w:val="0"/>
              <w:pageBreakBefore w:val="0"/>
              <w:widowControl/>
              <w:suppressLineNumbers w:val="0"/>
              <w:kinsoku/>
              <w:wordWrap/>
              <w:topLinePunct w:val="0"/>
              <w:bidi w:val="0"/>
              <w:adjustRightInd w:val="0"/>
              <w:snapToGrid/>
              <w:spacing w:line="360" w:lineRule="auto"/>
              <w:ind w:left="0" w:leftChars="0" w:right="0" w:rightChars="0"/>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1</w:t>
            </w:r>
          </w:p>
        </w:tc>
        <w:tc>
          <w:tcPr>
            <w:tcW w:w="1235" w:type="dxa"/>
            <w:vAlign w:val="center"/>
          </w:tcPr>
          <w:p w14:paraId="14809597">
            <w:pPr>
              <w:keepNext w:val="0"/>
              <w:keepLines w:val="0"/>
              <w:pageBreakBefore w:val="0"/>
              <w:widowControl/>
              <w:suppressLineNumbers w:val="0"/>
              <w:kinsoku/>
              <w:wordWrap/>
              <w:topLinePunct w:val="0"/>
              <w:bidi w:val="0"/>
              <w:adjustRightInd w:val="0"/>
              <w:snapToGrid/>
              <w:spacing w:line="360" w:lineRule="auto"/>
              <w:ind w:left="0" w:leftChars="0" w:right="0" w:rightChars="0"/>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个</w:t>
            </w:r>
          </w:p>
        </w:tc>
        <w:tc>
          <w:tcPr>
            <w:tcW w:w="1383" w:type="dxa"/>
            <w:vAlign w:val="center"/>
          </w:tcPr>
          <w:p w14:paraId="35458428">
            <w:pPr>
              <w:adjustRightInd/>
              <w:spacing w:line="360" w:lineRule="auto"/>
              <w:jc w:val="center"/>
              <w:rPr>
                <w:rFonts w:ascii="宋体" w:hAnsi="宋体" w:eastAsia="宋体" w:cs="仿宋"/>
                <w:color w:val="auto"/>
                <w:sz w:val="24"/>
                <w:highlight w:val="none"/>
              </w:rPr>
            </w:pPr>
          </w:p>
        </w:tc>
        <w:tc>
          <w:tcPr>
            <w:tcW w:w="1115" w:type="dxa"/>
            <w:vAlign w:val="center"/>
          </w:tcPr>
          <w:p w14:paraId="06418C88">
            <w:pPr>
              <w:adjustRightInd/>
              <w:spacing w:line="360" w:lineRule="auto"/>
              <w:jc w:val="center"/>
              <w:rPr>
                <w:rFonts w:ascii="宋体" w:hAnsi="宋体" w:eastAsia="宋体" w:cs="仿宋"/>
                <w:color w:val="auto"/>
                <w:sz w:val="24"/>
                <w:highlight w:val="none"/>
              </w:rPr>
            </w:pPr>
          </w:p>
        </w:tc>
      </w:tr>
      <w:tr w14:paraId="6B9B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698" w:type="dxa"/>
            <w:gridSpan w:val="3"/>
            <w:vAlign w:val="center"/>
          </w:tcPr>
          <w:p w14:paraId="66043BBB">
            <w:pPr>
              <w:adjustRightInd/>
              <w:spacing w:line="360" w:lineRule="auto"/>
              <w:jc w:val="center"/>
              <w:rPr>
                <w:rFonts w:ascii="宋体" w:hAnsi="宋体" w:eastAsia="宋体" w:cs="仿宋"/>
                <w:b/>
                <w:color w:val="auto"/>
                <w:sz w:val="24"/>
                <w:highlight w:val="none"/>
              </w:rPr>
            </w:pPr>
            <w:r>
              <w:rPr>
                <w:rFonts w:hint="eastAsia" w:ascii="宋体" w:hAnsi="宋体" w:eastAsia="宋体" w:cs="仿宋"/>
                <w:b/>
                <w:color w:val="auto"/>
                <w:sz w:val="24"/>
                <w:highlight w:val="none"/>
                <w:lang w:val="en-US" w:eastAsia="zh-CN"/>
              </w:rPr>
              <w:t>单价</w:t>
            </w:r>
            <w:r>
              <w:rPr>
                <w:rFonts w:hint="eastAsia" w:ascii="宋体" w:hAnsi="宋体" w:eastAsia="宋体" w:cs="仿宋"/>
                <w:b/>
                <w:color w:val="auto"/>
                <w:sz w:val="24"/>
                <w:highlight w:val="none"/>
              </w:rPr>
              <w:t>报价合计（小写）</w:t>
            </w:r>
          </w:p>
        </w:tc>
        <w:tc>
          <w:tcPr>
            <w:tcW w:w="6771" w:type="dxa"/>
            <w:gridSpan w:val="5"/>
            <w:vAlign w:val="center"/>
          </w:tcPr>
          <w:p w14:paraId="5C237B20">
            <w:pPr>
              <w:adjustRightInd/>
              <w:spacing w:line="360" w:lineRule="auto"/>
              <w:jc w:val="center"/>
              <w:rPr>
                <w:rFonts w:ascii="宋体" w:hAnsi="宋体" w:eastAsia="宋体" w:cs="仿宋"/>
                <w:color w:val="auto"/>
                <w:sz w:val="24"/>
                <w:highlight w:val="none"/>
              </w:rPr>
            </w:pPr>
          </w:p>
        </w:tc>
      </w:tr>
      <w:tr w14:paraId="2DEA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698" w:type="dxa"/>
            <w:gridSpan w:val="3"/>
            <w:vAlign w:val="center"/>
          </w:tcPr>
          <w:p w14:paraId="0D24E984">
            <w:pPr>
              <w:adjustRightInd/>
              <w:spacing w:line="360" w:lineRule="auto"/>
              <w:jc w:val="center"/>
              <w:rPr>
                <w:rFonts w:ascii="宋体" w:hAnsi="宋体" w:eastAsia="宋体" w:cs="仿宋"/>
                <w:b/>
                <w:color w:val="auto"/>
                <w:sz w:val="24"/>
                <w:highlight w:val="none"/>
              </w:rPr>
            </w:pPr>
            <w:r>
              <w:rPr>
                <w:rFonts w:hint="eastAsia" w:ascii="宋体" w:hAnsi="宋体" w:eastAsia="宋体" w:cs="仿宋"/>
                <w:b/>
                <w:color w:val="auto"/>
                <w:sz w:val="24"/>
                <w:highlight w:val="none"/>
                <w:lang w:val="en-US" w:eastAsia="zh-CN"/>
              </w:rPr>
              <w:t>单价</w:t>
            </w:r>
            <w:r>
              <w:rPr>
                <w:rFonts w:hint="eastAsia" w:ascii="宋体" w:hAnsi="宋体" w:eastAsia="宋体" w:cs="仿宋"/>
                <w:b/>
                <w:color w:val="auto"/>
                <w:sz w:val="24"/>
                <w:highlight w:val="none"/>
              </w:rPr>
              <w:t>报价合计（大写）</w:t>
            </w:r>
          </w:p>
        </w:tc>
        <w:tc>
          <w:tcPr>
            <w:tcW w:w="6771" w:type="dxa"/>
            <w:gridSpan w:val="5"/>
            <w:vAlign w:val="center"/>
          </w:tcPr>
          <w:p w14:paraId="6B00A989">
            <w:pPr>
              <w:adjustRightInd/>
              <w:spacing w:line="360" w:lineRule="auto"/>
              <w:jc w:val="center"/>
              <w:rPr>
                <w:rFonts w:ascii="宋体" w:hAnsi="宋体" w:eastAsia="宋体" w:cs="仿宋"/>
                <w:color w:val="auto"/>
                <w:sz w:val="24"/>
                <w:highlight w:val="none"/>
              </w:rPr>
            </w:pPr>
          </w:p>
        </w:tc>
      </w:tr>
    </w:tbl>
    <w:p w14:paraId="14A5A3C6">
      <w:pPr>
        <w:widowControl/>
        <w:adjustRightInd/>
        <w:ind w:left="420" w:leftChars="200"/>
        <w:jc w:val="left"/>
        <w:rPr>
          <w:rFonts w:hint="eastAsia" w:hAnsi="宋体" w:cs="宋体"/>
          <w:color w:val="auto"/>
          <w:kern w:val="0"/>
          <w:sz w:val="24"/>
          <w:highlight w:val="none"/>
        </w:rPr>
      </w:pPr>
      <w:r>
        <w:rPr>
          <w:rFonts w:hint="eastAsia" w:hAnsi="宋体" w:cs="宋体"/>
          <w:color w:val="auto"/>
          <w:kern w:val="0"/>
          <w:sz w:val="24"/>
          <w:highlight w:val="none"/>
        </w:rPr>
        <w:t>备注：本表格供参考，供应商可根据项目实际情况自拟表格。</w:t>
      </w:r>
    </w:p>
    <w:p w14:paraId="1AAA8AAD">
      <w:pPr>
        <w:spacing w:after="120"/>
        <w:ind w:left="1140" w:leftChars="200" w:hanging="720" w:hangingChars="343"/>
        <w:rPr>
          <w:rFonts w:hint="eastAsia" w:hAnsi="宋体" w:cs="宋体"/>
          <w:color w:val="auto"/>
          <w:highlight w:val="none"/>
        </w:rPr>
      </w:pPr>
    </w:p>
    <w:p w14:paraId="5A8EF626">
      <w:pPr>
        <w:spacing w:after="120"/>
        <w:ind w:left="1140" w:leftChars="200" w:hanging="720" w:hangingChars="343"/>
        <w:rPr>
          <w:color w:val="auto"/>
          <w:kern w:val="0"/>
          <w:szCs w:val="20"/>
          <w:highlight w:val="none"/>
        </w:rPr>
      </w:pPr>
    </w:p>
    <w:p w14:paraId="5144A1F3">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860A00B">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4CD8518">
      <w:pPr>
        <w:snapToGrid w:val="0"/>
        <w:spacing w:before="120" w:after="120" w:line="360" w:lineRule="auto"/>
        <w:rPr>
          <w:rFonts w:hint="eastAsia" w:ascii="宋体" w:hAnsi="宋体" w:cs="宋体"/>
          <w:b/>
          <w:color w:val="auto"/>
          <w:sz w:val="32"/>
          <w:szCs w:val="32"/>
          <w:highlight w:val="none"/>
        </w:rPr>
      </w:pPr>
    </w:p>
    <w:p w14:paraId="674F1C73">
      <w:pPr>
        <w:snapToGrid w:val="0"/>
        <w:spacing w:before="120" w:after="120"/>
        <w:ind w:firstLine="643"/>
        <w:rPr>
          <w:rFonts w:hint="eastAsia" w:ascii="宋体" w:hAnsi="宋体" w:cs="宋体"/>
          <w:color w:val="auto"/>
          <w:sz w:val="32"/>
          <w:szCs w:val="32"/>
          <w:highlight w:val="none"/>
        </w:rPr>
        <w:sectPr>
          <w:pgSz w:w="11906" w:h="16838"/>
          <w:pgMar w:top="1247" w:right="1418" w:bottom="1276" w:left="1418" w:header="851" w:footer="992" w:gutter="0"/>
          <w:cols w:space="720" w:num="1"/>
          <w:titlePg/>
          <w:docGrid w:linePitch="312" w:charSpace="0"/>
        </w:sectPr>
      </w:pPr>
    </w:p>
    <w:bookmarkEnd w:id="568"/>
    <w:bookmarkEnd w:id="569"/>
    <w:p w14:paraId="20D71796">
      <w:pPr>
        <w:pStyle w:val="691"/>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bookmarkStart w:id="570" w:name="_Toc30621"/>
      <w:bookmarkStart w:id="571" w:name="_Toc25773"/>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72" w:name="_Hlk101259491"/>
      <w:r>
        <w:rPr>
          <w:rFonts w:hint="eastAsia" w:ascii="宋体" w:hAnsi="宋体" w:eastAsia="宋体" w:cs="宋体"/>
          <w:color w:val="auto"/>
          <w:sz w:val="32"/>
          <w:szCs w:val="32"/>
          <w:highlight w:val="none"/>
        </w:rPr>
        <w:t>（如果有）</w:t>
      </w:r>
      <w:bookmarkEnd w:id="570"/>
      <w:bookmarkEnd w:id="571"/>
      <w:bookmarkEnd w:id="572"/>
    </w:p>
    <w:p w14:paraId="2EBD4BA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652E593">
      <w:pPr>
        <w:pStyle w:val="691"/>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55AE0E91">
      <w:pPr>
        <w:spacing w:line="360" w:lineRule="auto"/>
        <w:ind w:right="420" w:firstLine="3614" w:firstLineChars="1000"/>
        <w:rPr>
          <w:rFonts w:hint="eastAsia" w:ascii="宋体" w:hAnsi="宋体" w:cs="宋体"/>
          <w:b/>
          <w:color w:val="auto"/>
          <w:kern w:val="0"/>
          <w:sz w:val="36"/>
          <w:szCs w:val="36"/>
          <w:highlight w:val="none"/>
        </w:rPr>
      </w:pPr>
    </w:p>
    <w:p w14:paraId="555B082D">
      <w:pPr>
        <w:spacing w:line="360" w:lineRule="auto"/>
        <w:ind w:right="420" w:firstLine="3614" w:firstLineChars="1000"/>
        <w:rPr>
          <w:rFonts w:hint="eastAsia" w:ascii="宋体" w:hAnsi="宋体" w:cs="宋体"/>
          <w:b/>
          <w:color w:val="auto"/>
          <w:kern w:val="0"/>
          <w:sz w:val="36"/>
          <w:szCs w:val="36"/>
          <w:highlight w:val="none"/>
        </w:rPr>
      </w:pPr>
    </w:p>
    <w:p w14:paraId="1A20B5F0">
      <w:pPr>
        <w:spacing w:line="360" w:lineRule="auto"/>
        <w:ind w:right="420" w:firstLine="3614" w:firstLineChars="1000"/>
        <w:rPr>
          <w:rFonts w:hint="eastAsia" w:ascii="宋体" w:hAnsi="宋体" w:cs="宋体"/>
          <w:b/>
          <w:color w:val="auto"/>
          <w:kern w:val="0"/>
          <w:sz w:val="36"/>
          <w:szCs w:val="36"/>
          <w:highlight w:val="none"/>
        </w:rPr>
      </w:pPr>
    </w:p>
    <w:p w14:paraId="744CC5D2">
      <w:pPr>
        <w:spacing w:line="360" w:lineRule="auto"/>
        <w:ind w:right="420" w:firstLine="3614" w:firstLineChars="1000"/>
        <w:rPr>
          <w:rFonts w:hint="eastAsia" w:ascii="宋体" w:hAnsi="宋体" w:cs="宋体"/>
          <w:b/>
          <w:color w:val="auto"/>
          <w:kern w:val="0"/>
          <w:sz w:val="36"/>
          <w:szCs w:val="36"/>
          <w:highlight w:val="none"/>
        </w:rPr>
      </w:pPr>
    </w:p>
    <w:p w14:paraId="1ECC144E">
      <w:pPr>
        <w:spacing w:line="360" w:lineRule="auto"/>
        <w:ind w:right="420" w:firstLine="3614" w:firstLineChars="1000"/>
        <w:rPr>
          <w:rFonts w:hint="eastAsia" w:ascii="宋体" w:hAnsi="宋体" w:cs="宋体"/>
          <w:b/>
          <w:color w:val="auto"/>
          <w:kern w:val="0"/>
          <w:sz w:val="36"/>
          <w:szCs w:val="36"/>
          <w:highlight w:val="none"/>
        </w:rPr>
      </w:pPr>
    </w:p>
    <w:p w14:paraId="3ABA2CC5">
      <w:pPr>
        <w:spacing w:line="360" w:lineRule="auto"/>
        <w:ind w:right="420" w:firstLine="3614" w:firstLineChars="1000"/>
        <w:rPr>
          <w:rFonts w:hint="eastAsia" w:ascii="宋体" w:hAnsi="宋体" w:cs="宋体"/>
          <w:b/>
          <w:color w:val="auto"/>
          <w:kern w:val="0"/>
          <w:sz w:val="36"/>
          <w:szCs w:val="36"/>
          <w:highlight w:val="none"/>
        </w:rPr>
      </w:pPr>
    </w:p>
    <w:p w14:paraId="6B86FAC8">
      <w:pPr>
        <w:spacing w:line="360" w:lineRule="auto"/>
        <w:ind w:right="420" w:firstLine="3614" w:firstLineChars="1000"/>
        <w:rPr>
          <w:rFonts w:hint="eastAsia" w:ascii="宋体" w:hAnsi="宋体" w:cs="宋体"/>
          <w:b/>
          <w:color w:val="auto"/>
          <w:kern w:val="0"/>
          <w:sz w:val="36"/>
          <w:szCs w:val="36"/>
          <w:highlight w:val="none"/>
        </w:rPr>
      </w:pPr>
    </w:p>
    <w:p w14:paraId="0C3EC6EB">
      <w:pPr>
        <w:spacing w:line="360" w:lineRule="auto"/>
        <w:ind w:right="420" w:firstLine="3614" w:firstLineChars="1000"/>
        <w:rPr>
          <w:rFonts w:hint="eastAsia" w:ascii="宋体" w:hAnsi="宋体" w:cs="宋体"/>
          <w:b/>
          <w:color w:val="auto"/>
          <w:kern w:val="0"/>
          <w:sz w:val="36"/>
          <w:szCs w:val="36"/>
          <w:highlight w:val="none"/>
        </w:rPr>
      </w:pPr>
    </w:p>
    <w:p w14:paraId="56F54DFB">
      <w:pPr>
        <w:spacing w:line="360" w:lineRule="auto"/>
        <w:ind w:right="420" w:firstLine="3614" w:firstLineChars="1000"/>
        <w:rPr>
          <w:rFonts w:hint="eastAsia" w:ascii="宋体" w:hAnsi="宋体" w:cs="宋体"/>
          <w:b/>
          <w:color w:val="auto"/>
          <w:kern w:val="0"/>
          <w:sz w:val="36"/>
          <w:szCs w:val="36"/>
          <w:highlight w:val="none"/>
        </w:rPr>
      </w:pPr>
    </w:p>
    <w:p w14:paraId="68BE74FF">
      <w:pPr>
        <w:spacing w:line="360" w:lineRule="auto"/>
        <w:ind w:right="420" w:firstLine="3614" w:firstLineChars="1000"/>
        <w:rPr>
          <w:rFonts w:hint="eastAsia" w:ascii="宋体" w:hAnsi="宋体" w:cs="宋体"/>
          <w:b/>
          <w:color w:val="auto"/>
          <w:kern w:val="0"/>
          <w:sz w:val="36"/>
          <w:szCs w:val="36"/>
          <w:highlight w:val="none"/>
        </w:rPr>
      </w:pPr>
    </w:p>
    <w:p w14:paraId="073A351B">
      <w:pPr>
        <w:spacing w:line="360" w:lineRule="auto"/>
        <w:ind w:right="420" w:firstLine="3614" w:firstLineChars="1000"/>
        <w:rPr>
          <w:rFonts w:hint="eastAsia" w:ascii="宋体" w:hAnsi="宋体" w:cs="宋体"/>
          <w:b/>
          <w:color w:val="auto"/>
          <w:kern w:val="0"/>
          <w:sz w:val="36"/>
          <w:szCs w:val="36"/>
          <w:highlight w:val="none"/>
        </w:rPr>
      </w:pPr>
    </w:p>
    <w:p w14:paraId="726411A4">
      <w:pPr>
        <w:spacing w:line="360" w:lineRule="auto"/>
        <w:ind w:right="420" w:firstLine="3614" w:firstLineChars="1000"/>
        <w:rPr>
          <w:rFonts w:hint="eastAsia" w:ascii="宋体" w:hAnsi="宋体" w:cs="宋体"/>
          <w:b/>
          <w:color w:val="auto"/>
          <w:kern w:val="0"/>
          <w:sz w:val="36"/>
          <w:szCs w:val="36"/>
          <w:highlight w:val="none"/>
        </w:rPr>
      </w:pPr>
    </w:p>
    <w:p w14:paraId="63061046">
      <w:pPr>
        <w:spacing w:line="360" w:lineRule="auto"/>
        <w:ind w:right="420" w:firstLine="3614" w:firstLineChars="1000"/>
        <w:rPr>
          <w:rFonts w:hint="eastAsia" w:ascii="宋体" w:hAnsi="宋体" w:cs="宋体"/>
          <w:b/>
          <w:color w:val="auto"/>
          <w:kern w:val="0"/>
          <w:sz w:val="36"/>
          <w:szCs w:val="36"/>
          <w:highlight w:val="none"/>
        </w:rPr>
      </w:pPr>
    </w:p>
    <w:p w14:paraId="2F17E98E">
      <w:pPr>
        <w:spacing w:line="360" w:lineRule="auto"/>
        <w:ind w:right="420" w:firstLine="3614" w:firstLineChars="1000"/>
        <w:rPr>
          <w:rFonts w:hint="eastAsia" w:ascii="宋体" w:hAnsi="宋体" w:cs="宋体"/>
          <w:b/>
          <w:color w:val="auto"/>
          <w:kern w:val="0"/>
          <w:sz w:val="36"/>
          <w:szCs w:val="36"/>
          <w:highlight w:val="none"/>
        </w:rPr>
      </w:pPr>
    </w:p>
    <w:p w14:paraId="0DBAC19B">
      <w:pPr>
        <w:spacing w:line="360" w:lineRule="auto"/>
        <w:ind w:right="420" w:firstLine="3614" w:firstLineChars="1000"/>
        <w:rPr>
          <w:rFonts w:hint="eastAsia" w:ascii="宋体" w:hAnsi="宋体" w:cs="宋体"/>
          <w:b/>
          <w:color w:val="auto"/>
          <w:kern w:val="0"/>
          <w:sz w:val="36"/>
          <w:szCs w:val="36"/>
          <w:highlight w:val="none"/>
        </w:rPr>
      </w:pPr>
    </w:p>
    <w:p w14:paraId="60972970">
      <w:pPr>
        <w:spacing w:line="360" w:lineRule="auto"/>
        <w:ind w:right="420" w:firstLine="3614" w:firstLineChars="1000"/>
        <w:rPr>
          <w:rFonts w:hint="eastAsia" w:ascii="宋体" w:hAnsi="宋体" w:cs="宋体"/>
          <w:b/>
          <w:color w:val="auto"/>
          <w:kern w:val="0"/>
          <w:sz w:val="36"/>
          <w:szCs w:val="36"/>
          <w:highlight w:val="none"/>
        </w:rPr>
      </w:pPr>
    </w:p>
    <w:p w14:paraId="45180344">
      <w:pPr>
        <w:pageBreakBefore/>
        <w:widowControl/>
        <w:tabs>
          <w:tab w:val="left" w:pos="432"/>
        </w:tabs>
        <w:spacing w:before="100" w:beforeAutospacing="1" w:after="100" w:afterAutospacing="1" w:line="360" w:lineRule="auto"/>
        <w:jc w:val="center"/>
        <w:rPr>
          <w:rFonts w:hint="eastAsia" w:ascii="宋体" w:hAnsi="宋体" w:cs="宋体"/>
          <w:b/>
          <w:bCs/>
          <w:color w:val="auto"/>
          <w:highlight w:val="none"/>
        </w:rPr>
      </w:pPr>
      <w:bookmarkStart w:id="573" w:name="_Toc465665161"/>
      <w:r>
        <w:rPr>
          <w:rFonts w:hint="eastAsia" w:ascii="宋体" w:hAnsi="宋体" w:cs="宋体"/>
          <w:b/>
          <w:bCs/>
          <w:color w:val="auto"/>
          <w:highlight w:val="none"/>
        </w:rPr>
        <w:t>附件</w:t>
      </w:r>
      <w:bookmarkEnd w:id="573"/>
    </w:p>
    <w:p w14:paraId="36BC7C7D">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16E77F3">
      <w:pPr>
        <w:spacing w:line="360" w:lineRule="auto"/>
        <w:jc w:val="center"/>
        <w:rPr>
          <w:rFonts w:hint="eastAsia" w:ascii="宋体" w:hAnsi="宋体" w:cs="宋体"/>
          <w:b/>
          <w:color w:val="auto"/>
          <w:spacing w:val="6"/>
          <w:sz w:val="32"/>
          <w:szCs w:val="32"/>
          <w:highlight w:val="none"/>
        </w:rPr>
      </w:pPr>
      <w:bookmarkStart w:id="574" w:name="OLE_LINK13"/>
      <w:bookmarkStart w:id="575" w:name="OLE_LINK14"/>
      <w:r>
        <w:rPr>
          <w:rFonts w:hint="eastAsia" w:ascii="宋体" w:hAnsi="宋体" w:cs="宋体"/>
          <w:b/>
          <w:color w:val="auto"/>
          <w:spacing w:val="6"/>
          <w:sz w:val="32"/>
          <w:szCs w:val="32"/>
          <w:highlight w:val="none"/>
        </w:rPr>
        <w:t>残疾人福利性单位声明函</w:t>
      </w:r>
    </w:p>
    <w:bookmarkEnd w:id="574"/>
    <w:bookmarkEnd w:id="575"/>
    <w:p w14:paraId="4EF53AD5">
      <w:pPr>
        <w:spacing w:line="360" w:lineRule="auto"/>
        <w:rPr>
          <w:rFonts w:hint="eastAsia" w:ascii="宋体" w:hAnsi="宋体" w:cs="宋体"/>
          <w:b/>
          <w:color w:val="auto"/>
          <w:spacing w:val="6"/>
          <w:sz w:val="30"/>
          <w:szCs w:val="30"/>
          <w:highlight w:val="none"/>
        </w:rPr>
      </w:pPr>
    </w:p>
    <w:p w14:paraId="1CE234D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233134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A8B5F82">
      <w:pPr>
        <w:spacing w:line="360" w:lineRule="auto"/>
        <w:ind w:firstLine="480" w:firstLineChars="200"/>
        <w:rPr>
          <w:rFonts w:hint="eastAsia" w:ascii="宋体" w:hAnsi="宋体" w:cs="宋体"/>
          <w:color w:val="auto"/>
          <w:sz w:val="24"/>
          <w:highlight w:val="none"/>
        </w:rPr>
      </w:pPr>
    </w:p>
    <w:p w14:paraId="592F0C30">
      <w:pPr>
        <w:spacing w:line="360" w:lineRule="auto"/>
        <w:ind w:firstLine="480" w:firstLineChars="200"/>
        <w:rPr>
          <w:rFonts w:hint="eastAsia" w:ascii="宋体" w:hAnsi="宋体" w:cs="宋体"/>
          <w:color w:val="auto"/>
          <w:sz w:val="24"/>
          <w:highlight w:val="none"/>
        </w:rPr>
      </w:pPr>
    </w:p>
    <w:p w14:paraId="4D0C46F8">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10E8FCDA">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1DA97DEC">
      <w:pPr>
        <w:spacing w:line="360" w:lineRule="auto"/>
        <w:ind w:firstLine="480" w:firstLineChars="200"/>
        <w:rPr>
          <w:rFonts w:hint="eastAsia" w:ascii="宋体" w:hAnsi="宋体" w:cs="宋体"/>
          <w:color w:val="auto"/>
          <w:sz w:val="24"/>
          <w:highlight w:val="none"/>
        </w:rPr>
      </w:pPr>
    </w:p>
    <w:p w14:paraId="72025CB4">
      <w:pPr>
        <w:spacing w:line="360" w:lineRule="auto"/>
        <w:ind w:firstLine="420" w:firstLineChars="200"/>
        <w:rPr>
          <w:rFonts w:hint="eastAsia" w:ascii="宋体" w:hAnsi="宋体" w:cs="宋体"/>
          <w:color w:val="auto"/>
          <w:highlight w:val="none"/>
        </w:rPr>
      </w:pPr>
    </w:p>
    <w:p w14:paraId="7D9EDAC2">
      <w:pPr>
        <w:spacing w:line="360" w:lineRule="auto"/>
        <w:ind w:firstLine="420" w:firstLineChars="200"/>
        <w:rPr>
          <w:rFonts w:hint="eastAsia" w:ascii="宋体" w:hAnsi="宋体" w:cs="宋体"/>
          <w:color w:val="auto"/>
          <w:highlight w:val="none"/>
        </w:rPr>
      </w:pPr>
    </w:p>
    <w:p w14:paraId="07A73CE5">
      <w:pPr>
        <w:spacing w:line="360" w:lineRule="auto"/>
        <w:ind w:firstLine="420" w:firstLineChars="200"/>
        <w:rPr>
          <w:rFonts w:hint="eastAsia" w:ascii="宋体" w:hAnsi="宋体" w:cs="宋体"/>
          <w:color w:val="auto"/>
          <w:highlight w:val="none"/>
        </w:rPr>
      </w:pPr>
    </w:p>
    <w:p w14:paraId="2E052032">
      <w:pPr>
        <w:spacing w:line="360" w:lineRule="auto"/>
        <w:ind w:firstLine="420" w:firstLineChars="200"/>
        <w:rPr>
          <w:rFonts w:hint="eastAsia" w:ascii="宋体" w:hAnsi="宋体" w:cs="宋体"/>
          <w:color w:val="auto"/>
          <w:highlight w:val="none"/>
        </w:rPr>
      </w:pPr>
    </w:p>
    <w:p w14:paraId="4C7D16B7">
      <w:pPr>
        <w:spacing w:line="360" w:lineRule="auto"/>
        <w:rPr>
          <w:rFonts w:hint="eastAsia" w:ascii="宋体" w:hAnsi="宋体" w:cs="宋体"/>
          <w:b/>
          <w:color w:val="auto"/>
          <w:sz w:val="24"/>
          <w:highlight w:val="none"/>
        </w:rPr>
      </w:pPr>
    </w:p>
    <w:p w14:paraId="3EA7553D">
      <w:pPr>
        <w:spacing w:line="360" w:lineRule="auto"/>
        <w:rPr>
          <w:rFonts w:hint="eastAsia" w:ascii="宋体" w:hAnsi="宋体" w:cs="宋体"/>
          <w:b/>
          <w:color w:val="auto"/>
          <w:sz w:val="24"/>
          <w:highlight w:val="none"/>
        </w:rPr>
      </w:pPr>
    </w:p>
    <w:p w14:paraId="11BC0C62">
      <w:pPr>
        <w:spacing w:line="360" w:lineRule="auto"/>
        <w:rPr>
          <w:rFonts w:hint="eastAsia" w:ascii="宋体" w:hAnsi="宋体" w:cs="宋体"/>
          <w:b/>
          <w:color w:val="auto"/>
          <w:sz w:val="24"/>
          <w:highlight w:val="none"/>
        </w:rPr>
      </w:pPr>
    </w:p>
    <w:p w14:paraId="29104DBD">
      <w:pPr>
        <w:spacing w:line="360" w:lineRule="auto"/>
        <w:rPr>
          <w:rFonts w:hint="eastAsia" w:ascii="宋体" w:hAnsi="宋体" w:cs="宋体"/>
          <w:b/>
          <w:color w:val="auto"/>
          <w:sz w:val="24"/>
          <w:highlight w:val="none"/>
        </w:rPr>
      </w:pPr>
    </w:p>
    <w:p w14:paraId="05DF4287">
      <w:pPr>
        <w:spacing w:line="360" w:lineRule="auto"/>
        <w:rPr>
          <w:rFonts w:hint="eastAsia" w:ascii="宋体" w:hAnsi="宋体" w:cs="宋体"/>
          <w:b/>
          <w:color w:val="auto"/>
          <w:sz w:val="24"/>
          <w:highlight w:val="none"/>
        </w:rPr>
      </w:pPr>
    </w:p>
    <w:p w14:paraId="3B3C06A1">
      <w:pPr>
        <w:spacing w:line="360" w:lineRule="auto"/>
        <w:rPr>
          <w:rFonts w:hint="eastAsia" w:ascii="宋体" w:hAnsi="宋体" w:cs="宋体"/>
          <w:b/>
          <w:color w:val="auto"/>
          <w:sz w:val="24"/>
          <w:highlight w:val="none"/>
        </w:rPr>
      </w:pPr>
    </w:p>
    <w:p w14:paraId="61B3ABE8">
      <w:pPr>
        <w:spacing w:line="360" w:lineRule="auto"/>
        <w:rPr>
          <w:rFonts w:hint="eastAsia" w:ascii="宋体" w:hAnsi="宋体" w:cs="宋体"/>
          <w:b/>
          <w:color w:val="auto"/>
          <w:sz w:val="24"/>
          <w:highlight w:val="none"/>
        </w:rPr>
      </w:pPr>
    </w:p>
    <w:p w14:paraId="67D4C996">
      <w:pPr>
        <w:spacing w:line="360" w:lineRule="auto"/>
        <w:rPr>
          <w:rFonts w:hint="eastAsia" w:ascii="宋体" w:hAnsi="宋体" w:cs="宋体"/>
          <w:b/>
          <w:color w:val="auto"/>
          <w:sz w:val="24"/>
          <w:highlight w:val="none"/>
        </w:rPr>
      </w:pPr>
    </w:p>
    <w:p w14:paraId="01D78DA8">
      <w:pPr>
        <w:spacing w:line="360" w:lineRule="auto"/>
        <w:rPr>
          <w:rFonts w:hint="eastAsia" w:ascii="宋体" w:hAnsi="宋体" w:cs="宋体"/>
          <w:b/>
          <w:color w:val="auto"/>
          <w:sz w:val="24"/>
          <w:highlight w:val="none"/>
        </w:rPr>
      </w:pPr>
    </w:p>
    <w:p w14:paraId="54B7FE84">
      <w:pPr>
        <w:spacing w:line="360" w:lineRule="auto"/>
        <w:jc w:val="left"/>
        <w:rPr>
          <w:rFonts w:hint="eastAsia" w:ascii="宋体" w:hAnsi="宋体" w:cs="宋体"/>
          <w:b/>
          <w:color w:val="auto"/>
          <w:spacing w:val="6"/>
          <w:sz w:val="32"/>
          <w:szCs w:val="32"/>
          <w:highlight w:val="none"/>
        </w:rPr>
      </w:pPr>
    </w:p>
    <w:p w14:paraId="6E8C2338">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3F30A3A">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ECEE0C3">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5F72FC30">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11B08C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44DA33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CCB1CC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900F0C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19EE00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E159CBB">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0B6D790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B088E3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E66666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AD165F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招标文件获取日期：</w:t>
      </w:r>
      <w:r>
        <w:rPr>
          <w:rFonts w:hint="eastAsia" w:ascii="宋体" w:hAnsi="宋体" w:cs="宋体"/>
          <w:color w:val="auto"/>
          <w:sz w:val="24"/>
          <w:highlight w:val="none"/>
          <w:u w:val="dotted"/>
        </w:rPr>
        <w:t xml:space="preserve">                                           </w:t>
      </w:r>
    </w:p>
    <w:p w14:paraId="29873156">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1FB32C8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AD9B7DE">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18CE2B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73DBD58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DE6336B">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53BDDE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4EF989F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3B7B745A">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AD3AC10">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7F0875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58AF96F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032A5A4F">
      <w:pPr>
        <w:spacing w:line="360" w:lineRule="auto"/>
        <w:jc w:val="center"/>
        <w:rPr>
          <w:rFonts w:hint="eastAsia" w:ascii="宋体" w:hAnsi="宋体" w:cs="宋体"/>
          <w:b/>
          <w:bCs/>
          <w:color w:val="auto"/>
          <w:sz w:val="24"/>
          <w:highlight w:val="none"/>
        </w:rPr>
      </w:pPr>
    </w:p>
    <w:p w14:paraId="71A6AC84">
      <w:pPr>
        <w:spacing w:line="360" w:lineRule="auto"/>
        <w:rPr>
          <w:rFonts w:hint="eastAsia" w:ascii="宋体" w:hAnsi="宋体" w:cs="宋体"/>
          <w:b/>
          <w:color w:val="auto"/>
          <w:sz w:val="24"/>
          <w:highlight w:val="none"/>
        </w:rPr>
      </w:pPr>
    </w:p>
    <w:p w14:paraId="2745ADDB">
      <w:pPr>
        <w:spacing w:line="360" w:lineRule="auto"/>
        <w:rPr>
          <w:rFonts w:hint="eastAsia" w:ascii="宋体" w:hAnsi="宋体" w:cs="宋体"/>
          <w:b/>
          <w:color w:val="auto"/>
          <w:sz w:val="24"/>
          <w:highlight w:val="none"/>
        </w:rPr>
      </w:pPr>
    </w:p>
    <w:p w14:paraId="55813350">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165CE35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B72658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B34C7C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142DB6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23DA84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A74AA9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76C2C83">
      <w:pPr>
        <w:widowControl/>
        <w:spacing w:line="360" w:lineRule="auto"/>
        <w:ind w:firstLine="600" w:firstLineChars="200"/>
        <w:jc w:val="left"/>
        <w:rPr>
          <w:rFonts w:hint="eastAsia" w:ascii="宋体" w:hAnsi="宋体" w:cs="宋体"/>
          <w:color w:val="auto"/>
          <w:sz w:val="30"/>
          <w:szCs w:val="30"/>
          <w:highlight w:val="none"/>
        </w:rPr>
      </w:pPr>
    </w:p>
    <w:p w14:paraId="0E40C856">
      <w:pPr>
        <w:spacing w:line="360" w:lineRule="auto"/>
        <w:jc w:val="center"/>
        <w:rPr>
          <w:rFonts w:hint="eastAsia" w:ascii="宋体" w:hAnsi="宋体" w:cs="宋体"/>
          <w:b/>
          <w:color w:val="auto"/>
          <w:spacing w:val="6"/>
          <w:sz w:val="32"/>
          <w:szCs w:val="32"/>
          <w:highlight w:val="none"/>
        </w:rPr>
      </w:pPr>
    </w:p>
    <w:p w14:paraId="22808664">
      <w:pPr>
        <w:spacing w:line="360" w:lineRule="auto"/>
        <w:jc w:val="center"/>
        <w:rPr>
          <w:rFonts w:hint="eastAsia" w:ascii="宋体" w:hAnsi="宋体" w:cs="宋体"/>
          <w:b/>
          <w:color w:val="auto"/>
          <w:spacing w:val="6"/>
          <w:sz w:val="32"/>
          <w:szCs w:val="32"/>
          <w:highlight w:val="none"/>
        </w:rPr>
      </w:pPr>
    </w:p>
    <w:p w14:paraId="446A1F21">
      <w:pPr>
        <w:spacing w:line="360" w:lineRule="auto"/>
        <w:jc w:val="center"/>
        <w:rPr>
          <w:rFonts w:hint="eastAsia" w:ascii="宋体" w:hAnsi="宋体" w:cs="宋体"/>
          <w:b/>
          <w:color w:val="auto"/>
          <w:spacing w:val="6"/>
          <w:sz w:val="32"/>
          <w:szCs w:val="32"/>
          <w:highlight w:val="none"/>
        </w:rPr>
      </w:pPr>
    </w:p>
    <w:p w14:paraId="55B7155D">
      <w:pPr>
        <w:spacing w:line="360" w:lineRule="auto"/>
        <w:jc w:val="center"/>
        <w:rPr>
          <w:rFonts w:hint="eastAsia" w:ascii="宋体" w:hAnsi="宋体" w:cs="宋体"/>
          <w:b/>
          <w:color w:val="auto"/>
          <w:spacing w:val="6"/>
          <w:sz w:val="32"/>
          <w:szCs w:val="32"/>
          <w:highlight w:val="none"/>
        </w:rPr>
      </w:pPr>
    </w:p>
    <w:p w14:paraId="725D2DEA">
      <w:pPr>
        <w:spacing w:line="360" w:lineRule="auto"/>
        <w:jc w:val="center"/>
        <w:rPr>
          <w:rFonts w:hint="eastAsia" w:ascii="宋体" w:hAnsi="宋体" w:cs="宋体"/>
          <w:b/>
          <w:color w:val="auto"/>
          <w:spacing w:val="6"/>
          <w:sz w:val="32"/>
          <w:szCs w:val="32"/>
          <w:highlight w:val="none"/>
        </w:rPr>
      </w:pPr>
    </w:p>
    <w:p w14:paraId="65EB3730">
      <w:pPr>
        <w:spacing w:line="360" w:lineRule="auto"/>
        <w:jc w:val="center"/>
        <w:rPr>
          <w:rFonts w:hint="eastAsia" w:ascii="宋体" w:hAnsi="宋体" w:cs="宋体"/>
          <w:b/>
          <w:color w:val="auto"/>
          <w:spacing w:val="6"/>
          <w:sz w:val="32"/>
          <w:szCs w:val="32"/>
          <w:highlight w:val="none"/>
        </w:rPr>
      </w:pPr>
    </w:p>
    <w:p w14:paraId="15CABD50">
      <w:pPr>
        <w:spacing w:line="360" w:lineRule="auto"/>
        <w:jc w:val="center"/>
        <w:rPr>
          <w:rFonts w:hint="eastAsia" w:ascii="宋体" w:hAnsi="宋体" w:cs="宋体"/>
          <w:b/>
          <w:color w:val="auto"/>
          <w:spacing w:val="6"/>
          <w:sz w:val="32"/>
          <w:szCs w:val="32"/>
          <w:highlight w:val="none"/>
        </w:rPr>
      </w:pPr>
    </w:p>
    <w:p w14:paraId="05F33367">
      <w:pPr>
        <w:spacing w:line="360" w:lineRule="auto"/>
        <w:jc w:val="center"/>
        <w:rPr>
          <w:rFonts w:hint="eastAsia" w:ascii="宋体" w:hAnsi="宋体" w:cs="宋体"/>
          <w:b/>
          <w:color w:val="auto"/>
          <w:spacing w:val="6"/>
          <w:sz w:val="32"/>
          <w:szCs w:val="32"/>
          <w:highlight w:val="none"/>
        </w:rPr>
      </w:pPr>
    </w:p>
    <w:p w14:paraId="54B29D9A">
      <w:pPr>
        <w:spacing w:line="360" w:lineRule="auto"/>
        <w:jc w:val="center"/>
        <w:rPr>
          <w:rFonts w:hint="eastAsia" w:ascii="宋体" w:hAnsi="宋体" w:cs="宋体"/>
          <w:b/>
          <w:color w:val="auto"/>
          <w:spacing w:val="6"/>
          <w:sz w:val="32"/>
          <w:szCs w:val="32"/>
          <w:highlight w:val="none"/>
        </w:rPr>
      </w:pPr>
    </w:p>
    <w:p w14:paraId="46A8AAE6">
      <w:pPr>
        <w:spacing w:line="360" w:lineRule="auto"/>
        <w:jc w:val="center"/>
        <w:rPr>
          <w:rFonts w:hint="eastAsia" w:ascii="宋体" w:hAnsi="宋体" w:cs="宋体"/>
          <w:b/>
          <w:color w:val="auto"/>
          <w:spacing w:val="6"/>
          <w:sz w:val="32"/>
          <w:szCs w:val="32"/>
          <w:highlight w:val="none"/>
        </w:rPr>
      </w:pPr>
    </w:p>
    <w:p w14:paraId="48F41F19">
      <w:pPr>
        <w:spacing w:line="360" w:lineRule="auto"/>
        <w:jc w:val="center"/>
        <w:rPr>
          <w:rFonts w:hint="eastAsia" w:ascii="宋体" w:hAnsi="宋体" w:cs="宋体"/>
          <w:b/>
          <w:color w:val="auto"/>
          <w:spacing w:val="6"/>
          <w:sz w:val="32"/>
          <w:szCs w:val="32"/>
          <w:highlight w:val="none"/>
        </w:rPr>
      </w:pPr>
    </w:p>
    <w:p w14:paraId="2DAB9572">
      <w:pPr>
        <w:spacing w:line="360" w:lineRule="auto"/>
        <w:jc w:val="center"/>
        <w:rPr>
          <w:rFonts w:hint="eastAsia" w:ascii="宋体" w:hAnsi="宋体" w:cs="宋体"/>
          <w:b/>
          <w:color w:val="auto"/>
          <w:spacing w:val="6"/>
          <w:sz w:val="32"/>
          <w:szCs w:val="32"/>
          <w:highlight w:val="none"/>
        </w:rPr>
      </w:pPr>
    </w:p>
    <w:p w14:paraId="504F3D7A">
      <w:pPr>
        <w:spacing w:line="360" w:lineRule="auto"/>
        <w:jc w:val="left"/>
        <w:rPr>
          <w:rFonts w:hint="eastAsia" w:ascii="宋体" w:hAnsi="宋体" w:cs="宋体"/>
          <w:b/>
          <w:color w:val="auto"/>
          <w:spacing w:val="6"/>
          <w:sz w:val="32"/>
          <w:szCs w:val="32"/>
          <w:highlight w:val="none"/>
        </w:rPr>
      </w:pPr>
    </w:p>
    <w:p w14:paraId="0C625B58">
      <w:pPr>
        <w:spacing w:line="360" w:lineRule="auto"/>
        <w:jc w:val="left"/>
        <w:rPr>
          <w:rFonts w:hint="eastAsia" w:ascii="宋体" w:hAnsi="宋体" w:cs="宋体"/>
          <w:b/>
          <w:color w:val="auto"/>
          <w:spacing w:val="6"/>
          <w:sz w:val="32"/>
          <w:szCs w:val="32"/>
          <w:highlight w:val="none"/>
        </w:rPr>
      </w:pPr>
    </w:p>
    <w:p w14:paraId="086F894C">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B657EE6">
      <w:pPr>
        <w:spacing w:line="360" w:lineRule="auto"/>
        <w:jc w:val="center"/>
        <w:rPr>
          <w:rFonts w:hint="eastAsia" w:ascii="宋体" w:hAnsi="宋体" w:cs="宋体"/>
          <w:b/>
          <w:color w:val="auto"/>
          <w:sz w:val="24"/>
          <w:highlight w:val="none"/>
        </w:rPr>
      </w:pPr>
    </w:p>
    <w:p w14:paraId="5D0D454B">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424B426">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62F28687">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45E7AC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B30B54">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E359887">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452A19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752229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1DE815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5CEB9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843533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5984B3B">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5C3838B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5274059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463686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DFADB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180EA8">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6B86796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DA3DA3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D7FE214">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5C06BB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EE252C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招标文件公告：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20A9C7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E6F7007">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7D7C97D6">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3984CC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99DD08C">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D08D411">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3FED21B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342A7EB">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F5D4BEC">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4EA6FA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57BF928">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0EED3DF">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330F6467">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227195B9">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6438E675">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C0B3EC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35BBC72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6E0325B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3D24EC1D">
      <w:pPr>
        <w:spacing w:line="360" w:lineRule="auto"/>
        <w:rPr>
          <w:rFonts w:hint="eastAsia" w:ascii="宋体" w:hAnsi="宋体" w:cs="宋体"/>
          <w:b/>
          <w:color w:val="auto"/>
          <w:sz w:val="24"/>
          <w:highlight w:val="none"/>
        </w:rPr>
      </w:pPr>
    </w:p>
    <w:p w14:paraId="794FED43">
      <w:pPr>
        <w:spacing w:line="360" w:lineRule="auto"/>
        <w:rPr>
          <w:rFonts w:hint="eastAsia" w:ascii="宋体" w:hAnsi="宋体" w:cs="宋体"/>
          <w:b/>
          <w:color w:val="auto"/>
          <w:sz w:val="24"/>
          <w:highlight w:val="none"/>
        </w:rPr>
      </w:pPr>
    </w:p>
    <w:p w14:paraId="1FF94F5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57D820A2">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57381A6">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9A5A3B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C7F139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A0E0F6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3E8FCA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754F615">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17ACE0E">
      <w:pPr>
        <w:spacing w:line="360" w:lineRule="auto"/>
        <w:rPr>
          <w:rFonts w:hint="eastAsia" w:ascii="宋体" w:hAnsi="宋体" w:cs="宋体"/>
          <w:b/>
          <w:color w:val="auto"/>
          <w:sz w:val="24"/>
          <w:highlight w:val="none"/>
        </w:rPr>
      </w:pPr>
    </w:p>
    <w:p w14:paraId="3B097FF0">
      <w:pPr>
        <w:autoSpaceDE w:val="0"/>
        <w:autoSpaceDN w:val="0"/>
        <w:jc w:val="center"/>
        <w:rPr>
          <w:rFonts w:hint="eastAsia" w:ascii="宋体" w:hAnsi="宋体" w:cs="宋体"/>
          <w:b/>
          <w:color w:val="auto"/>
          <w:spacing w:val="6"/>
          <w:sz w:val="32"/>
          <w:szCs w:val="32"/>
          <w:highlight w:val="none"/>
        </w:rPr>
      </w:pPr>
    </w:p>
    <w:p w14:paraId="09536279">
      <w:pPr>
        <w:autoSpaceDE w:val="0"/>
        <w:autoSpaceDN w:val="0"/>
        <w:jc w:val="center"/>
        <w:rPr>
          <w:rFonts w:hint="eastAsia" w:ascii="宋体" w:hAnsi="宋体" w:cs="宋体"/>
          <w:b/>
          <w:color w:val="auto"/>
          <w:spacing w:val="6"/>
          <w:sz w:val="32"/>
          <w:szCs w:val="32"/>
          <w:highlight w:val="none"/>
        </w:rPr>
      </w:pPr>
    </w:p>
    <w:p w14:paraId="1F6600E3">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84CB9C2">
      <w:pPr>
        <w:spacing w:line="360" w:lineRule="auto"/>
        <w:rPr>
          <w:rFonts w:hint="eastAsia" w:ascii="宋体" w:hAnsi="宋体" w:cs="宋体"/>
          <w:color w:val="auto"/>
          <w:sz w:val="24"/>
          <w:highlight w:val="none"/>
          <w:u w:val="single"/>
        </w:rPr>
      </w:pPr>
    </w:p>
    <w:p w14:paraId="2E205B18">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（采购人）、（采购代理机构）：</w:t>
      </w:r>
    </w:p>
    <w:p w14:paraId="4E1D472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F3E500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737AAD2A">
      <w:pPr>
        <w:spacing w:line="360" w:lineRule="auto"/>
        <w:ind w:firstLine="494"/>
        <w:rPr>
          <w:rFonts w:hint="eastAsia" w:ascii="宋体" w:hAnsi="宋体" w:cs="宋体"/>
          <w:color w:val="auto"/>
          <w:sz w:val="24"/>
          <w:highlight w:val="none"/>
        </w:rPr>
      </w:pPr>
    </w:p>
    <w:p w14:paraId="18BE1B98">
      <w:pPr>
        <w:spacing w:line="360" w:lineRule="auto"/>
        <w:ind w:firstLine="494"/>
        <w:rPr>
          <w:rFonts w:hint="eastAsia" w:ascii="宋体" w:hAnsi="宋体" w:cs="宋体"/>
          <w:color w:val="auto"/>
          <w:sz w:val="24"/>
          <w:highlight w:val="none"/>
        </w:rPr>
      </w:pPr>
    </w:p>
    <w:p w14:paraId="085D209A">
      <w:pPr>
        <w:spacing w:line="360" w:lineRule="auto"/>
        <w:ind w:firstLine="494"/>
        <w:rPr>
          <w:rFonts w:hint="eastAsia" w:ascii="宋体" w:hAnsi="宋体" w:cs="宋体"/>
          <w:color w:val="auto"/>
          <w:sz w:val="24"/>
          <w:highlight w:val="none"/>
        </w:rPr>
      </w:pPr>
    </w:p>
    <w:p w14:paraId="7A39D5B4">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19BFBE17">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6E27BF6F">
      <w:pPr>
        <w:rPr>
          <w:rFonts w:hint="eastAsia" w:ascii="宋体" w:hAnsi="宋体" w:cs="宋体"/>
          <w:color w:val="auto"/>
          <w:sz w:val="24"/>
          <w:highlight w:val="none"/>
        </w:rPr>
      </w:pPr>
      <w:r>
        <w:rPr>
          <w:rFonts w:hint="eastAsia" w:ascii="宋体" w:hAnsi="宋体" w:cs="宋体"/>
          <w:b/>
          <w:bCs/>
          <w:color w:val="auto"/>
          <w:sz w:val="24"/>
          <w:highlight w:val="none"/>
        </w:rPr>
        <w:t>附：</w:t>
      </w:r>
    </w:p>
    <w:p w14:paraId="5265694C">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74D6DE55">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74D6DE55">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0583C60D">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0583C60D">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719C1B77">
      <w:pPr>
        <w:autoSpaceDE w:val="0"/>
        <w:autoSpaceDN w:val="0"/>
        <w:jc w:val="center"/>
        <w:rPr>
          <w:rFonts w:hint="eastAsia" w:ascii="宋体" w:hAnsi="宋体" w:cs="宋体"/>
          <w:b/>
          <w:color w:val="auto"/>
          <w:spacing w:val="6"/>
          <w:sz w:val="32"/>
          <w:szCs w:val="32"/>
          <w:highlight w:val="none"/>
        </w:rPr>
      </w:pPr>
    </w:p>
    <w:p w14:paraId="3D8CA383">
      <w:pPr>
        <w:autoSpaceDE w:val="0"/>
        <w:autoSpaceDN w:val="0"/>
        <w:jc w:val="center"/>
        <w:rPr>
          <w:rFonts w:hint="eastAsia" w:ascii="宋体" w:hAnsi="宋体" w:cs="宋体"/>
          <w:b/>
          <w:color w:val="auto"/>
          <w:spacing w:val="6"/>
          <w:sz w:val="32"/>
          <w:szCs w:val="32"/>
          <w:highlight w:val="none"/>
        </w:rPr>
      </w:pPr>
    </w:p>
    <w:p w14:paraId="1888C472">
      <w:pPr>
        <w:autoSpaceDE w:val="0"/>
        <w:autoSpaceDN w:val="0"/>
        <w:jc w:val="center"/>
        <w:rPr>
          <w:rFonts w:hint="eastAsia" w:ascii="宋体" w:hAnsi="宋体" w:cs="宋体"/>
          <w:b/>
          <w:color w:val="auto"/>
          <w:spacing w:val="6"/>
          <w:sz w:val="32"/>
          <w:szCs w:val="32"/>
          <w:highlight w:val="none"/>
        </w:rPr>
      </w:pPr>
    </w:p>
    <w:p w14:paraId="690FFE70">
      <w:pPr>
        <w:autoSpaceDE w:val="0"/>
        <w:autoSpaceDN w:val="0"/>
        <w:jc w:val="center"/>
        <w:rPr>
          <w:rFonts w:hint="eastAsia" w:ascii="宋体" w:hAnsi="宋体" w:cs="宋体"/>
          <w:b/>
          <w:color w:val="auto"/>
          <w:spacing w:val="6"/>
          <w:sz w:val="32"/>
          <w:szCs w:val="32"/>
          <w:highlight w:val="none"/>
        </w:rPr>
      </w:pPr>
    </w:p>
    <w:p w14:paraId="3C943377">
      <w:pPr>
        <w:autoSpaceDE w:val="0"/>
        <w:autoSpaceDN w:val="0"/>
        <w:jc w:val="center"/>
        <w:rPr>
          <w:rFonts w:hint="eastAsia" w:ascii="宋体" w:hAnsi="宋体" w:cs="宋体"/>
          <w:b/>
          <w:color w:val="auto"/>
          <w:spacing w:val="6"/>
          <w:sz w:val="32"/>
          <w:szCs w:val="32"/>
          <w:highlight w:val="none"/>
        </w:rPr>
      </w:pPr>
    </w:p>
    <w:p w14:paraId="0A75FB72">
      <w:pPr>
        <w:autoSpaceDE w:val="0"/>
        <w:autoSpaceDN w:val="0"/>
        <w:jc w:val="center"/>
        <w:rPr>
          <w:rFonts w:hint="eastAsia" w:ascii="宋体" w:hAnsi="宋体" w:cs="宋体"/>
          <w:b/>
          <w:color w:val="auto"/>
          <w:spacing w:val="6"/>
          <w:sz w:val="32"/>
          <w:szCs w:val="32"/>
          <w:highlight w:val="none"/>
        </w:rPr>
      </w:pPr>
    </w:p>
    <w:p w14:paraId="53B1C15A">
      <w:pPr>
        <w:autoSpaceDE w:val="0"/>
        <w:autoSpaceDN w:val="0"/>
        <w:jc w:val="center"/>
        <w:rPr>
          <w:rFonts w:hint="eastAsia" w:ascii="宋体" w:hAnsi="宋体" w:cs="宋体"/>
          <w:b/>
          <w:color w:val="auto"/>
          <w:spacing w:val="6"/>
          <w:sz w:val="32"/>
          <w:szCs w:val="32"/>
          <w:highlight w:val="none"/>
        </w:rPr>
      </w:pPr>
    </w:p>
    <w:p w14:paraId="2CC82C21">
      <w:pPr>
        <w:autoSpaceDE w:val="0"/>
        <w:autoSpaceDN w:val="0"/>
        <w:jc w:val="center"/>
        <w:rPr>
          <w:rFonts w:hint="eastAsia" w:ascii="宋体" w:hAnsi="宋体" w:cs="宋体"/>
          <w:b/>
          <w:color w:val="auto"/>
          <w:spacing w:val="6"/>
          <w:sz w:val="32"/>
          <w:szCs w:val="32"/>
          <w:highlight w:val="none"/>
        </w:rPr>
      </w:pPr>
    </w:p>
    <w:p w14:paraId="572959BE">
      <w:pPr>
        <w:autoSpaceDE w:val="0"/>
        <w:autoSpaceDN w:val="0"/>
        <w:jc w:val="center"/>
        <w:rPr>
          <w:rFonts w:hint="eastAsia" w:ascii="宋体" w:hAnsi="宋体" w:cs="宋体"/>
          <w:b/>
          <w:color w:val="auto"/>
          <w:spacing w:val="6"/>
          <w:sz w:val="32"/>
          <w:szCs w:val="32"/>
          <w:highlight w:val="none"/>
        </w:rPr>
      </w:pPr>
    </w:p>
    <w:p w14:paraId="0F663FB0">
      <w:pPr>
        <w:autoSpaceDE w:val="0"/>
        <w:autoSpaceDN w:val="0"/>
        <w:jc w:val="center"/>
        <w:rPr>
          <w:rFonts w:hint="eastAsia" w:ascii="宋体" w:hAnsi="宋体" w:cs="宋体"/>
          <w:b/>
          <w:color w:val="auto"/>
          <w:spacing w:val="6"/>
          <w:sz w:val="32"/>
          <w:szCs w:val="32"/>
          <w:highlight w:val="none"/>
        </w:rPr>
      </w:pPr>
    </w:p>
    <w:p w14:paraId="5112307F">
      <w:pPr>
        <w:autoSpaceDE w:val="0"/>
        <w:autoSpaceDN w:val="0"/>
        <w:jc w:val="center"/>
        <w:rPr>
          <w:rFonts w:hint="eastAsia" w:ascii="宋体" w:hAnsi="宋体" w:cs="宋体"/>
          <w:b/>
          <w:color w:val="auto"/>
          <w:spacing w:val="6"/>
          <w:sz w:val="32"/>
          <w:szCs w:val="32"/>
          <w:highlight w:val="none"/>
        </w:rPr>
      </w:pPr>
    </w:p>
    <w:p w14:paraId="1F242B96">
      <w:pPr>
        <w:autoSpaceDE w:val="0"/>
        <w:autoSpaceDN w:val="0"/>
        <w:jc w:val="center"/>
        <w:rPr>
          <w:rFonts w:hint="eastAsia" w:ascii="宋体" w:hAnsi="宋体" w:cs="宋体"/>
          <w:b/>
          <w:color w:val="auto"/>
          <w:spacing w:val="6"/>
          <w:sz w:val="32"/>
          <w:szCs w:val="32"/>
          <w:highlight w:val="none"/>
        </w:rPr>
      </w:pPr>
    </w:p>
    <w:p w14:paraId="335048BC">
      <w:pPr>
        <w:autoSpaceDE w:val="0"/>
        <w:autoSpaceDN w:val="0"/>
        <w:jc w:val="center"/>
        <w:rPr>
          <w:rFonts w:hint="eastAsia" w:ascii="宋体" w:hAnsi="宋体" w:cs="宋体"/>
          <w:b/>
          <w:color w:val="auto"/>
          <w:spacing w:val="6"/>
          <w:sz w:val="32"/>
          <w:szCs w:val="32"/>
          <w:highlight w:val="none"/>
        </w:rPr>
      </w:pPr>
    </w:p>
    <w:p w14:paraId="405723D4">
      <w:pPr>
        <w:autoSpaceDE w:val="0"/>
        <w:autoSpaceDN w:val="0"/>
        <w:jc w:val="center"/>
        <w:rPr>
          <w:rFonts w:hint="eastAsia" w:ascii="宋体" w:hAnsi="宋体" w:cs="宋体"/>
          <w:b/>
          <w:color w:val="auto"/>
          <w:spacing w:val="6"/>
          <w:sz w:val="32"/>
          <w:szCs w:val="32"/>
          <w:highlight w:val="none"/>
        </w:rPr>
      </w:pPr>
    </w:p>
    <w:p w14:paraId="29D07AA0">
      <w:pPr>
        <w:autoSpaceDE w:val="0"/>
        <w:autoSpaceDN w:val="0"/>
        <w:jc w:val="center"/>
        <w:rPr>
          <w:rFonts w:hint="eastAsia" w:ascii="宋体" w:hAnsi="宋体" w:cs="宋体"/>
          <w:b/>
          <w:color w:val="auto"/>
          <w:spacing w:val="6"/>
          <w:sz w:val="32"/>
          <w:szCs w:val="32"/>
          <w:highlight w:val="none"/>
        </w:rPr>
      </w:pPr>
    </w:p>
    <w:p w14:paraId="51C1EDD2">
      <w:pPr>
        <w:autoSpaceDE w:val="0"/>
        <w:autoSpaceDN w:val="0"/>
        <w:jc w:val="center"/>
        <w:rPr>
          <w:rFonts w:hint="eastAsia" w:ascii="宋体" w:hAnsi="宋体" w:cs="宋体"/>
          <w:b/>
          <w:color w:val="auto"/>
          <w:spacing w:val="6"/>
          <w:sz w:val="32"/>
          <w:szCs w:val="32"/>
          <w:highlight w:val="none"/>
        </w:rPr>
      </w:pPr>
    </w:p>
    <w:p w14:paraId="0927E39C">
      <w:pPr>
        <w:snapToGrid w:val="0"/>
        <w:spacing w:line="360" w:lineRule="auto"/>
        <w:jc w:val="center"/>
        <w:rPr>
          <w:rFonts w:hint="eastAsia" w:ascii="宋体" w:hAnsi="宋体" w:cs="宋体"/>
          <w:b/>
          <w:color w:val="auto"/>
          <w:kern w:val="0"/>
          <w:sz w:val="32"/>
          <w:szCs w:val="32"/>
          <w:highlight w:val="none"/>
        </w:rPr>
      </w:pPr>
    </w:p>
    <w:p w14:paraId="550D56F3">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3E4FE90A">
      <w:pPr>
        <w:widowControl/>
        <w:spacing w:line="288"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（以联合体形式投标的，提供联合协议；本项目不接受联合体投标或者供应商不以联合体形式投标的，则不需要提供）</w:t>
      </w:r>
    </w:p>
    <w:p w14:paraId="4925319D">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6E7C7E10">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D08F1E3">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791A85F4">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13B9D52">
      <w:pPr>
        <w:snapToGrid w:val="0"/>
        <w:spacing w:line="288" w:lineRule="auto"/>
        <w:ind w:firstLine="576"/>
        <w:rPr>
          <w:rFonts w:hint="eastAsia" w:ascii="宋体" w:hAnsi="宋体" w:cs="宋体"/>
          <w:color w:val="auto"/>
          <w:kern w:val="0"/>
          <w:sz w:val="24"/>
          <w:highlight w:val="none"/>
          <w:lang w:val="zh-CN"/>
        </w:rPr>
      </w:pPr>
      <w:bookmarkStart w:id="576"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EA8D098">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DE927CA">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76"/>
    <w:p w14:paraId="742B93DE">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B18279E">
      <w:pPr>
        <w:snapToGrid w:val="0"/>
        <w:spacing w:line="288"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CB24DB8">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589AD28D">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7ACE8C2">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E1D9277">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325326F">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ED7B384">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0FEFF68">
      <w:pPr>
        <w:snapToGrid w:val="0"/>
        <w:spacing w:line="288"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7FC3A16">
      <w:pPr>
        <w:snapToGrid w:val="0"/>
        <w:spacing w:line="288"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F343C9A">
      <w:pPr>
        <w:snapToGrid w:val="0"/>
        <w:spacing w:line="288"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8B76D64">
      <w:pPr>
        <w:snapToGrid w:val="0"/>
        <w:spacing w:line="288"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3C2C75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0D2A960">
      <w:pPr>
        <w:rPr>
          <w:rFonts w:hint="eastAsia" w:ascii="宋体" w:hAnsi="宋体" w:cs="宋体"/>
          <w:color w:val="auto"/>
          <w:sz w:val="24"/>
          <w:highlight w:val="none"/>
        </w:rPr>
      </w:pPr>
      <w:r>
        <w:rPr>
          <w:rFonts w:hint="eastAsia" w:ascii="宋体" w:hAnsi="宋体" w:cs="宋体"/>
          <w:color w:val="auto"/>
          <w:sz w:val="24"/>
          <w:highlight w:val="none"/>
        </w:rPr>
        <w:br w:type="page"/>
      </w:r>
    </w:p>
    <w:p w14:paraId="1B4F761E">
      <w:pPr>
        <w:snapToGrid w:val="0"/>
        <w:spacing w:line="312"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3B69F988">
      <w:pPr>
        <w:widowControl/>
        <w:spacing w:line="312"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中标后以分包方式履行合同的，提供分包意向协议；采购人不同意分包或者供应商中标后不以分包方式履行合同的，则不需要提供</w:t>
      </w:r>
      <w:r>
        <w:rPr>
          <w:rFonts w:hint="eastAsia" w:ascii="宋体" w:hAnsi="宋体" w:cs="宋体"/>
          <w:color w:val="auto"/>
          <w:sz w:val="24"/>
          <w:highlight w:val="none"/>
        </w:rPr>
        <w:t>）</w:t>
      </w:r>
    </w:p>
    <w:p w14:paraId="0499D2D1">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1860E3C">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776BF60">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9A8E590">
      <w:pPr>
        <w:tabs>
          <w:tab w:val="left" w:pos="432"/>
        </w:tabs>
        <w:spacing w:line="312" w:lineRule="auto"/>
        <w:ind w:left="664" w:leftChars="316" w:firstLine="228" w:firstLineChars="95"/>
        <w:rPr>
          <w:rFonts w:hint="eastAsia" w:ascii="宋体" w:hAnsi="宋体" w:cs="宋体"/>
          <w:color w:val="auto"/>
          <w:kern w:val="0"/>
          <w:sz w:val="24"/>
          <w:highlight w:val="none"/>
        </w:rPr>
      </w:pPr>
      <w:r>
        <w:rPr>
          <w:rFonts w:hint="eastAsia" w:ascii="宋体" w:hAnsi="宋体" w:cs="宋体"/>
          <w:color w:val="auto"/>
          <w:kern w:val="0"/>
          <w:sz w:val="24"/>
          <w:highlight w:val="none"/>
        </w:rPr>
        <w:t>……</w:t>
      </w:r>
    </w:p>
    <w:p w14:paraId="28038178">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1284B1A">
      <w:pPr>
        <w:snapToGrid w:val="0"/>
        <w:spacing w:line="312"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32F9EDB">
      <w:pPr>
        <w:spacing w:line="312"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57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77"/>
    </w:p>
    <w:p w14:paraId="716DFE8F">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9FCF1E1">
      <w:pPr>
        <w:snapToGrid w:val="0"/>
        <w:spacing w:line="312"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6D5E1178">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FEAED50">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87D7EF8">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F18C56D">
      <w:pPr>
        <w:snapToGrid w:val="0"/>
        <w:spacing w:line="312"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A256DBA">
      <w:pPr>
        <w:snapToGrid w:val="0"/>
        <w:spacing w:line="312"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474D781">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E4B3A15">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A9ACEBB">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B234ADB">
      <w:pPr>
        <w:snapToGrid w:val="0"/>
        <w:spacing w:line="312"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7A9FCAA9">
      <w:pPr>
        <w:snapToGrid w:val="0"/>
        <w:spacing w:line="312"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39FF133">
      <w:pPr>
        <w:snapToGrid w:val="0"/>
        <w:spacing w:line="312"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1EA8DA43">
      <w:pPr>
        <w:spacing w:line="312"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0999A0A">
      <w:pPr>
        <w:widowControl/>
        <w:adjustRightInd/>
        <w:jc w:val="left"/>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E0DB47F">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9AE07E4">
      <w:pPr>
        <w:snapToGrid w:val="0"/>
        <w:spacing w:line="312" w:lineRule="auto"/>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14:paraId="5BE072B2">
      <w:pPr>
        <w:spacing w:line="288"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53A8574E">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5C4E41F1">
      <w:pPr>
        <w:adjustRightInd/>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w:t>
      </w:r>
      <w:r>
        <w:rPr>
          <w:rFonts w:hint="eastAsia" w:ascii="宋体" w:hAnsi="宋体" w:eastAsia="宋体" w:cs="仿宋"/>
          <w:color w:val="auto"/>
          <w:kern w:val="0"/>
          <w:sz w:val="24"/>
          <w:highlight w:val="none"/>
          <w:u w:val="single"/>
        </w:rPr>
        <w:t>毛巾</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工业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6AD7A5ED">
      <w:pPr>
        <w:adjustRightInd/>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洗发水</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工业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149EE2B1">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沐浴露</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工业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746ECFC7">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牙膏</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工业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1FB116AF">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牙刷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工业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3217F960">
      <w:pPr>
        <w:numPr>
          <w:ilvl w:val="0"/>
          <w:numId w:val="0"/>
        </w:numPr>
        <w:spacing w:line="288"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洗衣皂</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工业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u w:val="single"/>
          <w:lang w:eastAsia="zh-CN"/>
        </w:rPr>
        <w:t>。</w:t>
      </w:r>
    </w:p>
    <w:p w14:paraId="09B9D46D">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p w14:paraId="5BA59E1F">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32B60AE">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B77B281">
      <w:pPr>
        <w:snapToGrid w:val="0"/>
        <w:spacing w:line="288"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4FAE3D14">
      <w:pPr>
        <w:snapToGrid w:val="0"/>
        <w:spacing w:line="288"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CF25D62">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从业人员、营业收入、资产总额填报上一年度数据，无上一年度数据的新成立企业可不填报。</w:t>
      </w:r>
    </w:p>
    <w:p w14:paraId="56FF812C">
      <w:pPr>
        <w:spacing w:line="288"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7526A900">
      <w:pPr>
        <w:spacing w:line="288"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1、填写要求：①“标的名称”“招标文件中明确的所属行业”依据招标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A7F6532">
      <w:pPr>
        <w:spacing w:line="288"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14819E0">
      <w:pPr>
        <w:spacing w:line="288" w:lineRule="auto"/>
        <w:ind w:right="420" w:firstLine="480" w:firstLineChars="200"/>
        <w:rPr>
          <w:rFonts w:hint="eastAsia" w:ascii="宋体" w:hAnsi="宋体" w:cs="宋体"/>
          <w:bCs/>
          <w:color w:val="auto"/>
          <w:sz w:val="24"/>
          <w:highlight w:val="none"/>
        </w:rPr>
      </w:pPr>
      <w:r>
        <w:rPr>
          <w:rFonts w:hint="eastAsia" w:ascii="宋体" w:hAnsi="宋体" w:cs="宋体"/>
          <w:color w:val="auto"/>
          <w:sz w:val="24"/>
          <w:highlight w:val="none"/>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FF59C">
    <w:pPr>
      <w:pStyle w:val="40"/>
      <w:framePr w:wrap="around" w:vAnchor="text" w:hAnchor="margin" w:xAlign="right" w:y="1"/>
      <w:rPr>
        <w:rStyle w:val="73"/>
      </w:rPr>
    </w:pPr>
    <w:r>
      <w:fldChar w:fldCharType="begin"/>
    </w:r>
    <w:r>
      <w:rPr>
        <w:rStyle w:val="73"/>
      </w:rPr>
      <w:instrText xml:space="preserve">PAGE  </w:instrText>
    </w:r>
    <w:r>
      <w:fldChar w:fldCharType="end"/>
    </w:r>
  </w:p>
  <w:p w14:paraId="1A03B543">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81F88">
    <w:pPr>
      <w:pStyle w:val="40"/>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77B3F">
                          <w:pPr>
                            <w:pStyle w:val="4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FB77B3F">
                    <w:pPr>
                      <w:pStyle w:val="4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86FEE">
    <w:pPr>
      <w:pStyle w:val="40"/>
      <w:framePr w:wrap="around" w:vAnchor="text" w:hAnchor="margin" w:xAlign="right" w:y="1"/>
      <w:rPr>
        <w:rStyle w:val="73"/>
      </w:rPr>
    </w:pPr>
    <w:r>
      <w:fldChar w:fldCharType="begin"/>
    </w:r>
    <w:r>
      <w:rPr>
        <w:rStyle w:val="73"/>
      </w:rPr>
      <w:instrText xml:space="preserve">PAGE  </w:instrText>
    </w:r>
    <w:r>
      <w:fldChar w:fldCharType="end"/>
    </w:r>
  </w:p>
  <w:p w14:paraId="7547334B">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6862A">
    <w:pPr>
      <w:pStyle w:val="40"/>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63668">
                          <w:pPr>
                            <w:pStyle w:val="4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49663668">
                    <w:pPr>
                      <w:pStyle w:val="4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73F0B">
    <w:pPr>
      <w:pStyle w:val="40"/>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2DFF29">
                          <w:pPr>
                            <w:pStyle w:val="4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22DFF29">
                    <w:pPr>
                      <w:pStyle w:val="4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A6056">
    <w:pPr>
      <w:pStyle w:val="40"/>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F47D3">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50F47D3">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17F8E">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E5DC2">
                          <w:pPr>
                            <w:pStyle w:val="4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AAE5DC2">
                    <w:pPr>
                      <w:pStyle w:val="4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A44AF">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F58671">
                          <w:pPr>
                            <w:pStyle w:val="4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FF58671">
                    <w:pPr>
                      <w:pStyle w:val="4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629E9">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EB2B60">
                          <w:pPr>
                            <w:pStyle w:val="4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0EB2B60">
                    <w:pPr>
                      <w:pStyle w:val="4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63AAC">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A177E">
                          <w:pPr>
                            <w:pStyle w:val="4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7DA177E">
                    <w:pPr>
                      <w:pStyle w:val="4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CB42C">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3AF14C">
                          <w:pPr>
                            <w:pStyle w:val="4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D3AF14C">
                    <w:pPr>
                      <w:pStyle w:val="4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55113">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F109D">
                          <w:pPr>
                            <w:pStyle w:val="4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3AF109D">
                    <w:pPr>
                      <w:pStyle w:val="4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EC8B6">
    <w:pPr>
      <w:pStyle w:val="41"/>
      <w:pBdr>
        <w:bottom w:val="single" w:color="auto" w:sz="6" w:space="4"/>
      </w:pBdr>
      <w:jc w:val="right"/>
    </w:pPr>
    <w:r>
      <w:t></w:t>
    </w:r>
    <w:r>
      <w:rPr>
        <w:rFonts w:hint="eastAsia"/>
      </w:rPr>
      <w:t xml:space="preserve">           </w:t>
    </w:r>
  </w:p>
  <w:p w14:paraId="5EA792EF">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59C02">
    <w:pPr>
      <w:pStyle w:val="41"/>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7AF6C">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C2FA5">
    <w:pPr>
      <w:pStyle w:val="41"/>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DE3E7">
    <w:pPr>
      <w:pStyle w:val="41"/>
      <w:jc w:val="both"/>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89BD2">
    <w:pPr>
      <w:pStyle w:val="41"/>
      <w:rPr>
        <w:rFonts w:ascii="仿宋_GB2312" w:eastAsia="仿宋_GB2312"/>
        <w:b/>
        <w:i/>
        <w:u w:val="single"/>
      </w:rPr>
    </w:pPr>
    <w:r>
      <w:t></w:t>
    </w:r>
    <w:r>
      <w:rPr>
        <w:rFonts w:hint="eastAsia"/>
      </w:rPr>
      <w:t xml:space="preserve">                                                </w:t>
    </w:r>
    <w:r>
      <w:t xml:space="preserve"> </w:t>
    </w:r>
  </w:p>
  <w:p w14:paraId="4F619E1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531F6">
    <w:pPr>
      <w:pStyle w:val="41"/>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B0398">
    <w:pPr>
      <w:pStyle w:val="41"/>
      <w:jc w:val="right"/>
      <w:rPr>
        <w:rFonts w:ascii="仿宋_GB2312" w:eastAsia="仿宋_GB2312"/>
        <w:b/>
        <w:i/>
        <w:u w:val="single"/>
      </w:rPr>
    </w:pPr>
  </w:p>
  <w:p w14:paraId="698479F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C60B4">
    <w:pPr>
      <w:pStyle w:val="41"/>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CCEB4">
    <w:pPr>
      <w:pStyle w:val="41"/>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27A8E"/>
    <w:multiLevelType w:val="singleLevel"/>
    <w:tmpl w:val="ABD27A8E"/>
    <w:lvl w:ilvl="0" w:tentative="0">
      <w:start w:val="5"/>
      <w:numFmt w:val="decimal"/>
      <w:suff w:val="nothing"/>
      <w:lvlText w:val="%1、"/>
      <w:lvlJc w:val="left"/>
    </w:lvl>
  </w:abstractNum>
  <w:abstractNum w:abstractNumId="1">
    <w:nsid w:val="CB53C7A5"/>
    <w:multiLevelType w:val="singleLevel"/>
    <w:tmpl w:val="CB53C7A5"/>
    <w:lvl w:ilvl="0" w:tentative="0">
      <w:start w:val="1"/>
      <w:numFmt w:val="decimal"/>
      <w:suff w:val="nothing"/>
      <w:lvlText w:val="（%1）"/>
      <w:lvlJc w:val="left"/>
    </w:lvl>
  </w:abstractNum>
  <w:abstractNum w:abstractNumId="2">
    <w:nsid w:val="00000025"/>
    <w:multiLevelType w:val="singleLevel"/>
    <w:tmpl w:val="00000025"/>
    <w:lvl w:ilvl="0" w:tentative="0">
      <w:start w:val="1"/>
      <w:numFmt w:val="decimal"/>
      <w:suff w:val="nothing"/>
      <w:lvlText w:val="（%1）"/>
      <w:lvlJc w:val="left"/>
    </w:lvl>
  </w:abstractNum>
  <w:abstractNum w:abstractNumId="3">
    <w:nsid w:val="6A90DB4D"/>
    <w:multiLevelType w:val="singleLevel"/>
    <w:tmpl w:val="6A90DB4D"/>
    <w:lvl w:ilvl="0" w:tentative="0">
      <w:start w:val="4"/>
      <w:numFmt w:val="decimal"/>
      <w:lvlText w:val="%1."/>
      <w:lvlJc w:val="left"/>
      <w:pPr>
        <w:tabs>
          <w:tab w:val="left" w:pos="312"/>
        </w:tabs>
      </w:pPr>
    </w:lvl>
  </w:abstractNum>
  <w:abstractNum w:abstractNumId="4">
    <w:nsid w:val="7C25B4AF"/>
    <w:multiLevelType w:val="singleLevel"/>
    <w:tmpl w:val="7C25B4AF"/>
    <w:lvl w:ilvl="0" w:tentative="0">
      <w:start w:val="1"/>
      <w:numFmt w:val="decimal"/>
      <w:suff w:val="nothing"/>
      <w:lvlText w:val="%1、"/>
      <w:lvlJc w:val="left"/>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1NDI0OTFhZGFlZDc0OTlhZjI2NTdiOTJhMDU4ZWIifQ=="/>
  </w:docVars>
  <w:rsids>
    <w:rsidRoot w:val="00172A27"/>
    <w:rsid w:val="00000451"/>
    <w:rsid w:val="0000108B"/>
    <w:rsid w:val="0000133D"/>
    <w:rsid w:val="00001509"/>
    <w:rsid w:val="000032B2"/>
    <w:rsid w:val="000035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1F1"/>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64C"/>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782"/>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A7F"/>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CA4"/>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D6D"/>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FCA"/>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25A"/>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560"/>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4C7F"/>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3E"/>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580"/>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453C2"/>
    <w:rsid w:val="013E5467"/>
    <w:rsid w:val="01565C22"/>
    <w:rsid w:val="018A1427"/>
    <w:rsid w:val="019F7441"/>
    <w:rsid w:val="01B37585"/>
    <w:rsid w:val="01C0753F"/>
    <w:rsid w:val="01C47407"/>
    <w:rsid w:val="01D55165"/>
    <w:rsid w:val="01DF6BF8"/>
    <w:rsid w:val="01EC2C57"/>
    <w:rsid w:val="020A1642"/>
    <w:rsid w:val="0229382C"/>
    <w:rsid w:val="025431CD"/>
    <w:rsid w:val="02590923"/>
    <w:rsid w:val="025F0711"/>
    <w:rsid w:val="026B2E25"/>
    <w:rsid w:val="02824D4D"/>
    <w:rsid w:val="02914086"/>
    <w:rsid w:val="029B75CA"/>
    <w:rsid w:val="02DC4B10"/>
    <w:rsid w:val="02DD76CE"/>
    <w:rsid w:val="02F36323"/>
    <w:rsid w:val="02F5619C"/>
    <w:rsid w:val="02FC45A7"/>
    <w:rsid w:val="0326446A"/>
    <w:rsid w:val="032D5555"/>
    <w:rsid w:val="036634D2"/>
    <w:rsid w:val="03DD35E4"/>
    <w:rsid w:val="04076900"/>
    <w:rsid w:val="041A5A3B"/>
    <w:rsid w:val="042311BA"/>
    <w:rsid w:val="042B157A"/>
    <w:rsid w:val="048605CC"/>
    <w:rsid w:val="048F763B"/>
    <w:rsid w:val="04956A61"/>
    <w:rsid w:val="049F330E"/>
    <w:rsid w:val="04AA775C"/>
    <w:rsid w:val="04AF1889"/>
    <w:rsid w:val="04BC33D8"/>
    <w:rsid w:val="04F66F48"/>
    <w:rsid w:val="051E65ED"/>
    <w:rsid w:val="05251E14"/>
    <w:rsid w:val="0542404E"/>
    <w:rsid w:val="058B39C0"/>
    <w:rsid w:val="05A16594"/>
    <w:rsid w:val="05A7762D"/>
    <w:rsid w:val="060E5941"/>
    <w:rsid w:val="06110FAF"/>
    <w:rsid w:val="06436049"/>
    <w:rsid w:val="06493CA7"/>
    <w:rsid w:val="065A6178"/>
    <w:rsid w:val="065C3F39"/>
    <w:rsid w:val="06605C46"/>
    <w:rsid w:val="066F1CF3"/>
    <w:rsid w:val="067A7832"/>
    <w:rsid w:val="06930BB8"/>
    <w:rsid w:val="06C50397"/>
    <w:rsid w:val="070059CA"/>
    <w:rsid w:val="070E62E0"/>
    <w:rsid w:val="0717375D"/>
    <w:rsid w:val="07245D42"/>
    <w:rsid w:val="07261BF2"/>
    <w:rsid w:val="07264C62"/>
    <w:rsid w:val="07686CD0"/>
    <w:rsid w:val="0779354C"/>
    <w:rsid w:val="08061376"/>
    <w:rsid w:val="080A0D72"/>
    <w:rsid w:val="081927FC"/>
    <w:rsid w:val="08452D77"/>
    <w:rsid w:val="086401F8"/>
    <w:rsid w:val="08751CAA"/>
    <w:rsid w:val="0878647D"/>
    <w:rsid w:val="087B3CF2"/>
    <w:rsid w:val="087E4C40"/>
    <w:rsid w:val="088C1544"/>
    <w:rsid w:val="08A871D0"/>
    <w:rsid w:val="08D25E25"/>
    <w:rsid w:val="08D66AD6"/>
    <w:rsid w:val="08DA33A3"/>
    <w:rsid w:val="08E80F13"/>
    <w:rsid w:val="091048DD"/>
    <w:rsid w:val="09335624"/>
    <w:rsid w:val="0944690F"/>
    <w:rsid w:val="09535675"/>
    <w:rsid w:val="095F057D"/>
    <w:rsid w:val="09642282"/>
    <w:rsid w:val="09673F90"/>
    <w:rsid w:val="09733572"/>
    <w:rsid w:val="09772C16"/>
    <w:rsid w:val="098353B5"/>
    <w:rsid w:val="098F7F12"/>
    <w:rsid w:val="099861CA"/>
    <w:rsid w:val="09A92330"/>
    <w:rsid w:val="09B06B87"/>
    <w:rsid w:val="09B3464E"/>
    <w:rsid w:val="09C13146"/>
    <w:rsid w:val="09D709B0"/>
    <w:rsid w:val="09E04166"/>
    <w:rsid w:val="0A195A3E"/>
    <w:rsid w:val="0A1C0718"/>
    <w:rsid w:val="0A1E12A6"/>
    <w:rsid w:val="0A2A40B5"/>
    <w:rsid w:val="0A3E7710"/>
    <w:rsid w:val="0A5B7E63"/>
    <w:rsid w:val="0A791D33"/>
    <w:rsid w:val="0AA374A5"/>
    <w:rsid w:val="0AA74B5F"/>
    <w:rsid w:val="0AAB7649"/>
    <w:rsid w:val="0ABC5606"/>
    <w:rsid w:val="0B280C46"/>
    <w:rsid w:val="0B30404E"/>
    <w:rsid w:val="0B4C6C14"/>
    <w:rsid w:val="0B547599"/>
    <w:rsid w:val="0B631A88"/>
    <w:rsid w:val="0B683D45"/>
    <w:rsid w:val="0B7F3F11"/>
    <w:rsid w:val="0B884417"/>
    <w:rsid w:val="0BF6188C"/>
    <w:rsid w:val="0BF73C91"/>
    <w:rsid w:val="0C061354"/>
    <w:rsid w:val="0C170175"/>
    <w:rsid w:val="0C2E1EF2"/>
    <w:rsid w:val="0C571A41"/>
    <w:rsid w:val="0C5C1171"/>
    <w:rsid w:val="0C5E1CBC"/>
    <w:rsid w:val="0C615B50"/>
    <w:rsid w:val="0C8445DA"/>
    <w:rsid w:val="0C87121B"/>
    <w:rsid w:val="0CBC19AB"/>
    <w:rsid w:val="0CC007F7"/>
    <w:rsid w:val="0CC617AC"/>
    <w:rsid w:val="0CE618DF"/>
    <w:rsid w:val="0CFE707A"/>
    <w:rsid w:val="0D063BDA"/>
    <w:rsid w:val="0D08375F"/>
    <w:rsid w:val="0D184CFB"/>
    <w:rsid w:val="0D2546FA"/>
    <w:rsid w:val="0D280687"/>
    <w:rsid w:val="0D4A7419"/>
    <w:rsid w:val="0D5F5E5E"/>
    <w:rsid w:val="0D67257C"/>
    <w:rsid w:val="0D787B4E"/>
    <w:rsid w:val="0D827401"/>
    <w:rsid w:val="0D84094E"/>
    <w:rsid w:val="0D8A00E9"/>
    <w:rsid w:val="0D8D589E"/>
    <w:rsid w:val="0D920070"/>
    <w:rsid w:val="0DA01C73"/>
    <w:rsid w:val="0DD63300"/>
    <w:rsid w:val="0DDC55E4"/>
    <w:rsid w:val="0DF50604"/>
    <w:rsid w:val="0DF702FE"/>
    <w:rsid w:val="0E060E51"/>
    <w:rsid w:val="0E1409F6"/>
    <w:rsid w:val="0E5604B2"/>
    <w:rsid w:val="0E6D5D79"/>
    <w:rsid w:val="0E9A03FC"/>
    <w:rsid w:val="0E9D0089"/>
    <w:rsid w:val="0EB4779A"/>
    <w:rsid w:val="0EB803EE"/>
    <w:rsid w:val="0ECC7523"/>
    <w:rsid w:val="0ED55496"/>
    <w:rsid w:val="0EF94D4B"/>
    <w:rsid w:val="0F09346F"/>
    <w:rsid w:val="0F110A9B"/>
    <w:rsid w:val="0F4958DC"/>
    <w:rsid w:val="0F515DF7"/>
    <w:rsid w:val="0F596BA8"/>
    <w:rsid w:val="0F6248D2"/>
    <w:rsid w:val="0F693536"/>
    <w:rsid w:val="0F7B0511"/>
    <w:rsid w:val="0F7B76D9"/>
    <w:rsid w:val="0F816ACD"/>
    <w:rsid w:val="0F8B4F2A"/>
    <w:rsid w:val="0F9832DB"/>
    <w:rsid w:val="0FBF3FD2"/>
    <w:rsid w:val="0FBF7FF3"/>
    <w:rsid w:val="104447E9"/>
    <w:rsid w:val="10521CAA"/>
    <w:rsid w:val="10646583"/>
    <w:rsid w:val="107D4B15"/>
    <w:rsid w:val="108A3C80"/>
    <w:rsid w:val="10C02B10"/>
    <w:rsid w:val="10C26171"/>
    <w:rsid w:val="10F33360"/>
    <w:rsid w:val="10FC16EA"/>
    <w:rsid w:val="110F1D40"/>
    <w:rsid w:val="111451B1"/>
    <w:rsid w:val="11266F33"/>
    <w:rsid w:val="11362358"/>
    <w:rsid w:val="114F5196"/>
    <w:rsid w:val="118963A1"/>
    <w:rsid w:val="119D5A3B"/>
    <w:rsid w:val="11C6522A"/>
    <w:rsid w:val="11D015CA"/>
    <w:rsid w:val="11D067E4"/>
    <w:rsid w:val="11E104CC"/>
    <w:rsid w:val="11E20309"/>
    <w:rsid w:val="11FA43A7"/>
    <w:rsid w:val="12013DD3"/>
    <w:rsid w:val="1201785C"/>
    <w:rsid w:val="120A6276"/>
    <w:rsid w:val="120E4F54"/>
    <w:rsid w:val="12255233"/>
    <w:rsid w:val="12530213"/>
    <w:rsid w:val="125C296C"/>
    <w:rsid w:val="127723A9"/>
    <w:rsid w:val="12862074"/>
    <w:rsid w:val="12883966"/>
    <w:rsid w:val="129E45B4"/>
    <w:rsid w:val="12A90552"/>
    <w:rsid w:val="12D81596"/>
    <w:rsid w:val="12E60488"/>
    <w:rsid w:val="13072A44"/>
    <w:rsid w:val="1346119F"/>
    <w:rsid w:val="135F4BE2"/>
    <w:rsid w:val="13815EDF"/>
    <w:rsid w:val="139B1A0A"/>
    <w:rsid w:val="139D25C7"/>
    <w:rsid w:val="13BF3CE4"/>
    <w:rsid w:val="13CA16CE"/>
    <w:rsid w:val="141008D8"/>
    <w:rsid w:val="14125FE6"/>
    <w:rsid w:val="142E20E6"/>
    <w:rsid w:val="146D271E"/>
    <w:rsid w:val="147B31CB"/>
    <w:rsid w:val="14982588"/>
    <w:rsid w:val="149A5AD9"/>
    <w:rsid w:val="14A7619D"/>
    <w:rsid w:val="14AC72F3"/>
    <w:rsid w:val="14ED5D0A"/>
    <w:rsid w:val="150536C3"/>
    <w:rsid w:val="150C1963"/>
    <w:rsid w:val="151447A0"/>
    <w:rsid w:val="152D1B5C"/>
    <w:rsid w:val="1534302D"/>
    <w:rsid w:val="15431BC1"/>
    <w:rsid w:val="154A6454"/>
    <w:rsid w:val="157306F8"/>
    <w:rsid w:val="15762120"/>
    <w:rsid w:val="157E577E"/>
    <w:rsid w:val="15B9031B"/>
    <w:rsid w:val="15D157AE"/>
    <w:rsid w:val="15F80BFE"/>
    <w:rsid w:val="162163A6"/>
    <w:rsid w:val="16384EDA"/>
    <w:rsid w:val="16A8729C"/>
    <w:rsid w:val="16B33777"/>
    <w:rsid w:val="16BC70A7"/>
    <w:rsid w:val="16C6339E"/>
    <w:rsid w:val="16E34270"/>
    <w:rsid w:val="17200358"/>
    <w:rsid w:val="17240A3D"/>
    <w:rsid w:val="172F2D79"/>
    <w:rsid w:val="17557BEF"/>
    <w:rsid w:val="175B488E"/>
    <w:rsid w:val="17BB323B"/>
    <w:rsid w:val="17D349C1"/>
    <w:rsid w:val="18244F26"/>
    <w:rsid w:val="1830729E"/>
    <w:rsid w:val="186453D5"/>
    <w:rsid w:val="1870062C"/>
    <w:rsid w:val="18817102"/>
    <w:rsid w:val="18830A15"/>
    <w:rsid w:val="18852B28"/>
    <w:rsid w:val="188B5321"/>
    <w:rsid w:val="189967BF"/>
    <w:rsid w:val="18CD45C3"/>
    <w:rsid w:val="18D36267"/>
    <w:rsid w:val="18E84F59"/>
    <w:rsid w:val="18EA3E18"/>
    <w:rsid w:val="191A0E8B"/>
    <w:rsid w:val="192F2C4C"/>
    <w:rsid w:val="19932372"/>
    <w:rsid w:val="19A20DD5"/>
    <w:rsid w:val="19AE03F1"/>
    <w:rsid w:val="19C6669B"/>
    <w:rsid w:val="19E52AA1"/>
    <w:rsid w:val="1A071A03"/>
    <w:rsid w:val="1A1F16AE"/>
    <w:rsid w:val="1A3B5C77"/>
    <w:rsid w:val="1A984BAD"/>
    <w:rsid w:val="1AB8220E"/>
    <w:rsid w:val="1ABC5F3F"/>
    <w:rsid w:val="1AE4166C"/>
    <w:rsid w:val="1AF06CFB"/>
    <w:rsid w:val="1AF11B8D"/>
    <w:rsid w:val="1B11359C"/>
    <w:rsid w:val="1B2A271F"/>
    <w:rsid w:val="1B530544"/>
    <w:rsid w:val="1B713184"/>
    <w:rsid w:val="1BA209CF"/>
    <w:rsid w:val="1BAA6C8C"/>
    <w:rsid w:val="1BB4777D"/>
    <w:rsid w:val="1BCB74DA"/>
    <w:rsid w:val="1BD75AB8"/>
    <w:rsid w:val="1C0459C2"/>
    <w:rsid w:val="1C1B3B4A"/>
    <w:rsid w:val="1C88086E"/>
    <w:rsid w:val="1C9A47BD"/>
    <w:rsid w:val="1CC1038E"/>
    <w:rsid w:val="1D012130"/>
    <w:rsid w:val="1D1E62D0"/>
    <w:rsid w:val="1D266CE1"/>
    <w:rsid w:val="1D3963AF"/>
    <w:rsid w:val="1D6A673C"/>
    <w:rsid w:val="1D9247AE"/>
    <w:rsid w:val="1DAC5E21"/>
    <w:rsid w:val="1DB567EC"/>
    <w:rsid w:val="1DD27F86"/>
    <w:rsid w:val="1DF339D8"/>
    <w:rsid w:val="1DF51A98"/>
    <w:rsid w:val="1E051CD9"/>
    <w:rsid w:val="1E3D060F"/>
    <w:rsid w:val="1E3F7D2E"/>
    <w:rsid w:val="1E4134E4"/>
    <w:rsid w:val="1E5062B3"/>
    <w:rsid w:val="1E523514"/>
    <w:rsid w:val="1E714A66"/>
    <w:rsid w:val="1E802593"/>
    <w:rsid w:val="1E8B6156"/>
    <w:rsid w:val="1E9537AE"/>
    <w:rsid w:val="1EA703CC"/>
    <w:rsid w:val="1EB631C5"/>
    <w:rsid w:val="1EB7330C"/>
    <w:rsid w:val="1F0A0FF3"/>
    <w:rsid w:val="1F47684D"/>
    <w:rsid w:val="1F5771FF"/>
    <w:rsid w:val="1FD52574"/>
    <w:rsid w:val="1FE868A9"/>
    <w:rsid w:val="20034907"/>
    <w:rsid w:val="20173E4B"/>
    <w:rsid w:val="204213F3"/>
    <w:rsid w:val="204E48BC"/>
    <w:rsid w:val="208921B3"/>
    <w:rsid w:val="20973DEB"/>
    <w:rsid w:val="20A66D88"/>
    <w:rsid w:val="20B26522"/>
    <w:rsid w:val="20B44310"/>
    <w:rsid w:val="21035A46"/>
    <w:rsid w:val="211116EB"/>
    <w:rsid w:val="21354AB4"/>
    <w:rsid w:val="216133FC"/>
    <w:rsid w:val="21786F46"/>
    <w:rsid w:val="219D6918"/>
    <w:rsid w:val="21D56769"/>
    <w:rsid w:val="21E52EF3"/>
    <w:rsid w:val="21F42677"/>
    <w:rsid w:val="21FB5D7B"/>
    <w:rsid w:val="22015E94"/>
    <w:rsid w:val="220B1C3D"/>
    <w:rsid w:val="221D1D20"/>
    <w:rsid w:val="222D7E81"/>
    <w:rsid w:val="22334A87"/>
    <w:rsid w:val="223F4A8D"/>
    <w:rsid w:val="22B365D8"/>
    <w:rsid w:val="22BE6801"/>
    <w:rsid w:val="233500BF"/>
    <w:rsid w:val="23377FF7"/>
    <w:rsid w:val="235002CB"/>
    <w:rsid w:val="236B425F"/>
    <w:rsid w:val="23836192"/>
    <w:rsid w:val="23901F29"/>
    <w:rsid w:val="239C0061"/>
    <w:rsid w:val="23B908A4"/>
    <w:rsid w:val="23E95BEF"/>
    <w:rsid w:val="23FD0064"/>
    <w:rsid w:val="244514B2"/>
    <w:rsid w:val="245375B0"/>
    <w:rsid w:val="245B6DB7"/>
    <w:rsid w:val="24642C0A"/>
    <w:rsid w:val="2466767A"/>
    <w:rsid w:val="24B22173"/>
    <w:rsid w:val="24B95AD9"/>
    <w:rsid w:val="24BE24DA"/>
    <w:rsid w:val="24CF5825"/>
    <w:rsid w:val="24D171E9"/>
    <w:rsid w:val="24D663E6"/>
    <w:rsid w:val="24D757B6"/>
    <w:rsid w:val="24D77F2B"/>
    <w:rsid w:val="24DA6E2F"/>
    <w:rsid w:val="24EC4023"/>
    <w:rsid w:val="251D2E07"/>
    <w:rsid w:val="256E4600"/>
    <w:rsid w:val="258B00E2"/>
    <w:rsid w:val="25A4045A"/>
    <w:rsid w:val="25A917A6"/>
    <w:rsid w:val="25BE27CC"/>
    <w:rsid w:val="25CD79B1"/>
    <w:rsid w:val="25F74A5C"/>
    <w:rsid w:val="2600779A"/>
    <w:rsid w:val="26233510"/>
    <w:rsid w:val="2628662C"/>
    <w:rsid w:val="262D45DE"/>
    <w:rsid w:val="26607875"/>
    <w:rsid w:val="267D594A"/>
    <w:rsid w:val="26871DC8"/>
    <w:rsid w:val="26A53EF9"/>
    <w:rsid w:val="26A94201"/>
    <w:rsid w:val="26AC274F"/>
    <w:rsid w:val="26AE0E92"/>
    <w:rsid w:val="26B80C9A"/>
    <w:rsid w:val="26D22DA5"/>
    <w:rsid w:val="26DB434F"/>
    <w:rsid w:val="26FB0042"/>
    <w:rsid w:val="27044A29"/>
    <w:rsid w:val="271B34F6"/>
    <w:rsid w:val="271D34C8"/>
    <w:rsid w:val="276142BF"/>
    <w:rsid w:val="27783712"/>
    <w:rsid w:val="278E13C2"/>
    <w:rsid w:val="27907362"/>
    <w:rsid w:val="279F537D"/>
    <w:rsid w:val="27B0758A"/>
    <w:rsid w:val="28333E1D"/>
    <w:rsid w:val="283B3793"/>
    <w:rsid w:val="28454BD6"/>
    <w:rsid w:val="28455253"/>
    <w:rsid w:val="28551971"/>
    <w:rsid w:val="285B1C53"/>
    <w:rsid w:val="289F7086"/>
    <w:rsid w:val="28C32028"/>
    <w:rsid w:val="28C55834"/>
    <w:rsid w:val="28CC490F"/>
    <w:rsid w:val="28DE40AA"/>
    <w:rsid w:val="29345E77"/>
    <w:rsid w:val="294C65AD"/>
    <w:rsid w:val="295B52D4"/>
    <w:rsid w:val="2965010A"/>
    <w:rsid w:val="29713AED"/>
    <w:rsid w:val="29806583"/>
    <w:rsid w:val="298B3C4C"/>
    <w:rsid w:val="298F27C5"/>
    <w:rsid w:val="29930F11"/>
    <w:rsid w:val="299A1A87"/>
    <w:rsid w:val="29AC483C"/>
    <w:rsid w:val="29E452C9"/>
    <w:rsid w:val="29F26D24"/>
    <w:rsid w:val="2A15033F"/>
    <w:rsid w:val="2A1662C1"/>
    <w:rsid w:val="2A1C7367"/>
    <w:rsid w:val="2A2815FA"/>
    <w:rsid w:val="2A6D6092"/>
    <w:rsid w:val="2A7D76B4"/>
    <w:rsid w:val="2B07396C"/>
    <w:rsid w:val="2B09293F"/>
    <w:rsid w:val="2B326787"/>
    <w:rsid w:val="2B437463"/>
    <w:rsid w:val="2B7807EE"/>
    <w:rsid w:val="2B7B1C0B"/>
    <w:rsid w:val="2BA50BF7"/>
    <w:rsid w:val="2BAB6961"/>
    <w:rsid w:val="2BBF00EC"/>
    <w:rsid w:val="2BC37CFD"/>
    <w:rsid w:val="2BD5237F"/>
    <w:rsid w:val="2BD70597"/>
    <w:rsid w:val="2BE536CE"/>
    <w:rsid w:val="2BE758D9"/>
    <w:rsid w:val="2BE90CC2"/>
    <w:rsid w:val="2BF346BB"/>
    <w:rsid w:val="2BFA11C0"/>
    <w:rsid w:val="2C043A01"/>
    <w:rsid w:val="2C09049E"/>
    <w:rsid w:val="2C0A653C"/>
    <w:rsid w:val="2C191F85"/>
    <w:rsid w:val="2C202DF2"/>
    <w:rsid w:val="2C751549"/>
    <w:rsid w:val="2C866019"/>
    <w:rsid w:val="2C92725E"/>
    <w:rsid w:val="2CBE4367"/>
    <w:rsid w:val="2CE35D0C"/>
    <w:rsid w:val="2CE82D6F"/>
    <w:rsid w:val="2D0B5263"/>
    <w:rsid w:val="2D137721"/>
    <w:rsid w:val="2D18662B"/>
    <w:rsid w:val="2D244788"/>
    <w:rsid w:val="2D343236"/>
    <w:rsid w:val="2D575011"/>
    <w:rsid w:val="2D657E96"/>
    <w:rsid w:val="2D872B3B"/>
    <w:rsid w:val="2D8A43D9"/>
    <w:rsid w:val="2DAC5EA2"/>
    <w:rsid w:val="2DD15014"/>
    <w:rsid w:val="2DDD45F4"/>
    <w:rsid w:val="2DEC04BA"/>
    <w:rsid w:val="2DF72DE4"/>
    <w:rsid w:val="2E0220AF"/>
    <w:rsid w:val="2E262354"/>
    <w:rsid w:val="2E4B082A"/>
    <w:rsid w:val="2E5D4E86"/>
    <w:rsid w:val="2E5D790B"/>
    <w:rsid w:val="2E9A3C18"/>
    <w:rsid w:val="2EBB0FEE"/>
    <w:rsid w:val="2EC63002"/>
    <w:rsid w:val="2EE55AE5"/>
    <w:rsid w:val="2EE57236"/>
    <w:rsid w:val="2F0A6B38"/>
    <w:rsid w:val="2F594063"/>
    <w:rsid w:val="2F7760A6"/>
    <w:rsid w:val="2F827A5E"/>
    <w:rsid w:val="2F946CCB"/>
    <w:rsid w:val="2F9C2DF8"/>
    <w:rsid w:val="2FC63E6A"/>
    <w:rsid w:val="2FD25781"/>
    <w:rsid w:val="2FDC745C"/>
    <w:rsid w:val="2FFD7934"/>
    <w:rsid w:val="30733ACD"/>
    <w:rsid w:val="3080081B"/>
    <w:rsid w:val="308C3862"/>
    <w:rsid w:val="309379D8"/>
    <w:rsid w:val="30A270F7"/>
    <w:rsid w:val="30B654E5"/>
    <w:rsid w:val="30DF1478"/>
    <w:rsid w:val="30EC586F"/>
    <w:rsid w:val="319C6071"/>
    <w:rsid w:val="31A92390"/>
    <w:rsid w:val="31AC537E"/>
    <w:rsid w:val="31AE2A82"/>
    <w:rsid w:val="31D519F4"/>
    <w:rsid w:val="31E3679B"/>
    <w:rsid w:val="31E732FD"/>
    <w:rsid w:val="32517576"/>
    <w:rsid w:val="32BE5C2C"/>
    <w:rsid w:val="32D03654"/>
    <w:rsid w:val="32E71A40"/>
    <w:rsid w:val="32FB6478"/>
    <w:rsid w:val="33263B3F"/>
    <w:rsid w:val="336963EB"/>
    <w:rsid w:val="33775A1F"/>
    <w:rsid w:val="337C3B78"/>
    <w:rsid w:val="33816EEB"/>
    <w:rsid w:val="33A930DF"/>
    <w:rsid w:val="33EB55CD"/>
    <w:rsid w:val="33EC4C02"/>
    <w:rsid w:val="340D2360"/>
    <w:rsid w:val="3410665D"/>
    <w:rsid w:val="34211214"/>
    <w:rsid w:val="34297BBD"/>
    <w:rsid w:val="342E63AB"/>
    <w:rsid w:val="34321327"/>
    <w:rsid w:val="34945B3E"/>
    <w:rsid w:val="34950E68"/>
    <w:rsid w:val="34986E94"/>
    <w:rsid w:val="34AF62C9"/>
    <w:rsid w:val="34C71A6F"/>
    <w:rsid w:val="34CB4388"/>
    <w:rsid w:val="34F67558"/>
    <w:rsid w:val="34FA6E12"/>
    <w:rsid w:val="35045912"/>
    <w:rsid w:val="354D7158"/>
    <w:rsid w:val="357B2720"/>
    <w:rsid w:val="35803E13"/>
    <w:rsid w:val="358D5588"/>
    <w:rsid w:val="359009FB"/>
    <w:rsid w:val="363A3B40"/>
    <w:rsid w:val="363B0967"/>
    <w:rsid w:val="36413AA3"/>
    <w:rsid w:val="3643455C"/>
    <w:rsid w:val="365302AE"/>
    <w:rsid w:val="36607A0A"/>
    <w:rsid w:val="366E227C"/>
    <w:rsid w:val="366F2E0D"/>
    <w:rsid w:val="367B6A5C"/>
    <w:rsid w:val="36A74ADA"/>
    <w:rsid w:val="36AD60D5"/>
    <w:rsid w:val="36B224F9"/>
    <w:rsid w:val="36EC0CC9"/>
    <w:rsid w:val="36FB5E78"/>
    <w:rsid w:val="373F410B"/>
    <w:rsid w:val="378665E9"/>
    <w:rsid w:val="37AD7642"/>
    <w:rsid w:val="37EE7094"/>
    <w:rsid w:val="38296C89"/>
    <w:rsid w:val="382F62A9"/>
    <w:rsid w:val="383002EB"/>
    <w:rsid w:val="384855BD"/>
    <w:rsid w:val="38586797"/>
    <w:rsid w:val="385D15DF"/>
    <w:rsid w:val="386D241A"/>
    <w:rsid w:val="38BC0149"/>
    <w:rsid w:val="38D87D1C"/>
    <w:rsid w:val="394A3E0E"/>
    <w:rsid w:val="395F34A2"/>
    <w:rsid w:val="39636459"/>
    <w:rsid w:val="396B7F6C"/>
    <w:rsid w:val="39AD58C4"/>
    <w:rsid w:val="39AE2001"/>
    <w:rsid w:val="39B137C2"/>
    <w:rsid w:val="39B34CB8"/>
    <w:rsid w:val="39B417A9"/>
    <w:rsid w:val="39C600D4"/>
    <w:rsid w:val="39FC5695"/>
    <w:rsid w:val="3A006D8E"/>
    <w:rsid w:val="3A0D5971"/>
    <w:rsid w:val="3A3651E5"/>
    <w:rsid w:val="3A5C70FE"/>
    <w:rsid w:val="3A744481"/>
    <w:rsid w:val="3A854C95"/>
    <w:rsid w:val="3A8C7BEF"/>
    <w:rsid w:val="3A906246"/>
    <w:rsid w:val="3B02625A"/>
    <w:rsid w:val="3B131EB2"/>
    <w:rsid w:val="3B1D4650"/>
    <w:rsid w:val="3B2349B7"/>
    <w:rsid w:val="3B526BB2"/>
    <w:rsid w:val="3B616CFF"/>
    <w:rsid w:val="3B6259F6"/>
    <w:rsid w:val="3B976654"/>
    <w:rsid w:val="3BAC751F"/>
    <w:rsid w:val="3BC01EFC"/>
    <w:rsid w:val="3BC84AB3"/>
    <w:rsid w:val="3BCA786A"/>
    <w:rsid w:val="3BD31E2F"/>
    <w:rsid w:val="3BF15831"/>
    <w:rsid w:val="3C105946"/>
    <w:rsid w:val="3C471448"/>
    <w:rsid w:val="3C536A3E"/>
    <w:rsid w:val="3C5F759A"/>
    <w:rsid w:val="3C6C525A"/>
    <w:rsid w:val="3C762E6D"/>
    <w:rsid w:val="3C851523"/>
    <w:rsid w:val="3C881F8E"/>
    <w:rsid w:val="3CCE23CB"/>
    <w:rsid w:val="3CD17D17"/>
    <w:rsid w:val="3CE6175C"/>
    <w:rsid w:val="3D2D6B2F"/>
    <w:rsid w:val="3D3C7F39"/>
    <w:rsid w:val="3D440F09"/>
    <w:rsid w:val="3D4504A0"/>
    <w:rsid w:val="3D600CB3"/>
    <w:rsid w:val="3D6066C5"/>
    <w:rsid w:val="3D751FBE"/>
    <w:rsid w:val="3D8734BB"/>
    <w:rsid w:val="3D977A9D"/>
    <w:rsid w:val="3D9A11D4"/>
    <w:rsid w:val="3D9C3AD8"/>
    <w:rsid w:val="3DA16D89"/>
    <w:rsid w:val="3DA364BE"/>
    <w:rsid w:val="3DE041CB"/>
    <w:rsid w:val="3E0D48F6"/>
    <w:rsid w:val="3E1868B4"/>
    <w:rsid w:val="3E2F6B34"/>
    <w:rsid w:val="3E377251"/>
    <w:rsid w:val="3E3F72C8"/>
    <w:rsid w:val="3E42664B"/>
    <w:rsid w:val="3E5A7334"/>
    <w:rsid w:val="3E7B5D6B"/>
    <w:rsid w:val="3E817133"/>
    <w:rsid w:val="3E843E66"/>
    <w:rsid w:val="3E8F51FE"/>
    <w:rsid w:val="3E926F87"/>
    <w:rsid w:val="3E9A59DE"/>
    <w:rsid w:val="3EAF4836"/>
    <w:rsid w:val="3EC33DFA"/>
    <w:rsid w:val="3EF9316D"/>
    <w:rsid w:val="3EFB0D9E"/>
    <w:rsid w:val="3F060E16"/>
    <w:rsid w:val="3F067638"/>
    <w:rsid w:val="3F087854"/>
    <w:rsid w:val="3F1D1096"/>
    <w:rsid w:val="3F203316"/>
    <w:rsid w:val="3F2F0234"/>
    <w:rsid w:val="3F6363FE"/>
    <w:rsid w:val="3F756B8F"/>
    <w:rsid w:val="3F850EA5"/>
    <w:rsid w:val="3F95482B"/>
    <w:rsid w:val="3F9D1D4A"/>
    <w:rsid w:val="3FB86B84"/>
    <w:rsid w:val="3FC91C82"/>
    <w:rsid w:val="3FFF45F6"/>
    <w:rsid w:val="40183027"/>
    <w:rsid w:val="4019356B"/>
    <w:rsid w:val="40526FD9"/>
    <w:rsid w:val="40592157"/>
    <w:rsid w:val="406E1CAE"/>
    <w:rsid w:val="407F3FF1"/>
    <w:rsid w:val="40A0133A"/>
    <w:rsid w:val="40C31A53"/>
    <w:rsid w:val="40FF545D"/>
    <w:rsid w:val="410067C8"/>
    <w:rsid w:val="410323DD"/>
    <w:rsid w:val="41285739"/>
    <w:rsid w:val="41863C89"/>
    <w:rsid w:val="418F0D2A"/>
    <w:rsid w:val="41B2073E"/>
    <w:rsid w:val="41D01505"/>
    <w:rsid w:val="41FF75F5"/>
    <w:rsid w:val="422C1AAB"/>
    <w:rsid w:val="42474939"/>
    <w:rsid w:val="424C3C57"/>
    <w:rsid w:val="42613FF3"/>
    <w:rsid w:val="42660D96"/>
    <w:rsid w:val="428667D2"/>
    <w:rsid w:val="42CD1CE0"/>
    <w:rsid w:val="42D208FA"/>
    <w:rsid w:val="42E1381E"/>
    <w:rsid w:val="42ED6459"/>
    <w:rsid w:val="42FE58DD"/>
    <w:rsid w:val="43174B3D"/>
    <w:rsid w:val="431A7FD2"/>
    <w:rsid w:val="433F0CA0"/>
    <w:rsid w:val="434B790E"/>
    <w:rsid w:val="43601A0D"/>
    <w:rsid w:val="4360274F"/>
    <w:rsid w:val="43977AB6"/>
    <w:rsid w:val="43994596"/>
    <w:rsid w:val="43A3342B"/>
    <w:rsid w:val="43C77C27"/>
    <w:rsid w:val="43DE09EE"/>
    <w:rsid w:val="44002FAD"/>
    <w:rsid w:val="449007B6"/>
    <w:rsid w:val="449101DD"/>
    <w:rsid w:val="4497145E"/>
    <w:rsid w:val="44C95366"/>
    <w:rsid w:val="44DE1391"/>
    <w:rsid w:val="44E548AE"/>
    <w:rsid w:val="451B225C"/>
    <w:rsid w:val="452151CC"/>
    <w:rsid w:val="452410C9"/>
    <w:rsid w:val="45317DFB"/>
    <w:rsid w:val="456D3CE4"/>
    <w:rsid w:val="4579042C"/>
    <w:rsid w:val="457F0571"/>
    <w:rsid w:val="45851176"/>
    <w:rsid w:val="45A86918"/>
    <w:rsid w:val="45C63B94"/>
    <w:rsid w:val="45E858D0"/>
    <w:rsid w:val="4609638B"/>
    <w:rsid w:val="460E7DA5"/>
    <w:rsid w:val="46422483"/>
    <w:rsid w:val="4647199E"/>
    <w:rsid w:val="4659254A"/>
    <w:rsid w:val="465B0637"/>
    <w:rsid w:val="465E3F0D"/>
    <w:rsid w:val="466A16E6"/>
    <w:rsid w:val="46893F2B"/>
    <w:rsid w:val="469D0882"/>
    <w:rsid w:val="46C4686E"/>
    <w:rsid w:val="46E2098A"/>
    <w:rsid w:val="46E6681C"/>
    <w:rsid w:val="46EE10DD"/>
    <w:rsid w:val="47397975"/>
    <w:rsid w:val="477B778F"/>
    <w:rsid w:val="478203EC"/>
    <w:rsid w:val="478A1A03"/>
    <w:rsid w:val="47B025FA"/>
    <w:rsid w:val="480159E9"/>
    <w:rsid w:val="4809698F"/>
    <w:rsid w:val="480C3F11"/>
    <w:rsid w:val="4811697D"/>
    <w:rsid w:val="4812283E"/>
    <w:rsid w:val="48535EE5"/>
    <w:rsid w:val="485D034C"/>
    <w:rsid w:val="486677BF"/>
    <w:rsid w:val="487A3E25"/>
    <w:rsid w:val="488B5503"/>
    <w:rsid w:val="48937E21"/>
    <w:rsid w:val="489A0361"/>
    <w:rsid w:val="48B94FF3"/>
    <w:rsid w:val="48E37AAB"/>
    <w:rsid w:val="48FD4B4C"/>
    <w:rsid w:val="490A68E0"/>
    <w:rsid w:val="491055FE"/>
    <w:rsid w:val="49267254"/>
    <w:rsid w:val="495F5B3E"/>
    <w:rsid w:val="49612585"/>
    <w:rsid w:val="496F77D7"/>
    <w:rsid w:val="497654FD"/>
    <w:rsid w:val="49B64211"/>
    <w:rsid w:val="49F6167F"/>
    <w:rsid w:val="4A064FA0"/>
    <w:rsid w:val="4A16615C"/>
    <w:rsid w:val="4A4424D7"/>
    <w:rsid w:val="4A5B5E8E"/>
    <w:rsid w:val="4AB82D0F"/>
    <w:rsid w:val="4AEB7664"/>
    <w:rsid w:val="4AFD7C19"/>
    <w:rsid w:val="4B0567D1"/>
    <w:rsid w:val="4B236AAE"/>
    <w:rsid w:val="4B412124"/>
    <w:rsid w:val="4B707271"/>
    <w:rsid w:val="4B9739F7"/>
    <w:rsid w:val="4BAD1567"/>
    <w:rsid w:val="4BBF5506"/>
    <w:rsid w:val="4BC31A99"/>
    <w:rsid w:val="4BC44A01"/>
    <w:rsid w:val="4BE86A43"/>
    <w:rsid w:val="4BEE2503"/>
    <w:rsid w:val="4BF06BB2"/>
    <w:rsid w:val="4BF90C50"/>
    <w:rsid w:val="4C245A30"/>
    <w:rsid w:val="4C352698"/>
    <w:rsid w:val="4C847C9F"/>
    <w:rsid w:val="4C974B11"/>
    <w:rsid w:val="4C983FC5"/>
    <w:rsid w:val="4CB6685F"/>
    <w:rsid w:val="4CC367FE"/>
    <w:rsid w:val="4CC76658"/>
    <w:rsid w:val="4CDF41F0"/>
    <w:rsid w:val="4D077F3C"/>
    <w:rsid w:val="4D0C4366"/>
    <w:rsid w:val="4D123355"/>
    <w:rsid w:val="4D203FBB"/>
    <w:rsid w:val="4D21213D"/>
    <w:rsid w:val="4D2A3B31"/>
    <w:rsid w:val="4D312C52"/>
    <w:rsid w:val="4D7C3C4A"/>
    <w:rsid w:val="4D822DD2"/>
    <w:rsid w:val="4D905305"/>
    <w:rsid w:val="4D964A72"/>
    <w:rsid w:val="4D9C1254"/>
    <w:rsid w:val="4DC46E97"/>
    <w:rsid w:val="4DC80709"/>
    <w:rsid w:val="4DCB4CA4"/>
    <w:rsid w:val="4DD21759"/>
    <w:rsid w:val="4E121FED"/>
    <w:rsid w:val="4E21448E"/>
    <w:rsid w:val="4E5926A7"/>
    <w:rsid w:val="4E793892"/>
    <w:rsid w:val="4E800872"/>
    <w:rsid w:val="4E81191D"/>
    <w:rsid w:val="4E930FA3"/>
    <w:rsid w:val="4E936C9C"/>
    <w:rsid w:val="4EC569ED"/>
    <w:rsid w:val="4ED50EA1"/>
    <w:rsid w:val="4EEC050C"/>
    <w:rsid w:val="4F104EC3"/>
    <w:rsid w:val="4F110F55"/>
    <w:rsid w:val="4F22401A"/>
    <w:rsid w:val="4F47354A"/>
    <w:rsid w:val="4F911C54"/>
    <w:rsid w:val="4FC5018F"/>
    <w:rsid w:val="4FE625E0"/>
    <w:rsid w:val="5021480F"/>
    <w:rsid w:val="50253C24"/>
    <w:rsid w:val="50962ECB"/>
    <w:rsid w:val="50A42E38"/>
    <w:rsid w:val="50A4577F"/>
    <w:rsid w:val="50B73D1F"/>
    <w:rsid w:val="50BD5BC9"/>
    <w:rsid w:val="50C11EEE"/>
    <w:rsid w:val="50E97CFC"/>
    <w:rsid w:val="50FA4028"/>
    <w:rsid w:val="510D65B7"/>
    <w:rsid w:val="511157AB"/>
    <w:rsid w:val="511B6F73"/>
    <w:rsid w:val="5142540C"/>
    <w:rsid w:val="51510BE7"/>
    <w:rsid w:val="51846EC9"/>
    <w:rsid w:val="518832C8"/>
    <w:rsid w:val="519D3C50"/>
    <w:rsid w:val="51A0432A"/>
    <w:rsid w:val="51A86090"/>
    <w:rsid w:val="51B568D7"/>
    <w:rsid w:val="51B7396D"/>
    <w:rsid w:val="51BB20EF"/>
    <w:rsid w:val="51C045ED"/>
    <w:rsid w:val="51E32D2F"/>
    <w:rsid w:val="52263AC6"/>
    <w:rsid w:val="52295D9F"/>
    <w:rsid w:val="522E4CC3"/>
    <w:rsid w:val="5244713B"/>
    <w:rsid w:val="52615633"/>
    <w:rsid w:val="526E5242"/>
    <w:rsid w:val="526F4DE4"/>
    <w:rsid w:val="52721B97"/>
    <w:rsid w:val="52977FD4"/>
    <w:rsid w:val="52A25790"/>
    <w:rsid w:val="52A96B6F"/>
    <w:rsid w:val="52B45975"/>
    <w:rsid w:val="52D94AA4"/>
    <w:rsid w:val="52E023E7"/>
    <w:rsid w:val="52EA3A62"/>
    <w:rsid w:val="52ED34E5"/>
    <w:rsid w:val="52F50BB8"/>
    <w:rsid w:val="5305542D"/>
    <w:rsid w:val="53097272"/>
    <w:rsid w:val="532D11DF"/>
    <w:rsid w:val="53544462"/>
    <w:rsid w:val="5397158E"/>
    <w:rsid w:val="53AA0A2F"/>
    <w:rsid w:val="53EA44B8"/>
    <w:rsid w:val="54013861"/>
    <w:rsid w:val="54487265"/>
    <w:rsid w:val="544D6070"/>
    <w:rsid w:val="54605E1E"/>
    <w:rsid w:val="549A4A45"/>
    <w:rsid w:val="54B3506A"/>
    <w:rsid w:val="54C97AC2"/>
    <w:rsid w:val="54CA0D16"/>
    <w:rsid w:val="54DD4057"/>
    <w:rsid w:val="54E7490F"/>
    <w:rsid w:val="550764A4"/>
    <w:rsid w:val="550B2BF6"/>
    <w:rsid w:val="551B39E5"/>
    <w:rsid w:val="55214EB5"/>
    <w:rsid w:val="55364EFD"/>
    <w:rsid w:val="555D4828"/>
    <w:rsid w:val="556C45C4"/>
    <w:rsid w:val="557A4C8B"/>
    <w:rsid w:val="558931E1"/>
    <w:rsid w:val="55923347"/>
    <w:rsid w:val="55925180"/>
    <w:rsid w:val="55983B1B"/>
    <w:rsid w:val="55A8376B"/>
    <w:rsid w:val="55B611EB"/>
    <w:rsid w:val="55DC29B6"/>
    <w:rsid w:val="55DD4241"/>
    <w:rsid w:val="55F169BF"/>
    <w:rsid w:val="562C4789"/>
    <w:rsid w:val="566B6D1E"/>
    <w:rsid w:val="568D1D06"/>
    <w:rsid w:val="57032A2C"/>
    <w:rsid w:val="570F5219"/>
    <w:rsid w:val="57574A7D"/>
    <w:rsid w:val="575D12B5"/>
    <w:rsid w:val="57610A87"/>
    <w:rsid w:val="577B1140"/>
    <w:rsid w:val="577B7F21"/>
    <w:rsid w:val="577F181B"/>
    <w:rsid w:val="578A6C00"/>
    <w:rsid w:val="57921984"/>
    <w:rsid w:val="579737F0"/>
    <w:rsid w:val="57AB7B30"/>
    <w:rsid w:val="57AF5251"/>
    <w:rsid w:val="57B26373"/>
    <w:rsid w:val="57B63F04"/>
    <w:rsid w:val="57CD20C2"/>
    <w:rsid w:val="57D675AB"/>
    <w:rsid w:val="57D73717"/>
    <w:rsid w:val="57D95FDD"/>
    <w:rsid w:val="580E7831"/>
    <w:rsid w:val="58490869"/>
    <w:rsid w:val="585E4F1E"/>
    <w:rsid w:val="58917D2F"/>
    <w:rsid w:val="5894085C"/>
    <w:rsid w:val="58AE4F0C"/>
    <w:rsid w:val="58B85899"/>
    <w:rsid w:val="58CC55CF"/>
    <w:rsid w:val="58E363A9"/>
    <w:rsid w:val="590B1FC3"/>
    <w:rsid w:val="59166304"/>
    <w:rsid w:val="595E1678"/>
    <w:rsid w:val="596A1D3C"/>
    <w:rsid w:val="596D5BD4"/>
    <w:rsid w:val="597E3DD8"/>
    <w:rsid w:val="59AC5554"/>
    <w:rsid w:val="59B352CD"/>
    <w:rsid w:val="59EF245F"/>
    <w:rsid w:val="59F80043"/>
    <w:rsid w:val="5A054806"/>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9D14DA"/>
    <w:rsid w:val="5BF9099D"/>
    <w:rsid w:val="5C02690E"/>
    <w:rsid w:val="5C196DA7"/>
    <w:rsid w:val="5C2A013C"/>
    <w:rsid w:val="5C2A048C"/>
    <w:rsid w:val="5C460490"/>
    <w:rsid w:val="5C80234E"/>
    <w:rsid w:val="5C8A680C"/>
    <w:rsid w:val="5CAB62A2"/>
    <w:rsid w:val="5CDD6B6F"/>
    <w:rsid w:val="5CFA1A85"/>
    <w:rsid w:val="5D0C4701"/>
    <w:rsid w:val="5D0F0395"/>
    <w:rsid w:val="5D1F24EF"/>
    <w:rsid w:val="5D221076"/>
    <w:rsid w:val="5D397964"/>
    <w:rsid w:val="5D5A391C"/>
    <w:rsid w:val="5D5F10C0"/>
    <w:rsid w:val="5D79574D"/>
    <w:rsid w:val="5D891B7B"/>
    <w:rsid w:val="5D902A97"/>
    <w:rsid w:val="5DAD38EE"/>
    <w:rsid w:val="5DE43148"/>
    <w:rsid w:val="5DE50252"/>
    <w:rsid w:val="5E006862"/>
    <w:rsid w:val="5E0207B9"/>
    <w:rsid w:val="5E1834A1"/>
    <w:rsid w:val="5E261785"/>
    <w:rsid w:val="5E285F9C"/>
    <w:rsid w:val="5E4A7017"/>
    <w:rsid w:val="5E552BBA"/>
    <w:rsid w:val="5E5646F0"/>
    <w:rsid w:val="5E611C10"/>
    <w:rsid w:val="5E762B94"/>
    <w:rsid w:val="5E7A0F3F"/>
    <w:rsid w:val="5E9A1E1F"/>
    <w:rsid w:val="5EB24909"/>
    <w:rsid w:val="5EB332BF"/>
    <w:rsid w:val="5ED27BE1"/>
    <w:rsid w:val="5EFC7377"/>
    <w:rsid w:val="5F0454EA"/>
    <w:rsid w:val="5F06174D"/>
    <w:rsid w:val="5F0C439F"/>
    <w:rsid w:val="5F3A3602"/>
    <w:rsid w:val="5F45733B"/>
    <w:rsid w:val="5F553F98"/>
    <w:rsid w:val="5F6277C6"/>
    <w:rsid w:val="5F6D0B1D"/>
    <w:rsid w:val="5F7A39FE"/>
    <w:rsid w:val="5F8D0B82"/>
    <w:rsid w:val="5FC067D0"/>
    <w:rsid w:val="5FCC5339"/>
    <w:rsid w:val="5FCE540F"/>
    <w:rsid w:val="5FE34A5B"/>
    <w:rsid w:val="5FF54534"/>
    <w:rsid w:val="5FFE1E36"/>
    <w:rsid w:val="60085E83"/>
    <w:rsid w:val="60232584"/>
    <w:rsid w:val="607330CE"/>
    <w:rsid w:val="60825176"/>
    <w:rsid w:val="608A5EC3"/>
    <w:rsid w:val="609F2AC4"/>
    <w:rsid w:val="60FA2EE8"/>
    <w:rsid w:val="61054A27"/>
    <w:rsid w:val="610A52BC"/>
    <w:rsid w:val="611B6CD6"/>
    <w:rsid w:val="611D2366"/>
    <w:rsid w:val="61421856"/>
    <w:rsid w:val="6146029C"/>
    <w:rsid w:val="615227C4"/>
    <w:rsid w:val="61551709"/>
    <w:rsid w:val="61654E3F"/>
    <w:rsid w:val="61671D60"/>
    <w:rsid w:val="616E7593"/>
    <w:rsid w:val="61730B8F"/>
    <w:rsid w:val="61744FF9"/>
    <w:rsid w:val="6182292A"/>
    <w:rsid w:val="619C2CA1"/>
    <w:rsid w:val="619F7F92"/>
    <w:rsid w:val="61C3343B"/>
    <w:rsid w:val="61C807BC"/>
    <w:rsid w:val="61E81EE3"/>
    <w:rsid w:val="61F94C26"/>
    <w:rsid w:val="62000E56"/>
    <w:rsid w:val="62487121"/>
    <w:rsid w:val="624F3E49"/>
    <w:rsid w:val="62632286"/>
    <w:rsid w:val="62656D70"/>
    <w:rsid w:val="62885958"/>
    <w:rsid w:val="62C7476E"/>
    <w:rsid w:val="62DA1D5D"/>
    <w:rsid w:val="62F12229"/>
    <w:rsid w:val="62F17359"/>
    <w:rsid w:val="62F31C3F"/>
    <w:rsid w:val="62F40B65"/>
    <w:rsid w:val="62FC2CFE"/>
    <w:rsid w:val="63024505"/>
    <w:rsid w:val="633B16F7"/>
    <w:rsid w:val="635600A5"/>
    <w:rsid w:val="635B1DB5"/>
    <w:rsid w:val="635C3B47"/>
    <w:rsid w:val="63711FED"/>
    <w:rsid w:val="63880DDC"/>
    <w:rsid w:val="638D750D"/>
    <w:rsid w:val="63AC6CC0"/>
    <w:rsid w:val="63F349D6"/>
    <w:rsid w:val="63FE69AC"/>
    <w:rsid w:val="64055776"/>
    <w:rsid w:val="64240056"/>
    <w:rsid w:val="643E143A"/>
    <w:rsid w:val="64460353"/>
    <w:rsid w:val="64491666"/>
    <w:rsid w:val="645816F0"/>
    <w:rsid w:val="648B6EEF"/>
    <w:rsid w:val="64921AB7"/>
    <w:rsid w:val="64C158BF"/>
    <w:rsid w:val="64CE2EAA"/>
    <w:rsid w:val="651971E4"/>
    <w:rsid w:val="65294F03"/>
    <w:rsid w:val="653C3090"/>
    <w:rsid w:val="65854376"/>
    <w:rsid w:val="658767BE"/>
    <w:rsid w:val="65892531"/>
    <w:rsid w:val="65CD0069"/>
    <w:rsid w:val="65E30320"/>
    <w:rsid w:val="66195831"/>
    <w:rsid w:val="661B0E4D"/>
    <w:rsid w:val="662E75B1"/>
    <w:rsid w:val="66342C2E"/>
    <w:rsid w:val="663E784C"/>
    <w:rsid w:val="664A36FF"/>
    <w:rsid w:val="66811B16"/>
    <w:rsid w:val="668B6A45"/>
    <w:rsid w:val="66BA34A1"/>
    <w:rsid w:val="66D165FA"/>
    <w:rsid w:val="670A285C"/>
    <w:rsid w:val="672F3F24"/>
    <w:rsid w:val="673E055F"/>
    <w:rsid w:val="6751439C"/>
    <w:rsid w:val="67551CE3"/>
    <w:rsid w:val="676A4358"/>
    <w:rsid w:val="67796B37"/>
    <w:rsid w:val="67A22552"/>
    <w:rsid w:val="67B22DCC"/>
    <w:rsid w:val="67BE71AA"/>
    <w:rsid w:val="67D90273"/>
    <w:rsid w:val="67DC5685"/>
    <w:rsid w:val="67DE5875"/>
    <w:rsid w:val="67E55852"/>
    <w:rsid w:val="67EB1AB4"/>
    <w:rsid w:val="67EF6A97"/>
    <w:rsid w:val="67F46D4D"/>
    <w:rsid w:val="67FA1285"/>
    <w:rsid w:val="681F15E7"/>
    <w:rsid w:val="68270D00"/>
    <w:rsid w:val="68551F4F"/>
    <w:rsid w:val="687C10C9"/>
    <w:rsid w:val="68840C16"/>
    <w:rsid w:val="68876EFB"/>
    <w:rsid w:val="68884654"/>
    <w:rsid w:val="689F444F"/>
    <w:rsid w:val="68B96DBB"/>
    <w:rsid w:val="68CA2805"/>
    <w:rsid w:val="68E937A3"/>
    <w:rsid w:val="68F933EA"/>
    <w:rsid w:val="69303AFB"/>
    <w:rsid w:val="693E15D3"/>
    <w:rsid w:val="69627681"/>
    <w:rsid w:val="6977531D"/>
    <w:rsid w:val="69797303"/>
    <w:rsid w:val="69851F0A"/>
    <w:rsid w:val="69CC2BFF"/>
    <w:rsid w:val="69FD55B8"/>
    <w:rsid w:val="6A0B1C62"/>
    <w:rsid w:val="6A2406C8"/>
    <w:rsid w:val="6A7F65C7"/>
    <w:rsid w:val="6A987242"/>
    <w:rsid w:val="6ADD735F"/>
    <w:rsid w:val="6ADE0BD1"/>
    <w:rsid w:val="6AE96859"/>
    <w:rsid w:val="6B147746"/>
    <w:rsid w:val="6B24787C"/>
    <w:rsid w:val="6B573233"/>
    <w:rsid w:val="6B58630B"/>
    <w:rsid w:val="6B5B6274"/>
    <w:rsid w:val="6B615D5C"/>
    <w:rsid w:val="6B847F5E"/>
    <w:rsid w:val="6B935D53"/>
    <w:rsid w:val="6BC02799"/>
    <w:rsid w:val="6BD149A6"/>
    <w:rsid w:val="6C196F71"/>
    <w:rsid w:val="6C226FCB"/>
    <w:rsid w:val="6C31226F"/>
    <w:rsid w:val="6C312AEA"/>
    <w:rsid w:val="6C552F0B"/>
    <w:rsid w:val="6C8C67B7"/>
    <w:rsid w:val="6C9D744C"/>
    <w:rsid w:val="6D167928"/>
    <w:rsid w:val="6D260D22"/>
    <w:rsid w:val="6D26299B"/>
    <w:rsid w:val="6D32233D"/>
    <w:rsid w:val="6D4772EC"/>
    <w:rsid w:val="6D516379"/>
    <w:rsid w:val="6D5C224E"/>
    <w:rsid w:val="6D9078AF"/>
    <w:rsid w:val="6DAA3FEF"/>
    <w:rsid w:val="6DB8406F"/>
    <w:rsid w:val="6DC0172B"/>
    <w:rsid w:val="6DCB690C"/>
    <w:rsid w:val="6DD41A5B"/>
    <w:rsid w:val="6DDF4FB0"/>
    <w:rsid w:val="6DF43C2E"/>
    <w:rsid w:val="6DF51CA3"/>
    <w:rsid w:val="6E101FDB"/>
    <w:rsid w:val="6E58509C"/>
    <w:rsid w:val="6E681920"/>
    <w:rsid w:val="6E781728"/>
    <w:rsid w:val="6E8335BD"/>
    <w:rsid w:val="6E8E12EF"/>
    <w:rsid w:val="6E972936"/>
    <w:rsid w:val="6EB40202"/>
    <w:rsid w:val="6ED30A35"/>
    <w:rsid w:val="6ED446C5"/>
    <w:rsid w:val="6F130D38"/>
    <w:rsid w:val="6F250095"/>
    <w:rsid w:val="6F2A7D94"/>
    <w:rsid w:val="6F377216"/>
    <w:rsid w:val="6F55769C"/>
    <w:rsid w:val="6F5B208E"/>
    <w:rsid w:val="6F8331F1"/>
    <w:rsid w:val="6FA31ECE"/>
    <w:rsid w:val="6FAE1A09"/>
    <w:rsid w:val="6FD75BF8"/>
    <w:rsid w:val="6FF922DA"/>
    <w:rsid w:val="700D583A"/>
    <w:rsid w:val="703E5095"/>
    <w:rsid w:val="7060279C"/>
    <w:rsid w:val="706D60A5"/>
    <w:rsid w:val="707723D0"/>
    <w:rsid w:val="70985552"/>
    <w:rsid w:val="709D12FB"/>
    <w:rsid w:val="70AE62DA"/>
    <w:rsid w:val="70B4699F"/>
    <w:rsid w:val="70C85AFC"/>
    <w:rsid w:val="70F4178D"/>
    <w:rsid w:val="70F5661B"/>
    <w:rsid w:val="71360107"/>
    <w:rsid w:val="713A2FED"/>
    <w:rsid w:val="713B688E"/>
    <w:rsid w:val="71461992"/>
    <w:rsid w:val="71A6677C"/>
    <w:rsid w:val="71A8324B"/>
    <w:rsid w:val="71B60406"/>
    <w:rsid w:val="71D43752"/>
    <w:rsid w:val="71DE1BCB"/>
    <w:rsid w:val="71F1796A"/>
    <w:rsid w:val="72154626"/>
    <w:rsid w:val="72262B5D"/>
    <w:rsid w:val="72283FF7"/>
    <w:rsid w:val="722E7212"/>
    <w:rsid w:val="723A0474"/>
    <w:rsid w:val="725923E4"/>
    <w:rsid w:val="725F5415"/>
    <w:rsid w:val="72766AE8"/>
    <w:rsid w:val="72864BF7"/>
    <w:rsid w:val="729023FC"/>
    <w:rsid w:val="729C3F60"/>
    <w:rsid w:val="72E04B6D"/>
    <w:rsid w:val="732301DD"/>
    <w:rsid w:val="732A727E"/>
    <w:rsid w:val="733454E7"/>
    <w:rsid w:val="733F6CEC"/>
    <w:rsid w:val="734B7565"/>
    <w:rsid w:val="73AD396D"/>
    <w:rsid w:val="73C0646E"/>
    <w:rsid w:val="742222F5"/>
    <w:rsid w:val="74391E01"/>
    <w:rsid w:val="74476126"/>
    <w:rsid w:val="74706664"/>
    <w:rsid w:val="747F3682"/>
    <w:rsid w:val="749018A2"/>
    <w:rsid w:val="74930F19"/>
    <w:rsid w:val="749C4185"/>
    <w:rsid w:val="75067759"/>
    <w:rsid w:val="750E27C7"/>
    <w:rsid w:val="751F199D"/>
    <w:rsid w:val="752E6DCD"/>
    <w:rsid w:val="7551380D"/>
    <w:rsid w:val="75600BE5"/>
    <w:rsid w:val="7564475C"/>
    <w:rsid w:val="7583797F"/>
    <w:rsid w:val="75917B29"/>
    <w:rsid w:val="75A679D1"/>
    <w:rsid w:val="75CF09D8"/>
    <w:rsid w:val="75D20F1D"/>
    <w:rsid w:val="75DA2C18"/>
    <w:rsid w:val="75F54412"/>
    <w:rsid w:val="761D08E0"/>
    <w:rsid w:val="761E6A3A"/>
    <w:rsid w:val="765D347C"/>
    <w:rsid w:val="76826699"/>
    <w:rsid w:val="76A10A5E"/>
    <w:rsid w:val="76A870A5"/>
    <w:rsid w:val="76C87133"/>
    <w:rsid w:val="76CD08D5"/>
    <w:rsid w:val="76DB4B92"/>
    <w:rsid w:val="76FE0619"/>
    <w:rsid w:val="77052AA4"/>
    <w:rsid w:val="77136511"/>
    <w:rsid w:val="77340A39"/>
    <w:rsid w:val="77351FD0"/>
    <w:rsid w:val="77472422"/>
    <w:rsid w:val="777F31F2"/>
    <w:rsid w:val="77AB3955"/>
    <w:rsid w:val="77D1700D"/>
    <w:rsid w:val="77D323A7"/>
    <w:rsid w:val="77EC04CC"/>
    <w:rsid w:val="782D0D9A"/>
    <w:rsid w:val="78520C1D"/>
    <w:rsid w:val="78775729"/>
    <w:rsid w:val="78A42DB0"/>
    <w:rsid w:val="78A656AB"/>
    <w:rsid w:val="78B2245C"/>
    <w:rsid w:val="78B81351"/>
    <w:rsid w:val="78D24798"/>
    <w:rsid w:val="78E172CC"/>
    <w:rsid w:val="78EA1D1F"/>
    <w:rsid w:val="78F527D1"/>
    <w:rsid w:val="7904172F"/>
    <w:rsid w:val="790F7E27"/>
    <w:rsid w:val="792A231A"/>
    <w:rsid w:val="792C76C0"/>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BB43DA"/>
    <w:rsid w:val="7AC9522D"/>
    <w:rsid w:val="7AD05746"/>
    <w:rsid w:val="7AEB64F5"/>
    <w:rsid w:val="7B220D7A"/>
    <w:rsid w:val="7B257FFD"/>
    <w:rsid w:val="7B343476"/>
    <w:rsid w:val="7B5A2978"/>
    <w:rsid w:val="7B5A7E4C"/>
    <w:rsid w:val="7B66335D"/>
    <w:rsid w:val="7B667AF9"/>
    <w:rsid w:val="7B7468F8"/>
    <w:rsid w:val="7BA75723"/>
    <w:rsid w:val="7BDE77D6"/>
    <w:rsid w:val="7BEE0103"/>
    <w:rsid w:val="7C0A0FE4"/>
    <w:rsid w:val="7C254906"/>
    <w:rsid w:val="7C395948"/>
    <w:rsid w:val="7C590818"/>
    <w:rsid w:val="7C7C10F6"/>
    <w:rsid w:val="7C814A8D"/>
    <w:rsid w:val="7C853BEA"/>
    <w:rsid w:val="7C881368"/>
    <w:rsid w:val="7C8820A3"/>
    <w:rsid w:val="7C916173"/>
    <w:rsid w:val="7C944A9A"/>
    <w:rsid w:val="7CB31CF4"/>
    <w:rsid w:val="7CC81B0C"/>
    <w:rsid w:val="7CE27788"/>
    <w:rsid w:val="7D0C32F1"/>
    <w:rsid w:val="7D0F408D"/>
    <w:rsid w:val="7D28392F"/>
    <w:rsid w:val="7D491C6C"/>
    <w:rsid w:val="7D4C0DBF"/>
    <w:rsid w:val="7D5429C0"/>
    <w:rsid w:val="7D6E6D43"/>
    <w:rsid w:val="7D747887"/>
    <w:rsid w:val="7D91386A"/>
    <w:rsid w:val="7DB57A34"/>
    <w:rsid w:val="7DBA7990"/>
    <w:rsid w:val="7DBD2FDC"/>
    <w:rsid w:val="7DE60973"/>
    <w:rsid w:val="7DEF0916"/>
    <w:rsid w:val="7E0E3838"/>
    <w:rsid w:val="7E1E5218"/>
    <w:rsid w:val="7E9A4E1F"/>
    <w:rsid w:val="7EA7723A"/>
    <w:rsid w:val="7EE527EB"/>
    <w:rsid w:val="7EF56FBB"/>
    <w:rsid w:val="7F01514B"/>
    <w:rsid w:val="7F0768EB"/>
    <w:rsid w:val="7F143BEC"/>
    <w:rsid w:val="7F56725F"/>
    <w:rsid w:val="7F6477A9"/>
    <w:rsid w:val="7F715AF2"/>
    <w:rsid w:val="7F7D2300"/>
    <w:rsid w:val="7F814DD6"/>
    <w:rsid w:val="7F841183"/>
    <w:rsid w:val="7F886E69"/>
    <w:rsid w:val="7FFF5B2E"/>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2"/>
    <w:autoRedefine/>
    <w:qFormat/>
    <w:uiPriority w:val="0"/>
    <w:pPr>
      <w:ind w:firstLine="420"/>
    </w:pPr>
    <w:rPr>
      <w:rFonts w:hAnsi="Calibri" w:cs="Times New Roman"/>
      <w:snapToGrid/>
      <w:szCs w:val="20"/>
    </w:rPr>
  </w:style>
  <w:style w:type="paragraph" w:styleId="7">
    <w:name w:val="Normal Indent"/>
    <w:basedOn w:val="1"/>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2"/>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6"/>
    <w:autoRedefine/>
    <w:qFormat/>
    <w:uiPriority w:val="0"/>
    <w:pPr>
      <w:shd w:val="clear" w:color="auto" w:fill="000080"/>
    </w:pPr>
  </w:style>
  <w:style w:type="paragraph" w:styleId="21">
    <w:name w:val="annotation text"/>
    <w:basedOn w:val="1"/>
    <w:link w:val="345"/>
    <w:autoRedefine/>
    <w:qFormat/>
    <w:uiPriority w:val="99"/>
    <w:pPr>
      <w:jc w:val="left"/>
    </w:pPr>
  </w:style>
  <w:style w:type="paragraph" w:styleId="22">
    <w:name w:val="Salutation"/>
    <w:basedOn w:val="1"/>
    <w:next w:val="1"/>
    <w:link w:val="299"/>
    <w:autoRedefine/>
    <w:qFormat/>
    <w:uiPriority w:val="0"/>
    <w:rPr>
      <w:rFonts w:ascii="仿宋_GB2312" w:eastAsia="仿宋_GB2312"/>
      <w:sz w:val="28"/>
      <w:szCs w:val="20"/>
    </w:rPr>
  </w:style>
  <w:style w:type="paragraph" w:styleId="23">
    <w:name w:val="Body Text 3"/>
    <w:basedOn w:val="1"/>
    <w:link w:val="331"/>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7"/>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9"/>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5"/>
    <w:autoRedefine/>
    <w:qFormat/>
    <w:uiPriority w:val="0"/>
    <w:pPr>
      <w:ind w:left="100" w:leftChars="2500"/>
    </w:pPr>
    <w:rPr>
      <w:rFonts w:ascii="宋体"/>
      <w:sz w:val="24"/>
      <w:szCs w:val="21"/>
      <w:lang w:val="zh-CN"/>
    </w:rPr>
  </w:style>
  <w:style w:type="paragraph" w:styleId="37">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0"/>
    <w:autoRedefine/>
    <w:qFormat/>
    <w:uiPriority w:val="0"/>
    <w:rPr>
      <w:lang w:val="zh-CN"/>
    </w:rPr>
  </w:style>
  <w:style w:type="paragraph" w:styleId="39">
    <w:name w:val="Balloon Text"/>
    <w:basedOn w:val="1"/>
    <w:link w:val="192"/>
    <w:autoRedefine/>
    <w:qFormat/>
    <w:uiPriority w:val="0"/>
    <w:rPr>
      <w:sz w:val="18"/>
      <w:szCs w:val="18"/>
    </w:rPr>
  </w:style>
  <w:style w:type="paragraph" w:styleId="40">
    <w:name w:val="footer"/>
    <w:basedOn w:val="1"/>
    <w:link w:val="383"/>
    <w:autoRedefine/>
    <w:qFormat/>
    <w:uiPriority w:val="99"/>
    <w:pPr>
      <w:tabs>
        <w:tab w:val="center" w:pos="4153"/>
        <w:tab w:val="right" w:pos="8306"/>
      </w:tabs>
      <w:snapToGrid w:val="0"/>
      <w:jc w:val="left"/>
    </w:pPr>
    <w:rPr>
      <w:sz w:val="18"/>
      <w:szCs w:val="18"/>
    </w:rPr>
  </w:style>
  <w:style w:type="paragraph" w:styleId="41">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7"/>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3"/>
    <w:autoRedefine/>
    <w:qFormat/>
    <w:uiPriority w:val="0"/>
    <w:pPr>
      <w:spacing w:after="120" w:line="480" w:lineRule="auto"/>
    </w:pPr>
  </w:style>
  <w:style w:type="paragraph" w:styleId="57">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100"/>
    <w:autoRedefine/>
    <w:qFormat/>
    <w:uiPriority w:val="0"/>
    <w:rPr>
      <w:b/>
      <w:bCs/>
    </w:rPr>
  </w:style>
  <w:style w:type="paragraph" w:styleId="61">
    <w:name w:val="Body Text First Indent 2"/>
    <w:basedOn w:val="25"/>
    <w:next w:val="62"/>
    <w:link w:val="125"/>
    <w:autoRedefine/>
    <w:qFormat/>
    <w:uiPriority w:val="0"/>
    <w:pPr>
      <w:adjustRightInd/>
      <w:spacing w:after="120" w:line="240" w:lineRule="auto"/>
      <w:ind w:left="420" w:leftChars="200" w:firstLine="210"/>
    </w:pPr>
    <w:rPr>
      <w:sz w:val="21"/>
    </w:rPr>
  </w:style>
  <w:style w:type="paragraph" w:customStyle="1" w:styleId="62">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标题 2 Char"/>
    <w:autoRedefine/>
    <w:qFormat/>
    <w:uiPriority w:val="0"/>
    <w:rPr>
      <w:rFonts w:ascii="Arial" w:hAnsi="Arial" w:eastAsia="黑体"/>
      <w:b/>
      <w:kern w:val="2"/>
      <w:sz w:val="32"/>
      <w:lang w:val="en-US" w:eastAsia="zh-CN"/>
    </w:rPr>
  </w:style>
  <w:style w:type="character" w:customStyle="1" w:styleId="81">
    <w:name w:val="标题 4 字符"/>
    <w:autoRedefine/>
    <w:qFormat/>
    <w:uiPriority w:val="9"/>
    <w:rPr>
      <w:rFonts w:ascii="等线 Light" w:hAnsi="等线 Light" w:eastAsia="等线 Light" w:cs="Times New Roman"/>
      <w:b/>
      <w:bCs/>
      <w:snapToGrid w:val="0"/>
      <w:kern w:val="0"/>
      <w:sz w:val="28"/>
      <w:szCs w:val="28"/>
    </w:rPr>
  </w:style>
  <w:style w:type="character" w:customStyle="1" w:styleId="82">
    <w:name w:val="标题 1 字符1"/>
    <w:link w:val="4"/>
    <w:autoRedefine/>
    <w:qFormat/>
    <w:uiPriority w:val="9"/>
    <w:rPr>
      <w:b/>
      <w:bCs/>
      <w:kern w:val="44"/>
      <w:sz w:val="44"/>
      <w:szCs w:val="44"/>
    </w:rPr>
  </w:style>
  <w:style w:type="paragraph" w:customStyle="1" w:styleId="83">
    <w:name w:val="样式3"/>
    <w:basedOn w:val="33"/>
    <w:next w:val="1"/>
    <w:autoRedefine/>
    <w:qFormat/>
    <w:uiPriority w:val="0"/>
    <w:pPr>
      <w:tabs>
        <w:tab w:val="left" w:pos="2790"/>
        <w:tab w:val="left" w:pos="4230"/>
      </w:tabs>
      <w:spacing w:before="312" w:beforeLines="100"/>
      <w:jc w:val="left"/>
    </w:pPr>
  </w:style>
  <w:style w:type="paragraph" w:customStyle="1" w:styleId="8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styleId="8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字符"/>
    <w:link w:val="60"/>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1"/>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70"/>
    <w:autoRedefine/>
    <w:qFormat/>
    <w:uiPriority w:val="0"/>
    <w:rPr>
      <w:rFonts w:ascii="Arial" w:hAnsi="Arial" w:eastAsia="黑体" w:cs="Arial"/>
      <w:snapToGrid w:val="0"/>
      <w:kern w:val="0"/>
      <w:szCs w:val="21"/>
    </w:rPr>
  </w:style>
  <w:style w:type="character" w:customStyle="1" w:styleId="129">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字符"/>
    <w:link w:val="47"/>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sz w:val="22"/>
      <w:szCs w:val="22"/>
      <w:lang w:val="en-US" w:eastAsia="zh-CN" w:bidi="ar-SA"/>
    </w:rPr>
  </w:style>
  <w:style w:type="paragraph" w:customStyle="1" w:styleId="144">
    <w:name w:val="无间隔1"/>
    <w:link w:val="143"/>
    <w:autoRedefine/>
    <w:qFormat/>
    <w:uiPriority w:val="1"/>
    <w:rPr>
      <w:rFonts w:ascii="Times New Roman" w:hAnsi="Times New Roman" w:eastAsia="宋体" w:cs="Times New Roman"/>
      <w:sz w:val="22"/>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字符"/>
    <w:link w:val="10"/>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5"/>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字符"/>
    <w:link w:val="36"/>
    <w:autoRedefine/>
    <w:qFormat/>
    <w:uiPriority w:val="0"/>
    <w:rPr>
      <w:rFonts w:ascii="宋体"/>
      <w:kern w:val="2"/>
      <w:sz w:val="24"/>
      <w:szCs w:val="21"/>
      <w:lang w:val="zh-CN"/>
    </w:rPr>
  </w:style>
  <w:style w:type="character" w:customStyle="1" w:styleId="186">
    <w:name w:val="标题 9 字符"/>
    <w:link w:val="13"/>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0"/>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字符1"/>
    <w:link w:val="39"/>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7"/>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字符"/>
    <w:link w:val="20"/>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0"/>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3"/>
    <w:autoRedefine/>
    <w:qFormat/>
    <w:uiPriority w:val="0"/>
    <w:rPr>
      <w:rFonts w:ascii="仿宋_GB2312" w:hAnsi="仿宋" w:eastAsia="仿宋_GB2312" w:cs="仿宋_GB2312"/>
      <w:sz w:val="32"/>
      <w:szCs w:val="30"/>
      <w:lang w:val="zh-CN"/>
    </w:rPr>
  </w:style>
  <w:style w:type="character" w:customStyle="1" w:styleId="222">
    <w:name w:val="HTML 地址 字符"/>
    <w:link w:val="30"/>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8"/>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字符"/>
    <w:link w:val="18"/>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238"/>
    <w:autoRedefine/>
    <w:qFormat/>
    <w:uiPriority w:val="0"/>
    <w:rPr>
      <w:rFonts w:ascii="仿宋_GB2312" w:eastAsia="仿宋_GB2312" w:cs="仿宋_GB2312"/>
      <w:color w:val="000000"/>
      <w:sz w:val="24"/>
      <w:szCs w:val="24"/>
      <w:lang w:val="en-US" w:eastAsia="zh-CN" w:bidi="ar-SA"/>
    </w:rPr>
  </w:style>
  <w:style w:type="paragraph" w:customStyle="1" w:styleId="238">
    <w:name w:val="Default"/>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85"/>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字符1"/>
    <w:link w:val="25"/>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字符"/>
    <w:link w:val="59"/>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字符"/>
    <w:link w:val="9"/>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字符"/>
    <w:link w:val="22"/>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字符"/>
    <w:link w:val="57"/>
    <w:autoRedefine/>
    <w:qFormat/>
    <w:uiPriority w:val="0"/>
    <w:rPr>
      <w:rFonts w:ascii="黑体" w:hAnsi="Courier New" w:eastAsia="黑体"/>
    </w:rPr>
  </w:style>
  <w:style w:type="character" w:customStyle="1" w:styleId="303">
    <w:name w:val="正文文本 2 字符1"/>
    <w:link w:val="56"/>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8"/>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字符"/>
    <w:link w:val="11"/>
    <w:autoRedefine/>
    <w:qFormat/>
    <w:uiPriority w:val="0"/>
    <w:rPr>
      <w:b/>
      <w:bCs/>
      <w:kern w:val="2"/>
      <w:sz w:val="24"/>
      <w:szCs w:val="24"/>
    </w:rPr>
  </w:style>
  <w:style w:type="character" w:customStyle="1" w:styleId="309">
    <w:name w:val="正文文本缩进 2 字符"/>
    <w:link w:val="37"/>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字符"/>
    <w:link w:val="50"/>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文本首行缩进 字符"/>
    <w:link w:val="3"/>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字符1"/>
    <w:link w:val="8"/>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字符"/>
    <w:link w:val="23"/>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1"/>
    <w:autoRedefine/>
    <w:qFormat/>
    <w:uiPriority w:val="0"/>
    <w:rPr>
      <w:kern w:val="2"/>
      <w:sz w:val="21"/>
      <w:szCs w:val="24"/>
    </w:rPr>
  </w:style>
  <w:style w:type="character" w:customStyle="1" w:styleId="346">
    <w:name w:val="签名 字符"/>
    <w:link w:val="42"/>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2"/>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字符"/>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字符2"/>
    <w:link w:val="40"/>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字符2"/>
    <w:link w:val="41"/>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7"/>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8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6"/>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9"/>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8"/>
    <w:next w:val="238"/>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8"/>
    <w:next w:val="238"/>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8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6"/>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20"/>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5"/>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autoRedefine/>
    <w:qFormat/>
    <w:uiPriority w:val="0"/>
    <w:pPr>
      <w:tabs>
        <w:tab w:val="left" w:pos="1080"/>
      </w:tabs>
      <w:ind w:left="1080" w:hanging="1080"/>
    </w:pPr>
  </w:style>
  <w:style w:type="paragraph" w:customStyle="1" w:styleId="895">
    <w:name w:val="数字标题1"/>
    <w:basedOn w:val="4"/>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3"/>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字符"/>
    <w:link w:val="38"/>
    <w:autoRedefine/>
    <w:qFormat/>
    <w:uiPriority w:val="0"/>
    <w:rPr>
      <w:kern w:val="2"/>
      <w:sz w:val="21"/>
      <w:szCs w:val="24"/>
      <w:lang w:val="zh-CN"/>
    </w:rPr>
  </w:style>
  <w:style w:type="character" w:customStyle="1" w:styleId="931">
    <w:name w:val="无间隔 字符"/>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85"/>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7"/>
    <w:basedOn w:val="1"/>
    <w:autoRedefine/>
    <w:qFormat/>
    <w:uiPriority w:val="0"/>
    <w:pPr>
      <w:spacing w:line="318" w:lineRule="atLeast"/>
      <w:ind w:left="369" w:firstLine="369"/>
      <w:textAlignment w:val="baseline"/>
    </w:pPr>
    <w:rPr>
      <w:rFonts w:ascii="宋体"/>
      <w:szCs w:val="20"/>
    </w:rPr>
  </w:style>
  <w:style w:type="paragraph" w:customStyle="1" w:styleId="964">
    <w:name w:val="自动更正"/>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5">
    <w:name w:val="WPSOffice手动目录 1"/>
    <w:autoRedefine/>
    <w:qFormat/>
    <w:uiPriority w:val="0"/>
    <w:rPr>
      <w:rFonts w:ascii="Times New Roman" w:hAnsi="Times New Roman" w:eastAsia="宋体" w:cs="Times New Roman"/>
      <w:lang w:val="en-US" w:eastAsia="zh-CN" w:bidi="ar-SA"/>
    </w:rPr>
  </w:style>
  <w:style w:type="character" w:customStyle="1" w:styleId="966">
    <w:name w:val="标题 1 Char1"/>
    <w:autoRedefine/>
    <w:qFormat/>
    <w:uiPriority w:val="0"/>
    <w:rPr>
      <w:rFonts w:ascii="Times New Roman" w:hAnsi="Times New Roman" w:eastAsia="宋体" w:cs="Times New Roman"/>
      <w:b/>
      <w:bCs/>
      <w:kern w:val="44"/>
      <w:sz w:val="32"/>
      <w:szCs w:val="44"/>
    </w:rPr>
  </w:style>
  <w:style w:type="table" w:customStyle="1" w:styleId="967">
    <w:name w:val="Table Normal"/>
    <w:unhideWhenUsed/>
    <w:qFormat/>
    <w:uiPriority w:val="0"/>
    <w:tblPr>
      <w:tblCellMar>
        <w:top w:w="0" w:type="dxa"/>
        <w:left w:w="0" w:type="dxa"/>
        <w:bottom w:w="0" w:type="dxa"/>
        <w:right w:w="0" w:type="dxa"/>
      </w:tblCellMar>
    </w:tblPr>
  </w:style>
  <w:style w:type="paragraph" w:customStyle="1" w:styleId="96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6470</Words>
  <Characters>7027</Characters>
  <Lines>1580</Lines>
  <Paragraphs>1535</Paragraphs>
  <TotalTime>12</TotalTime>
  <ScaleCrop>false</ScaleCrop>
  <LinksUpToDate>false</LinksUpToDate>
  <CharactersWithSpaces>7374</CharactersWithSpaces>
  <Application>WPS Office_12.1.0.21541_F1E327BC-269C-435d-A152-05C5408002CA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2025-05-08T02:06:00Z</dcterms:created>
  <dc:creator>玥</dc:creator>
  <cp:lastModifiedBy>Jnkun</cp:lastModifiedBy>
  <cp:lastPrinted>2025-05-06T09:17:00Z</cp:lastPrinted>
  <dcterms:modified xsi:type="dcterms:W3CDTF">2025-06-30T07:53:13Z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1E32D8400BD14CD2BDB3398EBC80ED98_13</vt:lpwstr>
  </property>
  <property fmtid="{D5CDD505-2E9C-101B-9397-08002B2CF9AE}" pid="5" name="KSOTemplateDocerSaveRecord">
    <vt:lpwstr>eyJoZGlkIjoiZDQ3MTgzNzA2NzdiZWM1Yjg1YzAxNmU3NWNmODFjMmMiLCJ1c2VySWQiOiIxNzg2MzQ1MCJ9</vt:lpwstr>
  </property>
</Properties>
</file>