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jc w:val="center"/>
        <w:rPr>
          <w:rFonts w:ascii="宋体" w:hAnsi="宋体"/>
          <w:b/>
          <w:color w:val="auto"/>
          <w:sz w:val="52"/>
          <w:highlight w:val="none"/>
        </w:rPr>
      </w:pPr>
      <w:r>
        <w:rPr>
          <w:rFonts w:hint="eastAsia" w:ascii="宋体" w:hAnsi="宋体" w:eastAsia="宋体"/>
          <w:b/>
          <w:color w:val="auto"/>
          <w:sz w:val="36"/>
          <w:szCs w:val="36"/>
          <w:highlight w:val="none"/>
          <w:lang w:eastAsia="zh-CN"/>
        </w:rPr>
        <w:drawing>
          <wp:anchor distT="0" distB="0" distL="114300" distR="114300" simplePos="0" relativeHeight="251659264" behindDoc="0" locked="0" layoutInCell="1" allowOverlap="1">
            <wp:simplePos x="0" y="0"/>
            <wp:positionH relativeFrom="column">
              <wp:posOffset>-331470</wp:posOffset>
            </wp:positionH>
            <wp:positionV relativeFrom="paragraph">
              <wp:posOffset>-106045</wp:posOffset>
            </wp:positionV>
            <wp:extent cx="6259195" cy="8855075"/>
            <wp:effectExtent l="0" t="0" r="8255" b="3175"/>
            <wp:wrapSquare wrapText="bothSides"/>
            <wp:docPr id="1" name="图片 1" descr="img-Y23091954-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Y23091954-0001"/>
                    <pic:cNvPicPr>
                      <a:picLocks noChangeAspect="1"/>
                    </pic:cNvPicPr>
                  </pic:nvPicPr>
                  <pic:blipFill>
                    <a:blip r:embed="rId19"/>
                    <a:stretch>
                      <a:fillRect/>
                    </a:stretch>
                  </pic:blipFill>
                  <pic:spPr>
                    <a:xfrm>
                      <a:off x="0" y="0"/>
                      <a:ext cx="6259195" cy="8855075"/>
                    </a:xfrm>
                    <a:prstGeom prst="rect">
                      <a:avLst/>
                    </a:prstGeom>
                  </pic:spPr>
                </pic:pic>
              </a:graphicData>
            </a:graphic>
          </wp:anchor>
        </w:drawing>
      </w:r>
    </w:p>
    <w:p>
      <w:pPr>
        <w:tabs>
          <w:tab w:val="left" w:pos="0"/>
        </w:tabs>
        <w:spacing w:line="360" w:lineRule="auto"/>
        <w:ind w:left="2299" w:leftChars="238" w:hanging="1800" w:hangingChars="500"/>
        <w:rPr>
          <w:rFonts w:ascii="宋体" w:hAnsi="宋体"/>
          <w:b/>
          <w:color w:val="auto"/>
          <w:sz w:val="36"/>
          <w:szCs w:val="36"/>
          <w:highlight w:val="none"/>
          <w:u w:val="single"/>
        </w:rPr>
      </w:pPr>
    </w:p>
    <w:p>
      <w:pPr>
        <w:spacing w:line="360" w:lineRule="auto"/>
        <w:ind w:firstLine="360" w:firstLineChars="100"/>
        <w:rPr>
          <w:rFonts w:ascii="宋体" w:hAnsi="宋体"/>
          <w:b/>
          <w:color w:val="auto"/>
          <w:sz w:val="36"/>
          <w:szCs w:val="36"/>
          <w:highlight w:val="none"/>
        </w:rPr>
      </w:pPr>
    </w:p>
    <w:p>
      <w:pPr>
        <w:spacing w:line="360" w:lineRule="auto"/>
        <w:ind w:left="361" w:leftChars="172" w:firstLine="180" w:firstLineChars="50"/>
        <w:rPr>
          <w:rFonts w:ascii="宋体" w:hAnsi="宋体"/>
          <w:b/>
          <w:color w:val="auto"/>
          <w:sz w:val="36"/>
          <w:szCs w:val="36"/>
          <w:highlight w:val="none"/>
        </w:rPr>
      </w:pPr>
    </w:p>
    <w:p>
      <w:pPr>
        <w:spacing w:line="360" w:lineRule="auto"/>
        <w:jc w:val="center"/>
        <w:rPr>
          <w:rFonts w:ascii="宋体" w:hAnsi="宋体"/>
          <w:b/>
          <w:color w:val="auto"/>
          <w:sz w:val="36"/>
          <w:highlight w:val="none"/>
        </w:rPr>
      </w:pPr>
    </w:p>
    <w:p>
      <w:pPr>
        <w:spacing w:line="360" w:lineRule="auto"/>
        <w:jc w:val="center"/>
        <w:rPr>
          <w:rFonts w:ascii="宋体" w:hAnsi="宋体"/>
          <w:b/>
          <w:color w:val="auto"/>
          <w:sz w:val="36"/>
          <w:highlight w:val="none"/>
        </w:rPr>
      </w:pPr>
    </w:p>
    <w:p>
      <w:pPr>
        <w:spacing w:line="360" w:lineRule="auto"/>
        <w:jc w:val="center"/>
        <w:rPr>
          <w:rFonts w:ascii="宋体" w:hAnsi="宋体"/>
          <w:b/>
          <w:color w:val="auto"/>
          <w:sz w:val="36"/>
          <w:highlight w:val="none"/>
        </w:rPr>
      </w:pPr>
      <w:r>
        <w:rPr>
          <w:rFonts w:hint="eastAsia" w:ascii="宋体" w:hAnsi="宋体"/>
          <w:b/>
          <w:color w:val="auto"/>
          <w:sz w:val="36"/>
          <w:highlight w:val="none"/>
        </w:rPr>
        <w:t>目    录</w:t>
      </w:r>
    </w:p>
    <w:p>
      <w:pPr>
        <w:spacing w:line="360" w:lineRule="auto"/>
        <w:jc w:val="center"/>
        <w:rPr>
          <w:rFonts w:ascii="宋体" w:hAnsi="宋体"/>
          <w:b/>
          <w:color w:val="auto"/>
          <w:sz w:val="36"/>
          <w:highlight w:val="none"/>
        </w:rPr>
      </w:pPr>
    </w:p>
    <w:p>
      <w:pPr>
        <w:pStyle w:val="27"/>
        <w:tabs>
          <w:tab w:val="right" w:leader="dot" w:pos="8930"/>
        </w:tabs>
        <w:rPr>
          <w:color w:val="auto"/>
          <w:highlight w:val="none"/>
        </w:rPr>
      </w:pPr>
      <w:r>
        <w:rPr>
          <w:rFonts w:ascii="宋体" w:hAnsi="宋体"/>
          <w:b/>
          <w:color w:val="auto"/>
          <w:highlight w:val="none"/>
        </w:rPr>
        <w:fldChar w:fldCharType="begin"/>
      </w:r>
      <w:r>
        <w:rPr>
          <w:rFonts w:ascii="宋体" w:hAnsi="宋体"/>
          <w:b/>
          <w:color w:val="auto"/>
          <w:highlight w:val="none"/>
        </w:rPr>
        <w:instrText xml:space="preserve"> TOC \o "1-3" \h \z \u </w:instrText>
      </w:r>
      <w:r>
        <w:rPr>
          <w:rFonts w:ascii="宋体" w:hAnsi="宋体"/>
          <w:b/>
          <w:color w:val="auto"/>
          <w:highlight w:val="none"/>
        </w:rPr>
        <w:fldChar w:fldCharType="separate"/>
      </w:r>
      <w:r>
        <w:rPr>
          <w:rFonts w:ascii="宋体" w:hAnsi="宋体"/>
          <w:color w:val="auto"/>
          <w:highlight w:val="none"/>
        </w:rPr>
        <w:fldChar w:fldCharType="begin"/>
      </w:r>
      <w:r>
        <w:rPr>
          <w:rFonts w:ascii="宋体" w:hAnsi="宋体"/>
          <w:color w:val="auto"/>
          <w:highlight w:val="none"/>
        </w:rPr>
        <w:instrText xml:space="preserve"> HYPERLINK \l _Toc4591 </w:instrText>
      </w:r>
      <w:r>
        <w:rPr>
          <w:rFonts w:ascii="宋体" w:hAnsi="宋体"/>
          <w:color w:val="auto"/>
          <w:highlight w:val="none"/>
        </w:rPr>
        <w:fldChar w:fldCharType="separate"/>
      </w:r>
      <w:r>
        <w:rPr>
          <w:rFonts w:hint="eastAsia" w:ascii="宋体" w:hAnsi="宋体"/>
          <w:color w:val="auto"/>
          <w:szCs w:val="32"/>
          <w:highlight w:val="none"/>
        </w:rPr>
        <w:t>第一部分  采购公告</w:t>
      </w:r>
      <w:r>
        <w:rPr>
          <w:color w:val="auto"/>
          <w:highlight w:val="none"/>
        </w:rPr>
        <w:tab/>
      </w:r>
      <w:r>
        <w:rPr>
          <w:color w:val="auto"/>
          <w:highlight w:val="none"/>
        </w:rPr>
        <w:fldChar w:fldCharType="begin"/>
      </w:r>
      <w:r>
        <w:rPr>
          <w:color w:val="auto"/>
          <w:highlight w:val="none"/>
        </w:rPr>
        <w:instrText xml:space="preserve"> PAGEREF _Toc4591 </w:instrText>
      </w:r>
      <w:r>
        <w:rPr>
          <w:color w:val="auto"/>
          <w:highlight w:val="none"/>
        </w:rPr>
        <w:fldChar w:fldCharType="separate"/>
      </w:r>
      <w:r>
        <w:rPr>
          <w:color w:val="auto"/>
          <w:highlight w:val="none"/>
        </w:rPr>
        <w:t>1</w:t>
      </w:r>
      <w:r>
        <w:rPr>
          <w:color w:val="auto"/>
          <w:highlight w:val="none"/>
        </w:rPr>
        <w:fldChar w:fldCharType="end"/>
      </w:r>
      <w:r>
        <w:rPr>
          <w:rFonts w:ascii="宋体" w:hAnsi="宋体"/>
          <w:color w:val="auto"/>
          <w:highlight w:val="none"/>
        </w:rPr>
        <w:fldChar w:fldCharType="end"/>
      </w:r>
    </w:p>
    <w:p>
      <w:pPr>
        <w:pStyle w:val="27"/>
        <w:tabs>
          <w:tab w:val="right" w:leader="dot" w:pos="8930"/>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_Toc31447 </w:instrText>
      </w:r>
      <w:r>
        <w:rPr>
          <w:rFonts w:ascii="宋体" w:hAnsi="宋体"/>
          <w:color w:val="auto"/>
          <w:highlight w:val="none"/>
        </w:rPr>
        <w:fldChar w:fldCharType="separate"/>
      </w:r>
      <w:r>
        <w:rPr>
          <w:rFonts w:hint="eastAsia" w:ascii="宋体" w:hAnsi="宋体"/>
          <w:color w:val="auto"/>
          <w:szCs w:val="32"/>
          <w:highlight w:val="none"/>
        </w:rPr>
        <w:t>第二部分  投标资料表</w:t>
      </w:r>
      <w:r>
        <w:rPr>
          <w:color w:val="auto"/>
          <w:highlight w:val="none"/>
        </w:rPr>
        <w:tab/>
      </w:r>
      <w:r>
        <w:rPr>
          <w:color w:val="auto"/>
          <w:highlight w:val="none"/>
        </w:rPr>
        <w:fldChar w:fldCharType="begin"/>
      </w:r>
      <w:r>
        <w:rPr>
          <w:color w:val="auto"/>
          <w:highlight w:val="none"/>
        </w:rPr>
        <w:instrText xml:space="preserve"> PAGEREF _Toc31447 </w:instrText>
      </w:r>
      <w:r>
        <w:rPr>
          <w:color w:val="auto"/>
          <w:highlight w:val="none"/>
        </w:rPr>
        <w:fldChar w:fldCharType="separate"/>
      </w:r>
      <w:r>
        <w:rPr>
          <w:color w:val="auto"/>
          <w:highlight w:val="none"/>
        </w:rPr>
        <w:t>6</w:t>
      </w:r>
      <w:r>
        <w:rPr>
          <w:color w:val="auto"/>
          <w:highlight w:val="none"/>
        </w:rPr>
        <w:fldChar w:fldCharType="end"/>
      </w:r>
      <w:r>
        <w:rPr>
          <w:rFonts w:ascii="宋体" w:hAnsi="宋体"/>
          <w:color w:val="auto"/>
          <w:highlight w:val="none"/>
        </w:rPr>
        <w:fldChar w:fldCharType="end"/>
      </w:r>
    </w:p>
    <w:p>
      <w:pPr>
        <w:pStyle w:val="27"/>
        <w:tabs>
          <w:tab w:val="right" w:leader="dot" w:pos="8930"/>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_Toc14788 </w:instrText>
      </w:r>
      <w:r>
        <w:rPr>
          <w:rFonts w:ascii="宋体" w:hAnsi="宋体"/>
          <w:color w:val="auto"/>
          <w:highlight w:val="none"/>
        </w:rPr>
        <w:fldChar w:fldCharType="separate"/>
      </w:r>
      <w:r>
        <w:rPr>
          <w:rFonts w:hint="eastAsia"/>
          <w:color w:val="auto"/>
          <w:szCs w:val="32"/>
          <w:highlight w:val="none"/>
        </w:rPr>
        <w:t>第三部分投标人须知</w:t>
      </w:r>
      <w:r>
        <w:rPr>
          <w:color w:val="auto"/>
          <w:highlight w:val="none"/>
        </w:rPr>
        <w:tab/>
      </w:r>
      <w:r>
        <w:rPr>
          <w:color w:val="auto"/>
          <w:highlight w:val="none"/>
        </w:rPr>
        <w:fldChar w:fldCharType="begin"/>
      </w:r>
      <w:r>
        <w:rPr>
          <w:color w:val="auto"/>
          <w:highlight w:val="none"/>
        </w:rPr>
        <w:instrText xml:space="preserve"> PAGEREF _Toc14788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highlight w:val="none"/>
        </w:rPr>
        <w:fldChar w:fldCharType="end"/>
      </w:r>
    </w:p>
    <w:p>
      <w:pPr>
        <w:pStyle w:val="27"/>
        <w:tabs>
          <w:tab w:val="right" w:leader="dot" w:pos="8930"/>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_Toc5852 </w:instrText>
      </w:r>
      <w:r>
        <w:rPr>
          <w:rFonts w:ascii="宋体" w:hAnsi="宋体"/>
          <w:color w:val="auto"/>
          <w:highlight w:val="none"/>
        </w:rPr>
        <w:fldChar w:fldCharType="separate"/>
      </w:r>
      <w:r>
        <w:rPr>
          <w:rFonts w:hint="eastAsia" w:ascii="宋体" w:hAnsi="宋体"/>
          <w:color w:val="auto"/>
          <w:highlight w:val="none"/>
        </w:rPr>
        <w:t>第四部分 合同格式</w:t>
      </w:r>
      <w:r>
        <w:rPr>
          <w:color w:val="auto"/>
          <w:highlight w:val="none"/>
        </w:rPr>
        <w:tab/>
      </w:r>
      <w:r>
        <w:rPr>
          <w:color w:val="auto"/>
          <w:highlight w:val="none"/>
        </w:rPr>
        <w:fldChar w:fldCharType="begin"/>
      </w:r>
      <w:r>
        <w:rPr>
          <w:color w:val="auto"/>
          <w:highlight w:val="none"/>
        </w:rPr>
        <w:instrText xml:space="preserve"> PAGEREF _Toc5852 </w:instrText>
      </w:r>
      <w:r>
        <w:rPr>
          <w:color w:val="auto"/>
          <w:highlight w:val="none"/>
        </w:rPr>
        <w:fldChar w:fldCharType="separate"/>
      </w:r>
      <w:r>
        <w:rPr>
          <w:color w:val="auto"/>
          <w:highlight w:val="none"/>
        </w:rPr>
        <w:t>26</w:t>
      </w:r>
      <w:r>
        <w:rPr>
          <w:color w:val="auto"/>
          <w:highlight w:val="none"/>
        </w:rPr>
        <w:fldChar w:fldCharType="end"/>
      </w:r>
      <w:r>
        <w:rPr>
          <w:rFonts w:ascii="宋体" w:hAnsi="宋体"/>
          <w:color w:val="auto"/>
          <w:highlight w:val="none"/>
        </w:rPr>
        <w:fldChar w:fldCharType="end"/>
      </w:r>
    </w:p>
    <w:p>
      <w:pPr>
        <w:pStyle w:val="27"/>
        <w:tabs>
          <w:tab w:val="right" w:leader="dot" w:pos="8930"/>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_Toc31171 </w:instrText>
      </w:r>
      <w:r>
        <w:rPr>
          <w:rFonts w:ascii="宋体" w:hAnsi="宋体"/>
          <w:color w:val="auto"/>
          <w:highlight w:val="none"/>
        </w:rPr>
        <w:fldChar w:fldCharType="separate"/>
      </w:r>
      <w:r>
        <w:rPr>
          <w:rFonts w:hint="eastAsia" w:ascii="宋体" w:hAnsi="宋体"/>
          <w:color w:val="auto"/>
          <w:szCs w:val="32"/>
          <w:highlight w:val="none"/>
        </w:rPr>
        <w:t>第五部分  评标办法</w:t>
      </w:r>
      <w:r>
        <w:rPr>
          <w:color w:val="auto"/>
          <w:highlight w:val="none"/>
        </w:rPr>
        <w:tab/>
      </w:r>
      <w:r>
        <w:rPr>
          <w:color w:val="auto"/>
          <w:highlight w:val="none"/>
        </w:rPr>
        <w:fldChar w:fldCharType="begin"/>
      </w:r>
      <w:r>
        <w:rPr>
          <w:color w:val="auto"/>
          <w:highlight w:val="none"/>
        </w:rPr>
        <w:instrText xml:space="preserve"> PAGEREF _Toc31171 </w:instrText>
      </w:r>
      <w:r>
        <w:rPr>
          <w:color w:val="auto"/>
          <w:highlight w:val="none"/>
        </w:rPr>
        <w:fldChar w:fldCharType="separate"/>
      </w:r>
      <w:r>
        <w:rPr>
          <w:color w:val="auto"/>
          <w:highlight w:val="none"/>
        </w:rPr>
        <w:t>30</w:t>
      </w:r>
      <w:r>
        <w:rPr>
          <w:color w:val="auto"/>
          <w:highlight w:val="none"/>
        </w:rPr>
        <w:fldChar w:fldCharType="end"/>
      </w:r>
      <w:r>
        <w:rPr>
          <w:rFonts w:ascii="宋体" w:hAnsi="宋体"/>
          <w:color w:val="auto"/>
          <w:highlight w:val="none"/>
        </w:rPr>
        <w:fldChar w:fldCharType="end"/>
      </w:r>
    </w:p>
    <w:p>
      <w:pPr>
        <w:pStyle w:val="27"/>
        <w:tabs>
          <w:tab w:val="right" w:leader="dot" w:pos="8930"/>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_Toc19637 </w:instrText>
      </w:r>
      <w:r>
        <w:rPr>
          <w:rFonts w:ascii="宋体" w:hAnsi="宋体"/>
          <w:color w:val="auto"/>
          <w:highlight w:val="none"/>
        </w:rPr>
        <w:fldChar w:fldCharType="separate"/>
      </w:r>
      <w:r>
        <w:rPr>
          <w:rFonts w:hint="eastAsia" w:ascii="宋体" w:hAnsi="宋体"/>
          <w:color w:val="auto"/>
          <w:szCs w:val="32"/>
          <w:highlight w:val="none"/>
        </w:rPr>
        <w:t>第六部分 招标项目需求</w:t>
      </w:r>
      <w:r>
        <w:rPr>
          <w:color w:val="auto"/>
          <w:highlight w:val="none"/>
        </w:rPr>
        <w:tab/>
      </w:r>
      <w:r>
        <w:rPr>
          <w:color w:val="auto"/>
          <w:highlight w:val="none"/>
        </w:rPr>
        <w:fldChar w:fldCharType="begin"/>
      </w:r>
      <w:r>
        <w:rPr>
          <w:color w:val="auto"/>
          <w:highlight w:val="none"/>
        </w:rPr>
        <w:instrText xml:space="preserve"> PAGEREF _Toc19637 </w:instrText>
      </w:r>
      <w:r>
        <w:rPr>
          <w:color w:val="auto"/>
          <w:highlight w:val="none"/>
        </w:rPr>
        <w:fldChar w:fldCharType="separate"/>
      </w:r>
      <w:r>
        <w:rPr>
          <w:color w:val="auto"/>
          <w:highlight w:val="none"/>
        </w:rPr>
        <w:t>36</w:t>
      </w:r>
      <w:r>
        <w:rPr>
          <w:color w:val="auto"/>
          <w:highlight w:val="none"/>
        </w:rPr>
        <w:fldChar w:fldCharType="end"/>
      </w:r>
      <w:r>
        <w:rPr>
          <w:rFonts w:ascii="宋体" w:hAnsi="宋体"/>
          <w:color w:val="auto"/>
          <w:highlight w:val="none"/>
        </w:rPr>
        <w:fldChar w:fldCharType="end"/>
      </w:r>
    </w:p>
    <w:p>
      <w:pPr>
        <w:pStyle w:val="27"/>
        <w:tabs>
          <w:tab w:val="right" w:leader="dot" w:pos="8930"/>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_Toc1349 </w:instrText>
      </w:r>
      <w:r>
        <w:rPr>
          <w:rFonts w:ascii="宋体" w:hAnsi="宋体"/>
          <w:color w:val="auto"/>
          <w:highlight w:val="none"/>
        </w:rPr>
        <w:fldChar w:fldCharType="separate"/>
      </w:r>
      <w:r>
        <w:rPr>
          <w:rFonts w:hint="eastAsia" w:ascii="宋体" w:hAnsi="宋体"/>
          <w:color w:val="auto"/>
          <w:szCs w:val="32"/>
          <w:highlight w:val="none"/>
        </w:rPr>
        <w:t>第七部分 附件（投标文件格式）</w:t>
      </w:r>
      <w:r>
        <w:rPr>
          <w:color w:val="auto"/>
          <w:highlight w:val="none"/>
        </w:rPr>
        <w:tab/>
      </w:r>
      <w:r>
        <w:rPr>
          <w:color w:val="auto"/>
          <w:highlight w:val="none"/>
        </w:rPr>
        <w:fldChar w:fldCharType="begin"/>
      </w:r>
      <w:r>
        <w:rPr>
          <w:color w:val="auto"/>
          <w:highlight w:val="none"/>
        </w:rPr>
        <w:instrText xml:space="preserve"> PAGEREF _Toc1349 </w:instrText>
      </w:r>
      <w:r>
        <w:rPr>
          <w:color w:val="auto"/>
          <w:highlight w:val="none"/>
        </w:rPr>
        <w:fldChar w:fldCharType="separate"/>
      </w:r>
      <w:r>
        <w:rPr>
          <w:color w:val="auto"/>
          <w:highlight w:val="none"/>
        </w:rPr>
        <w:t>55</w:t>
      </w:r>
      <w:r>
        <w:rPr>
          <w:color w:val="auto"/>
          <w:highlight w:val="none"/>
        </w:rPr>
        <w:fldChar w:fldCharType="end"/>
      </w:r>
      <w:r>
        <w:rPr>
          <w:rFonts w:ascii="宋体" w:hAnsi="宋体"/>
          <w:color w:val="auto"/>
          <w:highlight w:val="none"/>
        </w:rPr>
        <w:fldChar w:fldCharType="end"/>
      </w:r>
    </w:p>
    <w:p>
      <w:pPr>
        <w:spacing w:line="360" w:lineRule="auto"/>
        <w:rPr>
          <w:rFonts w:ascii="宋体" w:hAnsi="宋体"/>
          <w:b/>
          <w:color w:val="auto"/>
          <w:sz w:val="36"/>
          <w:highlight w:val="none"/>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ascii="宋体" w:hAnsi="宋体"/>
          <w:color w:val="auto"/>
          <w:highlight w:val="none"/>
        </w:rPr>
        <w:fldChar w:fldCharType="end"/>
      </w:r>
    </w:p>
    <w:p>
      <w:pPr>
        <w:spacing w:line="360" w:lineRule="auto"/>
        <w:jc w:val="center"/>
        <w:rPr>
          <w:rFonts w:ascii="宋体" w:hAnsi="宋体"/>
          <w:b/>
          <w:color w:val="auto"/>
          <w:sz w:val="36"/>
          <w:highlight w:val="none"/>
        </w:rPr>
      </w:pPr>
    </w:p>
    <w:p>
      <w:pPr>
        <w:pStyle w:val="4"/>
        <w:spacing w:beforeLines="0" w:afterLines="0" w:line="360" w:lineRule="auto"/>
        <w:rPr>
          <w:rFonts w:ascii="宋体" w:hAnsi="宋体"/>
          <w:color w:val="auto"/>
          <w:sz w:val="32"/>
          <w:szCs w:val="32"/>
          <w:highlight w:val="none"/>
        </w:rPr>
      </w:pPr>
      <w:bookmarkStart w:id="0" w:name="_Toc298230957"/>
      <w:r>
        <w:rPr>
          <w:rFonts w:ascii="宋体" w:hAnsi="宋体"/>
          <w:color w:val="auto"/>
          <w:sz w:val="32"/>
          <w:szCs w:val="32"/>
          <w:highlight w:val="none"/>
        </w:rPr>
        <w:br w:type="page"/>
      </w:r>
      <w:bookmarkStart w:id="1" w:name="_Toc4591"/>
      <w:r>
        <w:rPr>
          <w:rFonts w:hint="eastAsia" w:ascii="宋体" w:hAnsi="宋体"/>
          <w:color w:val="auto"/>
          <w:sz w:val="32"/>
          <w:szCs w:val="32"/>
          <w:highlight w:val="none"/>
        </w:rPr>
        <w:t>第一部分</w:t>
      </w:r>
      <w:bookmarkEnd w:id="0"/>
      <w:r>
        <w:rPr>
          <w:rFonts w:hint="eastAsia" w:ascii="宋体" w:hAnsi="宋体"/>
          <w:color w:val="auto"/>
          <w:sz w:val="32"/>
          <w:szCs w:val="32"/>
          <w:highlight w:val="none"/>
        </w:rPr>
        <w:t xml:space="preserve">  采购公告</w:t>
      </w:r>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highlight w:val="none"/>
        </w:rPr>
      </w:pPr>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highlight w:val="none"/>
        </w:rPr>
      </w:pPr>
      <w:r>
        <w:rPr>
          <w:rFonts w:hint="eastAsia" w:ascii="宋体" w:hAnsi="宋体"/>
          <w:color w:val="auto"/>
          <w:highlight w:val="none"/>
          <w:u w:val="single"/>
          <w:lang w:eastAsia="zh-CN"/>
        </w:rPr>
        <w:t>短视频制作器材项目</w:t>
      </w:r>
      <w:r>
        <w:rPr>
          <w:rFonts w:hint="eastAsia" w:ascii="宋体" w:hAnsi="宋体"/>
          <w:color w:val="auto"/>
          <w:highlight w:val="none"/>
        </w:rPr>
        <w:t>招标项目的潜在投标人应在</w:t>
      </w:r>
      <w:r>
        <w:rPr>
          <w:rFonts w:hint="eastAsia" w:ascii="宋体" w:hAnsi="宋体"/>
          <w:color w:val="auto"/>
          <w:highlight w:val="none"/>
          <w:u w:val="single"/>
        </w:rPr>
        <w:t>政府采购云平台（</w:t>
      </w:r>
      <w:r>
        <w:rPr>
          <w:color w:val="auto"/>
          <w:highlight w:val="none"/>
        </w:rPr>
        <w:fldChar w:fldCharType="begin"/>
      </w:r>
      <w:r>
        <w:rPr>
          <w:color w:val="auto"/>
          <w:highlight w:val="none"/>
        </w:rPr>
        <w:instrText xml:space="preserve"> HYPERLINK "http://www.zcygov.cn）获取（下载）招标文件，并于2021年" </w:instrText>
      </w:r>
      <w:r>
        <w:rPr>
          <w:color w:val="auto"/>
          <w:highlight w:val="none"/>
        </w:rPr>
        <w:fldChar w:fldCharType="separate"/>
      </w:r>
      <w:r>
        <w:rPr>
          <w:rStyle w:val="40"/>
          <w:rFonts w:hint="eastAsia" w:ascii="宋体" w:hAnsi="宋体"/>
          <w:color w:val="auto"/>
          <w:highlight w:val="none"/>
        </w:rPr>
        <w:t>www.zcygov.cn）获取（下载）招标文件，并于2021</w:t>
      </w:r>
      <w:r>
        <w:rPr>
          <w:rStyle w:val="40"/>
          <w:rFonts w:hint="eastAsia" w:ascii="宋体" w:hAnsi="宋体"/>
          <w:bCs/>
          <w:color w:val="auto"/>
          <w:highlight w:val="none"/>
        </w:rPr>
        <w:t>年</w:t>
      </w:r>
      <w:r>
        <w:rPr>
          <w:rFonts w:ascii="宋体" w:hAnsi="宋体"/>
          <w:bCs/>
          <w:color w:val="auto"/>
          <w:highlight w:val="none"/>
        </w:rPr>
        <w:fldChar w:fldCharType="end"/>
      </w:r>
      <w:r>
        <w:rPr>
          <w:rFonts w:hint="eastAsia" w:ascii="宋体" w:hAnsi="宋体"/>
          <w:bCs/>
          <w:color w:val="auto"/>
          <w:highlight w:val="none"/>
          <w:u w:val="single"/>
          <w:lang w:val="en-US" w:eastAsia="zh-CN"/>
        </w:rPr>
        <w:t xml:space="preserve"> 12</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15</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30</w:t>
      </w:r>
      <w:r>
        <w:rPr>
          <w:rFonts w:hint="eastAsia" w:ascii="宋体" w:hAnsi="宋体"/>
          <w:bCs/>
          <w:color w:val="auto"/>
          <w:highlight w:val="none"/>
          <w:u w:val="single"/>
        </w:rPr>
        <w:t>分（</w:t>
      </w:r>
      <w:r>
        <w:rPr>
          <w:rFonts w:hint="eastAsia" w:ascii="宋体" w:hAnsi="宋体"/>
          <w:bCs/>
          <w:color w:val="auto"/>
          <w:highlight w:val="none"/>
        </w:rPr>
        <w:t>北京时间）前递交投标文件</w:t>
      </w:r>
      <w:r>
        <w:rPr>
          <w:rFonts w:hint="eastAsia" w:ascii="宋体" w:hAnsi="宋体"/>
          <w:color w:val="auto"/>
          <w:highlight w:val="none"/>
        </w:rPr>
        <w:t>。</w:t>
      </w:r>
    </w:p>
    <w:p>
      <w:pPr>
        <w:pStyle w:val="5"/>
        <w:spacing w:line="360" w:lineRule="auto"/>
        <w:jc w:val="both"/>
        <w:rPr>
          <w:rFonts w:ascii="宋体" w:hAnsi="宋体" w:cs="宋体"/>
          <w:color w:val="auto"/>
          <w:sz w:val="21"/>
          <w:szCs w:val="21"/>
          <w:highlight w:val="none"/>
        </w:rPr>
      </w:pPr>
      <w:bookmarkStart w:id="2" w:name="_Toc28359079"/>
      <w:bookmarkStart w:id="3" w:name="_Toc28359002"/>
      <w:bookmarkStart w:id="4" w:name="_Toc35393621"/>
      <w:bookmarkStart w:id="5" w:name="_Toc2239"/>
      <w:bookmarkStart w:id="6" w:name="_Toc35393790"/>
      <w:bookmarkStart w:id="7" w:name="_Hlk24379207"/>
      <w:r>
        <w:rPr>
          <w:rFonts w:hint="eastAsia" w:ascii="宋体" w:hAnsi="宋体" w:cs="宋体"/>
          <w:color w:val="auto"/>
          <w:sz w:val="21"/>
          <w:szCs w:val="21"/>
          <w:highlight w:val="none"/>
        </w:rPr>
        <w:t>一、项目基本情况</w:t>
      </w:r>
      <w:bookmarkEnd w:id="2"/>
      <w:bookmarkEnd w:id="3"/>
      <w:bookmarkEnd w:id="4"/>
      <w:bookmarkEnd w:id="5"/>
      <w:bookmarkEnd w:id="6"/>
    </w:p>
    <w:bookmarkEnd w:id="7"/>
    <w:p>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rPr>
        <w:t>项目编号</w:t>
      </w:r>
      <w:r>
        <w:rPr>
          <w:rFonts w:hint="eastAsia" w:ascii="宋体" w:hAnsi="宋体"/>
          <w:color w:val="auto"/>
          <w:highlight w:val="none"/>
          <w:lang w:eastAsia="zh-CN"/>
        </w:rPr>
        <w:t>：NBGZZB121104</w:t>
      </w:r>
    </w:p>
    <w:p>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短视频制作器材项目</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预算金额（元）： </w:t>
      </w:r>
      <w:r>
        <w:rPr>
          <w:rFonts w:hint="eastAsia" w:ascii="宋体" w:hAnsi="宋体"/>
          <w:color w:val="auto"/>
          <w:highlight w:val="none"/>
          <w:lang w:val="en-US" w:eastAsia="zh-CN"/>
        </w:rPr>
        <w:t>人民币480000元</w:t>
      </w:r>
      <w:r>
        <w:rPr>
          <w:rFonts w:hint="eastAsia" w:ascii="宋体" w:hAnsi="宋体"/>
          <w:color w:val="auto"/>
          <w:highlight w:val="none"/>
        </w:rPr>
        <w:t xml:space="preserve"> </w:t>
      </w:r>
    </w:p>
    <w:p>
      <w:pPr>
        <w:spacing w:line="360" w:lineRule="auto"/>
        <w:ind w:firstLine="420" w:firstLineChars="200"/>
        <w:rPr>
          <w:rFonts w:hint="default" w:ascii="宋体" w:hAnsi="宋体"/>
          <w:color w:val="auto"/>
          <w:highlight w:val="none"/>
          <w:lang w:val="en-US"/>
        </w:rPr>
      </w:pPr>
      <w:r>
        <w:rPr>
          <w:rFonts w:hint="eastAsia" w:ascii="宋体" w:hAnsi="宋体"/>
          <w:color w:val="auto"/>
          <w:highlight w:val="none"/>
        </w:rPr>
        <w:t xml:space="preserve">最高限价（元）： </w:t>
      </w:r>
      <w:r>
        <w:rPr>
          <w:rFonts w:hint="eastAsia" w:ascii="宋体" w:hAnsi="宋体"/>
          <w:color w:val="auto"/>
          <w:highlight w:val="none"/>
          <w:lang w:val="en-US" w:eastAsia="zh-CN"/>
        </w:rPr>
        <w:t>人民币479945元</w:t>
      </w:r>
    </w:p>
    <w:p>
      <w:pPr>
        <w:spacing w:line="360" w:lineRule="auto"/>
        <w:ind w:firstLine="420" w:firstLineChars="200"/>
        <w:rPr>
          <w:rFonts w:ascii="宋体" w:hAnsi="宋体"/>
          <w:color w:val="auto"/>
          <w:highlight w:val="none"/>
        </w:rPr>
      </w:pPr>
      <w:r>
        <w:rPr>
          <w:rFonts w:hint="eastAsia" w:ascii="宋体" w:hAnsi="宋体"/>
          <w:color w:val="auto"/>
          <w:highlight w:val="none"/>
        </w:rPr>
        <w:t>采购需求：</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  标项一：</w:t>
      </w:r>
    </w:p>
    <w:p>
      <w:pPr>
        <w:spacing w:line="360" w:lineRule="auto"/>
        <w:ind w:firstLine="630" w:firstLineChars="300"/>
        <w:rPr>
          <w:rFonts w:ascii="宋体" w:hAnsi="宋体"/>
          <w:color w:val="auto"/>
          <w:highlight w:val="none"/>
        </w:rPr>
      </w:pPr>
      <w:r>
        <w:rPr>
          <w:rFonts w:hint="eastAsia" w:ascii="宋体" w:hAnsi="宋体"/>
          <w:color w:val="auto"/>
          <w:highlight w:val="none"/>
        </w:rPr>
        <w:t>标项名称：</w:t>
      </w:r>
      <w:r>
        <w:rPr>
          <w:rFonts w:hint="eastAsia" w:ascii="宋体" w:hAnsi="宋体"/>
          <w:color w:val="auto"/>
          <w:highlight w:val="none"/>
          <w:lang w:val="en-US" w:eastAsia="zh-CN"/>
        </w:rPr>
        <w:t>短视频制作器材项目</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  数量：</w:t>
      </w:r>
      <w:r>
        <w:rPr>
          <w:rFonts w:hint="eastAsia" w:ascii="宋体" w:hAnsi="宋体" w:cs="宋体"/>
          <w:color w:val="auto"/>
          <w:sz w:val="21"/>
          <w:szCs w:val="21"/>
          <w:highlight w:val="none"/>
          <w:vertAlign w:val="baseline"/>
          <w:lang w:val="en-US" w:eastAsia="zh-CN"/>
        </w:rPr>
        <w:t>视频工作站</w:t>
      </w:r>
      <w:r>
        <w:rPr>
          <w:rFonts w:hint="eastAsia" w:ascii="宋体" w:hAnsi="宋体" w:eastAsia="宋体" w:cs="宋体"/>
          <w:color w:val="auto"/>
          <w:sz w:val="21"/>
          <w:szCs w:val="21"/>
          <w:highlight w:val="none"/>
          <w:vertAlign w:val="baseline"/>
          <w:lang w:val="en-US" w:eastAsia="zh-CN"/>
        </w:rPr>
        <w:t>（I类）</w:t>
      </w:r>
      <w:r>
        <w:rPr>
          <w:rFonts w:hint="eastAsia" w:ascii="宋体" w:hAnsi="宋体" w:cs="宋体"/>
          <w:color w:val="auto"/>
          <w:sz w:val="21"/>
          <w:szCs w:val="21"/>
          <w:highlight w:val="none"/>
          <w:vertAlign w:val="baseline"/>
          <w:lang w:val="en-US" w:eastAsia="zh-CN"/>
        </w:rPr>
        <w:t>1台、光纤存储阵列</w:t>
      </w:r>
      <w:r>
        <w:rPr>
          <w:rFonts w:hint="eastAsia" w:ascii="宋体" w:hAnsi="宋体" w:eastAsia="宋体" w:cs="宋体"/>
          <w:color w:val="auto"/>
          <w:sz w:val="21"/>
          <w:szCs w:val="21"/>
          <w:highlight w:val="none"/>
          <w:vertAlign w:val="baseline"/>
          <w:lang w:val="en-US" w:eastAsia="zh-CN"/>
        </w:rPr>
        <w:t>（II类）一台、</w:t>
      </w:r>
      <w:r>
        <w:rPr>
          <w:rFonts w:hint="eastAsia" w:ascii="宋体" w:hAnsi="宋体" w:cs="宋体"/>
          <w:color w:val="auto"/>
          <w:sz w:val="21"/>
          <w:szCs w:val="21"/>
          <w:highlight w:val="none"/>
          <w:vertAlign w:val="baseline"/>
          <w:lang w:val="en-US" w:eastAsia="zh-CN"/>
        </w:rPr>
        <w:t>微单视频机（III类）1批、调色系统（IV类）1批、镜头及附件（V类）1批、录音配件（VI类）1批、灯光系统（VII类）1批、供电系统（VIII类）1批、存储设备（IX类）1批、拍摄附件（X类）1批。</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rPr>
        <w:t xml:space="preserve">  预算金额（元）：</w:t>
      </w:r>
      <w:r>
        <w:rPr>
          <w:rFonts w:hint="eastAsia" w:ascii="宋体" w:hAnsi="宋体"/>
          <w:color w:val="auto"/>
          <w:highlight w:val="none"/>
          <w:lang w:val="en-US" w:eastAsia="zh-CN"/>
        </w:rPr>
        <w:t>480000</w:t>
      </w:r>
      <w:bookmarkStart w:id="168" w:name="_GoBack"/>
      <w:bookmarkEnd w:id="168"/>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  简要规格描述或项目基本概况介绍、用途：</w:t>
      </w:r>
      <w:r>
        <w:rPr>
          <w:rFonts w:hint="eastAsia" w:ascii="宋体" w:hAnsi="宋体" w:eastAsia="宋体" w:cs="Times New Roman"/>
          <w:color w:val="auto"/>
          <w:highlight w:val="none"/>
        </w:rPr>
        <w:t>视频工作站、光纤存储列阵、微单视频机等相关器材采购，主要</w:t>
      </w:r>
      <w:r>
        <w:rPr>
          <w:rFonts w:hint="eastAsia" w:ascii="宋体" w:hAnsi="宋体" w:eastAsia="宋体" w:cs="Times New Roman"/>
          <w:color w:val="auto"/>
          <w:highlight w:val="none"/>
          <w:lang w:val="en-US" w:eastAsia="zh-CN"/>
        </w:rPr>
        <w:t>采购</w:t>
      </w:r>
      <w:r>
        <w:rPr>
          <w:rFonts w:hint="eastAsia" w:ascii="宋体" w:hAnsi="宋体" w:eastAsia="宋体" w:cs="Times New Roman"/>
          <w:color w:val="auto"/>
          <w:highlight w:val="none"/>
        </w:rPr>
        <w:t>内容见第六部分招标项目需求。</w:t>
      </w:r>
    </w:p>
    <w:p>
      <w:pPr>
        <w:spacing w:line="400" w:lineRule="exact"/>
        <w:ind w:firstLine="630" w:firstLineChars="300"/>
        <w:rPr>
          <w:rFonts w:hint="eastAsia" w:ascii="宋体" w:hAnsi="宋体" w:eastAsia="宋体"/>
          <w:color w:val="auto"/>
          <w:highlight w:val="none"/>
          <w:lang w:val="en-US" w:eastAsia="zh-CN"/>
        </w:rPr>
      </w:pPr>
      <w:r>
        <w:rPr>
          <w:rFonts w:hint="eastAsia" w:ascii="宋体" w:hAnsi="宋体" w:cs="宋体"/>
          <w:color w:val="auto"/>
          <w:szCs w:val="21"/>
          <w:highlight w:val="none"/>
        </w:rPr>
        <w:t>备注：</w:t>
      </w:r>
      <w:r>
        <w:rPr>
          <w:rFonts w:hint="eastAsia" w:ascii="宋体" w:hAnsi="宋体" w:cs="宋体"/>
          <w:color w:val="auto"/>
          <w:szCs w:val="21"/>
          <w:highlight w:val="none"/>
          <w:lang w:val="en-US" w:eastAsia="zh-CN"/>
        </w:rPr>
        <w:t>标项一最高限价：47.9945万元</w:t>
      </w:r>
    </w:p>
    <w:p>
      <w:pPr>
        <w:spacing w:line="360" w:lineRule="auto"/>
        <w:ind w:firstLine="630" w:firstLineChars="300"/>
        <w:rPr>
          <w:rFonts w:hint="eastAsia" w:ascii="宋体" w:hAnsi="宋体"/>
          <w:color w:val="auto"/>
          <w:szCs w:val="22"/>
          <w:highlight w:val="none"/>
        </w:rPr>
      </w:pPr>
      <w:r>
        <w:rPr>
          <w:rFonts w:hint="eastAsia" w:ascii="宋体" w:hAnsi="宋体"/>
          <w:color w:val="auto"/>
          <w:szCs w:val="22"/>
          <w:highlight w:val="none"/>
        </w:rPr>
        <w:t>合同履约期限：</w:t>
      </w:r>
      <w:r>
        <w:rPr>
          <w:rFonts w:hint="eastAsia" w:ascii="宋体" w:hAnsi="宋体"/>
          <w:color w:val="auto"/>
          <w:highlight w:val="none"/>
        </w:rPr>
        <w:t>本项目周期为</w:t>
      </w:r>
      <w:r>
        <w:rPr>
          <w:rFonts w:hint="eastAsia" w:ascii="宋体" w:hAnsi="宋体"/>
          <w:color w:val="auto"/>
          <w:highlight w:val="none"/>
          <w:lang w:val="en-US" w:eastAsia="zh-CN"/>
        </w:rPr>
        <w:t>5</w:t>
      </w:r>
      <w:r>
        <w:rPr>
          <w:rFonts w:hint="eastAsia" w:ascii="宋体" w:hAnsi="宋体"/>
          <w:color w:val="auto"/>
          <w:highlight w:val="none"/>
        </w:rPr>
        <w:t>个月（含试运行时间）：自合同签订之日起至</w:t>
      </w:r>
      <w:r>
        <w:rPr>
          <w:rFonts w:hint="eastAsia" w:ascii="宋体" w:hAnsi="宋体"/>
          <w:color w:val="auto"/>
          <w:highlight w:val="none"/>
          <w:lang w:val="en-US" w:eastAsia="zh-CN"/>
        </w:rPr>
        <w:t>2</w:t>
      </w:r>
      <w:r>
        <w:rPr>
          <w:rFonts w:hint="eastAsia" w:ascii="宋体" w:hAnsi="宋体"/>
          <w:color w:val="auto"/>
          <w:highlight w:val="none"/>
        </w:rPr>
        <w:t>个月内完成安装调试、</w:t>
      </w:r>
      <w:r>
        <w:rPr>
          <w:rFonts w:hint="eastAsia" w:ascii="宋体" w:hAnsi="宋体"/>
          <w:color w:val="auto"/>
          <w:highlight w:val="none"/>
          <w:lang w:eastAsia="zh-CN"/>
        </w:rPr>
        <w:t>整体</w:t>
      </w:r>
      <w:r>
        <w:rPr>
          <w:rFonts w:hint="eastAsia" w:ascii="宋体" w:hAnsi="宋体"/>
          <w:color w:val="auto"/>
          <w:highlight w:val="none"/>
        </w:rPr>
        <w:t>测试，协助</w:t>
      </w:r>
      <w:r>
        <w:rPr>
          <w:rFonts w:hint="eastAsia" w:ascii="宋体" w:hAnsi="宋体"/>
          <w:color w:val="auto"/>
          <w:highlight w:val="none"/>
          <w:lang w:eastAsia="zh-CN"/>
        </w:rPr>
        <w:t>用户</w:t>
      </w:r>
      <w:r>
        <w:rPr>
          <w:rFonts w:hint="eastAsia" w:ascii="宋体" w:hAnsi="宋体"/>
          <w:color w:val="auto"/>
          <w:highlight w:val="none"/>
        </w:rPr>
        <w:t>备份及拷贝数据等工作，经初验合格后上线试运行，试运行时间不少于3个月。</w:t>
      </w:r>
    </w:p>
    <w:p>
      <w:pPr>
        <w:spacing w:line="360" w:lineRule="auto"/>
        <w:ind w:firstLine="420" w:firstLineChars="200"/>
        <w:rPr>
          <w:rFonts w:hint="eastAsia" w:ascii="宋体" w:hAnsi="宋体"/>
          <w:color w:val="auto"/>
          <w:szCs w:val="22"/>
          <w:highlight w:val="none"/>
        </w:rPr>
      </w:pPr>
      <w:r>
        <w:rPr>
          <w:rFonts w:hint="eastAsia" w:ascii="宋体" w:hAnsi="宋体"/>
          <w:color w:val="auto"/>
          <w:szCs w:val="22"/>
          <w:highlight w:val="none"/>
        </w:rPr>
        <w:t>本项目（否）接受联合体投标。</w:t>
      </w:r>
    </w:p>
    <w:p>
      <w:pPr>
        <w:pStyle w:val="5"/>
        <w:spacing w:line="360" w:lineRule="auto"/>
        <w:jc w:val="both"/>
        <w:rPr>
          <w:rFonts w:ascii="宋体" w:hAnsi="宋体" w:cs="宋体"/>
          <w:color w:val="auto"/>
          <w:sz w:val="21"/>
          <w:szCs w:val="21"/>
          <w:highlight w:val="none"/>
        </w:rPr>
      </w:pPr>
      <w:bookmarkStart w:id="8" w:name="_Toc28359003"/>
      <w:bookmarkStart w:id="9" w:name="_Toc35393622"/>
      <w:bookmarkStart w:id="10" w:name="_Toc6195"/>
      <w:bookmarkStart w:id="11" w:name="_Toc35393791"/>
      <w:bookmarkStart w:id="12" w:name="_Toc28359080"/>
      <w:r>
        <w:rPr>
          <w:rFonts w:hint="eastAsia" w:ascii="宋体" w:hAnsi="宋体" w:cs="宋体"/>
          <w:color w:val="auto"/>
          <w:sz w:val="21"/>
          <w:szCs w:val="21"/>
          <w:highlight w:val="none"/>
        </w:rPr>
        <w:t>二、申请人的资格要求：</w:t>
      </w:r>
      <w:bookmarkEnd w:id="8"/>
      <w:bookmarkEnd w:id="9"/>
      <w:bookmarkEnd w:id="10"/>
      <w:bookmarkEnd w:id="11"/>
      <w:bookmarkEnd w:id="12"/>
    </w:p>
    <w:p>
      <w:pPr>
        <w:spacing w:line="360" w:lineRule="auto"/>
        <w:ind w:firstLine="420" w:firstLineChars="200"/>
        <w:rPr>
          <w:rFonts w:ascii="宋体" w:hAnsi="宋体"/>
          <w:color w:val="auto"/>
          <w:szCs w:val="21"/>
          <w:highlight w:val="none"/>
        </w:rPr>
      </w:pPr>
      <w:bookmarkStart w:id="13" w:name="_Toc28359081"/>
      <w:bookmarkStart w:id="14" w:name="_Toc28359004"/>
      <w:r>
        <w:rPr>
          <w:rFonts w:hint="eastAsia" w:ascii="宋体" w:hAnsi="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olor w:val="auto"/>
          <w:highlight w:val="none"/>
        </w:rPr>
      </w:pPr>
      <w:r>
        <w:rPr>
          <w:rFonts w:hint="eastAsia" w:ascii="宋体" w:hAnsi="宋体"/>
          <w:color w:val="auto"/>
          <w:highlight w:val="none"/>
        </w:rPr>
        <w:t>2.落实政府采购政策需满足的资格要求：无。</w:t>
      </w:r>
    </w:p>
    <w:p>
      <w:pPr>
        <w:spacing w:line="360" w:lineRule="auto"/>
        <w:ind w:firstLine="420" w:firstLineChars="200"/>
        <w:rPr>
          <w:rFonts w:hint="eastAsia" w:ascii="宋体" w:hAnsi="宋体" w:eastAsia="宋体"/>
          <w:color w:val="auto"/>
          <w:highlight w:val="none"/>
          <w:lang w:val="en-US" w:eastAsia="zh-CN"/>
        </w:rPr>
      </w:pPr>
      <w:r>
        <w:rPr>
          <w:rFonts w:hint="eastAsia" w:ascii="宋体" w:hAnsi="宋体"/>
          <w:color w:val="auto"/>
          <w:highlight w:val="none"/>
        </w:rPr>
        <w:t>3.本项目的特定资格要求：不接受联合体投标。</w:t>
      </w:r>
    </w:p>
    <w:p>
      <w:pPr>
        <w:pStyle w:val="5"/>
        <w:spacing w:line="360" w:lineRule="auto"/>
        <w:jc w:val="both"/>
        <w:rPr>
          <w:rFonts w:ascii="宋体" w:hAnsi="宋体" w:cs="宋体"/>
          <w:color w:val="auto"/>
          <w:sz w:val="21"/>
          <w:szCs w:val="21"/>
          <w:highlight w:val="none"/>
        </w:rPr>
      </w:pPr>
      <w:bookmarkStart w:id="15" w:name="_Toc31776"/>
      <w:bookmarkStart w:id="16" w:name="_Toc35393623"/>
      <w:bookmarkStart w:id="17" w:name="_Toc35393792"/>
      <w:r>
        <w:rPr>
          <w:rFonts w:hint="eastAsia" w:ascii="宋体" w:hAnsi="宋体" w:cs="宋体"/>
          <w:color w:val="auto"/>
          <w:sz w:val="21"/>
          <w:szCs w:val="21"/>
          <w:highlight w:val="none"/>
        </w:rPr>
        <w:t>三、获取招标文件</w:t>
      </w:r>
      <w:bookmarkEnd w:id="13"/>
      <w:bookmarkEnd w:id="14"/>
      <w:bookmarkEnd w:id="15"/>
      <w:bookmarkEnd w:id="16"/>
      <w:bookmarkEnd w:id="17"/>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时间：</w:t>
      </w:r>
      <w:r>
        <w:rPr>
          <w:rFonts w:hint="eastAsia" w:ascii="宋体" w:hAnsi="宋体"/>
          <w:color w:val="auto"/>
          <w:highlight w:val="none"/>
          <w:u w:val="single"/>
        </w:rPr>
        <w:t>2021</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11</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24</w:t>
      </w:r>
      <w:r>
        <w:rPr>
          <w:rFonts w:hint="eastAsia" w:ascii="宋体" w:hAnsi="宋体"/>
          <w:bCs/>
          <w:color w:val="auto"/>
          <w:highlight w:val="none"/>
          <w:u w:val="single"/>
        </w:rPr>
        <w:t>日</w:t>
      </w:r>
      <w:r>
        <w:rPr>
          <w:rFonts w:hint="eastAsia" w:ascii="宋体" w:hAnsi="宋体"/>
          <w:color w:val="auto"/>
          <w:highlight w:val="none"/>
        </w:rPr>
        <w:t>至</w:t>
      </w:r>
      <w:r>
        <w:rPr>
          <w:rFonts w:hint="eastAsia" w:ascii="宋体" w:hAnsi="宋体"/>
          <w:color w:val="auto"/>
          <w:highlight w:val="none"/>
          <w:u w:val="single"/>
        </w:rPr>
        <w:t>2021</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12</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w:t>
      </w:r>
      <w:r>
        <w:rPr>
          <w:rFonts w:hint="eastAsia" w:ascii="宋体" w:hAnsi="宋体"/>
          <w:bCs/>
          <w:color w:val="auto"/>
          <w:highlight w:val="none"/>
          <w:u w:val="single"/>
        </w:rPr>
        <w:t>日</w:t>
      </w:r>
      <w:r>
        <w:rPr>
          <w:rFonts w:hint="eastAsia" w:ascii="宋体" w:hAnsi="宋体" w:cs="宋体"/>
          <w:color w:val="auto"/>
          <w:highlight w:val="none"/>
        </w:rPr>
        <w:t>，每天上午</w:t>
      </w:r>
      <w:r>
        <w:rPr>
          <w:rFonts w:hint="eastAsia" w:ascii="宋体" w:hAnsi="宋体" w:cs="宋体"/>
          <w:color w:val="auto"/>
          <w:highlight w:val="none"/>
          <w:u w:val="single"/>
        </w:rPr>
        <w:t>00:00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12:00</w:t>
      </w:r>
      <w:r>
        <w:rPr>
          <w:rFonts w:hint="eastAsia" w:ascii="宋体" w:hAnsi="宋体" w:cs="宋体"/>
          <w:color w:val="auto"/>
          <w:highlight w:val="none"/>
        </w:rPr>
        <w:t>至</w:t>
      </w:r>
      <w:r>
        <w:rPr>
          <w:rFonts w:hint="eastAsia" w:ascii="宋体" w:hAnsi="宋体" w:cs="宋体"/>
          <w:color w:val="auto"/>
          <w:highlight w:val="none"/>
          <w:u w:val="single"/>
        </w:rPr>
        <w:t>23:59</w:t>
      </w:r>
      <w:r>
        <w:rPr>
          <w:rFonts w:hint="eastAsia" w:ascii="宋体" w:hAnsi="宋体" w:cs="宋体"/>
          <w:color w:val="auto"/>
          <w:highlight w:val="none"/>
        </w:rPr>
        <w:t>（北京时间）</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地点：</w:t>
      </w:r>
      <w:r>
        <w:rPr>
          <w:rFonts w:hint="eastAsia" w:ascii="宋体" w:hAnsi="宋体"/>
          <w:color w:val="auto"/>
          <w:highlight w:val="none"/>
        </w:rPr>
        <w:t>政府采购云平台（http://www.zcygov.cn/）。</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方式：本项目实行“政府采购云平台”（http://www.zcygov.cn/）网上获取。</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（1）根据《浙江省政府采购供应商注册及诚信管理暂行办法》规定，已在“政府采购云平台”（www.zcygov.cn）或“浙江政府采购网”（ zfcg.czt.zj.gov.cn）注册的投标人获取路径：【用户登录】—【项目采购】—【获取采购文件】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（2）未注册投标人获取路径：【商家入驻】—完成政府采购供应商入驻注册—【项目采购】—【获取采购文件】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请注意注册所需时间。</w:t>
      </w:r>
    </w:p>
    <w:p>
      <w:pPr>
        <w:spacing w:line="360" w:lineRule="auto"/>
        <w:ind w:firstLine="420" w:firstLineChars="200"/>
        <w:jc w:val="left"/>
        <w:rPr>
          <w:rFonts w:ascii="宋体" w:hAnsi="宋体"/>
          <w:color w:val="auto"/>
          <w:highlight w:val="none"/>
        </w:rPr>
      </w:pPr>
      <w:r>
        <w:rPr>
          <w:rFonts w:hint="eastAsia" w:ascii="宋体" w:hAnsi="宋体" w:cs="宋体"/>
          <w:color w:val="auto"/>
          <w:highlight w:val="none"/>
        </w:rPr>
        <w:t>注册入驻操作指南：h</w:t>
      </w:r>
      <w:r>
        <w:rPr>
          <w:rFonts w:hint="eastAsia" w:ascii="宋体" w:hAnsi="宋体"/>
          <w:color w:val="auto"/>
          <w:highlight w:val="none"/>
        </w:rPr>
        <w:t>ttps://service.zcygov.cn/#/knowledges/cm2eqWwBFdiHxlNd_otq/w3Cd3GwBFdiHxlNd-BRD</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注册咨询电话：400-881-7190</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只有在“浙江政府采购网”完成获取采购文件申请并下载了采购文件后才视作依法获取采购文件（法律法规所指的供应商获取采购文件时间以供应商完成获取采购文件申请后下载采购文件的时间为准）。</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通过本公告下方“游客，浏览采购文件”下载的采购文件仅供浏览，不视作参与本项目。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售价：免费。</w:t>
      </w:r>
    </w:p>
    <w:p>
      <w:pPr>
        <w:spacing w:line="360" w:lineRule="auto"/>
        <w:ind w:firstLine="420" w:firstLineChars="200"/>
        <w:rPr>
          <w:rFonts w:ascii="宋体" w:hAnsi="宋体" w:cs="宋体"/>
          <w:color w:val="auto"/>
          <w:highlight w:val="none"/>
        </w:rPr>
      </w:pPr>
    </w:p>
    <w:p>
      <w:pPr>
        <w:pStyle w:val="5"/>
        <w:spacing w:line="360" w:lineRule="auto"/>
        <w:jc w:val="both"/>
        <w:rPr>
          <w:rFonts w:ascii="宋体" w:hAnsi="宋体" w:cs="宋体"/>
          <w:color w:val="auto"/>
          <w:sz w:val="21"/>
          <w:szCs w:val="21"/>
          <w:highlight w:val="none"/>
        </w:rPr>
      </w:pPr>
      <w:bookmarkStart w:id="18" w:name="_Toc28359082"/>
      <w:bookmarkStart w:id="19" w:name="_Toc28359005"/>
      <w:bookmarkStart w:id="20" w:name="_Toc35393793"/>
      <w:bookmarkStart w:id="21" w:name="_Toc35393624"/>
      <w:bookmarkStart w:id="22" w:name="_Toc4016"/>
      <w:r>
        <w:rPr>
          <w:rFonts w:hint="eastAsia" w:ascii="宋体" w:hAnsi="宋体" w:cs="宋体"/>
          <w:color w:val="auto"/>
          <w:sz w:val="21"/>
          <w:szCs w:val="21"/>
          <w:highlight w:val="none"/>
        </w:rPr>
        <w:t>四、提交投标文件</w:t>
      </w:r>
      <w:bookmarkEnd w:id="18"/>
      <w:bookmarkEnd w:id="19"/>
      <w:r>
        <w:rPr>
          <w:rFonts w:hint="eastAsia" w:ascii="宋体" w:hAnsi="宋体" w:cs="宋体"/>
          <w:color w:val="auto"/>
          <w:sz w:val="21"/>
          <w:szCs w:val="21"/>
          <w:highlight w:val="none"/>
        </w:rPr>
        <w:t>截止时间、开标时间和地点</w:t>
      </w:r>
      <w:bookmarkEnd w:id="20"/>
      <w:bookmarkEnd w:id="21"/>
      <w:bookmarkEnd w:id="22"/>
    </w:p>
    <w:p>
      <w:pPr>
        <w:spacing w:line="360" w:lineRule="auto"/>
        <w:ind w:firstLine="420" w:firstLineChars="200"/>
        <w:rPr>
          <w:rFonts w:ascii="宋体" w:hAnsi="宋体"/>
          <w:bCs/>
          <w:color w:val="auto"/>
          <w:szCs w:val="21"/>
          <w:highlight w:val="none"/>
        </w:rPr>
      </w:pPr>
      <w:r>
        <w:rPr>
          <w:rFonts w:hint="eastAsia" w:ascii="宋体" w:hAnsi="宋体" w:cs="宋体"/>
          <w:color w:val="auto"/>
          <w:highlight w:val="none"/>
        </w:rPr>
        <w:t>提交投标文件截止时间：</w:t>
      </w:r>
      <w:r>
        <w:rPr>
          <w:rFonts w:hint="eastAsia" w:ascii="宋体" w:hAnsi="宋体"/>
          <w:color w:val="auto"/>
          <w:highlight w:val="none"/>
          <w:u w:val="single"/>
        </w:rPr>
        <w:t>2021</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12</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15</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30</w:t>
      </w:r>
      <w:r>
        <w:rPr>
          <w:rFonts w:hint="eastAsia" w:ascii="宋体" w:hAnsi="宋体"/>
          <w:bCs/>
          <w:color w:val="auto"/>
          <w:highlight w:val="none"/>
          <w:u w:val="single"/>
        </w:rPr>
        <w:t>分</w:t>
      </w:r>
      <w:r>
        <w:rPr>
          <w:rFonts w:hint="eastAsia" w:ascii="宋体" w:hAnsi="宋体"/>
          <w:bCs/>
          <w:color w:val="auto"/>
          <w:highlight w:val="none"/>
        </w:rPr>
        <w:t>（北京时间），</w:t>
      </w:r>
      <w:r>
        <w:rPr>
          <w:rFonts w:hint="eastAsia" w:ascii="宋体" w:hAnsi="宋体"/>
          <w:color w:val="auto"/>
          <w:szCs w:val="21"/>
          <w:highlight w:val="none"/>
        </w:rPr>
        <w:t>投标</w:t>
      </w:r>
      <w:r>
        <w:rPr>
          <w:rFonts w:ascii="宋体" w:hAnsi="宋体"/>
          <w:color w:val="auto"/>
          <w:szCs w:val="21"/>
          <w:highlight w:val="none"/>
        </w:rPr>
        <w:t>人应在</w:t>
      </w:r>
      <w:r>
        <w:rPr>
          <w:rFonts w:hint="eastAsia" w:ascii="宋体" w:hAnsi="宋体"/>
          <w:color w:val="auto"/>
          <w:szCs w:val="21"/>
          <w:highlight w:val="none"/>
        </w:rPr>
        <w:t>投标</w:t>
      </w:r>
      <w:r>
        <w:rPr>
          <w:rFonts w:ascii="宋体" w:hAnsi="宋体"/>
          <w:color w:val="auto"/>
          <w:szCs w:val="21"/>
          <w:highlight w:val="none"/>
        </w:rPr>
        <w:t>截止时间前</w:t>
      </w:r>
      <w:r>
        <w:rPr>
          <w:rFonts w:hint="eastAsia" w:ascii="宋体" w:hAnsi="宋体"/>
          <w:color w:val="auto"/>
          <w:szCs w:val="21"/>
          <w:highlight w:val="none"/>
        </w:rPr>
        <w:t>将电子加密投标文件上传到“政采云”平台，逾期上传或上传不成功的，其投标无效。</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投标地点（网址）：政采云（https：//www.zcygov.cn）</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开标时间：</w:t>
      </w:r>
      <w:r>
        <w:rPr>
          <w:rFonts w:hint="eastAsia" w:ascii="宋体" w:hAnsi="宋体"/>
          <w:color w:val="auto"/>
          <w:highlight w:val="none"/>
          <w:u w:val="single"/>
        </w:rPr>
        <w:t>2021</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12</w:t>
      </w:r>
      <w:r>
        <w:rPr>
          <w:rFonts w:hint="eastAsia" w:ascii="宋体" w:hAnsi="宋体"/>
          <w:bCs/>
          <w:color w:val="auto"/>
          <w:highlight w:val="none"/>
          <w:u w:val="single"/>
        </w:rPr>
        <w:t xml:space="preserve">月 </w:t>
      </w:r>
      <w:r>
        <w:rPr>
          <w:rFonts w:hint="eastAsia" w:ascii="宋体" w:hAnsi="宋体"/>
          <w:bCs/>
          <w:color w:val="auto"/>
          <w:highlight w:val="none"/>
          <w:u w:val="single"/>
          <w:lang w:val="en-US" w:eastAsia="zh-CN"/>
        </w:rPr>
        <w:t>15</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30</w:t>
      </w:r>
      <w:r>
        <w:rPr>
          <w:rFonts w:hint="eastAsia" w:ascii="宋体" w:hAnsi="宋体"/>
          <w:bCs/>
          <w:color w:val="auto"/>
          <w:highlight w:val="none"/>
          <w:u w:val="single"/>
        </w:rPr>
        <w:t>分</w:t>
      </w:r>
      <w:r>
        <w:rPr>
          <w:rFonts w:hint="eastAsia" w:ascii="宋体" w:hAnsi="宋体"/>
          <w:bCs/>
          <w:color w:val="auto"/>
          <w:highlight w:val="none"/>
        </w:rPr>
        <w:t>（北京时间）</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开标地点（网址）：</w:t>
      </w:r>
      <w:r>
        <w:rPr>
          <w:rFonts w:hint="eastAsia" w:ascii="宋体" w:hAnsi="宋体"/>
          <w:color w:val="auto"/>
          <w:highlight w:val="none"/>
        </w:rPr>
        <w:t>宁波市鄞州区行政服务中心五楼开标室（鄞州区蕙江路567号，详见电子显示屏）</w:t>
      </w:r>
      <w:r>
        <w:rPr>
          <w:rFonts w:hint="eastAsia" w:ascii="宋体" w:hAnsi="宋体" w:cs="宋体"/>
          <w:bCs/>
          <w:color w:val="auto"/>
          <w:kern w:val="0"/>
          <w:szCs w:val="21"/>
          <w:highlight w:val="none"/>
        </w:rPr>
        <w:t>进行网上(www.zcygov.cn)开标</w:t>
      </w:r>
    </w:p>
    <w:p>
      <w:pPr>
        <w:spacing w:line="360" w:lineRule="auto"/>
        <w:ind w:firstLine="420" w:firstLineChars="200"/>
        <w:rPr>
          <w:rFonts w:ascii="宋体" w:hAnsi="宋体"/>
          <w:bCs/>
          <w:color w:val="auto"/>
          <w:highlight w:val="none"/>
          <w:u w:val="single"/>
        </w:rPr>
      </w:pPr>
    </w:p>
    <w:p>
      <w:pPr>
        <w:pStyle w:val="5"/>
        <w:spacing w:line="360" w:lineRule="auto"/>
        <w:jc w:val="both"/>
        <w:rPr>
          <w:rFonts w:ascii="宋体" w:hAnsi="宋体" w:cs="宋体"/>
          <w:color w:val="auto"/>
          <w:sz w:val="21"/>
          <w:szCs w:val="21"/>
          <w:highlight w:val="none"/>
        </w:rPr>
      </w:pPr>
      <w:bookmarkStart w:id="23" w:name="_Toc28359084"/>
      <w:bookmarkStart w:id="24" w:name="_Toc35393625"/>
      <w:bookmarkStart w:id="25" w:name="_Toc28359007"/>
      <w:bookmarkStart w:id="26" w:name="_Toc35393794"/>
      <w:bookmarkStart w:id="27" w:name="_Toc29797"/>
      <w:r>
        <w:rPr>
          <w:rFonts w:hint="eastAsia" w:ascii="宋体" w:hAnsi="宋体" w:cs="宋体"/>
          <w:color w:val="auto"/>
          <w:sz w:val="21"/>
          <w:szCs w:val="21"/>
          <w:highlight w:val="none"/>
        </w:rPr>
        <w:t>五、公告期限</w:t>
      </w:r>
      <w:bookmarkEnd w:id="23"/>
      <w:bookmarkEnd w:id="24"/>
      <w:bookmarkEnd w:id="25"/>
      <w:bookmarkEnd w:id="26"/>
      <w:bookmarkEnd w:id="27"/>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pPr>
        <w:pStyle w:val="5"/>
        <w:keepLines/>
        <w:numPr>
          <w:ilvl w:val="0"/>
          <w:numId w:val="7"/>
        </w:numPr>
        <w:spacing w:before="260" w:after="260" w:line="360" w:lineRule="exact"/>
        <w:jc w:val="both"/>
        <w:rPr>
          <w:rFonts w:ascii="宋体" w:hAnsi="宋体" w:cs="宋体"/>
          <w:bCs w:val="0"/>
          <w:color w:val="auto"/>
          <w:sz w:val="21"/>
          <w:szCs w:val="21"/>
          <w:highlight w:val="none"/>
        </w:rPr>
      </w:pPr>
      <w:bookmarkStart w:id="28" w:name="_Toc35393795"/>
      <w:bookmarkStart w:id="29" w:name="_Toc4036"/>
      <w:bookmarkStart w:id="30" w:name="_Toc35393626"/>
      <w:bookmarkStart w:id="31" w:name="_Toc28359008"/>
      <w:bookmarkStart w:id="32" w:name="_Toc35393796"/>
      <w:bookmarkStart w:id="33" w:name="_Toc35393627"/>
      <w:bookmarkStart w:id="34" w:name="_Toc28359085"/>
      <w:r>
        <w:rPr>
          <w:rFonts w:hint="eastAsia" w:ascii="宋体" w:hAnsi="宋体" w:cs="宋体"/>
          <w:bCs w:val="0"/>
          <w:color w:val="auto"/>
          <w:sz w:val="21"/>
          <w:szCs w:val="21"/>
          <w:highlight w:val="none"/>
        </w:rPr>
        <w:t>其他补充事宜</w:t>
      </w:r>
      <w:bookmarkEnd w:id="28"/>
      <w:bookmarkEnd w:id="29"/>
      <w:bookmarkEnd w:id="30"/>
    </w:p>
    <w:p>
      <w:pPr>
        <w:spacing w:line="400" w:lineRule="exact"/>
        <w:ind w:firstLine="476" w:firstLineChars="227"/>
        <w:rPr>
          <w:rFonts w:ascii="宋体" w:hAnsi="宋体" w:cs="宋体"/>
          <w:color w:val="auto"/>
          <w:szCs w:val="21"/>
          <w:highlight w:val="none"/>
        </w:rPr>
      </w:pPr>
      <w:r>
        <w:rPr>
          <w:rFonts w:hint="eastAsia" w:ascii="宋体" w:hAnsi="宋体" w:cs="宋体"/>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76" w:firstLineChars="227"/>
        <w:rPr>
          <w:rFonts w:ascii="宋体" w:hAnsi="宋体" w:cs="宋体"/>
          <w:b/>
          <w:bCs/>
          <w:color w:val="auto"/>
          <w:szCs w:val="21"/>
          <w:highlight w:val="none"/>
        </w:rPr>
      </w:pPr>
      <w:r>
        <w:rPr>
          <w:rFonts w:hint="eastAsia" w:ascii="宋体" w:hAnsi="宋体" w:cs="宋体"/>
          <w:b/>
          <w:bCs/>
          <w:color w:val="auto"/>
          <w:szCs w:val="21"/>
          <w:highlight w:val="none"/>
        </w:rPr>
        <w:t>2.其他事项：</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2.1、在线询问及在线质疑操作方式</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2.1.1在线询问</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潜在供应商获取采购文件后，对政府采购活动事项有疑问的，可对该项目进行在线询问及查看询问答复，访问路径如下：应用中心（登录首页）—项目采购—询问质疑投诉—询问列表；</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2.1.2在线质疑</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供应商认为采购文件、采购过程、中标或者成交结果使自己的权益受到损害的，可以在知道或者应知其权益受到损害之日起7个工作日内，对采购文件、采购过程、采购结果进行在线质疑（需在线签章）并查看质疑答复，访问路径如下：</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应用中心（登录首页）—项目采购—询问质疑投诉—质疑列表；</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 xml:space="preserve">2.2、供应商应于提交投标文件截止时间前将电子加密投标文件上传到政府采购云平台www.zcygov.cn，未上传电子投标文件，视为供应商放弃投标。 </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 xml:space="preserve">2.3、供应商在“政府采购云平台”完成“电子加密投标文件”的上传递交之外，还可以（邮寄形式或派人现场提交，以招标代理机构联系人签收时间为准）在投标截止时间前提交以介质（U盘）存储的数据电文形式的“备份投标文件”，备份电子投标文件递交可采用现场递交或邮寄的方式。 </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（一）现场递交方式，供应商可安排一名“甬行码”为绿色的授权代表在投标截止时间前将电子备份投标文件送至</w:t>
      </w:r>
      <w:r>
        <w:rPr>
          <w:rFonts w:hint="eastAsia" w:ascii="宋体" w:hAnsi="宋体"/>
          <w:b/>
          <w:bCs/>
          <w:color w:val="auto"/>
          <w:highlight w:val="none"/>
          <w:u w:val="single"/>
        </w:rPr>
        <w:t>宁波市鄞州区行政服务中心五楼开标室（鄞州区蕙江路567号，详见电子显示屏）</w:t>
      </w:r>
      <w:r>
        <w:rPr>
          <w:rFonts w:hint="eastAsia" w:ascii="宋体" w:hAnsi="宋体" w:cs="宋体"/>
          <w:bCs/>
          <w:color w:val="auto"/>
          <w:szCs w:val="21"/>
          <w:highlight w:val="none"/>
        </w:rPr>
        <w:t xml:space="preserve">，投标文件递交时须同时递交供应商的法定代表人（或其授权代表）联系方式，并保证开标期间联系方式畅通。 </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（二）邮寄送达。供应商可以通过邮寄送达电子备份投标文件，送达地址宁波国咨工程造价咨询有限公司（宁波市鄞州区和源路510号宁兴国贸大厦</w:t>
      </w:r>
      <w:r>
        <w:rPr>
          <w:rFonts w:hint="eastAsia" w:ascii="宋体" w:hAnsi="宋体" w:cs="宋体"/>
          <w:bCs/>
          <w:color w:val="auto"/>
          <w:szCs w:val="21"/>
          <w:highlight w:val="none"/>
          <w:lang w:eastAsia="zh-CN"/>
        </w:rPr>
        <w:t>2017室</w:t>
      </w:r>
      <w:r>
        <w:rPr>
          <w:rFonts w:hint="eastAsia" w:ascii="宋体" w:hAnsi="宋体" w:cs="宋体"/>
          <w:bCs/>
          <w:color w:val="auto"/>
          <w:szCs w:val="21"/>
          <w:highlight w:val="none"/>
        </w:rPr>
        <w:t>），联系方式：</w:t>
      </w:r>
      <w:r>
        <w:rPr>
          <w:rFonts w:hint="eastAsia" w:ascii="宋体" w:hAnsi="宋体" w:cs="宋体"/>
          <w:bCs/>
          <w:color w:val="auto"/>
          <w:szCs w:val="21"/>
          <w:highlight w:val="none"/>
          <w:lang w:eastAsia="zh-CN"/>
        </w:rPr>
        <w:t>0574－87193548</w:t>
      </w:r>
      <w:r>
        <w:rPr>
          <w:rFonts w:hint="eastAsia" w:ascii="宋体" w:hAnsi="宋体" w:cs="宋体"/>
          <w:bCs/>
          <w:color w:val="auto"/>
          <w:szCs w:val="21"/>
          <w:highlight w:val="none"/>
        </w:rPr>
        <w:t>。供应商邮寄后须将邮件单号发送至代理机构电子邮箱（电子邮箱：</w:t>
      </w:r>
      <w:r>
        <w:rPr>
          <w:rFonts w:hint="eastAsia" w:ascii="宋体" w:hAnsi="宋体" w:eastAsia="宋体" w:cs="宋体"/>
          <w:bCs/>
          <w:color w:val="auto"/>
          <w:szCs w:val="21"/>
          <w:highlight w:val="none"/>
          <w:lang w:eastAsia="zh-CN"/>
        </w:rPr>
        <w:fldChar w:fldCharType="begin"/>
      </w:r>
      <w:r>
        <w:rPr>
          <w:rFonts w:hint="eastAsia" w:ascii="宋体" w:hAnsi="宋体" w:eastAsia="宋体" w:cs="宋体"/>
          <w:bCs/>
          <w:color w:val="auto"/>
          <w:szCs w:val="21"/>
          <w:highlight w:val="none"/>
          <w:lang w:eastAsia="zh-CN"/>
        </w:rPr>
        <w:instrText xml:space="preserve"> HYPERLINK "mailto:1485526832@qq.com），并致电采购代理机构，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电子投标文件邮寄送达截止时间2021年" </w:instrText>
      </w:r>
      <w:r>
        <w:rPr>
          <w:rFonts w:hint="eastAsia" w:ascii="宋体" w:hAnsi="宋体" w:eastAsia="宋体" w:cs="宋体"/>
          <w:bCs/>
          <w:color w:val="auto"/>
          <w:szCs w:val="21"/>
          <w:highlight w:val="none"/>
          <w:lang w:eastAsia="zh-CN"/>
        </w:rPr>
        <w:fldChar w:fldCharType="separate"/>
      </w:r>
      <w:r>
        <w:rPr>
          <w:rFonts w:hint="eastAsia" w:ascii="宋体" w:hAnsi="宋体" w:eastAsia="宋体" w:cs="宋体"/>
          <w:bCs/>
          <w:color w:val="auto"/>
          <w:szCs w:val="21"/>
          <w:highlight w:val="none"/>
          <w:lang w:eastAsia="zh-CN"/>
        </w:rPr>
        <w:t>1485526832@qq.com</w:t>
      </w:r>
      <w:r>
        <w:rPr>
          <w:rFonts w:hint="eastAsia" w:ascii="宋体" w:hAnsi="宋体" w:eastAsia="宋体" w:cs="宋体"/>
          <w:bCs/>
          <w:color w:val="auto"/>
          <w:szCs w:val="21"/>
          <w:highlight w:val="none"/>
        </w:rPr>
        <w:t>），并致电采购代理机构，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电子投标文件邮寄送达截止时间</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2021年</w:t>
      </w:r>
      <w:r>
        <w:rPr>
          <w:rFonts w:hint="eastAsia" w:ascii="宋体" w:hAnsi="宋体" w:eastAsia="宋体" w:cs="宋体"/>
          <w:bCs/>
          <w:color w:val="auto"/>
          <w:szCs w:val="21"/>
          <w:highlight w:val="none"/>
          <w:lang w:eastAsia="zh-CN"/>
        </w:rPr>
        <w:fldChar w:fldCharType="end"/>
      </w:r>
      <w:r>
        <w:rPr>
          <w:rFonts w:hint="eastAsia" w:ascii="宋体" w:hAnsi="宋体" w:cs="宋体"/>
          <w:bCs/>
          <w:color w:val="auto"/>
          <w:szCs w:val="21"/>
          <w:highlight w:val="none"/>
          <w:lang w:val="en-US" w:eastAsia="zh-CN"/>
        </w:rPr>
        <w:t>12</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lang w:val="en-US" w:eastAsia="zh-CN"/>
        </w:rPr>
        <w:t xml:space="preserve"> </w:t>
      </w:r>
      <w:r>
        <w:rPr>
          <w:rFonts w:hint="eastAsia" w:ascii="宋体" w:hAnsi="宋体" w:cs="宋体"/>
          <w:bCs/>
          <w:color w:val="auto"/>
          <w:szCs w:val="21"/>
          <w:highlight w:val="none"/>
          <w:lang w:val="en-US" w:eastAsia="zh-CN"/>
        </w:rPr>
        <w:t>14</w:t>
      </w:r>
      <w:r>
        <w:rPr>
          <w:rFonts w:hint="eastAsia" w:ascii="宋体" w:hAnsi="宋体" w:eastAsia="宋体" w:cs="宋体"/>
          <w:bCs/>
          <w:color w:val="auto"/>
          <w:szCs w:val="21"/>
          <w:highlight w:val="none"/>
        </w:rPr>
        <w:t xml:space="preserve">日17:00。 </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 xml:space="preserve">疫情防控期间，不要求投标人员必须到场参加现场开标，若投标人员需参加现场开标，应全程佩戴口罩等防护用具，自觉接受体温检测、接受疫情询问，并如实报告相关情况。请各投标人员遵守宁波高新区公共资源交易中心各项防疫措施规定。由于疫情防控的影响，请提早安排送标时间。 </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2.4、开标时间后</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0分钟内（2021年</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日上午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前）供应商可以登录政采云平台，用“项目采购-开标评标”功能进行解密投标文件。若供应商在规定时间内（2021年</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日上午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前）无法解密或解密失败，可以以备份电子投标文件作为依据，若备份电子投标文件与政采云平台上传的投标文件被识别为不一致的，</w:t>
      </w:r>
      <w:r>
        <w:rPr>
          <w:rFonts w:hint="eastAsia" w:ascii="宋体" w:hAnsi="宋体" w:cs="仿宋"/>
          <w:bCs/>
          <w:color w:val="auto"/>
          <w:szCs w:val="21"/>
          <w:highlight w:val="none"/>
        </w:rPr>
        <w:t>仍以备份电子投标文件作为评审依据</w:t>
      </w:r>
      <w:r>
        <w:rPr>
          <w:rFonts w:hint="eastAsia" w:ascii="宋体" w:hAnsi="宋体" w:cs="宋体"/>
          <w:bCs/>
          <w:color w:val="auto"/>
          <w:szCs w:val="21"/>
          <w:highlight w:val="none"/>
        </w:rPr>
        <w:t xml:space="preserve">；供应商按时在线解密投标文件的，以在线解密的投标文件作为评审依据，采购代理机构于开评标结束后将备份电子投标文件退回给供应商。若供应商在规定时间内无法解密或解密失败且未提供备份电子投标文件的，视为投标人放弃投标。 </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 xml:space="preserve">3、采购项目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文）、财库〔2019〕18号和财库〔2019〕19号。 </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 xml:space="preserve">4、投标与开标注意事项： 投标形式：本项目实行网上投标，采用电子投标文件。若供应商参与投标，自行承担投标一切费用。 标前准备：各供应商应在开标前应确保成为浙江省政府采购网正式注册入库供应商，并完成CA数字证书办理（供应商CA申领操作指南：https://help.zcygov.cn/web/site_2/2018/11-29/2452.html，完成CA数字证书办理预计一周左右，请供应商自行把握时间）。因未注册入库、未办理CA数字证书等原因造成无法获取采购文件、无法投标或投标失败等后果由供应商自行承担。 </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5、投标文件制作： 应按照本项目招标文件和政采云平台的要求编制、加密并递交投标文件。供应商在使用系统进行投标的过程中遇到涉及平台使用的任何问题，可致电政采云平台技术支持热线400-881-7190或政采云服务专员电话0574-63917219。 投标人通过政采云平台电子投标工具制作投标文件，电子投标工具请供应商自行前往浙江省政府采购网下载并安装，下载网址：http://zfcg.czt.zj.gov.cn/bidClientTemplate/2019-05-27/12946.html， 供应商投标文件制作及电子交易操作指南： https://help.zcygov.cn/web/site_2/2019/08-20/3406.html（手机观看）、 https://service.zcygov.cn/#/knowledges/CW1EtGwBFdiHxlNd6I3m/7GyLXW0BXgMSmLUuYuPM（电脑登录账号后观看）、https://help.zcygov.cn/web/site_2/2018/12-28/2575.html （PDF操作指南）</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 xml:space="preserve"> 6、根据财库【2016】125号文要求，采购人或采购代理机构对投标人的信用记录进行查询并甄别：</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1）信用信息查询的截止时点：投标截止时间；</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2）查询渠道：“信用中国”（www.creditchina.gov.cn)、中国政府采购网（www.ccgp.gov.cn）；</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3）信用信息查询记录和证据留存具体方式：打印查询网页并与其他采购文件一并保存；</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4）信用信息的使用规则：投标人存在不良信用记录的，其投标将被作为无效投标处理。不良信用记录指：被列入失信被执行人、重大税收违法案件当事人名单、政府采购严重违法失信行为记录名单。</w:t>
      </w:r>
    </w:p>
    <w:p>
      <w:pPr>
        <w:spacing w:line="400" w:lineRule="exact"/>
        <w:ind w:firstLine="476" w:firstLineChars="227"/>
        <w:rPr>
          <w:rFonts w:ascii="宋体" w:hAnsi="宋体" w:cs="宋体"/>
          <w:bCs/>
          <w:color w:val="auto"/>
          <w:szCs w:val="21"/>
          <w:highlight w:val="none"/>
        </w:rPr>
      </w:pPr>
      <w:r>
        <w:rPr>
          <w:rFonts w:hint="eastAsia" w:ascii="宋体" w:hAnsi="宋体" w:cs="宋体"/>
          <w:bCs/>
          <w:color w:val="auto"/>
          <w:szCs w:val="21"/>
          <w:highlight w:val="none"/>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bookmarkEnd w:id="31"/>
      <w:bookmarkEnd w:id="32"/>
      <w:bookmarkEnd w:id="33"/>
      <w:bookmarkEnd w:id="34"/>
      <w:r>
        <w:rPr>
          <w:rFonts w:hint="eastAsia" w:ascii="宋体" w:hAnsi="宋体" w:cs="宋体"/>
          <w:bCs/>
          <w:color w:val="auto"/>
          <w:szCs w:val="21"/>
          <w:highlight w:val="none"/>
        </w:rPr>
        <w:t>。</w:t>
      </w:r>
    </w:p>
    <w:p>
      <w:pPr>
        <w:pStyle w:val="5"/>
        <w:keepLines/>
        <w:numPr>
          <w:ilvl w:val="0"/>
          <w:numId w:val="7"/>
        </w:numPr>
        <w:spacing w:before="260" w:after="260" w:line="360" w:lineRule="exact"/>
        <w:jc w:val="both"/>
        <w:rPr>
          <w:rFonts w:ascii="宋体" w:hAnsi="宋体" w:cs="宋体"/>
          <w:bCs w:val="0"/>
          <w:color w:val="auto"/>
          <w:sz w:val="21"/>
          <w:szCs w:val="21"/>
          <w:highlight w:val="none"/>
        </w:rPr>
      </w:pPr>
      <w:bookmarkStart w:id="35" w:name="_Toc10783"/>
      <w:r>
        <w:rPr>
          <w:rFonts w:hint="eastAsia" w:ascii="宋体" w:hAnsi="宋体" w:cs="宋体"/>
          <w:bCs w:val="0"/>
          <w:color w:val="auto"/>
          <w:sz w:val="21"/>
          <w:szCs w:val="21"/>
          <w:highlight w:val="none"/>
        </w:rPr>
        <w:t>对本次采购提出询问、质疑、投诉，请按以下方式联系。</w:t>
      </w:r>
      <w:bookmarkEnd w:id="35"/>
    </w:p>
    <w:p>
      <w:pPr>
        <w:widowControl/>
        <w:spacing w:line="400" w:lineRule="exact"/>
        <w:ind w:left="141" w:leftChars="67" w:hanging="1"/>
        <w:jc w:val="left"/>
        <w:rPr>
          <w:rFonts w:ascii="宋体" w:hAnsi="宋体" w:cs="宋体"/>
          <w:color w:val="auto"/>
          <w:szCs w:val="21"/>
          <w:highlight w:val="none"/>
        </w:rPr>
      </w:pPr>
      <w:r>
        <w:rPr>
          <w:rFonts w:hint="eastAsia" w:ascii="宋体" w:hAnsi="宋体" w:cs="宋体"/>
          <w:color w:val="auto"/>
          <w:szCs w:val="21"/>
          <w:highlight w:val="none"/>
        </w:rPr>
        <w:t>1.采购人信息</w:t>
      </w:r>
    </w:p>
    <w:p>
      <w:pPr>
        <w:widowControl/>
        <w:spacing w:line="360" w:lineRule="auto"/>
        <w:ind w:firstLine="420" w:firstLineChars="200"/>
        <w:jc w:val="left"/>
        <w:rPr>
          <w:rFonts w:hint="eastAsia" w:ascii="宋体" w:hAnsi="宋体" w:eastAsia="宋体" w:cs="宋体"/>
          <w:color w:val="auto"/>
          <w:highlight w:val="none"/>
          <w:u w:val="single"/>
          <w:lang w:eastAsia="zh-CN"/>
        </w:rPr>
      </w:pPr>
      <w:r>
        <w:rPr>
          <w:rFonts w:hint="eastAsia" w:ascii="宋体" w:hAnsi="宋体" w:cs="宋体"/>
          <w:color w:val="auto"/>
          <w:highlight w:val="none"/>
        </w:rPr>
        <w:t>名    称：</w:t>
      </w:r>
      <w:r>
        <w:rPr>
          <w:rFonts w:hint="eastAsia" w:ascii="宋体" w:hAnsi="宋体" w:cs="宋体"/>
          <w:color w:val="auto"/>
          <w:highlight w:val="none"/>
          <w:u w:val="single"/>
          <w:lang w:eastAsia="zh-CN"/>
        </w:rPr>
        <w:t xml:space="preserve">宁波市公安局鄞州分局  </w:t>
      </w:r>
    </w:p>
    <w:p>
      <w:pPr>
        <w:widowControl/>
        <w:spacing w:line="360" w:lineRule="auto"/>
        <w:ind w:firstLine="420" w:firstLineChars="200"/>
        <w:jc w:val="left"/>
        <w:rPr>
          <w:rFonts w:hint="eastAsia" w:ascii="宋体" w:hAnsi="宋体" w:eastAsia="宋体" w:cs="宋体"/>
          <w:color w:val="auto"/>
          <w:highlight w:val="none"/>
          <w:u w:val="single"/>
          <w:lang w:eastAsia="zh-CN"/>
        </w:rPr>
      </w:pPr>
      <w:r>
        <w:rPr>
          <w:rFonts w:hint="eastAsia" w:ascii="宋体" w:hAnsi="宋体" w:cs="宋体"/>
          <w:color w:val="auto"/>
          <w:highlight w:val="none"/>
        </w:rPr>
        <w:t>地    址：</w:t>
      </w:r>
      <w:r>
        <w:rPr>
          <w:rFonts w:hint="eastAsia" w:ascii="宋体" w:hAnsi="宋体" w:cs="宋体"/>
          <w:color w:val="auto"/>
          <w:szCs w:val="22"/>
          <w:highlight w:val="none"/>
          <w:u w:val="single"/>
          <w:lang w:eastAsia="zh-CN"/>
        </w:rPr>
        <w:t>鄞州区惠风西路10号</w:t>
      </w:r>
    </w:p>
    <w:p>
      <w:pPr>
        <w:widowControl/>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项目联系人（询问）：</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王警官</w:t>
      </w:r>
      <w:r>
        <w:rPr>
          <w:rFonts w:hint="eastAsia" w:ascii="宋体" w:hAnsi="宋体" w:cs="宋体"/>
          <w:color w:val="auto"/>
          <w:highlight w:val="none"/>
          <w:u w:val="single"/>
        </w:rPr>
        <w:t xml:space="preserve">  </w:t>
      </w:r>
    </w:p>
    <w:p>
      <w:pPr>
        <w:widowControl/>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项目联系方式（询问）：</w:t>
      </w:r>
      <w:r>
        <w:rPr>
          <w:rFonts w:hint="eastAsia" w:ascii="宋体" w:hAnsi="宋体" w:eastAsia="宋体" w:cs="宋体"/>
          <w:color w:val="auto"/>
          <w:highlight w:val="none"/>
          <w:u w:val="single"/>
          <w:lang w:val="en-US" w:eastAsia="zh-CN"/>
        </w:rPr>
        <w:t>0574-88155036</w:t>
      </w:r>
    </w:p>
    <w:p>
      <w:pPr>
        <w:widowControl/>
        <w:spacing w:line="360" w:lineRule="auto"/>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t>质疑联系人：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赵老师</w:t>
      </w:r>
      <w:r>
        <w:rPr>
          <w:rFonts w:hint="eastAsia" w:ascii="宋体" w:hAnsi="宋体" w:cs="宋体"/>
          <w:color w:val="auto"/>
          <w:highlight w:val="none"/>
          <w:u w:val="single"/>
        </w:rPr>
        <w:t xml:space="preserve">   </w:t>
      </w:r>
    </w:p>
    <w:p>
      <w:pPr>
        <w:widowControl/>
        <w:spacing w:line="360" w:lineRule="auto"/>
        <w:ind w:firstLine="420" w:firstLineChars="200"/>
        <w:jc w:val="left"/>
        <w:rPr>
          <w:color w:val="auto"/>
          <w:highlight w:val="none"/>
        </w:rPr>
      </w:pPr>
      <w:r>
        <w:rPr>
          <w:rFonts w:hint="eastAsia" w:ascii="宋体" w:hAnsi="宋体" w:cs="宋体"/>
          <w:color w:val="auto"/>
          <w:highlight w:val="none"/>
        </w:rPr>
        <w:t>质疑联系方式：</w:t>
      </w:r>
      <w:r>
        <w:rPr>
          <w:rFonts w:hint="eastAsia" w:ascii="宋体" w:hAnsi="宋体" w:cs="宋体"/>
          <w:color w:val="auto"/>
          <w:highlight w:val="none"/>
          <w:u w:val="single"/>
        </w:rPr>
        <w:t xml:space="preserve"> 0</w:t>
      </w:r>
      <w:r>
        <w:rPr>
          <w:rFonts w:hint="eastAsia" w:ascii="宋体" w:hAnsi="宋体" w:eastAsia="宋体" w:cs="宋体"/>
          <w:color w:val="auto"/>
          <w:highlight w:val="none"/>
          <w:u w:val="single"/>
          <w:lang w:val="en-US" w:eastAsia="zh-CN"/>
        </w:rPr>
        <w:t xml:space="preserve">574-88155036  </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2.采购代理机构信息</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宁波国咨工程造价咨询有限公司</w:t>
      </w:r>
    </w:p>
    <w:p>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地    址：</w:t>
      </w:r>
      <w:r>
        <w:rPr>
          <w:rFonts w:hint="eastAsia" w:ascii="宋体" w:hAnsi="宋体" w:cs="宋体"/>
          <w:color w:val="auto"/>
          <w:highlight w:val="none"/>
          <w:u w:val="single"/>
        </w:rPr>
        <w:t>宁波市鄞州区和源路510号宁兴国贸大厦20楼</w:t>
      </w:r>
      <w:r>
        <w:rPr>
          <w:rFonts w:hint="eastAsia" w:ascii="宋体" w:hAnsi="宋体" w:cs="宋体"/>
          <w:color w:val="auto"/>
          <w:highlight w:val="none"/>
          <w:u w:val="single"/>
          <w:lang w:eastAsia="zh-CN"/>
        </w:rPr>
        <w:t>2017室</w:t>
      </w:r>
    </w:p>
    <w:p>
      <w:pPr>
        <w:widowControl/>
        <w:spacing w:line="360" w:lineRule="auto"/>
        <w:ind w:firstLine="420" w:firstLineChars="200"/>
        <w:jc w:val="left"/>
        <w:rPr>
          <w:rFonts w:hint="default" w:ascii="宋体" w:hAnsi="宋体" w:eastAsia="宋体" w:cs="宋体"/>
          <w:color w:val="auto"/>
          <w:highlight w:val="none"/>
          <w:u w:val="single"/>
          <w:lang w:val="en-US" w:eastAsia="zh-CN"/>
        </w:rPr>
      </w:pPr>
      <w:r>
        <w:rPr>
          <w:rFonts w:hint="eastAsia" w:ascii="宋体" w:hAnsi="宋体" w:cs="宋体"/>
          <w:color w:val="auto"/>
          <w:highlight w:val="none"/>
        </w:rPr>
        <w:t>项目联系人（询问）：</w:t>
      </w:r>
      <w:r>
        <w:rPr>
          <w:rFonts w:hint="eastAsia" w:ascii="宋体" w:hAnsi="宋体" w:cs="宋体"/>
          <w:color w:val="auto"/>
          <w:highlight w:val="none"/>
          <w:u w:val="single"/>
          <w:lang w:val="en-US" w:eastAsia="zh-CN"/>
        </w:rPr>
        <w:t>唐权勇、俞跃毅</w:t>
      </w:r>
    </w:p>
    <w:p>
      <w:pPr>
        <w:widowControl/>
        <w:spacing w:line="360" w:lineRule="auto"/>
        <w:ind w:firstLine="420" w:firstLineChars="200"/>
        <w:jc w:val="left"/>
        <w:rPr>
          <w:rFonts w:hint="default" w:ascii="宋体" w:hAnsi="宋体" w:eastAsia="宋体" w:cs="宋体"/>
          <w:color w:val="auto"/>
          <w:highlight w:val="none"/>
          <w:u w:val="single"/>
          <w:lang w:val="en-US" w:eastAsia="zh-CN"/>
        </w:rPr>
      </w:pPr>
      <w:r>
        <w:rPr>
          <w:rFonts w:hint="eastAsia" w:ascii="宋体" w:hAnsi="宋体" w:cs="宋体"/>
          <w:color w:val="auto"/>
          <w:highlight w:val="none"/>
        </w:rPr>
        <w:t>项目联系方式（询问）：</w:t>
      </w:r>
      <w:r>
        <w:rPr>
          <w:rFonts w:hint="eastAsia" w:ascii="宋体" w:hAnsi="宋体" w:cs="宋体"/>
          <w:color w:val="auto"/>
          <w:highlight w:val="none"/>
          <w:u w:val="single"/>
          <w:lang w:eastAsia="zh-CN"/>
        </w:rPr>
        <w:t>0574－</w:t>
      </w:r>
      <w:r>
        <w:rPr>
          <w:rFonts w:hint="eastAsia" w:ascii="宋体" w:hAnsi="宋体" w:cs="宋体"/>
          <w:color w:val="auto"/>
          <w:highlight w:val="none"/>
          <w:u w:val="single"/>
          <w:lang w:val="en-US" w:eastAsia="zh-CN"/>
        </w:rPr>
        <w:t>87193548</w:t>
      </w:r>
    </w:p>
    <w:p>
      <w:pPr>
        <w:widowControl/>
        <w:spacing w:line="360" w:lineRule="auto"/>
        <w:ind w:firstLine="420" w:firstLineChars="200"/>
        <w:jc w:val="left"/>
        <w:rPr>
          <w:rFonts w:hint="default" w:ascii="宋体" w:hAnsi="宋体" w:eastAsia="宋体" w:cs="宋体"/>
          <w:color w:val="auto"/>
          <w:highlight w:val="none"/>
          <w:u w:val="single"/>
          <w:lang w:val="en-US" w:eastAsia="zh-CN"/>
        </w:rPr>
      </w:pPr>
      <w:r>
        <w:rPr>
          <w:rFonts w:hint="eastAsia" w:ascii="宋体" w:hAnsi="宋体" w:cs="宋体"/>
          <w:color w:val="auto"/>
          <w:highlight w:val="none"/>
        </w:rPr>
        <w:t>质疑联系人：</w:t>
      </w:r>
      <w:r>
        <w:rPr>
          <w:rFonts w:hint="eastAsia" w:ascii="宋体" w:hAnsi="宋体" w:eastAsia="宋体" w:cs="宋体"/>
          <w:color w:val="auto"/>
          <w:highlight w:val="none"/>
          <w:u w:val="single"/>
          <w:lang w:val="en-US" w:eastAsia="zh-CN"/>
        </w:rPr>
        <w:t>王工</w:t>
      </w:r>
    </w:p>
    <w:p>
      <w:pPr>
        <w:widowControl/>
        <w:spacing w:line="360" w:lineRule="auto"/>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rPr>
        <w:t>质疑联系方式：</w:t>
      </w:r>
      <w:r>
        <w:rPr>
          <w:rFonts w:hint="eastAsia" w:ascii="宋体" w:hAnsi="宋体" w:cs="宋体"/>
          <w:color w:val="auto"/>
          <w:highlight w:val="none"/>
          <w:u w:val="single"/>
          <w:lang w:eastAsia="zh-CN"/>
        </w:rPr>
        <w:t>0574－</w:t>
      </w:r>
      <w:r>
        <w:rPr>
          <w:rFonts w:hint="eastAsia" w:ascii="宋体" w:hAnsi="宋体" w:cs="宋体"/>
          <w:color w:val="auto"/>
          <w:highlight w:val="none"/>
          <w:u w:val="single"/>
          <w:lang w:val="en-US" w:eastAsia="zh-CN"/>
        </w:rPr>
        <w:t>87193548</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电子邮箱：</w:t>
      </w:r>
      <w:r>
        <w:rPr>
          <w:rFonts w:hint="eastAsia" w:ascii="宋体" w:hAnsi="宋体" w:cs="宋体"/>
          <w:bCs/>
          <w:color w:val="auto"/>
          <w:szCs w:val="21"/>
          <w:highlight w:val="none"/>
          <w:lang w:eastAsia="zh-CN"/>
        </w:rPr>
        <w:t>1485526832@qq.com</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.同级政府采购监督管理部门            </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名    称：宁波市鄞州区政府采购管理办公室             </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地    址：宁波市鄞州区民惠东路16号             </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传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真：/             </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联系人 ：郑老师             </w:t>
      </w:r>
    </w:p>
    <w:p>
      <w:pPr>
        <w:widowControl/>
        <w:spacing w:line="360" w:lineRule="auto"/>
        <w:ind w:firstLine="420" w:firstLineChars="200"/>
        <w:jc w:val="left"/>
        <w:rPr>
          <w:color w:val="auto"/>
          <w:highlight w:val="none"/>
        </w:rPr>
      </w:pPr>
      <w:r>
        <w:rPr>
          <w:rFonts w:hint="eastAsia" w:ascii="宋体" w:hAnsi="宋体" w:eastAsia="宋体" w:cs="宋体"/>
          <w:color w:val="auto"/>
          <w:highlight w:val="none"/>
        </w:rPr>
        <w:t> 监督投诉电话：0574-89295894 </w:t>
      </w:r>
    </w:p>
    <w:p>
      <w:pPr>
        <w:spacing w:line="360" w:lineRule="auto"/>
        <w:rPr>
          <w:rFonts w:ascii="宋体" w:hAnsi="宋体"/>
          <w:color w:val="auto"/>
          <w:szCs w:val="21"/>
          <w:highlight w:val="none"/>
        </w:rPr>
      </w:pPr>
      <w:r>
        <w:rPr>
          <w:rFonts w:hint="eastAsia" w:ascii="宋体" w:hAnsi="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rPr>
          <w:rFonts w:ascii="宋体" w:hAnsi="宋体"/>
          <w:color w:val="auto"/>
          <w:szCs w:val="21"/>
          <w:highlight w:val="none"/>
        </w:rPr>
        <w:sectPr>
          <w:headerReference r:id="rId7" w:type="default"/>
          <w:footerReference r:id="rId8" w:type="default"/>
          <w:type w:val="continuous"/>
          <w:pgSz w:w="11907" w:h="16840"/>
          <w:pgMar w:top="1276" w:right="1701" w:bottom="1276" w:left="1701" w:header="720" w:footer="720" w:gutter="0"/>
          <w:pgNumType w:start="0"/>
          <w:cols w:space="720" w:num="1"/>
          <w:docGrid w:type="linesAndChars" w:linePitch="285" w:charSpace="0"/>
        </w:sectPr>
      </w:pPr>
      <w:r>
        <w:rPr>
          <w:rFonts w:hint="eastAsia" w:ascii="宋体" w:hAnsi="宋体"/>
          <w:color w:val="auto"/>
          <w:szCs w:val="21"/>
          <w:highlight w:val="none"/>
        </w:rPr>
        <w:t>CA问题联系电话（人工）：汇信CA 400-888-4636；天谷CA 400-087-8198。</w:t>
      </w:r>
    </w:p>
    <w:p>
      <w:pPr>
        <w:pStyle w:val="4"/>
        <w:spacing w:beforeLines="0" w:afterLines="0" w:line="360" w:lineRule="auto"/>
        <w:rPr>
          <w:rFonts w:ascii="宋体" w:hAnsi="宋体"/>
          <w:color w:val="auto"/>
          <w:sz w:val="32"/>
          <w:szCs w:val="32"/>
          <w:highlight w:val="none"/>
        </w:rPr>
      </w:pPr>
      <w:bookmarkStart w:id="36" w:name="_Toc298230958"/>
      <w:bookmarkStart w:id="37" w:name="_Toc31447"/>
      <w:r>
        <w:rPr>
          <w:rFonts w:hint="eastAsia" w:ascii="宋体" w:hAnsi="宋体"/>
          <w:color w:val="auto"/>
          <w:sz w:val="32"/>
          <w:szCs w:val="32"/>
          <w:highlight w:val="none"/>
        </w:rPr>
        <w:t>第二部分  投标资料表</w:t>
      </w:r>
      <w:bookmarkEnd w:id="36"/>
      <w:bookmarkEnd w:id="3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本部分关于本次招标项目的具体要求是对 “投标人须知</w:t>
      </w:r>
      <w:r>
        <w:rPr>
          <w:rFonts w:ascii="宋体" w:hAnsi="宋体"/>
          <w:color w:val="auto"/>
          <w:szCs w:val="21"/>
          <w:highlight w:val="none"/>
        </w:rPr>
        <w:t>”</w:t>
      </w:r>
      <w:r>
        <w:rPr>
          <w:rFonts w:hint="eastAsia" w:ascii="宋体" w:hAnsi="宋体"/>
          <w:color w:val="auto"/>
          <w:szCs w:val="21"/>
          <w:highlight w:val="none"/>
        </w:rPr>
        <w:t>和</w:t>
      </w:r>
      <w:r>
        <w:rPr>
          <w:rFonts w:ascii="宋体" w:hAnsi="宋体"/>
          <w:color w:val="auto"/>
          <w:szCs w:val="21"/>
          <w:highlight w:val="none"/>
        </w:rPr>
        <w:t>“</w:t>
      </w:r>
      <w:r>
        <w:rPr>
          <w:rFonts w:hint="eastAsia" w:ascii="宋体" w:hAnsi="宋体"/>
          <w:color w:val="auto"/>
          <w:szCs w:val="21"/>
          <w:highlight w:val="none"/>
        </w:rPr>
        <w:t>合同格式</w:t>
      </w:r>
      <w:r>
        <w:rPr>
          <w:rFonts w:ascii="宋体" w:hAnsi="宋体"/>
          <w:color w:val="auto"/>
          <w:szCs w:val="21"/>
          <w:highlight w:val="none"/>
        </w:rPr>
        <w:t>”</w:t>
      </w:r>
      <w:r>
        <w:rPr>
          <w:rFonts w:hint="eastAsia" w:ascii="宋体" w:hAnsi="宋体"/>
          <w:color w:val="auto"/>
          <w:szCs w:val="21"/>
          <w:highlight w:val="none"/>
        </w:rPr>
        <w:t>的相关条款的补充和修改，如有矛盾，应以此为准。</w:t>
      </w:r>
    </w:p>
    <w:tbl>
      <w:tblPr>
        <w:tblStyle w:val="33"/>
        <w:tblW w:w="0" w:type="auto"/>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noWrap w:val="0"/>
            <w:vAlign w:val="center"/>
          </w:tcPr>
          <w:p>
            <w:pPr>
              <w:spacing w:before="143"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7512" w:type="dxa"/>
            <w:noWrap w:val="0"/>
            <w:vAlign w:val="center"/>
          </w:tcPr>
          <w:p>
            <w:pPr>
              <w:spacing w:before="143" w:beforeLines="50"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noWrap w:val="0"/>
            <w:vAlign w:val="center"/>
          </w:tcPr>
          <w:p>
            <w:pPr>
              <w:spacing w:before="143"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7512" w:type="dxa"/>
            <w:noWrap w:val="0"/>
            <w:vAlign w:val="center"/>
          </w:tcPr>
          <w:p>
            <w:pPr>
              <w:spacing w:line="360" w:lineRule="exact"/>
              <w:rPr>
                <w:rFonts w:hint="eastAsia" w:ascii="宋体" w:hAnsi="宋体" w:eastAsia="宋体"/>
                <w:color w:val="auto"/>
                <w:szCs w:val="21"/>
                <w:highlight w:val="none"/>
                <w:lang w:eastAsia="zh-CN"/>
              </w:rPr>
            </w:pPr>
            <w:r>
              <w:rPr>
                <w:rFonts w:hint="eastAsia" w:ascii="宋体" w:hAnsi="宋体"/>
                <w:color w:val="auto"/>
                <w:highlight w:val="none"/>
              </w:rPr>
              <w:t>采购人名称：</w:t>
            </w:r>
            <w:r>
              <w:rPr>
                <w:rFonts w:hint="eastAsia" w:ascii="宋体" w:hAnsi="宋体"/>
                <w:color w:val="auto"/>
                <w:highlight w:val="none"/>
                <w:lang w:eastAsia="zh-CN"/>
              </w:rPr>
              <w:t xml:space="preserve">宁波市公安局鄞州分局  </w:t>
            </w:r>
          </w:p>
          <w:p>
            <w:pPr>
              <w:spacing w:line="360" w:lineRule="exac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s="宋体"/>
                <w:color w:val="auto"/>
                <w:szCs w:val="22"/>
                <w:highlight w:val="none"/>
                <w:u w:val="single"/>
                <w:lang w:eastAsia="zh-CN"/>
              </w:rPr>
              <w:t>鄞州区惠风西路10号</w:t>
            </w:r>
          </w:p>
          <w:p>
            <w:pPr>
              <w:spacing w:line="360" w:lineRule="exact"/>
              <w:rPr>
                <w:rFonts w:ascii="宋体" w:cs="宋体"/>
                <w:color w:val="auto"/>
                <w:szCs w:val="21"/>
                <w:highlight w:val="none"/>
              </w:rPr>
            </w:pPr>
            <w:r>
              <w:rPr>
                <w:rFonts w:hint="eastAsia" w:ascii="宋体" w:hAnsi="宋体" w:cs="宋体"/>
                <w:color w:val="auto"/>
                <w:szCs w:val="21"/>
                <w:highlight w:val="none"/>
              </w:rPr>
              <w:t xml:space="preserve">电 </w:t>
            </w:r>
            <w:r>
              <w:rPr>
                <w:rFonts w:ascii="宋体" w:hAnsi="宋体" w:cs="宋体"/>
                <w:color w:val="auto"/>
                <w:szCs w:val="21"/>
                <w:highlight w:val="none"/>
              </w:rPr>
              <w:t xml:space="preserve">  </w:t>
            </w:r>
            <w:r>
              <w:rPr>
                <w:rFonts w:hint="eastAsia" w:ascii="宋体" w:hAnsi="宋体" w:cs="宋体"/>
                <w:color w:val="auto"/>
                <w:szCs w:val="21"/>
                <w:highlight w:val="none"/>
              </w:rPr>
              <w:t xml:space="preserve"> 话：</w:t>
            </w:r>
            <w:r>
              <w:rPr>
                <w:rFonts w:hint="eastAsia" w:ascii="宋体" w:hAnsi="宋体" w:eastAsia="宋体" w:cs="宋体"/>
                <w:color w:val="auto"/>
                <w:highlight w:val="none"/>
                <w:u w:val="single"/>
                <w:lang w:val="en-US" w:eastAsia="zh-CN"/>
              </w:rPr>
              <w:t>0574-88155036</w:t>
            </w:r>
          </w:p>
          <w:p>
            <w:pPr>
              <w:spacing w:line="360" w:lineRule="exact"/>
              <w:rPr>
                <w:rFonts w:hint="default" w:ascii="宋体" w:hAnsi="宋体" w:eastAsia="宋体" w:cs="宋体"/>
                <w:color w:val="auto"/>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王警官</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17" w:hRule="atLeast"/>
        </w:trPr>
        <w:tc>
          <w:tcPr>
            <w:tcW w:w="1101" w:type="dxa"/>
            <w:vMerge w:val="continue"/>
            <w:noWrap w:val="0"/>
            <w:vAlign w:val="center"/>
          </w:tcPr>
          <w:p>
            <w:pPr>
              <w:spacing w:before="143" w:beforeLines="50" w:line="360" w:lineRule="exact"/>
              <w:jc w:val="center"/>
              <w:rPr>
                <w:rFonts w:ascii="宋体" w:hAnsi="宋体" w:cs="宋体"/>
                <w:b/>
                <w:bCs/>
                <w:color w:val="auto"/>
                <w:sz w:val="32"/>
                <w:szCs w:val="21"/>
                <w:highlight w:val="none"/>
              </w:rPr>
            </w:pPr>
          </w:p>
        </w:tc>
        <w:tc>
          <w:tcPr>
            <w:tcW w:w="7512" w:type="dxa"/>
            <w:noWrap w:val="0"/>
            <w:vAlign w:val="center"/>
          </w:tcPr>
          <w:p>
            <w:pPr>
              <w:spacing w:line="360" w:lineRule="exact"/>
              <w:rPr>
                <w:rFonts w:ascii="宋体" w:hAnsi="宋体"/>
                <w:color w:val="auto"/>
                <w:highlight w:val="none"/>
                <w:u w:val="single"/>
              </w:rPr>
            </w:pPr>
            <w:r>
              <w:rPr>
                <w:rFonts w:hint="eastAsia" w:ascii="宋体" w:hAnsi="宋体"/>
                <w:color w:val="auto"/>
                <w:highlight w:val="none"/>
              </w:rPr>
              <w:t>采购代理机构名称：宁波国咨工程造价咨询有限公司</w:t>
            </w:r>
          </w:p>
          <w:p>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  宁波市鄞州区和源路510号宁兴国贸大厦20楼</w:t>
            </w:r>
            <w:r>
              <w:rPr>
                <w:rFonts w:hint="eastAsia" w:ascii="宋体" w:hAnsi="宋体"/>
                <w:color w:val="auto"/>
                <w:szCs w:val="21"/>
                <w:highlight w:val="none"/>
                <w:lang w:eastAsia="zh-CN"/>
              </w:rPr>
              <w:t>2017室</w:t>
            </w:r>
          </w:p>
          <w:p>
            <w:pPr>
              <w:spacing w:line="360" w:lineRule="exact"/>
              <w:rPr>
                <w:rFonts w:ascii="宋体" w:hAnsi="宋体"/>
                <w:color w:val="auto"/>
                <w:szCs w:val="21"/>
                <w:highlight w:val="none"/>
              </w:rPr>
            </w:pPr>
            <w:r>
              <w:rPr>
                <w:rFonts w:hint="eastAsia" w:ascii="宋体" w:hAnsi="宋体"/>
                <w:color w:val="auto"/>
                <w:szCs w:val="21"/>
                <w:highlight w:val="none"/>
              </w:rPr>
              <w:t>邮    编：  315040</w:t>
            </w:r>
          </w:p>
          <w:p>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 xml:space="preserve">电    话：  </w:t>
            </w:r>
            <w:r>
              <w:rPr>
                <w:rFonts w:hint="eastAsia" w:ascii="宋体" w:hAnsi="宋体" w:cs="宋体"/>
                <w:color w:val="auto"/>
                <w:szCs w:val="21"/>
                <w:highlight w:val="none"/>
                <w:lang w:eastAsia="zh-CN"/>
              </w:rPr>
              <w:t>0574－87193548</w:t>
            </w:r>
          </w:p>
          <w:p>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 xml:space="preserve">传    真：  </w:t>
            </w:r>
            <w:r>
              <w:rPr>
                <w:rFonts w:hint="eastAsia" w:ascii="宋体" w:hAnsi="宋体"/>
                <w:color w:val="auto"/>
                <w:szCs w:val="21"/>
                <w:highlight w:val="none"/>
                <w:lang w:eastAsia="zh-CN"/>
              </w:rPr>
              <w:t>0574－87193548</w:t>
            </w:r>
          </w:p>
          <w:p>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 xml:space="preserve">电子邮件：  </w:t>
            </w:r>
            <w:r>
              <w:rPr>
                <w:rFonts w:hint="eastAsia" w:ascii="宋体" w:hAnsi="宋体" w:cs="宋体"/>
                <w:color w:val="auto"/>
                <w:highlight w:val="none"/>
                <w:lang w:eastAsia="zh-CN"/>
              </w:rPr>
              <w:t>1485526832@qq.com</w:t>
            </w:r>
          </w:p>
          <w:p>
            <w:pPr>
              <w:spacing w:line="360" w:lineRule="exact"/>
              <w:rPr>
                <w:rFonts w:hint="default" w:ascii="宋体" w:hAnsi="宋体" w:eastAsia="宋体" w:cs="宋体"/>
                <w:color w:val="auto"/>
                <w:szCs w:val="21"/>
                <w:highlight w:val="none"/>
                <w:lang w:val="en-US" w:eastAsia="zh-CN"/>
              </w:rPr>
            </w:pPr>
            <w:r>
              <w:rPr>
                <w:rFonts w:hint="eastAsia" w:ascii="宋体" w:hAnsi="宋体"/>
                <w:color w:val="auto"/>
                <w:szCs w:val="21"/>
                <w:highlight w:val="none"/>
              </w:rPr>
              <w:t xml:space="preserve">联 系 人：  </w:t>
            </w:r>
            <w:r>
              <w:rPr>
                <w:rFonts w:hint="eastAsia" w:ascii="宋体" w:hAnsi="宋体"/>
                <w:color w:val="auto"/>
                <w:szCs w:val="21"/>
                <w:highlight w:val="none"/>
                <w:lang w:val="en-US" w:eastAsia="zh-CN"/>
              </w:rPr>
              <w:t>唐权勇、俞跃毅</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3" w:hRule="atLeast"/>
        </w:trPr>
        <w:tc>
          <w:tcPr>
            <w:tcW w:w="1101" w:type="dxa"/>
            <w:vMerge w:val="continue"/>
            <w:noWrap w:val="0"/>
            <w:vAlign w:val="center"/>
          </w:tcPr>
          <w:p>
            <w:pPr>
              <w:spacing w:before="143" w:beforeLines="50" w:line="360" w:lineRule="exact"/>
              <w:jc w:val="center"/>
              <w:rPr>
                <w:rFonts w:ascii="宋体" w:hAnsi="宋体" w:cs="宋体"/>
                <w:b/>
                <w:bCs/>
                <w:color w:val="auto"/>
                <w:sz w:val="32"/>
                <w:szCs w:val="21"/>
                <w:highlight w:val="none"/>
              </w:rPr>
            </w:pPr>
          </w:p>
        </w:tc>
        <w:tc>
          <w:tcPr>
            <w:tcW w:w="7512" w:type="dxa"/>
            <w:noWrap w:val="0"/>
            <w:vAlign w:val="center"/>
          </w:tcPr>
          <w:p>
            <w:pPr>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短视频制作器材项目</w:t>
            </w:r>
            <w:r>
              <w:rPr>
                <w:rFonts w:hint="eastAsia" w:ascii="宋体" w:hAnsi="宋体" w:cs="宋体"/>
                <w:color w:val="auto"/>
                <w:szCs w:val="21"/>
                <w:highlight w:val="none"/>
              </w:rPr>
              <w:t>（本次采购为非专门面向中小企业）</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noWrap w:val="0"/>
            <w:vAlign w:val="center"/>
          </w:tcPr>
          <w:p>
            <w:pPr>
              <w:spacing w:before="143"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7512" w:type="dxa"/>
            <w:noWrap w:val="0"/>
            <w:vAlign w:val="center"/>
          </w:tcPr>
          <w:p>
            <w:pPr>
              <w:spacing w:line="360" w:lineRule="exact"/>
              <w:jc w:val="left"/>
              <w:rPr>
                <w:rFonts w:ascii="宋体" w:hAnsi="宋体"/>
                <w:color w:val="auto"/>
                <w:szCs w:val="21"/>
                <w:highlight w:val="none"/>
              </w:rPr>
            </w:pPr>
            <w:r>
              <w:rPr>
                <w:rFonts w:hint="eastAsia" w:ascii="宋体" w:hAnsi="宋体"/>
                <w:color w:val="auto"/>
                <w:szCs w:val="21"/>
                <w:highlight w:val="none"/>
              </w:rPr>
              <w:t>招标范围：详见招标文件第六部分“招标项目需求”。</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noWrap w:val="0"/>
            <w:vAlign w:val="center"/>
          </w:tcPr>
          <w:p>
            <w:pPr>
              <w:spacing w:before="143" w:beforeLines="50" w:line="360" w:lineRule="exact"/>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4.1</w:t>
            </w:r>
          </w:p>
        </w:tc>
        <w:tc>
          <w:tcPr>
            <w:tcW w:w="7512" w:type="dxa"/>
            <w:noWrap w:val="0"/>
            <w:vAlign w:val="center"/>
          </w:tcPr>
          <w:p>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合格投标人的资格要求（本项目采用资格后审）：</w:t>
            </w:r>
          </w:p>
          <w:p>
            <w:pPr>
              <w:spacing w:line="360" w:lineRule="exact"/>
              <w:rPr>
                <w:rFonts w:ascii="宋体" w:hAnsi="宋体"/>
                <w:color w:val="auto"/>
                <w:highlight w:val="none"/>
              </w:rPr>
            </w:pPr>
            <w:r>
              <w:rPr>
                <w:rFonts w:hint="eastAsia" w:ascii="宋体" w:hAnsi="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exact"/>
              <w:rPr>
                <w:rFonts w:ascii="宋体" w:hAnsi="宋体"/>
                <w:color w:val="auto"/>
                <w:highlight w:val="none"/>
              </w:rPr>
            </w:pPr>
            <w:r>
              <w:rPr>
                <w:rFonts w:hint="eastAsia" w:ascii="宋体" w:hAnsi="宋体"/>
                <w:color w:val="auto"/>
                <w:highlight w:val="none"/>
              </w:rPr>
              <w:t>2.落实政府采购政策需满足的资格要求：无</w:t>
            </w:r>
          </w:p>
          <w:p>
            <w:pPr>
              <w:spacing w:line="360" w:lineRule="exact"/>
              <w:jc w:val="left"/>
              <w:rPr>
                <w:rFonts w:ascii="宋体" w:hAnsi="宋体"/>
                <w:color w:val="auto"/>
                <w:highlight w:val="none"/>
              </w:rPr>
            </w:pPr>
            <w:r>
              <w:rPr>
                <w:rFonts w:hint="eastAsia" w:ascii="宋体" w:hAnsi="宋体"/>
                <w:color w:val="auto"/>
                <w:highlight w:val="none"/>
              </w:rPr>
              <w:t>3.本项目的特定资格要求：无</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noWrap w:val="0"/>
            <w:vAlign w:val="center"/>
          </w:tcPr>
          <w:p>
            <w:pPr>
              <w:spacing w:before="143"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7512" w:type="dxa"/>
            <w:noWrap w:val="0"/>
            <w:vAlign w:val="center"/>
          </w:tcPr>
          <w:p>
            <w:pPr>
              <w:spacing w:line="360" w:lineRule="exact"/>
              <w:rPr>
                <w:rFonts w:ascii="宋体" w:hAnsi="宋体"/>
                <w:color w:val="auto"/>
                <w:highlight w:val="none"/>
              </w:rPr>
            </w:pPr>
            <w:r>
              <w:rPr>
                <w:rFonts w:hint="eastAsia" w:ascii="宋体" w:hAnsi="宋体"/>
                <w:color w:val="auto"/>
                <w:highlight w:val="none"/>
              </w:rPr>
              <w:t>现场考察：不组织</w:t>
            </w:r>
          </w:p>
          <w:p>
            <w:pPr>
              <w:spacing w:line="360" w:lineRule="exact"/>
              <w:rPr>
                <w:rFonts w:ascii="宋体" w:hAnsi="宋体" w:cs="宋体"/>
                <w:b/>
                <w:color w:val="auto"/>
                <w:szCs w:val="21"/>
                <w:highlight w:val="none"/>
              </w:rPr>
            </w:pPr>
            <w:r>
              <w:rPr>
                <w:rFonts w:hint="eastAsia" w:ascii="宋体" w:hAnsi="宋体"/>
                <w:color w:val="auto"/>
                <w:highlight w:val="none"/>
              </w:rPr>
              <w:t>答疑会：不组织</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noWrap w:val="0"/>
            <w:vAlign w:val="center"/>
          </w:tcPr>
          <w:p>
            <w:pPr>
              <w:spacing w:before="143"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9.1</w:t>
            </w:r>
          </w:p>
        </w:tc>
        <w:tc>
          <w:tcPr>
            <w:tcW w:w="7512" w:type="dxa"/>
            <w:noWrap w:val="0"/>
            <w:vAlign w:val="center"/>
          </w:tcPr>
          <w:p>
            <w:pPr>
              <w:spacing w:line="360" w:lineRule="exact"/>
              <w:rPr>
                <w:color w:val="auto"/>
                <w:highlight w:val="none"/>
              </w:rPr>
            </w:pPr>
            <w:r>
              <w:rPr>
                <w:rFonts w:hint="eastAsia"/>
                <w:color w:val="auto"/>
                <w:highlight w:val="none"/>
              </w:rPr>
              <w:t>投标文件组成（投标文件应分标项分别编制）：</w:t>
            </w:r>
          </w:p>
          <w:p>
            <w:pPr>
              <w:spacing w:line="360" w:lineRule="exact"/>
              <w:rPr>
                <w:color w:val="auto"/>
                <w:highlight w:val="none"/>
              </w:rPr>
            </w:pPr>
            <w:r>
              <w:rPr>
                <w:rFonts w:hint="eastAsia"/>
                <w:color w:val="auto"/>
                <w:highlight w:val="none"/>
              </w:rPr>
              <w:t>1、商务技术文件，含：</w:t>
            </w:r>
          </w:p>
          <w:p>
            <w:pPr>
              <w:spacing w:line="360" w:lineRule="exact"/>
              <w:rPr>
                <w:color w:val="auto"/>
                <w:highlight w:val="none"/>
              </w:rPr>
            </w:pPr>
            <w:r>
              <w:rPr>
                <w:color w:val="auto"/>
                <w:highlight w:val="none"/>
              </w:rPr>
              <w:t>(1)</w:t>
            </w:r>
            <w:r>
              <w:rPr>
                <w:rFonts w:hint="eastAsia"/>
                <w:color w:val="auto"/>
                <w:highlight w:val="none"/>
              </w:rPr>
              <w:t>投标函</w:t>
            </w:r>
          </w:p>
          <w:p>
            <w:pPr>
              <w:spacing w:line="360" w:lineRule="exact"/>
              <w:rPr>
                <w:color w:val="auto"/>
                <w:highlight w:val="none"/>
              </w:rPr>
            </w:pPr>
            <w:r>
              <w:rPr>
                <w:color w:val="auto"/>
                <w:highlight w:val="none"/>
              </w:rPr>
              <w:t>(</w:t>
            </w:r>
            <w:r>
              <w:rPr>
                <w:rFonts w:hint="eastAsia"/>
                <w:color w:val="auto"/>
                <w:highlight w:val="none"/>
              </w:rPr>
              <w:t>2</w:t>
            </w:r>
            <w:r>
              <w:rPr>
                <w:color w:val="auto"/>
                <w:highlight w:val="none"/>
              </w:rPr>
              <w:t>)</w:t>
            </w:r>
            <w:r>
              <w:rPr>
                <w:rFonts w:hint="eastAsia"/>
                <w:color w:val="auto"/>
                <w:highlight w:val="none"/>
              </w:rPr>
              <w:t>单位负责人授权书或单位负责人身份证明</w:t>
            </w:r>
            <w:r>
              <w:rPr>
                <w:color w:val="auto"/>
                <w:highlight w:val="none"/>
              </w:rPr>
              <w:t>；</w:t>
            </w:r>
          </w:p>
          <w:p>
            <w:pPr>
              <w:spacing w:line="360" w:lineRule="exact"/>
              <w:rPr>
                <w:color w:val="auto"/>
                <w:highlight w:val="none"/>
              </w:rPr>
            </w:pPr>
            <w:r>
              <w:rPr>
                <w:rFonts w:hint="eastAsia"/>
                <w:color w:val="auto"/>
                <w:highlight w:val="none"/>
              </w:rPr>
              <w:t>(3)投标单位情况一览表；</w:t>
            </w:r>
          </w:p>
          <w:p>
            <w:pPr>
              <w:spacing w:line="360" w:lineRule="exact"/>
              <w:rPr>
                <w:color w:val="auto"/>
                <w:highlight w:val="none"/>
              </w:rPr>
            </w:pPr>
            <w:r>
              <w:rPr>
                <w:rFonts w:hint="eastAsia"/>
                <w:color w:val="auto"/>
                <w:highlight w:val="none"/>
              </w:rPr>
              <w:t>(4)技术条款偏离表；</w:t>
            </w:r>
          </w:p>
          <w:p>
            <w:pPr>
              <w:spacing w:line="360" w:lineRule="exact"/>
              <w:rPr>
                <w:color w:val="auto"/>
                <w:highlight w:val="none"/>
              </w:rPr>
            </w:pPr>
            <w:r>
              <w:rPr>
                <w:rFonts w:hint="eastAsia"/>
                <w:color w:val="auto"/>
                <w:highlight w:val="none"/>
              </w:rPr>
              <w:t>(5)商务条款偏离表；</w:t>
            </w:r>
          </w:p>
          <w:p>
            <w:pPr>
              <w:spacing w:line="360" w:lineRule="exact"/>
              <w:rPr>
                <w:color w:val="auto"/>
                <w:highlight w:val="none"/>
              </w:rPr>
            </w:pPr>
            <w:r>
              <w:rPr>
                <w:rFonts w:hint="eastAsia"/>
                <w:color w:val="auto"/>
                <w:highlight w:val="none"/>
              </w:rPr>
              <w:t>(6)第五部分“评标办法”中“评分标准”要求提供的资料（如有需提供）；</w:t>
            </w:r>
          </w:p>
          <w:p>
            <w:pPr>
              <w:spacing w:line="360" w:lineRule="exact"/>
              <w:rPr>
                <w:color w:val="auto"/>
                <w:highlight w:val="none"/>
              </w:rPr>
            </w:pPr>
            <w:r>
              <w:rPr>
                <w:rFonts w:hint="eastAsia"/>
                <w:color w:val="auto"/>
                <w:highlight w:val="none"/>
              </w:rPr>
              <w:t>以上条款请按本招标文件第七部分“附件（投标文件格式）”编制</w:t>
            </w:r>
          </w:p>
          <w:p>
            <w:pPr>
              <w:spacing w:line="360" w:lineRule="exact"/>
              <w:rPr>
                <w:color w:val="auto"/>
                <w:highlight w:val="none"/>
              </w:rPr>
            </w:pPr>
            <w:r>
              <w:rPr>
                <w:rFonts w:hint="eastAsia"/>
                <w:color w:val="auto"/>
                <w:highlight w:val="none"/>
              </w:rPr>
              <w:t>2、资格证明文件，含：</w:t>
            </w:r>
          </w:p>
          <w:p>
            <w:pPr>
              <w:spacing w:line="360" w:lineRule="exact"/>
              <w:rPr>
                <w:color w:val="auto"/>
                <w:highlight w:val="none"/>
              </w:rPr>
            </w:pPr>
            <w:r>
              <w:rPr>
                <w:rFonts w:hint="eastAsia"/>
                <w:color w:val="auto"/>
                <w:highlight w:val="none"/>
              </w:rPr>
              <w:t>(1)资格条件自查表；</w:t>
            </w:r>
          </w:p>
          <w:p>
            <w:pPr>
              <w:spacing w:line="360" w:lineRule="exact"/>
              <w:rPr>
                <w:color w:val="auto"/>
                <w:highlight w:val="none"/>
              </w:rPr>
            </w:pPr>
            <w:r>
              <w:rPr>
                <w:rFonts w:hint="eastAsia"/>
                <w:color w:val="auto"/>
                <w:highlight w:val="none"/>
              </w:rPr>
              <w:t>(2)投标声明书；</w:t>
            </w:r>
          </w:p>
          <w:p>
            <w:pPr>
              <w:spacing w:line="360" w:lineRule="exact"/>
              <w:rPr>
                <w:color w:val="auto"/>
                <w:highlight w:val="none"/>
              </w:rPr>
            </w:pPr>
            <w:r>
              <w:rPr>
                <w:rFonts w:hint="eastAsia"/>
                <w:color w:val="auto"/>
                <w:highlight w:val="none"/>
              </w:rPr>
              <w:t>(3)有效的“多证合一”的营业执照（未办理多证合一的提供营业执照、税务登记证、组织机构代码证）副本复印件。投标人如果有名称变更的，应提供由行政主管部门出具的变更证明文件；</w:t>
            </w:r>
          </w:p>
          <w:p>
            <w:pPr>
              <w:spacing w:line="360" w:lineRule="exact"/>
              <w:rPr>
                <w:color w:val="auto"/>
                <w:highlight w:val="none"/>
              </w:rPr>
            </w:pPr>
            <w:r>
              <w:rPr>
                <w:rFonts w:hint="eastAsia"/>
                <w:color w:val="auto"/>
                <w:highlight w:val="none"/>
              </w:rPr>
              <w:t>(4) 2020年年度财务会计报表复印件，其他组织或投标人新成立不足一年的，提供基本账户开户银行出具的资信证明材料复印件（银行资信证明一般应是为本次采购出具的原件，如提供采购日前六个月内开具的用于他次招标的银行资信证明的复印件也可。银行资信证明必须按第七部分附件中“银行资信证明”的要求提供。资信评估机构出具的资信等级证书或证明不能代替银行资信证明）；</w:t>
            </w:r>
          </w:p>
          <w:p>
            <w:pPr>
              <w:spacing w:line="360" w:lineRule="exact"/>
              <w:rPr>
                <w:color w:val="auto"/>
                <w:highlight w:val="none"/>
              </w:rPr>
            </w:pPr>
            <w:r>
              <w:rPr>
                <w:rFonts w:hint="eastAsia"/>
                <w:color w:val="auto"/>
                <w:highlight w:val="none"/>
              </w:rPr>
              <w:t>(5)提供具有履行合同所必需的设备和专业技术能力的书面声明；</w:t>
            </w:r>
          </w:p>
          <w:p>
            <w:pPr>
              <w:spacing w:line="360" w:lineRule="exact"/>
              <w:rPr>
                <w:color w:val="auto"/>
                <w:highlight w:val="none"/>
              </w:rPr>
            </w:pPr>
            <w:r>
              <w:rPr>
                <w:rFonts w:hint="eastAsia"/>
                <w:color w:val="auto"/>
                <w:highlight w:val="none"/>
              </w:rPr>
              <w:t>(6)依法缴纳税收和社会保障资金的书面声明；</w:t>
            </w:r>
          </w:p>
          <w:p>
            <w:pPr>
              <w:spacing w:line="360" w:lineRule="exact"/>
              <w:rPr>
                <w:color w:val="auto"/>
                <w:highlight w:val="none"/>
              </w:rPr>
            </w:pPr>
            <w:r>
              <w:rPr>
                <w:rFonts w:hint="eastAsia"/>
                <w:color w:val="auto"/>
                <w:highlight w:val="none"/>
              </w:rPr>
              <w:t>(7)提供参加政府采购活动前3年内在经营活动中没有重大违法记录的书面声明。</w:t>
            </w:r>
          </w:p>
          <w:p>
            <w:pPr>
              <w:spacing w:line="360" w:lineRule="exact"/>
              <w:rPr>
                <w:rFonts w:hint="eastAsia"/>
                <w:color w:val="auto"/>
                <w:highlight w:val="none"/>
              </w:rPr>
            </w:pPr>
            <w:r>
              <w:rPr>
                <w:rFonts w:hint="eastAsia"/>
                <w:color w:val="auto"/>
                <w:highlight w:val="none"/>
              </w:rPr>
              <w:t>(8)分支机构投标的（指金融、保险、通讯等特定行业），还须提供总公司（总机构）授权书或房产权证或其他有效财产证明材料复印件加盖供应商公章。（如有）</w:t>
            </w:r>
          </w:p>
          <w:p>
            <w:pPr>
              <w:spacing w:line="360" w:lineRule="exact"/>
              <w:rPr>
                <w:color w:val="auto"/>
                <w:highlight w:val="none"/>
              </w:rPr>
            </w:pPr>
            <w:r>
              <w:rPr>
                <w:rFonts w:hint="eastAsia"/>
                <w:color w:val="auto"/>
                <w:highlight w:val="none"/>
              </w:rPr>
              <w:t>（9）投标人的特定条件的证明文件：</w:t>
            </w:r>
            <w:r>
              <w:rPr>
                <w:rFonts w:hint="eastAsia"/>
                <w:color w:val="auto"/>
                <w:highlight w:val="none"/>
                <w:lang w:val="en-US" w:eastAsia="zh-CN"/>
              </w:rPr>
              <w:t>/</w:t>
            </w:r>
            <w:r>
              <w:rPr>
                <w:rFonts w:hint="eastAsia"/>
                <w:color w:val="auto"/>
                <w:highlight w:val="none"/>
              </w:rPr>
              <w:t>。</w:t>
            </w:r>
          </w:p>
          <w:p>
            <w:pPr>
              <w:spacing w:line="360" w:lineRule="exact"/>
              <w:rPr>
                <w:color w:val="auto"/>
                <w:highlight w:val="none"/>
              </w:rPr>
            </w:pPr>
            <w:r>
              <w:rPr>
                <w:rFonts w:hint="eastAsia"/>
                <w:color w:val="auto"/>
                <w:highlight w:val="none"/>
              </w:rPr>
              <w:t>3、报价文件，含：</w:t>
            </w:r>
          </w:p>
          <w:p>
            <w:pPr>
              <w:spacing w:line="360" w:lineRule="exact"/>
              <w:rPr>
                <w:color w:val="auto"/>
                <w:highlight w:val="none"/>
              </w:rPr>
            </w:pPr>
            <w:r>
              <w:rPr>
                <w:rFonts w:hint="eastAsia"/>
                <w:color w:val="auto"/>
                <w:highlight w:val="none"/>
              </w:rPr>
              <w:t>(1)开标一览表；</w:t>
            </w:r>
          </w:p>
          <w:p>
            <w:pPr>
              <w:spacing w:line="360" w:lineRule="exact"/>
              <w:rPr>
                <w:color w:val="auto"/>
                <w:highlight w:val="none"/>
              </w:rPr>
            </w:pPr>
            <w:r>
              <w:rPr>
                <w:rFonts w:hint="eastAsia"/>
                <w:color w:val="auto"/>
                <w:highlight w:val="none"/>
              </w:rPr>
              <w:t>(2)投标分项报价表；</w:t>
            </w:r>
          </w:p>
          <w:p>
            <w:pPr>
              <w:spacing w:line="360" w:lineRule="exact"/>
              <w:rPr>
                <w:color w:val="auto"/>
                <w:highlight w:val="none"/>
              </w:rPr>
            </w:pPr>
            <w:r>
              <w:rPr>
                <w:rFonts w:hint="eastAsia"/>
                <w:color w:val="auto"/>
                <w:highlight w:val="none"/>
              </w:rPr>
              <w:t>(3)中小企业声明函（如有需提供）；</w:t>
            </w:r>
          </w:p>
          <w:p>
            <w:pPr>
              <w:spacing w:line="360" w:lineRule="exact"/>
              <w:rPr>
                <w:color w:val="auto"/>
                <w:highlight w:val="none"/>
              </w:rPr>
            </w:pPr>
            <w:r>
              <w:rPr>
                <w:rFonts w:hint="eastAsia"/>
                <w:color w:val="auto"/>
                <w:highlight w:val="none"/>
              </w:rPr>
              <w:t>对非专门面向中小企业采购的项目，如果投标人为小微企业，应提供中小企业声明函；如未按照要求提供，将不得享受评标标准中注明的针对小微企业的价格扣除优惠。</w:t>
            </w:r>
          </w:p>
          <w:p>
            <w:pPr>
              <w:spacing w:line="360" w:lineRule="exact"/>
              <w:rPr>
                <w:color w:val="auto"/>
                <w:highlight w:val="none"/>
              </w:rPr>
            </w:pPr>
            <w:r>
              <w:rPr>
                <w:rFonts w:hint="eastAsia"/>
                <w:color w:val="auto"/>
                <w:highlight w:val="none"/>
              </w:rPr>
              <w:t>对非专门面向中小企业采购的项目，如果投标人为联合体，且联合体中有中小企业，应提供中小企业声明函；如未按照要求提供，将不得享受评标标准中注明的针对小微企业联合体的价格扣除优惠。</w:t>
            </w:r>
          </w:p>
          <w:p>
            <w:pPr>
              <w:numPr>
                <w:ilvl w:val="0"/>
                <w:numId w:val="8"/>
              </w:numPr>
              <w:spacing w:line="360" w:lineRule="exact"/>
              <w:rPr>
                <w:rFonts w:hint="eastAsia"/>
                <w:color w:val="auto"/>
                <w:highlight w:val="none"/>
              </w:rPr>
            </w:pPr>
            <w:r>
              <w:rPr>
                <w:rFonts w:hint="eastAsia"/>
                <w:color w:val="auto"/>
                <w:highlight w:val="none"/>
              </w:rPr>
              <w:t>残疾人福利性单位声明函（如有需提供）。</w:t>
            </w:r>
          </w:p>
          <w:p>
            <w:pPr>
              <w:numPr>
                <w:ilvl w:val="0"/>
                <w:numId w:val="8"/>
              </w:numPr>
              <w:spacing w:line="360" w:lineRule="exact"/>
              <w:rPr>
                <w:rFonts w:hint="eastAsia"/>
                <w:color w:val="auto"/>
                <w:szCs w:val="22"/>
                <w:highlight w:val="none"/>
              </w:rPr>
            </w:pPr>
            <w:r>
              <w:rPr>
                <w:rFonts w:hint="eastAsia"/>
                <w:color w:val="auto"/>
                <w:szCs w:val="22"/>
                <w:highlight w:val="none"/>
              </w:rPr>
              <w:t>监狱企业声明函</w:t>
            </w:r>
            <w:r>
              <w:rPr>
                <w:rFonts w:hint="eastAsia"/>
                <w:color w:val="auto"/>
                <w:highlight w:val="none"/>
              </w:rPr>
              <w:t>（如有需提供）</w:t>
            </w:r>
            <w:r>
              <w:rPr>
                <w:rFonts w:hint="eastAsia"/>
                <w:color w:val="auto"/>
                <w:szCs w:val="22"/>
                <w:highlight w:val="none"/>
              </w:rPr>
              <w:t>。</w:t>
            </w:r>
          </w:p>
          <w:p>
            <w:pPr>
              <w:spacing w:line="360" w:lineRule="exact"/>
              <w:ind w:firstLine="420" w:firstLineChars="200"/>
              <w:rPr>
                <w:rFonts w:hint="eastAsia"/>
                <w:b/>
                <w:bCs/>
                <w:color w:val="auto"/>
                <w:szCs w:val="22"/>
                <w:highlight w:val="none"/>
              </w:rPr>
            </w:pPr>
            <w:r>
              <w:rPr>
                <w:rFonts w:hint="eastAsia"/>
                <w:b/>
                <w:bCs/>
                <w:color w:val="auto"/>
                <w:szCs w:val="22"/>
                <w:highlight w:val="none"/>
              </w:rPr>
              <w:t>法定代表人授权书、投标单位情况一览表、中小企业声明函（如有）、监狱企业声明函（如有）、残疾人福利性单位声明函（如有）必须提供原件，招标文件未要求原件的，可以提供复印件但必须加盖投标人公章。招标文件另有规定的从其规定。</w:t>
            </w:r>
          </w:p>
          <w:p>
            <w:pPr>
              <w:spacing w:line="360" w:lineRule="exact"/>
              <w:ind w:firstLine="420" w:firstLineChars="200"/>
              <w:rPr>
                <w:color w:val="auto"/>
                <w:highlight w:val="none"/>
              </w:rPr>
            </w:pPr>
            <w:r>
              <w:rPr>
                <w:rFonts w:hint="eastAsia"/>
                <w:b/>
                <w:bCs/>
                <w:color w:val="auto"/>
                <w:szCs w:val="22"/>
                <w:highlight w:val="none"/>
              </w:rPr>
              <w:t>供应商应对投标文件编制目录和评分索引表以方便查询。</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noWrap w:val="0"/>
            <w:vAlign w:val="center"/>
          </w:tcPr>
          <w:p>
            <w:pPr>
              <w:spacing w:before="143" w:beforeLines="50" w:line="360" w:lineRule="exact"/>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10.1</w:t>
            </w:r>
          </w:p>
        </w:tc>
        <w:tc>
          <w:tcPr>
            <w:tcW w:w="7512" w:type="dxa"/>
            <w:noWrap w:val="0"/>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本项目采用</w:t>
            </w:r>
            <w:r>
              <w:rPr>
                <w:rFonts w:hint="eastAsia" w:ascii="宋体" w:hAnsi="宋体" w:cs="宋体"/>
                <w:b/>
                <w:color w:val="auto"/>
                <w:szCs w:val="21"/>
                <w:highlight w:val="none"/>
              </w:rPr>
              <w:t xml:space="preserve">固定总价方式 </w:t>
            </w:r>
            <w:r>
              <w:rPr>
                <w:rFonts w:hint="eastAsia" w:ascii="宋体" w:hAnsi="宋体" w:cs="宋体"/>
                <w:color w:val="auto"/>
                <w:szCs w:val="21"/>
                <w:highlight w:val="none"/>
              </w:rPr>
              <w:t>。</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本项目投标报价为交钥匙价，报价应包含按要求完成本项目的所有费用，包含但不仅限于实施所需的硬件、附件、备品备件等费用，以及本项目在实施过程中涉及的专用工具、辅材、安装、调试、检验、培训、技术服务、运杂、保险费、税金、验收检定、软件升级及供应商认为需要的所有费用。中标价格一经确定，除采购有要求追加或变动项目外，不再另行支付任何费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投标人应承担其参加本招标活动自身所发生的费用。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项目实施过程中可能发生的风险和费用均由中标人承担。</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5" w:hRule="atLeast"/>
        </w:trPr>
        <w:tc>
          <w:tcPr>
            <w:tcW w:w="1101" w:type="dxa"/>
            <w:noWrap w:val="0"/>
            <w:vAlign w:val="center"/>
          </w:tcPr>
          <w:p>
            <w:pPr>
              <w:spacing w:before="143" w:beforeLines="50" w:line="360" w:lineRule="exact"/>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10.5</w:t>
            </w:r>
          </w:p>
        </w:tc>
        <w:tc>
          <w:tcPr>
            <w:tcW w:w="7512" w:type="dxa"/>
            <w:noWrap w:val="0"/>
            <w:vAlign w:val="center"/>
          </w:tcPr>
          <w:p>
            <w:pPr>
              <w:spacing w:before="143" w:beforeLines="50" w:line="360" w:lineRule="exact"/>
              <w:rPr>
                <w:rFonts w:ascii="宋体" w:hAnsi="宋体" w:cs="宋体"/>
                <w:b/>
                <w:color w:val="auto"/>
                <w:szCs w:val="21"/>
                <w:highlight w:val="none"/>
              </w:rPr>
            </w:pPr>
            <w:r>
              <w:rPr>
                <w:rFonts w:hint="eastAsia" w:ascii="宋体" w:hAnsi="宋体" w:cs="宋体"/>
                <w:b/>
                <w:color w:val="auto"/>
                <w:szCs w:val="21"/>
                <w:highlight w:val="none"/>
              </w:rPr>
              <w:t>本项目采用最高投标限价，超过最高限价的投标将被判定为无效投标。</w:t>
            </w:r>
          </w:p>
          <w:p>
            <w:pPr>
              <w:spacing w:before="143" w:beforeLines="50" w:line="360" w:lineRule="exact"/>
              <w:rPr>
                <w:rFonts w:ascii="宋体" w:hAnsi="宋体" w:cs="宋体"/>
                <w:b/>
                <w:color w:val="auto"/>
                <w:szCs w:val="21"/>
                <w:highlight w:val="none"/>
              </w:rPr>
            </w:pPr>
            <w:r>
              <w:rPr>
                <w:rFonts w:hint="eastAsia" w:ascii="宋体" w:hAnsi="宋体" w:cs="宋体"/>
                <w:b/>
                <w:color w:val="auto"/>
                <w:szCs w:val="21"/>
                <w:highlight w:val="none"/>
              </w:rPr>
              <w:t>本项目标项一最高限价为</w:t>
            </w:r>
            <w:r>
              <w:rPr>
                <w:rFonts w:hint="eastAsia" w:ascii="宋体" w:hAnsi="宋体" w:cs="宋体"/>
                <w:b/>
                <w:color w:val="auto"/>
                <w:szCs w:val="21"/>
                <w:highlight w:val="none"/>
                <w:lang w:val="en-US" w:eastAsia="zh-CN"/>
              </w:rPr>
              <w:t>47.9945万</w:t>
            </w:r>
            <w:r>
              <w:rPr>
                <w:rFonts w:hint="eastAsia" w:ascii="宋体" w:hAnsi="宋体" w:cs="宋体"/>
                <w:b/>
                <w:color w:val="auto"/>
                <w:szCs w:val="21"/>
                <w:highlight w:val="none"/>
              </w:rPr>
              <w:t>元，</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noWrap w:val="0"/>
            <w:vAlign w:val="center"/>
          </w:tcPr>
          <w:p>
            <w:pPr>
              <w:spacing w:before="143" w:beforeLines="50" w:line="360" w:lineRule="exact"/>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11.4</w:t>
            </w:r>
          </w:p>
        </w:tc>
        <w:tc>
          <w:tcPr>
            <w:tcW w:w="7512" w:type="dxa"/>
            <w:noWrap w:val="0"/>
            <w:vAlign w:val="center"/>
          </w:tcPr>
          <w:p>
            <w:pPr>
              <w:spacing w:line="360" w:lineRule="exact"/>
              <w:rPr>
                <w:rFonts w:ascii="宋体" w:hAnsi="宋体" w:cs="宋体"/>
                <w:bCs/>
                <w:color w:val="auto"/>
                <w:szCs w:val="21"/>
                <w:highlight w:val="none"/>
              </w:rPr>
            </w:pPr>
            <w:r>
              <w:rPr>
                <w:rFonts w:hint="eastAsia" w:ascii="宋体" w:hAnsi="宋体" w:cs="宋体"/>
                <w:b/>
                <w:color w:val="auto"/>
                <w:szCs w:val="21"/>
                <w:highlight w:val="none"/>
              </w:rPr>
              <w:t>投标文件数量要求：</w:t>
            </w:r>
            <w:r>
              <w:rPr>
                <w:rFonts w:hint="eastAsia" w:ascii="宋体" w:hAnsi="宋体" w:cs="宋体"/>
                <w:bCs/>
                <w:color w:val="auto"/>
                <w:szCs w:val="21"/>
                <w:highlight w:val="none"/>
              </w:rPr>
              <w:t>本项目实行网上投标，供应商应准备以下投标文件：（1）上传到政府采购云平台的电子投标文件（含资格证明文件、商务和技术文件、报价文件）1份。</w:t>
            </w:r>
          </w:p>
          <w:p>
            <w:pPr>
              <w:spacing w:line="360" w:lineRule="exact"/>
              <w:rPr>
                <w:rFonts w:ascii="宋体" w:hAnsi="宋体" w:cs="宋体"/>
                <w:color w:val="auto"/>
                <w:szCs w:val="21"/>
                <w:highlight w:val="none"/>
              </w:rPr>
            </w:pPr>
            <w:r>
              <w:rPr>
                <w:rFonts w:hint="eastAsia" w:ascii="宋体" w:hAnsi="宋体" w:cs="宋体"/>
                <w:bCs/>
                <w:color w:val="auto"/>
                <w:szCs w:val="21"/>
                <w:highlight w:val="none"/>
              </w:rPr>
              <w:t>（2）以U盘或光盘存储的电子备份投标文件（含资格证明文件、商务和技术文件、报价文件）1份。</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noWrap w:val="0"/>
            <w:vAlign w:val="center"/>
          </w:tcPr>
          <w:p>
            <w:pPr>
              <w:spacing w:before="143"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7512" w:type="dxa"/>
            <w:noWrap w:val="0"/>
            <w:vAlign w:val="center"/>
          </w:tcPr>
          <w:p>
            <w:pPr>
              <w:spacing w:before="143" w:beforeLines="50" w:line="360" w:lineRule="exact"/>
              <w:rPr>
                <w:rFonts w:ascii="宋体" w:hAnsi="宋体" w:cs="宋体"/>
                <w:color w:val="auto"/>
                <w:szCs w:val="21"/>
                <w:highlight w:val="none"/>
              </w:rPr>
            </w:pPr>
            <w:r>
              <w:rPr>
                <w:rFonts w:hint="eastAsia" w:ascii="宋体" w:hAnsi="宋体" w:cs="宋体"/>
                <w:b/>
                <w:color w:val="auto"/>
                <w:szCs w:val="21"/>
                <w:highlight w:val="none"/>
              </w:rPr>
              <w:t>投标有效期</w:t>
            </w:r>
            <w:r>
              <w:rPr>
                <w:rFonts w:hint="eastAsia" w:ascii="宋体" w:hAnsi="宋体" w:cs="宋体"/>
                <w:color w:val="auto"/>
                <w:szCs w:val="21"/>
                <w:highlight w:val="none"/>
              </w:rPr>
              <w:t>： 90 天。</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2" w:hRule="atLeast"/>
        </w:trPr>
        <w:tc>
          <w:tcPr>
            <w:tcW w:w="1101" w:type="dxa"/>
            <w:noWrap w:val="0"/>
            <w:vAlign w:val="center"/>
          </w:tcPr>
          <w:p>
            <w:pPr>
              <w:spacing w:before="143"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7512" w:type="dxa"/>
            <w:noWrap w:val="0"/>
            <w:vAlign w:val="center"/>
          </w:tcPr>
          <w:p>
            <w:pPr>
              <w:spacing w:line="360" w:lineRule="exact"/>
              <w:rPr>
                <w:rFonts w:ascii="宋体" w:hAnsi="宋体"/>
                <w:b/>
                <w:color w:val="auto"/>
                <w:highlight w:val="none"/>
              </w:rPr>
            </w:pPr>
            <w:r>
              <w:rPr>
                <w:rFonts w:hint="eastAsia" w:ascii="宋体" w:hAnsi="宋体"/>
                <w:b/>
                <w:color w:val="auto"/>
                <w:highlight w:val="none"/>
              </w:rPr>
              <w:t>投标保证金金额：无</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1101" w:type="dxa"/>
            <w:noWrap w:val="0"/>
            <w:vAlign w:val="center"/>
          </w:tcPr>
          <w:p>
            <w:pPr>
              <w:spacing w:before="143"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15.1</w:t>
            </w:r>
          </w:p>
        </w:tc>
        <w:tc>
          <w:tcPr>
            <w:tcW w:w="7512" w:type="dxa"/>
            <w:noWrap w:val="0"/>
            <w:vAlign w:val="center"/>
          </w:tcPr>
          <w:p>
            <w:pPr>
              <w:spacing w:before="143" w:beforeLines="50" w:line="360" w:lineRule="exact"/>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olor w:val="auto"/>
                <w:highlight w:val="none"/>
                <w:u w:val="single"/>
              </w:rPr>
              <w:t>2021</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12</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15</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30</w:t>
            </w:r>
            <w:r>
              <w:rPr>
                <w:rFonts w:hint="eastAsia" w:ascii="宋体" w:hAnsi="宋体"/>
                <w:bCs/>
                <w:color w:val="auto"/>
                <w:highlight w:val="none"/>
                <w:u w:val="single"/>
              </w:rPr>
              <w:t>分</w:t>
            </w:r>
            <w:r>
              <w:rPr>
                <w:rFonts w:hint="eastAsia" w:ascii="宋体" w:hAnsi="宋体" w:cs="宋体"/>
                <w:color w:val="auto"/>
                <w:szCs w:val="21"/>
                <w:highlight w:val="none"/>
              </w:rPr>
              <w:t>（北京时间）。</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noWrap w:val="0"/>
            <w:vAlign w:val="center"/>
          </w:tcPr>
          <w:p>
            <w:pPr>
              <w:spacing w:before="143"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28.1</w:t>
            </w:r>
          </w:p>
        </w:tc>
        <w:tc>
          <w:tcPr>
            <w:tcW w:w="7512" w:type="dxa"/>
            <w:noWrap w:val="0"/>
            <w:vAlign w:val="center"/>
          </w:tcPr>
          <w:p>
            <w:pPr>
              <w:spacing w:line="360" w:lineRule="exact"/>
              <w:ind w:left="105" w:leftChars="50" w:right="105" w:rightChars="50"/>
              <w:rPr>
                <w:rFonts w:hAnsi="宋体"/>
                <w:color w:val="auto"/>
                <w:highlight w:val="none"/>
              </w:rPr>
            </w:pPr>
            <w:r>
              <w:rPr>
                <w:rFonts w:hAnsi="宋体"/>
                <w:color w:val="auto"/>
                <w:highlight w:val="none"/>
              </w:rPr>
              <w:t>1.</w:t>
            </w:r>
            <w:r>
              <w:rPr>
                <w:rFonts w:hint="eastAsia" w:hAnsi="宋体"/>
                <w:color w:val="auto"/>
                <w:highlight w:val="none"/>
              </w:rPr>
              <w:t>采购代理机构参照国家发改委发改办价格</w:t>
            </w:r>
            <w:r>
              <w:rPr>
                <w:rFonts w:hAnsi="宋体"/>
                <w:color w:val="auto"/>
                <w:highlight w:val="none"/>
              </w:rPr>
              <w:t>[2003]857</w:t>
            </w:r>
            <w:r>
              <w:rPr>
                <w:rFonts w:hint="eastAsia" w:hAnsi="宋体"/>
                <w:color w:val="auto"/>
                <w:highlight w:val="none"/>
              </w:rPr>
              <w:t>号通知和原国家计委计价</w:t>
            </w:r>
            <w:r>
              <w:rPr>
                <w:rFonts w:hAnsi="宋体"/>
                <w:color w:val="auto"/>
                <w:highlight w:val="none"/>
              </w:rPr>
              <w:t>[2002]1980</w:t>
            </w:r>
            <w:r>
              <w:rPr>
                <w:rFonts w:hint="eastAsia" w:hAnsi="宋体"/>
                <w:color w:val="auto"/>
                <w:highlight w:val="none"/>
              </w:rPr>
              <w:t>号文件规定的</w:t>
            </w:r>
            <w:r>
              <w:rPr>
                <w:rFonts w:hint="eastAsia" w:hAnsi="宋体"/>
                <w:color w:val="auto"/>
                <w:szCs w:val="24"/>
                <w:highlight w:val="none"/>
              </w:rPr>
              <w:t>费率</w:t>
            </w:r>
            <w:r>
              <w:rPr>
                <w:rFonts w:hint="eastAsia" w:hAnsi="宋体"/>
                <w:color w:val="auto"/>
                <w:highlight w:val="none"/>
              </w:rPr>
              <w:t>标准计取，按照中标通知书确定的中标金额，核算中标服务费。</w:t>
            </w:r>
          </w:p>
          <w:p>
            <w:pPr>
              <w:spacing w:line="360" w:lineRule="exact"/>
              <w:ind w:left="105" w:leftChars="50" w:right="105" w:rightChars="50"/>
              <w:jc w:val="center"/>
              <w:rPr>
                <w:rFonts w:hAnsi="宋体"/>
                <w:color w:val="auto"/>
                <w:highlight w:val="none"/>
              </w:rPr>
            </w:pPr>
            <w:r>
              <w:rPr>
                <w:rFonts w:hint="eastAsia" w:hAnsi="宋体"/>
                <w:color w:val="auto"/>
                <w:highlight w:val="none"/>
              </w:rPr>
              <w:t>收取中标服务费标准（分档累计）</w:t>
            </w:r>
          </w:p>
          <w:tbl>
            <w:tblPr>
              <w:tblStyle w:val="33"/>
              <w:tblW w:w="0" w:type="auto"/>
              <w:tblCellSpacing w:w="15" w:type="dxa"/>
              <w:tblInd w:w="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87"/>
              <w:gridCol w:w="2041"/>
              <w:gridCol w:w="19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8" w:hRule="atLeast"/>
                <w:tblCellSpacing w:w="15" w:type="dxa"/>
              </w:trPr>
              <w:tc>
                <w:tcPr>
                  <w:tcW w:w="3242"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中标金额（万元）</w:t>
                  </w:r>
                </w:p>
              </w:tc>
              <w:tc>
                <w:tcPr>
                  <w:tcW w:w="201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olor w:val="auto"/>
                      <w:szCs w:val="21"/>
                      <w:highlight w:val="none"/>
                    </w:rPr>
                    <w:t>费率（服务）</w:t>
                  </w:r>
                </w:p>
              </w:tc>
              <w:tc>
                <w:tcPr>
                  <w:tcW w:w="188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宋体" w:hAnsi="宋体"/>
                      <w:color w:val="auto"/>
                      <w:szCs w:val="21"/>
                      <w:highlight w:val="none"/>
                    </w:rPr>
                  </w:pPr>
                  <w:r>
                    <w:rPr>
                      <w:rFonts w:hint="eastAsia" w:ascii="宋体" w:hAnsi="宋体"/>
                      <w:color w:val="auto"/>
                      <w:szCs w:val="21"/>
                      <w:highlight w:val="none"/>
                    </w:rPr>
                    <w:t>费率（货物）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tblCellSpacing w:w="15" w:type="dxa"/>
              </w:trPr>
              <w:tc>
                <w:tcPr>
                  <w:tcW w:w="3242"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ascii="宋体" w:hAnsi="宋体" w:cs="宋体"/>
                      <w:color w:val="auto"/>
                      <w:kern w:val="0"/>
                      <w:szCs w:val="21"/>
                      <w:highlight w:val="none"/>
                    </w:rPr>
                  </w:pPr>
                  <w:r>
                    <w:rPr>
                      <w:rFonts w:ascii="宋体" w:hAnsi="宋体"/>
                      <w:color w:val="auto"/>
                      <w:szCs w:val="21"/>
                      <w:highlight w:val="none"/>
                    </w:rPr>
                    <w:t>100</w:t>
                  </w:r>
                  <w:r>
                    <w:rPr>
                      <w:rFonts w:hint="eastAsia" w:ascii="宋体" w:hAnsi="宋体"/>
                      <w:color w:val="auto"/>
                      <w:szCs w:val="21"/>
                      <w:highlight w:val="none"/>
                    </w:rPr>
                    <w:t>以下</w:t>
                  </w:r>
                </w:p>
              </w:tc>
              <w:tc>
                <w:tcPr>
                  <w:tcW w:w="201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ascii="宋体" w:hAnsi="宋体" w:cs="宋体"/>
                      <w:color w:val="auto"/>
                      <w:kern w:val="0"/>
                      <w:szCs w:val="21"/>
                      <w:highlight w:val="none"/>
                    </w:rPr>
                  </w:pPr>
                  <w:r>
                    <w:rPr>
                      <w:rFonts w:ascii="宋体" w:hAnsi="宋体"/>
                      <w:color w:val="auto"/>
                      <w:szCs w:val="21"/>
                      <w:highlight w:val="none"/>
                    </w:rPr>
                    <w:t>1.50%</w:t>
                  </w:r>
                </w:p>
              </w:tc>
              <w:tc>
                <w:tcPr>
                  <w:tcW w:w="188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ascii="宋体" w:hAnsi="宋体"/>
                      <w:color w:val="auto"/>
                      <w:szCs w:val="21"/>
                      <w:highlight w:val="none"/>
                    </w:rPr>
                  </w:pPr>
                  <w:r>
                    <w:rPr>
                      <w:rFonts w:ascii="宋体" w:hAnsi="宋体"/>
                      <w:color w:val="auto"/>
                      <w:szCs w:val="21"/>
                      <w:highlight w:val="none"/>
                    </w:rPr>
                    <w:t>1.50%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242"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ascii="宋体" w:hAnsi="宋体" w:cs="宋体"/>
                      <w:color w:val="auto"/>
                      <w:kern w:val="0"/>
                      <w:szCs w:val="21"/>
                      <w:highlight w:val="none"/>
                    </w:rPr>
                  </w:pPr>
                  <w:r>
                    <w:rPr>
                      <w:rFonts w:ascii="宋体" w:hAnsi="宋体"/>
                      <w:color w:val="auto"/>
                      <w:szCs w:val="21"/>
                      <w:highlight w:val="none"/>
                    </w:rPr>
                    <w:t>100-500</w:t>
                  </w:r>
                </w:p>
              </w:tc>
              <w:tc>
                <w:tcPr>
                  <w:tcW w:w="201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ascii="宋体" w:hAnsi="宋体" w:cs="宋体"/>
                      <w:color w:val="auto"/>
                      <w:kern w:val="0"/>
                      <w:szCs w:val="21"/>
                      <w:highlight w:val="none"/>
                    </w:rPr>
                  </w:pPr>
                  <w:r>
                    <w:rPr>
                      <w:rFonts w:hint="eastAsia" w:ascii="宋体" w:hAnsi="宋体"/>
                      <w:color w:val="auto"/>
                      <w:szCs w:val="21"/>
                      <w:highlight w:val="none"/>
                    </w:rPr>
                    <w:t>0.80%</w:t>
                  </w:r>
                </w:p>
              </w:tc>
              <w:tc>
                <w:tcPr>
                  <w:tcW w:w="188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hint="eastAsia" w:ascii="宋体" w:hAnsi="宋体"/>
                      <w:color w:val="auto"/>
                      <w:szCs w:val="21"/>
                      <w:highlight w:val="none"/>
                    </w:rPr>
                  </w:pPr>
                  <w:r>
                    <w:rPr>
                      <w:rFonts w:hint="eastAsia" w:ascii="宋体" w:hAnsi="宋体"/>
                      <w:color w:val="auto"/>
                      <w:szCs w:val="21"/>
                      <w:highlight w:val="none"/>
                    </w:rPr>
                    <w:t>1.10</w:t>
                  </w:r>
                  <w:r>
                    <w:rPr>
                      <w:rFonts w:ascii="宋体" w:hAnsi="宋体"/>
                      <w:color w:val="auto"/>
                      <w:szCs w:val="21"/>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242"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ascii="宋体" w:hAnsi="宋体"/>
                      <w:color w:val="auto"/>
                      <w:szCs w:val="21"/>
                      <w:highlight w:val="none"/>
                    </w:rPr>
                  </w:pPr>
                  <w:r>
                    <w:rPr>
                      <w:rFonts w:hint="eastAsia" w:ascii="宋体" w:hAnsi="宋体"/>
                      <w:color w:val="auto"/>
                      <w:szCs w:val="21"/>
                      <w:highlight w:val="none"/>
                    </w:rPr>
                    <w:t>500-1000</w:t>
                  </w:r>
                </w:p>
              </w:tc>
              <w:tc>
                <w:tcPr>
                  <w:tcW w:w="2011"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eastAsia" w:ascii="宋体" w:hAnsi="宋体"/>
                      <w:color w:val="auto"/>
                      <w:szCs w:val="21"/>
                      <w:highlight w:val="none"/>
                    </w:rPr>
                  </w:pPr>
                  <w:r>
                    <w:rPr>
                      <w:rFonts w:hint="eastAsia" w:ascii="宋体" w:hAnsi="宋体"/>
                      <w:color w:val="auto"/>
                      <w:szCs w:val="21"/>
                      <w:highlight w:val="none"/>
                    </w:rPr>
                    <w:t>0.45%</w:t>
                  </w:r>
                </w:p>
              </w:tc>
              <w:tc>
                <w:tcPr>
                  <w:tcW w:w="1881"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eastAsia" w:ascii="宋体" w:hAnsi="宋体"/>
                      <w:color w:val="auto"/>
                      <w:szCs w:val="21"/>
                      <w:highlight w:val="none"/>
                    </w:rPr>
                  </w:pPr>
                  <w:r>
                    <w:rPr>
                      <w:rFonts w:hint="eastAsia" w:ascii="宋体" w:hAnsi="宋体"/>
                      <w:color w:val="auto"/>
                      <w:szCs w:val="21"/>
                      <w:highlight w:val="none"/>
                    </w:rPr>
                    <w:t>0.80%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242"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exact"/>
                    <w:jc w:val="center"/>
                    <w:rPr>
                      <w:rFonts w:ascii="宋体" w:hAnsi="宋体"/>
                      <w:color w:val="auto"/>
                      <w:szCs w:val="21"/>
                      <w:highlight w:val="none"/>
                    </w:rPr>
                  </w:pPr>
                  <w:r>
                    <w:rPr>
                      <w:rFonts w:hint="eastAsia" w:ascii="宋体" w:hAnsi="宋体"/>
                      <w:color w:val="auto"/>
                      <w:szCs w:val="21"/>
                      <w:highlight w:val="none"/>
                    </w:rPr>
                    <w:t>1000-5000</w:t>
                  </w:r>
                </w:p>
              </w:tc>
              <w:tc>
                <w:tcPr>
                  <w:tcW w:w="2011"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eastAsia" w:ascii="宋体" w:hAnsi="宋体"/>
                      <w:color w:val="auto"/>
                      <w:szCs w:val="21"/>
                      <w:highlight w:val="none"/>
                    </w:rPr>
                  </w:pPr>
                  <w:r>
                    <w:rPr>
                      <w:rFonts w:hint="eastAsia" w:ascii="宋体" w:hAnsi="宋体"/>
                      <w:color w:val="auto"/>
                      <w:szCs w:val="21"/>
                      <w:highlight w:val="none"/>
                    </w:rPr>
                    <w:t>0.25%</w:t>
                  </w:r>
                </w:p>
              </w:tc>
              <w:tc>
                <w:tcPr>
                  <w:tcW w:w="1881"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exact"/>
                    <w:jc w:val="center"/>
                    <w:rPr>
                      <w:rFonts w:hint="eastAsia" w:ascii="宋体" w:hAnsi="宋体"/>
                      <w:color w:val="auto"/>
                      <w:szCs w:val="21"/>
                      <w:highlight w:val="none"/>
                    </w:rPr>
                  </w:pPr>
                  <w:r>
                    <w:rPr>
                      <w:rFonts w:hint="eastAsia" w:ascii="宋体" w:hAnsi="宋体"/>
                      <w:color w:val="auto"/>
                      <w:szCs w:val="21"/>
                      <w:highlight w:val="none"/>
                    </w:rPr>
                    <w:t>0.50%</w:t>
                  </w:r>
                </w:p>
              </w:tc>
            </w:tr>
          </w:tbl>
          <w:p>
            <w:pPr>
              <w:spacing w:line="360" w:lineRule="exact"/>
              <w:rPr>
                <w:rFonts w:ascii="宋体" w:hAnsi="宋体" w:cs="宋体"/>
                <w:color w:val="auto"/>
                <w:szCs w:val="21"/>
                <w:highlight w:val="none"/>
              </w:rPr>
            </w:pPr>
            <w:r>
              <w:rPr>
                <w:rFonts w:hint="eastAsia" w:ascii="宋体" w:hAnsi="宋体" w:cs="宋体"/>
                <w:color w:val="auto"/>
                <w:szCs w:val="21"/>
                <w:highlight w:val="none"/>
              </w:rPr>
              <w:t>2.中标人负责承担中标服务费，并应在采购代理机构发出中标通知书5个工作日内向采购代理机构支付中标服务费。</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3.中标服务费只收电汇款。</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4.代理服务费收款账户信息：</w:t>
            </w:r>
          </w:p>
          <w:p>
            <w:pPr>
              <w:tabs>
                <w:tab w:val="left" w:pos="210"/>
              </w:tabs>
              <w:spacing w:line="360" w:lineRule="exact"/>
              <w:rPr>
                <w:rFonts w:ascii="宋体" w:hAnsi="宋体" w:cs="宋体"/>
                <w:color w:val="auto"/>
                <w:szCs w:val="21"/>
                <w:highlight w:val="none"/>
              </w:rPr>
            </w:pPr>
            <w:r>
              <w:rPr>
                <w:rFonts w:hint="eastAsia" w:ascii="宋体" w:hAnsi="宋体" w:cs="宋体"/>
                <w:color w:val="auto"/>
                <w:szCs w:val="21"/>
                <w:highlight w:val="none"/>
              </w:rPr>
              <w:t>开户银行：建行宁波分行营业部；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户名：宁波国咨工程造价咨询有限公司；</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账号：33101983679050502597。</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noWrap w:val="0"/>
            <w:vAlign w:val="center"/>
          </w:tcPr>
          <w:p>
            <w:pPr>
              <w:spacing w:before="143" w:beforeLines="50" w:line="360" w:lineRule="exact"/>
              <w:jc w:val="center"/>
              <w:rPr>
                <w:rFonts w:ascii="宋体" w:hAnsi="宋体" w:cs="宋体"/>
                <w:color w:val="auto"/>
                <w:szCs w:val="21"/>
                <w:highlight w:val="none"/>
              </w:rPr>
            </w:pPr>
            <w:r>
              <w:rPr>
                <w:rFonts w:hint="eastAsia" w:ascii="宋体" w:hAnsi="宋体" w:cs="宋体"/>
                <w:color w:val="auto"/>
                <w:szCs w:val="21"/>
                <w:highlight w:val="none"/>
              </w:rPr>
              <w:t>29</w:t>
            </w:r>
          </w:p>
        </w:tc>
        <w:tc>
          <w:tcPr>
            <w:tcW w:w="7512" w:type="dxa"/>
            <w:tcBorders>
              <w:bottom w:val="single" w:color="auto" w:sz="12" w:space="0"/>
            </w:tcBorders>
            <w:noWrap w:val="0"/>
            <w:vAlign w:val="center"/>
          </w:tcPr>
          <w:p>
            <w:pPr>
              <w:spacing w:line="360" w:lineRule="exact"/>
              <w:ind w:left="788" w:hanging="787" w:hangingChars="375"/>
              <w:rPr>
                <w:color w:val="auto"/>
                <w:highlight w:val="none"/>
              </w:rPr>
            </w:pPr>
            <w:r>
              <w:rPr>
                <w:rFonts w:hint="eastAsia"/>
                <w:color w:val="auto"/>
                <w:highlight w:val="none"/>
              </w:rPr>
              <w:t>发布本项目招标公告、中标公示的媒体：</w:t>
            </w:r>
          </w:p>
          <w:p>
            <w:pPr>
              <w:spacing w:line="360" w:lineRule="exact"/>
              <w:ind w:left="788" w:hanging="787" w:hangingChars="375"/>
              <w:rPr>
                <w:color w:val="auto"/>
                <w:highlight w:val="none"/>
              </w:rPr>
            </w:pPr>
            <w:r>
              <w:rPr>
                <w:rFonts w:hint="eastAsia"/>
                <w:color w:val="auto"/>
                <w:highlight w:val="none"/>
              </w:rPr>
              <w:t>浙江政府采购网</w:t>
            </w:r>
            <w:r>
              <w:rPr>
                <w:color w:val="auto"/>
                <w:highlight w:val="none"/>
              </w:rPr>
              <w:t>https://zfcg.czt.zj.gov.cn/</w:t>
            </w:r>
          </w:p>
          <w:p>
            <w:pPr>
              <w:spacing w:line="360" w:lineRule="exact"/>
              <w:rPr>
                <w:color w:val="auto"/>
                <w:highlight w:val="none"/>
              </w:rPr>
            </w:pPr>
            <w:r>
              <w:rPr>
                <w:rFonts w:hint="eastAsia"/>
                <w:color w:val="auto"/>
                <w:highlight w:val="none"/>
              </w:rPr>
              <w:t>宁波政府采购网</w:t>
            </w:r>
            <w:r>
              <w:rPr>
                <w:color w:val="auto"/>
                <w:highlight w:val="none"/>
              </w:rPr>
              <w:fldChar w:fldCharType="begin"/>
            </w:r>
            <w:r>
              <w:rPr>
                <w:color w:val="auto"/>
                <w:highlight w:val="none"/>
              </w:rPr>
              <w:instrText xml:space="preserve"> HYPERLINK "http://www.nbzfcg.cn" </w:instrText>
            </w:r>
            <w:r>
              <w:rPr>
                <w:color w:val="auto"/>
                <w:highlight w:val="none"/>
              </w:rPr>
              <w:fldChar w:fldCharType="separate"/>
            </w:r>
            <w:r>
              <w:rPr>
                <w:color w:val="auto"/>
                <w:highlight w:val="none"/>
              </w:rPr>
              <w:t>www.nbzf</w:t>
            </w:r>
            <w:bookmarkStart w:id="38" w:name="_Hlt237917837"/>
            <w:bookmarkStart w:id="39" w:name="_Hlt237917838"/>
            <w:r>
              <w:rPr>
                <w:color w:val="auto"/>
                <w:highlight w:val="none"/>
              </w:rPr>
              <w:t>c</w:t>
            </w:r>
            <w:bookmarkEnd w:id="38"/>
            <w:bookmarkEnd w:id="39"/>
            <w:bookmarkStart w:id="40" w:name="_Hlt237842684"/>
            <w:bookmarkStart w:id="41" w:name="_Hlt237842726"/>
            <w:bookmarkStart w:id="42" w:name="_Hlt237842683"/>
            <w:bookmarkStart w:id="43" w:name="_Hlt237842727"/>
            <w:r>
              <w:rPr>
                <w:color w:val="auto"/>
                <w:highlight w:val="none"/>
              </w:rPr>
              <w:t>g</w:t>
            </w:r>
            <w:bookmarkEnd w:id="40"/>
            <w:bookmarkEnd w:id="41"/>
            <w:bookmarkEnd w:id="42"/>
            <w:bookmarkEnd w:id="43"/>
            <w:r>
              <w:rPr>
                <w:color w:val="auto"/>
                <w:highlight w:val="none"/>
              </w:rPr>
              <w:t>.cn</w:t>
            </w:r>
            <w:r>
              <w:rPr>
                <w:color w:val="auto"/>
                <w:highlight w:val="none"/>
              </w:rPr>
              <w:fldChar w:fldCharType="end"/>
            </w:r>
          </w:p>
          <w:p>
            <w:pPr>
              <w:pStyle w:val="2"/>
              <w:ind w:left="210" w:hanging="210" w:hangingChars="100"/>
              <w:rPr>
                <w:color w:val="auto"/>
                <w:highlight w:val="none"/>
              </w:rPr>
            </w:pPr>
            <w:r>
              <w:rPr>
                <w:rFonts w:hint="eastAsia"/>
                <w:color w:val="auto"/>
                <w:kern w:val="2"/>
                <w:sz w:val="21"/>
                <w:szCs w:val="22"/>
                <w:highlight w:val="none"/>
              </w:rPr>
              <w:t>宁波公共资源交易网</w:t>
            </w:r>
            <w:r>
              <w:rPr>
                <w:rFonts w:hint="eastAsia"/>
                <w:color w:val="auto"/>
                <w:kern w:val="2"/>
                <w:sz w:val="21"/>
                <w:szCs w:val="22"/>
                <w:highlight w:val="none"/>
                <w:lang w:val="en-US" w:eastAsia="zh-CN"/>
              </w:rPr>
              <w:t>鄞州</w:t>
            </w:r>
            <w:r>
              <w:rPr>
                <w:rFonts w:hint="eastAsia"/>
                <w:color w:val="auto"/>
                <w:kern w:val="2"/>
                <w:sz w:val="21"/>
                <w:szCs w:val="22"/>
                <w:highlight w:val="none"/>
              </w:rPr>
              <w:t>区分网http://bidding.ningbo.gov.cn/yinzhou/</w:t>
            </w:r>
          </w:p>
        </w:tc>
      </w:tr>
    </w:tbl>
    <w:p>
      <w:pPr>
        <w:widowControl/>
        <w:spacing w:line="360" w:lineRule="auto"/>
        <w:ind w:firstLine="420" w:firstLineChars="200"/>
        <w:jc w:val="left"/>
        <w:rPr>
          <w:rFonts w:ascii="宋体" w:hAnsi="宋体" w:cs="宋体"/>
          <w:color w:val="auto"/>
          <w:szCs w:val="21"/>
          <w:highlight w:val="none"/>
          <w:u w:val="single"/>
        </w:rPr>
      </w:pPr>
    </w:p>
    <w:p>
      <w:pPr>
        <w:spacing w:line="520" w:lineRule="exact"/>
        <w:ind w:firstLine="480" w:firstLineChars="200"/>
        <w:rPr>
          <w:rFonts w:ascii="宋体" w:hAnsi="宋体"/>
          <w:color w:val="auto"/>
          <w:sz w:val="24"/>
          <w:szCs w:val="24"/>
          <w:highlight w:val="none"/>
          <w:u w:val="single"/>
        </w:rPr>
        <w:sectPr>
          <w:headerReference r:id="rId9" w:type="default"/>
          <w:footerReference r:id="rId11" w:type="default"/>
          <w:headerReference r:id="rId10" w:type="even"/>
          <w:pgSz w:w="11907" w:h="16840"/>
          <w:pgMar w:top="1276" w:right="1701" w:bottom="1560" w:left="1701" w:header="720" w:footer="720" w:gutter="0"/>
          <w:cols w:space="720" w:num="1"/>
          <w:docGrid w:type="linesAndChars" w:linePitch="286" w:charSpace="0"/>
        </w:sectPr>
      </w:pPr>
    </w:p>
    <w:p>
      <w:pPr>
        <w:pStyle w:val="4"/>
        <w:spacing w:before="286" w:after="286"/>
        <w:rPr>
          <w:color w:val="auto"/>
          <w:sz w:val="32"/>
          <w:szCs w:val="32"/>
          <w:highlight w:val="none"/>
        </w:rPr>
      </w:pPr>
      <w:bookmarkStart w:id="44" w:name="_Toc14788"/>
      <w:bookmarkStart w:id="45" w:name="_Toc316649292"/>
      <w:r>
        <w:rPr>
          <w:rFonts w:hint="eastAsia"/>
          <w:color w:val="auto"/>
          <w:sz w:val="32"/>
          <w:szCs w:val="32"/>
          <w:highlight w:val="none"/>
        </w:rPr>
        <w:t>第三部分投标人须知</w:t>
      </w:r>
      <w:bookmarkEnd w:id="44"/>
      <w:bookmarkEnd w:id="45"/>
    </w:p>
    <w:p>
      <w:pPr>
        <w:jc w:val="center"/>
        <w:outlineLvl w:val="1"/>
        <w:rPr>
          <w:rFonts w:ascii="宋体" w:hAnsi="宋体" w:cs="宋体"/>
          <w:b/>
          <w:color w:val="auto"/>
          <w:sz w:val="28"/>
          <w:highlight w:val="none"/>
        </w:rPr>
      </w:pPr>
      <w:bookmarkStart w:id="46" w:name="_Toc513798900"/>
      <w:bookmarkStart w:id="47" w:name="_Toc513799071"/>
      <w:bookmarkStart w:id="48" w:name="_Toc440276561"/>
      <w:bookmarkStart w:id="49" w:name="_Toc520902394"/>
      <w:bookmarkStart w:id="50" w:name="_Toc30832"/>
      <w:bookmarkStart w:id="51" w:name="_Toc481153658"/>
      <w:bookmarkStart w:id="52" w:name="_Toc501721427"/>
      <w:bookmarkStart w:id="53" w:name="_Toc501721199"/>
      <w:bookmarkStart w:id="54" w:name="_Toc497935707"/>
      <w:bookmarkStart w:id="55" w:name="_Toc481153623"/>
      <w:bookmarkStart w:id="56" w:name="_Toc501721316"/>
      <w:bookmarkStart w:id="57" w:name="_Toc502819341"/>
      <w:bookmarkStart w:id="58" w:name="_Toc316649293"/>
      <w:r>
        <w:rPr>
          <w:rFonts w:hint="eastAsia" w:ascii="宋体" w:hAnsi="宋体" w:cs="宋体"/>
          <w:b/>
          <w:color w:val="auto"/>
          <w:sz w:val="28"/>
          <w:highlight w:val="none"/>
        </w:rPr>
        <w:t>A  总则</w:t>
      </w:r>
      <w:bookmarkEnd w:id="46"/>
      <w:bookmarkEnd w:id="47"/>
      <w:bookmarkEnd w:id="48"/>
      <w:bookmarkEnd w:id="49"/>
      <w:bookmarkEnd w:id="50"/>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1.   适用范围</w:t>
      </w:r>
    </w:p>
    <w:p>
      <w:pPr>
        <w:spacing w:line="360" w:lineRule="auto"/>
        <w:ind w:firstLine="420" w:firstLineChars="200"/>
        <w:rPr>
          <w:rFonts w:ascii="宋体" w:hAnsi="宋体"/>
          <w:color w:val="auto"/>
          <w:highlight w:val="none"/>
        </w:rPr>
      </w:pPr>
      <w:r>
        <w:rPr>
          <w:rFonts w:hint="eastAsia" w:ascii="宋体" w:hAnsi="宋体"/>
          <w:color w:val="auto"/>
          <w:highlight w:val="none"/>
        </w:rPr>
        <w:t>本招标文件适用于本项目的招标、投标、评标、定标、验收、合同履约、付款等行为（法律、法规另有规定的，从其规定）。</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2.   定义</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2.1</w:t>
      </w:r>
      <w:r>
        <w:rPr>
          <w:rFonts w:hint="eastAsia" w:ascii="宋体" w:hAnsi="宋体" w:cs="宋体"/>
          <w:color w:val="auto"/>
          <w:szCs w:val="21"/>
          <w:highlight w:val="none"/>
        </w:rPr>
        <w:t xml:space="preserve">  “采购人”、“采购代理机构”和“项目名称”：</w:t>
      </w:r>
      <w:r>
        <w:rPr>
          <w:rFonts w:ascii="宋体" w:hAnsi="宋体" w:cs="宋体"/>
          <w:color w:val="auto"/>
          <w:szCs w:val="21"/>
          <w:highlight w:val="none"/>
        </w:rPr>
        <w:t>见</w:t>
      </w:r>
      <w:r>
        <w:rPr>
          <w:rFonts w:hint="eastAsia" w:ascii="宋体" w:hAnsi="宋体" w:cs="宋体"/>
          <w:color w:val="auto"/>
          <w:szCs w:val="21"/>
          <w:highlight w:val="none"/>
        </w:rPr>
        <w:t>“投标资料表”</w:t>
      </w:r>
      <w:r>
        <w:rPr>
          <w:rFonts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2.2</w:t>
      </w:r>
      <w:r>
        <w:rPr>
          <w:rFonts w:hint="eastAsia" w:ascii="宋体" w:hAnsi="宋体" w:cs="宋体"/>
          <w:color w:val="auto"/>
          <w:szCs w:val="21"/>
          <w:highlight w:val="none"/>
        </w:rPr>
        <w:t xml:space="preserve">  “投标人”系指向采购人提交投标文件的单位或个人。</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w:t>
      </w:r>
      <w:r>
        <w:rPr>
          <w:rFonts w:hint="eastAsia" w:ascii="宋体" w:hAnsi="宋体" w:cs="宋体"/>
          <w:color w:val="auto"/>
          <w:szCs w:val="21"/>
          <w:highlight w:val="none"/>
        </w:rPr>
        <w:t xml:space="preserve">  “产品”系指投标人按招标文件规定，须向采购人提供的一切设备、保险、税金、备品备件、工具、手册及其它有关技术资料和材料。</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2.4</w:t>
      </w:r>
      <w:r>
        <w:rPr>
          <w:rFonts w:hint="eastAsia" w:ascii="宋体" w:hAnsi="宋体" w:cs="宋体"/>
          <w:color w:val="auto"/>
          <w:szCs w:val="21"/>
          <w:highlight w:val="none"/>
        </w:rPr>
        <w:t xml:space="preserve">  “服务”系指招标文件规定投标人须承担的安装、调试、技术协助、校准、培训、技术指导以及其它类似的义务。</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2.5</w:t>
      </w:r>
      <w:r>
        <w:rPr>
          <w:rFonts w:hint="eastAsia" w:ascii="宋体" w:hAnsi="宋体" w:cs="宋体"/>
          <w:color w:val="auto"/>
          <w:szCs w:val="21"/>
          <w:highlight w:val="none"/>
        </w:rPr>
        <w:t xml:space="preserve">  “项目”系指投标人按招标文件规定向采购人提供的货物或服务。</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2.6</w:t>
      </w:r>
      <w:r>
        <w:rPr>
          <w:rFonts w:hint="eastAsia" w:ascii="宋体" w:hAnsi="宋体" w:cs="宋体"/>
          <w:color w:val="auto"/>
          <w:szCs w:val="21"/>
          <w:highlight w:val="none"/>
        </w:rPr>
        <w:t xml:space="preserve">  “书面形式”包括信函、传真、邮件等。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2.7</w:t>
      </w:r>
      <w:r>
        <w:rPr>
          <w:rFonts w:hint="eastAsia" w:ascii="宋体" w:hAnsi="宋体" w:cs="宋体"/>
          <w:color w:val="auto"/>
          <w:szCs w:val="21"/>
          <w:highlight w:val="none"/>
        </w:rPr>
        <w:t xml:space="preserve">  “★”系指实质性要求条款。投标文件对这些条款的任何负偏离将导致投标无效。</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3.   招标范围</w:t>
      </w:r>
    </w:p>
    <w:p>
      <w:pPr>
        <w:spacing w:line="360" w:lineRule="auto"/>
        <w:rPr>
          <w:rFonts w:ascii="宋体" w:hAnsi="宋体"/>
          <w:color w:val="auto"/>
          <w:highlight w:val="none"/>
        </w:rPr>
      </w:pPr>
      <w:r>
        <w:rPr>
          <w:rFonts w:hint="eastAsia" w:ascii="宋体" w:hAnsi="宋体" w:cs="宋体"/>
          <w:b/>
          <w:color w:val="auto"/>
          <w:szCs w:val="21"/>
          <w:highlight w:val="none"/>
        </w:rPr>
        <w:t xml:space="preserve">3.1  </w:t>
      </w:r>
      <w:r>
        <w:rPr>
          <w:rFonts w:hint="eastAsia" w:ascii="宋体" w:hAnsi="宋体"/>
          <w:color w:val="auto"/>
          <w:highlight w:val="none"/>
        </w:rPr>
        <w:t>招标范围：</w:t>
      </w:r>
      <w:r>
        <w:rPr>
          <w:rFonts w:ascii="宋体" w:hAnsi="宋体"/>
          <w:color w:val="auto"/>
          <w:highlight w:val="none"/>
        </w:rPr>
        <w:t>见</w:t>
      </w:r>
      <w:r>
        <w:rPr>
          <w:rFonts w:hint="eastAsia" w:ascii="宋体" w:hAnsi="宋体"/>
          <w:color w:val="auto"/>
          <w:highlight w:val="none"/>
        </w:rPr>
        <w:t>“投标资料表”</w:t>
      </w:r>
      <w:r>
        <w:rPr>
          <w:rFonts w:ascii="宋体" w:hAnsi="宋体"/>
          <w:color w:val="auto"/>
          <w:highlight w:val="none"/>
        </w:rPr>
        <w:t>。</w:t>
      </w:r>
    </w:p>
    <w:p>
      <w:pPr>
        <w:spacing w:line="360" w:lineRule="auto"/>
        <w:rPr>
          <w:rFonts w:ascii="宋体" w:hAnsi="宋体"/>
          <w:color w:val="auto"/>
          <w:highlight w:val="none"/>
        </w:rPr>
      </w:pPr>
      <w:r>
        <w:rPr>
          <w:rFonts w:hint="eastAsia" w:ascii="宋体" w:hAnsi="宋体" w:cs="宋体"/>
          <w:b/>
          <w:color w:val="auto"/>
          <w:szCs w:val="21"/>
          <w:highlight w:val="none"/>
        </w:rPr>
        <w:t>3.2</w:t>
      </w:r>
      <w:r>
        <w:rPr>
          <w:rFonts w:hint="eastAsia" w:ascii="宋体" w:hAnsi="宋体"/>
          <w:color w:val="auto"/>
          <w:highlight w:val="none"/>
        </w:rPr>
        <w:t xml:space="preserve">  本项目不得转包、分包。</w:t>
      </w:r>
    </w:p>
    <w:p>
      <w:pPr>
        <w:spacing w:line="360" w:lineRule="auto"/>
        <w:ind w:firstLine="210" w:firstLineChars="100"/>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4.   合格的投标人</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4.1  </w:t>
      </w:r>
      <w:r>
        <w:rPr>
          <w:rFonts w:hint="eastAsia" w:ascii="宋体" w:hAnsi="宋体" w:cs="宋体"/>
          <w:color w:val="auto"/>
          <w:szCs w:val="21"/>
          <w:highlight w:val="none"/>
        </w:rPr>
        <w:t>合格的投标人应该是：</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具有提供本次招标服务内容能力，具有合法营销资格，并独立于采购人和采购代理机构的中国境内企业、其它组织或者自然人。金融、保险、通讯等特定行业的全国性企业所设立的区域性分支机构可以投标，但需依法办理工商、税务和社保登记手续，并获得总机构授权或者能够提供房产权证或其他有效财产证明材料，证明其具备实际承担责任的能力和法定的缔结合同能力。</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投标人应遵守国家有关的法律、法规、规章等相关文件的规定，具有健全的财务会计制度、依法缴纳税收和社会保障资金、参加本次采购活动之前的三年内，在经营活动中无重大违法记录，在招标投标活动中无欺诈和腐败行为。</w:t>
      </w:r>
    </w:p>
    <w:p>
      <w:pPr>
        <w:spacing w:line="440" w:lineRule="exact"/>
        <w:ind w:firstLine="420" w:firstLineChars="200"/>
        <w:rPr>
          <w:rFonts w:ascii="宋体" w:hAnsi="宋体"/>
          <w:b/>
          <w:color w:val="auto"/>
          <w:szCs w:val="21"/>
          <w:highlight w:val="none"/>
        </w:rPr>
      </w:pPr>
      <w:r>
        <w:rPr>
          <w:rFonts w:hint="eastAsia" w:ascii="宋体" w:hAnsi="宋体"/>
          <w:b/>
          <w:color w:val="auto"/>
          <w:szCs w:val="21"/>
          <w:highlight w:val="none"/>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4.2</w:t>
      </w:r>
      <w:r>
        <w:rPr>
          <w:rFonts w:hint="eastAsia" w:ascii="宋体" w:hAnsi="宋体" w:cs="宋体"/>
          <w:color w:val="auto"/>
          <w:szCs w:val="21"/>
          <w:highlight w:val="none"/>
        </w:rPr>
        <w:t xml:space="preserve">  符合本招标文件载明的对上述</w:t>
      </w:r>
      <w:r>
        <w:rPr>
          <w:rFonts w:hint="eastAsia" w:ascii="宋体" w:hAnsi="宋体" w:cs="宋体"/>
          <w:b/>
          <w:color w:val="auto"/>
          <w:szCs w:val="21"/>
          <w:highlight w:val="none"/>
        </w:rPr>
        <w:t>4.1</w:t>
      </w:r>
      <w:r>
        <w:rPr>
          <w:rFonts w:hint="eastAsia" w:ascii="宋体" w:hAnsi="宋体" w:cs="宋体"/>
          <w:color w:val="auto"/>
          <w:szCs w:val="21"/>
          <w:highlight w:val="none"/>
        </w:rPr>
        <w:t>条的例外的规定或对投标人资格的其他补充要求：详见招标公告。</w:t>
      </w:r>
    </w:p>
    <w:p>
      <w:pPr>
        <w:spacing w:line="400" w:lineRule="exact"/>
        <w:rPr>
          <w:rFonts w:ascii="宋体" w:hAnsi="宋体" w:cs="宋体"/>
          <w:color w:val="auto"/>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5.投标人代表</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5.1</w:t>
      </w:r>
      <w:r>
        <w:rPr>
          <w:rFonts w:hint="eastAsia" w:ascii="宋体" w:hAnsi="宋体" w:cs="宋体"/>
          <w:color w:val="auto"/>
          <w:szCs w:val="21"/>
          <w:highlight w:val="none"/>
        </w:rPr>
        <w:t xml:space="preserve">  投标人代表须持有“单位负责人授权书”。单位负责人是指单位法定代表人或者法律、行政法规规定代表单位行使职权的主要负责人（下同）。</w:t>
      </w:r>
    </w:p>
    <w:p>
      <w:pPr>
        <w:spacing w:line="400" w:lineRule="exact"/>
        <w:rPr>
          <w:rFonts w:ascii="宋体" w:hAnsi="宋体" w:cs="宋体"/>
          <w:color w:val="auto"/>
          <w:szCs w:val="21"/>
          <w:highlight w:val="none"/>
          <w:shd w:val="pct10" w:color="auto" w:fill="FFFFFF"/>
        </w:rPr>
      </w:pPr>
      <w:r>
        <w:rPr>
          <w:rFonts w:hint="eastAsia" w:ascii="宋体" w:hAnsi="宋体" w:cs="宋体"/>
          <w:b/>
          <w:color w:val="auto"/>
          <w:szCs w:val="21"/>
          <w:highlight w:val="none"/>
        </w:rPr>
        <w:t xml:space="preserve">5.2  </w:t>
      </w:r>
      <w:r>
        <w:rPr>
          <w:rFonts w:hint="eastAsia" w:ascii="宋体" w:hAnsi="宋体" w:cs="宋体"/>
          <w:color w:val="auto"/>
          <w:szCs w:val="21"/>
          <w:highlight w:val="none"/>
        </w:rPr>
        <w:t>若投标人代表是单位负责人的，则须符合本须知第</w:t>
      </w:r>
      <w:r>
        <w:rPr>
          <w:rFonts w:hint="eastAsia" w:ascii="宋体" w:hAnsi="宋体" w:cs="宋体"/>
          <w:b/>
          <w:color w:val="auto"/>
          <w:szCs w:val="21"/>
          <w:highlight w:val="none"/>
        </w:rPr>
        <w:t>9.1</w:t>
      </w:r>
      <w:r>
        <w:rPr>
          <w:rFonts w:hint="eastAsia" w:ascii="宋体" w:hAnsi="宋体" w:cs="宋体"/>
          <w:color w:val="auto"/>
          <w:szCs w:val="21"/>
          <w:highlight w:val="none"/>
        </w:rPr>
        <w:t>条的要求。</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6.投标费用</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6.1</w:t>
      </w:r>
      <w:r>
        <w:rPr>
          <w:rFonts w:hint="eastAsia" w:ascii="宋体" w:hAnsi="宋体" w:cs="宋体"/>
          <w:color w:val="auto"/>
          <w:szCs w:val="21"/>
          <w:highlight w:val="none"/>
        </w:rPr>
        <w:t xml:space="preserve">  不论招标的结果如何，投标人自行承担其参加本次投标有关的全部费用。</w:t>
      </w:r>
    </w:p>
    <w:p>
      <w:pPr>
        <w:spacing w:line="400" w:lineRule="exact"/>
        <w:jc w:val="center"/>
        <w:rPr>
          <w:rFonts w:ascii="宋体" w:hAnsi="宋体" w:cs="宋体"/>
          <w:b/>
          <w:color w:val="auto"/>
          <w:sz w:val="28"/>
          <w:highlight w:val="none"/>
        </w:rPr>
      </w:pPr>
    </w:p>
    <w:p>
      <w:pPr>
        <w:jc w:val="center"/>
        <w:outlineLvl w:val="1"/>
        <w:rPr>
          <w:rFonts w:ascii="宋体" w:hAnsi="宋体" w:cs="宋体"/>
          <w:b/>
          <w:color w:val="auto"/>
          <w:sz w:val="28"/>
          <w:highlight w:val="none"/>
        </w:rPr>
      </w:pPr>
      <w:bookmarkStart w:id="59" w:name="_Toc440276562"/>
      <w:bookmarkStart w:id="60" w:name="_Toc520902395"/>
      <w:bookmarkStart w:id="61" w:name="_Toc513799072"/>
      <w:bookmarkStart w:id="62" w:name="_Toc513798901"/>
      <w:bookmarkStart w:id="63" w:name="_Toc24064"/>
      <w:r>
        <w:rPr>
          <w:rFonts w:hint="eastAsia" w:ascii="宋体" w:hAnsi="宋体" w:cs="宋体"/>
          <w:b/>
          <w:color w:val="auto"/>
          <w:sz w:val="28"/>
          <w:highlight w:val="none"/>
        </w:rPr>
        <w:t>B  招标文件</w:t>
      </w:r>
      <w:bookmarkEnd w:id="59"/>
      <w:bookmarkEnd w:id="60"/>
      <w:bookmarkEnd w:id="61"/>
      <w:bookmarkEnd w:id="62"/>
      <w:bookmarkEnd w:id="63"/>
    </w:p>
    <w:p>
      <w:pPr>
        <w:spacing w:line="400" w:lineRule="exact"/>
        <w:rPr>
          <w:rFonts w:ascii="宋体" w:hAnsi="宋体" w:cs="宋体"/>
          <w:color w:val="auto"/>
          <w:szCs w:val="21"/>
          <w:highlight w:val="none"/>
        </w:rPr>
      </w:pPr>
      <w:r>
        <w:rPr>
          <w:rFonts w:hint="eastAsia" w:ascii="宋体" w:hAnsi="宋体" w:cs="宋体"/>
          <w:b/>
          <w:color w:val="auto"/>
          <w:szCs w:val="21"/>
          <w:highlight w:val="none"/>
        </w:rPr>
        <w:t>7.招标文件的构成</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7.1</w:t>
      </w:r>
      <w:r>
        <w:rPr>
          <w:rFonts w:hint="eastAsia" w:ascii="宋体" w:hAnsi="宋体" w:cs="宋体"/>
          <w:color w:val="auto"/>
          <w:szCs w:val="21"/>
          <w:highlight w:val="none"/>
        </w:rPr>
        <w:t xml:space="preserve"> 招标文件共有七部分。内容如下：</w:t>
      </w:r>
    </w:p>
    <w:p>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第一部分  采购公告</w:t>
      </w:r>
    </w:p>
    <w:p>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第二部分  投标资料表</w:t>
      </w:r>
    </w:p>
    <w:p>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第三部分  投标人须知</w:t>
      </w:r>
    </w:p>
    <w:p>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第四部分  合同格式</w:t>
      </w:r>
    </w:p>
    <w:p>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第五部分  评标办法</w:t>
      </w:r>
    </w:p>
    <w:p>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第六部分  招标项目需求</w:t>
      </w:r>
    </w:p>
    <w:p>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第七部分  附件（投标文件格式）</w:t>
      </w:r>
    </w:p>
    <w:p>
      <w:pPr>
        <w:spacing w:line="400" w:lineRule="exact"/>
        <w:ind w:firstLine="462" w:firstLineChars="220"/>
        <w:rPr>
          <w:rFonts w:ascii="宋体" w:hAnsi="宋体" w:cs="宋体"/>
          <w:b/>
          <w:color w:val="auto"/>
          <w:szCs w:val="21"/>
          <w:highlight w:val="none"/>
        </w:rPr>
      </w:pPr>
      <w:r>
        <w:rPr>
          <w:rFonts w:hint="eastAsia" w:ascii="宋体" w:hAnsi="宋体" w:cs="宋体"/>
          <w:b/>
          <w:color w:val="auto"/>
          <w:szCs w:val="21"/>
          <w:highlight w:val="none"/>
        </w:rPr>
        <w:t>投标人应详细阅读招标文件的全部内容和要求，不按招标文件的要求提供投标文件和资料导致的风险由投标人承担。</w:t>
      </w:r>
    </w:p>
    <w:p>
      <w:pPr>
        <w:spacing w:line="400" w:lineRule="exact"/>
        <w:ind w:firstLine="210" w:firstLineChars="100"/>
        <w:rPr>
          <w:rFonts w:ascii="宋体" w:hAnsi="宋体" w:cs="宋体"/>
          <w:b/>
          <w:color w:val="auto"/>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8.招标文件的澄清和修改</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8.1</w:t>
      </w:r>
      <w:r>
        <w:rPr>
          <w:rFonts w:hint="eastAsia" w:ascii="宋体" w:hAnsi="宋体" w:cs="宋体"/>
          <w:color w:val="auto"/>
          <w:szCs w:val="21"/>
          <w:highlight w:val="none"/>
        </w:rPr>
        <w:t>采购人或者采购代理机构可以在招标文件提供期限截止后，组织已获取招标文件的潜在投标人现场考察或者召开开标前答疑会。组织现场考察或者召开答疑会的在招标文件“投标资料表”中载明，或者在招标文件提供期限截止后以书面形式通知所有获取招标文件的潜在投标人。</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8.2  </w:t>
      </w:r>
      <w:r>
        <w:rPr>
          <w:rFonts w:hint="eastAsia" w:ascii="宋体" w:hAnsi="宋体" w:cs="宋体"/>
          <w:color w:val="auto"/>
          <w:szCs w:val="21"/>
          <w:highlight w:val="none"/>
        </w:rPr>
        <w:t>若潜在投标人对招标文件有疑点，要求采购人澄清的，应以书面形式通知采购代理机构，要求澄清的截止时间同有效质疑的截止时间。</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8.3</w:t>
      </w:r>
      <w:r>
        <w:rPr>
          <w:rFonts w:hint="eastAsia" w:ascii="宋体" w:hAnsi="宋体" w:cs="宋体"/>
          <w:color w:val="auto"/>
          <w:szCs w:val="21"/>
          <w:highlight w:val="none"/>
        </w:rPr>
        <w:t xml:space="preserve">  采购人或者采购代理机构可以对已发出的招标文件进行必要的澄清或者修改，但不得改变采购标的和资格条件。澄清或者修改在原公告发布媒体上发布澄清公告。澄清或者修改的内容为招标文件的组成部分。</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8.4</w:t>
      </w:r>
      <w:r>
        <w:rPr>
          <w:rFonts w:hint="eastAsia" w:ascii="宋体" w:hAnsi="宋体" w:cs="宋体"/>
          <w:color w:val="auto"/>
          <w:szCs w:val="21"/>
          <w:highlight w:val="none"/>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8.5</w:t>
      </w:r>
      <w:r>
        <w:rPr>
          <w:rFonts w:hint="eastAsia" w:ascii="宋体" w:hAnsi="宋体" w:cs="宋体"/>
          <w:color w:val="auto"/>
          <w:szCs w:val="21"/>
          <w:highlight w:val="none"/>
        </w:rPr>
        <w:t xml:space="preserve">  潜在投标人收到招标文件澄清或修改通知，或推迟截标和开标时间通知后，应在通知单回执上明示意见、盖上投标人单位公章，以书面形式（纸质、传真或电子邮件形式）回复采购代理机构。</w:t>
      </w:r>
    </w:p>
    <w:p>
      <w:pPr>
        <w:spacing w:line="400" w:lineRule="exact"/>
        <w:rPr>
          <w:rFonts w:ascii="宋体" w:hAnsi="宋体" w:cs="宋体"/>
          <w:color w:val="auto"/>
          <w:szCs w:val="24"/>
          <w:highlight w:val="none"/>
          <w:u w:val="single"/>
        </w:rPr>
      </w:pPr>
    </w:p>
    <w:p>
      <w:pPr>
        <w:jc w:val="center"/>
        <w:outlineLvl w:val="1"/>
        <w:rPr>
          <w:rFonts w:ascii="宋体" w:hAnsi="宋体" w:cs="宋体"/>
          <w:b/>
          <w:color w:val="auto"/>
          <w:sz w:val="28"/>
          <w:highlight w:val="none"/>
        </w:rPr>
      </w:pPr>
      <w:bookmarkStart w:id="64" w:name="_Toc513798902"/>
      <w:bookmarkStart w:id="65" w:name="_Toc520902396"/>
      <w:bookmarkStart w:id="66" w:name="_Toc440276563"/>
      <w:bookmarkStart w:id="67" w:name="_Toc19655"/>
      <w:bookmarkStart w:id="68" w:name="_Toc513799073"/>
      <w:r>
        <w:rPr>
          <w:rFonts w:hint="eastAsia" w:ascii="宋体" w:hAnsi="宋体" w:cs="宋体"/>
          <w:b/>
          <w:color w:val="auto"/>
          <w:sz w:val="28"/>
          <w:highlight w:val="none"/>
        </w:rPr>
        <w:t>C  投标文件</w:t>
      </w:r>
      <w:bookmarkEnd w:id="64"/>
      <w:bookmarkEnd w:id="65"/>
      <w:bookmarkEnd w:id="66"/>
      <w:bookmarkEnd w:id="67"/>
      <w:bookmarkEnd w:id="68"/>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9. 投标文件的组成</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9.1</w:t>
      </w:r>
      <w:r>
        <w:rPr>
          <w:rFonts w:hint="eastAsia" w:ascii="宋体" w:hAnsi="宋体" w:cs="宋体"/>
          <w:color w:val="auto"/>
          <w:szCs w:val="21"/>
          <w:highlight w:val="none"/>
        </w:rPr>
        <w:t xml:space="preserve">  投标文件组成在本招标文件“投标资料表”中做出规定。</w:t>
      </w:r>
    </w:p>
    <w:p>
      <w:pPr>
        <w:spacing w:line="440" w:lineRule="exact"/>
        <w:rPr>
          <w:rFonts w:ascii="宋体" w:hAnsi="宋体"/>
          <w:color w:val="auto"/>
          <w:szCs w:val="21"/>
          <w:highlight w:val="none"/>
        </w:rPr>
      </w:pPr>
      <w:r>
        <w:rPr>
          <w:rFonts w:hint="eastAsia" w:ascii="宋体" w:hAnsi="宋体"/>
          <w:b/>
          <w:color w:val="auto"/>
          <w:szCs w:val="21"/>
          <w:highlight w:val="none"/>
        </w:rPr>
        <w:t>9.2</w:t>
      </w:r>
      <w:r>
        <w:rPr>
          <w:rFonts w:hint="eastAsia" w:ascii="宋体" w:hAnsi="宋体"/>
          <w:color w:val="auto"/>
          <w:szCs w:val="21"/>
          <w:highlight w:val="none"/>
        </w:rPr>
        <w:t xml:space="preserve">  组成投标文件的各项资料中本招标书的有规定格式的，应统一按本招标书的规定格式填写。未有规定格式的资料，投标人应自行编制，但至少要包含组成投标文件要求的内容。</w:t>
      </w:r>
    </w:p>
    <w:p>
      <w:pPr>
        <w:spacing w:line="440" w:lineRule="exact"/>
        <w:rPr>
          <w:rFonts w:ascii="宋体" w:hAnsi="宋体"/>
          <w:color w:val="auto"/>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10.  投标报价</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10.1</w:t>
      </w:r>
      <w:r>
        <w:rPr>
          <w:rFonts w:hint="eastAsia" w:ascii="宋体" w:hAnsi="宋体" w:cs="宋体"/>
          <w:color w:val="auto"/>
          <w:szCs w:val="21"/>
          <w:highlight w:val="none"/>
        </w:rPr>
        <w:t xml:space="preserve">  本次招标对投标报价组成的具体要求在招标文件“投标资料表”中做出规定。</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10.2  </w:t>
      </w:r>
      <w:r>
        <w:rPr>
          <w:rFonts w:hint="eastAsia" w:ascii="宋体" w:hAnsi="宋体" w:cs="宋体"/>
          <w:color w:val="auto"/>
          <w:szCs w:val="21"/>
          <w:highlight w:val="none"/>
        </w:rPr>
        <w:t>投标人要按照招标文件中的“开标一览表”格式和内容完整填写投标总价及其他事项。</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10.3</w:t>
      </w:r>
      <w:r>
        <w:rPr>
          <w:rFonts w:hint="eastAsia" w:ascii="宋体" w:hAnsi="宋体" w:cs="宋体"/>
          <w:color w:val="auto"/>
          <w:szCs w:val="21"/>
          <w:highlight w:val="none"/>
        </w:rPr>
        <w:t xml:space="preserve">  除非招标文件另有备选投标方案的规定，投标应该只有一个投标报价。</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10.4  </w:t>
      </w:r>
      <w:r>
        <w:rPr>
          <w:rFonts w:hint="eastAsia" w:ascii="宋体" w:hAnsi="宋体" w:cs="宋体"/>
          <w:color w:val="auto"/>
          <w:szCs w:val="21"/>
          <w:highlight w:val="none"/>
        </w:rPr>
        <w:t>开标后以及在评标及中标后的合同执行过程中，投标人不得以任何理由变更投标价格。</w:t>
      </w:r>
      <w:r>
        <w:rPr>
          <w:rFonts w:hint="eastAsia" w:ascii="宋体" w:hAnsi="宋体" w:cs="宋体"/>
          <w:b/>
          <w:color w:val="auto"/>
          <w:szCs w:val="21"/>
          <w:highlight w:val="none"/>
        </w:rPr>
        <w:t>若投标人在中标以后做出任何改变投标价格的决定，将被视作撤标而失去中标资格。</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10.5  本项目采用最高投标限价，超过最高限价的投标文件无效。</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10.6  </w:t>
      </w:r>
      <w:r>
        <w:rPr>
          <w:rFonts w:hint="eastAsia" w:ascii="宋体" w:hAnsi="宋体" w:cs="宋体"/>
          <w:color w:val="auto"/>
          <w:szCs w:val="21"/>
          <w:highlight w:val="none"/>
        </w:rPr>
        <w:t>本项目的投标货币为人民币。</w:t>
      </w:r>
    </w:p>
    <w:p>
      <w:pPr>
        <w:spacing w:line="400" w:lineRule="exact"/>
        <w:rPr>
          <w:rFonts w:ascii="宋体" w:hAnsi="宋体" w:cs="宋体"/>
          <w:b/>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11.  </w:t>
      </w:r>
      <w:r>
        <w:rPr>
          <w:rFonts w:hint="eastAsia" w:ascii="宋体" w:hAnsi="宋体"/>
          <w:b/>
          <w:color w:val="auto"/>
          <w:szCs w:val="21"/>
          <w:highlight w:val="none"/>
        </w:rPr>
        <w:t>投标文件的形式和效力</w:t>
      </w:r>
    </w:p>
    <w:p>
      <w:pPr>
        <w:spacing w:line="400" w:lineRule="exact"/>
        <w:jc w:val="left"/>
        <w:rPr>
          <w:rFonts w:ascii="宋体" w:hAnsi="宋体"/>
          <w:color w:val="auto"/>
          <w:szCs w:val="21"/>
          <w:highlight w:val="none"/>
        </w:rPr>
      </w:pPr>
      <w:r>
        <w:rPr>
          <w:rFonts w:hint="eastAsia" w:ascii="宋体" w:hAnsi="宋体"/>
          <w:b/>
          <w:bCs/>
          <w:color w:val="auto"/>
          <w:szCs w:val="21"/>
          <w:highlight w:val="none"/>
        </w:rPr>
        <w:t xml:space="preserve">11.1 </w:t>
      </w:r>
      <w:r>
        <w:rPr>
          <w:rFonts w:hint="eastAsia" w:ascii="宋体" w:hAnsi="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w:t>
      </w:r>
    </w:p>
    <w:p>
      <w:pPr>
        <w:spacing w:line="400" w:lineRule="exact"/>
        <w:jc w:val="left"/>
        <w:rPr>
          <w:rFonts w:ascii="宋体" w:hAnsi="宋体"/>
          <w:color w:val="auto"/>
          <w:szCs w:val="21"/>
          <w:highlight w:val="none"/>
        </w:rPr>
      </w:pPr>
      <w:r>
        <w:rPr>
          <w:rFonts w:hint="eastAsia" w:ascii="宋体" w:hAnsi="宋体"/>
          <w:b/>
          <w:bCs/>
          <w:color w:val="auto"/>
          <w:szCs w:val="21"/>
          <w:highlight w:val="none"/>
        </w:rPr>
        <w:t xml:space="preserve">11.2 </w:t>
      </w:r>
      <w:r>
        <w:rPr>
          <w:rFonts w:hint="eastAsia" w:ascii="宋体" w:hAnsi="宋体"/>
          <w:color w:val="auto"/>
          <w:szCs w:val="21"/>
          <w:highlight w:val="none"/>
        </w:rPr>
        <w:t>电子投标文件，按“项目采购-电子招投标操作指南”及本招标文件要求制作，并加密。</w:t>
      </w:r>
    </w:p>
    <w:p>
      <w:pPr>
        <w:spacing w:line="400" w:lineRule="exact"/>
        <w:jc w:val="left"/>
        <w:rPr>
          <w:rFonts w:ascii="宋体" w:hAnsi="宋体"/>
          <w:color w:val="auto"/>
          <w:szCs w:val="21"/>
          <w:highlight w:val="none"/>
        </w:rPr>
      </w:pPr>
      <w:r>
        <w:rPr>
          <w:rFonts w:hint="eastAsia" w:ascii="宋体" w:hAnsi="宋体"/>
          <w:b/>
          <w:bCs/>
          <w:color w:val="auto"/>
          <w:szCs w:val="21"/>
          <w:highlight w:val="none"/>
        </w:rPr>
        <w:t xml:space="preserve">11.3 </w:t>
      </w:r>
      <w:r>
        <w:rPr>
          <w:rFonts w:hint="eastAsia" w:ascii="宋体" w:hAnsi="宋体"/>
          <w:color w:val="auto"/>
          <w:szCs w:val="21"/>
          <w:highlight w:val="none"/>
        </w:rPr>
        <w:t>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备份投标文件，按“项目采购-电子招投标操作指南”制作的电子备份文件。</w:t>
      </w:r>
    </w:p>
    <w:p>
      <w:pPr>
        <w:spacing w:line="400" w:lineRule="exact"/>
        <w:jc w:val="left"/>
        <w:rPr>
          <w:rFonts w:ascii="宋体" w:hAnsi="宋体"/>
          <w:color w:val="auto"/>
          <w:szCs w:val="21"/>
          <w:highlight w:val="none"/>
        </w:rPr>
      </w:pPr>
      <w:r>
        <w:rPr>
          <w:rFonts w:hint="eastAsia" w:ascii="宋体" w:hAnsi="宋体"/>
          <w:b/>
          <w:bCs/>
          <w:color w:val="auto"/>
          <w:szCs w:val="21"/>
          <w:highlight w:val="none"/>
        </w:rPr>
        <w:t xml:space="preserve">11.4 </w:t>
      </w:r>
      <w:r>
        <w:rPr>
          <w:rFonts w:hint="eastAsia" w:ascii="宋体" w:hAnsi="宋体"/>
          <w:color w:val="auto"/>
          <w:szCs w:val="21"/>
          <w:highlight w:val="none"/>
        </w:rPr>
        <w:t>投标文件填写字迹必须清楚、工整，对不同文字文本投标文件的解释发生异议的，以中文文本为准。</w:t>
      </w:r>
    </w:p>
    <w:p>
      <w:pPr>
        <w:spacing w:line="400" w:lineRule="exact"/>
        <w:jc w:val="left"/>
        <w:rPr>
          <w:rFonts w:ascii="宋体" w:hAnsi="宋体"/>
          <w:color w:val="auto"/>
          <w:szCs w:val="21"/>
          <w:highlight w:val="none"/>
        </w:rPr>
      </w:pPr>
      <w:r>
        <w:rPr>
          <w:rFonts w:hint="eastAsia" w:ascii="宋体" w:hAnsi="宋体"/>
          <w:b/>
          <w:bCs/>
          <w:color w:val="auto"/>
          <w:szCs w:val="21"/>
          <w:highlight w:val="none"/>
        </w:rPr>
        <w:t>11.5</w:t>
      </w:r>
      <w:r>
        <w:rPr>
          <w:rFonts w:hint="eastAsia" w:ascii="宋体" w:hAnsi="宋体"/>
          <w:color w:val="auto"/>
          <w:szCs w:val="21"/>
          <w:highlight w:val="none"/>
        </w:rPr>
        <w:t xml:space="preserve"> 投标文件的效力</w:t>
      </w:r>
    </w:p>
    <w:p>
      <w:pPr>
        <w:spacing w:line="400" w:lineRule="exact"/>
        <w:jc w:val="left"/>
        <w:rPr>
          <w:rFonts w:ascii="宋体" w:hAnsi="宋体"/>
          <w:color w:val="auto"/>
          <w:szCs w:val="21"/>
          <w:highlight w:val="none"/>
        </w:rPr>
      </w:pPr>
      <w:r>
        <w:rPr>
          <w:rFonts w:hint="eastAsia" w:ascii="宋体" w:hAnsi="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备份投标文件。在下一顺位的投标文件启用时，前一顺位的投标文件自动失效。</w:t>
      </w:r>
    </w:p>
    <w:p>
      <w:pPr>
        <w:spacing w:line="400" w:lineRule="exact"/>
        <w:jc w:val="left"/>
        <w:rPr>
          <w:rFonts w:ascii="宋体" w:hAnsi="宋体"/>
          <w:color w:val="auto"/>
          <w:szCs w:val="21"/>
          <w:highlight w:val="none"/>
        </w:rPr>
      </w:pPr>
      <w:r>
        <w:rPr>
          <w:rFonts w:hint="eastAsia" w:ascii="宋体" w:hAns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12. 投标有效期</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 xml:space="preserve">12.1 </w:t>
      </w:r>
      <w:r>
        <w:rPr>
          <w:rFonts w:hint="eastAsia" w:ascii="宋体" w:hAnsi="宋体" w:cs="宋体"/>
          <w:color w:val="auto"/>
          <w:szCs w:val="21"/>
          <w:highlight w:val="none"/>
        </w:rPr>
        <w:t>投标文件从开标之日起，投标有效期为90个日历日。投标有效期不能小于招标文件的要求。</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 xml:space="preserve">12.2 </w:t>
      </w:r>
      <w:r>
        <w:rPr>
          <w:rFonts w:hint="eastAsia" w:ascii="宋体" w:hAnsi="宋体" w:cs="宋体"/>
          <w:color w:val="auto"/>
          <w:szCs w:val="21"/>
          <w:highlight w:val="none"/>
        </w:rPr>
        <w:t>特殊情况下，采购人可与供应商协商延缓投标文件的有效期，这种要求和答复均以书面形式进行。</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 xml:space="preserve">12.3 </w:t>
      </w:r>
      <w:r>
        <w:rPr>
          <w:rFonts w:hint="eastAsia" w:ascii="宋体" w:hAnsi="宋体" w:cs="宋体"/>
          <w:color w:val="auto"/>
          <w:szCs w:val="21"/>
          <w:highlight w:val="none"/>
        </w:rPr>
        <w:t>供应商可拒绝接受延期要求。同意延长有效期的供应商不能修改投标文件。</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13  投标保证金（本项目无）</w:t>
      </w:r>
    </w:p>
    <w:p>
      <w:pPr>
        <w:spacing w:line="400" w:lineRule="exact"/>
        <w:ind w:left="89" w:hanging="88" w:hangingChars="42"/>
        <w:rPr>
          <w:rFonts w:ascii="宋体" w:hAnsi="宋体" w:cs="宋体"/>
          <w:color w:val="auto"/>
          <w:szCs w:val="21"/>
          <w:highlight w:val="none"/>
        </w:rPr>
      </w:pPr>
      <w:r>
        <w:rPr>
          <w:rFonts w:hint="eastAsia" w:ascii="宋体" w:hAnsi="宋体" w:cs="宋体"/>
          <w:b/>
          <w:color w:val="auto"/>
          <w:szCs w:val="21"/>
          <w:highlight w:val="none"/>
        </w:rPr>
        <w:t xml:space="preserve">13.1 </w:t>
      </w:r>
      <w:r>
        <w:rPr>
          <w:rFonts w:hint="eastAsia" w:ascii="宋体" w:hAnsi="宋体" w:cs="宋体"/>
          <w:color w:val="auto"/>
          <w:szCs w:val="21"/>
          <w:highlight w:val="none"/>
        </w:rPr>
        <w:t xml:space="preserve"> 投标保证金金额在本招标文件“投标资料表”中做出规定。</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13.2</w:t>
      </w:r>
      <w:r>
        <w:rPr>
          <w:rFonts w:hint="eastAsia" w:ascii="宋体" w:hAnsi="宋体" w:cs="宋体"/>
          <w:color w:val="auto"/>
          <w:szCs w:val="21"/>
          <w:highlight w:val="none"/>
        </w:rPr>
        <w:t xml:space="preserve">  投标保证金递交时间和形式在本招标文件“投标资料表”中做出规定。</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13.3  </w:t>
      </w:r>
      <w:r>
        <w:rPr>
          <w:rFonts w:hint="eastAsia" w:ascii="宋体" w:hAnsi="宋体" w:cs="宋体"/>
          <w:color w:val="auto"/>
          <w:szCs w:val="21"/>
          <w:highlight w:val="none"/>
        </w:rPr>
        <w:t>投标人在投标截止时间前撤回已提交的投标文件的，采购人或者采购代理机构自收到投标人书面撤回通知之日起5个工作日内，退还已收取的投标保证金，但因投标人自身原因导致无法及时退还的除外。</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13.4</w:t>
      </w:r>
      <w:r>
        <w:rPr>
          <w:rFonts w:hint="eastAsia" w:ascii="宋体" w:hAnsi="宋体" w:cs="宋体"/>
          <w:color w:val="auto"/>
          <w:szCs w:val="21"/>
          <w:highlight w:val="none"/>
        </w:rPr>
        <w:t xml:space="preserve">  采购人或者采购代理机构自中标通知书发出之日起5个工作日内退还未中标人的投标保证金，自采购合同签订之日起5个工作日内退还中标人的投标保证金或者转为中标人的履约保证金。</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13.5  </w:t>
      </w:r>
      <w:r>
        <w:rPr>
          <w:rFonts w:hint="eastAsia" w:ascii="宋体" w:hAnsi="宋体" w:cs="宋体"/>
          <w:color w:val="auto"/>
          <w:szCs w:val="21"/>
          <w:highlight w:val="none"/>
        </w:rPr>
        <w:t>采购人或者采购代理机构逾期退还投标保证金的，除退还投标保证金本金外，还应按中国人民银行同期贷款基准利率上浮20%后的利率支付超期资金占用费，但因投标人自身原因导致无法及时退还的除外。</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13.6</w:t>
      </w:r>
      <w:r>
        <w:rPr>
          <w:rFonts w:hint="eastAsia" w:ascii="宋体" w:hAnsi="宋体" w:cs="宋体"/>
          <w:color w:val="auto"/>
          <w:szCs w:val="21"/>
          <w:highlight w:val="none"/>
        </w:rPr>
        <w:t xml:space="preserve">  投标人有下列情形之一的，投标保证金将不予退还：</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（2）中标人无正当理由不与采购人订立合同；</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（3）中标人不按招标文件要求提交履约保证金；</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（4）投标人串通投标、提供虚假材料投标。</w:t>
      </w:r>
    </w:p>
    <w:p>
      <w:pPr>
        <w:spacing w:line="400" w:lineRule="exact"/>
        <w:rPr>
          <w:rFonts w:ascii="宋体" w:hAnsi="宋体" w:cs="宋体"/>
          <w:color w:val="auto"/>
          <w:sz w:val="24"/>
          <w:highlight w:val="none"/>
          <w:u w:val="single"/>
        </w:rPr>
      </w:pPr>
    </w:p>
    <w:p>
      <w:pPr>
        <w:spacing w:line="400" w:lineRule="exact"/>
        <w:jc w:val="left"/>
        <w:rPr>
          <w:rFonts w:ascii="宋体" w:hAnsi="宋体"/>
          <w:b/>
          <w:bCs/>
          <w:color w:val="auto"/>
          <w:szCs w:val="21"/>
          <w:highlight w:val="none"/>
        </w:rPr>
      </w:pPr>
      <w:r>
        <w:rPr>
          <w:rFonts w:hint="eastAsia" w:ascii="宋体" w:hAnsi="宋体"/>
          <w:b/>
          <w:bCs/>
          <w:color w:val="auto"/>
          <w:szCs w:val="21"/>
          <w:highlight w:val="none"/>
        </w:rPr>
        <w:t>14 投标文件的组成和份数</w:t>
      </w:r>
    </w:p>
    <w:p>
      <w:pPr>
        <w:spacing w:line="400" w:lineRule="exact"/>
        <w:jc w:val="left"/>
        <w:rPr>
          <w:rFonts w:ascii="宋体" w:hAnsi="宋体"/>
          <w:color w:val="auto"/>
          <w:szCs w:val="21"/>
          <w:highlight w:val="none"/>
        </w:rPr>
      </w:pPr>
      <w:r>
        <w:rPr>
          <w:rFonts w:hint="eastAsia" w:ascii="宋体" w:hAnsi="宋体"/>
          <w:b/>
          <w:bCs/>
          <w:color w:val="auto"/>
          <w:szCs w:val="21"/>
          <w:highlight w:val="none"/>
        </w:rPr>
        <w:t>14.1投标文件的组成：</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14.1</w:t>
      </w:r>
      <w:r>
        <w:rPr>
          <w:rFonts w:hint="eastAsia" w:ascii="宋体" w:hAnsi="宋体" w:cs="宋体"/>
          <w:color w:val="auto"/>
          <w:szCs w:val="21"/>
          <w:highlight w:val="none"/>
        </w:rPr>
        <w:t xml:space="preserve">  投标文件组成在本招标文件“投标资料表”中做出规定。</w:t>
      </w:r>
    </w:p>
    <w:p>
      <w:pPr>
        <w:spacing w:line="440" w:lineRule="exact"/>
        <w:rPr>
          <w:rFonts w:ascii="宋体" w:hAnsi="宋体"/>
          <w:color w:val="auto"/>
          <w:szCs w:val="21"/>
          <w:highlight w:val="none"/>
        </w:rPr>
      </w:pPr>
      <w:r>
        <w:rPr>
          <w:rFonts w:hint="eastAsia" w:ascii="宋体" w:hAnsi="宋体"/>
          <w:b/>
          <w:color w:val="auto"/>
          <w:szCs w:val="21"/>
          <w:highlight w:val="none"/>
        </w:rPr>
        <w:t>14.2</w:t>
      </w:r>
      <w:r>
        <w:rPr>
          <w:rFonts w:hint="eastAsia" w:ascii="宋体" w:hAnsi="宋体"/>
          <w:color w:val="auto"/>
          <w:szCs w:val="21"/>
          <w:highlight w:val="none"/>
        </w:rPr>
        <w:t xml:space="preserve">  组成投标文件的各项资料中本招标书的有规定格式的，应统一按本招标书的规定格式填写。未有规定格式的资料，投标人应自行编制，但至少要包含组成投标文件要求的内容。</w:t>
      </w:r>
    </w:p>
    <w:p>
      <w:pPr>
        <w:adjustRightInd w:val="0"/>
        <w:snapToGrid w:val="0"/>
        <w:spacing w:line="400" w:lineRule="exact"/>
        <w:rPr>
          <w:rFonts w:ascii="宋体" w:hAnsi="宋体" w:cs="仿宋"/>
          <w:b/>
          <w:bCs/>
          <w:color w:val="auto"/>
          <w:szCs w:val="21"/>
          <w:highlight w:val="none"/>
        </w:rPr>
      </w:pPr>
      <w:r>
        <w:rPr>
          <w:rFonts w:hint="eastAsia" w:ascii="宋体" w:hAnsi="宋体"/>
          <w:b/>
          <w:bCs/>
          <w:color w:val="auto"/>
          <w:szCs w:val="21"/>
          <w:highlight w:val="none"/>
        </w:rPr>
        <w:t xml:space="preserve">14.2 </w:t>
      </w:r>
      <w:r>
        <w:rPr>
          <w:rFonts w:hint="eastAsia" w:ascii="宋体" w:hAnsi="宋体" w:cs="仿宋"/>
          <w:b/>
          <w:bCs/>
          <w:color w:val="auto"/>
          <w:szCs w:val="21"/>
          <w:highlight w:val="none"/>
        </w:rPr>
        <w:t>投标文件制作：</w:t>
      </w:r>
    </w:p>
    <w:p>
      <w:pPr>
        <w:adjustRightInd w:val="0"/>
        <w:snapToGrid w:val="0"/>
        <w:spacing w:line="400" w:lineRule="exact"/>
        <w:rPr>
          <w:rFonts w:ascii="宋体" w:hAnsi="宋体" w:cs="仿宋"/>
          <w:bCs/>
          <w:color w:val="auto"/>
          <w:szCs w:val="21"/>
          <w:highlight w:val="none"/>
        </w:rPr>
      </w:pPr>
      <w:r>
        <w:rPr>
          <w:rFonts w:hint="eastAsia" w:ascii="宋体" w:hAnsi="宋体" w:cs="仿宋"/>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adjustRightInd w:val="0"/>
        <w:snapToGrid w:val="0"/>
        <w:spacing w:line="400" w:lineRule="exact"/>
        <w:rPr>
          <w:rFonts w:ascii="宋体" w:hAnsi="宋体" w:cs="仿宋"/>
          <w:bCs/>
          <w:color w:val="auto"/>
          <w:szCs w:val="21"/>
          <w:highlight w:val="none"/>
        </w:rPr>
      </w:pPr>
      <w:r>
        <w:rPr>
          <w:rFonts w:hint="eastAsia" w:ascii="宋体" w:hAnsi="宋体" w:cs="仿宋"/>
          <w:bCs/>
          <w:color w:val="auto"/>
          <w:szCs w:val="21"/>
          <w:highlight w:val="none"/>
        </w:rPr>
        <w:t>（2）供应商通过政府采购云平台电子投标工具制作投标文件。电子投标工具请供应商自行前往浙江政府采购网下载并安装（zfcg.czt.zj.gov.cn/bidClientTemplate/2019-05-27/12946.html）。</w:t>
      </w:r>
    </w:p>
    <w:p>
      <w:pPr>
        <w:adjustRightInd w:val="0"/>
        <w:snapToGrid w:val="0"/>
        <w:spacing w:line="400" w:lineRule="exact"/>
        <w:rPr>
          <w:rFonts w:ascii="宋体" w:hAnsi="宋体" w:cs="仿宋"/>
          <w:bCs/>
          <w:color w:val="auto"/>
          <w:szCs w:val="21"/>
          <w:highlight w:val="none"/>
        </w:rPr>
      </w:pPr>
      <w:r>
        <w:rPr>
          <w:rFonts w:hint="eastAsia" w:ascii="宋体" w:hAnsi="宋体" w:cs="仿宋"/>
          <w:bCs/>
          <w:color w:val="auto"/>
          <w:szCs w:val="21"/>
          <w:highlight w:val="none"/>
        </w:rPr>
        <w:t>供应商投标文件制作及电子交易操作指南详见：</w:t>
      </w:r>
    </w:p>
    <w:p>
      <w:pPr>
        <w:adjustRightInd w:val="0"/>
        <w:snapToGrid w:val="0"/>
        <w:spacing w:line="400" w:lineRule="exact"/>
        <w:rPr>
          <w:rFonts w:ascii="宋体" w:hAnsi="宋体" w:cs="仿宋"/>
          <w:bCs/>
          <w:color w:val="auto"/>
          <w:szCs w:val="21"/>
          <w:highlight w:val="none"/>
        </w:rPr>
      </w:pPr>
      <w:r>
        <w:rPr>
          <w:rFonts w:hint="eastAsia" w:ascii="宋体" w:hAnsi="宋体" w:cs="仿宋"/>
          <w:bCs/>
          <w:color w:val="auto"/>
          <w:szCs w:val="21"/>
          <w:highlight w:val="none"/>
        </w:rPr>
        <w:t>①政府采购项目电子交易管理操作指南（视频）：</w:t>
      </w:r>
    </w:p>
    <w:p>
      <w:pPr>
        <w:adjustRightInd w:val="0"/>
        <w:snapToGrid w:val="0"/>
        <w:spacing w:line="400" w:lineRule="exact"/>
        <w:rPr>
          <w:rFonts w:ascii="宋体" w:hAnsi="宋体" w:cs="仿宋"/>
          <w:bCs/>
          <w:color w:val="auto"/>
          <w:szCs w:val="21"/>
          <w:highlight w:val="none"/>
        </w:rPr>
      </w:pPr>
      <w:r>
        <w:rPr>
          <w:color w:val="auto"/>
          <w:highlight w:val="none"/>
        </w:rPr>
        <w:fldChar w:fldCharType="begin"/>
      </w:r>
      <w:r>
        <w:rPr>
          <w:color w:val="auto"/>
          <w:highlight w:val="none"/>
        </w:rPr>
        <w:instrText xml:space="preserve"> HYPERLINK "https://service.zcygov.cn/" \l "/knowledges/CW1EtGwBFdiHxlNd6I3m/7GyLXW0BXgMSmLUuYuPM" </w:instrText>
      </w:r>
      <w:r>
        <w:rPr>
          <w:color w:val="auto"/>
          <w:highlight w:val="none"/>
        </w:rPr>
        <w:fldChar w:fldCharType="separate"/>
      </w:r>
      <w:r>
        <w:rPr>
          <w:rFonts w:hint="eastAsia" w:ascii="宋体" w:hAnsi="宋体"/>
          <w:color w:val="auto"/>
          <w:highlight w:val="none"/>
        </w:rPr>
        <w:t>service.zcygov.cn/#/knowledges/CW1EtGwBFdiHxlNd6I3m/7GyLXW0BXgMSmLUuYuPM</w:t>
      </w:r>
      <w:r>
        <w:rPr>
          <w:rFonts w:ascii="宋体" w:hAnsi="宋体"/>
          <w:color w:val="auto"/>
          <w:highlight w:val="none"/>
        </w:rPr>
        <w:fldChar w:fldCharType="end"/>
      </w:r>
      <w:r>
        <w:rPr>
          <w:rFonts w:hint="eastAsia" w:ascii="宋体" w:hAnsi="宋体" w:cs="仿宋"/>
          <w:bCs/>
          <w:color w:val="auto"/>
          <w:szCs w:val="21"/>
          <w:highlight w:val="none"/>
        </w:rPr>
        <w:t>（电脑登录账号观看）；</w:t>
      </w:r>
    </w:p>
    <w:p>
      <w:pPr>
        <w:adjustRightInd w:val="0"/>
        <w:snapToGrid w:val="0"/>
        <w:spacing w:line="400" w:lineRule="exact"/>
        <w:rPr>
          <w:rFonts w:ascii="宋体" w:hAnsi="宋体" w:cs="仿宋"/>
          <w:bCs/>
          <w:color w:val="auto"/>
          <w:szCs w:val="21"/>
          <w:highlight w:val="none"/>
        </w:rPr>
      </w:pPr>
      <w:r>
        <w:rPr>
          <w:rFonts w:hint="eastAsia" w:ascii="宋体" w:hAnsi="宋体" w:cs="仿宋"/>
          <w:bCs/>
          <w:color w:val="auto"/>
          <w:szCs w:val="21"/>
          <w:highlight w:val="none"/>
        </w:rPr>
        <w:t>②政府采购项目电子交易管理操作指南（文本）：</w:t>
      </w:r>
    </w:p>
    <w:p>
      <w:pPr>
        <w:adjustRightInd w:val="0"/>
        <w:snapToGrid w:val="0"/>
        <w:spacing w:line="400" w:lineRule="exact"/>
        <w:rPr>
          <w:rFonts w:ascii="宋体" w:hAnsi="宋体" w:cs="仿宋"/>
          <w:bCs/>
          <w:color w:val="auto"/>
          <w:szCs w:val="21"/>
          <w:highlight w:val="none"/>
        </w:rPr>
      </w:pPr>
      <w:r>
        <w:rPr>
          <w:rFonts w:hint="eastAsia" w:ascii="宋体" w:hAnsi="宋体" w:cs="仿宋"/>
          <w:bCs/>
          <w:color w:val="auto"/>
          <w:szCs w:val="21"/>
          <w:highlight w:val="none"/>
        </w:rPr>
        <w:t>service.zcygov.cn/#/knowledges/CW1EtGwBFdiHxlNd6I3m/6IMVAG0BFdiHxlNdQ8Na（电脑登录账号浏览）。</w:t>
      </w:r>
    </w:p>
    <w:p>
      <w:pPr>
        <w:spacing w:line="400" w:lineRule="exact"/>
        <w:jc w:val="left"/>
        <w:rPr>
          <w:rFonts w:ascii="宋体" w:hAnsi="宋体" w:cs="仿宋"/>
          <w:bCs/>
          <w:color w:val="auto"/>
          <w:szCs w:val="21"/>
          <w:highlight w:val="none"/>
        </w:rPr>
      </w:pPr>
      <w:r>
        <w:rPr>
          <w:rFonts w:hint="eastAsia" w:ascii="宋体" w:hAnsi="宋体" w:cs="仿宋"/>
          <w:bCs/>
          <w:color w:val="auto"/>
          <w:szCs w:val="21"/>
          <w:highlight w:val="none"/>
        </w:rPr>
        <w:t>（3）以U盘或光盘存储的电子备份投标文件1份，即按“项目采购-电子招投标操作指南”制作的电子备份文件，以用于异常情况处理。</w:t>
      </w:r>
    </w:p>
    <w:p>
      <w:pPr>
        <w:spacing w:line="400" w:lineRule="exact"/>
        <w:jc w:val="left"/>
        <w:rPr>
          <w:rFonts w:ascii="宋体" w:hAnsi="宋体"/>
          <w:color w:val="auto"/>
          <w:szCs w:val="21"/>
          <w:highlight w:val="none"/>
        </w:rPr>
      </w:pPr>
      <w:r>
        <w:rPr>
          <w:rFonts w:hint="eastAsia" w:ascii="宋体" w:hAnsi="宋体" w:cs="仿宋"/>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spacing w:line="400" w:lineRule="exact"/>
        <w:jc w:val="left"/>
        <w:rPr>
          <w:rFonts w:ascii="宋体" w:hAnsi="宋体"/>
          <w:b/>
          <w:bCs/>
          <w:color w:val="auto"/>
          <w:szCs w:val="21"/>
          <w:highlight w:val="none"/>
        </w:rPr>
      </w:pPr>
    </w:p>
    <w:p>
      <w:pPr>
        <w:spacing w:line="400" w:lineRule="exact"/>
        <w:jc w:val="left"/>
        <w:rPr>
          <w:rFonts w:ascii="宋体" w:hAnsi="宋体"/>
          <w:b/>
          <w:bCs/>
          <w:color w:val="auto"/>
          <w:szCs w:val="21"/>
          <w:highlight w:val="none"/>
        </w:rPr>
      </w:pPr>
      <w:r>
        <w:rPr>
          <w:rFonts w:hint="eastAsia" w:ascii="宋体" w:hAnsi="宋体"/>
          <w:b/>
          <w:bCs/>
          <w:color w:val="auto"/>
          <w:szCs w:val="21"/>
          <w:highlight w:val="none"/>
        </w:rPr>
        <w:t>15 投标文件的签署盖章</w:t>
      </w:r>
    </w:p>
    <w:p>
      <w:pPr>
        <w:spacing w:line="400" w:lineRule="exact"/>
        <w:jc w:val="left"/>
        <w:rPr>
          <w:rFonts w:ascii="宋体" w:hAnsi="宋体"/>
          <w:color w:val="auto"/>
          <w:szCs w:val="21"/>
          <w:highlight w:val="none"/>
        </w:rPr>
      </w:pPr>
      <w:r>
        <w:rPr>
          <w:rFonts w:hint="eastAsia" w:ascii="宋体" w:hAnsi="宋体"/>
          <w:b/>
          <w:bCs/>
          <w:color w:val="auto"/>
          <w:szCs w:val="21"/>
          <w:highlight w:val="none"/>
        </w:rPr>
        <w:t xml:space="preserve">15.1 </w:t>
      </w:r>
      <w:r>
        <w:rPr>
          <w:rFonts w:hint="eastAsia" w:ascii="宋体" w:hAnsi="宋体"/>
          <w:color w:val="auto"/>
          <w:szCs w:val="21"/>
          <w:highlight w:val="none"/>
        </w:rPr>
        <w:t>招标文件第七部分“附件”中标明加盖公章或签字的，加盖公章部分采用CA签章，签字部分由法定代表人或授权代表签字后扫描上传。授权代表签字的，还应附法定代表人签署的法定代表人授权书。</w:t>
      </w:r>
    </w:p>
    <w:p>
      <w:pPr>
        <w:pStyle w:val="2"/>
        <w:ind w:firstLine="400"/>
        <w:rPr>
          <w:color w:val="auto"/>
          <w:highlight w:val="none"/>
        </w:rPr>
      </w:pPr>
    </w:p>
    <w:p>
      <w:pPr>
        <w:jc w:val="center"/>
        <w:outlineLvl w:val="1"/>
        <w:rPr>
          <w:rFonts w:ascii="宋体" w:hAnsi="宋体" w:cs="宋体"/>
          <w:b/>
          <w:color w:val="auto"/>
          <w:sz w:val="28"/>
          <w:highlight w:val="none"/>
        </w:rPr>
      </w:pPr>
      <w:bookmarkStart w:id="69" w:name="_Toc513798903"/>
      <w:bookmarkStart w:id="70" w:name="_Toc520902397"/>
      <w:bookmarkStart w:id="71" w:name="_Toc513799074"/>
      <w:bookmarkStart w:id="72" w:name="_Toc440276564"/>
    </w:p>
    <w:p>
      <w:pPr>
        <w:jc w:val="center"/>
        <w:outlineLvl w:val="1"/>
        <w:rPr>
          <w:rFonts w:ascii="宋体" w:hAnsi="宋体" w:cs="宋体"/>
          <w:b/>
          <w:color w:val="auto"/>
          <w:sz w:val="28"/>
          <w:highlight w:val="none"/>
        </w:rPr>
      </w:pPr>
      <w:bookmarkStart w:id="73" w:name="_Toc21888"/>
      <w:r>
        <w:rPr>
          <w:rFonts w:hint="eastAsia" w:ascii="宋体" w:hAnsi="宋体" w:cs="宋体"/>
          <w:b/>
          <w:color w:val="auto"/>
          <w:sz w:val="28"/>
          <w:highlight w:val="none"/>
        </w:rPr>
        <w:t>D  投标文件的递交</w:t>
      </w:r>
      <w:bookmarkEnd w:id="69"/>
      <w:bookmarkEnd w:id="70"/>
      <w:bookmarkEnd w:id="71"/>
      <w:bookmarkEnd w:id="72"/>
      <w:bookmarkEnd w:id="73"/>
    </w:p>
    <w:p>
      <w:pPr>
        <w:spacing w:line="400" w:lineRule="exact"/>
        <w:rPr>
          <w:rFonts w:ascii="宋体" w:hAnsi="宋体" w:cs="宋体"/>
          <w:color w:val="auto"/>
          <w:szCs w:val="21"/>
          <w:highlight w:val="none"/>
        </w:rPr>
      </w:pPr>
      <w:r>
        <w:rPr>
          <w:rFonts w:hint="eastAsia" w:ascii="宋体" w:hAnsi="宋体" w:cs="宋体"/>
          <w:b/>
          <w:color w:val="auto"/>
          <w:szCs w:val="21"/>
          <w:highlight w:val="none"/>
        </w:rPr>
        <w:t>16.投标文件的</w:t>
      </w:r>
      <w:r>
        <w:rPr>
          <w:rFonts w:hint="eastAsia" w:ascii="宋体" w:hAnsi="宋体"/>
          <w:b/>
          <w:color w:val="auto"/>
          <w:szCs w:val="21"/>
          <w:highlight w:val="none"/>
        </w:rPr>
        <w:t>密封和标记</w:t>
      </w:r>
    </w:p>
    <w:p>
      <w:pPr>
        <w:spacing w:line="400" w:lineRule="exact"/>
        <w:jc w:val="left"/>
        <w:rPr>
          <w:rFonts w:ascii="宋体" w:hAnsi="宋体"/>
          <w:color w:val="auto"/>
          <w:szCs w:val="21"/>
          <w:highlight w:val="none"/>
        </w:rPr>
      </w:pPr>
      <w:r>
        <w:rPr>
          <w:rFonts w:hint="eastAsia" w:ascii="宋体" w:hAnsi="宋体" w:cs="宋体"/>
          <w:b/>
          <w:color w:val="auto"/>
          <w:szCs w:val="21"/>
          <w:highlight w:val="none"/>
        </w:rPr>
        <w:t>16.1</w:t>
      </w:r>
      <w:r>
        <w:rPr>
          <w:rFonts w:hint="eastAsia" w:ascii="宋体" w:hAnsi="宋体"/>
          <w:color w:val="auto"/>
          <w:szCs w:val="21"/>
          <w:highlight w:val="none"/>
        </w:rPr>
        <w:t>电子投标文件：供应商应根据“项目采购-电子招投标操作指南”及本招标文件规定的格式和顺序编制电子投标文件并进行关联定位。</w:t>
      </w:r>
    </w:p>
    <w:p>
      <w:pPr>
        <w:spacing w:line="400" w:lineRule="exact"/>
        <w:jc w:val="left"/>
        <w:rPr>
          <w:rFonts w:ascii="宋体" w:hAnsi="宋体"/>
          <w:color w:val="auto"/>
          <w:szCs w:val="21"/>
          <w:highlight w:val="none"/>
        </w:rPr>
      </w:pPr>
      <w:r>
        <w:rPr>
          <w:rFonts w:hint="eastAsia" w:ascii="宋体" w:hAnsi="宋体"/>
          <w:b/>
          <w:bCs/>
          <w:color w:val="auto"/>
          <w:szCs w:val="21"/>
          <w:highlight w:val="none"/>
        </w:rPr>
        <w:t>16.2</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用封袋密封后递交。</w:t>
      </w:r>
    </w:p>
    <w:p>
      <w:pPr>
        <w:spacing w:line="400" w:lineRule="exact"/>
        <w:jc w:val="left"/>
        <w:rPr>
          <w:rFonts w:ascii="宋体" w:hAnsi="宋体"/>
          <w:color w:val="auto"/>
          <w:szCs w:val="21"/>
          <w:highlight w:val="none"/>
        </w:rPr>
      </w:pPr>
      <w:r>
        <w:rPr>
          <w:rFonts w:hint="eastAsia" w:ascii="宋体" w:hAnsi="宋体"/>
          <w:b/>
          <w:bCs/>
          <w:color w:val="auto"/>
          <w:szCs w:val="21"/>
          <w:highlight w:val="none"/>
        </w:rPr>
        <w:t>16.3</w:t>
      </w:r>
      <w:r>
        <w:rPr>
          <w:rFonts w:hint="eastAsia" w:ascii="宋体" w:hAnsi="宋体" w:cs="宋体"/>
          <w:color w:val="auto"/>
          <w:kern w:val="0"/>
          <w:szCs w:val="21"/>
          <w:highlight w:val="none"/>
        </w:rPr>
        <w:t>电子备份投标文件须在</w:t>
      </w:r>
      <w:r>
        <w:rPr>
          <w:rFonts w:hint="eastAsia" w:ascii="宋体" w:hAnsi="宋体"/>
          <w:color w:val="auto"/>
          <w:szCs w:val="21"/>
          <w:highlight w:val="none"/>
        </w:rPr>
        <w:t>封袋上分别注明：</w:t>
      </w:r>
    </w:p>
    <w:p>
      <w:pPr>
        <w:tabs>
          <w:tab w:val="left" w:pos="900"/>
        </w:tabs>
        <w:spacing w:line="400" w:lineRule="exact"/>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）注明：</w:t>
      </w:r>
      <w:r>
        <w:rPr>
          <w:rFonts w:hint="eastAsia" w:ascii="宋体" w:hAnsi="宋体"/>
          <w:color w:val="auto"/>
          <w:szCs w:val="21"/>
          <w:highlight w:val="none"/>
          <w:u w:val="single"/>
        </w:rPr>
        <w:t>“电子备份投标文件”</w:t>
      </w:r>
      <w:r>
        <w:rPr>
          <w:rFonts w:hint="eastAsia" w:ascii="宋体" w:hAnsi="宋体"/>
          <w:color w:val="auto"/>
          <w:szCs w:val="21"/>
          <w:highlight w:val="none"/>
        </w:rPr>
        <w:t>；</w:t>
      </w:r>
    </w:p>
    <w:p>
      <w:pPr>
        <w:tabs>
          <w:tab w:val="left" w:pos="900"/>
        </w:tabs>
        <w:spacing w:line="400" w:lineRule="exact"/>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）项目编号：</w:t>
      </w:r>
      <w:r>
        <w:rPr>
          <w:rFonts w:hint="eastAsia" w:ascii="宋体" w:hAnsi="宋体"/>
          <w:color w:val="auto"/>
          <w:szCs w:val="21"/>
          <w:highlight w:val="none"/>
          <w:u w:val="single"/>
        </w:rPr>
        <w:t xml:space="preserve">NBGZZB121104   </w:t>
      </w:r>
    </w:p>
    <w:p>
      <w:pPr>
        <w:tabs>
          <w:tab w:val="left" w:pos="900"/>
        </w:tabs>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hint="eastAsia" w:ascii="宋体" w:hAnsi="宋体"/>
          <w:color w:val="auto"/>
          <w:szCs w:val="21"/>
          <w:highlight w:val="none"/>
          <w:u w:val="single"/>
          <w:lang w:eastAsia="zh-CN"/>
        </w:rPr>
        <w:t>短视频制作器材项目</w:t>
      </w:r>
      <w:r>
        <w:rPr>
          <w:rFonts w:hint="eastAsia" w:ascii="宋体" w:hAnsi="宋体"/>
          <w:color w:val="auto"/>
          <w:szCs w:val="21"/>
          <w:highlight w:val="none"/>
        </w:rPr>
        <w:t>；</w:t>
      </w:r>
    </w:p>
    <w:p>
      <w:pPr>
        <w:tabs>
          <w:tab w:val="left" w:pos="900"/>
        </w:tabs>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）所投标项（如有多个标项须填写）：；</w:t>
      </w:r>
    </w:p>
    <w:p>
      <w:pPr>
        <w:tabs>
          <w:tab w:val="left" w:pos="900"/>
        </w:tabs>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）在年月日（规定的开标日期和时间）前不准启封；</w:t>
      </w:r>
    </w:p>
    <w:p>
      <w:pPr>
        <w:tabs>
          <w:tab w:val="left" w:pos="900"/>
        </w:tabs>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p>
    <w:p>
      <w:pPr>
        <w:spacing w:line="400" w:lineRule="exact"/>
        <w:jc w:val="left"/>
        <w:rPr>
          <w:rFonts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w:t>
      </w:r>
    </w:p>
    <w:p>
      <w:pPr>
        <w:spacing w:line="400" w:lineRule="exact"/>
        <w:jc w:val="left"/>
        <w:rPr>
          <w:rFonts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17. 投标递交</w:t>
      </w:r>
    </w:p>
    <w:p>
      <w:pPr>
        <w:spacing w:line="400" w:lineRule="exact"/>
        <w:jc w:val="left"/>
        <w:rPr>
          <w:rFonts w:ascii="宋体" w:hAnsi="宋体"/>
          <w:color w:val="auto"/>
          <w:szCs w:val="21"/>
          <w:highlight w:val="none"/>
        </w:rPr>
      </w:pPr>
      <w:r>
        <w:rPr>
          <w:rFonts w:hint="eastAsia" w:ascii="宋体" w:hAnsi="宋体"/>
          <w:b/>
          <w:bCs/>
          <w:color w:val="auto"/>
          <w:szCs w:val="21"/>
          <w:highlight w:val="none"/>
        </w:rPr>
        <w:t xml:space="preserve">17.1 </w:t>
      </w:r>
      <w:r>
        <w:rPr>
          <w:rFonts w:hint="eastAsia" w:ascii="宋体" w:hAnsi="宋体"/>
          <w:color w:val="auto"/>
          <w:szCs w:val="21"/>
          <w:highlight w:val="none"/>
        </w:rPr>
        <w:t>投标文件递交的具体要求：</w:t>
      </w:r>
    </w:p>
    <w:p>
      <w:pPr>
        <w:adjustRightInd w:val="0"/>
        <w:snapToGrid w:val="0"/>
        <w:spacing w:line="400" w:lineRule="exact"/>
        <w:jc w:val="left"/>
        <w:rPr>
          <w:rFonts w:ascii="宋体" w:hAnsi="宋体" w:cs="仿宋"/>
          <w:color w:val="auto"/>
          <w:kern w:val="0"/>
          <w:szCs w:val="21"/>
          <w:highlight w:val="none"/>
        </w:rPr>
      </w:pPr>
      <w:r>
        <w:rPr>
          <w:rFonts w:hint="eastAsia" w:ascii="宋体" w:hAnsi="宋体" w:cs="仿宋"/>
          <w:color w:val="auto"/>
          <w:kern w:val="0"/>
          <w:szCs w:val="21"/>
          <w:highlight w:val="none"/>
        </w:rPr>
        <w:t>（1）供应商应于提交投标文件截止时间前将电子投标文件上传到政府采购云平台（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s="仿宋"/>
          <w:color w:val="auto"/>
          <w:szCs w:val="21"/>
          <w:highlight w:val="none"/>
        </w:rPr>
        <w:t>www.zcygov.cn</w:t>
      </w:r>
      <w:r>
        <w:rPr>
          <w:rFonts w:ascii="宋体" w:hAnsi="宋体" w:cs="仿宋"/>
          <w:color w:val="auto"/>
          <w:szCs w:val="21"/>
          <w:highlight w:val="none"/>
        </w:rPr>
        <w:fldChar w:fldCharType="end"/>
      </w:r>
      <w:r>
        <w:rPr>
          <w:rFonts w:hint="eastAsia" w:ascii="宋体" w:hAnsi="宋体" w:cs="仿宋"/>
          <w:color w:val="auto"/>
          <w:kern w:val="0"/>
          <w:szCs w:val="21"/>
          <w:highlight w:val="none"/>
        </w:rPr>
        <w:t>），并应于提交投标文件截止时间前，将以U盘或光盘存储的电子备份投标文件密封后按以下方式送达。</w:t>
      </w:r>
    </w:p>
    <w:p>
      <w:pPr>
        <w:adjustRightInd w:val="0"/>
        <w:snapToGrid w:val="0"/>
        <w:spacing w:line="400" w:lineRule="exact"/>
        <w:jc w:val="left"/>
        <w:rPr>
          <w:rFonts w:ascii="宋体" w:hAnsi="宋体" w:cs="宋体"/>
          <w:color w:val="auto"/>
          <w:kern w:val="0"/>
          <w:szCs w:val="21"/>
          <w:highlight w:val="none"/>
        </w:rPr>
      </w:pPr>
      <w:r>
        <w:rPr>
          <w:rFonts w:hint="eastAsia" w:ascii="宋体" w:hAnsi="宋体" w:cs="仿宋"/>
          <w:color w:val="auto"/>
          <w:kern w:val="0"/>
          <w:szCs w:val="21"/>
          <w:highlight w:val="none"/>
        </w:rPr>
        <w:t>方式一：</w:t>
      </w:r>
      <w:r>
        <w:rPr>
          <w:rFonts w:hint="eastAsia" w:ascii="宋体" w:hAnsi="宋体" w:cs="宋体"/>
          <w:color w:val="auto"/>
          <w:szCs w:val="21"/>
          <w:highlight w:val="none"/>
        </w:rPr>
        <w:t>现场递交方式，供应商可安排一名“甬行码”为绿色的授权代表在投标截止时间前将电子备份投标文件送至</w:t>
      </w:r>
      <w:r>
        <w:rPr>
          <w:rFonts w:hint="eastAsia" w:ascii="宋体" w:hAnsi="宋体" w:cs="宋体"/>
          <w:color w:val="auto"/>
          <w:szCs w:val="21"/>
          <w:highlight w:val="none"/>
          <w:u w:val="single"/>
          <w:lang w:eastAsia="zh-CN"/>
        </w:rPr>
        <w:t>宁波市鄞州区行政服务中心五楼开标室（鄞州区蕙江路567号，详见电子显示屏）</w:t>
      </w:r>
      <w:r>
        <w:rPr>
          <w:rFonts w:hint="eastAsia" w:ascii="宋体" w:hAnsi="宋体" w:cs="宋体"/>
          <w:color w:val="auto"/>
          <w:szCs w:val="21"/>
          <w:highlight w:val="none"/>
        </w:rPr>
        <w:t>，投标文件递交时须同时递交供应商的法定代表人（或其授权代表）联系方式，并保证开标期间联系方式畅通。</w:t>
      </w:r>
    </w:p>
    <w:p>
      <w:pPr>
        <w:snapToGrid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方式二：EMS邮寄送达，送达地址：宁波国咨工程造价咨询有限公司（宁波市鄞州区和源路510号宁兴国贸大厦20</w:t>
      </w:r>
      <w:r>
        <w:rPr>
          <w:rFonts w:hint="eastAsia" w:ascii="宋体" w:hAnsi="宋体" w:cs="宋体"/>
          <w:color w:val="auto"/>
          <w:kern w:val="0"/>
          <w:szCs w:val="21"/>
          <w:highlight w:val="none"/>
          <w:lang w:val="en-US" w:eastAsia="zh-CN"/>
        </w:rPr>
        <w:t>17</w:t>
      </w:r>
      <w:r>
        <w:rPr>
          <w:rFonts w:hint="eastAsia" w:ascii="宋体" w:hAnsi="宋体" w:cs="宋体"/>
          <w:color w:val="auto"/>
          <w:kern w:val="0"/>
          <w:szCs w:val="21"/>
          <w:highlight w:val="none"/>
        </w:rPr>
        <w:t>室），联系方式：</w:t>
      </w:r>
      <w:r>
        <w:rPr>
          <w:rFonts w:hint="eastAsia" w:ascii="宋体" w:hAnsi="宋体" w:cs="宋体"/>
          <w:color w:val="auto"/>
          <w:szCs w:val="21"/>
          <w:highlight w:val="none"/>
          <w:lang w:eastAsia="zh-CN"/>
        </w:rPr>
        <w:t>0574－87193548</w:t>
      </w:r>
      <w:r>
        <w:rPr>
          <w:rFonts w:hint="eastAsia" w:ascii="宋体" w:hAnsi="宋体" w:cs="宋体"/>
          <w:color w:val="auto"/>
          <w:kern w:val="0"/>
          <w:szCs w:val="21"/>
          <w:highlight w:val="none"/>
        </w:rPr>
        <w:t>。供应商邮寄后须将邮件单号发送至代理机构电子邮箱（电子邮箱：</w:t>
      </w:r>
      <w:r>
        <w:rPr>
          <w:rFonts w:hint="eastAsia" w:ascii="宋体" w:hAnsi="宋体" w:cs="宋体"/>
          <w:color w:val="auto"/>
          <w:szCs w:val="21"/>
          <w:highlight w:val="none"/>
          <w:lang w:eastAsia="zh-CN"/>
        </w:rPr>
        <w:t>1485526832@qq.com</w:t>
      </w:r>
      <w:r>
        <w:rPr>
          <w:rFonts w:hint="eastAsia" w:ascii="宋体" w:hAnsi="宋体" w:cs="宋体"/>
          <w:color w:val="auto"/>
          <w:kern w:val="0"/>
          <w:szCs w:val="21"/>
          <w:highlight w:val="none"/>
        </w:rPr>
        <w:t>），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pPr>
        <w:spacing w:line="400" w:lineRule="exact"/>
        <w:jc w:val="left"/>
        <w:rPr>
          <w:rFonts w:ascii="宋体" w:hAnsi="宋体"/>
          <w:color w:val="auto"/>
          <w:szCs w:val="21"/>
          <w:highlight w:val="none"/>
        </w:rPr>
      </w:pPr>
      <w:r>
        <w:rPr>
          <w:rFonts w:hint="eastAsia" w:ascii="宋体" w:hAnsi="宋体" w:cs="宋体"/>
          <w:color w:val="auto"/>
          <w:kern w:val="0"/>
          <w:szCs w:val="21"/>
          <w:highlight w:val="none"/>
        </w:rPr>
        <w:t>（2）疫情防控期间，不要求供应商人员必须到场参加现场采购活动，若供应商人员需参加现场采购活动，应全程佩戴口罩等防护用具，自觉接受体温检测、出示“甬行码”并接受疫情询问，并如实报告相关情况。请各供应商人员遵守宁波高新区公共资源交易中心各项防疫措施规定。由于疫情防控的影响，请提早安排送达时间。</w:t>
      </w:r>
    </w:p>
    <w:p>
      <w:pPr>
        <w:spacing w:line="400" w:lineRule="exact"/>
        <w:jc w:val="left"/>
        <w:rPr>
          <w:rFonts w:ascii="宋体" w:hAnsi="宋体"/>
          <w:color w:val="auto"/>
          <w:szCs w:val="21"/>
          <w:highlight w:val="none"/>
        </w:rPr>
      </w:pPr>
      <w:r>
        <w:rPr>
          <w:rFonts w:hint="eastAsia" w:ascii="宋体" w:hAnsi="宋体"/>
          <w:b/>
          <w:bCs/>
          <w:color w:val="auto"/>
          <w:szCs w:val="21"/>
          <w:highlight w:val="none"/>
        </w:rPr>
        <w:t>17.2</w:t>
      </w:r>
      <w:r>
        <w:rPr>
          <w:rFonts w:hint="eastAsia" w:ascii="宋体" w:hAnsi="宋体"/>
          <w:color w:val="auto"/>
          <w:szCs w:val="21"/>
          <w:highlight w:val="none"/>
        </w:rPr>
        <w:t xml:space="preserve"> 供应商未按上述要求密封的电子备份投标文件，代理机构不予受理。</w:t>
      </w:r>
    </w:p>
    <w:p>
      <w:pPr>
        <w:spacing w:line="400" w:lineRule="exact"/>
        <w:jc w:val="left"/>
        <w:rPr>
          <w:rFonts w:ascii="宋体" w:hAnsi="宋体"/>
          <w:color w:val="auto"/>
          <w:szCs w:val="21"/>
          <w:highlight w:val="none"/>
        </w:rPr>
      </w:pPr>
      <w:r>
        <w:rPr>
          <w:rFonts w:hint="eastAsia" w:ascii="宋体" w:hAnsi="宋体"/>
          <w:b/>
          <w:bCs/>
          <w:color w:val="auto"/>
          <w:szCs w:val="21"/>
          <w:highlight w:val="none"/>
        </w:rPr>
        <w:t>17.3</w:t>
      </w:r>
      <w:r>
        <w:rPr>
          <w:rFonts w:ascii="宋体" w:hAnsi="宋体"/>
          <w:color w:val="auto"/>
          <w:szCs w:val="21"/>
          <w:highlight w:val="none"/>
        </w:rPr>
        <w:t>逾期送达的或者未送达指定地点的，</w:t>
      </w:r>
      <w:r>
        <w:rPr>
          <w:rFonts w:hint="eastAsia" w:ascii="宋体" w:hAnsi="宋体"/>
          <w:color w:val="auto"/>
          <w:szCs w:val="21"/>
          <w:highlight w:val="none"/>
        </w:rPr>
        <w:t>代理机构</w:t>
      </w:r>
      <w:r>
        <w:rPr>
          <w:rFonts w:ascii="宋体" w:hAnsi="宋体"/>
          <w:color w:val="auto"/>
          <w:szCs w:val="21"/>
          <w:highlight w:val="none"/>
        </w:rPr>
        <w:t>不予受理。</w:t>
      </w:r>
    </w:p>
    <w:p>
      <w:pPr>
        <w:spacing w:line="400" w:lineRule="exact"/>
        <w:jc w:val="left"/>
        <w:rPr>
          <w:rFonts w:ascii="宋体" w:hAnsi="宋体"/>
          <w:b/>
          <w:bCs/>
          <w:color w:val="auto"/>
          <w:szCs w:val="21"/>
          <w:highlight w:val="none"/>
        </w:rPr>
      </w:pPr>
    </w:p>
    <w:p>
      <w:pPr>
        <w:spacing w:line="400" w:lineRule="exact"/>
        <w:jc w:val="left"/>
        <w:rPr>
          <w:rFonts w:ascii="宋体" w:hAnsi="宋体"/>
          <w:b/>
          <w:bCs/>
          <w:color w:val="auto"/>
          <w:szCs w:val="21"/>
          <w:highlight w:val="none"/>
        </w:rPr>
      </w:pPr>
      <w:r>
        <w:rPr>
          <w:rFonts w:hint="eastAsia" w:ascii="宋体" w:hAnsi="宋体"/>
          <w:b/>
          <w:bCs/>
          <w:color w:val="auto"/>
          <w:szCs w:val="21"/>
          <w:highlight w:val="none"/>
        </w:rPr>
        <w:t>18. 投标文件的补充、修改</w:t>
      </w:r>
    </w:p>
    <w:p>
      <w:pPr>
        <w:spacing w:line="400" w:lineRule="exact"/>
        <w:rPr>
          <w:color w:val="auto"/>
          <w:szCs w:val="21"/>
          <w:highlight w:val="none"/>
        </w:rPr>
      </w:pPr>
      <w:r>
        <w:rPr>
          <w:rFonts w:hint="eastAsia" w:ascii="宋体" w:hAnsi="宋体"/>
          <w:color w:val="auto"/>
          <w:szCs w:val="21"/>
          <w:highlight w:val="none"/>
        </w:rPr>
        <w:t>投标截止时间前，供应商可以对递交的投标文件进行补充、修改，</w:t>
      </w:r>
      <w:r>
        <w:rPr>
          <w:rFonts w:hint="eastAsia"/>
          <w:color w:val="auto"/>
          <w:szCs w:val="21"/>
          <w:highlight w:val="none"/>
        </w:rPr>
        <w:t>补充、修改电子投标文件的，应当先行撤回原文件，补充、修改后重新上传，电子备份投标文件也应重新制作。</w:t>
      </w:r>
      <w:r>
        <w:rPr>
          <w:rFonts w:hint="eastAsia" w:ascii="宋体" w:hAnsi="宋体"/>
          <w:color w:val="auto"/>
          <w:szCs w:val="21"/>
          <w:highlight w:val="none"/>
        </w:rPr>
        <w:t>在投标截止时间之后，供应商不得对其投标文件进行补充、修改。投标截止时间之后供应商要求撤销投标文件的，应向采购人提交正式文件。</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sz w:val="24"/>
          <w:highlight w:val="none"/>
        </w:rPr>
      </w:pPr>
    </w:p>
    <w:p>
      <w:pPr>
        <w:jc w:val="center"/>
        <w:outlineLvl w:val="1"/>
        <w:rPr>
          <w:rFonts w:ascii="宋体" w:hAnsi="宋体" w:cs="宋体"/>
          <w:b/>
          <w:color w:val="auto"/>
          <w:sz w:val="28"/>
          <w:highlight w:val="none"/>
        </w:rPr>
      </w:pPr>
      <w:bookmarkStart w:id="74" w:name="_Toc440276565"/>
      <w:bookmarkStart w:id="75" w:name="_Toc513799075"/>
      <w:bookmarkStart w:id="76" w:name="_Toc520902398"/>
      <w:bookmarkStart w:id="77" w:name="_Toc25050"/>
      <w:bookmarkStart w:id="78" w:name="_Toc513798904"/>
      <w:r>
        <w:rPr>
          <w:rFonts w:hint="eastAsia" w:ascii="宋体" w:hAnsi="宋体" w:cs="宋体"/>
          <w:b/>
          <w:color w:val="auto"/>
          <w:sz w:val="28"/>
          <w:highlight w:val="none"/>
        </w:rPr>
        <w:t>E  开标</w:t>
      </w:r>
      <w:bookmarkEnd w:id="74"/>
      <w:bookmarkEnd w:id="75"/>
      <w:bookmarkEnd w:id="76"/>
      <w:bookmarkEnd w:id="77"/>
      <w:bookmarkEnd w:id="78"/>
    </w:p>
    <w:p>
      <w:pPr>
        <w:spacing w:line="400" w:lineRule="exact"/>
        <w:rPr>
          <w:rFonts w:ascii="宋体" w:hAnsi="宋体" w:cs="宋体"/>
          <w:color w:val="auto"/>
          <w:szCs w:val="21"/>
          <w:highlight w:val="none"/>
        </w:rPr>
      </w:pPr>
      <w:r>
        <w:rPr>
          <w:rFonts w:hint="eastAsia" w:ascii="宋体" w:hAnsi="宋体" w:cs="宋体"/>
          <w:b/>
          <w:color w:val="auto"/>
          <w:szCs w:val="21"/>
          <w:highlight w:val="none"/>
        </w:rPr>
        <w:t>19</w:t>
      </w:r>
      <w:r>
        <w:rPr>
          <w:rFonts w:hint="eastAsia" w:ascii="宋体" w:hAnsi="宋体" w:cs="宋体"/>
          <w:color w:val="auto"/>
          <w:szCs w:val="21"/>
          <w:highlight w:val="none"/>
        </w:rPr>
        <w:t>.</w:t>
      </w:r>
      <w:r>
        <w:rPr>
          <w:rFonts w:hint="eastAsia" w:ascii="宋体" w:hAnsi="宋体" w:cs="宋体"/>
          <w:b/>
          <w:color w:val="auto"/>
          <w:szCs w:val="21"/>
          <w:highlight w:val="none"/>
        </w:rPr>
        <w:t>开标</w:t>
      </w:r>
    </w:p>
    <w:p>
      <w:pPr>
        <w:spacing w:line="400" w:lineRule="exact"/>
        <w:jc w:val="left"/>
        <w:rPr>
          <w:rFonts w:ascii="宋体" w:hAnsi="宋体"/>
          <w:color w:val="auto"/>
          <w:szCs w:val="21"/>
          <w:highlight w:val="none"/>
        </w:rPr>
      </w:pPr>
      <w:r>
        <w:rPr>
          <w:rFonts w:hint="eastAsia" w:ascii="宋体" w:hAnsi="宋体" w:cs="宋体"/>
          <w:b/>
          <w:color w:val="auto"/>
          <w:szCs w:val="21"/>
          <w:highlight w:val="none"/>
        </w:rPr>
        <w:t xml:space="preserve">19.1 </w:t>
      </w:r>
      <w:r>
        <w:rPr>
          <w:rFonts w:hint="eastAsia" w:ascii="宋体" w:hAnsi="宋体"/>
          <w:color w:val="auto"/>
          <w:szCs w:val="21"/>
          <w:highlight w:val="none"/>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jc w:val="left"/>
        <w:rPr>
          <w:rFonts w:ascii="宋体" w:hAnsi="宋体"/>
          <w:color w:val="auto"/>
          <w:szCs w:val="21"/>
          <w:highlight w:val="none"/>
        </w:rPr>
      </w:pPr>
      <w:r>
        <w:rPr>
          <w:rFonts w:hint="eastAsia" w:ascii="宋体" w:hAnsi="宋体"/>
          <w:b/>
          <w:bCs/>
          <w:color w:val="auto"/>
          <w:szCs w:val="21"/>
          <w:highlight w:val="none"/>
        </w:rPr>
        <w:t>19.2</w:t>
      </w:r>
      <w:r>
        <w:rPr>
          <w:rFonts w:hint="eastAsia" w:ascii="宋体" w:hAnsi="宋体"/>
          <w:color w:val="auto"/>
          <w:szCs w:val="21"/>
          <w:highlight w:val="none"/>
        </w:rPr>
        <w:t xml:space="preserve"> 电子投标开标及评审程序：一阶段开标。</w:t>
      </w:r>
    </w:p>
    <w:p>
      <w:pPr>
        <w:spacing w:line="400" w:lineRule="exact"/>
        <w:jc w:val="left"/>
        <w:rPr>
          <w:rFonts w:ascii="宋体" w:hAnsi="宋体"/>
          <w:color w:val="auto"/>
          <w:szCs w:val="21"/>
          <w:highlight w:val="none"/>
        </w:rPr>
      </w:pPr>
      <w:r>
        <w:rPr>
          <w:rFonts w:hint="eastAsia" w:ascii="宋体" w:hAnsi="宋体"/>
          <w:color w:val="auto"/>
          <w:szCs w:val="21"/>
          <w:highlight w:val="none"/>
        </w:rPr>
        <w:t>（1）宣布开标；</w:t>
      </w:r>
    </w:p>
    <w:p>
      <w:pPr>
        <w:spacing w:line="400" w:lineRule="exact"/>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仿宋"/>
          <w:bCs/>
          <w:color w:val="auto"/>
          <w:szCs w:val="21"/>
          <w:highlight w:val="none"/>
        </w:rPr>
        <w:t>本项目实行网上投标，采用电子投标文件。若供应商参与投标，自行承担投标一切费用。</w:t>
      </w:r>
      <w:r>
        <w:rPr>
          <w:rFonts w:hint="eastAsia" w:ascii="宋体" w:hAnsi="宋体"/>
          <w:color w:val="auto"/>
          <w:szCs w:val="21"/>
          <w:highlight w:val="none"/>
        </w:rPr>
        <w:t>投标截止时间后，供应商登录</w:t>
      </w:r>
      <w:r>
        <w:rPr>
          <w:rFonts w:hint="eastAsia" w:ascii="宋体" w:hAnsi="宋体" w:cs="宋体"/>
          <w:color w:val="auto"/>
          <w:kern w:val="0"/>
          <w:szCs w:val="21"/>
          <w:highlight w:val="none"/>
        </w:rPr>
        <w:t>政府采购云平台</w:t>
      </w:r>
      <w:r>
        <w:rPr>
          <w:rFonts w:hint="eastAsia" w:ascii="宋体" w:hAnsi="宋体"/>
          <w:color w:val="auto"/>
          <w:szCs w:val="21"/>
          <w:highlight w:val="none"/>
        </w:rPr>
        <w:t>，用“项目采购-开标评标”功能对电子投标文件进行在线解密，在线解密电子投标文件时间为开标时间后</w:t>
      </w:r>
      <w:r>
        <w:rPr>
          <w:rFonts w:hint="eastAsia" w:ascii="宋体" w:hAnsi="宋体"/>
          <w:color w:val="auto"/>
          <w:szCs w:val="21"/>
          <w:highlight w:val="none"/>
          <w:lang w:val="en-US" w:eastAsia="zh-CN"/>
        </w:rPr>
        <w:t>一</w:t>
      </w:r>
      <w:r>
        <w:rPr>
          <w:rFonts w:ascii="宋体" w:hAnsi="宋体"/>
          <w:color w:val="auto"/>
          <w:szCs w:val="21"/>
          <w:highlight w:val="none"/>
        </w:rPr>
        <w:t>小时</w:t>
      </w:r>
      <w:r>
        <w:rPr>
          <w:rFonts w:hint="eastAsia" w:ascii="宋体" w:hAnsi="宋体"/>
          <w:color w:val="auto"/>
          <w:szCs w:val="21"/>
          <w:highlight w:val="none"/>
        </w:rPr>
        <w:t>内。</w:t>
      </w:r>
      <w:r>
        <w:rPr>
          <w:rFonts w:hint="eastAsia" w:ascii="宋体" w:hAnsi="宋体" w:cs="仿宋"/>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）介绍开标现场的人员情况；</w:t>
      </w:r>
    </w:p>
    <w:p>
      <w:pPr>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）宣读递交投标文件的供应商名单、开标纪律、应当回避的情形等注意事项；</w:t>
      </w:r>
    </w:p>
    <w:p>
      <w:pPr>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）供应商签署不存在影响公平竞争的《政府采购活动现场确认声明书》；</w:t>
      </w:r>
    </w:p>
    <w:p>
      <w:pPr>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）按照供应商提交投标文件的先后顺序，开启“资格证明文件”、“商务和技术文件”、“报价文件”，宣读供应商名称，并做开标记录；</w:t>
      </w:r>
    </w:p>
    <w:p>
      <w:pPr>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）开标记录签字确认；</w:t>
      </w:r>
    </w:p>
    <w:p>
      <w:pPr>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）第一阶段开标结束。</w:t>
      </w:r>
    </w:p>
    <w:p>
      <w:pPr>
        <w:spacing w:line="400" w:lineRule="exact"/>
        <w:jc w:val="left"/>
        <w:rPr>
          <w:rFonts w:ascii="宋体" w:hAnsi="宋体"/>
          <w:color w:val="auto"/>
          <w:szCs w:val="21"/>
          <w:highlight w:val="none"/>
        </w:rPr>
      </w:pPr>
      <w:r>
        <w:rPr>
          <w:rFonts w:hint="eastAsia" w:ascii="宋体" w:hAnsi="宋体"/>
          <w:color w:val="auto"/>
          <w:szCs w:val="21"/>
          <w:highlight w:val="none"/>
        </w:rPr>
        <w:t>休会，评标委员会对“资格证明文件”、“商务技术文件”、“报价文件”进行评审。</w:t>
      </w:r>
    </w:p>
    <w:p>
      <w:pPr>
        <w:spacing w:line="400" w:lineRule="exact"/>
        <w:jc w:val="left"/>
        <w:rPr>
          <w:rFonts w:ascii="宋体" w:hAnsi="宋体"/>
          <w:color w:val="auto"/>
          <w:szCs w:val="21"/>
          <w:highlight w:val="none"/>
        </w:rPr>
      </w:pPr>
      <w:r>
        <w:rPr>
          <w:rFonts w:hint="eastAsia" w:ascii="宋体" w:hAnsi="宋体"/>
          <w:color w:val="auto"/>
          <w:szCs w:val="21"/>
          <w:highlight w:val="none"/>
        </w:rPr>
        <w:t>（9）在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公布中标候选人名单及采购人最终确定中标供应商名单的时间和公告方式等；</w:t>
      </w:r>
    </w:p>
    <w:p>
      <w:pPr>
        <w:spacing w:line="400" w:lineRule="exact"/>
        <w:jc w:val="left"/>
        <w:rPr>
          <w:rFonts w:ascii="宋体" w:hAnsi="宋体"/>
          <w:color w:val="auto"/>
          <w:szCs w:val="21"/>
          <w:highlight w:val="none"/>
        </w:rPr>
      </w:pPr>
      <w:r>
        <w:rPr>
          <w:rFonts w:hint="eastAsia" w:ascii="宋体" w:hAnsi="宋体"/>
          <w:color w:val="auto"/>
          <w:szCs w:val="21"/>
          <w:highlight w:val="none"/>
        </w:rPr>
        <w:t>（10）开标结束。</w:t>
      </w:r>
    </w:p>
    <w:p>
      <w:pPr>
        <w:spacing w:line="400" w:lineRule="exact"/>
        <w:jc w:val="left"/>
        <w:rPr>
          <w:rFonts w:ascii="宋体" w:hAnsi="宋体"/>
          <w:color w:val="auto"/>
          <w:szCs w:val="21"/>
          <w:highlight w:val="none"/>
        </w:rPr>
      </w:pPr>
      <w:r>
        <w:rPr>
          <w:rFonts w:hint="eastAsia" w:ascii="宋体" w:hAnsi="宋体"/>
          <w:b/>
          <w:bCs/>
          <w:color w:val="auto"/>
          <w:szCs w:val="21"/>
          <w:highlight w:val="none"/>
        </w:rPr>
        <w:t xml:space="preserve">19.3 </w:t>
      </w:r>
      <w:r>
        <w:rPr>
          <w:rFonts w:hint="eastAsia" w:ascii="宋体" w:hAnsi="宋体"/>
          <w:color w:val="auto"/>
          <w:szCs w:val="21"/>
          <w:highlight w:val="none"/>
        </w:rPr>
        <w:t>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jc w:val="left"/>
        <w:rPr>
          <w:rFonts w:ascii="宋体" w:hAnsi="宋体"/>
          <w:color w:val="auto"/>
          <w:szCs w:val="21"/>
          <w:highlight w:val="none"/>
        </w:rPr>
      </w:pPr>
      <w:r>
        <w:rPr>
          <w:rFonts w:hint="eastAsia" w:ascii="宋体" w:hAnsi="宋体"/>
          <w:color w:val="auto"/>
          <w:szCs w:val="21"/>
          <w:highlight w:val="none"/>
        </w:rPr>
        <w:t>本项目原则上采用政采云电子投标开标及评审程序，但有下情形之一的，按以下情况处理：</w:t>
      </w:r>
    </w:p>
    <w:p>
      <w:pPr>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，上传至政采云平台项目采购模块，以完成开标，电子投标文件自动失效。</w:t>
      </w:r>
    </w:p>
    <w:p>
      <w:pPr>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pPr>
        <w:spacing w:line="400" w:lineRule="exact"/>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电子交易平台发生故障而无法登录访问的；</w:t>
      </w:r>
    </w:p>
    <w:p>
      <w:pPr>
        <w:spacing w:line="400" w:lineRule="exact"/>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w:t>
      </w:r>
      <w:r>
        <w:rPr>
          <w:rFonts w:hint="eastAsia" w:ascii="宋体" w:hAnsi="宋体"/>
          <w:color w:val="auto"/>
          <w:szCs w:val="21"/>
          <w:highlight w:val="none"/>
        </w:rPr>
        <w:t>电子交易平台应用或数据库出现错误，不能进行正常操作的；</w:t>
      </w:r>
    </w:p>
    <w:p>
      <w:pPr>
        <w:spacing w:line="400" w:lineRule="exact"/>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.3</w:t>
      </w:r>
      <w:r>
        <w:rPr>
          <w:rFonts w:hint="eastAsia" w:ascii="宋体" w:hAnsi="宋体"/>
          <w:color w:val="auto"/>
          <w:szCs w:val="21"/>
          <w:highlight w:val="none"/>
        </w:rPr>
        <w:t>电子交易平台发现严重安全漏洞，有潜在泄密危险的；</w:t>
      </w:r>
    </w:p>
    <w:p>
      <w:pPr>
        <w:spacing w:line="400" w:lineRule="exact"/>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r>
        <w:rPr>
          <w:rFonts w:hint="eastAsia" w:ascii="宋体" w:hAnsi="宋体"/>
          <w:color w:val="auto"/>
          <w:szCs w:val="21"/>
          <w:highlight w:val="none"/>
        </w:rPr>
        <w:t xml:space="preserve">病毒发作导致不能进行正常操作的； </w:t>
      </w:r>
    </w:p>
    <w:p>
      <w:pPr>
        <w:spacing w:line="400" w:lineRule="exact"/>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.5</w:t>
      </w:r>
      <w:r>
        <w:rPr>
          <w:rFonts w:hint="eastAsia" w:ascii="宋体" w:hAnsi="宋体"/>
          <w:color w:val="auto"/>
          <w:szCs w:val="21"/>
          <w:highlight w:val="none"/>
        </w:rPr>
        <w:t>其他无法保证电子交易的公平、公正和安全的情况。</w:t>
      </w:r>
    </w:p>
    <w:p>
      <w:pPr>
        <w:spacing w:line="400" w:lineRule="exact"/>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pPr>
        <w:spacing w:line="400" w:lineRule="exact"/>
        <w:rPr>
          <w:rFonts w:ascii="宋体" w:hAnsi="宋体" w:cs="宋体"/>
          <w:color w:val="auto"/>
          <w:szCs w:val="21"/>
          <w:highlight w:val="none"/>
          <w:u w:val="single"/>
        </w:rPr>
      </w:pPr>
    </w:p>
    <w:p>
      <w:pPr>
        <w:spacing w:line="400" w:lineRule="exact"/>
        <w:rPr>
          <w:rFonts w:ascii="宋体" w:hAnsi="宋体" w:cs="宋体"/>
          <w:color w:val="auto"/>
          <w:sz w:val="24"/>
          <w:szCs w:val="24"/>
          <w:highlight w:val="none"/>
        </w:rPr>
      </w:pPr>
    </w:p>
    <w:p>
      <w:pPr>
        <w:spacing w:before="143" w:beforeLines="50" w:after="143" w:afterLines="50"/>
        <w:jc w:val="center"/>
        <w:outlineLvl w:val="1"/>
        <w:rPr>
          <w:rFonts w:ascii="宋体" w:hAnsi="宋体" w:cs="宋体"/>
          <w:b/>
          <w:color w:val="auto"/>
          <w:sz w:val="28"/>
          <w:highlight w:val="none"/>
        </w:rPr>
      </w:pPr>
      <w:bookmarkStart w:id="79" w:name="_Toc513799076"/>
      <w:bookmarkStart w:id="80" w:name="_Toc440276566"/>
      <w:bookmarkStart w:id="81" w:name="_Toc520902399"/>
      <w:bookmarkStart w:id="82" w:name="_Toc6183"/>
      <w:bookmarkStart w:id="83" w:name="_Toc513798905"/>
      <w:r>
        <w:rPr>
          <w:rFonts w:hint="eastAsia" w:ascii="宋体" w:hAnsi="宋体" w:cs="宋体"/>
          <w:b/>
          <w:color w:val="auto"/>
          <w:sz w:val="28"/>
          <w:highlight w:val="none"/>
        </w:rPr>
        <w:t>F  评标和定标</w:t>
      </w:r>
      <w:bookmarkEnd w:id="79"/>
      <w:bookmarkEnd w:id="80"/>
      <w:bookmarkEnd w:id="81"/>
      <w:bookmarkEnd w:id="82"/>
      <w:bookmarkEnd w:id="83"/>
    </w:p>
    <w:p>
      <w:pPr>
        <w:spacing w:line="400" w:lineRule="exact"/>
        <w:rPr>
          <w:rFonts w:ascii="宋体" w:hAnsi="宋体" w:cs="宋体"/>
          <w:color w:val="auto"/>
          <w:szCs w:val="21"/>
          <w:highlight w:val="none"/>
        </w:rPr>
      </w:pPr>
      <w:r>
        <w:rPr>
          <w:rFonts w:hint="eastAsia" w:ascii="宋体" w:hAnsi="宋体" w:cs="宋体"/>
          <w:b/>
          <w:color w:val="auto"/>
          <w:szCs w:val="21"/>
          <w:highlight w:val="none"/>
        </w:rPr>
        <w:t>20. 评标委员会及评标</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20.1</w:t>
      </w:r>
      <w:r>
        <w:rPr>
          <w:rFonts w:hint="eastAsia" w:ascii="宋体" w:hAnsi="宋体" w:cs="宋体"/>
          <w:color w:val="auto"/>
          <w:szCs w:val="21"/>
          <w:highlight w:val="none"/>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color w:val="auto"/>
          <w:szCs w:val="21"/>
          <w:highlight w:val="none"/>
          <w:u w:val="single"/>
        </w:rPr>
        <w:t>评标委员会成员名单在招标结果确定之前依法保密</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20.2 </w:t>
      </w:r>
      <w:r>
        <w:rPr>
          <w:rFonts w:hint="eastAsia" w:ascii="宋体" w:hAnsi="宋体" w:cs="宋体"/>
          <w:color w:val="auto"/>
          <w:szCs w:val="21"/>
          <w:highlight w:val="none"/>
        </w:rPr>
        <w:t xml:space="preserve"> 评标委员会将遵循公平、公正、科学、廉洁的原则和法定的程序进行评标，并且只依据招标文件要求和投标文件的响应情况进行评审，不依据任何来自开标后的补充声明、修正方案。</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20.3</w:t>
      </w:r>
      <w:r>
        <w:rPr>
          <w:rFonts w:hint="eastAsia" w:ascii="宋体" w:hAnsi="宋体" w:cs="宋体"/>
          <w:color w:val="auto"/>
          <w:szCs w:val="21"/>
          <w:highlight w:val="none"/>
        </w:rPr>
        <w:t xml:space="preserve">  评标委员会根据本须知的规定、招标文件的“评标标准”和“招标项目要求”中所列的具体标准，对投标文件进行评审和比较。</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20.4  </w:t>
      </w:r>
      <w:r>
        <w:rPr>
          <w:rFonts w:hint="eastAsia" w:ascii="宋体" w:hAnsi="宋体" w:cs="宋体"/>
          <w:color w:val="auto"/>
          <w:szCs w:val="21"/>
          <w:highlight w:val="none"/>
        </w:rPr>
        <w:t xml:space="preserve">在评审中若发现投标文件的正本与副本不一致，则以正本为准；若发现电子文本与书面文本不一致，则以书面文本为准。 </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21.投标的澄清</w:t>
      </w:r>
    </w:p>
    <w:p>
      <w:pPr>
        <w:spacing w:line="400" w:lineRule="exact"/>
        <w:rPr>
          <w:rFonts w:ascii="宋体" w:hAnsi="宋体" w:cs="宋体"/>
          <w:color w:val="auto"/>
          <w:highlight w:val="none"/>
        </w:rPr>
      </w:pPr>
      <w:r>
        <w:rPr>
          <w:rFonts w:hint="eastAsia" w:ascii="宋体" w:hAnsi="宋体" w:cs="宋体"/>
          <w:b/>
          <w:bCs/>
          <w:color w:val="auto"/>
          <w:highlight w:val="none"/>
        </w:rPr>
        <w:t>21.1</w:t>
      </w:r>
      <w:r>
        <w:rPr>
          <w:rFonts w:hint="eastAsia" w:ascii="宋体" w:hAnsi="宋体" w:cs="宋体"/>
          <w:color w:val="auto"/>
          <w:highlight w:val="none"/>
        </w:rPr>
        <w:t xml:space="preserve"> 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rPr>
          <w:rFonts w:ascii="宋体" w:hAnsi="宋体" w:cs="宋体"/>
          <w:color w:val="auto"/>
          <w:highlight w:val="none"/>
        </w:rPr>
      </w:pPr>
      <w:r>
        <w:rPr>
          <w:rFonts w:hint="eastAsia" w:ascii="宋体" w:hAnsi="宋体" w:cs="宋体"/>
          <w:b/>
          <w:bCs/>
          <w:color w:val="auto"/>
          <w:highlight w:val="none"/>
        </w:rPr>
        <w:t>21.2</w:t>
      </w:r>
      <w:r>
        <w:rPr>
          <w:rFonts w:hint="eastAsia" w:ascii="宋体" w:hAnsi="宋体" w:cs="宋体"/>
          <w:color w:val="auto"/>
          <w:highlight w:val="none"/>
        </w:rPr>
        <w:t xml:space="preserve"> 政采云具体操作如下：</w:t>
      </w:r>
    </w:p>
    <w:p>
      <w:pPr>
        <w:spacing w:line="400" w:lineRule="exact"/>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rPr>
          <w:rFonts w:ascii="宋体" w:hAnsi="宋体" w:cs="宋体"/>
          <w:color w:val="auto"/>
          <w:highlight w:val="none"/>
        </w:rPr>
      </w:pPr>
      <w:r>
        <w:rPr>
          <w:rFonts w:hint="eastAsia" w:ascii="宋体" w:hAnsi="宋体" w:cs="宋体"/>
          <w:color w:val="auto"/>
          <w:highlight w:val="none"/>
        </w:rPr>
        <w:t>路径：用户中心—项目采购—询标澄清</w:t>
      </w:r>
    </w:p>
    <w:p>
      <w:pPr>
        <w:spacing w:line="400" w:lineRule="exact"/>
        <w:rPr>
          <w:rFonts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pPr>
        <w:spacing w:line="400" w:lineRule="exact"/>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pPr>
        <w:spacing w:line="400" w:lineRule="exact"/>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400" w:lineRule="exact"/>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pPr>
        <w:spacing w:line="400" w:lineRule="exact"/>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pPr>
        <w:spacing w:line="400" w:lineRule="exact"/>
        <w:rPr>
          <w:rFonts w:ascii="宋体" w:hAnsi="宋体" w:cs="宋体"/>
          <w:color w:val="auto"/>
          <w:highlight w:val="none"/>
        </w:rPr>
      </w:pPr>
      <w:r>
        <w:rPr>
          <w:rFonts w:hint="eastAsia" w:ascii="宋体" w:hAnsi="宋体" w:cs="宋体"/>
          <w:b/>
          <w:bCs/>
          <w:color w:val="auto"/>
          <w:highlight w:val="none"/>
        </w:rPr>
        <w:t xml:space="preserve">21.3 </w:t>
      </w:r>
      <w:r>
        <w:rPr>
          <w:rFonts w:hint="eastAsia" w:ascii="宋体" w:hAnsi="宋体" w:cs="宋体"/>
          <w:color w:val="auto"/>
          <w:highlight w:val="none"/>
        </w:rPr>
        <w:t>澄清文件应当由</w:t>
      </w:r>
      <w:r>
        <w:rPr>
          <w:rFonts w:hint="eastAsia" w:ascii="宋体" w:hAnsi="宋体"/>
          <w:color w:val="auto"/>
          <w:szCs w:val="21"/>
          <w:highlight w:val="none"/>
        </w:rPr>
        <w:t>供应商的法定代表人或授权代表签字</w:t>
      </w:r>
      <w:r>
        <w:rPr>
          <w:rFonts w:hint="eastAsia" w:ascii="宋体" w:hAnsi="宋体" w:cs="宋体"/>
          <w:color w:val="auto"/>
          <w:highlight w:val="none"/>
        </w:rPr>
        <w:t>或者加盖供应商公章。澄清文件将作为投标文件内容的一部分，具有相应的法律效力。</w:t>
      </w:r>
    </w:p>
    <w:p>
      <w:pPr>
        <w:spacing w:line="400" w:lineRule="exact"/>
        <w:jc w:val="left"/>
        <w:rPr>
          <w:rFonts w:ascii="宋体" w:hAnsi="宋体" w:cs="宋体"/>
          <w:color w:val="auto"/>
          <w:highlight w:val="none"/>
        </w:rPr>
      </w:pPr>
      <w:r>
        <w:rPr>
          <w:rFonts w:hint="eastAsia" w:ascii="宋体" w:hAnsi="宋体" w:cs="宋体"/>
          <w:b/>
          <w:bCs/>
          <w:color w:val="auto"/>
          <w:highlight w:val="none"/>
        </w:rPr>
        <w:t xml:space="preserve">21.4 </w:t>
      </w:r>
      <w:r>
        <w:rPr>
          <w:rFonts w:hint="eastAsia" w:ascii="宋体" w:hAnsi="宋体" w:cs="宋体"/>
          <w:color w:val="auto"/>
          <w:highlight w:val="none"/>
        </w:rPr>
        <w:t>供应商未在截止时间前完成澄清，将被视作自动放弃。</w:t>
      </w:r>
    </w:p>
    <w:p>
      <w:pPr>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br w:type="textWrapping"/>
      </w:r>
      <w:r>
        <w:rPr>
          <w:rFonts w:hint="eastAsia" w:ascii="宋体" w:hAnsi="宋体" w:cs="宋体"/>
          <w:b/>
          <w:color w:val="auto"/>
          <w:szCs w:val="21"/>
          <w:highlight w:val="none"/>
        </w:rPr>
        <w:t>22. 评标办法：</w:t>
      </w:r>
      <w:r>
        <w:rPr>
          <w:rFonts w:hint="eastAsia" w:ascii="宋体" w:hAnsi="宋体"/>
          <w:color w:val="auto"/>
          <w:szCs w:val="21"/>
          <w:highlight w:val="none"/>
        </w:rPr>
        <w:t>评标采用综合评分法。</w:t>
      </w:r>
      <w:r>
        <w:rPr>
          <w:rFonts w:hint="eastAsia" w:ascii="宋体" w:hAnsi="宋体"/>
          <w:b/>
          <w:color w:val="auto"/>
          <w:szCs w:val="21"/>
          <w:highlight w:val="none"/>
        </w:rPr>
        <w:t>本项目招标采用的评标方法载明在招标文件第五部分“评标办法”中。</w:t>
      </w:r>
    </w:p>
    <w:p>
      <w:pPr>
        <w:spacing w:line="400" w:lineRule="exact"/>
        <w:ind w:left="153" w:leftChars="73" w:firstLine="315" w:firstLineChars="150"/>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23.  评标程序和原则</w:t>
      </w:r>
    </w:p>
    <w:p>
      <w:pPr>
        <w:spacing w:line="440" w:lineRule="exact"/>
        <w:rPr>
          <w:rFonts w:ascii="宋体" w:hAnsi="宋体"/>
          <w:color w:val="auto"/>
          <w:szCs w:val="21"/>
          <w:highlight w:val="none"/>
          <w:shd w:val="pct10" w:color="auto" w:fill="FFFFFF"/>
        </w:rPr>
      </w:pPr>
      <w:r>
        <w:rPr>
          <w:rFonts w:hint="eastAsia" w:ascii="宋体" w:hAnsi="宋体"/>
          <w:b/>
          <w:color w:val="auto"/>
          <w:szCs w:val="21"/>
          <w:highlight w:val="none"/>
        </w:rPr>
        <w:t>23.1</w:t>
      </w:r>
      <w:r>
        <w:rPr>
          <w:rFonts w:hint="eastAsia" w:ascii="宋体" w:hAnsi="宋体"/>
          <w:color w:val="auto"/>
          <w:szCs w:val="21"/>
          <w:highlight w:val="none"/>
          <w:u w:val="thick"/>
        </w:rPr>
        <w:t>评标程序</w:t>
      </w:r>
      <w:r>
        <w:rPr>
          <w:rFonts w:hint="eastAsia" w:ascii="宋体" w:hAnsi="宋体"/>
          <w:color w:val="auto"/>
          <w:szCs w:val="21"/>
          <w:highlight w:val="none"/>
        </w:rPr>
        <w:t>：遵循资格审查、符合性审查、澄清有关问题、比较与评价、推荐中标供应商（或中标候选人）的程序依次进行。</w:t>
      </w:r>
    </w:p>
    <w:p>
      <w:pPr>
        <w:spacing w:line="440" w:lineRule="exact"/>
        <w:rPr>
          <w:rFonts w:ascii="宋体" w:hAnsi="宋体"/>
          <w:color w:val="auto"/>
          <w:szCs w:val="21"/>
          <w:highlight w:val="none"/>
        </w:rPr>
      </w:pPr>
      <w:r>
        <w:rPr>
          <w:rFonts w:hint="eastAsia" w:ascii="宋体" w:hAnsi="宋体"/>
          <w:b/>
          <w:color w:val="auto"/>
          <w:szCs w:val="21"/>
          <w:highlight w:val="none"/>
        </w:rPr>
        <w:t>23.2</w:t>
      </w:r>
      <w:r>
        <w:rPr>
          <w:rFonts w:hint="eastAsia" w:ascii="宋体" w:hAnsi="宋体"/>
          <w:color w:val="auto"/>
          <w:szCs w:val="21"/>
          <w:highlight w:val="none"/>
          <w:u w:val="thick"/>
        </w:rPr>
        <w:t>资格审查</w:t>
      </w:r>
      <w:r>
        <w:rPr>
          <w:rFonts w:hint="eastAsia" w:ascii="宋体" w:hAnsi="宋体"/>
          <w:color w:val="auto"/>
          <w:szCs w:val="21"/>
          <w:highlight w:val="none"/>
        </w:rPr>
        <w:t>：公开招标采购项目开标结束后，采购人或者采购代理机构应当依法对投标人的资格进行审查。详见招标文件第五部分“评标办法”。</w:t>
      </w:r>
    </w:p>
    <w:p>
      <w:pPr>
        <w:spacing w:line="440" w:lineRule="exact"/>
        <w:rPr>
          <w:rFonts w:ascii="宋体" w:hAnsi="宋体"/>
          <w:color w:val="auto"/>
          <w:szCs w:val="21"/>
          <w:highlight w:val="none"/>
        </w:rPr>
      </w:pPr>
      <w:r>
        <w:rPr>
          <w:rFonts w:hint="eastAsia" w:ascii="宋体" w:hAnsi="宋体"/>
          <w:b/>
          <w:color w:val="auto"/>
          <w:szCs w:val="21"/>
          <w:highlight w:val="none"/>
        </w:rPr>
        <w:t>23.3</w:t>
      </w:r>
      <w:r>
        <w:rPr>
          <w:rFonts w:hint="eastAsia" w:ascii="宋体" w:hAnsi="宋体"/>
          <w:color w:val="auto"/>
          <w:szCs w:val="21"/>
          <w:highlight w:val="none"/>
          <w:u w:val="thick"/>
        </w:rPr>
        <w:t>符合性审查</w:t>
      </w:r>
      <w:r>
        <w:rPr>
          <w:rFonts w:hint="eastAsia" w:ascii="宋体" w:hAnsi="宋体"/>
          <w:color w:val="auto"/>
          <w:szCs w:val="21"/>
          <w:highlight w:val="none"/>
        </w:rPr>
        <w:t>：评标委员会应当对符合资格的投标人的投标文件进行符合性审查，以确定其是否满足招标文件的实质性要求。详见招标文件第五部分“评标办法”。</w:t>
      </w:r>
    </w:p>
    <w:p>
      <w:pPr>
        <w:spacing w:line="440" w:lineRule="exact"/>
        <w:rPr>
          <w:rFonts w:ascii="宋体" w:hAnsi="宋体"/>
          <w:color w:val="auto"/>
          <w:szCs w:val="21"/>
          <w:highlight w:val="none"/>
        </w:rPr>
      </w:pPr>
      <w:r>
        <w:rPr>
          <w:rFonts w:hint="eastAsia" w:ascii="宋体" w:hAnsi="宋体"/>
          <w:b/>
          <w:color w:val="auto"/>
          <w:szCs w:val="21"/>
          <w:highlight w:val="none"/>
        </w:rPr>
        <w:t xml:space="preserve">23.4 </w:t>
      </w:r>
      <w:r>
        <w:rPr>
          <w:rFonts w:hint="eastAsia" w:ascii="宋体" w:hAnsi="宋体"/>
          <w:color w:val="auto"/>
          <w:szCs w:val="21"/>
          <w:highlight w:val="none"/>
          <w:u w:val="thick"/>
        </w:rPr>
        <w:t>澄清有关问题</w:t>
      </w:r>
      <w:r>
        <w:rPr>
          <w:rFonts w:hint="eastAsia" w:ascii="宋体" w:hAnsi="宋体"/>
          <w:color w:val="auto"/>
          <w:szCs w:val="21"/>
          <w:highlight w:val="none"/>
        </w:rPr>
        <w:t>：按第</w:t>
      </w:r>
      <w:r>
        <w:rPr>
          <w:rFonts w:hint="eastAsia" w:ascii="宋体" w:hAnsi="宋体"/>
          <w:b/>
          <w:color w:val="auto"/>
          <w:szCs w:val="21"/>
          <w:highlight w:val="none"/>
        </w:rPr>
        <w:t>21</w:t>
      </w:r>
      <w:r>
        <w:rPr>
          <w:rFonts w:hint="eastAsia" w:ascii="宋体" w:hAnsi="宋体"/>
          <w:color w:val="auto"/>
          <w:szCs w:val="21"/>
          <w:highlight w:val="none"/>
        </w:rPr>
        <w:t xml:space="preserve">条规定进行。 </w:t>
      </w:r>
    </w:p>
    <w:p>
      <w:pPr>
        <w:spacing w:line="440" w:lineRule="exact"/>
        <w:rPr>
          <w:rFonts w:ascii="宋体" w:hAnsi="宋体"/>
          <w:color w:val="auto"/>
          <w:szCs w:val="21"/>
          <w:highlight w:val="none"/>
        </w:rPr>
      </w:pPr>
      <w:r>
        <w:rPr>
          <w:rFonts w:hint="eastAsia" w:ascii="宋体" w:hAnsi="宋体"/>
          <w:b/>
          <w:color w:val="auto"/>
          <w:szCs w:val="21"/>
          <w:highlight w:val="none"/>
        </w:rPr>
        <w:t>23.5</w:t>
      </w:r>
      <w:r>
        <w:rPr>
          <w:rFonts w:hint="eastAsia" w:ascii="宋体" w:hAnsi="宋体"/>
          <w:color w:val="auto"/>
          <w:szCs w:val="21"/>
          <w:highlight w:val="none"/>
          <w:u w:val="thick"/>
        </w:rPr>
        <w:t>综合比较与评价</w:t>
      </w:r>
      <w:r>
        <w:rPr>
          <w:rFonts w:hint="eastAsia" w:ascii="宋体" w:hAnsi="宋体"/>
          <w:color w:val="auto"/>
          <w:szCs w:val="21"/>
          <w:highlight w:val="none"/>
        </w:rPr>
        <w:t>：评标委员会应当按照招标文件中规定的评标方法和标准，对符合性审查合格的投标文件进行商务和技术评估，综合比较与评价。</w:t>
      </w:r>
    </w:p>
    <w:p>
      <w:pPr>
        <w:spacing w:line="440" w:lineRule="exact"/>
        <w:rPr>
          <w:rFonts w:ascii="宋体" w:hAnsi="宋体"/>
          <w:b/>
          <w:color w:val="auto"/>
          <w:szCs w:val="21"/>
          <w:highlight w:val="none"/>
        </w:rPr>
      </w:pPr>
      <w:r>
        <w:rPr>
          <w:rFonts w:hint="eastAsia" w:ascii="宋体" w:hAnsi="宋体"/>
          <w:b/>
          <w:color w:val="auto"/>
          <w:szCs w:val="21"/>
          <w:highlight w:val="none"/>
        </w:rPr>
        <w:t xml:space="preserve">23.5.1 </w:t>
      </w:r>
      <w:r>
        <w:rPr>
          <w:rFonts w:hint="eastAsia" w:ascii="宋体" w:hAnsi="宋体"/>
          <w:color w:val="auto"/>
          <w:szCs w:val="21"/>
          <w:highlight w:val="none"/>
          <w:u w:val="thick"/>
        </w:rPr>
        <w:t>商务评价</w:t>
      </w:r>
      <w:r>
        <w:rPr>
          <w:rFonts w:hint="eastAsia" w:ascii="宋体" w:hAnsi="宋体"/>
          <w:color w:val="auto"/>
          <w:szCs w:val="21"/>
          <w:highlight w:val="none"/>
        </w:rPr>
        <w:t>：按照招标文件的要求和“评标标准”对照投标文件的响应进行商务评价，并对其偏差计算相应的商务评分分值。</w:t>
      </w:r>
    </w:p>
    <w:p>
      <w:pPr>
        <w:spacing w:line="440" w:lineRule="exact"/>
        <w:rPr>
          <w:rFonts w:ascii="宋体" w:hAnsi="宋体"/>
          <w:color w:val="auto"/>
          <w:szCs w:val="21"/>
          <w:highlight w:val="none"/>
        </w:rPr>
      </w:pPr>
      <w:r>
        <w:rPr>
          <w:rFonts w:hint="eastAsia" w:ascii="宋体" w:hAnsi="宋体"/>
          <w:b/>
          <w:color w:val="auto"/>
          <w:szCs w:val="21"/>
          <w:highlight w:val="none"/>
        </w:rPr>
        <w:t>23.5.2</w:t>
      </w:r>
      <w:r>
        <w:rPr>
          <w:rFonts w:hint="eastAsia" w:ascii="宋体" w:hAnsi="宋体"/>
          <w:color w:val="auto"/>
          <w:szCs w:val="21"/>
          <w:highlight w:val="none"/>
          <w:u w:val="thick"/>
        </w:rPr>
        <w:t>技术评价</w:t>
      </w:r>
      <w:r>
        <w:rPr>
          <w:rFonts w:hint="eastAsia" w:ascii="宋体" w:hAnsi="宋体"/>
          <w:color w:val="auto"/>
          <w:szCs w:val="21"/>
          <w:highlight w:val="none"/>
        </w:rPr>
        <w:t>：按照招标文件的要求和“评标标准”对照投标文件的响应进行技术评价，评定其偏差程度，并计算其相应的技术评分分值。</w:t>
      </w:r>
    </w:p>
    <w:p>
      <w:pPr>
        <w:spacing w:line="440" w:lineRule="exact"/>
        <w:jc w:val="left"/>
        <w:rPr>
          <w:rFonts w:ascii="宋体" w:hAnsi="宋体"/>
          <w:color w:val="auto"/>
          <w:szCs w:val="21"/>
          <w:highlight w:val="none"/>
        </w:rPr>
      </w:pPr>
      <w:r>
        <w:rPr>
          <w:rFonts w:hint="eastAsia" w:ascii="宋体" w:hAnsi="宋体"/>
          <w:b/>
          <w:color w:val="auto"/>
          <w:szCs w:val="21"/>
          <w:highlight w:val="none"/>
        </w:rPr>
        <w:t>23.5.3</w:t>
      </w:r>
      <w:r>
        <w:rPr>
          <w:rFonts w:hint="eastAsia" w:ascii="宋体" w:hAnsi="宋体"/>
          <w:color w:val="auto"/>
          <w:szCs w:val="21"/>
          <w:highlight w:val="none"/>
          <w:u w:val="thick"/>
        </w:rPr>
        <w:t>综合评价</w:t>
      </w:r>
      <w:r>
        <w:rPr>
          <w:rFonts w:hint="eastAsia" w:ascii="宋体" w:hAnsi="宋体"/>
          <w:color w:val="auto"/>
          <w:szCs w:val="21"/>
          <w:highlight w:val="none"/>
        </w:rPr>
        <w:t>：对经过商务评价、技术评价的投标，按“评标标准”规定的评价办法进行综合评价，做出评标结果排序。</w:t>
      </w:r>
    </w:p>
    <w:p>
      <w:pPr>
        <w:spacing w:line="440" w:lineRule="exact"/>
        <w:jc w:val="left"/>
        <w:rPr>
          <w:rFonts w:ascii="宋体" w:hAnsi="宋体"/>
          <w:color w:val="auto"/>
          <w:szCs w:val="21"/>
          <w:highlight w:val="none"/>
        </w:rPr>
      </w:pPr>
    </w:p>
    <w:p>
      <w:pPr>
        <w:spacing w:line="440" w:lineRule="exact"/>
        <w:rPr>
          <w:rFonts w:ascii="宋体" w:hAnsi="宋体"/>
          <w:b/>
          <w:color w:val="auto"/>
          <w:szCs w:val="21"/>
          <w:highlight w:val="none"/>
        </w:rPr>
      </w:pPr>
      <w:r>
        <w:rPr>
          <w:rFonts w:hint="eastAsia" w:ascii="宋体" w:hAnsi="宋体"/>
          <w:b/>
          <w:color w:val="auto"/>
          <w:szCs w:val="21"/>
          <w:highlight w:val="none"/>
        </w:rPr>
        <w:t>23.6  评标过程处理原则</w:t>
      </w:r>
    </w:p>
    <w:p>
      <w:pPr>
        <w:spacing w:line="440" w:lineRule="exact"/>
        <w:rPr>
          <w:rFonts w:ascii="宋体" w:hAnsi="宋体"/>
          <w:color w:val="auto"/>
          <w:szCs w:val="21"/>
          <w:highlight w:val="none"/>
        </w:rPr>
      </w:pPr>
      <w:r>
        <w:rPr>
          <w:rFonts w:hint="eastAsia" w:ascii="宋体" w:hAnsi="宋体"/>
          <w:b/>
          <w:color w:val="auto"/>
          <w:szCs w:val="21"/>
          <w:highlight w:val="none"/>
        </w:rPr>
        <w:t>23.6.1</w:t>
      </w:r>
      <w:r>
        <w:rPr>
          <w:rFonts w:hint="eastAsia" w:ascii="宋体" w:hAnsi="宋体"/>
          <w:color w:val="auto"/>
          <w:szCs w:val="21"/>
          <w:highlight w:val="none"/>
        </w:rPr>
        <w:t xml:space="preserve">  通过资格审查的投标人不足3家的，不得评标。</w:t>
      </w:r>
    </w:p>
    <w:p>
      <w:pPr>
        <w:spacing w:line="440" w:lineRule="exact"/>
        <w:rPr>
          <w:rFonts w:ascii="宋体" w:hAnsi="宋体"/>
          <w:color w:val="auto"/>
          <w:szCs w:val="21"/>
          <w:highlight w:val="none"/>
        </w:rPr>
      </w:pPr>
      <w:r>
        <w:rPr>
          <w:rFonts w:hint="eastAsia" w:ascii="宋体" w:hAnsi="宋体"/>
          <w:b/>
          <w:color w:val="auto"/>
          <w:szCs w:val="21"/>
          <w:highlight w:val="none"/>
        </w:rPr>
        <w:t xml:space="preserve">23.6.2  </w:t>
      </w:r>
      <w:r>
        <w:rPr>
          <w:rFonts w:hint="eastAsia" w:ascii="宋体" w:hAnsi="宋体"/>
          <w:color w:val="auto"/>
          <w:szCs w:val="21"/>
          <w:highlight w:val="none"/>
        </w:rPr>
        <w:t>投标文件报价出现前后不一致的，除招标文件另有规定外，按照下列规定修正：</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（一）投标文件中开标一览表(报价表)内容与投标文件中相应内容不一致的，以开标一览表(报价表)为准；</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（二）大写金额和小写金额不一致的，以大写金额为准；</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（三）单价金额小数点或者百分比有明显错位的，以开标一览表的总价为准，并修改单价；</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（四）总价金额与按单价汇总金额不一致的，以单价金额计算结果为准。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同时出现两种以上不一致的，按照前款规定的顺序修正。修正后的报价按照投标文件招标文件的规定经投标人确认后产生约束力，投标人不确认的，其投标无效。</w:t>
      </w:r>
    </w:p>
    <w:p>
      <w:pPr>
        <w:spacing w:line="440" w:lineRule="exact"/>
        <w:rPr>
          <w:rFonts w:ascii="宋体" w:hAnsi="宋体"/>
          <w:color w:val="auto"/>
          <w:szCs w:val="21"/>
          <w:highlight w:val="none"/>
        </w:rPr>
      </w:pPr>
      <w:r>
        <w:rPr>
          <w:rFonts w:hint="eastAsia" w:ascii="宋体" w:hAnsi="宋体"/>
          <w:b/>
          <w:color w:val="auto"/>
          <w:szCs w:val="21"/>
          <w:highlight w:val="none"/>
        </w:rPr>
        <w:t>23.6.3</w:t>
      </w:r>
      <w:r>
        <w:rPr>
          <w:rFonts w:hint="eastAsia" w:ascii="宋体" w:hAnsi="宋体"/>
          <w:color w:val="auto"/>
          <w:szCs w:val="21"/>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宋体" w:hAnsi="宋体"/>
          <w:color w:val="auto"/>
          <w:szCs w:val="21"/>
          <w:highlight w:val="none"/>
        </w:rPr>
      </w:pPr>
      <w:r>
        <w:rPr>
          <w:rFonts w:hint="eastAsia" w:ascii="宋体" w:hAnsi="宋体"/>
          <w:b/>
          <w:color w:val="auto"/>
          <w:szCs w:val="21"/>
          <w:highlight w:val="none"/>
        </w:rPr>
        <w:t>23.6.4</w:t>
      </w:r>
      <w:r>
        <w:rPr>
          <w:rFonts w:hint="eastAsia" w:ascii="宋体" w:hAnsi="宋体"/>
          <w:color w:val="auto"/>
          <w:szCs w:val="21"/>
          <w:highlight w:val="none"/>
        </w:rPr>
        <w:t xml:space="preserve">  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rPr>
          <w:rFonts w:ascii="宋体" w:hAnsi="宋体"/>
          <w:color w:val="auto"/>
          <w:szCs w:val="21"/>
          <w:highlight w:val="none"/>
        </w:rPr>
      </w:pPr>
      <w:r>
        <w:rPr>
          <w:rFonts w:hint="eastAsia" w:ascii="宋体" w:hAnsi="宋体"/>
          <w:b/>
          <w:color w:val="auto"/>
          <w:szCs w:val="21"/>
          <w:highlight w:val="none"/>
        </w:rPr>
        <w:t xml:space="preserve">23.6.5 </w:t>
      </w:r>
      <w:r>
        <w:rPr>
          <w:rFonts w:hint="eastAsia" w:ascii="宋体" w:hAnsi="宋体"/>
          <w:color w:val="auto"/>
          <w:szCs w:val="21"/>
          <w:highlight w:val="none"/>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非单一产品采购项目，招标文件中应载明核心产品，多家投标人提供的核心产品品牌均相同的，按上述规定处理。</w:t>
      </w:r>
    </w:p>
    <w:p>
      <w:pPr>
        <w:spacing w:line="440" w:lineRule="exact"/>
        <w:rPr>
          <w:rFonts w:ascii="宋体" w:hAnsi="宋体"/>
          <w:color w:val="auto"/>
          <w:szCs w:val="21"/>
          <w:highlight w:val="none"/>
        </w:rPr>
      </w:pPr>
      <w:r>
        <w:rPr>
          <w:rFonts w:hint="eastAsia" w:ascii="宋体" w:hAnsi="宋体"/>
          <w:b/>
          <w:color w:val="auto"/>
          <w:szCs w:val="21"/>
          <w:highlight w:val="none"/>
        </w:rPr>
        <w:t>23.6.6</w:t>
      </w:r>
      <w:r>
        <w:rPr>
          <w:rFonts w:hint="eastAsia" w:ascii="宋体" w:hAnsi="宋体"/>
          <w:color w:val="auto"/>
          <w:szCs w:val="21"/>
          <w:highlight w:val="none"/>
        </w:rPr>
        <w:t xml:space="preserve">  有下列情形之一的，视为投标人串通投标，其投标无效：</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（一）不同投标人的投标文件由同一单位或者个人编制；</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（二）不同投标人委托同一单位或者个人办理投标事宜；</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（三）不同投标人的投标文件载明的项目管理成员或者联系人员为同一人；</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（四）不同投标人的投标文件异常一致或者投标报价呈规律性差异；</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（五）不同投标人的投标文件相互混装；</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（六）不同投标人的投标保证金从同一单位或者个人的账户转出。</w:t>
      </w:r>
    </w:p>
    <w:p>
      <w:pPr>
        <w:spacing w:line="440" w:lineRule="exact"/>
        <w:rPr>
          <w:rFonts w:ascii="宋体" w:hAnsi="宋体"/>
          <w:color w:val="auto"/>
          <w:szCs w:val="21"/>
          <w:highlight w:val="none"/>
        </w:rPr>
      </w:pPr>
      <w:r>
        <w:rPr>
          <w:rFonts w:hint="eastAsia" w:ascii="宋体" w:hAnsi="宋体"/>
          <w:b/>
          <w:color w:val="auto"/>
          <w:szCs w:val="21"/>
          <w:highlight w:val="none"/>
        </w:rPr>
        <w:t>23.6.7</w:t>
      </w:r>
      <w:r>
        <w:rPr>
          <w:rFonts w:hint="eastAsia" w:ascii="宋体" w:hAnsi="宋体"/>
          <w:color w:val="auto"/>
          <w:szCs w:val="21"/>
          <w:highlight w:val="none"/>
        </w:rPr>
        <w:t xml:space="preserve">  投标人存在下列情况之一的，投标无效：</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（一）未按照招标文件的规定提交投标保证金的；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（二）投标文件未按招标文件要求签署、盖章的；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（三）不具备招标文件中规定的资格要求的；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（四）报价超过招标文件中规定的预算金额或者最高限价的；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（五）投标文件含有采购人不能接受的附加条件的；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（六）法律、法规和招标文件规定的其他无效情形。</w:t>
      </w:r>
    </w:p>
    <w:p>
      <w:pPr>
        <w:spacing w:line="440" w:lineRule="exact"/>
        <w:rPr>
          <w:rFonts w:ascii="宋体" w:hAnsi="宋体"/>
          <w:color w:val="auto"/>
          <w:szCs w:val="21"/>
          <w:highlight w:val="none"/>
        </w:rPr>
      </w:pPr>
      <w:r>
        <w:rPr>
          <w:rFonts w:hint="eastAsia" w:ascii="宋体" w:hAnsi="宋体"/>
          <w:b/>
          <w:color w:val="auto"/>
          <w:szCs w:val="21"/>
          <w:highlight w:val="none"/>
        </w:rPr>
        <w:t xml:space="preserve">23.6.8  </w:t>
      </w:r>
      <w:r>
        <w:rPr>
          <w:rFonts w:hint="eastAsia" w:ascii="宋体" w:hAnsi="宋体"/>
          <w:color w:val="auto"/>
          <w:szCs w:val="21"/>
          <w:highlight w:val="none"/>
        </w:rPr>
        <w:t>评标结果汇总完成后，除下列情形外，任何人不得修改评标结果：</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（一）分值汇总计算错误的;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（二）分项评分超出评分标准范围的;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（三）评标委员会成员对客观评审因素评分不一致的;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（四）经评标委员会认定评分畸高、畸低的。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投标人对本条第一款情形提出质疑的，采购人或者采购代理机构可以组织原评标委员会进行重新评审，重新评审改变评标结果的，应当书面报告本级财政部门。</w:t>
      </w:r>
    </w:p>
    <w:p>
      <w:pPr>
        <w:spacing w:line="440" w:lineRule="exact"/>
        <w:rPr>
          <w:rFonts w:ascii="宋体" w:hAnsi="宋体"/>
          <w:color w:val="auto"/>
          <w:szCs w:val="21"/>
          <w:highlight w:val="none"/>
        </w:rPr>
      </w:pPr>
      <w:r>
        <w:rPr>
          <w:rFonts w:hint="eastAsia" w:ascii="宋体" w:hAnsi="宋体"/>
          <w:b/>
          <w:color w:val="auto"/>
          <w:szCs w:val="21"/>
          <w:highlight w:val="none"/>
        </w:rPr>
        <w:t xml:space="preserve">23.6.9  </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00" w:lineRule="exact"/>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24.  推荐中标候选人</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24.1</w:t>
      </w:r>
      <w:r>
        <w:rPr>
          <w:rFonts w:hint="eastAsia" w:ascii="宋体" w:hAnsi="宋体" w:cs="宋体"/>
          <w:color w:val="auto"/>
          <w:kern w:val="0"/>
          <w:szCs w:val="21"/>
          <w:highlight w:val="none"/>
        </w:rPr>
        <w:t xml:space="preserve">  评标委员会按照招标文件第五部分“评标标准”推荐中标候选人。</w:t>
      </w:r>
    </w:p>
    <w:p>
      <w:pPr>
        <w:spacing w:line="400" w:lineRule="exact"/>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25.  定标</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25.1  </w:t>
      </w:r>
      <w:r>
        <w:rPr>
          <w:rFonts w:hint="eastAsia" w:ascii="宋体" w:hAnsi="宋体" w:cs="宋体"/>
          <w:color w:val="auto"/>
          <w:szCs w:val="21"/>
          <w:highlight w:val="none"/>
        </w:rPr>
        <w:t>确定中标人。本项目由评标委员会推荐中标候选人，采购人不得在评标委员会推荐的中标候选人以外确定中标候选人。</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25.2</w:t>
      </w:r>
      <w:r>
        <w:rPr>
          <w:rFonts w:hint="eastAsia" w:ascii="宋体" w:hAnsi="宋体" w:cs="宋体"/>
          <w:color w:val="auto"/>
          <w:szCs w:val="21"/>
          <w:highlight w:val="none"/>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25.3</w:t>
      </w:r>
      <w:r>
        <w:rPr>
          <w:rFonts w:hint="eastAsia" w:ascii="宋体" w:hAnsi="宋体" w:cs="宋体"/>
          <w:color w:val="auto"/>
          <w:szCs w:val="21"/>
          <w:highlight w:val="none"/>
        </w:rPr>
        <w:t xml:space="preserve">  采购代理机构自中标人确定之日起2个工作日内，在发布招标公告的网站上对中标结果进行公示，中标结果公告期限为1个工作日。</w:t>
      </w:r>
    </w:p>
    <w:p>
      <w:pPr>
        <w:spacing w:line="400" w:lineRule="exact"/>
        <w:rPr>
          <w:rFonts w:ascii="宋体" w:hAnsi="宋体" w:cs="宋体"/>
          <w:color w:val="auto"/>
          <w:kern w:val="0"/>
          <w:szCs w:val="21"/>
          <w:highlight w:val="none"/>
        </w:rPr>
      </w:pPr>
    </w:p>
    <w:p>
      <w:pPr>
        <w:jc w:val="center"/>
        <w:outlineLvl w:val="1"/>
        <w:rPr>
          <w:rFonts w:ascii="宋体" w:hAnsi="宋体" w:cs="宋体"/>
          <w:b/>
          <w:color w:val="auto"/>
          <w:sz w:val="28"/>
          <w:highlight w:val="none"/>
        </w:rPr>
      </w:pPr>
      <w:bookmarkStart w:id="84" w:name="_Toc440276567"/>
      <w:bookmarkStart w:id="85" w:name="_Toc13920"/>
      <w:r>
        <w:rPr>
          <w:rFonts w:hint="eastAsia" w:ascii="宋体" w:hAnsi="宋体" w:cs="宋体"/>
          <w:b/>
          <w:color w:val="auto"/>
          <w:sz w:val="28"/>
          <w:highlight w:val="none"/>
        </w:rPr>
        <w:t>G  授予合同</w:t>
      </w:r>
      <w:bookmarkEnd w:id="84"/>
      <w:bookmarkEnd w:id="85"/>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26.  中标通知</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26.1 </w:t>
      </w:r>
      <w:r>
        <w:rPr>
          <w:rFonts w:hint="eastAsia" w:ascii="宋体" w:hAnsi="宋体" w:cs="宋体"/>
          <w:color w:val="auto"/>
          <w:kern w:val="0"/>
          <w:szCs w:val="21"/>
          <w:highlight w:val="none"/>
        </w:rPr>
        <w:t xml:space="preserve"> 在公告中标结果的同时，采购代理机构应当向中标人发出中标通知书。</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26.2</w:t>
      </w:r>
      <w:r>
        <w:rPr>
          <w:rFonts w:hint="eastAsia" w:ascii="宋体" w:hAnsi="宋体" w:cs="宋体"/>
          <w:color w:val="auto"/>
          <w:kern w:val="0"/>
          <w:szCs w:val="21"/>
          <w:highlight w:val="none"/>
        </w:rPr>
        <w:t xml:space="preserve">  中标通知书发出后，采购人不得违法改变中标结果，中标人无正当理由不得放弃中标。</w:t>
      </w:r>
    </w:p>
    <w:p>
      <w:pPr>
        <w:spacing w:line="400" w:lineRule="exact"/>
        <w:ind w:firstLine="420" w:firstLineChars="200"/>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27.  签订合同</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27.1</w:t>
      </w:r>
      <w:r>
        <w:rPr>
          <w:rFonts w:hint="eastAsia" w:ascii="宋体" w:hAnsi="宋体" w:cs="宋体"/>
          <w:color w:val="auto"/>
          <w:kern w:val="0"/>
          <w:szCs w:val="21"/>
          <w:highlight w:val="none"/>
        </w:rPr>
        <w:t xml:space="preserve">  中标人应在采购代理机构发出中标通知书的30日内，应与采购人签订合同。所签订的合同不得对招标文件确定的事项和中标人投标文件作实质性修改。</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27.2</w:t>
      </w:r>
      <w:r>
        <w:rPr>
          <w:rFonts w:hint="eastAsia" w:ascii="宋体" w:hAnsi="宋体" w:cs="宋体"/>
          <w:color w:val="auto"/>
          <w:kern w:val="0"/>
          <w:szCs w:val="21"/>
          <w:highlight w:val="none"/>
        </w:rPr>
        <w:t xml:space="preserve">  除中标通知书外，招标文件、中标人的投标文件及评标过程中有关的澄清文件也均应作为合同附件。</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27.3</w:t>
      </w:r>
      <w:r>
        <w:rPr>
          <w:rFonts w:hint="eastAsia" w:ascii="宋体" w:hAnsi="宋体" w:cs="宋体"/>
          <w:color w:val="auto"/>
          <w:kern w:val="0"/>
          <w:szCs w:val="21"/>
          <w:highlight w:val="none"/>
        </w:rPr>
        <w:t xml:space="preserve">  中标人拒绝与采购人签订合同的，采购人可以按照评标报告推荐的中标候选人名单排序，确定下一候选人为中标人，也可以重新开展政府采购活动。</w:t>
      </w:r>
    </w:p>
    <w:p>
      <w:pPr>
        <w:spacing w:line="400" w:lineRule="exact"/>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28.  履约保证金</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28.1</w:t>
      </w:r>
      <w:r>
        <w:rPr>
          <w:rFonts w:hint="eastAsia" w:ascii="宋体" w:hAnsi="宋体" w:cs="宋体"/>
          <w:color w:val="auto"/>
          <w:kern w:val="0"/>
          <w:szCs w:val="21"/>
          <w:highlight w:val="none"/>
        </w:rPr>
        <w:t xml:space="preserve">  招标文件若有规定，在签订合同后，采购人按合同支付定金的同时，中标人应向采购人提供履约保证金。</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28.2</w:t>
      </w:r>
      <w:r>
        <w:rPr>
          <w:rFonts w:hint="eastAsia" w:ascii="宋体" w:hAnsi="宋体" w:cs="宋体"/>
          <w:color w:val="auto"/>
          <w:kern w:val="0"/>
          <w:szCs w:val="21"/>
          <w:highlight w:val="none"/>
        </w:rPr>
        <w:t xml:space="preserve">  若中标人不按上述第28.1条要求提供，采购代理机构和采购人有权按前述第13.6条规定处理并撤销其中标资格。在这种情况下，采购代理机构和采购人可按本须知第27.3条规定另选中标人。</w:t>
      </w:r>
    </w:p>
    <w:p>
      <w:pPr>
        <w:spacing w:line="400" w:lineRule="exact"/>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29.  履约验收</w:t>
      </w:r>
    </w:p>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采购人负责对中标人的履约行为进行验收，验收符合相关政策法规和地方标准。</w:t>
      </w:r>
    </w:p>
    <w:p>
      <w:pPr>
        <w:spacing w:line="400" w:lineRule="exact"/>
        <w:rPr>
          <w:rFonts w:ascii="宋体" w:hAnsi="宋体" w:cs="宋体"/>
          <w:color w:val="auto"/>
          <w:kern w:val="0"/>
          <w:szCs w:val="21"/>
          <w:highlight w:val="none"/>
        </w:rPr>
      </w:pPr>
    </w:p>
    <w:p>
      <w:pPr>
        <w:jc w:val="center"/>
        <w:outlineLvl w:val="1"/>
        <w:rPr>
          <w:rFonts w:ascii="宋体" w:hAnsi="宋体" w:cs="宋体"/>
          <w:b/>
          <w:color w:val="auto"/>
          <w:sz w:val="28"/>
          <w:highlight w:val="none"/>
        </w:rPr>
      </w:pPr>
      <w:bookmarkStart w:id="86" w:name="_Toc440276568"/>
      <w:bookmarkStart w:id="87" w:name="_Toc24265"/>
      <w:r>
        <w:rPr>
          <w:rFonts w:hint="eastAsia" w:ascii="宋体" w:hAnsi="宋体" w:cs="宋体"/>
          <w:b/>
          <w:color w:val="auto"/>
          <w:sz w:val="28"/>
          <w:highlight w:val="none"/>
        </w:rPr>
        <w:t>H  采购代理机构服务费</w:t>
      </w:r>
      <w:bookmarkEnd w:id="86"/>
      <w:bookmarkEnd w:id="87"/>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30.  采购代理机构服务费</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30.1</w:t>
      </w:r>
      <w:r>
        <w:rPr>
          <w:rFonts w:hint="eastAsia" w:ascii="宋体" w:hAnsi="宋体" w:cs="宋体"/>
          <w:color w:val="auto"/>
          <w:kern w:val="0"/>
          <w:szCs w:val="21"/>
          <w:highlight w:val="none"/>
        </w:rPr>
        <w:t>中标人应在中标结果公示结束后向采购代理机构支付采购代理机构服务费。</w:t>
      </w:r>
    </w:p>
    <w:p>
      <w:pPr>
        <w:spacing w:line="400" w:lineRule="exact"/>
        <w:rPr>
          <w:rFonts w:ascii="宋体" w:hAnsi="宋体" w:cs="宋体"/>
          <w:color w:val="auto"/>
          <w:kern w:val="0"/>
          <w:szCs w:val="21"/>
          <w:highlight w:val="none"/>
        </w:rPr>
      </w:pPr>
    </w:p>
    <w:p>
      <w:pPr>
        <w:spacing w:line="400" w:lineRule="exact"/>
        <w:rPr>
          <w:rFonts w:ascii="宋体" w:hAnsi="宋体" w:cs="宋体"/>
          <w:color w:val="auto"/>
          <w:kern w:val="0"/>
          <w:szCs w:val="21"/>
          <w:highlight w:val="none"/>
        </w:rPr>
      </w:pPr>
    </w:p>
    <w:p>
      <w:pPr>
        <w:jc w:val="center"/>
        <w:outlineLvl w:val="1"/>
        <w:rPr>
          <w:rFonts w:ascii="宋体" w:hAnsi="宋体" w:cs="宋体"/>
          <w:b/>
          <w:color w:val="auto"/>
          <w:sz w:val="28"/>
          <w:highlight w:val="none"/>
        </w:rPr>
      </w:pPr>
      <w:bookmarkStart w:id="88" w:name="_Toc18693"/>
      <w:r>
        <w:rPr>
          <w:rFonts w:hint="eastAsia" w:ascii="宋体" w:hAnsi="宋体" w:cs="宋体"/>
          <w:b/>
          <w:color w:val="auto"/>
          <w:sz w:val="28"/>
          <w:highlight w:val="none"/>
        </w:rPr>
        <w:t>Ⅰ  信息发布媒体</w:t>
      </w:r>
      <w:bookmarkEnd w:id="88"/>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31.  有关发布项目招标公告、中标公示的媒体：</w:t>
      </w:r>
    </w:p>
    <w:p>
      <w:pPr>
        <w:spacing w:line="360" w:lineRule="auto"/>
        <w:ind w:left="788" w:hanging="787" w:hangingChars="375"/>
        <w:rPr>
          <w:rFonts w:ascii="宋体" w:hAnsi="宋体" w:cs="宋体"/>
          <w:color w:val="auto"/>
          <w:szCs w:val="21"/>
          <w:highlight w:val="none"/>
        </w:rPr>
      </w:pPr>
      <w:r>
        <w:rPr>
          <w:rFonts w:hint="eastAsia" w:ascii="宋体" w:hAnsi="宋体" w:cs="宋体"/>
          <w:color w:val="auto"/>
          <w:szCs w:val="21"/>
          <w:highlight w:val="none"/>
        </w:rPr>
        <w:t>浙江政府采购网</w:t>
      </w:r>
      <w:r>
        <w:rPr>
          <w:rFonts w:ascii="宋体" w:hAnsi="宋体"/>
          <w:color w:val="auto"/>
          <w:highlight w:val="none"/>
          <w:u w:val="single"/>
        </w:rPr>
        <w:t>https://zfcg.czt.zj.gov.cn/</w:t>
      </w:r>
    </w:p>
    <w:p>
      <w:pPr>
        <w:spacing w:line="360" w:lineRule="auto"/>
        <w:rPr>
          <w:rStyle w:val="40"/>
          <w:rFonts w:ascii="宋体" w:hAnsi="宋体"/>
          <w:color w:val="auto"/>
          <w:szCs w:val="21"/>
          <w:highlight w:val="none"/>
        </w:rPr>
      </w:pPr>
      <w:r>
        <w:rPr>
          <w:rFonts w:hint="eastAsia" w:ascii="宋体" w:hAnsi="宋体"/>
          <w:color w:val="auto"/>
          <w:szCs w:val="21"/>
          <w:highlight w:val="none"/>
        </w:rPr>
        <w:t>宁波政府采购网</w:t>
      </w:r>
      <w:r>
        <w:rPr>
          <w:color w:val="auto"/>
          <w:highlight w:val="none"/>
        </w:rPr>
        <w:fldChar w:fldCharType="begin"/>
      </w:r>
      <w:r>
        <w:rPr>
          <w:color w:val="auto"/>
          <w:highlight w:val="none"/>
        </w:rPr>
        <w:instrText xml:space="preserve"> HYPERLINK "http://www.nbzfcg.cn" </w:instrText>
      </w:r>
      <w:r>
        <w:rPr>
          <w:color w:val="auto"/>
          <w:highlight w:val="none"/>
        </w:rPr>
        <w:fldChar w:fldCharType="separate"/>
      </w:r>
      <w:r>
        <w:rPr>
          <w:rStyle w:val="40"/>
          <w:rFonts w:ascii="宋体" w:hAnsi="宋体"/>
          <w:color w:val="auto"/>
          <w:szCs w:val="21"/>
          <w:highlight w:val="none"/>
        </w:rPr>
        <w:t>www.nbzfcg.cn</w:t>
      </w:r>
      <w:r>
        <w:rPr>
          <w:rFonts w:ascii="宋体" w:hAnsi="宋体"/>
          <w:color w:val="auto"/>
          <w:szCs w:val="21"/>
          <w:highlight w:val="none"/>
        </w:rPr>
        <w:fldChar w:fldCharType="end"/>
      </w:r>
    </w:p>
    <w:p>
      <w:pPr>
        <w:spacing w:line="360" w:lineRule="auto"/>
        <w:rPr>
          <w:rFonts w:hint="eastAsia" w:ascii="宋体" w:hAnsi="宋体" w:eastAsia="宋体" w:cs="Times New Roman"/>
          <w:color w:val="auto"/>
          <w:szCs w:val="21"/>
          <w:highlight w:val="none"/>
        </w:rPr>
      </w:pPr>
      <w:bookmarkStart w:id="89" w:name="_Toc2771"/>
      <w:r>
        <w:rPr>
          <w:rFonts w:hint="eastAsia" w:ascii="宋体" w:hAnsi="宋体" w:eastAsia="宋体" w:cs="Times New Roman"/>
          <w:color w:val="auto"/>
          <w:szCs w:val="21"/>
          <w:highlight w:val="none"/>
        </w:rPr>
        <w:t>宁波公共资源交易网</w:t>
      </w:r>
      <w:r>
        <w:rPr>
          <w:rFonts w:hint="eastAsia" w:ascii="宋体" w:hAnsi="宋体" w:eastAsia="宋体" w:cs="Times New Roman"/>
          <w:color w:val="auto"/>
          <w:szCs w:val="21"/>
          <w:highlight w:val="none"/>
          <w:lang w:val="en-US" w:eastAsia="zh-CN"/>
        </w:rPr>
        <w:t>鄞州</w:t>
      </w:r>
      <w:r>
        <w:rPr>
          <w:rFonts w:hint="eastAsia" w:ascii="宋体" w:hAnsi="宋体" w:eastAsia="宋体" w:cs="Times New Roman"/>
          <w:color w:val="auto"/>
          <w:szCs w:val="21"/>
          <w:highlight w:val="none"/>
        </w:rPr>
        <w:t>区分网</w:t>
      </w:r>
      <w:r>
        <w:rPr>
          <w:rFonts w:hint="eastAsia" w:ascii="宋体" w:hAnsi="宋体" w:eastAsia="宋体" w:cs="Times New Roman"/>
          <w:color w:val="auto"/>
          <w:szCs w:val="21"/>
          <w:highlight w:val="none"/>
          <w:u w:val="single"/>
        </w:rPr>
        <w:t>http://bidding.ningbo.gov.cn/yinzhou/</w:t>
      </w:r>
    </w:p>
    <w:p>
      <w:pPr>
        <w:jc w:val="center"/>
        <w:outlineLvl w:val="1"/>
        <w:rPr>
          <w:rFonts w:ascii="宋体" w:hAnsi="宋体" w:cs="宋体"/>
          <w:b/>
          <w:color w:val="auto"/>
          <w:sz w:val="28"/>
          <w:highlight w:val="none"/>
        </w:rPr>
      </w:pPr>
      <w:r>
        <w:rPr>
          <w:rFonts w:hint="eastAsia" w:ascii="宋体" w:hAnsi="宋体" w:cs="宋体"/>
          <w:b/>
          <w:color w:val="auto"/>
          <w:sz w:val="28"/>
          <w:highlight w:val="none"/>
        </w:rPr>
        <w:t>J  其他规定</w:t>
      </w:r>
      <w:bookmarkEnd w:id="89"/>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32.  其他规定</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32.1</w:t>
      </w:r>
      <w:r>
        <w:rPr>
          <w:rFonts w:hint="eastAsia" w:ascii="宋体" w:hAnsi="宋体" w:cs="宋体"/>
          <w:color w:val="auto"/>
          <w:kern w:val="0"/>
          <w:szCs w:val="21"/>
          <w:highlight w:val="none"/>
        </w:rPr>
        <w:t xml:space="preserve"> 自购买招标文件之日起，投标人应保证其提供的联系方式</w:t>
      </w:r>
      <w:r>
        <w:rPr>
          <w:rFonts w:ascii="宋体" w:hAnsi="宋体" w:cs="宋体"/>
          <w:color w:val="auto"/>
          <w:kern w:val="0"/>
          <w:szCs w:val="21"/>
          <w:highlight w:val="none"/>
        </w:rPr>
        <w:t>(</w:t>
      </w:r>
      <w:r>
        <w:rPr>
          <w:rFonts w:hint="eastAsia" w:ascii="宋体" w:hAnsi="宋体" w:cs="宋体"/>
          <w:color w:val="auto"/>
          <w:kern w:val="0"/>
          <w:szCs w:val="21"/>
          <w:highlight w:val="none"/>
        </w:rPr>
        <w:t>电话、传真、电子邮件</w:t>
      </w:r>
      <w:r>
        <w:rPr>
          <w:rFonts w:ascii="宋体" w:hAnsi="宋体" w:cs="宋体"/>
          <w:color w:val="auto"/>
          <w:kern w:val="0"/>
          <w:szCs w:val="21"/>
          <w:highlight w:val="none"/>
        </w:rPr>
        <w:t>)</w:t>
      </w:r>
      <w:r>
        <w:rPr>
          <w:rFonts w:hint="eastAsia" w:ascii="宋体" w:hAnsi="宋体" w:cs="宋体"/>
          <w:color w:val="auto"/>
          <w:kern w:val="0"/>
          <w:szCs w:val="21"/>
          <w:highlight w:val="none"/>
        </w:rPr>
        <w:t>一直有效，以保证往来函件</w:t>
      </w:r>
      <w:r>
        <w:rPr>
          <w:rFonts w:ascii="宋体" w:hAnsi="宋体" w:cs="宋体"/>
          <w:color w:val="auto"/>
          <w:kern w:val="0"/>
          <w:szCs w:val="21"/>
          <w:highlight w:val="none"/>
        </w:rPr>
        <w:t>(</w:t>
      </w:r>
      <w:r>
        <w:rPr>
          <w:rFonts w:hint="eastAsia" w:ascii="宋体" w:hAnsi="宋体" w:cs="宋体"/>
          <w:color w:val="auto"/>
          <w:kern w:val="0"/>
          <w:szCs w:val="21"/>
          <w:highlight w:val="none"/>
        </w:rPr>
        <w:t>招标文件的澄清、修改等</w:t>
      </w:r>
      <w:r>
        <w:rPr>
          <w:rFonts w:ascii="宋体" w:hAnsi="宋体" w:cs="宋体"/>
          <w:color w:val="auto"/>
          <w:kern w:val="0"/>
          <w:szCs w:val="21"/>
          <w:highlight w:val="none"/>
        </w:rPr>
        <w:t>)</w:t>
      </w:r>
      <w:r>
        <w:rPr>
          <w:rFonts w:hint="eastAsia" w:ascii="宋体" w:hAnsi="宋体" w:cs="宋体"/>
          <w:color w:val="auto"/>
          <w:kern w:val="0"/>
          <w:szCs w:val="21"/>
          <w:highlight w:val="none"/>
        </w:rPr>
        <w:t>能及时通知投标人，并能及时反馈信息，否则采购人不承担由此引起的一切后果。</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32.2</w:t>
      </w:r>
      <w:r>
        <w:rPr>
          <w:rFonts w:hint="eastAsia" w:ascii="宋体" w:hAnsi="宋体" w:cs="宋体"/>
          <w:color w:val="auto"/>
          <w:kern w:val="0"/>
          <w:szCs w:val="21"/>
          <w:highlight w:val="none"/>
        </w:rPr>
        <w:t xml:space="preserve"> 知识产权</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32.2.1</w:t>
      </w:r>
      <w:r>
        <w:rPr>
          <w:rFonts w:ascii="宋体" w:hAnsi="宋体" w:cs="宋体"/>
          <w:color w:val="auto"/>
          <w:kern w:val="0"/>
          <w:szCs w:val="21"/>
          <w:highlight w:val="none"/>
        </w:rPr>
        <w:t>投标人应保证提交的全部文件不会侵犯其</w:t>
      </w:r>
      <w:r>
        <w:rPr>
          <w:rFonts w:hint="eastAsia" w:ascii="宋体" w:hAnsi="宋体" w:cs="宋体"/>
          <w:color w:val="auto"/>
          <w:kern w:val="0"/>
          <w:szCs w:val="21"/>
          <w:highlight w:val="none"/>
        </w:rPr>
        <w:t>他</w:t>
      </w:r>
      <w:r>
        <w:rPr>
          <w:rFonts w:ascii="宋体" w:hAnsi="宋体" w:cs="宋体"/>
          <w:color w:val="auto"/>
          <w:kern w:val="0"/>
          <w:szCs w:val="21"/>
          <w:highlight w:val="none"/>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color w:val="auto"/>
          <w:kern w:val="0"/>
          <w:szCs w:val="21"/>
          <w:highlight w:val="none"/>
        </w:rPr>
        <w:t>采购人</w:t>
      </w:r>
      <w:r>
        <w:rPr>
          <w:rFonts w:ascii="宋体" w:hAnsi="宋体" w:cs="宋体"/>
          <w:color w:val="auto"/>
          <w:kern w:val="0"/>
          <w:szCs w:val="21"/>
          <w:highlight w:val="none"/>
        </w:rPr>
        <w:t>使用其</w:t>
      </w:r>
      <w:r>
        <w:rPr>
          <w:rFonts w:hint="eastAsia" w:ascii="宋体" w:hAnsi="宋体" w:cs="宋体"/>
          <w:color w:val="auto"/>
          <w:kern w:val="0"/>
          <w:szCs w:val="21"/>
          <w:highlight w:val="none"/>
        </w:rPr>
        <w:t>成果</w:t>
      </w:r>
      <w:r>
        <w:rPr>
          <w:rFonts w:ascii="宋体" w:hAnsi="宋体" w:cs="宋体"/>
          <w:color w:val="auto"/>
          <w:kern w:val="0"/>
          <w:szCs w:val="21"/>
          <w:highlight w:val="none"/>
        </w:rPr>
        <w:t>不会侵犯他人的知识产权或专</w:t>
      </w:r>
      <w:r>
        <w:rPr>
          <w:rFonts w:hint="eastAsia" w:ascii="宋体" w:hAnsi="宋体" w:cs="宋体"/>
          <w:color w:val="auto"/>
          <w:kern w:val="0"/>
          <w:szCs w:val="21"/>
          <w:highlight w:val="none"/>
        </w:rPr>
        <w:t>有</w:t>
      </w:r>
      <w:r>
        <w:rPr>
          <w:rFonts w:ascii="宋体" w:hAnsi="宋体" w:cs="宋体"/>
          <w:color w:val="auto"/>
          <w:kern w:val="0"/>
          <w:szCs w:val="21"/>
          <w:highlight w:val="none"/>
        </w:rPr>
        <w:t>技术或商业秘密，并应当使</w:t>
      </w:r>
      <w:r>
        <w:rPr>
          <w:rFonts w:hint="eastAsia" w:ascii="宋体" w:hAnsi="宋体" w:cs="宋体"/>
          <w:color w:val="auto"/>
          <w:kern w:val="0"/>
          <w:szCs w:val="21"/>
          <w:highlight w:val="none"/>
        </w:rPr>
        <w:t>采购人</w:t>
      </w:r>
      <w:r>
        <w:rPr>
          <w:rFonts w:ascii="宋体" w:hAnsi="宋体" w:cs="宋体"/>
          <w:color w:val="auto"/>
          <w:kern w:val="0"/>
          <w:szCs w:val="21"/>
          <w:highlight w:val="none"/>
        </w:rPr>
        <w:t>免于因被指控侵犯上述权利产生的任何责任，</w:t>
      </w:r>
      <w:r>
        <w:rPr>
          <w:rFonts w:hint="eastAsia" w:ascii="宋体" w:hAnsi="宋体" w:cs="宋体"/>
          <w:color w:val="auto"/>
          <w:kern w:val="0"/>
          <w:szCs w:val="21"/>
          <w:highlight w:val="none"/>
        </w:rPr>
        <w:t>若采购人</w:t>
      </w:r>
      <w:r>
        <w:rPr>
          <w:rFonts w:ascii="宋体" w:hAnsi="宋体" w:cs="宋体"/>
          <w:color w:val="auto"/>
          <w:kern w:val="0"/>
          <w:szCs w:val="21"/>
          <w:highlight w:val="none"/>
        </w:rPr>
        <w:t>使用其</w:t>
      </w:r>
      <w:r>
        <w:rPr>
          <w:rFonts w:hint="eastAsia" w:ascii="宋体" w:hAnsi="宋体" w:cs="宋体"/>
          <w:color w:val="auto"/>
          <w:kern w:val="0"/>
          <w:szCs w:val="21"/>
          <w:highlight w:val="none"/>
        </w:rPr>
        <w:t>成果</w:t>
      </w:r>
      <w:r>
        <w:rPr>
          <w:rFonts w:ascii="宋体" w:hAnsi="宋体" w:cs="宋体"/>
          <w:color w:val="auto"/>
          <w:kern w:val="0"/>
          <w:szCs w:val="21"/>
          <w:highlight w:val="none"/>
        </w:rPr>
        <w:t>被指控侵犯上述权利</w:t>
      </w:r>
      <w:r>
        <w:rPr>
          <w:rFonts w:hint="eastAsia" w:ascii="宋体" w:hAnsi="宋体" w:cs="宋体"/>
          <w:color w:val="auto"/>
          <w:kern w:val="0"/>
          <w:szCs w:val="21"/>
          <w:highlight w:val="none"/>
        </w:rPr>
        <w:t>，投标人应</w:t>
      </w:r>
      <w:r>
        <w:rPr>
          <w:rFonts w:ascii="宋体" w:hAnsi="宋体" w:cs="宋体"/>
          <w:color w:val="auto"/>
          <w:kern w:val="0"/>
          <w:szCs w:val="21"/>
          <w:highlight w:val="none"/>
        </w:rPr>
        <w:t>赔偿</w:t>
      </w:r>
      <w:r>
        <w:rPr>
          <w:rFonts w:hint="eastAsia" w:ascii="宋体" w:hAnsi="宋体" w:cs="宋体"/>
          <w:color w:val="auto"/>
          <w:kern w:val="0"/>
          <w:szCs w:val="21"/>
          <w:highlight w:val="none"/>
        </w:rPr>
        <w:t>采购人</w:t>
      </w:r>
      <w:r>
        <w:rPr>
          <w:rFonts w:ascii="宋体" w:hAnsi="宋体" w:cs="宋体"/>
          <w:color w:val="auto"/>
          <w:kern w:val="0"/>
          <w:szCs w:val="21"/>
          <w:highlight w:val="none"/>
        </w:rPr>
        <w:t>由此而产生的费用和损失。</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32.2.2</w:t>
      </w:r>
      <w:r>
        <w:rPr>
          <w:rFonts w:hint="eastAsia" w:ascii="宋体" w:hAnsi="宋体" w:cs="宋体"/>
          <w:color w:val="auto"/>
          <w:kern w:val="0"/>
          <w:szCs w:val="21"/>
          <w:highlight w:val="none"/>
        </w:rPr>
        <w:t xml:space="preserve"> 投标人中标后参与本项目研究的资料、成果等知识产权归采购人，有关的信息未经采购人同意不得向第三方泄露。</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32.2.3 </w:t>
      </w:r>
      <w:r>
        <w:rPr>
          <w:rFonts w:hint="eastAsia" w:ascii="宋体" w:hAnsi="宋体" w:cs="宋体"/>
          <w:color w:val="auto"/>
          <w:kern w:val="0"/>
          <w:szCs w:val="21"/>
          <w:highlight w:val="none"/>
        </w:rPr>
        <w:t>采购人在招商引资、产权转让的商业活动中，所使用本项目有关的任何成果，无需征得中标供应商同意，中标供应商应积极配合提供相关资料和成果；中标供应商有责任对涉及项目的重要信息进行保密；中标供应商如因为项目的开展需要向第三方提供资料,必须提前得到采购人批准。</w:t>
      </w:r>
    </w:p>
    <w:p>
      <w:pPr>
        <w:spacing w:line="400" w:lineRule="exact"/>
        <w:rPr>
          <w:rFonts w:ascii="宋体" w:hAnsi="宋体" w:cs="宋体"/>
          <w:b/>
          <w:color w:val="auto"/>
          <w:szCs w:val="21"/>
          <w:highlight w:val="none"/>
        </w:rPr>
      </w:pPr>
    </w:p>
    <w:p>
      <w:pPr>
        <w:spacing w:line="440" w:lineRule="exact"/>
        <w:rPr>
          <w:rFonts w:ascii="宋体" w:hAnsi="宋体"/>
          <w:b/>
          <w:color w:val="auto"/>
          <w:szCs w:val="21"/>
          <w:highlight w:val="none"/>
        </w:rPr>
      </w:pPr>
      <w:r>
        <w:rPr>
          <w:rFonts w:hint="eastAsia" w:ascii="宋体" w:hAnsi="宋体"/>
          <w:b/>
          <w:color w:val="auto"/>
          <w:szCs w:val="21"/>
          <w:highlight w:val="none"/>
        </w:rPr>
        <w:t>33.  政府采购活动中有关中小企业的相关规定（采购进口产品项目不适用）</w:t>
      </w:r>
    </w:p>
    <w:p>
      <w:pPr>
        <w:spacing w:line="400" w:lineRule="exact"/>
        <w:rPr>
          <w:rFonts w:ascii="宋体" w:hAnsi="宋体"/>
          <w:color w:val="auto"/>
          <w:szCs w:val="21"/>
          <w:highlight w:val="none"/>
        </w:rPr>
      </w:pPr>
      <w:r>
        <w:rPr>
          <w:rFonts w:hint="eastAsia" w:ascii="宋体" w:hAnsi="宋体"/>
          <w:b/>
          <w:bCs/>
          <w:color w:val="auto"/>
          <w:szCs w:val="21"/>
          <w:highlight w:val="none"/>
        </w:rPr>
        <w:t xml:space="preserve">33.1 </w:t>
      </w:r>
      <w:r>
        <w:rPr>
          <w:rFonts w:hint="eastAsia" w:ascii="宋体" w:hAnsi="宋体"/>
          <w:color w:val="auto"/>
          <w:szCs w:val="21"/>
          <w:highlight w:val="none"/>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00" w:lineRule="exact"/>
        <w:rPr>
          <w:rFonts w:ascii="宋体" w:hAnsi="宋体"/>
          <w:color w:val="auto"/>
          <w:szCs w:val="21"/>
          <w:highlight w:val="none"/>
        </w:rPr>
      </w:pPr>
      <w:r>
        <w:rPr>
          <w:rFonts w:hint="eastAsia" w:ascii="宋体" w:hAnsi="宋体"/>
          <w:b/>
          <w:bCs/>
          <w:color w:val="auto"/>
          <w:szCs w:val="21"/>
          <w:highlight w:val="none"/>
        </w:rPr>
        <w:t xml:space="preserve">33.2 </w:t>
      </w:r>
      <w:r>
        <w:rPr>
          <w:rFonts w:hint="eastAsia" w:ascii="宋体" w:hAnsi="宋体"/>
          <w:color w:val="auto"/>
          <w:szCs w:val="21"/>
          <w:highlight w:val="none"/>
        </w:rPr>
        <w:t xml:space="preserve"> 在政府采购活动中，投标人提供的货物、工程或者服务符合下列情形的，享受本办法规定的中小企业扶持政策：</w:t>
      </w:r>
    </w:p>
    <w:p>
      <w:pPr>
        <w:spacing w:line="400" w:lineRule="exact"/>
        <w:rPr>
          <w:rFonts w:ascii="宋体" w:hAnsi="宋体"/>
          <w:color w:val="auto"/>
          <w:szCs w:val="21"/>
          <w:highlight w:val="none"/>
        </w:rPr>
      </w:pPr>
      <w:r>
        <w:rPr>
          <w:rFonts w:hint="eastAsia" w:ascii="宋体" w:hAnsi="宋体"/>
          <w:color w:val="auto"/>
          <w:szCs w:val="21"/>
          <w:highlight w:val="none"/>
        </w:rPr>
        <w:t>（一）在货物采购项目中，货物由中小企业制造，即货物由中小企业生产且使用该中小企业商号或者注册商标；</w:t>
      </w:r>
    </w:p>
    <w:p>
      <w:pPr>
        <w:spacing w:line="400" w:lineRule="exact"/>
        <w:rPr>
          <w:rFonts w:ascii="宋体" w:hAnsi="宋体"/>
          <w:color w:val="auto"/>
          <w:szCs w:val="21"/>
          <w:highlight w:val="none"/>
        </w:rPr>
      </w:pPr>
      <w:r>
        <w:rPr>
          <w:rFonts w:hint="eastAsia" w:ascii="宋体" w:hAnsi="宋体"/>
          <w:color w:val="auto"/>
          <w:szCs w:val="21"/>
          <w:highlight w:val="none"/>
        </w:rPr>
        <w:t>（二）在工程采购项目中，工程由中小企业承建，即工程施工单位为中小企业；</w:t>
      </w:r>
    </w:p>
    <w:p>
      <w:pPr>
        <w:spacing w:line="400" w:lineRule="exact"/>
        <w:rPr>
          <w:rFonts w:ascii="宋体" w:hAnsi="宋体"/>
          <w:color w:val="auto"/>
          <w:szCs w:val="21"/>
          <w:highlight w:val="none"/>
        </w:rPr>
      </w:pPr>
      <w:r>
        <w:rPr>
          <w:rFonts w:hint="eastAsia" w:ascii="宋体" w:hAnsi="宋体"/>
          <w:color w:val="auto"/>
          <w:szCs w:val="21"/>
          <w:highlight w:val="none"/>
        </w:rPr>
        <w:t>（三）在服务采购项目中，服务由中小企业承接，即提供服务的人员为中小企业依照《中华人民共和国劳动合同法》订立劳动合同的从业人员。</w:t>
      </w:r>
    </w:p>
    <w:p>
      <w:pPr>
        <w:spacing w:line="400" w:lineRule="exact"/>
        <w:rPr>
          <w:rFonts w:ascii="宋体" w:hAnsi="宋体"/>
          <w:color w:val="auto"/>
          <w:szCs w:val="21"/>
          <w:highlight w:val="none"/>
        </w:rPr>
      </w:pPr>
      <w:r>
        <w:rPr>
          <w:rFonts w:hint="eastAsia" w:ascii="宋体" w:hAnsi="宋体"/>
          <w:color w:val="auto"/>
          <w:szCs w:val="21"/>
          <w:highlight w:val="none"/>
        </w:rPr>
        <w:t>在货物采购项目中，投标人提供的货物既有中小企业制造货物，也有大型企业制造货物的，不享受本办法规定的中小企业扶持政策。</w:t>
      </w:r>
    </w:p>
    <w:p>
      <w:pPr>
        <w:spacing w:line="400" w:lineRule="exact"/>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pPr>
        <w:spacing w:line="400" w:lineRule="exact"/>
        <w:rPr>
          <w:rFonts w:ascii="宋体" w:hAnsi="宋体"/>
          <w:color w:val="auto"/>
          <w:szCs w:val="21"/>
          <w:highlight w:val="none"/>
        </w:rPr>
      </w:pPr>
      <w:r>
        <w:rPr>
          <w:rFonts w:hint="eastAsia" w:ascii="宋体" w:hAnsi="宋体"/>
          <w:b/>
          <w:bCs/>
          <w:color w:val="auto"/>
          <w:szCs w:val="21"/>
          <w:highlight w:val="none"/>
        </w:rPr>
        <w:t>33.3</w:t>
      </w:r>
      <w:r>
        <w:rPr>
          <w:rFonts w:hint="eastAsia" w:ascii="宋体" w:hAnsi="宋体"/>
          <w:color w:val="auto"/>
          <w:szCs w:val="21"/>
          <w:highlight w:val="none"/>
        </w:rPr>
        <w:t xml:space="preserve">  中小企业参加政府采购活动，应当出具《中小企业声明函》（格式见附件），否则不得享受相关中小企业扶持政策。</w:t>
      </w:r>
    </w:p>
    <w:p>
      <w:pPr>
        <w:spacing w:line="400" w:lineRule="exact"/>
        <w:rPr>
          <w:rFonts w:ascii="宋体" w:hAnsi="宋体"/>
          <w:color w:val="auto"/>
          <w:szCs w:val="21"/>
          <w:highlight w:val="none"/>
        </w:rPr>
      </w:pPr>
      <w:r>
        <w:rPr>
          <w:rFonts w:hint="eastAsia" w:ascii="宋体" w:hAnsi="宋体"/>
          <w:b/>
          <w:bCs/>
          <w:color w:val="auto"/>
          <w:szCs w:val="21"/>
          <w:highlight w:val="none"/>
        </w:rPr>
        <w:t>33.4</w:t>
      </w:r>
      <w:r>
        <w:rPr>
          <w:rFonts w:hint="eastAsia" w:ascii="宋体" w:hAnsi="宋体"/>
          <w:color w:val="auto"/>
          <w:szCs w:val="21"/>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pPr>
        <w:spacing w:line="400" w:lineRule="exact"/>
        <w:rPr>
          <w:rFonts w:ascii="宋体" w:hAnsi="宋体"/>
          <w:color w:val="auto"/>
          <w:szCs w:val="21"/>
          <w:highlight w:val="none"/>
        </w:rPr>
      </w:pPr>
      <w:r>
        <w:rPr>
          <w:rFonts w:hint="eastAsia" w:ascii="宋体" w:hAnsi="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spacing w:line="400" w:lineRule="exact"/>
        <w:rPr>
          <w:rFonts w:ascii="宋体" w:hAnsi="宋体"/>
          <w:color w:val="auto"/>
          <w:szCs w:val="21"/>
          <w:highlight w:val="none"/>
        </w:rPr>
      </w:pPr>
      <w:r>
        <w:rPr>
          <w:rFonts w:hint="eastAsia" w:ascii="宋体" w:hAnsi="宋体"/>
          <w:color w:val="auto"/>
          <w:szCs w:val="21"/>
          <w:highlight w:val="none"/>
        </w:rPr>
        <w:t>价格扣除比例对小型企业和微型企业同等对待，不作区分。具体采购项目的价格扣除比例，由采购人根据采购标的相关行业平均利润率、市场竞争状况等，在招标文件内确定。</w:t>
      </w:r>
    </w:p>
    <w:p>
      <w:pPr>
        <w:spacing w:line="400" w:lineRule="exact"/>
        <w:rPr>
          <w:rFonts w:ascii="宋体" w:hAnsi="宋体"/>
          <w:color w:val="auto"/>
          <w:szCs w:val="21"/>
          <w:highlight w:val="none"/>
        </w:rPr>
      </w:pPr>
      <w:r>
        <w:rPr>
          <w:rFonts w:hint="eastAsia" w:ascii="宋体" w:hAnsi="宋体"/>
          <w:b/>
          <w:bCs/>
          <w:color w:val="auto"/>
          <w:szCs w:val="21"/>
          <w:highlight w:val="none"/>
        </w:rPr>
        <w:t>33.5</w:t>
      </w:r>
      <w:r>
        <w:rPr>
          <w:rFonts w:hint="eastAsia" w:ascii="宋体" w:hAnsi="宋体"/>
          <w:color w:val="auto"/>
          <w:szCs w:val="21"/>
          <w:highlight w:val="none"/>
        </w:rPr>
        <w:t xml:space="preserve"> 享受扶持政策获得政府采购合同的，小微企业不得将合同分包给大中型企业，中型企业不得将合同分包给大型企业。</w:t>
      </w:r>
    </w:p>
    <w:p>
      <w:pPr>
        <w:spacing w:line="400" w:lineRule="exact"/>
        <w:rPr>
          <w:rFonts w:ascii="宋体" w:hAnsi="宋体"/>
          <w:color w:val="auto"/>
          <w:szCs w:val="21"/>
          <w:highlight w:val="none"/>
        </w:rPr>
      </w:pPr>
      <w:r>
        <w:rPr>
          <w:rFonts w:hint="eastAsia" w:ascii="宋体" w:hAnsi="宋体"/>
          <w:b/>
          <w:bCs/>
          <w:color w:val="auto"/>
          <w:szCs w:val="21"/>
          <w:highlight w:val="none"/>
        </w:rPr>
        <w:t xml:space="preserve">33.6 </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rPr>
          <w:rFonts w:ascii="宋体" w:hAnsi="宋体"/>
          <w:color w:val="auto"/>
          <w:szCs w:val="21"/>
          <w:highlight w:val="none"/>
        </w:rPr>
      </w:pPr>
      <w:r>
        <w:rPr>
          <w:rFonts w:hint="eastAsia" w:ascii="宋体" w:hAnsi="宋体"/>
          <w:b/>
          <w:bCs/>
          <w:color w:val="auto"/>
          <w:szCs w:val="21"/>
          <w:highlight w:val="none"/>
        </w:rPr>
        <w:t>33.7</w:t>
      </w:r>
      <w:r>
        <w:rPr>
          <w:rFonts w:hint="eastAsia" w:ascii="宋体" w:hAnsi="宋体"/>
          <w:color w:val="auto"/>
          <w:szCs w:val="21"/>
          <w:highlight w:val="none"/>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该通知附件），并对声明的真实性负责,未能提供上述证明文件的不予认可。</w:t>
      </w:r>
    </w:p>
    <w:p>
      <w:pPr>
        <w:spacing w:line="400" w:lineRule="exact"/>
        <w:rPr>
          <w:rFonts w:ascii="宋体" w:hAnsi="宋体"/>
          <w:color w:val="auto"/>
          <w:szCs w:val="21"/>
          <w:highlight w:val="none"/>
        </w:rPr>
      </w:pPr>
      <w:r>
        <w:rPr>
          <w:rFonts w:hint="eastAsia" w:ascii="宋体" w:hAnsi="宋体"/>
          <w:b/>
          <w:bCs/>
          <w:color w:val="auto"/>
          <w:szCs w:val="21"/>
          <w:highlight w:val="none"/>
        </w:rPr>
        <w:t>33.8</w:t>
      </w:r>
      <w:r>
        <w:rPr>
          <w:rFonts w:hint="eastAsia" w:ascii="宋体" w:hAnsi="宋体"/>
          <w:color w:val="auto"/>
          <w:szCs w:val="21"/>
          <w:highlight w:val="none"/>
        </w:rPr>
        <w:t xml:space="preserve"> 执行财政部、国家环保总局《关于环境标志产品政府采购实施的意见》，政府采购优先采购环境标志产品，本项目将对环境标志产品给予一定幅度的价格扣除或技术加分，具体见 “评标标准”说明。</w:t>
      </w:r>
    </w:p>
    <w:p>
      <w:pPr>
        <w:spacing w:line="400" w:lineRule="exact"/>
        <w:rPr>
          <w:rFonts w:ascii="宋体" w:hAnsi="宋体"/>
          <w:color w:val="auto"/>
          <w:szCs w:val="21"/>
          <w:highlight w:val="none"/>
        </w:rPr>
      </w:pPr>
      <w:r>
        <w:rPr>
          <w:rFonts w:hint="eastAsia" w:ascii="宋体" w:hAnsi="宋体"/>
          <w:b/>
          <w:bCs/>
          <w:color w:val="auto"/>
          <w:szCs w:val="21"/>
          <w:highlight w:val="none"/>
        </w:rPr>
        <w:t>33.9</w:t>
      </w:r>
      <w:r>
        <w:rPr>
          <w:rFonts w:hint="eastAsia" w:ascii="宋体" w:hAnsi="宋体"/>
          <w:color w:val="auto"/>
          <w:szCs w:val="21"/>
          <w:highlight w:val="none"/>
        </w:rPr>
        <w:t xml:space="preserve"> 执行财政部、国家发展改革委员会《节能产品政府采购实施意见》，政府采购优先采购节能产品，本项目将对节能产品给予一定幅度的价格扣除或技术加分，具体见招标文件“评标标准”说明。</w:t>
      </w:r>
    </w:p>
    <w:p>
      <w:pPr>
        <w:spacing w:line="400" w:lineRule="exact"/>
        <w:rPr>
          <w:rFonts w:ascii="宋体" w:hAnsi="宋体"/>
          <w:color w:val="auto"/>
          <w:szCs w:val="21"/>
          <w:highlight w:val="none"/>
        </w:rPr>
      </w:pPr>
      <w:r>
        <w:rPr>
          <w:rFonts w:hint="eastAsia" w:ascii="宋体" w:hAnsi="宋体"/>
          <w:b/>
          <w:bCs/>
          <w:color w:val="auto"/>
          <w:szCs w:val="21"/>
          <w:highlight w:val="none"/>
        </w:rPr>
        <w:t>33.10</w:t>
      </w:r>
      <w:r>
        <w:rPr>
          <w:rFonts w:hint="eastAsia" w:ascii="宋体" w:hAnsi="宋体"/>
          <w:color w:val="auto"/>
          <w:szCs w:val="21"/>
          <w:highlight w:val="none"/>
        </w:rPr>
        <w:t xml:space="preserve"> 进口产品采购需符合“财政部关于印发《政府采购进口产品管理办法》的通知（财库[2007]119号）”第四、八、九、十、十一条的规定。</w:t>
      </w: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r>
        <w:rPr>
          <w:rFonts w:hint="eastAsia" w:ascii="宋体" w:hAnsi="宋体"/>
          <w:b/>
          <w:color w:val="auto"/>
          <w:szCs w:val="21"/>
          <w:highlight w:val="none"/>
        </w:rPr>
        <w:t>34.招标文件对投标人质疑的相关规定</w:t>
      </w:r>
    </w:p>
    <w:p>
      <w:pPr>
        <w:spacing w:line="400" w:lineRule="exact"/>
        <w:rPr>
          <w:rFonts w:ascii="宋体" w:hAnsi="宋体"/>
          <w:color w:val="auto"/>
          <w:szCs w:val="21"/>
          <w:highlight w:val="none"/>
        </w:rPr>
      </w:pPr>
      <w:r>
        <w:rPr>
          <w:rFonts w:hint="eastAsia" w:ascii="宋体" w:hAnsi="宋体"/>
          <w:b/>
          <w:color w:val="auto"/>
          <w:szCs w:val="21"/>
          <w:highlight w:val="none"/>
        </w:rPr>
        <w:t>34.1</w:t>
      </w:r>
      <w:r>
        <w:rPr>
          <w:rFonts w:hint="eastAsia" w:ascii="宋体" w:hAnsi="宋体" w:cs="宋体"/>
          <w:color w:val="auto"/>
          <w:kern w:val="0"/>
          <w:szCs w:val="21"/>
          <w:highlight w:val="none"/>
        </w:rPr>
        <w:t>供应商应当自知道或者应当知道其合法权益受到损害之日起7个工作日内提出质疑。</w:t>
      </w:r>
      <w:r>
        <w:rPr>
          <w:rFonts w:hint="eastAsia" w:ascii="宋体" w:hAnsi="宋体"/>
          <w:color w:val="auto"/>
          <w:szCs w:val="21"/>
          <w:highlight w:val="none"/>
        </w:rPr>
        <w:t>提出质疑的有效期计算，依照下列规定：</w:t>
      </w:r>
    </w:p>
    <w:p>
      <w:pPr>
        <w:spacing w:line="400" w:lineRule="exact"/>
        <w:ind w:firstLine="199" w:firstLineChars="95"/>
        <w:rPr>
          <w:rFonts w:ascii="宋体" w:hAnsi="宋体"/>
          <w:color w:val="auto"/>
          <w:szCs w:val="21"/>
          <w:highlight w:val="none"/>
        </w:rPr>
      </w:pPr>
      <w:r>
        <w:rPr>
          <w:rFonts w:hint="eastAsia" w:ascii="宋体" w:hAnsi="宋体"/>
          <w:color w:val="auto"/>
          <w:szCs w:val="21"/>
          <w:highlight w:val="none"/>
        </w:rPr>
        <w:t>（一）对采购信息公告提出质疑的，应当在采购信息公告发布之日起7个工作日内提出。</w:t>
      </w:r>
    </w:p>
    <w:p>
      <w:pPr>
        <w:spacing w:line="400" w:lineRule="exact"/>
        <w:ind w:firstLine="199" w:firstLineChars="95"/>
        <w:rPr>
          <w:rFonts w:ascii="宋体" w:hAnsi="宋体"/>
          <w:color w:val="auto"/>
          <w:szCs w:val="21"/>
          <w:highlight w:val="none"/>
        </w:rPr>
      </w:pPr>
      <w:r>
        <w:rPr>
          <w:rFonts w:hint="eastAsia" w:ascii="宋体" w:hAnsi="宋体"/>
          <w:color w:val="auto"/>
          <w:szCs w:val="21"/>
          <w:highlight w:val="none"/>
        </w:rPr>
        <w:t>（二）对招标文件提出质疑的，应当在获取招标文件或者招标文件公告期限届满之日起7个工作日内提出。</w:t>
      </w:r>
    </w:p>
    <w:p>
      <w:pPr>
        <w:spacing w:line="400" w:lineRule="exact"/>
        <w:ind w:firstLine="199" w:firstLineChars="95"/>
        <w:rPr>
          <w:rFonts w:ascii="宋体" w:hAnsi="宋体"/>
          <w:color w:val="auto"/>
          <w:szCs w:val="21"/>
          <w:highlight w:val="none"/>
        </w:rPr>
      </w:pPr>
      <w:r>
        <w:rPr>
          <w:rFonts w:hint="eastAsia" w:ascii="宋体" w:hAnsi="宋体"/>
          <w:color w:val="auto"/>
          <w:szCs w:val="21"/>
          <w:highlight w:val="none"/>
        </w:rPr>
        <w:t>（三）对采购过程提出质疑的，应当在招标文件接收、开标、评标工作、宣布评标结果等环节结束之日起7个工作日内提出。</w:t>
      </w:r>
    </w:p>
    <w:p>
      <w:pPr>
        <w:spacing w:line="400" w:lineRule="exact"/>
        <w:ind w:firstLine="199" w:firstLineChars="95"/>
        <w:rPr>
          <w:rFonts w:ascii="宋体" w:hAnsi="宋体"/>
          <w:color w:val="auto"/>
          <w:szCs w:val="21"/>
          <w:highlight w:val="none"/>
        </w:rPr>
      </w:pPr>
      <w:r>
        <w:rPr>
          <w:rFonts w:hint="eastAsia" w:ascii="宋体" w:hAnsi="宋体"/>
          <w:color w:val="auto"/>
          <w:szCs w:val="21"/>
          <w:highlight w:val="none"/>
        </w:rPr>
        <w:t>（四）对采购结果提出质疑的，应当在采购结果公告期限届满或书面通知（书面通知可以采用电子邮件、传真方式）采购结果之日起7个工作日内提出，未按规定在发布采购结果公告同时书面通知采购结果的，以供应商实际知道采购结果之日起计算。</w:t>
      </w:r>
    </w:p>
    <w:p>
      <w:pPr>
        <w:spacing w:line="400" w:lineRule="exact"/>
        <w:rPr>
          <w:rFonts w:ascii="宋体" w:hAnsi="宋体"/>
          <w:color w:val="auto"/>
          <w:szCs w:val="21"/>
          <w:highlight w:val="none"/>
        </w:rPr>
      </w:pPr>
      <w:r>
        <w:rPr>
          <w:rFonts w:hint="eastAsia" w:ascii="宋体" w:hAnsi="宋体"/>
          <w:b/>
          <w:color w:val="auto"/>
          <w:szCs w:val="21"/>
          <w:highlight w:val="none"/>
        </w:rPr>
        <w:t>34.2</w:t>
      </w:r>
      <w:r>
        <w:rPr>
          <w:rFonts w:hint="eastAsia" w:ascii="宋体" w:hAnsi="宋体" w:cs="宋体"/>
          <w:color w:val="auto"/>
          <w:szCs w:val="21"/>
          <w:highlight w:val="none"/>
        </w:rPr>
        <w:t xml:space="preserve">  对采购信息公告内容提出质疑的，不限制质疑主体。未依法获取招标文件的，不得就招标文件提出质疑；未提交投标文件的供应商，视为与采购结果没有利害关系，不得就采购响应截止时间后的采购过程、采购结果提出质疑。</w:t>
      </w:r>
    </w:p>
    <w:p>
      <w:pPr>
        <w:spacing w:line="400" w:lineRule="exact"/>
        <w:rPr>
          <w:rFonts w:ascii="宋体" w:hAnsi="宋体"/>
          <w:color w:val="auto"/>
          <w:szCs w:val="21"/>
          <w:highlight w:val="none"/>
        </w:rPr>
      </w:pPr>
      <w:r>
        <w:rPr>
          <w:rFonts w:hint="eastAsia" w:ascii="宋体" w:hAnsi="宋体"/>
          <w:b/>
          <w:color w:val="auto"/>
          <w:szCs w:val="21"/>
          <w:highlight w:val="none"/>
        </w:rPr>
        <w:t>34.3</w:t>
      </w:r>
      <w:r>
        <w:rPr>
          <w:rFonts w:hint="eastAsia" w:ascii="宋体" w:hAnsi="宋体"/>
          <w:color w:val="auto"/>
          <w:szCs w:val="21"/>
          <w:highlight w:val="none"/>
        </w:rPr>
        <w:t xml:space="preserve">  供应商提出质疑应当提交质疑函和必要的证明材料，质疑函应当面以书面形式提出，质疑函格式和内容须符合财政部《质疑函范本》要求，供应商可到中国政府采购网自行下载财政部《质疑函范本》。</w:t>
      </w:r>
    </w:p>
    <w:p>
      <w:pPr>
        <w:spacing w:line="400" w:lineRule="exact"/>
        <w:rPr>
          <w:rFonts w:ascii="宋体" w:hAnsi="宋体"/>
          <w:color w:val="auto"/>
          <w:szCs w:val="21"/>
          <w:highlight w:val="none"/>
        </w:rPr>
      </w:pPr>
      <w:r>
        <w:rPr>
          <w:rFonts w:hint="eastAsia" w:ascii="宋体" w:hAnsi="宋体"/>
          <w:b/>
          <w:color w:val="auto"/>
          <w:szCs w:val="21"/>
          <w:highlight w:val="none"/>
        </w:rPr>
        <w:t>34.4</w:t>
      </w:r>
      <w:r>
        <w:rPr>
          <w:rFonts w:hint="eastAsia" w:ascii="宋体" w:hAnsi="宋体"/>
          <w:color w:val="auto"/>
          <w:szCs w:val="21"/>
          <w:highlight w:val="none"/>
        </w:rPr>
        <w:t xml:space="preserve">  接收书面质疑函的方式：质疑人可通过送达、邮寄、传真、邮件的形式提交书面质疑函，通过邮寄方式提交的书面质疑函以被质疑人签收邮件之日为收到书面质疑文件之日，通过传真或邮件方式提交的书面质疑函以被质疑人收到书面质疑文件原件之日为收到书面质疑文件之日。采购人和采购代理机构接收质疑函的联系方式：见本招标文件第一章有关联系方式。</w:t>
      </w:r>
    </w:p>
    <w:p>
      <w:pPr>
        <w:spacing w:line="400" w:lineRule="exact"/>
        <w:rPr>
          <w:rFonts w:ascii="宋体" w:hAnsi="宋体"/>
          <w:color w:val="auto"/>
          <w:szCs w:val="21"/>
          <w:highlight w:val="none"/>
        </w:rPr>
      </w:pPr>
      <w:r>
        <w:rPr>
          <w:rFonts w:hint="eastAsia" w:ascii="宋体" w:hAnsi="宋体"/>
          <w:b/>
          <w:color w:val="auto"/>
          <w:szCs w:val="21"/>
          <w:highlight w:val="none"/>
        </w:rPr>
        <w:t>34.5</w:t>
      </w:r>
      <w:r>
        <w:rPr>
          <w:rFonts w:hint="eastAsia" w:ascii="宋体" w:hAnsi="宋体"/>
          <w:color w:val="auto"/>
          <w:szCs w:val="21"/>
          <w:highlight w:val="none"/>
        </w:rPr>
        <w:t>. 供应商对采购人或采购代理机构的质疑答复不满意或者采购人或采购代理机构未在规定时间内作出答复的，可以在答复期满后十五个工作日内向同级采购监管部门投诉。</w:t>
      </w:r>
    </w:p>
    <w:p>
      <w:pPr>
        <w:spacing w:line="440" w:lineRule="exact"/>
        <w:ind w:firstLine="105" w:firstLineChars="50"/>
        <w:rPr>
          <w:rFonts w:ascii="宋体" w:hAnsi="宋体"/>
          <w:color w:val="auto"/>
          <w:szCs w:val="21"/>
          <w:highlight w:val="none"/>
        </w:rPr>
      </w:pPr>
    </w:p>
    <w:p>
      <w:pPr>
        <w:spacing w:line="440" w:lineRule="exact"/>
        <w:rPr>
          <w:rFonts w:ascii="宋体" w:hAnsi="宋体"/>
          <w:color w:val="auto"/>
          <w:szCs w:val="21"/>
          <w:highlight w:val="none"/>
        </w:rPr>
      </w:pPr>
      <w:r>
        <w:rPr>
          <w:rFonts w:hint="eastAsia" w:ascii="宋体" w:hAnsi="宋体"/>
          <w:b/>
          <w:color w:val="auto"/>
          <w:szCs w:val="21"/>
          <w:highlight w:val="none"/>
        </w:rPr>
        <w:t>35.联合体规定（本项目不适用）</w:t>
      </w:r>
    </w:p>
    <w:p>
      <w:pPr>
        <w:spacing w:line="440" w:lineRule="exact"/>
        <w:rPr>
          <w:rFonts w:ascii="宋体" w:hAnsi="宋体"/>
          <w:color w:val="auto"/>
          <w:szCs w:val="21"/>
          <w:highlight w:val="none"/>
        </w:rPr>
      </w:pPr>
      <w:r>
        <w:rPr>
          <w:rFonts w:hint="eastAsia" w:ascii="宋体" w:hAnsi="宋体"/>
          <w:b/>
          <w:color w:val="auto"/>
          <w:szCs w:val="21"/>
          <w:highlight w:val="none"/>
        </w:rPr>
        <w:t>35.1</w:t>
      </w:r>
      <w:r>
        <w:rPr>
          <w:rFonts w:hint="eastAsia" w:ascii="宋体" w:hAnsi="宋体"/>
          <w:color w:val="auto"/>
          <w:szCs w:val="21"/>
          <w:highlight w:val="none"/>
        </w:rPr>
        <w:t xml:space="preserve">  两个以上的自然人、法人或者其他组织可以组成一个联合体，以一个供应商的身份共同参加政府采购。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spacing w:line="440" w:lineRule="exact"/>
        <w:rPr>
          <w:rFonts w:ascii="宋体" w:hAnsi="宋体"/>
          <w:color w:val="auto"/>
          <w:szCs w:val="21"/>
          <w:highlight w:val="none"/>
        </w:rPr>
      </w:pPr>
      <w:r>
        <w:rPr>
          <w:rFonts w:hint="eastAsia" w:ascii="宋体" w:hAnsi="宋体"/>
          <w:b/>
          <w:color w:val="auto"/>
          <w:szCs w:val="21"/>
          <w:highlight w:val="none"/>
        </w:rPr>
        <w:t>35.2</w:t>
      </w:r>
      <w:r>
        <w:rPr>
          <w:rFonts w:hint="eastAsia" w:ascii="宋体" w:hAnsi="宋体"/>
          <w:color w:val="auto"/>
          <w:szCs w:val="21"/>
          <w:highlight w:val="none"/>
        </w:rPr>
        <w:t xml:space="preserve">  联合体中有同类资质的投标人按照联合体分工承担相同工作的，按照资质等级较低的投标人认定资质等级。</w:t>
      </w:r>
    </w:p>
    <w:p>
      <w:pPr>
        <w:spacing w:line="440" w:lineRule="exact"/>
        <w:rPr>
          <w:rFonts w:ascii="宋体" w:hAnsi="宋体"/>
          <w:color w:val="auto"/>
          <w:szCs w:val="21"/>
          <w:highlight w:val="none"/>
        </w:rPr>
      </w:pPr>
      <w:r>
        <w:rPr>
          <w:rFonts w:hint="eastAsia" w:ascii="宋体" w:hAnsi="宋体"/>
          <w:b/>
          <w:color w:val="auto"/>
          <w:szCs w:val="21"/>
          <w:highlight w:val="none"/>
        </w:rPr>
        <w:t xml:space="preserve">35.3 </w:t>
      </w:r>
      <w:r>
        <w:rPr>
          <w:rFonts w:hint="eastAsia" w:ascii="宋体" w:hAnsi="宋体"/>
          <w:color w:val="auto"/>
          <w:szCs w:val="21"/>
          <w:highlight w:val="none"/>
        </w:rPr>
        <w:t xml:space="preserve"> 以联合体形式参加政府采购活动的，联合体各方不得再单独参加或者与其他投标人另外组成联合体参加同一标项号的政府采购活动。</w:t>
      </w:r>
    </w:p>
    <w:p>
      <w:pPr>
        <w:spacing w:line="440" w:lineRule="exact"/>
        <w:rPr>
          <w:rFonts w:ascii="宋体" w:hAnsi="宋体"/>
          <w:color w:val="auto"/>
          <w:szCs w:val="21"/>
          <w:highlight w:val="none"/>
        </w:rPr>
        <w:sectPr>
          <w:headerReference r:id="rId12" w:type="default"/>
          <w:pgSz w:w="11907" w:h="16840"/>
          <w:pgMar w:top="1276" w:right="1701" w:bottom="1428" w:left="1701" w:header="720" w:footer="720" w:gutter="0"/>
          <w:cols w:space="720" w:num="1"/>
          <w:docGrid w:type="linesAndChars" w:linePitch="286" w:charSpace="0"/>
        </w:sectPr>
      </w:pPr>
    </w:p>
    <w:p>
      <w:pPr>
        <w:spacing w:line="400" w:lineRule="exact"/>
        <w:ind w:firstLine="102" w:firstLineChars="49"/>
        <w:rPr>
          <w:rFonts w:ascii="宋体" w:hAnsi="宋体" w:cs="宋体"/>
          <w:color w:val="auto"/>
          <w:kern w:val="0"/>
          <w:szCs w:val="21"/>
          <w:highlight w:val="none"/>
        </w:rPr>
      </w:pPr>
    </w:p>
    <w:p>
      <w:pPr>
        <w:pStyle w:val="5"/>
        <w:spacing w:line="440" w:lineRule="exact"/>
        <w:rPr>
          <w:rFonts w:ascii="宋体" w:hAnsi="宋体"/>
          <w:color w:val="auto"/>
          <w:sz w:val="21"/>
          <w:szCs w:val="21"/>
          <w:highlight w:val="none"/>
        </w:rPr>
      </w:pPr>
    </w:p>
    <w:bookmarkEnd w:id="51"/>
    <w:bookmarkEnd w:id="52"/>
    <w:bookmarkEnd w:id="53"/>
    <w:bookmarkEnd w:id="54"/>
    <w:bookmarkEnd w:id="55"/>
    <w:bookmarkEnd w:id="56"/>
    <w:bookmarkEnd w:id="57"/>
    <w:bookmarkEnd w:id="58"/>
    <w:p>
      <w:pPr>
        <w:spacing w:line="440" w:lineRule="exact"/>
        <w:ind w:firstLine="110" w:firstLineChars="50"/>
        <w:rPr>
          <w:rFonts w:ascii="宋体" w:hAnsi="宋体"/>
          <w:color w:val="auto"/>
          <w:sz w:val="22"/>
          <w:szCs w:val="22"/>
          <w:highlight w:val="none"/>
        </w:rPr>
        <w:sectPr>
          <w:type w:val="continuous"/>
          <w:pgSz w:w="11907" w:h="16840"/>
          <w:pgMar w:top="1111" w:right="1701" w:bottom="1428" w:left="1701" w:header="720" w:footer="720" w:gutter="0"/>
          <w:cols w:space="720" w:num="1"/>
          <w:docGrid w:type="linesAndChars" w:linePitch="286" w:charSpace="0"/>
        </w:sectPr>
      </w:pPr>
    </w:p>
    <w:p>
      <w:pPr>
        <w:spacing w:line="400" w:lineRule="exact"/>
        <w:jc w:val="center"/>
        <w:outlineLvl w:val="0"/>
        <w:rPr>
          <w:rFonts w:hint="eastAsia" w:ascii="宋体" w:hAnsi="宋体"/>
          <w:b/>
          <w:color w:val="auto"/>
          <w:sz w:val="32"/>
          <w:highlight w:val="none"/>
        </w:rPr>
      </w:pPr>
      <w:bookmarkStart w:id="90" w:name="_Toc5852"/>
      <w:bookmarkStart w:id="91" w:name="_Toc430696979"/>
      <w:bookmarkStart w:id="92" w:name="_Toc447786453"/>
      <w:bookmarkStart w:id="93" w:name="_Toc46014243"/>
      <w:bookmarkStart w:id="94" w:name="_Toc298230959"/>
      <w:r>
        <w:rPr>
          <w:rFonts w:hint="eastAsia" w:ascii="宋体" w:hAnsi="宋体"/>
          <w:b/>
          <w:color w:val="auto"/>
          <w:sz w:val="32"/>
          <w:highlight w:val="none"/>
        </w:rPr>
        <w:t>第四部分 合同格式</w:t>
      </w:r>
      <w:bookmarkEnd w:id="90"/>
      <w:r>
        <w:rPr>
          <w:rFonts w:hint="eastAsia" w:ascii="宋体" w:hAnsi="宋体"/>
          <w:b/>
          <w:color w:val="auto"/>
          <w:sz w:val="32"/>
          <w:highlight w:val="none"/>
        </w:rPr>
        <w:t xml:space="preserve"> </w:t>
      </w:r>
    </w:p>
    <w:bookmarkEnd w:id="91"/>
    <w:bookmarkEnd w:id="92"/>
    <w:bookmarkEnd w:id="93"/>
    <w:p>
      <w:pPr>
        <w:pStyle w:val="21"/>
        <w:snapToGrid w:val="0"/>
        <w:spacing w:line="400" w:lineRule="exact"/>
        <w:jc w:val="center"/>
        <w:rPr>
          <w:rFonts w:ascii="黑体" w:eastAsia="黑体"/>
          <w:b/>
          <w:color w:val="auto"/>
          <w:highlight w:val="none"/>
        </w:rPr>
      </w:pPr>
      <w:r>
        <w:rPr>
          <w:rFonts w:hint="eastAsia" w:ascii="黑体" w:eastAsia="黑体"/>
          <w:b/>
          <w:color w:val="auto"/>
          <w:highlight w:val="none"/>
        </w:rPr>
        <w:t>（本合同为合同样稿，最终稿由甲乙双方协商后确定）</w:t>
      </w:r>
    </w:p>
    <w:p>
      <w:pPr>
        <w:spacing w:line="340" w:lineRule="exact"/>
        <w:rPr>
          <w:b/>
          <w:color w:val="auto"/>
          <w:sz w:val="44"/>
          <w:szCs w:val="44"/>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项目编号：                   合同编号：</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标项名称：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采购人（甲方）：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中标人（乙方）：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项目（标项</w:t>
      </w:r>
      <w:r>
        <w:rPr>
          <w:rFonts w:hint="eastAsia" w:hAnsi="宋体" w:cs="宋体"/>
          <w:color w:val="auto"/>
          <w:highlight w:val="none"/>
          <w:u w:val="single"/>
        </w:rPr>
        <w:t xml:space="preserve">   </w:t>
      </w:r>
      <w:r>
        <w:rPr>
          <w:rFonts w:hint="eastAsia" w:ascii="宋体" w:hAnsi="宋体" w:cs="宋体"/>
          <w:color w:val="auto"/>
          <w:szCs w:val="21"/>
          <w:highlight w:val="none"/>
        </w:rPr>
        <w:t>）的采购结果，经双方协商签署本合同。</w:t>
      </w:r>
    </w:p>
    <w:p>
      <w:pPr>
        <w:spacing w:line="360" w:lineRule="auto"/>
        <w:rPr>
          <w:rFonts w:ascii="宋体" w:hAnsi="宋体"/>
          <w:b/>
          <w:color w:val="auto"/>
          <w:szCs w:val="21"/>
          <w:highlight w:val="none"/>
        </w:rPr>
      </w:pPr>
      <w:r>
        <w:rPr>
          <w:rFonts w:hint="eastAsia" w:ascii="宋体" w:hAnsi="宋体"/>
          <w:b/>
          <w:color w:val="auto"/>
          <w:szCs w:val="21"/>
          <w:highlight w:val="none"/>
        </w:rPr>
        <w:t xml:space="preserve">    </w:t>
      </w:r>
      <w:r>
        <w:rPr>
          <w:rFonts w:ascii="宋体" w:hAnsi="宋体"/>
          <w:b/>
          <w:color w:val="auto"/>
          <w:szCs w:val="21"/>
          <w:highlight w:val="none"/>
        </w:rPr>
        <w:t>一、货物内容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1.1货物名称：</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1.2品牌型号规格：</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1.3数量：</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1.4主要配置：</w:t>
      </w:r>
      <w:r>
        <w:rPr>
          <w:rFonts w:hint="eastAsia" w:ascii="宋体" w:hAnsi="宋体"/>
          <w:color w:val="auto"/>
          <w:szCs w:val="21"/>
          <w:highlight w:val="none"/>
          <w:u w:val="single"/>
        </w:rPr>
        <w:t xml:space="preserve">                             </w:t>
      </w:r>
    </w:p>
    <w:p>
      <w:pPr>
        <w:spacing w:line="360" w:lineRule="auto"/>
        <w:rPr>
          <w:rFonts w:ascii="宋体" w:hAnsi="宋体"/>
          <w:b/>
          <w:color w:val="auto"/>
          <w:szCs w:val="21"/>
          <w:highlight w:val="none"/>
        </w:rPr>
      </w:pPr>
      <w:r>
        <w:rPr>
          <w:rFonts w:hint="eastAsia" w:ascii="宋体" w:hAnsi="宋体"/>
          <w:b/>
          <w:color w:val="auto"/>
          <w:szCs w:val="21"/>
          <w:highlight w:val="none"/>
        </w:rPr>
        <w:t xml:space="preserve">   </w:t>
      </w:r>
      <w:r>
        <w:rPr>
          <w:rFonts w:ascii="宋体" w:hAnsi="宋体"/>
          <w:b/>
          <w:color w:val="auto"/>
          <w:szCs w:val="21"/>
          <w:highlight w:val="none"/>
        </w:rPr>
        <w:t>二、合同金额</w:t>
      </w:r>
    </w:p>
    <w:p>
      <w:pPr>
        <w:spacing w:line="360" w:lineRule="auto"/>
        <w:ind w:firstLine="315" w:firstLineChars="150"/>
        <w:rPr>
          <w:rFonts w:ascii="宋体" w:hAnsi="宋体"/>
          <w:color w:val="auto"/>
          <w:szCs w:val="21"/>
          <w:highlight w:val="none"/>
        </w:rPr>
      </w:pPr>
      <w:r>
        <w:rPr>
          <w:rFonts w:ascii="宋体" w:hAnsi="宋体"/>
          <w:color w:val="auto"/>
          <w:szCs w:val="21"/>
          <w:highlight w:val="none"/>
        </w:rPr>
        <w:t>本合同金额为（大写）：</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u w:val="single"/>
        </w:rPr>
        <w:t xml:space="preserve">                </w:t>
      </w:r>
      <w:r>
        <w:rPr>
          <w:rFonts w:ascii="宋体" w:hAnsi="宋体"/>
          <w:color w:val="auto"/>
          <w:szCs w:val="21"/>
          <w:highlight w:val="none"/>
        </w:rPr>
        <w:t>元）人民币。</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三、质量要求、技术标准、乙方对质量负责的条件和期限及售后服务的承诺</w:t>
      </w:r>
    </w:p>
    <w:p>
      <w:pPr>
        <w:spacing w:line="360" w:lineRule="auto"/>
        <w:ind w:firstLine="315" w:firstLineChars="150"/>
        <w:rPr>
          <w:rFonts w:ascii="宋体" w:hAnsi="宋体" w:cs="宋体"/>
          <w:color w:val="auto"/>
          <w:szCs w:val="21"/>
          <w:highlight w:val="none"/>
        </w:rPr>
      </w:pPr>
      <w:r>
        <w:rPr>
          <w:rFonts w:hint="eastAsia" w:ascii="宋体" w:hAnsi="宋体" w:eastAsia="宋体" w:cs="宋体"/>
          <w:color w:val="auto"/>
          <w:szCs w:val="21"/>
          <w:highlight w:val="none"/>
        </w:rPr>
        <w:t>1、乙方应按招标文件规定的货物性能、技术要求、质量标准向甲方提供未经使用的全新产品</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正规渠道供货，不得提供旧货、水货、假货，并须提供详细配置清单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并按照国家三包政策提供维修、更换、退货服务。</w:t>
      </w:r>
      <w:r>
        <w:rPr>
          <w:rFonts w:hint="eastAsia" w:ascii="宋体" w:hAnsi="宋体" w:eastAsia="宋体" w:cs="宋体"/>
          <w:color w:val="auto"/>
          <w:szCs w:val="21"/>
          <w:highlight w:val="none"/>
        </w:rPr>
        <w:t>并在招标文件规定的时间提供货物的有关技术资料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所有技术指标均以各厂商公开网站所公布的数据为准，如果有英文网站则以英文网站为准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质保期</w:t>
      </w:r>
      <w:r>
        <w:rPr>
          <w:rFonts w:hint="eastAsia" w:ascii="宋体" w:hAnsi="宋体" w:cs="宋体"/>
          <w:color w:val="auto"/>
          <w:szCs w:val="21"/>
          <w:highlight w:val="none"/>
          <w:lang w:val="en-US" w:eastAsia="zh-CN"/>
        </w:rPr>
        <w:t>需</w:t>
      </w:r>
      <w:r>
        <w:rPr>
          <w:rFonts w:hint="eastAsia" w:ascii="宋体" w:hAnsi="宋体" w:cs="宋体"/>
          <w:color w:val="auto"/>
          <w:sz w:val="21"/>
          <w:szCs w:val="21"/>
          <w:highlight w:val="none"/>
          <w:lang w:eastAsia="zh-CN"/>
        </w:rPr>
        <w:t>符合国家及相关行业标准</w:t>
      </w:r>
      <w:r>
        <w:rPr>
          <w:rFonts w:hint="eastAsia" w:ascii="宋体" w:hAnsi="宋体" w:eastAsia="宋体" w:cs="宋体"/>
          <w:color w:val="auto"/>
          <w:szCs w:val="21"/>
          <w:highlight w:val="none"/>
        </w:rPr>
        <w:t>（自交货验收合格之日起计）,在质保期内，应对货物出现的质量及安全问题负责处理解</w:t>
      </w:r>
      <w:r>
        <w:rPr>
          <w:rFonts w:hint="eastAsia" w:ascii="宋体" w:hAnsi="宋体" w:cs="宋体"/>
          <w:color w:val="auto"/>
          <w:szCs w:val="21"/>
          <w:highlight w:val="none"/>
        </w:rPr>
        <w:t>决并承担一切费用。超过保修期的机器设备，终生维修，维修时只收部件成本费。</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2、乙方应保证所提供的货物或其任何一部分均不会侵犯任何第三方的知识产权, 所有权完全属于乙方且无任何抵押、查封等产权瑕疵。</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乙方没有甲方事先书面同意，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、现场服务：I类和II类产品接买方故障</w:t>
      </w:r>
      <w:r>
        <w:rPr>
          <w:rFonts w:hint="eastAsia" w:ascii="宋体" w:hAnsi="宋体" w:eastAsia="宋体" w:cs="宋体"/>
          <w:color w:val="auto"/>
          <w:szCs w:val="21"/>
          <w:highlight w:val="none"/>
        </w:rPr>
        <w:t>通知后，中标</w:t>
      </w:r>
      <w:r>
        <w:rPr>
          <w:rFonts w:hint="eastAsia" w:ascii="宋体" w:hAnsi="宋体" w:eastAsia="宋体" w:cs="宋体"/>
          <w:color w:val="auto"/>
          <w:szCs w:val="21"/>
          <w:highlight w:val="none"/>
          <w:lang w:eastAsia="zh-CN"/>
        </w:rPr>
        <w:t>供应</w:t>
      </w:r>
      <w:r>
        <w:rPr>
          <w:rFonts w:hint="eastAsia" w:ascii="宋体" w:hAnsi="宋体" w:eastAsia="宋体" w:cs="宋体"/>
          <w:color w:val="auto"/>
          <w:szCs w:val="21"/>
          <w:highlight w:val="none"/>
        </w:rPr>
        <w:t>商技术工程师应在2小时之内到达现场，进行故障排除工作。一般性故障保证在4小时内修复。对于影响系统正常运行的严重故障（包括由系统软硬件等原因引起的），中标</w:t>
      </w:r>
      <w:r>
        <w:rPr>
          <w:rFonts w:hint="eastAsia" w:ascii="宋体" w:hAnsi="宋体" w:eastAsia="宋体" w:cs="宋体"/>
          <w:color w:val="auto"/>
          <w:szCs w:val="21"/>
          <w:highlight w:val="none"/>
          <w:lang w:eastAsia="zh-CN"/>
        </w:rPr>
        <w:t>供应</w:t>
      </w:r>
      <w:r>
        <w:rPr>
          <w:rFonts w:hint="eastAsia" w:ascii="宋体" w:hAnsi="宋体" w:eastAsia="宋体" w:cs="宋体"/>
          <w:color w:val="auto"/>
          <w:szCs w:val="21"/>
          <w:highlight w:val="none"/>
        </w:rPr>
        <w:t>商技术工程师在2小时内到达现场，查找原因，提出解决方案，并工作直至故障修妥完全恢复正常服务为止。若12小时内无法修复故障，则提供应急方案。</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5、IV类2项，中标供应商需提供相关的产品使用培训。</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、货物在质保期内因货物本身的质量问题发生故障，乙方应负责免费更换。对达不到技术要求者，据实际情况，经双方协商，可按以下办法处理：</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（1）更换：由乙方承担所发生的全部费用。</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（2）贬值处理：由甲乙双方合议定价。</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（3）退货处理：乙方应退还甲方支付的合同款，同时应承担该货物的直接费用（运输、保险、检验、货款利息及银行手续费等）。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四、交货期、交货方式及交货地点</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1、交货期：</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2、交货方式：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3、交货地点：</w:t>
      </w:r>
    </w:p>
    <w:p>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五、运输方式及到达站（港）和费用负担</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1、运输方式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2、送达地点</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3、费用负担</w:t>
      </w:r>
    </w:p>
    <w:p>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六、调试验收和提出异议期限</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个工作日内验收，并签署验收结果。</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2、乙方交货前应对产品作出全面检查和对验收文件进行整理，并列出清单，作为甲方收货验收和使用的技术条件依据，检验的结果应随货物交甲方。</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3、甲方对乙方提供的货物在使用前进行调试时，乙方需负责安装并培训甲方的使用操作人员，并协助甲方一起调试，直到符合技术要求，甲方才做最终验收。</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4、对技术复杂的货物，甲方应请国家认可的专业检测机构参与初步验收及最终验收，并由其出具质量检测报告。</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5、验收时乙方必须在现场，验收完毕后作出验收结果报告；验收费用由乙方负责。</w:t>
      </w:r>
    </w:p>
    <w:p>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七、货物包装标准、包装物的供应与回收及费用负担</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1、乙方应在货物发运前对其进行满足运输距离、防潮、防震、防锈和防破损装卸等要求包装，以保证货物安全运达甲方指定地点，费用由乙方负担。包装物不再回收。</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2、生产许可证、使用说明书、质量检验证明书、配附件备品和工具以及清单一并附于货物内，费用由乙方负担。</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3、乙方在货物发运手续办理完毕后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小时内或货到甲方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小时前通知甲方，以准备接货。</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4、货物在交付甲方前发生的风险均由乙方负责。</w:t>
      </w:r>
    </w:p>
    <w:p>
      <w:pPr>
        <w:spacing w:line="360" w:lineRule="auto"/>
        <w:ind w:firstLine="315" w:firstLineChars="150"/>
        <w:rPr>
          <w:rFonts w:ascii="宋体" w:hAnsi="宋体" w:cs="宋体"/>
          <w:b/>
          <w:color w:val="auto"/>
          <w:szCs w:val="21"/>
          <w:highlight w:val="none"/>
        </w:rPr>
      </w:pPr>
      <w:r>
        <w:rPr>
          <w:rFonts w:hint="eastAsia" w:ascii="宋体" w:hAnsi="宋体" w:cs="宋体"/>
          <w:color w:val="auto"/>
          <w:szCs w:val="21"/>
          <w:highlight w:val="none"/>
        </w:rPr>
        <w:t>5、货物在规定的交付期限内由乙方送达甲方指定的地点视为交付，乙方同时需通知甲方货物已送达。</w:t>
      </w:r>
    </w:p>
    <w:p>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、结算方式及期限</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1、甲方付款方式及期限：</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2、当采购数量与实际使用数量不一致时，乙方应根据实际使用量供货，合同的最终结算金额按实际使用量乘以成交单价进行计算。</w:t>
      </w:r>
    </w:p>
    <w:p>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、违约责任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1、甲方无正当理由拒收货物的，甲方向乙方偿付拒收货款总值的百分之五违约金。</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2、甲方无故逾期验收和办理货款支付手续的,甲方应按逾期付款总额每日万分之五向乙方支付违约金。</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乙方逾期交付货物的，应按逾期交货总额每日千分之六向甲方支付违约金，由甲方从待付货款中扣除。逾期超过约定日期十个工作日不能交货的，甲方可解除本合同。因逾期交货或因其他违约行为导致甲方解除合同的，应向甲方支付合同总值5%的违约金，如造成甲方损失超过违约金的，超出部分由乙方继续承担赔偿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4、乙方所交的货物品种、型号、规格、技术参数、质量不符合合同规定及招标文件规定标准的：</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（1）甲方有权拒收该货物，并要求乙方更换符合规定标准的货物；</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（2）甲方有权拒收该货物，乙方愿意更换货物但逾期交货的，按乙方逾期交货处理。</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（3）甲方有权拒收该货物，乙方拒绝更换货物的，甲方可单方面解除合同，并有权要求赔偿损失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315" w:firstLineChars="150"/>
        <w:rPr>
          <w:rFonts w:ascii="宋体" w:hAnsi="宋体" w:cs="宋体"/>
          <w:b/>
          <w:color w:val="auto"/>
          <w:szCs w:val="21"/>
          <w:highlight w:val="none"/>
        </w:rPr>
      </w:pPr>
      <w:r>
        <w:rPr>
          <w:rFonts w:hint="eastAsia" w:ascii="宋体" w:hAnsi="宋体" w:cs="宋体"/>
          <w:color w:val="auto"/>
          <w:szCs w:val="21"/>
          <w:highlight w:val="none"/>
        </w:rPr>
        <w:t>（4）甲方有权拒收该货物，要求乙方更换符合规定标准的货物，但乙方不能提供符合规定标准货物的，甲方可单方面解除合同，并有权要求赔偿损失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十、不可抗力事件处理</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、解决合同纠纷方式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双方在执行合同中所发生的一切争议，应通过协商解决。如协商不成，可向合同签订地法院起诉，合同签订地在此约定为高新区。</w:t>
      </w:r>
    </w:p>
    <w:p>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、合同生效及其它约定事项</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1、合同经双方法定代表人或授权委托代理人签字并加盖单位公章后生效。</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2、合同执行中涉及采购资金和采购内容修改或补充的，须经区财政部门审批，并签书面补充协议报高新区政府采购管理办公室备案，方可作为主合同不可分割的一部分。</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3、本合同执行中相关的税费均由各方自理。</w:t>
      </w:r>
    </w:p>
    <w:p>
      <w:pPr>
        <w:spacing w:line="360" w:lineRule="auto"/>
        <w:ind w:firstLine="315" w:firstLineChars="150"/>
        <w:rPr>
          <w:rFonts w:ascii="宋体" w:hAnsi="宋体" w:cs="宋体"/>
          <w:b/>
          <w:color w:val="auto"/>
          <w:szCs w:val="21"/>
          <w:highlight w:val="none"/>
        </w:rPr>
      </w:pPr>
      <w:r>
        <w:rPr>
          <w:rFonts w:hint="eastAsia" w:ascii="宋体" w:hAnsi="宋体" w:cs="宋体"/>
          <w:color w:val="auto"/>
          <w:szCs w:val="21"/>
          <w:highlight w:val="none"/>
        </w:rPr>
        <w:t>4、其他约定:</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（1）本合同范围的货物，应由乙方直接供应，不得转让他人供应；</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（2）除非得到甲方的书面同意，乙方不得部分分包给他人供应。甲方有绝对权力阻止分包。</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（3）如有转让和未经甲方同意的分包行为，甲方有权给予终止合同。</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u w:val="single"/>
        </w:rPr>
        <w:t xml:space="preserve">                   </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5、乙方交纳合同总金额人民币的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元作为本合同的履约保证金，履约完毕甲方应全额无息退还乙方。</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6、本项目采购过程中形成的文件资料为合同组成部分。</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7、本合同正本一式两份，具有同等法律效力，甲乙双方各执一份；合同签订完成后及时上传至政采云平台。</w:t>
      </w: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甲方（章）：               乙方（章）：</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地址：                    地址：</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法定代表人：              法定代表人：</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委托代理人：              委托代理人：</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电话：                    电话：</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电传：                    电传：</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网址：                    网址：</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开户银行：                开户银行：</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帐号：                    帐号：</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邮政编码：                邮政编码：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签订地点：                签订日期：   年  月  日</w:t>
      </w:r>
    </w:p>
    <w:p>
      <w:pPr>
        <w:widowControl/>
        <w:jc w:val="left"/>
        <w:rPr>
          <w:rFonts w:ascii="宋体" w:hAnsi="宋体"/>
          <w:color w:val="auto"/>
          <w:szCs w:val="21"/>
          <w:highlight w:val="none"/>
        </w:rPr>
      </w:pPr>
    </w:p>
    <w:p>
      <w:pPr>
        <w:pStyle w:val="4"/>
        <w:spacing w:beforeLines="0" w:afterLines="0" w:line="360" w:lineRule="auto"/>
        <w:rPr>
          <w:rFonts w:ascii="宋体" w:hAnsi="宋体"/>
          <w:color w:val="auto"/>
          <w:sz w:val="32"/>
          <w:szCs w:val="32"/>
          <w:highlight w:val="none"/>
        </w:rPr>
      </w:pPr>
      <w:r>
        <w:rPr>
          <w:rFonts w:ascii="宋体" w:hAnsi="宋体"/>
          <w:color w:val="auto"/>
          <w:sz w:val="32"/>
          <w:szCs w:val="32"/>
          <w:highlight w:val="none"/>
        </w:rPr>
        <w:br w:type="page"/>
      </w:r>
    </w:p>
    <w:p>
      <w:pPr>
        <w:pStyle w:val="4"/>
        <w:spacing w:beforeLines="0" w:afterLines="0" w:line="360" w:lineRule="auto"/>
        <w:rPr>
          <w:rFonts w:ascii="宋体" w:hAnsi="宋体"/>
          <w:color w:val="auto"/>
          <w:sz w:val="32"/>
          <w:szCs w:val="32"/>
          <w:highlight w:val="none"/>
        </w:rPr>
      </w:pPr>
      <w:bookmarkStart w:id="95" w:name="_Toc31171"/>
      <w:r>
        <w:rPr>
          <w:rFonts w:hint="eastAsia" w:ascii="宋体" w:hAnsi="宋体"/>
          <w:color w:val="auto"/>
          <w:sz w:val="32"/>
          <w:szCs w:val="32"/>
          <w:highlight w:val="none"/>
        </w:rPr>
        <w:t>第五部分  评标办法</w:t>
      </w:r>
      <w:bookmarkEnd w:id="94"/>
      <w:bookmarkEnd w:id="95"/>
    </w:p>
    <w:p>
      <w:pPr>
        <w:tabs>
          <w:tab w:val="left" w:pos="0"/>
          <w:tab w:val="left" w:pos="723"/>
        </w:tabs>
        <w:spacing w:line="360" w:lineRule="exact"/>
        <w:rPr>
          <w:rFonts w:ascii="宋体" w:hAnsi="宋体"/>
          <w:b/>
          <w:color w:val="auto"/>
          <w:szCs w:val="21"/>
          <w:highlight w:val="none"/>
        </w:rPr>
      </w:pPr>
      <w:r>
        <w:rPr>
          <w:rFonts w:hint="eastAsia" w:ascii="宋体" w:hAnsi="宋体"/>
          <w:b/>
          <w:color w:val="auto"/>
          <w:szCs w:val="21"/>
          <w:highlight w:val="none"/>
        </w:rPr>
        <w:t>一、总则：</w:t>
      </w:r>
    </w:p>
    <w:p>
      <w:pPr>
        <w:tabs>
          <w:tab w:val="left" w:pos="0"/>
          <w:tab w:val="left" w:pos="723"/>
        </w:tabs>
        <w:spacing w:line="360" w:lineRule="exact"/>
        <w:rPr>
          <w:rFonts w:ascii="宋体" w:hAnsi="宋体"/>
          <w:b/>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color w:val="auto"/>
          <w:szCs w:val="21"/>
          <w:highlight w:val="none"/>
        </w:rPr>
        <w:t>本评标标准是对“投标人须知”相关条款的具体表述或补充，如有矛盾，应以本办法为准。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2、本项目评标采用综合评分法。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次采购为非专门面向中小企业，本次评标将对《中小企业声明函》满足招标文件要求的小微企业的价格按本办法中规定的比例进行扣除，用扣除后的价格参与评审。价格扣除只用于评审过程，如中标，中标价格仍按照其投标价格进行公示。</w:t>
      </w:r>
    </w:p>
    <w:p>
      <w:pPr>
        <w:tabs>
          <w:tab w:val="left" w:pos="0"/>
          <w:tab w:val="left" w:pos="723"/>
        </w:tabs>
        <w:spacing w:line="360" w:lineRule="exact"/>
        <w:rPr>
          <w:rFonts w:ascii="宋体" w:hAnsi="宋体"/>
          <w:b/>
          <w:color w:val="auto"/>
          <w:szCs w:val="21"/>
          <w:highlight w:val="none"/>
        </w:rPr>
      </w:pPr>
      <w:r>
        <w:rPr>
          <w:rFonts w:hint="eastAsia" w:ascii="宋体" w:hAnsi="宋体"/>
          <w:b/>
          <w:color w:val="auto"/>
          <w:szCs w:val="21"/>
          <w:highlight w:val="none"/>
        </w:rPr>
        <w:t>二、评标组织</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评标委员会：采购人和采购代理机构根据采购项目的内容和特点，按国家相关规定组建评标委员会。评标委员会由采购人代表、技术、经济方面专家等人员组成。</w:t>
      </w:r>
    </w:p>
    <w:p>
      <w:pPr>
        <w:widowControl/>
        <w:tabs>
          <w:tab w:val="left" w:pos="0"/>
          <w:tab w:val="left" w:pos="723"/>
        </w:tabs>
        <w:spacing w:line="360" w:lineRule="exact"/>
        <w:jc w:val="left"/>
        <w:rPr>
          <w:rFonts w:ascii="宋体" w:hAnsi="宋体"/>
          <w:b/>
          <w:color w:val="auto"/>
          <w:szCs w:val="21"/>
          <w:highlight w:val="none"/>
        </w:rPr>
      </w:pPr>
      <w:r>
        <w:rPr>
          <w:rFonts w:hint="eastAsia" w:ascii="宋体" w:hAnsi="宋体"/>
          <w:b/>
          <w:color w:val="auto"/>
          <w:szCs w:val="21"/>
          <w:highlight w:val="none"/>
        </w:rPr>
        <w:t>三、评标程序</w:t>
      </w:r>
    </w:p>
    <w:p>
      <w:pPr>
        <w:widowControl/>
        <w:tabs>
          <w:tab w:val="left" w:pos="0"/>
          <w:tab w:val="left" w:pos="723"/>
        </w:tabs>
        <w:spacing w:line="360" w:lineRule="exact"/>
        <w:jc w:val="left"/>
        <w:rPr>
          <w:rFonts w:ascii="宋体" w:hAnsi="宋体"/>
          <w:b/>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1．资格审查：由采购人或代理机构对投标人的资格进行审查。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920"/>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44" w:type="dxa"/>
            <w:noWrap w:val="0"/>
            <w:vAlign w:val="center"/>
          </w:tcPr>
          <w:p>
            <w:pPr>
              <w:spacing w:line="360" w:lineRule="auto"/>
              <w:jc w:val="center"/>
              <w:rPr>
                <w:rFonts w:ascii="宋体" w:hAnsi="宋体"/>
                <w:color w:val="auto"/>
                <w:sz w:val="19"/>
                <w:szCs w:val="21"/>
                <w:highlight w:val="none"/>
              </w:rPr>
            </w:pPr>
            <w:r>
              <w:rPr>
                <w:rFonts w:hint="eastAsia" w:ascii="宋体" w:hAnsi="宋体"/>
                <w:color w:val="auto"/>
                <w:sz w:val="19"/>
                <w:szCs w:val="21"/>
                <w:highlight w:val="none"/>
              </w:rPr>
              <w:t>审查类别</w:t>
            </w:r>
          </w:p>
        </w:tc>
        <w:tc>
          <w:tcPr>
            <w:tcW w:w="2920" w:type="dxa"/>
            <w:tcBorders>
              <w:right w:val="single" w:color="auto" w:sz="8" w:space="0"/>
            </w:tcBorders>
            <w:noWrap w:val="0"/>
            <w:vAlign w:val="center"/>
          </w:tcPr>
          <w:p>
            <w:pPr>
              <w:spacing w:line="360" w:lineRule="auto"/>
              <w:jc w:val="center"/>
              <w:rPr>
                <w:rFonts w:ascii="宋体" w:hAnsi="宋体"/>
                <w:color w:val="auto"/>
                <w:sz w:val="19"/>
                <w:szCs w:val="21"/>
                <w:highlight w:val="none"/>
              </w:rPr>
            </w:pPr>
            <w:r>
              <w:rPr>
                <w:rFonts w:hint="eastAsia" w:ascii="宋体" w:hAnsi="宋体"/>
                <w:color w:val="auto"/>
                <w:sz w:val="19"/>
                <w:szCs w:val="21"/>
                <w:highlight w:val="none"/>
              </w:rPr>
              <w:t>审查项目</w:t>
            </w:r>
          </w:p>
        </w:tc>
        <w:tc>
          <w:tcPr>
            <w:tcW w:w="5437" w:type="dxa"/>
            <w:tcBorders>
              <w:left w:val="single" w:color="auto" w:sz="8" w:space="0"/>
            </w:tcBorders>
            <w:noWrap w:val="0"/>
            <w:vAlign w:val="center"/>
          </w:tcPr>
          <w:p>
            <w:pPr>
              <w:spacing w:line="360" w:lineRule="auto"/>
              <w:jc w:val="center"/>
              <w:rPr>
                <w:rFonts w:ascii="宋体" w:hAnsi="宋体"/>
                <w:color w:val="auto"/>
                <w:sz w:val="19"/>
                <w:szCs w:val="21"/>
                <w:highlight w:val="none"/>
              </w:rPr>
            </w:pPr>
            <w:r>
              <w:rPr>
                <w:rFonts w:hint="eastAsia" w:ascii="宋体" w:hAnsi="宋体"/>
                <w:color w:val="auto"/>
                <w:sz w:val="19"/>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restart"/>
            <w:noWrap w:val="0"/>
            <w:vAlign w:val="center"/>
          </w:tcPr>
          <w:p>
            <w:pPr>
              <w:spacing w:line="360" w:lineRule="auto"/>
              <w:jc w:val="center"/>
              <w:rPr>
                <w:rFonts w:ascii="宋体" w:hAnsi="宋体"/>
                <w:color w:val="auto"/>
                <w:sz w:val="19"/>
                <w:szCs w:val="21"/>
                <w:highlight w:val="none"/>
              </w:rPr>
            </w:pPr>
            <w:r>
              <w:rPr>
                <w:rFonts w:hint="eastAsia" w:ascii="宋体" w:hAnsi="宋体"/>
                <w:color w:val="auto"/>
                <w:sz w:val="19"/>
                <w:szCs w:val="21"/>
                <w:highlight w:val="none"/>
              </w:rPr>
              <w:t>资格条件</w:t>
            </w:r>
          </w:p>
          <w:p>
            <w:pPr>
              <w:spacing w:line="360" w:lineRule="auto"/>
              <w:jc w:val="center"/>
              <w:rPr>
                <w:rFonts w:ascii="宋体" w:hAnsi="宋体"/>
                <w:color w:val="auto"/>
                <w:sz w:val="19"/>
                <w:szCs w:val="21"/>
                <w:highlight w:val="none"/>
              </w:rPr>
            </w:pPr>
            <w:r>
              <w:rPr>
                <w:rFonts w:hint="eastAsia" w:ascii="宋体" w:hAnsi="宋体"/>
                <w:color w:val="auto"/>
                <w:sz w:val="19"/>
                <w:szCs w:val="21"/>
                <w:highlight w:val="none"/>
              </w:rPr>
              <w:t>审查</w:t>
            </w:r>
          </w:p>
        </w:tc>
        <w:tc>
          <w:tcPr>
            <w:tcW w:w="2920" w:type="dxa"/>
            <w:tcBorders>
              <w:right w:val="single" w:color="auto" w:sz="8" w:space="0"/>
            </w:tcBorders>
            <w:noWrap w:val="0"/>
            <w:vAlign w:val="center"/>
          </w:tcPr>
          <w:p>
            <w:pPr>
              <w:spacing w:line="360" w:lineRule="auto"/>
              <w:rPr>
                <w:rFonts w:ascii="宋体" w:hAnsi="宋体"/>
                <w:color w:val="auto"/>
                <w:sz w:val="19"/>
                <w:szCs w:val="21"/>
                <w:highlight w:val="none"/>
              </w:rPr>
            </w:pPr>
            <w:r>
              <w:rPr>
                <w:rFonts w:hint="eastAsia" w:ascii="宋体" w:hAnsi="宋体"/>
                <w:color w:val="auto"/>
                <w:sz w:val="19"/>
                <w:szCs w:val="21"/>
                <w:highlight w:val="none"/>
              </w:rPr>
              <w:t>1、符合《中华人民共和国政府采购法》第二十二条的要求：</w:t>
            </w:r>
          </w:p>
          <w:p>
            <w:pPr>
              <w:spacing w:line="360" w:lineRule="auto"/>
              <w:rPr>
                <w:rFonts w:ascii="宋体" w:hAnsi="宋体"/>
                <w:color w:val="auto"/>
                <w:sz w:val="19"/>
                <w:szCs w:val="21"/>
                <w:highlight w:val="none"/>
              </w:rPr>
            </w:pPr>
            <w:r>
              <w:rPr>
                <w:rFonts w:hint="eastAsia" w:ascii="宋体" w:hAnsi="宋体"/>
                <w:color w:val="auto"/>
                <w:sz w:val="19"/>
                <w:szCs w:val="21"/>
                <w:highlight w:val="none"/>
              </w:rPr>
              <w:t>1.1具有独立承担民事责任的能力；</w:t>
            </w:r>
          </w:p>
          <w:p>
            <w:pPr>
              <w:spacing w:line="360" w:lineRule="auto"/>
              <w:rPr>
                <w:rFonts w:ascii="宋体" w:hAnsi="宋体"/>
                <w:color w:val="auto"/>
                <w:sz w:val="19"/>
                <w:szCs w:val="21"/>
                <w:highlight w:val="none"/>
              </w:rPr>
            </w:pPr>
            <w:r>
              <w:rPr>
                <w:rFonts w:hint="eastAsia" w:ascii="宋体" w:hAnsi="宋体"/>
                <w:color w:val="auto"/>
                <w:sz w:val="19"/>
                <w:szCs w:val="21"/>
                <w:highlight w:val="none"/>
              </w:rPr>
              <w:t>1.2具有良好的商业信誉和健全的财务会计制度；</w:t>
            </w:r>
          </w:p>
          <w:p>
            <w:pPr>
              <w:spacing w:line="360" w:lineRule="auto"/>
              <w:rPr>
                <w:rFonts w:ascii="宋体" w:hAnsi="宋体"/>
                <w:color w:val="auto"/>
                <w:sz w:val="19"/>
                <w:szCs w:val="21"/>
                <w:highlight w:val="none"/>
              </w:rPr>
            </w:pPr>
            <w:r>
              <w:rPr>
                <w:rFonts w:hint="eastAsia" w:ascii="宋体" w:hAnsi="宋体"/>
                <w:color w:val="auto"/>
                <w:sz w:val="19"/>
                <w:szCs w:val="21"/>
                <w:highlight w:val="none"/>
              </w:rPr>
              <w:t>1.3具有履行合同所必需的设备和专业技术能力；</w:t>
            </w:r>
          </w:p>
          <w:p>
            <w:pPr>
              <w:spacing w:line="360" w:lineRule="auto"/>
              <w:rPr>
                <w:rFonts w:ascii="宋体" w:hAnsi="宋体"/>
                <w:color w:val="auto"/>
                <w:sz w:val="19"/>
                <w:szCs w:val="21"/>
                <w:highlight w:val="none"/>
              </w:rPr>
            </w:pPr>
            <w:r>
              <w:rPr>
                <w:rFonts w:hint="eastAsia" w:ascii="宋体" w:hAnsi="宋体"/>
                <w:color w:val="auto"/>
                <w:sz w:val="19"/>
                <w:szCs w:val="21"/>
                <w:highlight w:val="none"/>
              </w:rPr>
              <w:t>1.4有依法缴纳税收和社会保障资金的良好记录；</w:t>
            </w:r>
          </w:p>
          <w:p>
            <w:pPr>
              <w:spacing w:line="360" w:lineRule="auto"/>
              <w:rPr>
                <w:rFonts w:ascii="宋体" w:hAnsi="宋体"/>
                <w:color w:val="auto"/>
                <w:sz w:val="19"/>
                <w:szCs w:val="21"/>
                <w:highlight w:val="none"/>
              </w:rPr>
            </w:pPr>
            <w:r>
              <w:rPr>
                <w:rFonts w:hint="eastAsia" w:ascii="宋体" w:hAnsi="宋体"/>
                <w:color w:val="auto"/>
                <w:sz w:val="19"/>
                <w:szCs w:val="21"/>
                <w:highlight w:val="none"/>
              </w:rPr>
              <w:t>1.5参加政府采购活动前三年内，在经营活动中没有重大违法记录；</w:t>
            </w:r>
          </w:p>
          <w:p>
            <w:pPr>
              <w:spacing w:line="360" w:lineRule="auto"/>
              <w:rPr>
                <w:rFonts w:ascii="宋体" w:hAnsi="宋体"/>
                <w:color w:val="auto"/>
                <w:sz w:val="19"/>
                <w:szCs w:val="21"/>
                <w:highlight w:val="none"/>
              </w:rPr>
            </w:pPr>
            <w:r>
              <w:rPr>
                <w:rFonts w:hint="eastAsia" w:ascii="宋体" w:hAnsi="宋体"/>
                <w:color w:val="auto"/>
                <w:sz w:val="19"/>
                <w:szCs w:val="21"/>
                <w:highlight w:val="none"/>
              </w:rPr>
              <w:t>1.6法律、行政法规规定的其他条件。</w:t>
            </w:r>
          </w:p>
        </w:tc>
        <w:tc>
          <w:tcPr>
            <w:tcW w:w="5437" w:type="dxa"/>
            <w:tcBorders>
              <w:left w:val="single" w:color="auto" w:sz="8" w:space="0"/>
            </w:tcBorders>
            <w:noWrap w:val="0"/>
            <w:vAlign w:val="center"/>
          </w:tcPr>
          <w:p>
            <w:pPr>
              <w:spacing w:line="360" w:lineRule="auto"/>
              <w:rPr>
                <w:rFonts w:ascii="宋体" w:hAnsi="宋体"/>
                <w:color w:val="auto"/>
                <w:sz w:val="19"/>
                <w:szCs w:val="21"/>
                <w:highlight w:val="none"/>
              </w:rPr>
            </w:pPr>
            <w:r>
              <w:rPr>
                <w:rFonts w:hint="eastAsia" w:ascii="宋体" w:hAnsi="宋体"/>
                <w:color w:val="auto"/>
                <w:sz w:val="19"/>
                <w:szCs w:val="21"/>
                <w:highlight w:val="none"/>
              </w:rPr>
              <w:t>(1)资格条件自查表；</w:t>
            </w:r>
          </w:p>
          <w:p>
            <w:pPr>
              <w:spacing w:line="360" w:lineRule="auto"/>
              <w:rPr>
                <w:rFonts w:ascii="宋体" w:hAnsi="宋体"/>
                <w:color w:val="auto"/>
                <w:sz w:val="19"/>
                <w:szCs w:val="21"/>
                <w:highlight w:val="none"/>
              </w:rPr>
            </w:pPr>
            <w:r>
              <w:rPr>
                <w:rFonts w:hint="eastAsia" w:ascii="宋体" w:hAnsi="宋体"/>
                <w:color w:val="auto"/>
                <w:sz w:val="19"/>
                <w:szCs w:val="21"/>
                <w:highlight w:val="none"/>
              </w:rPr>
              <w:t>(2)投标声明书；</w:t>
            </w:r>
          </w:p>
          <w:p>
            <w:pPr>
              <w:spacing w:line="360" w:lineRule="auto"/>
              <w:rPr>
                <w:rFonts w:ascii="宋体" w:hAnsi="宋体"/>
                <w:color w:val="auto"/>
                <w:sz w:val="19"/>
                <w:szCs w:val="21"/>
                <w:highlight w:val="none"/>
              </w:rPr>
            </w:pPr>
            <w:r>
              <w:rPr>
                <w:rFonts w:hint="eastAsia" w:ascii="宋体" w:hAnsi="宋体"/>
                <w:color w:val="auto"/>
                <w:sz w:val="19"/>
                <w:szCs w:val="21"/>
                <w:highlight w:val="none"/>
              </w:rPr>
              <w:t>(3)有效的“多证合一”的营业执照（未办理多证合一的提供营业执照、税务登记证、组织机构代码证）副本复印件。投标人如果有名称变更的，应提供由行政主管部门出具的变更证明文件；</w:t>
            </w:r>
          </w:p>
          <w:p>
            <w:pPr>
              <w:spacing w:line="360" w:lineRule="auto"/>
              <w:rPr>
                <w:rFonts w:ascii="宋体" w:hAnsi="宋体"/>
                <w:color w:val="auto"/>
                <w:sz w:val="19"/>
                <w:szCs w:val="21"/>
                <w:highlight w:val="none"/>
              </w:rPr>
            </w:pPr>
            <w:r>
              <w:rPr>
                <w:rFonts w:hint="eastAsia" w:ascii="宋体" w:hAnsi="宋体"/>
                <w:color w:val="auto"/>
                <w:sz w:val="19"/>
                <w:szCs w:val="21"/>
                <w:highlight w:val="none"/>
              </w:rPr>
              <w:t>(4) 2020年年度财务会计报表复印件，其他组织或投标人新成立不足一年的，提供基本账户开户银行出具的资信证明材料复印件（银行资信证明一般应是为本次采购出具的原件，如提供采购日前六个月内开具的用于他次招标的银行资信证明的复印件也可。银行资信证明必须按第七部分附件中“银行资信证明”的要求提供。资信评估机构出具的资信等级证书或证明不能代替银行资信证明）；</w:t>
            </w:r>
          </w:p>
          <w:p>
            <w:pPr>
              <w:spacing w:line="360" w:lineRule="auto"/>
              <w:rPr>
                <w:rFonts w:ascii="宋体" w:hAnsi="宋体"/>
                <w:color w:val="auto"/>
                <w:sz w:val="19"/>
                <w:szCs w:val="21"/>
                <w:highlight w:val="none"/>
              </w:rPr>
            </w:pPr>
            <w:r>
              <w:rPr>
                <w:rFonts w:hint="eastAsia" w:ascii="宋体" w:hAnsi="宋体"/>
                <w:color w:val="auto"/>
                <w:sz w:val="19"/>
                <w:szCs w:val="21"/>
                <w:highlight w:val="none"/>
              </w:rPr>
              <w:t>(5)提供具有履行合同所必需的设备和专业技术能力的书面声明；</w:t>
            </w:r>
          </w:p>
          <w:p>
            <w:pPr>
              <w:spacing w:line="360" w:lineRule="auto"/>
              <w:rPr>
                <w:rFonts w:ascii="宋体" w:hAnsi="宋体"/>
                <w:color w:val="auto"/>
                <w:sz w:val="19"/>
                <w:szCs w:val="21"/>
                <w:highlight w:val="none"/>
              </w:rPr>
            </w:pPr>
            <w:r>
              <w:rPr>
                <w:rFonts w:hint="eastAsia" w:ascii="宋体" w:hAnsi="宋体"/>
                <w:color w:val="auto"/>
                <w:sz w:val="19"/>
                <w:szCs w:val="21"/>
                <w:highlight w:val="none"/>
              </w:rPr>
              <w:t>(6)依法缴纳税收和社会保障资金的书面声明；</w:t>
            </w:r>
          </w:p>
          <w:p>
            <w:pPr>
              <w:spacing w:line="360" w:lineRule="auto"/>
              <w:rPr>
                <w:rFonts w:ascii="宋体" w:hAnsi="宋体"/>
                <w:color w:val="auto"/>
                <w:sz w:val="19"/>
                <w:szCs w:val="21"/>
                <w:highlight w:val="none"/>
              </w:rPr>
            </w:pPr>
            <w:r>
              <w:rPr>
                <w:rFonts w:hint="eastAsia" w:ascii="宋体" w:hAnsi="宋体"/>
                <w:color w:val="auto"/>
                <w:sz w:val="19"/>
                <w:szCs w:val="21"/>
                <w:highlight w:val="none"/>
              </w:rPr>
              <w:t>(7)提供参加政府采购活动前3年内在经营活动中没有重大违法记录的书面声明。</w:t>
            </w:r>
          </w:p>
          <w:p>
            <w:pPr>
              <w:spacing w:line="360" w:lineRule="auto"/>
              <w:rPr>
                <w:rFonts w:hint="default" w:ascii="宋体" w:hAnsi="宋体" w:eastAsia="宋体"/>
                <w:color w:val="auto"/>
                <w:sz w:val="19"/>
                <w:szCs w:val="21"/>
                <w:highlight w:val="none"/>
                <w:lang w:val="en-US" w:eastAsia="zh-CN"/>
              </w:rPr>
            </w:pPr>
            <w:r>
              <w:rPr>
                <w:rFonts w:hint="eastAsia" w:ascii="宋体" w:hAnsi="宋体"/>
                <w:color w:val="auto"/>
                <w:sz w:val="19"/>
                <w:szCs w:val="21"/>
                <w:highlight w:val="none"/>
              </w:rPr>
              <w:t>(8)投标人的特定条件的证明文件：</w:t>
            </w:r>
            <w:r>
              <w:rPr>
                <w:rFonts w:hint="eastAsia" w:ascii="宋体" w:hAnsi="宋体"/>
                <w:color w:val="auto"/>
                <w:sz w:val="19"/>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noWrap w:val="0"/>
            <w:vAlign w:val="center"/>
          </w:tcPr>
          <w:p>
            <w:pPr>
              <w:spacing w:line="360" w:lineRule="auto"/>
              <w:jc w:val="center"/>
              <w:rPr>
                <w:rFonts w:ascii="宋体" w:hAnsi="宋体"/>
                <w:color w:val="auto"/>
                <w:sz w:val="19"/>
                <w:szCs w:val="21"/>
                <w:highlight w:val="none"/>
              </w:rPr>
            </w:pPr>
          </w:p>
        </w:tc>
        <w:tc>
          <w:tcPr>
            <w:tcW w:w="2920" w:type="dxa"/>
            <w:tcBorders>
              <w:right w:val="single" w:color="auto" w:sz="8" w:space="0"/>
            </w:tcBorders>
            <w:noWrap w:val="0"/>
            <w:vAlign w:val="center"/>
          </w:tcPr>
          <w:p>
            <w:pPr>
              <w:spacing w:line="360" w:lineRule="auto"/>
              <w:rPr>
                <w:rFonts w:ascii="宋体" w:hAnsi="宋体"/>
                <w:color w:val="auto"/>
                <w:sz w:val="19"/>
                <w:szCs w:val="21"/>
                <w:highlight w:val="none"/>
              </w:rPr>
            </w:pPr>
            <w:r>
              <w:rPr>
                <w:rFonts w:hint="eastAsia" w:ascii="宋体" w:hAnsi="宋体"/>
                <w:color w:val="auto"/>
                <w:sz w:val="19"/>
                <w:szCs w:val="21"/>
                <w:highlight w:val="none"/>
              </w:rPr>
              <w:t>2、未被“信用中国”（www.creditchina.gov.cn)、中国政府采购网（www.ccgp.gov.cn）列入失信被执行人、重大税收违法案件当事人名单、政府采购严重违法失信行为记录名单。</w:t>
            </w:r>
          </w:p>
        </w:tc>
        <w:tc>
          <w:tcPr>
            <w:tcW w:w="5437" w:type="dxa"/>
            <w:tcBorders>
              <w:left w:val="single" w:color="auto" w:sz="8" w:space="0"/>
            </w:tcBorders>
            <w:noWrap w:val="0"/>
            <w:vAlign w:val="center"/>
          </w:tcPr>
          <w:p>
            <w:pPr>
              <w:spacing w:line="360" w:lineRule="auto"/>
              <w:rPr>
                <w:rFonts w:ascii="宋体" w:hAnsi="宋体" w:cs="宋体"/>
                <w:color w:val="auto"/>
                <w:sz w:val="19"/>
                <w:szCs w:val="21"/>
                <w:highlight w:val="none"/>
              </w:rPr>
            </w:pPr>
            <w:r>
              <w:rPr>
                <w:rFonts w:hint="eastAsia" w:ascii="宋体" w:hAnsi="宋体" w:cs="宋体"/>
                <w:color w:val="auto"/>
                <w:sz w:val="19"/>
                <w:szCs w:val="21"/>
                <w:highlight w:val="none"/>
              </w:rPr>
              <w:t>根据财库【2016】125号文要求，采购人或采购代理机构对投标人的信用记录进行查询并甄别：</w:t>
            </w:r>
          </w:p>
          <w:p>
            <w:pPr>
              <w:spacing w:line="360" w:lineRule="auto"/>
              <w:rPr>
                <w:rFonts w:ascii="宋体" w:hAnsi="宋体" w:cs="宋体"/>
                <w:color w:val="auto"/>
                <w:sz w:val="19"/>
                <w:szCs w:val="21"/>
                <w:highlight w:val="none"/>
              </w:rPr>
            </w:pPr>
            <w:r>
              <w:rPr>
                <w:rFonts w:hint="eastAsia" w:ascii="宋体" w:hAnsi="宋体" w:cs="宋体"/>
                <w:color w:val="auto"/>
                <w:sz w:val="19"/>
                <w:szCs w:val="21"/>
                <w:highlight w:val="none"/>
              </w:rPr>
              <w:t>1）信用信息查询的截止时点：投标截止时间；</w:t>
            </w:r>
          </w:p>
          <w:p>
            <w:pPr>
              <w:spacing w:line="360" w:lineRule="auto"/>
              <w:rPr>
                <w:rFonts w:ascii="宋体" w:hAnsi="宋体" w:cs="宋体"/>
                <w:color w:val="auto"/>
                <w:sz w:val="19"/>
                <w:szCs w:val="21"/>
                <w:highlight w:val="none"/>
              </w:rPr>
            </w:pPr>
            <w:r>
              <w:rPr>
                <w:rFonts w:hint="eastAsia" w:ascii="宋体" w:hAnsi="宋体" w:cs="宋体"/>
                <w:color w:val="auto"/>
                <w:sz w:val="19"/>
                <w:szCs w:val="21"/>
                <w:highlight w:val="none"/>
              </w:rPr>
              <w:t>2）查询渠道：“信用中国”（www.creditchina.gov.cn)、中国政府采购网（www.ccgp.gov.cn）；</w:t>
            </w:r>
          </w:p>
          <w:p>
            <w:pPr>
              <w:spacing w:line="360" w:lineRule="auto"/>
              <w:rPr>
                <w:rFonts w:ascii="宋体" w:hAnsi="宋体" w:cs="宋体"/>
                <w:color w:val="auto"/>
                <w:sz w:val="19"/>
                <w:szCs w:val="21"/>
                <w:highlight w:val="none"/>
              </w:rPr>
            </w:pPr>
            <w:r>
              <w:rPr>
                <w:rFonts w:hint="eastAsia" w:ascii="宋体" w:hAnsi="宋体" w:cs="宋体"/>
                <w:color w:val="auto"/>
                <w:sz w:val="19"/>
                <w:szCs w:val="21"/>
                <w:highlight w:val="none"/>
              </w:rPr>
              <w:t>3）信用信息查询记录和证据留存具体方式：打印查询网页并与其他采购文件一并保存；</w:t>
            </w:r>
          </w:p>
          <w:p>
            <w:pPr>
              <w:spacing w:line="360" w:lineRule="auto"/>
              <w:rPr>
                <w:rFonts w:ascii="宋体" w:hAnsi="宋体" w:cs="宋体"/>
                <w:color w:val="auto"/>
                <w:sz w:val="19"/>
                <w:szCs w:val="21"/>
                <w:highlight w:val="none"/>
              </w:rPr>
            </w:pPr>
            <w:r>
              <w:rPr>
                <w:rFonts w:hint="eastAsia" w:ascii="宋体" w:hAnsi="宋体" w:cs="宋体"/>
                <w:color w:val="auto"/>
                <w:sz w:val="19"/>
                <w:szCs w:val="21"/>
                <w:highlight w:val="none"/>
              </w:rPr>
              <w:t>4）信用信息的使用规则：投标人存在不良信用记录的，其投标将被作为无效投标处理。不良信用记录指：被列入失信被执行人、重大税收违法案件当事人名单、政府采购严重违法失信行为记录名单。</w:t>
            </w:r>
          </w:p>
          <w:p>
            <w:pPr>
              <w:spacing w:line="360" w:lineRule="auto"/>
              <w:rPr>
                <w:rFonts w:ascii="宋体" w:hAnsi="宋体"/>
                <w:color w:val="auto"/>
                <w:sz w:val="19"/>
                <w:szCs w:val="21"/>
                <w:highlight w:val="none"/>
              </w:rPr>
            </w:pPr>
            <w:r>
              <w:rPr>
                <w:rFonts w:hint="eastAsia" w:ascii="宋体" w:hAnsi="宋体" w:cs="宋体"/>
                <w:color w:val="auto"/>
                <w:sz w:val="19"/>
                <w:szCs w:val="21"/>
                <w:highlight w:val="none"/>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44" w:type="dxa"/>
            <w:vMerge w:val="continue"/>
            <w:noWrap w:val="0"/>
            <w:vAlign w:val="center"/>
          </w:tcPr>
          <w:p>
            <w:pPr>
              <w:spacing w:line="360" w:lineRule="auto"/>
              <w:rPr>
                <w:rFonts w:ascii="宋体" w:hAnsi="宋体"/>
                <w:color w:val="auto"/>
                <w:sz w:val="19"/>
                <w:szCs w:val="21"/>
                <w:highlight w:val="none"/>
              </w:rPr>
            </w:pPr>
          </w:p>
        </w:tc>
        <w:tc>
          <w:tcPr>
            <w:tcW w:w="2920" w:type="dxa"/>
            <w:tcBorders>
              <w:right w:val="single" w:color="auto" w:sz="8" w:space="0"/>
            </w:tcBorders>
            <w:noWrap w:val="0"/>
            <w:vAlign w:val="center"/>
          </w:tcPr>
          <w:p>
            <w:pPr>
              <w:spacing w:line="360" w:lineRule="auto"/>
              <w:rPr>
                <w:rFonts w:ascii="宋体" w:hAnsi="宋体"/>
                <w:color w:val="auto"/>
                <w:sz w:val="19"/>
                <w:szCs w:val="19"/>
                <w:highlight w:val="none"/>
              </w:rPr>
            </w:pPr>
            <w:r>
              <w:rPr>
                <w:rFonts w:hint="eastAsia" w:ascii="宋体" w:hAnsi="宋体"/>
                <w:color w:val="auto"/>
                <w:sz w:val="19"/>
                <w:szCs w:val="19"/>
                <w:highlight w:val="none"/>
              </w:rPr>
              <w:t>3、落实政府采购政策需满足的资格要求：</w:t>
            </w:r>
          </w:p>
        </w:tc>
        <w:tc>
          <w:tcPr>
            <w:tcW w:w="5437" w:type="dxa"/>
            <w:tcBorders>
              <w:left w:val="single" w:color="auto" w:sz="8" w:space="0"/>
            </w:tcBorders>
            <w:noWrap w:val="0"/>
            <w:vAlign w:val="center"/>
          </w:tcPr>
          <w:p>
            <w:pPr>
              <w:spacing w:line="360" w:lineRule="auto"/>
              <w:rPr>
                <w:rFonts w:ascii="宋体" w:hAnsi="宋体"/>
                <w:color w:val="auto"/>
                <w:sz w:val="19"/>
                <w:szCs w:val="21"/>
                <w:highlight w:val="none"/>
              </w:rPr>
            </w:pPr>
            <w:r>
              <w:rPr>
                <w:rFonts w:hint="eastAsia" w:ascii="宋体" w:hAnsi="宋体"/>
                <w:color w:val="auto"/>
                <w:sz w:val="19"/>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44" w:type="dxa"/>
            <w:vMerge w:val="continue"/>
            <w:noWrap w:val="0"/>
            <w:vAlign w:val="center"/>
          </w:tcPr>
          <w:p>
            <w:pPr>
              <w:spacing w:line="360" w:lineRule="auto"/>
              <w:rPr>
                <w:rFonts w:ascii="宋体" w:hAnsi="宋体"/>
                <w:color w:val="auto"/>
                <w:sz w:val="19"/>
                <w:szCs w:val="21"/>
                <w:highlight w:val="none"/>
              </w:rPr>
            </w:pPr>
          </w:p>
        </w:tc>
        <w:tc>
          <w:tcPr>
            <w:tcW w:w="2920" w:type="dxa"/>
            <w:tcBorders>
              <w:bottom w:val="single" w:color="auto" w:sz="8" w:space="0"/>
              <w:right w:val="single" w:color="auto" w:sz="8" w:space="0"/>
            </w:tcBorders>
            <w:noWrap w:val="0"/>
            <w:vAlign w:val="center"/>
          </w:tcPr>
          <w:p>
            <w:pPr>
              <w:spacing w:line="360" w:lineRule="auto"/>
              <w:rPr>
                <w:rFonts w:ascii="宋体" w:hAnsi="宋体"/>
                <w:color w:val="auto"/>
                <w:sz w:val="19"/>
                <w:szCs w:val="19"/>
                <w:highlight w:val="none"/>
              </w:rPr>
            </w:pPr>
            <w:r>
              <w:rPr>
                <w:rFonts w:hint="eastAsia" w:ascii="宋体" w:hAnsi="宋体"/>
                <w:color w:val="auto"/>
                <w:sz w:val="19"/>
                <w:szCs w:val="19"/>
                <w:highlight w:val="none"/>
              </w:rPr>
              <w:t>4.本项目的特定资格要求：</w:t>
            </w:r>
          </w:p>
          <w:p>
            <w:pPr>
              <w:spacing w:line="360" w:lineRule="auto"/>
              <w:rPr>
                <w:rFonts w:ascii="宋体" w:hAnsi="宋体"/>
                <w:color w:val="auto"/>
                <w:sz w:val="19"/>
                <w:szCs w:val="19"/>
                <w:highlight w:val="none"/>
              </w:rPr>
            </w:pPr>
            <w:r>
              <w:rPr>
                <w:rFonts w:hint="eastAsia" w:ascii="宋体" w:hAnsi="宋体"/>
                <w:color w:val="auto"/>
                <w:sz w:val="19"/>
                <w:szCs w:val="19"/>
                <w:highlight w:val="none"/>
              </w:rPr>
              <w:t>4.</w:t>
            </w:r>
            <w:r>
              <w:rPr>
                <w:rFonts w:hint="eastAsia" w:ascii="宋体" w:hAnsi="宋体"/>
                <w:color w:val="auto"/>
                <w:sz w:val="19"/>
                <w:szCs w:val="19"/>
                <w:highlight w:val="none"/>
                <w:lang w:val="en-US" w:eastAsia="zh-CN"/>
              </w:rPr>
              <w:t>1</w:t>
            </w:r>
            <w:r>
              <w:rPr>
                <w:rFonts w:hint="eastAsia" w:ascii="宋体" w:hAnsi="宋体"/>
                <w:color w:val="auto"/>
                <w:sz w:val="19"/>
                <w:szCs w:val="19"/>
                <w:highlight w:val="none"/>
              </w:rPr>
              <w:t>本项目不接受联合体投标。</w:t>
            </w:r>
          </w:p>
        </w:tc>
        <w:tc>
          <w:tcPr>
            <w:tcW w:w="5437" w:type="dxa"/>
            <w:tcBorders>
              <w:left w:val="single" w:color="auto" w:sz="8" w:space="0"/>
              <w:bottom w:val="single" w:color="auto" w:sz="8" w:space="0"/>
            </w:tcBorders>
            <w:noWrap w:val="0"/>
            <w:vAlign w:val="center"/>
          </w:tcPr>
          <w:p>
            <w:pPr>
              <w:spacing w:line="360" w:lineRule="auto"/>
              <w:rPr>
                <w:rFonts w:ascii="宋体" w:hAnsi="宋体" w:cs="宋体"/>
                <w:color w:val="auto"/>
                <w:sz w:val="19"/>
                <w:szCs w:val="19"/>
                <w:highlight w:val="none"/>
              </w:rPr>
            </w:pPr>
            <w:r>
              <w:rPr>
                <w:rFonts w:hint="eastAsia" w:ascii="宋体" w:hAnsi="宋体"/>
                <w:color w:val="auto"/>
                <w:sz w:val="19"/>
                <w:szCs w:val="19"/>
                <w:highlight w:val="none"/>
              </w:rPr>
              <w:t>投标人是否为联合体投标。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964" w:type="dxa"/>
            <w:gridSpan w:val="2"/>
            <w:tcBorders>
              <w:right w:val="single" w:color="auto" w:sz="8" w:space="0"/>
            </w:tcBorders>
            <w:noWrap w:val="0"/>
            <w:vAlign w:val="center"/>
          </w:tcPr>
          <w:p>
            <w:pPr>
              <w:spacing w:line="360" w:lineRule="auto"/>
              <w:jc w:val="center"/>
              <w:rPr>
                <w:rFonts w:ascii="宋体" w:hAnsi="宋体"/>
                <w:color w:val="auto"/>
                <w:sz w:val="19"/>
                <w:szCs w:val="21"/>
                <w:highlight w:val="none"/>
              </w:rPr>
            </w:pPr>
            <w:r>
              <w:rPr>
                <w:rFonts w:hint="eastAsia" w:ascii="宋体" w:hAnsi="宋体"/>
                <w:color w:val="auto"/>
                <w:sz w:val="19"/>
                <w:szCs w:val="21"/>
                <w:highlight w:val="none"/>
              </w:rPr>
              <w:t>资格审查结论</w:t>
            </w:r>
          </w:p>
        </w:tc>
        <w:tc>
          <w:tcPr>
            <w:tcW w:w="5437" w:type="dxa"/>
            <w:tcBorders>
              <w:top w:val="single" w:color="auto" w:sz="8" w:space="0"/>
              <w:left w:val="single" w:color="auto" w:sz="8" w:space="0"/>
            </w:tcBorders>
            <w:noWrap w:val="0"/>
            <w:vAlign w:val="center"/>
          </w:tcPr>
          <w:p>
            <w:pPr>
              <w:spacing w:line="360" w:lineRule="auto"/>
              <w:rPr>
                <w:rFonts w:ascii="宋体" w:hAnsi="宋体"/>
                <w:color w:val="auto"/>
                <w:sz w:val="19"/>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color w:val="auto"/>
          <w:kern w:val="0"/>
          <w:szCs w:val="21"/>
          <w:highlight w:val="none"/>
        </w:rPr>
      </w:pPr>
      <w:r>
        <w:rPr>
          <w:rFonts w:hint="eastAsia" w:ascii="宋体" w:hAnsi="宋体"/>
          <w:color w:val="auto"/>
          <w:szCs w:val="21"/>
          <w:highlight w:val="none"/>
        </w:rPr>
        <w:t>2．符合性检查：</w:t>
      </w:r>
      <w:r>
        <w:rPr>
          <w:rFonts w:hint="eastAsia" w:ascii="宋体" w:hAnsi="宋体" w:cs="宋体"/>
          <w:color w:val="auto"/>
          <w:kern w:val="0"/>
          <w:szCs w:val="21"/>
          <w:highlight w:val="none"/>
        </w:rPr>
        <w:t>评标委员会应当对符合资格审查的投标人的投标文件进行符合性审查，以确定其是否满足招标文件的实质性要求。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25"/>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ascii="宋体" w:hAnsi="宋体"/>
                <w:b/>
                <w:color w:val="auto"/>
                <w:sz w:val="19"/>
                <w:szCs w:val="19"/>
                <w:highlight w:val="none"/>
              </w:rPr>
            </w:pPr>
            <w:r>
              <w:rPr>
                <w:rFonts w:hint="eastAsia" w:ascii="宋体" w:hAnsi="宋体"/>
                <w:b/>
                <w:color w:val="auto"/>
                <w:sz w:val="19"/>
                <w:szCs w:val="19"/>
                <w:highlight w:val="none"/>
              </w:rPr>
              <w:t>序号</w:t>
            </w:r>
          </w:p>
        </w:tc>
        <w:tc>
          <w:tcPr>
            <w:tcW w:w="4725" w:type="dxa"/>
            <w:noWrap w:val="0"/>
            <w:vAlign w:val="center"/>
          </w:tcPr>
          <w:p>
            <w:pPr>
              <w:spacing w:line="360" w:lineRule="exact"/>
              <w:jc w:val="center"/>
              <w:rPr>
                <w:rFonts w:ascii="宋体" w:hAnsi="宋体"/>
                <w:b/>
                <w:color w:val="auto"/>
                <w:sz w:val="19"/>
                <w:szCs w:val="19"/>
                <w:highlight w:val="none"/>
              </w:rPr>
            </w:pPr>
            <w:r>
              <w:rPr>
                <w:rFonts w:hint="eastAsia" w:ascii="宋体" w:hAnsi="宋体"/>
                <w:b/>
                <w:color w:val="auto"/>
                <w:sz w:val="19"/>
                <w:szCs w:val="19"/>
                <w:highlight w:val="none"/>
              </w:rPr>
              <w:t>要求说明</w:t>
            </w:r>
          </w:p>
        </w:tc>
        <w:tc>
          <w:tcPr>
            <w:tcW w:w="3970" w:type="dxa"/>
            <w:noWrap w:val="0"/>
            <w:vAlign w:val="center"/>
          </w:tcPr>
          <w:p>
            <w:pPr>
              <w:spacing w:line="360" w:lineRule="exact"/>
              <w:jc w:val="center"/>
              <w:rPr>
                <w:rFonts w:ascii="宋体" w:hAnsi="宋体"/>
                <w:b/>
                <w:color w:val="auto"/>
                <w:sz w:val="19"/>
                <w:szCs w:val="19"/>
                <w:highlight w:val="none"/>
              </w:rPr>
            </w:pPr>
            <w:r>
              <w:rPr>
                <w:rFonts w:hint="eastAsia" w:ascii="宋体" w:hAnsi="宋体"/>
                <w:b/>
                <w:color w:val="auto"/>
                <w:sz w:val="19"/>
                <w:szCs w:val="19"/>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 w:val="19"/>
                <w:szCs w:val="19"/>
                <w:highlight w:val="none"/>
              </w:rPr>
            </w:pPr>
            <w:r>
              <w:rPr>
                <w:rFonts w:hint="eastAsia" w:ascii="宋体" w:hAnsi="宋体"/>
                <w:color w:val="auto"/>
                <w:sz w:val="19"/>
                <w:szCs w:val="19"/>
                <w:highlight w:val="none"/>
              </w:rPr>
              <w:t>1</w:t>
            </w:r>
          </w:p>
        </w:tc>
        <w:tc>
          <w:tcPr>
            <w:tcW w:w="4725"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投标有效期：符合第二部分“投标资料表”12.1条的要求。</w:t>
            </w:r>
          </w:p>
        </w:tc>
        <w:tc>
          <w:tcPr>
            <w:tcW w:w="3970"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提供“投标函”</w:t>
            </w:r>
            <w:r>
              <w:rPr>
                <w:rFonts w:hint="eastAsia" w:ascii="宋体" w:hAnsi="宋体" w:cs="宋体"/>
                <w:color w:val="auto"/>
                <w:sz w:val="19"/>
                <w:szCs w:val="19"/>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 w:val="19"/>
                <w:szCs w:val="19"/>
                <w:highlight w:val="none"/>
              </w:rPr>
            </w:pPr>
            <w:r>
              <w:rPr>
                <w:rFonts w:hint="eastAsia" w:ascii="宋体" w:hAnsi="宋体"/>
                <w:color w:val="auto"/>
                <w:sz w:val="19"/>
                <w:szCs w:val="19"/>
                <w:highlight w:val="none"/>
              </w:rPr>
              <w:t>2</w:t>
            </w:r>
          </w:p>
        </w:tc>
        <w:tc>
          <w:tcPr>
            <w:tcW w:w="4725"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单位负责人授权书或单位负责人身份证明。</w:t>
            </w:r>
          </w:p>
        </w:tc>
        <w:tc>
          <w:tcPr>
            <w:tcW w:w="3970"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（1）投标文件由法定代表人签字的，提供“单位负责人身份证明”</w:t>
            </w:r>
            <w:r>
              <w:rPr>
                <w:rFonts w:hint="eastAsia" w:ascii="宋体" w:hAnsi="宋体" w:cs="宋体"/>
                <w:color w:val="auto"/>
                <w:sz w:val="19"/>
                <w:szCs w:val="19"/>
                <w:highlight w:val="none"/>
              </w:rPr>
              <w:t>。</w:t>
            </w:r>
          </w:p>
          <w:p>
            <w:pPr>
              <w:spacing w:line="260" w:lineRule="exact"/>
              <w:rPr>
                <w:rFonts w:ascii="宋体" w:hAnsi="宋体"/>
                <w:color w:val="auto"/>
                <w:sz w:val="19"/>
                <w:szCs w:val="19"/>
                <w:highlight w:val="none"/>
              </w:rPr>
            </w:pPr>
            <w:r>
              <w:rPr>
                <w:rFonts w:hint="eastAsia" w:ascii="宋体" w:hAnsi="宋体"/>
                <w:color w:val="auto"/>
                <w:sz w:val="19"/>
                <w:szCs w:val="19"/>
                <w:highlight w:val="none"/>
              </w:rPr>
              <w:t>（2）投标文件由授权代表签字的，提供“单位负责人授权书”。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 w:val="19"/>
                <w:szCs w:val="19"/>
                <w:highlight w:val="none"/>
              </w:rPr>
            </w:pPr>
            <w:r>
              <w:rPr>
                <w:rFonts w:hint="eastAsia" w:ascii="宋体" w:hAnsi="宋体"/>
                <w:color w:val="auto"/>
                <w:sz w:val="19"/>
                <w:szCs w:val="19"/>
                <w:highlight w:val="none"/>
              </w:rPr>
              <w:t>3</w:t>
            </w:r>
          </w:p>
        </w:tc>
        <w:tc>
          <w:tcPr>
            <w:tcW w:w="4725"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符合第三章“投标须知”第15条的要求。</w:t>
            </w:r>
          </w:p>
        </w:tc>
        <w:tc>
          <w:tcPr>
            <w:tcW w:w="3970"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 w:val="19"/>
                <w:szCs w:val="19"/>
                <w:highlight w:val="none"/>
              </w:rPr>
            </w:pPr>
            <w:r>
              <w:rPr>
                <w:rFonts w:hint="eastAsia" w:ascii="宋体" w:hAnsi="宋体"/>
                <w:color w:val="auto"/>
                <w:sz w:val="19"/>
                <w:szCs w:val="19"/>
                <w:highlight w:val="none"/>
              </w:rPr>
              <w:t>4</w:t>
            </w:r>
          </w:p>
        </w:tc>
        <w:tc>
          <w:tcPr>
            <w:tcW w:w="4725"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标项以赠送方式投标的，对一个标项提供两个投标方案的。</w:t>
            </w:r>
          </w:p>
        </w:tc>
        <w:tc>
          <w:tcPr>
            <w:tcW w:w="3970"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 w:val="19"/>
                <w:szCs w:val="19"/>
                <w:highlight w:val="none"/>
              </w:rPr>
            </w:pPr>
            <w:r>
              <w:rPr>
                <w:rFonts w:hint="eastAsia" w:ascii="宋体" w:hAnsi="宋体"/>
                <w:color w:val="auto"/>
                <w:sz w:val="19"/>
                <w:szCs w:val="19"/>
                <w:highlight w:val="none"/>
              </w:rPr>
              <w:t>5</w:t>
            </w:r>
          </w:p>
        </w:tc>
        <w:tc>
          <w:tcPr>
            <w:tcW w:w="4725"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供应商不得在投标活动中提供任何虚假材料或从事其他违法活动的。</w:t>
            </w:r>
          </w:p>
        </w:tc>
        <w:tc>
          <w:tcPr>
            <w:tcW w:w="3970"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 w:val="19"/>
                <w:szCs w:val="19"/>
                <w:highlight w:val="none"/>
              </w:rPr>
            </w:pPr>
            <w:r>
              <w:rPr>
                <w:rFonts w:hint="eastAsia" w:ascii="宋体" w:hAnsi="宋体"/>
                <w:color w:val="auto"/>
                <w:sz w:val="19"/>
                <w:szCs w:val="19"/>
                <w:highlight w:val="none"/>
              </w:rPr>
              <w:t>6</w:t>
            </w:r>
          </w:p>
        </w:tc>
        <w:tc>
          <w:tcPr>
            <w:tcW w:w="4725"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违反公平竞争的原则或恶意串通或妨碍其他投标人的竞争行为或损害采购人或者其他投标人的合法权益的；</w:t>
            </w:r>
          </w:p>
        </w:tc>
        <w:tc>
          <w:tcPr>
            <w:tcW w:w="3970"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 w:val="19"/>
                <w:szCs w:val="19"/>
                <w:highlight w:val="none"/>
              </w:rPr>
            </w:pPr>
            <w:r>
              <w:rPr>
                <w:rFonts w:hint="eastAsia" w:ascii="宋体" w:hAnsi="宋体"/>
                <w:color w:val="auto"/>
                <w:sz w:val="19"/>
                <w:szCs w:val="19"/>
                <w:highlight w:val="none"/>
              </w:rPr>
              <w:t>7</w:t>
            </w:r>
          </w:p>
        </w:tc>
        <w:tc>
          <w:tcPr>
            <w:tcW w:w="4725"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不允许含有采购人不能接受的附加条件的；</w:t>
            </w:r>
          </w:p>
        </w:tc>
        <w:tc>
          <w:tcPr>
            <w:tcW w:w="3970"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 w:val="19"/>
                <w:szCs w:val="19"/>
                <w:highlight w:val="none"/>
              </w:rPr>
            </w:pPr>
            <w:r>
              <w:rPr>
                <w:rFonts w:hint="eastAsia" w:ascii="宋体" w:hAnsi="宋体"/>
                <w:color w:val="auto"/>
                <w:sz w:val="19"/>
                <w:szCs w:val="19"/>
                <w:highlight w:val="none"/>
              </w:rPr>
              <w:t>8</w:t>
            </w:r>
          </w:p>
        </w:tc>
        <w:tc>
          <w:tcPr>
            <w:tcW w:w="4725"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不允许出现与招标文件有重大偏离的投标文件。</w:t>
            </w:r>
          </w:p>
        </w:tc>
        <w:tc>
          <w:tcPr>
            <w:tcW w:w="3970"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 w:val="19"/>
                <w:szCs w:val="19"/>
                <w:highlight w:val="none"/>
              </w:rPr>
            </w:pPr>
            <w:r>
              <w:rPr>
                <w:rFonts w:hint="eastAsia" w:ascii="宋体" w:hAnsi="宋体"/>
                <w:color w:val="auto"/>
                <w:sz w:val="19"/>
                <w:szCs w:val="19"/>
                <w:highlight w:val="none"/>
              </w:rPr>
              <w:t>9</w:t>
            </w:r>
          </w:p>
        </w:tc>
        <w:tc>
          <w:tcPr>
            <w:tcW w:w="4725"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评标委员会经过审查，认定供应商虚假应标、串通投标的，有下列情形之一的，视为供应商串通投标：</w:t>
            </w:r>
          </w:p>
          <w:p>
            <w:pPr>
              <w:widowControl/>
              <w:spacing w:line="260" w:lineRule="exact"/>
              <w:jc w:val="left"/>
              <w:rPr>
                <w:rFonts w:ascii="宋体" w:hAnsi="宋体"/>
                <w:color w:val="auto"/>
                <w:sz w:val="19"/>
                <w:szCs w:val="19"/>
                <w:highlight w:val="none"/>
              </w:rPr>
            </w:pPr>
            <w:r>
              <w:rPr>
                <w:rFonts w:hint="eastAsia" w:ascii="宋体" w:hAnsi="宋体"/>
                <w:color w:val="auto"/>
                <w:sz w:val="19"/>
                <w:szCs w:val="19"/>
                <w:highlight w:val="none"/>
              </w:rPr>
              <w:t>（</w:t>
            </w:r>
            <w:r>
              <w:rPr>
                <w:rFonts w:ascii="宋体" w:hAnsi="宋体"/>
                <w:color w:val="auto"/>
                <w:sz w:val="19"/>
                <w:szCs w:val="19"/>
                <w:highlight w:val="none"/>
              </w:rPr>
              <w:t>1</w:t>
            </w:r>
            <w:r>
              <w:rPr>
                <w:rFonts w:hint="eastAsia" w:ascii="宋体" w:hAnsi="宋体"/>
                <w:color w:val="auto"/>
                <w:sz w:val="19"/>
                <w:szCs w:val="19"/>
                <w:highlight w:val="none"/>
              </w:rPr>
              <w:t>）不同供应商的投标文件由同一单位或者个人编制；</w:t>
            </w:r>
          </w:p>
          <w:p>
            <w:pPr>
              <w:widowControl/>
              <w:spacing w:line="260" w:lineRule="exact"/>
              <w:jc w:val="left"/>
              <w:rPr>
                <w:rFonts w:ascii="宋体" w:hAnsi="宋体"/>
                <w:color w:val="auto"/>
                <w:sz w:val="19"/>
                <w:szCs w:val="19"/>
                <w:highlight w:val="none"/>
              </w:rPr>
            </w:pPr>
            <w:r>
              <w:rPr>
                <w:rFonts w:hint="eastAsia" w:ascii="宋体" w:hAnsi="宋体"/>
                <w:color w:val="auto"/>
                <w:sz w:val="19"/>
                <w:szCs w:val="19"/>
                <w:highlight w:val="none"/>
              </w:rPr>
              <w:t>（</w:t>
            </w:r>
            <w:r>
              <w:rPr>
                <w:rFonts w:ascii="宋体" w:hAnsi="宋体"/>
                <w:color w:val="auto"/>
                <w:sz w:val="19"/>
                <w:szCs w:val="19"/>
                <w:highlight w:val="none"/>
              </w:rPr>
              <w:t>2</w:t>
            </w:r>
            <w:r>
              <w:rPr>
                <w:rFonts w:hint="eastAsia" w:ascii="宋体" w:hAnsi="宋体"/>
                <w:color w:val="auto"/>
                <w:sz w:val="19"/>
                <w:szCs w:val="19"/>
                <w:highlight w:val="none"/>
              </w:rPr>
              <w:t>）不同供应商委托同一单位或者个人办理投标事宜；</w:t>
            </w:r>
          </w:p>
          <w:p>
            <w:pPr>
              <w:widowControl/>
              <w:spacing w:line="260" w:lineRule="exact"/>
              <w:jc w:val="left"/>
              <w:rPr>
                <w:rFonts w:ascii="宋体" w:hAnsi="宋体"/>
                <w:color w:val="auto"/>
                <w:sz w:val="19"/>
                <w:szCs w:val="19"/>
                <w:highlight w:val="none"/>
              </w:rPr>
            </w:pPr>
            <w:r>
              <w:rPr>
                <w:rFonts w:hint="eastAsia" w:ascii="宋体" w:hAnsi="宋体"/>
                <w:color w:val="auto"/>
                <w:sz w:val="19"/>
                <w:szCs w:val="19"/>
                <w:highlight w:val="none"/>
              </w:rPr>
              <w:t>（</w:t>
            </w:r>
            <w:r>
              <w:rPr>
                <w:rFonts w:ascii="宋体" w:hAnsi="宋体"/>
                <w:color w:val="auto"/>
                <w:sz w:val="19"/>
                <w:szCs w:val="19"/>
                <w:highlight w:val="none"/>
              </w:rPr>
              <w:t>3</w:t>
            </w:r>
            <w:r>
              <w:rPr>
                <w:rFonts w:hint="eastAsia" w:ascii="宋体" w:hAnsi="宋体"/>
                <w:color w:val="auto"/>
                <w:sz w:val="19"/>
                <w:szCs w:val="19"/>
                <w:highlight w:val="none"/>
              </w:rPr>
              <w:t>）不同供应商的投标文件载明的项目管理成员或者联系人员为同一人；</w:t>
            </w:r>
          </w:p>
          <w:p>
            <w:pPr>
              <w:widowControl/>
              <w:spacing w:line="260" w:lineRule="exact"/>
              <w:jc w:val="left"/>
              <w:rPr>
                <w:rFonts w:ascii="宋体" w:hAnsi="宋体"/>
                <w:color w:val="auto"/>
                <w:sz w:val="19"/>
                <w:szCs w:val="19"/>
                <w:highlight w:val="none"/>
              </w:rPr>
            </w:pPr>
            <w:r>
              <w:rPr>
                <w:rFonts w:hint="eastAsia" w:ascii="宋体" w:hAnsi="宋体"/>
                <w:color w:val="auto"/>
                <w:sz w:val="19"/>
                <w:szCs w:val="19"/>
                <w:highlight w:val="none"/>
              </w:rPr>
              <w:t>（</w:t>
            </w:r>
            <w:r>
              <w:rPr>
                <w:rFonts w:ascii="宋体" w:hAnsi="宋体"/>
                <w:color w:val="auto"/>
                <w:sz w:val="19"/>
                <w:szCs w:val="19"/>
                <w:highlight w:val="none"/>
              </w:rPr>
              <w:t>4</w:t>
            </w:r>
            <w:r>
              <w:rPr>
                <w:rFonts w:hint="eastAsia" w:ascii="宋体" w:hAnsi="宋体"/>
                <w:color w:val="auto"/>
                <w:sz w:val="19"/>
                <w:szCs w:val="19"/>
                <w:highlight w:val="none"/>
              </w:rPr>
              <w:t>）不同供应商的投标文件异常一致或者投标报价呈规律性差异；</w:t>
            </w:r>
          </w:p>
          <w:p>
            <w:pPr>
              <w:widowControl/>
              <w:spacing w:line="260" w:lineRule="exact"/>
              <w:jc w:val="left"/>
              <w:rPr>
                <w:rFonts w:ascii="宋体" w:hAnsi="宋体"/>
                <w:color w:val="auto"/>
                <w:sz w:val="19"/>
                <w:szCs w:val="19"/>
                <w:highlight w:val="none"/>
              </w:rPr>
            </w:pPr>
            <w:r>
              <w:rPr>
                <w:rFonts w:hint="eastAsia" w:ascii="宋体" w:hAnsi="宋体"/>
                <w:color w:val="auto"/>
                <w:sz w:val="19"/>
                <w:szCs w:val="19"/>
                <w:highlight w:val="none"/>
              </w:rPr>
              <w:t>（</w:t>
            </w:r>
            <w:r>
              <w:rPr>
                <w:rFonts w:ascii="宋体" w:hAnsi="宋体"/>
                <w:color w:val="auto"/>
                <w:sz w:val="19"/>
                <w:szCs w:val="19"/>
                <w:highlight w:val="none"/>
              </w:rPr>
              <w:t>5</w:t>
            </w:r>
            <w:r>
              <w:rPr>
                <w:rFonts w:hint="eastAsia" w:ascii="宋体" w:hAnsi="宋体"/>
                <w:color w:val="auto"/>
                <w:sz w:val="19"/>
                <w:szCs w:val="19"/>
                <w:highlight w:val="none"/>
              </w:rPr>
              <w:t>）不同供应商的投标文件相互混装；</w:t>
            </w:r>
          </w:p>
        </w:tc>
        <w:tc>
          <w:tcPr>
            <w:tcW w:w="3970"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0" w:type="dxa"/>
            <w:noWrap w:val="0"/>
            <w:vAlign w:val="center"/>
          </w:tcPr>
          <w:p>
            <w:pPr>
              <w:spacing w:line="400" w:lineRule="exact"/>
              <w:jc w:val="center"/>
              <w:rPr>
                <w:rFonts w:ascii="宋体" w:hAnsi="宋体"/>
                <w:color w:val="auto"/>
                <w:sz w:val="19"/>
                <w:szCs w:val="19"/>
                <w:highlight w:val="none"/>
              </w:rPr>
            </w:pPr>
            <w:r>
              <w:rPr>
                <w:rFonts w:hint="eastAsia" w:ascii="宋体" w:hAnsi="宋体"/>
                <w:color w:val="auto"/>
                <w:sz w:val="19"/>
                <w:szCs w:val="19"/>
                <w:highlight w:val="none"/>
              </w:rPr>
              <w:t>10</w:t>
            </w:r>
          </w:p>
        </w:tc>
        <w:tc>
          <w:tcPr>
            <w:tcW w:w="4725"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符合法律、法规和招标文件中规定的其他实质性要求（实质性要求招标文件中“</w:t>
            </w:r>
            <w:r>
              <w:rPr>
                <w:rFonts w:hint="eastAsia" w:ascii="宋体" w:hAnsi="宋体"/>
                <w:b/>
                <w:color w:val="auto"/>
                <w:sz w:val="19"/>
                <w:szCs w:val="19"/>
                <w:highlight w:val="none"/>
              </w:rPr>
              <w:t>★</w:t>
            </w:r>
            <w:r>
              <w:rPr>
                <w:rFonts w:hint="eastAsia" w:ascii="宋体" w:hAnsi="宋体"/>
                <w:color w:val="auto"/>
                <w:sz w:val="19"/>
                <w:szCs w:val="19"/>
                <w:highlight w:val="none"/>
              </w:rPr>
              <w:t>”标记）</w:t>
            </w:r>
          </w:p>
        </w:tc>
        <w:tc>
          <w:tcPr>
            <w:tcW w:w="3970"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 w:val="19"/>
                <w:szCs w:val="19"/>
                <w:highlight w:val="none"/>
              </w:rPr>
            </w:pPr>
            <w:r>
              <w:rPr>
                <w:rFonts w:hint="eastAsia" w:ascii="宋体" w:hAnsi="宋体"/>
                <w:color w:val="auto"/>
                <w:sz w:val="19"/>
                <w:szCs w:val="19"/>
                <w:highlight w:val="none"/>
              </w:rPr>
              <w:t>11</w:t>
            </w:r>
          </w:p>
        </w:tc>
        <w:tc>
          <w:tcPr>
            <w:tcW w:w="4725" w:type="dxa"/>
            <w:noWrap w:val="0"/>
            <w:vAlign w:val="top"/>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本项目公开招标设有最高限价标项一为</w:t>
            </w:r>
            <w:r>
              <w:rPr>
                <w:rFonts w:hint="eastAsia" w:ascii="宋体" w:hAnsi="宋体"/>
                <w:color w:val="auto"/>
                <w:sz w:val="19"/>
                <w:szCs w:val="19"/>
                <w:highlight w:val="none"/>
                <w:lang w:val="en-US" w:eastAsia="zh-CN"/>
              </w:rPr>
              <w:t>47.9945万元</w:t>
            </w:r>
          </w:p>
        </w:tc>
        <w:tc>
          <w:tcPr>
            <w:tcW w:w="3970"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 w:val="19"/>
                <w:szCs w:val="19"/>
                <w:highlight w:val="none"/>
              </w:rPr>
            </w:pPr>
            <w:r>
              <w:rPr>
                <w:rFonts w:hint="eastAsia" w:ascii="宋体" w:hAnsi="宋体"/>
                <w:color w:val="auto"/>
                <w:sz w:val="19"/>
                <w:szCs w:val="19"/>
                <w:highlight w:val="none"/>
              </w:rPr>
              <w:t>12</w:t>
            </w:r>
          </w:p>
        </w:tc>
        <w:tc>
          <w:tcPr>
            <w:tcW w:w="4725" w:type="dxa"/>
            <w:noWrap w:val="0"/>
            <w:vAlign w:val="top"/>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投标文件报价出现前后不一致，经按招标文件规定修正后，投标人对修正后的报价不确认的；</w:t>
            </w:r>
          </w:p>
        </w:tc>
        <w:tc>
          <w:tcPr>
            <w:tcW w:w="3970"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 w:val="19"/>
                <w:szCs w:val="19"/>
                <w:highlight w:val="none"/>
              </w:rPr>
            </w:pPr>
            <w:r>
              <w:rPr>
                <w:rFonts w:hint="eastAsia" w:ascii="宋体" w:hAnsi="宋体"/>
                <w:color w:val="auto"/>
                <w:sz w:val="19"/>
                <w:szCs w:val="19"/>
                <w:highlight w:val="none"/>
              </w:rPr>
              <w:t>13</w:t>
            </w:r>
          </w:p>
        </w:tc>
        <w:tc>
          <w:tcPr>
            <w:tcW w:w="4725"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3970" w:type="dxa"/>
            <w:noWrap w:val="0"/>
            <w:vAlign w:val="center"/>
          </w:tcPr>
          <w:p>
            <w:pPr>
              <w:spacing w:line="260" w:lineRule="exact"/>
              <w:rPr>
                <w:rFonts w:ascii="宋体" w:hAnsi="宋体"/>
                <w:color w:val="auto"/>
                <w:sz w:val="19"/>
                <w:szCs w:val="19"/>
                <w:highlight w:val="none"/>
              </w:rPr>
            </w:pPr>
            <w:r>
              <w:rPr>
                <w:rFonts w:hint="eastAsia" w:ascii="宋体" w:hAnsi="宋体"/>
                <w:color w:val="auto"/>
                <w:sz w:val="19"/>
                <w:szCs w:val="19"/>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45" w:type="dxa"/>
            <w:gridSpan w:val="2"/>
            <w:noWrap w:val="0"/>
            <w:vAlign w:val="center"/>
          </w:tcPr>
          <w:p>
            <w:pPr>
              <w:spacing w:line="400" w:lineRule="exact"/>
              <w:jc w:val="center"/>
              <w:rPr>
                <w:rFonts w:ascii="宋体" w:hAnsi="宋体"/>
                <w:color w:val="auto"/>
                <w:sz w:val="19"/>
                <w:szCs w:val="19"/>
                <w:highlight w:val="none"/>
              </w:rPr>
            </w:pPr>
            <w:r>
              <w:rPr>
                <w:rFonts w:hint="eastAsia" w:ascii="宋体" w:hAnsi="宋体"/>
                <w:color w:val="auto"/>
                <w:sz w:val="19"/>
                <w:szCs w:val="19"/>
                <w:highlight w:val="none"/>
              </w:rPr>
              <w:t>符合性审查结论</w:t>
            </w:r>
          </w:p>
        </w:tc>
        <w:tc>
          <w:tcPr>
            <w:tcW w:w="3970" w:type="dxa"/>
            <w:noWrap w:val="0"/>
            <w:vAlign w:val="center"/>
          </w:tcPr>
          <w:p>
            <w:pPr>
              <w:spacing w:line="400" w:lineRule="exact"/>
              <w:rPr>
                <w:rFonts w:ascii="宋体" w:hAnsi="宋体"/>
                <w:color w:val="auto"/>
                <w:sz w:val="19"/>
                <w:szCs w:val="19"/>
                <w:highlight w:val="none"/>
              </w:rPr>
            </w:pPr>
          </w:p>
        </w:tc>
      </w:tr>
    </w:tbl>
    <w:p>
      <w:pPr>
        <w:pStyle w:val="17"/>
        <w:rPr>
          <w:b/>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3．比较与评价：评标委员会对资格审查、符合性审查合格的投标文件，依照本办法“七、评分标准”对投标文件作进一步评审、比较，判定其偏差性质和程度。评标委员会成员经过阅标、审标和询标，对各投标人进行打分。</w:t>
      </w:r>
    </w:p>
    <w:p>
      <w:pPr>
        <w:spacing w:line="360" w:lineRule="auto"/>
        <w:rPr>
          <w:rFonts w:hint="eastAsia" w:ascii="宋体" w:hAnsi="宋体"/>
          <w:color w:val="auto"/>
          <w:szCs w:val="21"/>
          <w:highlight w:val="none"/>
        </w:rPr>
      </w:pPr>
      <w:r>
        <w:rPr>
          <w:rFonts w:hint="eastAsia" w:ascii="宋体" w:hAnsi="宋体"/>
          <w:color w:val="auto"/>
          <w:szCs w:val="21"/>
          <w:highlight w:val="none"/>
        </w:rPr>
        <w:t>4．最终得分及排序：</w:t>
      </w:r>
      <w:r>
        <w:rPr>
          <w:rFonts w:hint="eastAsia" w:ascii="宋体" w:hAnsi="宋体" w:cs="宋体"/>
          <w:color w:val="auto"/>
          <w:szCs w:val="21"/>
          <w:highlight w:val="none"/>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auto"/>
          <w:kern w:val="0"/>
          <w:szCs w:val="21"/>
          <w:highlight w:val="none"/>
        </w:rPr>
        <w:t>评标结果按评审后得分由高到低顺序排列。得分相同的，按投标报价由低到高顺序排列。得分且投标报价相同的并列，按推荐中标候选人原则推荐。</w:t>
      </w:r>
    </w:p>
    <w:p>
      <w:pPr>
        <w:spacing w:line="360" w:lineRule="auto"/>
        <w:rPr>
          <w:rFonts w:ascii="宋体" w:hAnsi="宋体"/>
          <w:color w:val="auto"/>
          <w:szCs w:val="21"/>
          <w:highlight w:val="none"/>
        </w:rPr>
      </w:pPr>
      <w:r>
        <w:rPr>
          <w:rFonts w:hint="eastAsia" w:ascii="宋体" w:hAnsi="宋体"/>
          <w:color w:val="auto"/>
          <w:szCs w:val="21"/>
          <w:highlight w:val="none"/>
        </w:rPr>
        <w:t>5．推荐中标候选人原则：</w:t>
      </w:r>
      <w:r>
        <w:rPr>
          <w:rFonts w:hint="eastAsia" w:ascii="宋体" w:hAnsi="宋体" w:cs="宋体"/>
          <w:color w:val="auto"/>
          <w:kern w:val="0"/>
          <w:szCs w:val="21"/>
          <w:highlight w:val="none"/>
        </w:rPr>
        <w:t>投标文件满足招标文件全部实质性要求，且按照评审因素的量化指标评审得分最高的投标人为排名第一的中标候选人。</w:t>
      </w:r>
    </w:p>
    <w:p>
      <w:pPr>
        <w:spacing w:line="360" w:lineRule="auto"/>
        <w:rPr>
          <w:rFonts w:ascii="宋体" w:hAnsi="宋体"/>
          <w:color w:val="auto"/>
          <w:szCs w:val="21"/>
          <w:highlight w:val="none"/>
        </w:rPr>
      </w:pPr>
      <w:r>
        <w:rPr>
          <w:rFonts w:hint="eastAsia" w:ascii="宋体" w:hAnsi="宋体"/>
          <w:color w:val="auto"/>
          <w:szCs w:val="21"/>
          <w:highlight w:val="none"/>
        </w:rPr>
        <w:t>6．确定中标人：</w:t>
      </w:r>
      <w:r>
        <w:rPr>
          <w:rFonts w:hint="eastAsia" w:ascii="宋体" w:hAnsi="宋体" w:cs="宋体"/>
          <w:color w:val="auto"/>
          <w:szCs w:val="21"/>
          <w:highlight w:val="none"/>
        </w:rPr>
        <w:t>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w:t>
      </w:r>
      <w:r>
        <w:rPr>
          <w:rFonts w:hint="eastAsia" w:ascii="宋体" w:hAnsi="宋体"/>
          <w:color w:val="auto"/>
          <w:szCs w:val="21"/>
          <w:highlight w:val="none"/>
        </w:rPr>
        <w:t>。中标人因不可抗力或者自身原因不能履行政府采购合同的，采购人可以按照评标报告推荐的下一中标候选人为中标人或重新招标。</w:t>
      </w:r>
    </w:p>
    <w:p>
      <w:pPr>
        <w:widowControl/>
        <w:tabs>
          <w:tab w:val="left" w:pos="0"/>
          <w:tab w:val="left" w:pos="723"/>
        </w:tabs>
        <w:spacing w:line="360" w:lineRule="auto"/>
        <w:jc w:val="left"/>
        <w:rPr>
          <w:rFonts w:ascii="宋体" w:hAnsi="宋体"/>
          <w:b/>
          <w:color w:val="auto"/>
          <w:szCs w:val="21"/>
          <w:highlight w:val="none"/>
        </w:rPr>
      </w:pPr>
      <w:r>
        <w:rPr>
          <w:rFonts w:hint="eastAsia" w:ascii="宋体" w:hAnsi="宋体"/>
          <w:b/>
          <w:color w:val="auto"/>
          <w:szCs w:val="21"/>
          <w:highlight w:val="none"/>
        </w:rPr>
        <w:t>四、澄清问题的形式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360" w:lineRule="auto"/>
        <w:ind w:firstLine="420" w:firstLineChars="200"/>
        <w:rPr>
          <w:rFonts w:ascii="宋体" w:hAnsi="宋体"/>
          <w:color w:val="auto"/>
          <w:szCs w:val="21"/>
          <w:highlight w:val="none"/>
        </w:rPr>
      </w:pPr>
    </w:p>
    <w:p>
      <w:pPr>
        <w:widowControl/>
        <w:tabs>
          <w:tab w:val="left" w:pos="0"/>
          <w:tab w:val="left" w:pos="723"/>
        </w:tabs>
        <w:spacing w:line="360" w:lineRule="auto"/>
        <w:jc w:val="left"/>
        <w:rPr>
          <w:rFonts w:ascii="宋体" w:hAnsi="宋体"/>
          <w:b/>
          <w:color w:val="auto"/>
          <w:szCs w:val="21"/>
          <w:highlight w:val="none"/>
        </w:rPr>
      </w:pPr>
      <w:r>
        <w:rPr>
          <w:rFonts w:ascii="宋体" w:hAnsi="宋体"/>
          <w:b/>
          <w:color w:val="auto"/>
          <w:szCs w:val="21"/>
          <w:highlight w:val="none"/>
        </w:rPr>
        <w:t>五</w:t>
      </w:r>
      <w:r>
        <w:rPr>
          <w:rFonts w:hint="eastAsia" w:ascii="宋体" w:hAnsi="宋体"/>
          <w:b/>
          <w:color w:val="auto"/>
          <w:szCs w:val="21"/>
          <w:highlight w:val="none"/>
        </w:rPr>
        <w:t>、</w:t>
      </w:r>
      <w:r>
        <w:rPr>
          <w:rFonts w:ascii="宋体" w:hAnsi="宋体"/>
          <w:b/>
          <w:color w:val="auto"/>
          <w:szCs w:val="21"/>
          <w:highlight w:val="none"/>
        </w:rPr>
        <w:t>错误修正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投标文件报价出现前后不一致的，按照下列规定修正：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同时出现两种以上不一致的，按照前款规定的顺序修正。修正后的报价按照招标文件的规定经投标人确认后产生约束力，投标人不确认的，其投标无效。</w:t>
      </w:r>
    </w:p>
    <w:p>
      <w:pPr>
        <w:widowControl/>
        <w:tabs>
          <w:tab w:val="left" w:pos="0"/>
          <w:tab w:val="left" w:pos="723"/>
        </w:tabs>
        <w:spacing w:line="360" w:lineRule="auto"/>
        <w:jc w:val="left"/>
        <w:rPr>
          <w:rFonts w:ascii="宋体" w:hAnsi="宋体"/>
          <w:b/>
          <w:color w:val="auto"/>
          <w:szCs w:val="21"/>
          <w:highlight w:val="none"/>
        </w:rPr>
      </w:pPr>
    </w:p>
    <w:p>
      <w:pPr>
        <w:widowControl/>
        <w:tabs>
          <w:tab w:val="left" w:pos="0"/>
          <w:tab w:val="left" w:pos="723"/>
        </w:tabs>
        <w:spacing w:line="360" w:lineRule="auto"/>
        <w:jc w:val="left"/>
        <w:rPr>
          <w:rFonts w:ascii="宋体" w:hAnsi="宋体"/>
          <w:b/>
          <w:color w:val="auto"/>
          <w:szCs w:val="21"/>
          <w:highlight w:val="none"/>
        </w:rPr>
      </w:pPr>
      <w:r>
        <w:rPr>
          <w:rFonts w:hint="eastAsia" w:ascii="宋体" w:hAnsi="宋体"/>
          <w:b/>
          <w:color w:val="auto"/>
          <w:szCs w:val="21"/>
          <w:highlight w:val="none"/>
        </w:rPr>
        <w:t>六、其它投标无效的情形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1、未提供或未如实提供投标货物的技术参数，或者投标文件标明的响应或偏离与事实不符或虚假投标的；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2、投标技术方案不明确，存在一个或一个以上备选（替代）投标方案的；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3、未采用投标文件要求的报价形式报价的；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4、投标报价具有选择性；</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6、两家或两家以上供应商提供的投标文件出自同一终端设备的，或在相同Internet主机分配地址（相同IP地址）获取招标文件或网上投标的，且经询标澄清供应商无令人信服的理由和可靠证据证明其合理性的。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7、招标文件规定的其他无效情形。</w:t>
      </w:r>
    </w:p>
    <w:p>
      <w:pPr>
        <w:widowControl/>
        <w:tabs>
          <w:tab w:val="left" w:pos="0"/>
          <w:tab w:val="left" w:pos="723"/>
        </w:tabs>
        <w:spacing w:line="360" w:lineRule="auto"/>
        <w:jc w:val="left"/>
        <w:rPr>
          <w:rFonts w:ascii="宋体" w:hAnsi="宋体"/>
          <w:b/>
          <w:color w:val="auto"/>
          <w:szCs w:val="21"/>
          <w:highlight w:val="none"/>
        </w:rPr>
      </w:pPr>
    </w:p>
    <w:p>
      <w:pPr>
        <w:numPr>
          <w:ilvl w:val="0"/>
          <w:numId w:val="7"/>
        </w:numPr>
        <w:spacing w:line="360" w:lineRule="auto"/>
        <w:rPr>
          <w:color w:val="auto"/>
          <w:highlight w:val="none"/>
        </w:rPr>
      </w:pPr>
      <w:r>
        <w:rPr>
          <w:rFonts w:ascii="宋体" w:hAnsi="宋体"/>
          <w:b/>
          <w:color w:val="auto"/>
          <w:sz w:val="24"/>
          <w:szCs w:val="24"/>
          <w:highlight w:val="none"/>
        </w:rPr>
        <w:br w:type="page"/>
      </w:r>
      <w:bookmarkStart w:id="96" w:name="_Toc298230960"/>
      <w:r>
        <w:rPr>
          <w:rFonts w:hint="eastAsia" w:ascii="宋体" w:hAnsi="宋体"/>
          <w:b/>
          <w:color w:val="auto"/>
          <w:sz w:val="24"/>
          <w:szCs w:val="24"/>
          <w:highlight w:val="none"/>
        </w:rPr>
        <w:t>评分标准（兼评委打分表）</w:t>
      </w:r>
    </w:p>
    <w:p>
      <w:pPr>
        <w:rPr>
          <w:rFonts w:hint="eastAsia"/>
          <w:color w:val="auto"/>
          <w:highlight w:val="none"/>
        </w:rPr>
      </w:pPr>
      <w:r>
        <w:rPr>
          <w:rFonts w:hint="eastAsia"/>
          <w:color w:val="auto"/>
          <w:highlight w:val="none"/>
        </w:rPr>
        <w:t>标项</w:t>
      </w:r>
      <w:r>
        <w:rPr>
          <w:rFonts w:hint="eastAsia"/>
          <w:color w:val="auto"/>
          <w:highlight w:val="none"/>
          <w:lang w:val="en-US" w:eastAsia="zh-CN"/>
        </w:rPr>
        <w:t>一</w:t>
      </w:r>
      <w:r>
        <w:rPr>
          <w:rFonts w:hint="eastAsia"/>
          <w:color w:val="auto"/>
          <w:highlight w:val="none"/>
        </w:rPr>
        <w:t>：</w:t>
      </w:r>
    </w:p>
    <w:tbl>
      <w:tblPr>
        <w:tblStyle w:val="33"/>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50"/>
        <w:gridCol w:w="1134"/>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35" w:type="dxa"/>
            <w:gridSpan w:val="4"/>
            <w:tcBorders>
              <w:top w:val="single" w:color="auto" w:sz="4" w:space="0"/>
              <w:left w:val="single" w:color="auto" w:sz="4" w:space="0"/>
              <w:right w:val="single" w:color="auto" w:sz="2" w:space="0"/>
            </w:tcBorders>
            <w:noWrap w:val="0"/>
            <w:vAlign w:val="center"/>
          </w:tcPr>
          <w:p>
            <w:pPr>
              <w:spacing w:before="120" w:beforeLines="50" w:line="360" w:lineRule="exact"/>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评分项及分值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936" w:type="dxa"/>
            <w:vMerge w:val="restart"/>
            <w:tcBorders>
              <w:left w:val="single" w:color="auto" w:sz="4" w:space="0"/>
              <w:right w:val="single" w:color="auto" w:sz="2" w:space="0"/>
            </w:tcBorders>
            <w:noWrap w:val="0"/>
            <w:vAlign w:val="center"/>
          </w:tcPr>
          <w:p>
            <w:pPr>
              <w:spacing w:before="120" w:beforeLines="50" w:line="360" w:lineRule="exact"/>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商务技术分（69分）</w:t>
            </w:r>
          </w:p>
        </w:tc>
        <w:tc>
          <w:tcPr>
            <w:tcW w:w="850" w:type="dxa"/>
            <w:vMerge w:val="restart"/>
            <w:tcBorders>
              <w:top w:val="single" w:color="auto" w:sz="4" w:space="0"/>
              <w:left w:val="single" w:color="auto" w:sz="4" w:space="0"/>
              <w:right w:val="single" w:color="auto" w:sz="2" w:space="0"/>
            </w:tcBorders>
            <w:noWrap w:val="0"/>
            <w:vAlign w:val="center"/>
          </w:tcPr>
          <w:p>
            <w:pPr>
              <w:spacing w:before="120" w:beforeLines="50" w:line="360" w:lineRule="exact"/>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商务部分（</w:t>
            </w:r>
            <w:r>
              <w:rPr>
                <w:rFonts w:hint="eastAsia" w:ascii="宋体" w:hAnsi="宋体" w:cs="宋体"/>
                <w:snapToGrid w:val="0"/>
                <w:color w:val="auto"/>
                <w:spacing w:val="-4"/>
                <w:szCs w:val="21"/>
                <w:highlight w:val="none"/>
                <w:lang w:val="en-US" w:eastAsia="zh-CN"/>
              </w:rPr>
              <w:t>7</w:t>
            </w:r>
            <w:r>
              <w:rPr>
                <w:rFonts w:hint="eastAsia" w:ascii="宋体" w:hAnsi="宋体" w:cs="宋体"/>
                <w:snapToGrid w:val="0"/>
                <w:color w:val="auto"/>
                <w:spacing w:val="-4"/>
                <w:szCs w:val="21"/>
                <w:highlight w:val="none"/>
              </w:rPr>
              <w:t>分）</w:t>
            </w:r>
          </w:p>
        </w:tc>
        <w:tc>
          <w:tcPr>
            <w:tcW w:w="1134" w:type="dxa"/>
            <w:tcBorders>
              <w:top w:val="single" w:color="auto" w:sz="4" w:space="0"/>
              <w:left w:val="single" w:color="auto" w:sz="4" w:space="0"/>
              <w:right w:val="single" w:color="auto" w:sz="2" w:space="0"/>
            </w:tcBorders>
            <w:noWrap w:val="0"/>
            <w:vAlign w:val="center"/>
          </w:tcPr>
          <w:p>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1、类似的业绩情况（</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7115" w:type="dxa"/>
            <w:tcBorders>
              <w:top w:val="single" w:color="auto" w:sz="4" w:space="0"/>
              <w:left w:val="single" w:color="auto" w:sz="4" w:space="0"/>
              <w:bottom w:val="single" w:color="auto" w:sz="4" w:space="0"/>
              <w:right w:val="single" w:color="auto" w:sz="2" w:space="0"/>
            </w:tcBorders>
            <w:noWrap w:val="0"/>
            <w:vAlign w:val="center"/>
          </w:tcPr>
          <w:p>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投标人自2016年7月1日起（以合同签订之日为准）至今，具有同类项目采购案例的，采购内容必须包含存储阵列，每具有一个得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分。注：需提供合同复印件并加盖公章，时间以合同签订时间为准（如合同中未体现存储阵列内容的，须提供业主证明材料），未提供的不得分。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936"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850"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1134" w:type="dxa"/>
            <w:tcBorders>
              <w:top w:val="single" w:color="auto" w:sz="4" w:space="0"/>
              <w:left w:val="single" w:color="auto" w:sz="4" w:space="0"/>
              <w:right w:val="single" w:color="auto" w:sz="2" w:space="0"/>
            </w:tcBorders>
            <w:noWrap w:val="0"/>
            <w:vAlign w:val="center"/>
          </w:tcPr>
          <w:p>
            <w:pPr>
              <w:spacing w:before="120" w:beforeLines="50" w:line="360" w:lineRule="exact"/>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2、企业实力（</w:t>
            </w:r>
            <w:r>
              <w:rPr>
                <w:rFonts w:hint="eastAsia" w:ascii="宋体" w:hAnsi="宋体" w:cs="宋体"/>
                <w:snapToGrid w:val="0"/>
                <w:color w:val="auto"/>
                <w:spacing w:val="-4"/>
                <w:szCs w:val="21"/>
                <w:highlight w:val="none"/>
                <w:lang w:val="en-US" w:eastAsia="zh-CN"/>
              </w:rPr>
              <w:t>2</w:t>
            </w:r>
            <w:r>
              <w:rPr>
                <w:rFonts w:hint="eastAsia" w:ascii="宋体" w:hAnsi="宋体" w:cs="宋体"/>
                <w:snapToGrid w:val="0"/>
                <w:color w:val="auto"/>
                <w:spacing w:val="-4"/>
                <w:szCs w:val="21"/>
                <w:highlight w:val="none"/>
              </w:rPr>
              <w:t>分）</w:t>
            </w:r>
          </w:p>
        </w:tc>
        <w:tc>
          <w:tcPr>
            <w:tcW w:w="7115" w:type="dxa"/>
            <w:tcBorders>
              <w:top w:val="single" w:color="auto" w:sz="4" w:space="0"/>
              <w:left w:val="single" w:color="auto" w:sz="4" w:space="0"/>
              <w:bottom w:val="single" w:color="auto" w:sz="4" w:space="0"/>
              <w:right w:val="single" w:color="auto" w:sz="2" w:space="0"/>
            </w:tcBorders>
            <w:noWrap w:val="0"/>
            <w:vAlign w:val="center"/>
          </w:tcPr>
          <w:p>
            <w:pPr>
              <w:spacing w:line="360" w:lineRule="exact"/>
              <w:rPr>
                <w:rFonts w:hint="eastAsia"/>
                <w:color w:val="auto"/>
                <w:highlight w:val="none"/>
                <w:lang w:val="zh-CN"/>
              </w:rPr>
            </w:pPr>
            <w:r>
              <w:rPr>
                <w:rFonts w:hint="eastAsia"/>
                <w:color w:val="auto"/>
                <w:highlight w:val="none"/>
                <w:lang w:val="zh-CN"/>
              </w:rPr>
              <w:t>投标人具有质量管理体系认证证书的得 1 分；</w:t>
            </w:r>
          </w:p>
          <w:p>
            <w:pPr>
              <w:spacing w:line="360" w:lineRule="exact"/>
              <w:rPr>
                <w:rFonts w:hint="eastAsia"/>
                <w:color w:val="auto"/>
                <w:highlight w:val="none"/>
                <w:lang w:val="zh-CN"/>
              </w:rPr>
            </w:pPr>
            <w:r>
              <w:rPr>
                <w:rFonts w:hint="eastAsia"/>
                <w:color w:val="auto"/>
                <w:highlight w:val="none"/>
                <w:lang w:val="zh-CN"/>
              </w:rPr>
              <w:t>投标人具有信息安全管理体系标准的得1分；</w:t>
            </w:r>
          </w:p>
          <w:p>
            <w:pPr>
              <w:pStyle w:val="2"/>
              <w:ind w:left="0" w:leftChars="0" w:firstLine="0" w:firstLineChars="0"/>
              <w:rPr>
                <w:rFonts w:hint="default"/>
                <w:color w:val="auto"/>
                <w:highlight w:val="none"/>
                <w:lang w:val="en-US" w:eastAsia="zh-CN"/>
              </w:rPr>
            </w:pPr>
            <w:r>
              <w:rPr>
                <w:rFonts w:hint="eastAsia" w:ascii="Times New Roman" w:hAnsi="Times New Roman" w:eastAsia="宋体" w:cs="Times New Roman"/>
                <w:color w:val="auto"/>
                <w:kern w:val="2"/>
                <w:sz w:val="21"/>
                <w:highlight w:val="none"/>
                <w:lang w:val="zh-CN" w:eastAsia="zh-CN" w:bidi="ar-SA"/>
              </w:rPr>
              <w:t>注：投标文件中附相关证书的复印件并加盖公章，所涉及证书取得时间需在开标日之前且在有效期内</w:t>
            </w:r>
            <w:r>
              <w:rPr>
                <w:rFonts w:hint="eastAsia" w:cs="Times New Roman"/>
                <w:color w:val="auto"/>
                <w:kern w:val="2"/>
                <w:sz w:val="21"/>
                <w:highlight w:val="none"/>
                <w:lang w:val="zh-CN" w:eastAsia="zh-CN" w:bidi="ar-SA"/>
              </w:rPr>
              <w:t>，</w:t>
            </w:r>
            <w:r>
              <w:rPr>
                <w:rFonts w:hint="eastAsia" w:ascii="Times New Roman" w:hAnsi="Times New Roman" w:eastAsia="宋体" w:cs="Times New Roman"/>
                <w:color w:val="auto"/>
                <w:kern w:val="2"/>
                <w:sz w:val="21"/>
                <w:highlight w:val="none"/>
                <w:lang w:val="zh-CN" w:eastAsia="zh-CN" w:bidi="ar-SA"/>
              </w:rPr>
              <w:t>将复印件附入投标文件的或证书无效的，则不得分。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936"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850" w:type="dxa"/>
            <w:vMerge w:val="restart"/>
            <w:tcBorders>
              <w:left w:val="single" w:color="auto" w:sz="4" w:space="0"/>
              <w:right w:val="single" w:color="auto" w:sz="2" w:space="0"/>
            </w:tcBorders>
            <w:noWrap w:val="0"/>
            <w:vAlign w:val="center"/>
          </w:tcPr>
          <w:p>
            <w:pPr>
              <w:spacing w:before="120" w:beforeLines="50" w:line="360" w:lineRule="exact"/>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技术部分（</w:t>
            </w:r>
            <w:r>
              <w:rPr>
                <w:rFonts w:hint="eastAsia" w:ascii="宋体" w:hAnsi="宋体" w:cs="宋体"/>
                <w:snapToGrid w:val="0"/>
                <w:color w:val="auto"/>
                <w:spacing w:val="-4"/>
                <w:szCs w:val="21"/>
                <w:highlight w:val="none"/>
                <w:lang w:val="en-US" w:eastAsia="zh-CN"/>
              </w:rPr>
              <w:t>62</w:t>
            </w:r>
            <w:r>
              <w:rPr>
                <w:rFonts w:hint="eastAsia" w:ascii="宋体" w:hAnsi="宋体" w:cs="宋体"/>
                <w:snapToGrid w:val="0"/>
                <w:color w:val="auto"/>
                <w:spacing w:val="-4"/>
                <w:szCs w:val="21"/>
                <w:highlight w:val="none"/>
              </w:rPr>
              <w:t>分）</w:t>
            </w:r>
          </w:p>
        </w:tc>
        <w:tc>
          <w:tcPr>
            <w:tcW w:w="1134" w:type="dxa"/>
            <w:tcBorders>
              <w:top w:val="single" w:color="auto" w:sz="4" w:space="0"/>
              <w:left w:val="single" w:color="auto" w:sz="4" w:space="0"/>
              <w:bottom w:val="single" w:color="auto" w:sz="4" w:space="0"/>
              <w:right w:val="single" w:color="auto" w:sz="2"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1、采购文件技术参数响应情况（</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分）</w:t>
            </w:r>
          </w:p>
        </w:tc>
        <w:tc>
          <w:tcPr>
            <w:tcW w:w="7115" w:type="dxa"/>
            <w:tcBorders>
              <w:top w:val="single" w:color="auto" w:sz="4" w:space="0"/>
              <w:left w:val="single" w:color="auto" w:sz="4" w:space="0"/>
              <w:bottom w:val="single" w:color="auto" w:sz="4" w:space="0"/>
              <w:right w:val="single" w:color="auto" w:sz="2"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根据投标单位提供设备的功能和</w:t>
            </w:r>
            <w:r>
              <w:rPr>
                <w:rFonts w:hint="eastAsia" w:ascii="宋体" w:hAnsi="宋体" w:eastAsia="宋体" w:cs="宋体"/>
                <w:color w:val="auto"/>
                <w:sz w:val="21"/>
                <w:szCs w:val="21"/>
                <w:highlight w:val="none"/>
                <w:vertAlign w:val="baseline"/>
                <w:lang w:eastAsia="zh-CN"/>
              </w:rPr>
              <w:t>技术规格要求</w:t>
            </w:r>
            <w:r>
              <w:rPr>
                <w:rFonts w:hint="eastAsia" w:ascii="宋体" w:hAnsi="宋体" w:cs="宋体"/>
                <w:color w:val="auto"/>
                <w:szCs w:val="21"/>
                <w:highlight w:val="none"/>
              </w:rPr>
              <w:t>进行打分,</w:t>
            </w:r>
            <w:r>
              <w:rPr>
                <w:rFonts w:hint="eastAsia" w:ascii="宋体" w:hAnsi="宋体" w:eastAsia="宋体" w:cs="宋体"/>
                <w:color w:val="auto"/>
                <w:sz w:val="21"/>
                <w:szCs w:val="21"/>
                <w:highlight w:val="none"/>
                <w:vertAlign w:val="baseline"/>
                <w:lang w:eastAsia="zh-CN"/>
              </w:rPr>
              <w:t>技术规格要求</w:t>
            </w:r>
            <w:r>
              <w:rPr>
                <w:rFonts w:hint="eastAsia" w:ascii="宋体" w:hAnsi="宋体" w:cs="宋体"/>
                <w:color w:val="auto"/>
                <w:szCs w:val="21"/>
                <w:highlight w:val="none"/>
              </w:rPr>
              <w:t>完全符合招标要求没有负偏离的得</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分，带</w:t>
            </w:r>
            <w:r>
              <w:rPr>
                <w:rFonts w:hint="eastAsia" w:ascii="微软雅黑" w:hAnsi="微软雅黑" w:eastAsia="微软雅黑" w:cs="微软雅黑"/>
                <w:color w:val="auto"/>
                <w:szCs w:val="21"/>
                <w:highlight w:val="none"/>
              </w:rPr>
              <w:t>▲</w:t>
            </w:r>
            <w:r>
              <w:rPr>
                <w:rFonts w:hint="eastAsia" w:ascii="宋体" w:hAnsi="宋体" w:cs="宋体"/>
                <w:color w:val="auto"/>
                <w:szCs w:val="21"/>
                <w:highlight w:val="none"/>
              </w:rPr>
              <w:t>的参数为重要指标，负偏离每项扣2分，其他负偏离每项减1分，直至扣完。（低于招标要求或未按照要求提供响应的视为负偏离）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936"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850"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1134" w:type="dxa"/>
            <w:tcBorders>
              <w:top w:val="single" w:color="auto" w:sz="4" w:space="0"/>
              <w:left w:val="single" w:color="auto" w:sz="4" w:space="0"/>
              <w:bottom w:val="single" w:color="auto" w:sz="4" w:space="0"/>
              <w:right w:val="single" w:color="auto" w:sz="2"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2、项目需求理解（</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7115" w:type="dxa"/>
            <w:tcBorders>
              <w:top w:val="single" w:color="auto" w:sz="4" w:space="0"/>
              <w:left w:val="single" w:color="auto" w:sz="4" w:space="0"/>
              <w:bottom w:val="single" w:color="auto" w:sz="4" w:space="0"/>
              <w:right w:val="single" w:color="auto" w:sz="2" w:space="0"/>
            </w:tcBorders>
            <w:noWrap w:val="0"/>
            <w:vAlign w:val="center"/>
          </w:tcPr>
          <w:p>
            <w:pPr>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1）根据投标人对本项目需求的理解透彻程度进行综合评议（0-2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p>
            <w:pPr>
              <w:spacing w:line="360" w:lineRule="exact"/>
              <w:rPr>
                <w:rFonts w:hint="eastAsia" w:ascii="宋体" w:hAnsi="宋体" w:cs="宋体"/>
                <w:color w:val="auto"/>
                <w:kern w:val="0"/>
                <w:szCs w:val="21"/>
                <w:highlight w:val="none"/>
              </w:rPr>
            </w:pPr>
            <w:r>
              <w:rPr>
                <w:rFonts w:hint="eastAsia" w:ascii="宋体" w:hAnsi="宋体" w:cs="宋体"/>
                <w:color w:val="auto"/>
                <w:szCs w:val="21"/>
                <w:highlight w:val="none"/>
              </w:rPr>
              <w:t>2）根据提供的方案与项目需求的吻合程度进行</w:t>
            </w:r>
            <w:r>
              <w:rPr>
                <w:rFonts w:hint="eastAsia" w:ascii="宋体" w:hAnsi="宋体" w:cs="宋体"/>
                <w:color w:val="auto"/>
                <w:kern w:val="0"/>
                <w:szCs w:val="21"/>
                <w:highlight w:val="none"/>
              </w:rPr>
              <w:t>综合评议（0-2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936"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850"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1134" w:type="dxa"/>
            <w:tcBorders>
              <w:top w:val="single" w:color="auto" w:sz="4" w:space="0"/>
              <w:left w:val="single" w:color="auto" w:sz="4" w:space="0"/>
              <w:bottom w:val="single" w:color="auto" w:sz="4" w:space="0"/>
              <w:right w:val="single" w:color="auto" w:sz="2"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3、对项目重点、难点的分析及对策（</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7115" w:type="dxa"/>
            <w:tcBorders>
              <w:top w:val="single" w:color="auto" w:sz="4" w:space="0"/>
              <w:left w:val="single" w:color="auto" w:sz="4" w:space="0"/>
              <w:bottom w:val="single" w:color="auto" w:sz="4" w:space="0"/>
              <w:right w:val="single" w:color="auto" w:sz="2"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1）根据投标人对项目重点、难点的分析情况是否清晰合理透彻进行综合评议（0-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2）根据投标人对本项目提出的对策是否合理可行进行综合评议（0-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36"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850"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1134" w:type="dxa"/>
            <w:tcBorders>
              <w:left w:val="single" w:color="auto" w:sz="4" w:space="0"/>
              <w:right w:val="single" w:color="auto" w:sz="2"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4、实施方案（5分）</w:t>
            </w:r>
          </w:p>
        </w:tc>
        <w:tc>
          <w:tcPr>
            <w:tcW w:w="7115" w:type="dxa"/>
            <w:tcBorders>
              <w:top w:val="single" w:color="auto" w:sz="4" w:space="0"/>
              <w:left w:val="single" w:color="auto" w:sz="4" w:space="0"/>
              <w:bottom w:val="single" w:color="auto" w:sz="4" w:space="0"/>
              <w:right w:val="single" w:color="auto" w:sz="2" w:space="0"/>
            </w:tcBorders>
            <w:noWrap w:val="0"/>
            <w:vAlign w:val="center"/>
          </w:tcPr>
          <w:p>
            <w:pPr>
              <w:adjustRightInd w:val="0"/>
              <w:spacing w:line="360" w:lineRule="exact"/>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1）对实施方案里提供的设备材料的供应、运输、安装、技术服务、验收、调试、售后服务等内容进行综合评议（0-2分）；</w:t>
            </w:r>
          </w:p>
          <w:p>
            <w:pPr>
              <w:adjustRightInd w:val="0"/>
              <w:spacing w:line="360" w:lineRule="exact"/>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2）对实施方案里提供的项目实施管理组织方案、组织机构、工作时间进度表、工作程序和步骤、管理和协调方法、关键步骤的思路和要点等方面进行综合评议（0-3分）。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36"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850"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1134" w:type="dxa"/>
            <w:tcBorders>
              <w:left w:val="single" w:color="auto" w:sz="4" w:space="0"/>
              <w:right w:val="single" w:color="auto" w:sz="2"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5、项目应急预案及处置措施（5分）</w:t>
            </w:r>
          </w:p>
        </w:tc>
        <w:tc>
          <w:tcPr>
            <w:tcW w:w="7115" w:type="dxa"/>
            <w:tcBorders>
              <w:top w:val="single" w:color="auto" w:sz="4" w:space="0"/>
              <w:left w:val="single" w:color="auto" w:sz="4" w:space="0"/>
              <w:bottom w:val="single" w:color="auto" w:sz="4" w:space="0"/>
              <w:right w:val="single" w:color="auto" w:sz="2" w:space="0"/>
            </w:tcBorders>
            <w:noWrap w:val="0"/>
            <w:vAlign w:val="center"/>
          </w:tcPr>
          <w:p>
            <w:pPr>
              <w:adjustRightInd w:val="0"/>
              <w:spacing w:line="360" w:lineRule="exact"/>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1）根据投标人针对本项目实施过程中出现突发情况时的应急预案和处置措施情况进行综合评议（0-3分）。</w:t>
            </w:r>
          </w:p>
          <w:p>
            <w:pPr>
              <w:adjustRightInd w:val="0"/>
              <w:spacing w:line="360" w:lineRule="exact"/>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2）根据提供的应急指挥组织体系完善情况，应急保障体系，综合协调应对及后勤保障支持体系、应急人员组成等方面进行综合评议（0-2分）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936"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850"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1134" w:type="dxa"/>
            <w:tcBorders>
              <w:left w:val="single" w:color="auto" w:sz="4" w:space="0"/>
              <w:bottom w:val="single" w:color="auto" w:sz="4" w:space="0"/>
              <w:right w:val="single" w:color="auto" w:sz="2"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6、服务质量保证措施（</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7115" w:type="dxa"/>
            <w:tcBorders>
              <w:top w:val="single" w:color="auto" w:sz="4" w:space="0"/>
              <w:left w:val="single" w:color="auto" w:sz="4" w:space="0"/>
              <w:bottom w:val="single" w:color="auto" w:sz="4" w:space="0"/>
              <w:right w:val="single" w:color="auto" w:sz="2"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1）对提供的服务质量保证措施中的实施计划流程、工期进度掌控措施等方面进行综合评价（0-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2）对提供的服务质量保证措施中质量保证措施，安全生产措施等方面进行综合评价（0-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36"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850"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1134" w:type="dxa"/>
            <w:tcBorders>
              <w:left w:val="single" w:color="auto" w:sz="4" w:space="0"/>
              <w:bottom w:val="single" w:color="auto" w:sz="4" w:space="0"/>
              <w:right w:val="single" w:color="auto" w:sz="2"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7、合理化建议（</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115" w:type="dxa"/>
            <w:tcBorders>
              <w:top w:val="single" w:color="auto" w:sz="4" w:space="0"/>
              <w:left w:val="single" w:color="auto" w:sz="4" w:space="0"/>
              <w:bottom w:val="single" w:color="auto" w:sz="4" w:space="0"/>
              <w:right w:val="single" w:color="auto" w:sz="2"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对提供的项目实施中合理化建议的合理性、可行性进行综合评价（0-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36"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850"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1134" w:type="dxa"/>
            <w:tcBorders>
              <w:left w:val="single" w:color="auto" w:sz="4" w:space="0"/>
              <w:bottom w:val="single" w:color="auto" w:sz="4" w:space="0"/>
              <w:right w:val="single" w:color="auto" w:sz="2"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8、培训方案（5分）</w:t>
            </w:r>
          </w:p>
        </w:tc>
        <w:tc>
          <w:tcPr>
            <w:tcW w:w="7115" w:type="dxa"/>
            <w:tcBorders>
              <w:top w:val="single" w:color="auto" w:sz="4" w:space="0"/>
              <w:left w:val="single" w:color="auto" w:sz="4" w:space="0"/>
              <w:bottom w:val="single" w:color="auto" w:sz="4" w:space="0"/>
              <w:right w:val="single" w:color="auto" w:sz="2" w:space="0"/>
            </w:tcBorders>
            <w:noWrap w:val="0"/>
            <w:vAlign w:val="center"/>
          </w:tcPr>
          <w:p>
            <w:pPr>
              <w:adjustRightInd w:val="0"/>
              <w:spacing w:line="360" w:lineRule="exact"/>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1）根据提供的培训方案中的培训计划安排、培训人员配备等方面进行综合评议（0-3分）；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2）根据提供的培训方案中的培训内容、培训案例等方面进行综合评价（0-2分）。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36"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850" w:type="dxa"/>
            <w:vMerge w:val="continue"/>
            <w:tcBorders>
              <w:left w:val="single" w:color="auto" w:sz="4" w:space="0"/>
              <w:right w:val="single" w:color="auto" w:sz="2" w:space="0"/>
            </w:tcBorders>
            <w:noWrap w:val="0"/>
            <w:vAlign w:val="center"/>
          </w:tcPr>
          <w:p>
            <w:pPr>
              <w:spacing w:before="120" w:beforeLines="50" w:line="360" w:lineRule="exact"/>
              <w:rPr>
                <w:rFonts w:hint="eastAsia" w:ascii="宋体" w:hAnsi="宋体" w:cs="宋体"/>
                <w:b/>
                <w:bCs/>
                <w:snapToGrid w:val="0"/>
                <w:color w:val="auto"/>
                <w:spacing w:val="-4"/>
                <w:szCs w:val="21"/>
                <w:highlight w:val="none"/>
              </w:rPr>
            </w:pPr>
          </w:p>
        </w:tc>
        <w:tc>
          <w:tcPr>
            <w:tcW w:w="1134" w:type="dxa"/>
            <w:tcBorders>
              <w:left w:val="single" w:color="auto" w:sz="4" w:space="0"/>
              <w:bottom w:val="single" w:color="auto" w:sz="4" w:space="0"/>
              <w:right w:val="single" w:color="auto" w:sz="2"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9、售后服务方案（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7115" w:type="dxa"/>
            <w:tcBorders>
              <w:top w:val="single" w:color="auto" w:sz="4" w:space="0"/>
              <w:left w:val="single" w:color="auto" w:sz="4" w:space="0"/>
              <w:bottom w:val="single" w:color="auto" w:sz="4" w:space="0"/>
              <w:right w:val="single" w:color="auto" w:sz="2"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1）根据提供的售后服务方案中售后服务团队人员、售后服务机构情况、备品备件等方面进行综合评议（0-2分）；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2）根据提供的售后服务方案中技术支持的力度、质保期承诺的完整度、售后服务承诺的完善度、服务承诺落实的保障措施、故障响应及修复时间等方面进行综合评议（0-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3）根据提供的售后服务方案中其他优惠承诺及措施等方面进行综合评价（0-1分）。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1786" w:type="dxa"/>
            <w:gridSpan w:val="2"/>
            <w:tcBorders>
              <w:left w:val="single" w:color="auto" w:sz="4" w:space="0"/>
              <w:right w:val="single" w:color="auto" w:sz="2" w:space="0"/>
            </w:tcBorders>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政府采购政策附加分（1分）</w:t>
            </w:r>
          </w:p>
        </w:tc>
        <w:tc>
          <w:tcPr>
            <w:tcW w:w="8249" w:type="dxa"/>
            <w:gridSpan w:val="2"/>
            <w:tcBorders>
              <w:top w:val="single" w:color="auto" w:sz="4" w:space="0"/>
              <w:left w:val="single" w:color="auto" w:sz="4" w:space="0"/>
              <w:bottom w:val="single" w:color="auto" w:sz="4" w:space="0"/>
              <w:right w:val="single" w:color="auto" w:sz="2" w:space="0"/>
            </w:tcBorders>
            <w:noWrap w:val="0"/>
            <w:vAlign w:val="center"/>
          </w:tcPr>
          <w:p>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投标产品属于《节能产品政府采购品目清单》范围的且具有国家确定的认证机构出具的、处于有效期之内的节能产品认证证书的得0.5分；</w:t>
            </w:r>
          </w:p>
          <w:p>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投标产品属于《环境标志产品政府采购品目清单》范围的且具有国家确定的认证机构出具的、处于有效期之内的环境标志产品认证证书的得0.5分。</w:t>
            </w:r>
          </w:p>
          <w:p>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注：投标文件中必须同时提供以下资料：</w:t>
            </w:r>
          </w:p>
          <w:p>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1786" w:type="dxa"/>
            <w:gridSpan w:val="2"/>
            <w:tcBorders>
              <w:top w:val="single" w:color="auto" w:sz="4" w:space="0"/>
              <w:left w:val="single" w:color="auto" w:sz="4" w:space="0"/>
              <w:bottom w:val="single" w:color="auto" w:sz="4" w:space="0"/>
              <w:right w:val="single" w:color="auto" w:sz="2" w:space="0"/>
            </w:tcBorders>
            <w:noWrap w:val="0"/>
            <w:tcMar>
              <w:left w:w="0" w:type="dxa"/>
              <w:right w:w="0" w:type="dxa"/>
            </w:tcMar>
            <w:vAlign w:val="center"/>
          </w:tcPr>
          <w:p>
            <w:pPr>
              <w:spacing w:before="120" w:beforeLines="50" w:line="360" w:lineRule="exact"/>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报价分</w:t>
            </w:r>
          </w:p>
          <w:p>
            <w:pPr>
              <w:spacing w:before="120" w:beforeLines="50" w:line="360" w:lineRule="exact"/>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（满分30分）</w:t>
            </w:r>
          </w:p>
        </w:tc>
        <w:tc>
          <w:tcPr>
            <w:tcW w:w="8249" w:type="dxa"/>
            <w:gridSpan w:val="2"/>
            <w:tcBorders>
              <w:top w:val="single" w:color="auto" w:sz="4" w:space="0"/>
              <w:left w:val="single" w:color="auto" w:sz="4" w:space="0"/>
              <w:bottom w:val="single" w:color="auto" w:sz="4" w:space="0"/>
              <w:right w:val="single" w:color="auto" w:sz="2" w:space="0"/>
            </w:tcBorders>
            <w:noWrap w:val="0"/>
            <w:vAlign w:val="center"/>
          </w:tcPr>
          <w:p>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评标基准价指的是满足招标文件要求且最低的参与评审的价格。</w:t>
            </w:r>
          </w:p>
          <w:p>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参与评审的价格=投标报价-小微企业价格扣除优惠值（如有）。</w:t>
            </w:r>
          </w:p>
          <w:p>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参与评审的价格为评标基准价的其价格得分得满分</w:t>
            </w:r>
            <w:r>
              <w:rPr>
                <w:rFonts w:hint="eastAsia" w:ascii="宋体" w:hAnsi="宋体" w:cs="宋体"/>
                <w:color w:val="auto"/>
                <w:szCs w:val="21"/>
                <w:highlight w:val="none"/>
                <w:u w:val="single"/>
              </w:rPr>
              <w:t>30</w:t>
            </w:r>
            <w:r>
              <w:rPr>
                <w:rFonts w:hint="eastAsia" w:ascii="宋体" w:hAnsi="宋体" w:cs="宋体"/>
                <w:color w:val="auto"/>
                <w:szCs w:val="21"/>
                <w:highlight w:val="none"/>
              </w:rPr>
              <w:t>分。</w:t>
            </w:r>
          </w:p>
          <w:p>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其他供应商价格得分按照下列公式计算：</w:t>
            </w:r>
          </w:p>
          <w:p>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价格得分=（评标基准价/各供应商参与评审的价格）×</w:t>
            </w:r>
            <w:r>
              <w:rPr>
                <w:rFonts w:hint="eastAsia" w:ascii="宋体" w:hAnsi="宋体" w:cs="宋体"/>
                <w:color w:val="auto"/>
                <w:szCs w:val="21"/>
                <w:highlight w:val="none"/>
                <w:u w:val="single"/>
              </w:rPr>
              <w:t>30</w:t>
            </w:r>
            <w:r>
              <w:rPr>
                <w:rFonts w:hint="eastAsia" w:ascii="宋体" w:hAnsi="宋体" w:cs="宋体"/>
                <w:color w:val="auto"/>
                <w:szCs w:val="21"/>
                <w:highlight w:val="none"/>
              </w:rPr>
              <w:t>。</w:t>
            </w:r>
          </w:p>
          <w:p>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注：1、投标报价超过对应最高限价的作无效标处理。</w:t>
            </w:r>
          </w:p>
          <w:p>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2、价格得分小数点后保留2位小数，第3位小数四舍五入。</w:t>
            </w:r>
          </w:p>
          <w:p>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3、根据《政府采购促进中小企业发展管理办法》（财库[2020]46号），对符合规定的小微企业报价给予6%的扣除，用扣除后的价格参加评审。</w:t>
            </w:r>
          </w:p>
        </w:tc>
      </w:tr>
    </w:tbl>
    <w:p>
      <w:pPr>
        <w:spacing w:line="40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、各评委成员自行按以上参考分值评分，评分小数点后保留一位数。</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、以上分值重复的地方，下限不含，上限含。</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、表内要求提供的资料，未按要求提供的均不得分。</w:t>
      </w:r>
    </w:p>
    <w:p>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评委签名：  </w:t>
      </w:r>
      <w:r>
        <w:rPr>
          <w:rFonts w:ascii="宋体" w:hAnsi="宋体"/>
          <w:color w:val="auto"/>
          <w:szCs w:val="21"/>
          <w:highlight w:val="none"/>
        </w:rPr>
        <w:t xml:space="preserve">                                     </w:t>
      </w:r>
      <w:r>
        <w:rPr>
          <w:rFonts w:hint="eastAsia" w:ascii="宋体" w:hAnsi="宋体"/>
          <w:color w:val="auto"/>
          <w:szCs w:val="21"/>
          <w:highlight w:val="none"/>
        </w:rPr>
        <w:t xml:space="preserve">  年  月  日</w:t>
      </w:r>
    </w:p>
    <w:p>
      <w:pPr>
        <w:rPr>
          <w:rFonts w:hint="eastAsia"/>
          <w:color w:val="auto"/>
          <w:highlight w:val="none"/>
        </w:rPr>
        <w:sectPr>
          <w:pgSz w:w="11907" w:h="16840"/>
          <w:pgMar w:top="1304" w:right="1588" w:bottom="1560" w:left="1588" w:header="720" w:footer="720" w:gutter="0"/>
          <w:cols w:space="720" w:num="1"/>
          <w:docGrid w:linePitch="285" w:charSpace="0"/>
        </w:sectPr>
      </w:pPr>
    </w:p>
    <w:p>
      <w:pPr>
        <w:pStyle w:val="4"/>
        <w:spacing w:beforeLines="0" w:afterLines="0" w:line="360" w:lineRule="auto"/>
        <w:rPr>
          <w:rFonts w:ascii="宋体" w:hAnsi="宋体"/>
          <w:color w:val="auto"/>
          <w:sz w:val="32"/>
          <w:szCs w:val="32"/>
          <w:highlight w:val="none"/>
        </w:rPr>
      </w:pPr>
      <w:bookmarkStart w:id="97" w:name="_Toc19637"/>
      <w:r>
        <w:rPr>
          <w:rFonts w:hint="eastAsia" w:ascii="宋体" w:hAnsi="宋体"/>
          <w:color w:val="auto"/>
          <w:sz w:val="32"/>
          <w:szCs w:val="32"/>
          <w:highlight w:val="none"/>
        </w:rPr>
        <w:t>第六部分</w:t>
      </w:r>
      <w:bookmarkEnd w:id="96"/>
      <w:r>
        <w:rPr>
          <w:rFonts w:hint="eastAsia" w:ascii="宋体" w:hAnsi="宋体"/>
          <w:color w:val="auto"/>
          <w:sz w:val="32"/>
          <w:szCs w:val="32"/>
          <w:highlight w:val="none"/>
        </w:rPr>
        <w:t xml:space="preserve"> 招标项目需求</w:t>
      </w:r>
      <w:bookmarkEnd w:id="97"/>
    </w:p>
    <w:p>
      <w:pPr>
        <w:jc w:val="center"/>
        <w:rPr>
          <w:color w:val="auto"/>
          <w:sz w:val="28"/>
          <w:szCs w:val="28"/>
          <w:highlight w:val="none"/>
        </w:rPr>
      </w:pPr>
      <w:r>
        <w:rPr>
          <w:rFonts w:hint="eastAsia"/>
          <w:color w:val="auto"/>
          <w:sz w:val="28"/>
          <w:szCs w:val="28"/>
          <w:highlight w:val="none"/>
        </w:rPr>
        <w:t>项目需求前附表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pPr>
              <w:spacing w:line="360" w:lineRule="exact"/>
              <w:jc w:val="center"/>
              <w:rPr>
                <w:rFonts w:ascii="宋体" w:hAnsi="宋体" w:cs="宋体"/>
                <w:b/>
                <w:color w:val="auto"/>
                <w:szCs w:val="21"/>
                <w:highlight w:val="none"/>
              </w:rPr>
            </w:pPr>
            <w:bookmarkStart w:id="98" w:name="_Toc316649303"/>
            <w:r>
              <w:rPr>
                <w:rFonts w:hint="eastAsia" w:ascii="宋体" w:hAnsi="宋体" w:cs="宋体"/>
                <w:b/>
                <w:color w:val="auto"/>
                <w:szCs w:val="21"/>
                <w:highlight w:val="none"/>
              </w:rPr>
              <w:t>序号</w:t>
            </w:r>
          </w:p>
        </w:tc>
        <w:tc>
          <w:tcPr>
            <w:tcW w:w="2382" w:type="dxa"/>
            <w:noWrap w:val="0"/>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5244" w:type="dxa"/>
            <w:noWrap w:val="0"/>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382" w:type="dxa"/>
            <w:noWrap w:val="0"/>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采购内容</w:t>
            </w:r>
          </w:p>
        </w:tc>
        <w:tc>
          <w:tcPr>
            <w:tcW w:w="5244" w:type="dxa"/>
            <w:noWrap w:val="0"/>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详见第一部分《采购公告》及本部分“技术要求”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382" w:type="dxa"/>
            <w:noWrap w:val="0"/>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单位及数量</w:t>
            </w:r>
          </w:p>
        </w:tc>
        <w:tc>
          <w:tcPr>
            <w:tcW w:w="5244" w:type="dxa"/>
            <w:noWrap w:val="0"/>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详见第一部分《采购公告》及本部分“技术要求”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382" w:type="dxa"/>
            <w:noWrap w:val="0"/>
            <w:vAlign w:val="center"/>
          </w:tcPr>
          <w:p>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5244" w:type="dxa"/>
            <w:noWrap w:val="0"/>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382" w:type="dxa"/>
            <w:noWrap w:val="0"/>
            <w:vAlign w:val="bottom"/>
          </w:tcPr>
          <w:p>
            <w:pPr>
              <w:spacing w:line="360" w:lineRule="exact"/>
              <w:textAlignment w:val="baseline"/>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5244" w:type="dxa"/>
            <w:noWrap w:val="0"/>
            <w:vAlign w:val="bottom"/>
          </w:tcPr>
          <w:p>
            <w:pPr>
              <w:spacing w:line="360" w:lineRule="exact"/>
              <w:rPr>
                <w:rFonts w:ascii="宋体" w:hAnsi="宋体" w:cs="宋体"/>
                <w:color w:val="auto"/>
                <w:szCs w:val="21"/>
                <w:highlight w:val="none"/>
              </w:rPr>
            </w:pPr>
            <w:r>
              <w:rPr>
                <w:rFonts w:hint="eastAsia" w:ascii="宋体" w:hAnsi="宋体" w:cs="宋体"/>
                <w:color w:val="auto"/>
                <w:szCs w:val="21"/>
                <w:highlight w:val="none"/>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2382" w:type="dxa"/>
            <w:noWrap w:val="0"/>
            <w:vAlign w:val="center"/>
          </w:tcPr>
          <w:p>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采购标的需执行的标准</w:t>
            </w:r>
          </w:p>
        </w:tc>
        <w:tc>
          <w:tcPr>
            <w:tcW w:w="5244" w:type="dxa"/>
            <w:noWrap w:val="0"/>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执行国家、地方、有关机构所有相关的技术规范与标准，且确保所采用的技术规范、标准必须是国家或有关机构发布的最新版本，无论此版本在此有无提及。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2382" w:type="dxa"/>
            <w:noWrap w:val="0"/>
            <w:vAlign w:val="center"/>
          </w:tcPr>
          <w:p>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采购标的对应的中小企业划分标准所属行业</w:t>
            </w:r>
          </w:p>
        </w:tc>
        <w:tc>
          <w:tcPr>
            <w:tcW w:w="5244" w:type="dxa"/>
            <w:noWrap w:val="0"/>
            <w:vAlign w:val="center"/>
          </w:tcPr>
          <w:p>
            <w:pPr>
              <w:spacing w:line="36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2382" w:type="dxa"/>
            <w:noWrap w:val="0"/>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技术规格要求</w:t>
            </w:r>
          </w:p>
        </w:tc>
        <w:tc>
          <w:tcPr>
            <w:tcW w:w="5244" w:type="dxa"/>
            <w:noWrap w:val="0"/>
            <w:vAlign w:val="center"/>
          </w:tcPr>
          <w:p>
            <w:pPr>
              <w:spacing w:line="360" w:lineRule="exact"/>
              <w:rPr>
                <w:rFonts w:ascii="宋体" w:hAnsi="宋体" w:cs="宋体"/>
                <w:color w:val="auto"/>
                <w:highlight w:val="none"/>
              </w:rPr>
            </w:pPr>
            <w:r>
              <w:rPr>
                <w:rFonts w:hint="eastAsia" w:ascii="宋体" w:hAnsi="宋体" w:cs="宋体"/>
                <w:color w:val="auto"/>
                <w:highlight w:val="none"/>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2382" w:type="dxa"/>
            <w:noWrap w:val="0"/>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物理特性要求</w:t>
            </w:r>
          </w:p>
        </w:tc>
        <w:tc>
          <w:tcPr>
            <w:tcW w:w="5244" w:type="dxa"/>
            <w:noWrap w:val="0"/>
            <w:vAlign w:val="center"/>
          </w:tcPr>
          <w:p>
            <w:pPr>
              <w:spacing w:line="360" w:lineRule="exact"/>
              <w:rPr>
                <w:rFonts w:ascii="宋体" w:hAnsi="宋体" w:cs="宋体"/>
                <w:color w:val="auto"/>
                <w:highlight w:val="none"/>
              </w:rPr>
            </w:pPr>
            <w:r>
              <w:rPr>
                <w:rFonts w:hint="eastAsia" w:ascii="宋体" w:hAnsi="宋体" w:cs="宋体"/>
                <w:color w:val="auto"/>
                <w:szCs w:val="21"/>
                <w:highlight w:val="none"/>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2382" w:type="dxa"/>
            <w:noWrap w:val="0"/>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质量、安全要求</w:t>
            </w:r>
          </w:p>
        </w:tc>
        <w:tc>
          <w:tcPr>
            <w:tcW w:w="5244" w:type="dxa"/>
            <w:noWrap w:val="0"/>
            <w:vAlign w:val="center"/>
          </w:tcPr>
          <w:p>
            <w:pPr>
              <w:spacing w:line="360" w:lineRule="exact"/>
              <w:rPr>
                <w:rFonts w:ascii="宋体" w:hAnsi="宋体" w:cs="宋体"/>
                <w:color w:val="auto"/>
                <w:highlight w:val="none"/>
              </w:rPr>
            </w:pPr>
            <w:r>
              <w:rPr>
                <w:rFonts w:hint="eastAsia" w:ascii="宋体" w:hAnsi="宋体" w:cs="宋体"/>
                <w:color w:val="auto"/>
                <w:szCs w:val="21"/>
                <w:highlight w:val="none"/>
              </w:rPr>
              <w:t>中标人确保提供的货物完全是崭新产品。所提供货物质量必须符合国家相关标准，必须满足本次采购的要求，若所供货物经产品质量检测机构检测认定质量不合格，造成的损失和后果由该供应商负全责。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2382" w:type="dxa"/>
            <w:noWrap w:val="0"/>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服务标准、期限、效率(培训等）</w:t>
            </w:r>
          </w:p>
        </w:tc>
        <w:tc>
          <w:tcPr>
            <w:tcW w:w="5244" w:type="dxa"/>
            <w:noWrap w:val="0"/>
            <w:vAlign w:val="center"/>
          </w:tcPr>
          <w:p>
            <w:pPr>
              <w:spacing w:line="360" w:lineRule="exact"/>
              <w:rPr>
                <w:rFonts w:ascii="宋体" w:hAnsi="宋体" w:cs="宋体"/>
                <w:color w:val="auto"/>
                <w:highlight w:val="none"/>
              </w:rPr>
            </w:pPr>
            <w:r>
              <w:rPr>
                <w:rFonts w:hint="eastAsia" w:ascii="宋体" w:hAnsi="宋体" w:cs="宋体"/>
                <w:color w:val="auto"/>
                <w:szCs w:val="21"/>
                <w:highlight w:val="none"/>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详见技术要求表11</w:t>
            </w:r>
          </w:p>
        </w:tc>
        <w:tc>
          <w:tcPr>
            <w:tcW w:w="2382" w:type="dxa"/>
            <w:noWrap w:val="0"/>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验收标准</w:t>
            </w:r>
          </w:p>
        </w:tc>
        <w:tc>
          <w:tcPr>
            <w:tcW w:w="5244" w:type="dxa"/>
            <w:noWrap w:val="0"/>
            <w:vAlign w:val="center"/>
          </w:tcPr>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1、根据中华人民共和国现行技术标准，按招标文件以及合同规定的验收评定标准等规范，由用户组织验收。</w:t>
            </w:r>
          </w:p>
          <w:p>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2、用户对货物验收合格后，双方共同签署验收合格证书，验收中发现货物达不到验收标准或合同规定的性能指标，中标方必须免费更换，并且赔偿由此给用户造成的损失，直到验收合格为止。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2382" w:type="dxa"/>
            <w:noWrap w:val="0"/>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现场踏勘</w:t>
            </w:r>
          </w:p>
        </w:tc>
        <w:tc>
          <w:tcPr>
            <w:tcW w:w="5244" w:type="dxa"/>
            <w:noWrap w:val="0"/>
            <w:vAlign w:val="center"/>
          </w:tcPr>
          <w:p>
            <w:pPr>
              <w:spacing w:line="360" w:lineRule="exact"/>
              <w:rPr>
                <w:rFonts w:ascii="宋体" w:hAnsi="宋体" w:cs="宋体"/>
                <w:color w:val="auto"/>
                <w:szCs w:val="21"/>
                <w:highlight w:val="none"/>
              </w:rPr>
            </w:pPr>
            <w:r>
              <w:rPr>
                <w:rFonts w:hint="eastAsia" w:ascii="宋体" w:hAnsi="宋体" w:cs="宋体"/>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2382" w:type="dxa"/>
            <w:noWrap w:val="0"/>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演示时间及地点</w:t>
            </w:r>
          </w:p>
        </w:tc>
        <w:tc>
          <w:tcPr>
            <w:tcW w:w="5244" w:type="dxa"/>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42"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2382" w:type="dxa"/>
            <w:noWrap w:val="0"/>
            <w:vAlign w:val="center"/>
          </w:tcPr>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核心产品</w:t>
            </w:r>
          </w:p>
        </w:tc>
        <w:tc>
          <w:tcPr>
            <w:tcW w:w="5244" w:type="dxa"/>
            <w:noWrap w:val="0"/>
            <w:vAlign w:val="center"/>
          </w:tcPr>
          <w:p>
            <w:pPr>
              <w:spacing w:line="360" w:lineRule="exact"/>
              <w:rPr>
                <w:rFonts w:hint="eastAsia" w:ascii="宋体" w:hAnsi="宋体" w:cs="宋体"/>
                <w:color w:val="auto"/>
                <w:szCs w:val="22"/>
                <w:highlight w:val="none"/>
              </w:rPr>
            </w:pPr>
            <w:r>
              <w:rPr>
                <w:rFonts w:hint="eastAsia" w:ascii="宋体" w:hAnsi="宋体" w:cs="宋体"/>
                <w:color w:val="auto"/>
                <w:szCs w:val="22"/>
                <w:highlight w:val="none"/>
              </w:rPr>
              <w:t>1、</w:t>
            </w:r>
            <w:r>
              <w:rPr>
                <w:rFonts w:hint="eastAsia" w:ascii="宋体" w:hAnsi="宋体" w:cs="宋体"/>
                <w:color w:val="auto"/>
                <w:sz w:val="21"/>
                <w:szCs w:val="21"/>
                <w:highlight w:val="none"/>
                <w:lang w:val="en-US" w:eastAsia="zh-CN"/>
              </w:rPr>
              <w:t>视频工作站</w:t>
            </w:r>
            <w:r>
              <w:rPr>
                <w:rFonts w:hint="eastAsia" w:ascii="宋体" w:hAnsi="宋体" w:cs="宋体"/>
                <w:color w:val="auto"/>
                <w:szCs w:val="22"/>
                <w:highlight w:val="none"/>
              </w:rPr>
              <w:t>中：</w:t>
            </w:r>
            <w:r>
              <w:rPr>
                <w:rFonts w:hint="eastAsia" w:ascii="宋体" w:hAnsi="宋体" w:cs="宋体"/>
                <w:color w:val="auto"/>
                <w:szCs w:val="22"/>
                <w:highlight w:val="none"/>
                <w:lang w:val="en-US" w:eastAsia="zh-CN"/>
              </w:rPr>
              <w:t>工作站部分。</w:t>
            </w:r>
          </w:p>
          <w:p>
            <w:pPr>
              <w:spacing w:line="360" w:lineRule="exact"/>
              <w:rPr>
                <w:rFonts w:hint="eastAsia" w:ascii="宋体" w:hAnsi="宋体" w:cs="宋体"/>
                <w:color w:val="auto"/>
                <w:szCs w:val="22"/>
                <w:highlight w:val="none"/>
              </w:rPr>
            </w:pPr>
            <w:r>
              <w:rPr>
                <w:rFonts w:hint="eastAsia" w:ascii="宋体" w:hAnsi="宋体" w:cs="宋体"/>
                <w:color w:val="auto"/>
                <w:szCs w:val="22"/>
                <w:highlight w:val="none"/>
              </w:rPr>
              <w:t>2、</w:t>
            </w:r>
            <w:r>
              <w:rPr>
                <w:rFonts w:hint="eastAsia" w:ascii="宋体" w:hAnsi="宋体" w:cs="宋体"/>
                <w:color w:val="auto"/>
                <w:sz w:val="21"/>
                <w:szCs w:val="21"/>
                <w:highlight w:val="none"/>
                <w:lang w:val="en-US" w:eastAsia="zh-CN"/>
              </w:rPr>
              <w:t>光纤存储阵列</w:t>
            </w:r>
            <w:r>
              <w:rPr>
                <w:rFonts w:hint="eastAsia" w:ascii="宋体" w:hAnsi="宋体" w:cs="宋体"/>
                <w:color w:val="auto"/>
                <w:szCs w:val="22"/>
                <w:highlight w:val="none"/>
              </w:rPr>
              <w:t>中：</w:t>
            </w:r>
            <w:r>
              <w:rPr>
                <w:rFonts w:hint="eastAsia" w:ascii="宋体" w:hAnsi="宋体" w:cs="宋体"/>
                <w:color w:val="auto"/>
                <w:szCs w:val="22"/>
                <w:highlight w:val="none"/>
                <w:lang w:val="en-US" w:eastAsia="zh-CN"/>
              </w:rPr>
              <w:t>存储部分。</w:t>
            </w:r>
          </w:p>
        </w:tc>
      </w:tr>
    </w:tbl>
    <w:p>
      <w:pPr>
        <w:pStyle w:val="21"/>
        <w:jc w:val="center"/>
        <w:rPr>
          <w:rFonts w:hint="eastAsia"/>
          <w:b/>
          <w:bCs/>
          <w:color w:val="auto"/>
          <w:sz w:val="30"/>
          <w:szCs w:val="30"/>
          <w:highlight w:val="none"/>
        </w:rPr>
      </w:pPr>
      <w:r>
        <w:rPr>
          <w:rFonts w:hint="eastAsia"/>
          <w:b/>
          <w:bCs/>
          <w:color w:val="auto"/>
          <w:sz w:val="30"/>
          <w:szCs w:val="30"/>
          <w:highlight w:val="none"/>
        </w:rPr>
        <w:t>技术要求</w:t>
      </w:r>
    </w:p>
    <w:p>
      <w:pPr>
        <w:pStyle w:val="21"/>
        <w:rPr>
          <w:rFonts w:hint="eastAsia"/>
          <w:b/>
          <w:bCs/>
          <w:color w:val="auto"/>
          <w:sz w:val="24"/>
          <w:szCs w:val="24"/>
          <w:highlight w:val="none"/>
        </w:rPr>
      </w:pPr>
    </w:p>
    <w:p>
      <w:pPr>
        <w:pStyle w:val="55"/>
        <w:numPr>
          <w:ilvl w:val="0"/>
          <w:numId w:val="0"/>
        </w:numPr>
        <w:ind w:leftChars="0"/>
        <w:rPr>
          <w:rFonts w:hint="eastAsia" w:ascii="宋体" w:hAnsi="宋体" w:eastAsia="宋体" w:cs="宋体"/>
          <w:b/>
          <w:bCs/>
          <w:color w:val="auto"/>
          <w:sz w:val="21"/>
          <w:szCs w:val="21"/>
          <w:highlight w:val="none"/>
          <w:lang w:val="en-US" w:eastAsia="zh-CN"/>
        </w:rPr>
      </w:pPr>
      <w:r>
        <w:rPr>
          <w:rFonts w:hint="eastAsia" w:asci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lang w:val="en-US" w:eastAsia="zh-CN"/>
        </w:rPr>
        <w:t>采购清单：</w:t>
      </w:r>
    </w:p>
    <w:tbl>
      <w:tblPr>
        <w:tblStyle w:val="34"/>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331"/>
        <w:gridCol w:w="2443"/>
        <w:gridCol w:w="896"/>
        <w:gridCol w:w="1189"/>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331"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设备名称</w:t>
            </w:r>
          </w:p>
        </w:tc>
        <w:tc>
          <w:tcPr>
            <w:tcW w:w="2443"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技术参数</w:t>
            </w:r>
          </w:p>
        </w:tc>
        <w:tc>
          <w:tcPr>
            <w:tcW w:w="896"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c>
          <w:tcPr>
            <w:tcW w:w="1189"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计量单位</w:t>
            </w:r>
          </w:p>
        </w:tc>
        <w:tc>
          <w:tcPr>
            <w:tcW w:w="1207"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331" w:type="dxa"/>
            <w:noWrap w:val="0"/>
            <w:vAlign w:val="top"/>
          </w:tcPr>
          <w:p>
            <w:pPr>
              <w:pStyle w:val="2"/>
              <w:numPr>
                <w:ilvl w:val="0"/>
                <w:numId w:val="0"/>
              </w:numPr>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视频工作站</w:t>
            </w:r>
            <w:r>
              <w:rPr>
                <w:rFonts w:hint="eastAsia" w:ascii="宋体" w:hAnsi="宋体" w:eastAsia="宋体" w:cs="宋体"/>
                <w:color w:val="auto"/>
                <w:sz w:val="21"/>
                <w:szCs w:val="21"/>
                <w:highlight w:val="none"/>
                <w:vertAlign w:val="baseline"/>
                <w:lang w:val="en-US" w:eastAsia="zh-CN"/>
              </w:rPr>
              <w:t>（I类）</w:t>
            </w:r>
          </w:p>
        </w:tc>
        <w:tc>
          <w:tcPr>
            <w:tcW w:w="2443" w:type="dxa"/>
            <w:noWrap w:val="0"/>
            <w:vAlign w:val="top"/>
          </w:tcPr>
          <w:p>
            <w:pPr>
              <w:pStyle w:val="2"/>
              <w:numPr>
                <w:ilvl w:val="0"/>
                <w:numId w:val="0"/>
              </w:numPr>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c>
          <w:tcPr>
            <w:tcW w:w="1207"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331"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光纤存储阵列</w:t>
            </w:r>
            <w:r>
              <w:rPr>
                <w:rFonts w:hint="eastAsia" w:ascii="宋体" w:hAnsi="宋体" w:eastAsia="宋体" w:cs="宋体"/>
                <w:color w:val="auto"/>
                <w:sz w:val="21"/>
                <w:szCs w:val="21"/>
                <w:highlight w:val="none"/>
                <w:vertAlign w:val="baseline"/>
                <w:lang w:val="en-US" w:eastAsia="zh-CN"/>
              </w:rPr>
              <w:t>（II类）</w:t>
            </w:r>
          </w:p>
        </w:tc>
        <w:tc>
          <w:tcPr>
            <w:tcW w:w="2443"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2331"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微单视频机（III类）</w:t>
            </w:r>
          </w:p>
        </w:tc>
        <w:tc>
          <w:tcPr>
            <w:tcW w:w="2443"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2331"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调色系统（IV类）</w:t>
            </w:r>
          </w:p>
        </w:tc>
        <w:tc>
          <w:tcPr>
            <w:tcW w:w="2443"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2331"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镜头及附件（V类）</w:t>
            </w:r>
          </w:p>
        </w:tc>
        <w:tc>
          <w:tcPr>
            <w:tcW w:w="2443"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2331"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录音配件（VI类）</w:t>
            </w:r>
          </w:p>
        </w:tc>
        <w:tc>
          <w:tcPr>
            <w:tcW w:w="2443"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w:t>
            </w:r>
          </w:p>
        </w:tc>
        <w:tc>
          <w:tcPr>
            <w:tcW w:w="2331" w:type="dxa"/>
            <w:noWrap w:val="0"/>
            <w:vAlign w:val="top"/>
          </w:tcPr>
          <w:p>
            <w:pPr>
              <w:pStyle w:val="2"/>
              <w:numPr>
                <w:ilvl w:val="0"/>
                <w:numId w:val="0"/>
              </w:numPr>
              <w:spacing w:before="50" w:beforeLines="50" w:after="50" w:afterLines="50"/>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灯光系统（VII类）</w:t>
            </w:r>
          </w:p>
        </w:tc>
        <w:tc>
          <w:tcPr>
            <w:tcW w:w="2443" w:type="dxa"/>
            <w:noWrap w:val="0"/>
            <w:vAlign w:val="top"/>
          </w:tcPr>
          <w:p>
            <w:pPr>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2331" w:type="dxa"/>
            <w:noWrap w:val="0"/>
            <w:vAlign w:val="top"/>
          </w:tcPr>
          <w:p>
            <w:pPr>
              <w:pStyle w:val="2"/>
              <w:numPr>
                <w:ilvl w:val="0"/>
                <w:numId w:val="0"/>
              </w:numPr>
              <w:spacing w:before="50" w:beforeLines="50" w:after="50" w:afterLines="50"/>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供电系统（VIII类）</w:t>
            </w:r>
          </w:p>
        </w:tc>
        <w:tc>
          <w:tcPr>
            <w:tcW w:w="2443" w:type="dxa"/>
            <w:noWrap w:val="0"/>
            <w:vAlign w:val="top"/>
          </w:tcPr>
          <w:p>
            <w:pPr>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9</w:t>
            </w:r>
          </w:p>
        </w:tc>
        <w:tc>
          <w:tcPr>
            <w:tcW w:w="2331" w:type="dxa"/>
            <w:noWrap w:val="0"/>
            <w:vAlign w:val="top"/>
          </w:tcPr>
          <w:p>
            <w:pPr>
              <w:pStyle w:val="2"/>
              <w:numPr>
                <w:ilvl w:val="0"/>
                <w:numId w:val="0"/>
              </w:numPr>
              <w:spacing w:before="50" w:beforeLines="50" w:after="50" w:afterLines="50"/>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存储设备（IX类）</w:t>
            </w:r>
          </w:p>
        </w:tc>
        <w:tc>
          <w:tcPr>
            <w:tcW w:w="2443" w:type="dxa"/>
            <w:noWrap w:val="0"/>
            <w:vAlign w:val="top"/>
          </w:tcPr>
          <w:p>
            <w:pPr>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w:t>
            </w:r>
          </w:p>
        </w:tc>
        <w:tc>
          <w:tcPr>
            <w:tcW w:w="2331" w:type="dxa"/>
            <w:noWrap w:val="0"/>
            <w:vAlign w:val="top"/>
          </w:tcPr>
          <w:p>
            <w:pPr>
              <w:pStyle w:val="2"/>
              <w:numPr>
                <w:ilvl w:val="0"/>
                <w:numId w:val="0"/>
              </w:numPr>
              <w:spacing w:before="50" w:beforeLines="50" w:after="50" w:afterLines="50"/>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拍摄附件（X类）</w:t>
            </w:r>
          </w:p>
        </w:tc>
        <w:tc>
          <w:tcPr>
            <w:tcW w:w="2443" w:type="dxa"/>
            <w:noWrap w:val="0"/>
            <w:vAlign w:val="top"/>
          </w:tcPr>
          <w:p>
            <w:pPr>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bl>
    <w:p>
      <w:pPr>
        <w:rPr>
          <w:rFonts w:hint="eastAsia"/>
          <w:color w:val="auto"/>
          <w:highlight w:val="none"/>
        </w:rPr>
      </w:pPr>
    </w:p>
    <w:p>
      <w:pPr>
        <w:pStyle w:val="54"/>
        <w:numPr>
          <w:ilvl w:val="0"/>
          <w:numId w:val="0"/>
        </w:numPr>
        <w:ind w:leftChars="0"/>
        <w:rPr>
          <w:rFonts w:hint="eastAsia" w:ascii="宋体" w:eastAsia="宋体" w:cs="宋体"/>
          <w:color w:val="auto"/>
          <w:sz w:val="21"/>
          <w:szCs w:val="21"/>
          <w:highlight w:val="none"/>
        </w:rPr>
      </w:pPr>
      <w:bookmarkStart w:id="99" w:name="_Toc21535"/>
      <w:r>
        <w:rPr>
          <w:rFonts w:hint="eastAsia" w:asci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技术规格要求</w:t>
      </w:r>
      <w:bookmarkEnd w:id="99"/>
      <w:r>
        <w:rPr>
          <w:rFonts w:hint="eastAsia" w:ascii="宋体" w:hAnsi="宋体" w:eastAsia="宋体" w:cs="宋体"/>
          <w:color w:val="auto"/>
          <w:sz w:val="21"/>
          <w:szCs w:val="21"/>
          <w:highlight w:val="none"/>
          <w:lang w:val="en-US" w:eastAsia="zh-CN"/>
        </w:rPr>
        <w:t>：</w:t>
      </w:r>
    </w:p>
    <w:p>
      <w:pPr>
        <w:widowControl/>
        <w:numPr>
          <w:ilvl w:val="0"/>
          <w:numId w:val="9"/>
        </w:num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采购清单：</w:t>
      </w:r>
    </w:p>
    <w:tbl>
      <w:tblPr>
        <w:tblStyle w:val="34"/>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331"/>
        <w:gridCol w:w="2443"/>
        <w:gridCol w:w="896"/>
        <w:gridCol w:w="1189"/>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331"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设备名称</w:t>
            </w:r>
          </w:p>
        </w:tc>
        <w:tc>
          <w:tcPr>
            <w:tcW w:w="2443"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技术参数</w:t>
            </w:r>
          </w:p>
        </w:tc>
        <w:tc>
          <w:tcPr>
            <w:tcW w:w="896"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c>
          <w:tcPr>
            <w:tcW w:w="1189"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计量单位</w:t>
            </w:r>
          </w:p>
        </w:tc>
        <w:tc>
          <w:tcPr>
            <w:tcW w:w="1207"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331" w:type="dxa"/>
            <w:noWrap w:val="0"/>
            <w:vAlign w:val="top"/>
          </w:tcPr>
          <w:p>
            <w:pPr>
              <w:pStyle w:val="2"/>
              <w:numPr>
                <w:ilvl w:val="0"/>
                <w:numId w:val="0"/>
              </w:numPr>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视频工作站</w:t>
            </w:r>
            <w:r>
              <w:rPr>
                <w:rFonts w:hint="eastAsia" w:ascii="宋体" w:hAnsi="宋体" w:eastAsia="宋体" w:cs="宋体"/>
                <w:color w:val="auto"/>
                <w:sz w:val="21"/>
                <w:szCs w:val="21"/>
                <w:highlight w:val="none"/>
                <w:vertAlign w:val="baseline"/>
                <w:lang w:val="en-US" w:eastAsia="zh-CN"/>
              </w:rPr>
              <w:t>（I类）</w:t>
            </w:r>
          </w:p>
        </w:tc>
        <w:tc>
          <w:tcPr>
            <w:tcW w:w="2443" w:type="dxa"/>
            <w:noWrap w:val="0"/>
            <w:vAlign w:val="top"/>
          </w:tcPr>
          <w:p>
            <w:pPr>
              <w:pStyle w:val="2"/>
              <w:numPr>
                <w:ilvl w:val="0"/>
                <w:numId w:val="0"/>
              </w:numPr>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c>
          <w:tcPr>
            <w:tcW w:w="1207"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331"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光纤存储阵列</w:t>
            </w:r>
            <w:r>
              <w:rPr>
                <w:rFonts w:hint="eastAsia" w:ascii="宋体" w:hAnsi="宋体" w:eastAsia="宋体" w:cs="宋体"/>
                <w:color w:val="auto"/>
                <w:sz w:val="21"/>
                <w:szCs w:val="21"/>
                <w:highlight w:val="none"/>
                <w:vertAlign w:val="baseline"/>
                <w:lang w:val="en-US" w:eastAsia="zh-CN"/>
              </w:rPr>
              <w:t>（II类）</w:t>
            </w:r>
          </w:p>
        </w:tc>
        <w:tc>
          <w:tcPr>
            <w:tcW w:w="2443"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2331"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微单视频机（III类）</w:t>
            </w:r>
          </w:p>
        </w:tc>
        <w:tc>
          <w:tcPr>
            <w:tcW w:w="2443"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2331"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调色系统（IV类）</w:t>
            </w:r>
          </w:p>
        </w:tc>
        <w:tc>
          <w:tcPr>
            <w:tcW w:w="2443"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2331"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镜头及附件（V类）</w:t>
            </w:r>
          </w:p>
        </w:tc>
        <w:tc>
          <w:tcPr>
            <w:tcW w:w="2443"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2331"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录音配件（VI类）</w:t>
            </w:r>
          </w:p>
        </w:tc>
        <w:tc>
          <w:tcPr>
            <w:tcW w:w="2443"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w:t>
            </w:r>
          </w:p>
        </w:tc>
        <w:tc>
          <w:tcPr>
            <w:tcW w:w="2331" w:type="dxa"/>
            <w:noWrap w:val="0"/>
            <w:vAlign w:val="top"/>
          </w:tcPr>
          <w:p>
            <w:pPr>
              <w:pStyle w:val="2"/>
              <w:numPr>
                <w:ilvl w:val="0"/>
                <w:numId w:val="0"/>
              </w:numPr>
              <w:spacing w:before="50" w:beforeLines="50" w:after="50" w:afterLines="50"/>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灯光系统（VII类）</w:t>
            </w:r>
          </w:p>
        </w:tc>
        <w:tc>
          <w:tcPr>
            <w:tcW w:w="2443" w:type="dxa"/>
            <w:noWrap w:val="0"/>
            <w:vAlign w:val="top"/>
          </w:tcPr>
          <w:p>
            <w:pPr>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2331" w:type="dxa"/>
            <w:noWrap w:val="0"/>
            <w:vAlign w:val="top"/>
          </w:tcPr>
          <w:p>
            <w:pPr>
              <w:pStyle w:val="2"/>
              <w:numPr>
                <w:ilvl w:val="0"/>
                <w:numId w:val="0"/>
              </w:numPr>
              <w:spacing w:before="50" w:beforeLines="50" w:after="50" w:afterLines="50"/>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供电系统（VIII类）</w:t>
            </w:r>
          </w:p>
        </w:tc>
        <w:tc>
          <w:tcPr>
            <w:tcW w:w="2443" w:type="dxa"/>
            <w:noWrap w:val="0"/>
            <w:vAlign w:val="top"/>
          </w:tcPr>
          <w:p>
            <w:pPr>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9</w:t>
            </w:r>
          </w:p>
        </w:tc>
        <w:tc>
          <w:tcPr>
            <w:tcW w:w="2331" w:type="dxa"/>
            <w:noWrap w:val="0"/>
            <w:vAlign w:val="top"/>
          </w:tcPr>
          <w:p>
            <w:pPr>
              <w:pStyle w:val="2"/>
              <w:numPr>
                <w:ilvl w:val="0"/>
                <w:numId w:val="0"/>
              </w:numPr>
              <w:spacing w:before="50" w:beforeLines="50" w:after="50" w:afterLines="50"/>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存储设备（IX类）</w:t>
            </w:r>
          </w:p>
        </w:tc>
        <w:tc>
          <w:tcPr>
            <w:tcW w:w="2443" w:type="dxa"/>
            <w:noWrap w:val="0"/>
            <w:vAlign w:val="top"/>
          </w:tcPr>
          <w:p>
            <w:pPr>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w:t>
            </w:r>
          </w:p>
        </w:tc>
        <w:tc>
          <w:tcPr>
            <w:tcW w:w="2331" w:type="dxa"/>
            <w:noWrap w:val="0"/>
            <w:vAlign w:val="top"/>
          </w:tcPr>
          <w:p>
            <w:pPr>
              <w:pStyle w:val="2"/>
              <w:numPr>
                <w:ilvl w:val="0"/>
                <w:numId w:val="0"/>
              </w:numPr>
              <w:spacing w:before="50" w:beforeLines="50" w:after="50" w:afterLines="50"/>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拍摄附件（X类）</w:t>
            </w:r>
          </w:p>
        </w:tc>
        <w:tc>
          <w:tcPr>
            <w:tcW w:w="2443" w:type="dxa"/>
            <w:noWrap w:val="0"/>
            <w:vAlign w:val="top"/>
          </w:tcPr>
          <w:p>
            <w:pPr>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请见下附技术规格要求</w:t>
            </w:r>
          </w:p>
        </w:tc>
        <w:tc>
          <w:tcPr>
            <w:tcW w:w="896" w:type="dxa"/>
            <w:noWrap w:val="0"/>
            <w:vAlign w:val="top"/>
          </w:tcPr>
          <w:p>
            <w:pPr>
              <w:pStyle w:val="2"/>
              <w:numPr>
                <w:ilvl w:val="0"/>
                <w:numId w:val="0"/>
              </w:numPr>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189" w:type="dxa"/>
            <w:noWrap w:val="0"/>
            <w:vAlign w:val="top"/>
          </w:tcPr>
          <w:p>
            <w:pPr>
              <w:pStyle w:val="2"/>
              <w:numPr>
                <w:ilvl w:val="0"/>
                <w:numId w:val="0"/>
              </w:numPr>
              <w:spacing w:before="50" w:beforeLines="50" w:after="50" w:afterLines="5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批</w:t>
            </w:r>
          </w:p>
        </w:tc>
        <w:tc>
          <w:tcPr>
            <w:tcW w:w="1207" w:type="dxa"/>
            <w:noWrap w:val="0"/>
            <w:vAlign w:val="top"/>
          </w:tcPr>
          <w:p>
            <w:pPr>
              <w:pStyle w:val="2"/>
              <w:numPr>
                <w:ilvl w:val="0"/>
                <w:numId w:val="0"/>
              </w:numPr>
              <w:spacing w:before="50" w:beforeLines="50" w:after="50" w:afterLines="50"/>
              <w:rPr>
                <w:rFonts w:hint="eastAsia" w:ascii="宋体" w:hAnsi="宋体" w:eastAsia="宋体" w:cs="宋体"/>
                <w:color w:val="auto"/>
                <w:sz w:val="21"/>
                <w:szCs w:val="21"/>
                <w:highlight w:val="none"/>
                <w:vertAlign w:val="baseline"/>
                <w:lang w:val="en-US" w:eastAsia="zh-CN"/>
              </w:rPr>
            </w:pPr>
          </w:p>
        </w:tc>
      </w:tr>
    </w:tbl>
    <w:p>
      <w:pPr>
        <w:pStyle w:val="2"/>
        <w:numPr>
          <w:ilvl w:val="0"/>
          <w:numId w:val="9"/>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技术规格要求：</w:t>
      </w:r>
    </w:p>
    <w:p>
      <w:pPr>
        <w:pStyle w:val="2"/>
        <w:numPr>
          <w:ilvl w:val="0"/>
          <w:numId w:val="0"/>
        </w:numPr>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视频工作站</w:t>
      </w:r>
      <w:r>
        <w:rPr>
          <w:rFonts w:hint="eastAsia" w:ascii="宋体" w:hAnsi="宋体" w:eastAsia="宋体" w:cs="宋体"/>
          <w:color w:val="auto"/>
          <w:sz w:val="21"/>
          <w:szCs w:val="21"/>
          <w:highlight w:val="none"/>
          <w:lang w:val="en-US" w:eastAsia="zh-CN"/>
        </w:rPr>
        <w:t>（I类）</w:t>
      </w:r>
    </w:p>
    <w:tbl>
      <w:tblPr>
        <w:tblStyle w:val="34"/>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951"/>
        <w:gridCol w:w="873"/>
        <w:gridCol w:w="4854"/>
        <w:gridCol w:w="67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951"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名称</w:t>
            </w:r>
          </w:p>
        </w:tc>
        <w:tc>
          <w:tcPr>
            <w:tcW w:w="5727" w:type="dxa"/>
            <w:gridSpan w:val="2"/>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技术规格要求</w:t>
            </w:r>
            <w:r>
              <w:rPr>
                <w:rFonts w:hint="eastAsia" w:ascii="宋体" w:hAnsi="宋体" w:cs="宋体"/>
                <w:color w:val="auto"/>
                <w:kern w:val="0"/>
                <w:szCs w:val="21"/>
                <w:highlight w:val="none"/>
              </w:rPr>
              <w:t>（标</w:t>
            </w:r>
            <w:r>
              <w:rPr>
                <w:rFonts w:hint="eastAsia" w:ascii="微软雅黑" w:hAnsi="微软雅黑" w:eastAsia="微软雅黑" w:cs="微软雅黑"/>
                <w:color w:val="auto"/>
                <w:szCs w:val="21"/>
                <w:highlight w:val="none"/>
              </w:rPr>
              <w:t>▲</w:t>
            </w:r>
            <w:r>
              <w:rPr>
                <w:rFonts w:hint="eastAsia" w:ascii="宋体" w:hAnsi="宋体" w:cs="宋体"/>
                <w:color w:val="auto"/>
                <w:kern w:val="0"/>
                <w:szCs w:val="21"/>
                <w:highlight w:val="none"/>
              </w:rPr>
              <w:t>为关键性指标）</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数量</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显示器</w:t>
            </w:r>
          </w:p>
        </w:tc>
        <w:tc>
          <w:tcPr>
            <w:tcW w:w="5727" w:type="dxa"/>
            <w:gridSpan w:val="2"/>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32英寸显示器；A.R.T10bit面板；非曲面屏、非带鱼屏；支持硬件校准；色差Delta E:≤2；色域同时满足≥99%Adobe RGB、95%P3和100%sRGB；HDR等级:HDR10；支持16 bit 3D LUT；含原厂遮光罩。</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Arial" w:hAnsi="Arial" w:cs="宋体"/>
                <w:color w:val="auto"/>
                <w:highlight w:val="none"/>
                <w:lang w:val="en-US" w:eastAsia="zh-CN"/>
              </w:rPr>
              <w:t>专业技术使用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51" w:type="dxa"/>
            <w:vMerge w:val="restart"/>
            <w:noWrap w:val="0"/>
            <w:vAlign w:val="top"/>
          </w:tcPr>
          <w:p>
            <w:pPr>
              <w:keepNext w:val="0"/>
              <w:keepLines w:val="0"/>
              <w:pageBreakBefore w:val="0"/>
              <w:widowControl/>
              <w:kinsoku/>
              <w:wordWrap/>
              <w:overflowPunct/>
              <w:topLinePunct w:val="0"/>
              <w:autoSpaceDE/>
              <w:autoSpaceDN/>
              <w:bidi/>
              <w:adjustRightInd/>
              <w:snapToGrid/>
              <w:spacing w:before="50" w:beforeLines="50" w:after="50" w:afterLines="50" w:line="720" w:lineRule="auto"/>
              <w:jc w:val="center"/>
              <w:textAlignment w:val="auto"/>
              <w:rPr>
                <w:rFonts w:hint="eastAsia" w:ascii="Arial" w:hAnsi="Arial" w:cs="宋体"/>
                <w:color w:val="auto"/>
                <w:highlight w:val="none"/>
                <w:lang w:val="en-US" w:eastAsia="zh-CN"/>
              </w:rPr>
            </w:pPr>
          </w:p>
          <w:p>
            <w:pPr>
              <w:keepNext w:val="0"/>
              <w:keepLines w:val="0"/>
              <w:pageBreakBefore w:val="0"/>
              <w:widowControl/>
              <w:kinsoku/>
              <w:wordWrap/>
              <w:overflowPunct/>
              <w:topLinePunct w:val="0"/>
              <w:autoSpaceDE/>
              <w:autoSpaceDN/>
              <w:bidi/>
              <w:adjustRightInd/>
              <w:snapToGrid/>
              <w:spacing w:before="50" w:beforeLines="50" w:after="50" w:afterLines="50" w:line="240" w:lineRule="auto"/>
              <w:jc w:val="both"/>
              <w:textAlignment w:val="auto"/>
              <w:rPr>
                <w:rFonts w:hint="eastAsia" w:ascii="Arial" w:hAnsi="Arial" w:cs="宋体"/>
                <w:color w:val="auto"/>
                <w:highlight w:val="none"/>
                <w:lang w:val="en-US" w:eastAsia="zh-CN"/>
              </w:rPr>
            </w:pPr>
          </w:p>
          <w:p>
            <w:pPr>
              <w:keepNext w:val="0"/>
              <w:keepLines w:val="0"/>
              <w:pageBreakBefore w:val="0"/>
              <w:widowControl/>
              <w:kinsoku/>
              <w:wordWrap/>
              <w:overflowPunct/>
              <w:topLinePunct w:val="0"/>
              <w:autoSpaceDE/>
              <w:autoSpaceDN/>
              <w:bidi/>
              <w:adjustRightInd/>
              <w:snapToGrid/>
              <w:spacing w:before="50" w:beforeLines="50" w:after="50" w:afterLines="50" w:line="240" w:lineRule="auto"/>
              <w:jc w:val="both"/>
              <w:textAlignment w:val="auto"/>
              <w:rPr>
                <w:rFonts w:hint="eastAsia" w:ascii="Arial" w:hAnsi="Arial" w:cs="宋体"/>
                <w:color w:val="auto"/>
                <w:highlight w:val="none"/>
                <w:lang w:val="en-US" w:eastAsia="zh-CN"/>
              </w:rPr>
            </w:pPr>
          </w:p>
          <w:p>
            <w:pPr>
              <w:keepNext w:val="0"/>
              <w:keepLines w:val="0"/>
              <w:pageBreakBefore w:val="0"/>
              <w:widowControl/>
              <w:kinsoku/>
              <w:wordWrap/>
              <w:overflowPunct/>
              <w:topLinePunct w:val="0"/>
              <w:autoSpaceDE/>
              <w:autoSpaceDN/>
              <w:bidi/>
              <w:adjustRightInd/>
              <w:snapToGrid/>
              <w:spacing w:before="50" w:beforeLines="50" w:after="50" w:afterLines="50" w:line="240" w:lineRule="auto"/>
              <w:jc w:val="right"/>
              <w:textAlignment w:val="auto"/>
              <w:rPr>
                <w:rFonts w:hint="eastAsia" w:ascii="Arial" w:hAnsi="Arial" w:cs="宋体"/>
                <w:color w:val="auto"/>
                <w:highlight w:val="none"/>
                <w:lang w:val="en-US" w:eastAsia="zh-CN"/>
              </w:rPr>
            </w:pPr>
            <w:r>
              <w:rPr>
                <w:rFonts w:hint="eastAsia" w:ascii="Arial" w:hAnsi="Arial" w:cs="宋体"/>
                <w:color w:val="auto"/>
                <w:highlight w:val="none"/>
                <w:lang w:val="en-US" w:eastAsia="zh-CN"/>
              </w:rPr>
              <w:t>视频工作站</w:t>
            </w:r>
          </w:p>
          <w:p>
            <w:pPr>
              <w:pStyle w:val="2"/>
              <w:spacing w:before="50" w:beforeLines="50" w:after="50" w:afterLines="50"/>
              <w:rPr>
                <w:rFonts w:hint="eastAsia" w:ascii="宋体" w:hAnsi="宋体" w:cs="宋体"/>
                <w:color w:val="auto"/>
                <w:sz w:val="21"/>
                <w:szCs w:val="21"/>
                <w:highlight w:val="none"/>
                <w:vertAlign w:val="baseline"/>
                <w:lang w:val="en-US" w:eastAsia="zh-CN"/>
              </w:rPr>
            </w:pPr>
          </w:p>
          <w:p>
            <w:pPr>
              <w:pStyle w:val="2"/>
              <w:spacing w:before="50" w:beforeLines="50" w:after="50" w:afterLines="50"/>
              <w:rPr>
                <w:rFonts w:hint="eastAsia" w:ascii="宋体" w:hAnsi="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宋体" w:hAnsi="宋体" w:cs="宋体"/>
                <w:color w:val="auto"/>
                <w:sz w:val="21"/>
                <w:szCs w:val="21"/>
                <w:highlight w:val="none"/>
                <w:vertAlign w:val="baseline"/>
                <w:lang w:val="en-US" w:eastAsia="zh-CN"/>
              </w:rPr>
              <w:t>主板</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rPr>
              <w:t>Intel C621系列及以上芯片组</w:t>
            </w:r>
          </w:p>
        </w:tc>
        <w:tc>
          <w:tcPr>
            <w:tcW w:w="670" w:type="dxa"/>
            <w:vMerge w:val="restart"/>
            <w:noWrap w:val="0"/>
            <w:vAlign w:val="top"/>
          </w:tcPr>
          <w:p>
            <w:pPr>
              <w:widowControl/>
              <w:spacing w:before="50" w:beforeLines="50" w:after="50" w:afterLines="50"/>
              <w:jc w:val="center"/>
              <w:rPr>
                <w:rFonts w:hint="eastAsia" w:ascii="Arial" w:hAnsi="Arial" w:cs="宋体"/>
                <w:color w:val="auto"/>
                <w:highlight w:val="none"/>
                <w:lang w:val="en-US" w:eastAsia="zh-CN"/>
              </w:rPr>
            </w:pPr>
          </w:p>
          <w:p>
            <w:pPr>
              <w:pStyle w:val="2"/>
              <w:spacing w:before="50" w:beforeLines="50" w:after="50" w:afterLines="50"/>
              <w:ind w:left="0" w:leftChars="0" w:firstLine="0" w:firstLineChars="0"/>
              <w:jc w:val="center"/>
              <w:rPr>
                <w:rFonts w:hint="eastAsia" w:ascii="宋体" w:hAnsi="宋体" w:eastAsia="宋体" w:cs="宋体"/>
                <w:color w:val="auto"/>
                <w:sz w:val="21"/>
                <w:szCs w:val="21"/>
                <w:highlight w:val="none"/>
                <w:vertAlign w:val="baseline"/>
                <w:lang w:val="en-US" w:eastAsia="zh-CN"/>
              </w:rPr>
            </w:pPr>
          </w:p>
          <w:p>
            <w:pPr>
              <w:pStyle w:val="2"/>
              <w:spacing w:before="50" w:beforeLines="50" w:after="50" w:afterLines="50"/>
              <w:ind w:left="0" w:leftChars="0" w:firstLine="0" w:firstLineChars="0"/>
              <w:jc w:val="center"/>
              <w:rPr>
                <w:rFonts w:hint="eastAsia" w:ascii="宋体" w:hAnsi="宋体" w:eastAsia="宋体" w:cs="宋体"/>
                <w:color w:val="auto"/>
                <w:sz w:val="21"/>
                <w:szCs w:val="21"/>
                <w:highlight w:val="none"/>
                <w:vertAlign w:val="baseline"/>
                <w:lang w:val="en-US" w:eastAsia="zh-CN"/>
              </w:rPr>
            </w:pPr>
          </w:p>
          <w:p>
            <w:pPr>
              <w:pStyle w:val="2"/>
              <w:spacing w:before="50" w:beforeLines="50" w:after="50" w:afterLines="50"/>
              <w:ind w:left="0" w:leftChars="0" w:firstLine="0" w:firstLineChars="0"/>
              <w:jc w:val="center"/>
              <w:rPr>
                <w:rFonts w:hint="eastAsia" w:ascii="宋体" w:hAnsi="宋体" w:eastAsia="宋体" w:cs="宋体"/>
                <w:color w:val="auto"/>
                <w:sz w:val="21"/>
                <w:szCs w:val="21"/>
                <w:highlight w:val="none"/>
                <w:vertAlign w:val="baseline"/>
                <w:lang w:val="en-US" w:eastAsia="zh-CN"/>
              </w:rPr>
            </w:pPr>
          </w:p>
          <w:p>
            <w:pPr>
              <w:pStyle w:val="2"/>
              <w:spacing w:before="50" w:beforeLines="50" w:after="50" w:afterLines="50"/>
              <w:ind w:left="0" w:leftChars="0" w:firstLine="0" w:firstLineChars="0"/>
              <w:jc w:val="center"/>
              <w:rPr>
                <w:rFonts w:hint="eastAsia" w:ascii="宋体" w:hAnsi="宋体" w:eastAsia="宋体" w:cs="宋体"/>
                <w:color w:val="auto"/>
                <w:sz w:val="21"/>
                <w:szCs w:val="21"/>
                <w:highlight w:val="none"/>
                <w:vertAlign w:val="baseline"/>
                <w:lang w:val="en-US" w:eastAsia="zh-CN"/>
              </w:rPr>
            </w:pPr>
          </w:p>
          <w:p>
            <w:pPr>
              <w:pStyle w:val="2"/>
              <w:spacing w:before="50" w:beforeLines="50" w:after="50" w:afterLines="50"/>
              <w:ind w:left="0" w:leftChars="0" w:firstLine="0" w:firstLineChars="0"/>
              <w:jc w:val="center"/>
              <w:rPr>
                <w:rFonts w:hint="eastAsia" w:ascii="宋体" w:hAnsi="宋体" w:eastAsia="宋体" w:cs="宋体"/>
                <w:color w:val="auto"/>
                <w:sz w:val="21"/>
                <w:szCs w:val="21"/>
                <w:highlight w:val="none"/>
                <w:vertAlign w:val="baseline"/>
                <w:lang w:val="en-US" w:eastAsia="zh-CN"/>
              </w:rPr>
            </w:pPr>
          </w:p>
          <w:p>
            <w:pPr>
              <w:pStyle w:val="2"/>
              <w:spacing w:before="50" w:beforeLines="50" w:after="50" w:afterLines="50"/>
              <w:ind w:left="0" w:leftChars="0" w:firstLine="0" w:firstLineChars="0"/>
              <w:jc w:val="center"/>
              <w:rPr>
                <w:rFonts w:hint="eastAsia" w:ascii="宋体" w:hAnsi="宋体" w:eastAsia="宋体" w:cs="宋体"/>
                <w:color w:val="auto"/>
                <w:sz w:val="21"/>
                <w:szCs w:val="21"/>
                <w:highlight w:val="none"/>
                <w:vertAlign w:val="baseline"/>
                <w:lang w:val="en-US" w:eastAsia="zh-CN"/>
              </w:rPr>
            </w:pPr>
          </w:p>
          <w:p>
            <w:pPr>
              <w:pStyle w:val="2"/>
              <w:spacing w:before="50" w:beforeLines="50" w:after="50" w:afterLines="50"/>
              <w:ind w:left="0" w:leftChars="0" w:firstLine="0" w:firstLineChars="0"/>
              <w:jc w:val="center"/>
              <w:rPr>
                <w:rFonts w:hint="eastAsia" w:ascii="宋体" w:hAnsi="宋体" w:eastAsia="宋体" w:cs="宋体"/>
                <w:color w:val="auto"/>
                <w:sz w:val="21"/>
                <w:szCs w:val="21"/>
                <w:highlight w:val="none"/>
                <w:vertAlign w:val="baseline"/>
                <w:lang w:val="en-US" w:eastAsia="zh-CN"/>
              </w:rPr>
            </w:pPr>
          </w:p>
          <w:p>
            <w:pPr>
              <w:pStyle w:val="2"/>
              <w:spacing w:before="50" w:beforeLines="50" w:after="50" w:afterLines="50"/>
              <w:ind w:left="0" w:leftChars="0" w:firstLine="0" w:firstLineChars="0"/>
              <w:jc w:val="center"/>
              <w:rPr>
                <w:rFonts w:hint="default" w:ascii="Arial" w:hAnsi="Arial" w:cs="宋体"/>
                <w:color w:val="auto"/>
                <w:highlight w:val="none"/>
                <w:lang w:val="en-US" w:eastAsia="zh-CN"/>
              </w:rPr>
            </w:pPr>
            <w:r>
              <w:rPr>
                <w:rFonts w:hint="eastAsia" w:ascii="宋体" w:hAnsi="宋体" w:eastAsia="宋体" w:cs="宋体"/>
                <w:color w:val="auto"/>
                <w:sz w:val="21"/>
                <w:szCs w:val="21"/>
                <w:highlight w:val="none"/>
                <w:vertAlign w:val="baseline"/>
                <w:lang w:val="en-US" w:eastAsia="zh-CN"/>
              </w:rPr>
              <w:t>1</w:t>
            </w:r>
          </w:p>
        </w:tc>
        <w:tc>
          <w:tcPr>
            <w:tcW w:w="947" w:type="dxa"/>
            <w:vMerge w:val="restart"/>
            <w:noWrap w:val="0"/>
            <w:vAlign w:val="top"/>
          </w:tcPr>
          <w:p>
            <w:pPr>
              <w:keepNext w:val="0"/>
              <w:keepLines w:val="0"/>
              <w:pageBreakBefore w:val="0"/>
              <w:widowControl/>
              <w:kinsoku/>
              <w:wordWrap/>
              <w:overflowPunct/>
              <w:topLinePunct w:val="0"/>
              <w:autoSpaceDE/>
              <w:autoSpaceDN/>
              <w:bidi/>
              <w:adjustRightInd/>
              <w:snapToGrid/>
              <w:spacing w:before="50" w:beforeLines="50" w:after="50" w:afterLines="50" w:line="240" w:lineRule="auto"/>
              <w:jc w:val="right"/>
              <w:textAlignment w:val="auto"/>
              <w:rPr>
                <w:rFonts w:hint="eastAsia" w:ascii="Arial" w:hAnsi="Arial" w:cs="宋体"/>
                <w:color w:val="auto"/>
                <w:highlight w:val="none"/>
                <w:lang w:val="en-US" w:eastAsia="zh-CN"/>
              </w:rPr>
            </w:pPr>
          </w:p>
          <w:p>
            <w:pPr>
              <w:keepNext w:val="0"/>
              <w:keepLines w:val="0"/>
              <w:pageBreakBefore w:val="0"/>
              <w:widowControl/>
              <w:kinsoku/>
              <w:wordWrap/>
              <w:overflowPunct/>
              <w:topLinePunct w:val="0"/>
              <w:autoSpaceDE/>
              <w:autoSpaceDN/>
              <w:bidi/>
              <w:adjustRightInd/>
              <w:snapToGrid/>
              <w:spacing w:before="50" w:beforeLines="50" w:after="50" w:afterLines="50" w:line="240" w:lineRule="auto"/>
              <w:jc w:val="right"/>
              <w:textAlignment w:val="auto"/>
              <w:rPr>
                <w:rFonts w:hint="eastAsia" w:ascii="Arial" w:hAnsi="Arial" w:cs="宋体"/>
                <w:color w:val="auto"/>
                <w:highlight w:val="none"/>
                <w:lang w:val="en-US" w:eastAsia="zh-CN"/>
              </w:rPr>
            </w:pPr>
          </w:p>
          <w:p>
            <w:pPr>
              <w:keepNext w:val="0"/>
              <w:keepLines w:val="0"/>
              <w:pageBreakBefore w:val="0"/>
              <w:widowControl/>
              <w:kinsoku/>
              <w:wordWrap/>
              <w:overflowPunct/>
              <w:topLinePunct w:val="0"/>
              <w:autoSpaceDE/>
              <w:autoSpaceDN/>
              <w:bidi/>
              <w:adjustRightInd/>
              <w:snapToGrid/>
              <w:spacing w:before="50" w:beforeLines="50" w:after="50" w:afterLines="50" w:line="240" w:lineRule="auto"/>
              <w:jc w:val="right"/>
              <w:textAlignment w:val="auto"/>
              <w:rPr>
                <w:rFonts w:hint="eastAsia" w:ascii="Arial" w:hAnsi="Arial" w:cs="宋体"/>
                <w:color w:val="auto"/>
                <w:highlight w:val="none"/>
                <w:lang w:val="en-US" w:eastAsia="zh-CN"/>
              </w:rPr>
            </w:pPr>
          </w:p>
          <w:p>
            <w:pPr>
              <w:keepNext w:val="0"/>
              <w:keepLines w:val="0"/>
              <w:pageBreakBefore w:val="0"/>
              <w:widowControl/>
              <w:kinsoku/>
              <w:wordWrap/>
              <w:overflowPunct/>
              <w:topLinePunct w:val="0"/>
              <w:autoSpaceDE/>
              <w:autoSpaceDN/>
              <w:bidi/>
              <w:adjustRightInd/>
              <w:snapToGrid/>
              <w:spacing w:before="50" w:beforeLines="50" w:after="50" w:afterLines="50" w:line="240" w:lineRule="auto"/>
              <w:jc w:val="right"/>
              <w:textAlignment w:val="auto"/>
              <w:rPr>
                <w:rFonts w:hint="eastAsia" w:ascii="Arial" w:hAnsi="Arial" w:cs="宋体"/>
                <w:color w:val="auto"/>
                <w:highlight w:val="none"/>
                <w:lang w:val="en-US" w:eastAsia="zh-CN"/>
              </w:rPr>
            </w:pPr>
          </w:p>
          <w:p>
            <w:pPr>
              <w:keepNext w:val="0"/>
              <w:keepLines w:val="0"/>
              <w:pageBreakBefore w:val="0"/>
              <w:widowControl/>
              <w:kinsoku/>
              <w:wordWrap/>
              <w:overflowPunct/>
              <w:topLinePunct w:val="0"/>
              <w:autoSpaceDE/>
              <w:autoSpaceDN/>
              <w:bidi/>
              <w:adjustRightInd/>
              <w:snapToGrid/>
              <w:spacing w:before="50" w:beforeLines="50" w:after="50" w:afterLines="50" w:line="240" w:lineRule="auto"/>
              <w:jc w:val="right"/>
              <w:textAlignment w:val="auto"/>
              <w:rPr>
                <w:rFonts w:hint="eastAsia" w:ascii="Arial" w:hAnsi="Arial" w:cs="宋体"/>
                <w:color w:val="auto"/>
                <w:highlight w:val="none"/>
                <w:lang w:val="en-US" w:eastAsia="zh-CN"/>
              </w:rPr>
            </w:pPr>
          </w:p>
          <w:p>
            <w:pPr>
              <w:keepNext w:val="0"/>
              <w:keepLines w:val="0"/>
              <w:pageBreakBefore w:val="0"/>
              <w:widowControl/>
              <w:kinsoku/>
              <w:wordWrap/>
              <w:overflowPunct/>
              <w:topLinePunct w:val="0"/>
              <w:autoSpaceDE/>
              <w:autoSpaceDN/>
              <w:bidi/>
              <w:adjustRightInd/>
              <w:snapToGrid/>
              <w:spacing w:before="50" w:beforeLines="50" w:after="50" w:afterLines="50" w:line="240" w:lineRule="auto"/>
              <w:jc w:val="right"/>
              <w:textAlignment w:val="auto"/>
              <w:rPr>
                <w:rFonts w:hint="eastAsia" w:ascii="Arial" w:hAnsi="Arial" w:cs="宋体"/>
                <w:color w:val="auto"/>
                <w:highlight w:val="none"/>
                <w:lang w:val="en-US" w:eastAsia="zh-CN"/>
              </w:rPr>
            </w:pPr>
          </w:p>
          <w:p>
            <w:pPr>
              <w:keepNext w:val="0"/>
              <w:keepLines w:val="0"/>
              <w:pageBreakBefore w:val="0"/>
              <w:widowControl/>
              <w:kinsoku/>
              <w:wordWrap/>
              <w:overflowPunct/>
              <w:topLinePunct w:val="0"/>
              <w:autoSpaceDE/>
              <w:autoSpaceDN/>
              <w:bidi/>
              <w:adjustRightInd/>
              <w:snapToGrid/>
              <w:spacing w:before="50" w:beforeLines="50" w:after="50" w:afterLines="50" w:line="240" w:lineRule="auto"/>
              <w:jc w:val="right"/>
              <w:textAlignment w:val="auto"/>
              <w:rPr>
                <w:rFonts w:hint="eastAsia" w:ascii="Arial" w:hAnsi="Arial" w:cs="宋体"/>
                <w:color w:val="auto"/>
                <w:highlight w:val="none"/>
                <w:lang w:val="en-US" w:eastAsia="zh-CN"/>
              </w:rPr>
            </w:pPr>
          </w:p>
          <w:p>
            <w:pPr>
              <w:keepNext w:val="0"/>
              <w:keepLines w:val="0"/>
              <w:pageBreakBefore w:val="0"/>
              <w:widowControl/>
              <w:kinsoku/>
              <w:wordWrap/>
              <w:overflowPunct/>
              <w:topLinePunct w:val="0"/>
              <w:autoSpaceDE/>
              <w:autoSpaceDN/>
              <w:bidi/>
              <w:adjustRightInd/>
              <w:snapToGrid/>
              <w:spacing w:before="50" w:beforeLines="50" w:after="50" w:afterLines="50" w:line="240" w:lineRule="auto"/>
              <w:jc w:val="right"/>
              <w:textAlignment w:val="auto"/>
              <w:rPr>
                <w:rFonts w:hint="eastAsia" w:ascii="Arial" w:hAnsi="Arial" w:cs="宋体"/>
                <w:color w:val="auto"/>
                <w:highlight w:val="none"/>
                <w:lang w:val="en-US" w:eastAsia="zh-CN"/>
              </w:rPr>
            </w:pPr>
          </w:p>
          <w:p>
            <w:pPr>
              <w:keepNext w:val="0"/>
              <w:keepLines w:val="0"/>
              <w:pageBreakBefore w:val="0"/>
              <w:widowControl/>
              <w:kinsoku/>
              <w:wordWrap/>
              <w:overflowPunct/>
              <w:topLinePunct w:val="0"/>
              <w:autoSpaceDE/>
              <w:autoSpaceDN/>
              <w:bidi/>
              <w:adjustRightInd/>
              <w:snapToGrid/>
              <w:spacing w:before="50" w:beforeLines="50" w:after="50" w:afterLines="50" w:line="240" w:lineRule="auto"/>
              <w:jc w:val="right"/>
              <w:textAlignment w:val="auto"/>
              <w:rPr>
                <w:rFonts w:hint="eastAsia" w:ascii="Arial" w:hAnsi="Arial" w:cs="宋体"/>
                <w:color w:val="auto"/>
                <w:highlight w:val="none"/>
                <w:lang w:val="en-US" w:eastAsia="zh-CN"/>
              </w:rPr>
            </w:pPr>
          </w:p>
          <w:p>
            <w:pPr>
              <w:keepNext w:val="0"/>
              <w:keepLines w:val="0"/>
              <w:pageBreakBefore w:val="0"/>
              <w:widowControl/>
              <w:kinsoku/>
              <w:wordWrap/>
              <w:overflowPunct/>
              <w:topLinePunct w:val="0"/>
              <w:autoSpaceDE/>
              <w:autoSpaceDN/>
              <w:bidi/>
              <w:adjustRightInd/>
              <w:snapToGrid/>
              <w:spacing w:before="50" w:beforeLines="50" w:after="50" w:afterLines="50" w:line="240" w:lineRule="auto"/>
              <w:jc w:val="right"/>
              <w:textAlignment w:val="auto"/>
              <w:rPr>
                <w:rFonts w:hint="eastAsia" w:ascii="Arial" w:hAnsi="Arial" w:cs="宋体"/>
                <w:color w:val="auto"/>
                <w:highlight w:val="none"/>
                <w:lang w:val="en-US" w:eastAsia="zh-CN"/>
              </w:rPr>
            </w:pPr>
            <w:r>
              <w:rPr>
                <w:rFonts w:hint="eastAsia" w:ascii="Arial" w:hAnsi="Arial" w:cs="宋体"/>
                <w:color w:val="auto"/>
                <w:highlight w:val="none"/>
                <w:lang w:val="en-US" w:eastAsia="zh-CN"/>
              </w:rPr>
              <w:t>专业技术使用</w:t>
            </w:r>
          </w:p>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宋体" w:hAnsi="宋体" w:cs="宋体"/>
                <w:color w:val="auto"/>
                <w:sz w:val="21"/>
                <w:szCs w:val="21"/>
                <w:highlight w:val="none"/>
                <w:vertAlign w:val="baseline"/>
                <w:lang w:val="en-US" w:eastAsia="zh-CN"/>
              </w:rPr>
              <w:t>CPU</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rPr>
              <w:t>Xeon SR 4215 2.5G 8核 85W</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宋体" w:hAnsi="宋体" w:cs="宋体"/>
                <w:color w:val="auto"/>
                <w:sz w:val="21"/>
                <w:szCs w:val="21"/>
                <w:highlight w:val="none"/>
                <w:vertAlign w:val="baseline"/>
                <w:lang w:val="en-US" w:eastAsia="zh-CN"/>
              </w:rPr>
              <w:t>内存</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kern w:val="0"/>
                <w:szCs w:val="21"/>
                <w:highlight w:val="none"/>
              </w:rPr>
              <w:t xml:space="preserve">128G DDR4 2933 ECC RDIMM内存,≥12个内存插槽，最大支持384GB内存 ，支持ECC高级内存保护技术  </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宋体" w:hAnsi="宋体" w:cs="宋体"/>
                <w:color w:val="auto"/>
                <w:sz w:val="21"/>
                <w:szCs w:val="21"/>
                <w:highlight w:val="none"/>
                <w:vertAlign w:val="baseline"/>
                <w:lang w:val="en-US" w:eastAsia="zh-CN"/>
              </w:rPr>
              <w:t>硬盘</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kern w:val="0"/>
                <w:szCs w:val="21"/>
                <w:highlight w:val="none"/>
              </w:rPr>
              <w:t>配置二块S</w:t>
            </w:r>
            <w:r>
              <w:rPr>
                <w:rFonts w:ascii="宋体" w:hAnsi="宋体" w:cs="宋体"/>
                <w:color w:val="auto"/>
                <w:kern w:val="0"/>
                <w:szCs w:val="21"/>
                <w:highlight w:val="none"/>
              </w:rPr>
              <w:t>SD</w:t>
            </w:r>
            <w:r>
              <w:rPr>
                <w:rFonts w:hint="eastAsia" w:ascii="宋体" w:hAnsi="宋体" w:cs="宋体"/>
                <w:color w:val="auto"/>
                <w:kern w:val="0"/>
                <w:szCs w:val="21"/>
                <w:highlight w:val="none"/>
              </w:rPr>
              <w:t>硬盘,</w:t>
            </w:r>
            <w:r>
              <w:rPr>
                <w:rFonts w:ascii="宋体" w:hAnsi="宋体" w:cs="宋体"/>
                <w:color w:val="auto"/>
                <w:kern w:val="0"/>
                <w:szCs w:val="21"/>
                <w:highlight w:val="none"/>
              </w:rPr>
              <w:t>1024GB SSD M.2 PCIe OPAL TLC</w:t>
            </w:r>
            <w:r>
              <w:rPr>
                <w:rFonts w:hint="eastAsia" w:ascii="宋体" w:hAnsi="宋体" w:cs="宋体"/>
                <w:color w:val="auto"/>
                <w:kern w:val="0"/>
                <w:szCs w:val="21"/>
                <w:highlight w:val="none"/>
              </w:rPr>
              <w:t>与</w:t>
            </w:r>
            <w:r>
              <w:rPr>
                <w:rFonts w:ascii="宋体" w:hAnsi="宋体" w:cs="宋体"/>
                <w:color w:val="auto"/>
                <w:kern w:val="0"/>
                <w:szCs w:val="21"/>
                <w:highlight w:val="none"/>
              </w:rPr>
              <w:t>2048GB SSD M.2 PCIe OPAL TLC;</w:t>
            </w:r>
            <w:r>
              <w:rPr>
                <w:rFonts w:hint="eastAsia" w:ascii="宋体" w:hAnsi="宋体" w:cs="宋体"/>
                <w:color w:val="auto"/>
                <w:kern w:val="0"/>
                <w:szCs w:val="21"/>
                <w:highlight w:val="none"/>
              </w:rPr>
              <w:t xml:space="preserve">≥4个3.5英寸硬盘，最大支持到6个3.5寸硬盘；支持2个M.2 SSD </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both"/>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宋体" w:hAnsi="宋体" w:cs="宋体"/>
                <w:color w:val="auto"/>
                <w:sz w:val="21"/>
                <w:szCs w:val="21"/>
                <w:highlight w:val="none"/>
                <w:vertAlign w:val="baseline"/>
                <w:lang w:val="en-US" w:eastAsia="zh-CN"/>
              </w:rPr>
              <w:t>显卡</w:t>
            </w:r>
          </w:p>
        </w:tc>
        <w:tc>
          <w:tcPr>
            <w:tcW w:w="4854"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专业图形卡；DDR6显存；显存≥16G；支持实时光线追踪；显示接口达到或多于4DP+VirtualLink;最高分辨率8K；支持VR；RTX-OPS≥62T；Rays Cast≥8 Giga Rays/Sec;Max Power Consumption≤265W</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eastAsia="zh-CN"/>
              </w:rPr>
            </w:pPr>
          </w:p>
        </w:tc>
        <w:tc>
          <w:tcPr>
            <w:tcW w:w="873"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宋体" w:hAnsi="宋体" w:cs="宋体"/>
                <w:color w:val="auto"/>
                <w:sz w:val="21"/>
                <w:szCs w:val="21"/>
                <w:highlight w:val="none"/>
                <w:vertAlign w:val="baseline"/>
                <w:lang w:val="en-US" w:eastAsia="zh-CN"/>
              </w:rPr>
              <w:t>网卡</w:t>
            </w:r>
          </w:p>
        </w:tc>
        <w:tc>
          <w:tcPr>
            <w:tcW w:w="4854"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kern w:val="0"/>
                <w:szCs w:val="21"/>
                <w:highlight w:val="none"/>
              </w:rPr>
              <w:t>配置万兆网卡(带光模块</w:t>
            </w:r>
            <w:r>
              <w:rPr>
                <w:rFonts w:ascii="宋体" w:hAnsi="宋体" w:cs="宋体"/>
                <w:color w:val="auto"/>
                <w:kern w:val="0"/>
                <w:szCs w:val="21"/>
                <w:highlight w:val="none"/>
              </w:rPr>
              <w:t>)</w:t>
            </w:r>
            <w:r>
              <w:rPr>
                <w:rFonts w:hint="eastAsia" w:ascii="宋体" w:hAnsi="宋体" w:cs="宋体"/>
                <w:color w:val="auto"/>
                <w:sz w:val="21"/>
                <w:szCs w:val="21"/>
                <w:highlight w:val="none"/>
                <w:vertAlign w:val="baseline"/>
                <w:lang w:val="en-US" w:eastAsia="zh-CN"/>
              </w:rPr>
              <w:t>（此光纤网卡与下面光纤存储配套连接）</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电源</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kern w:val="0"/>
                <w:szCs w:val="21"/>
                <w:highlight w:val="none"/>
              </w:rPr>
              <w:t>电源≧1000W电源 92%，非拆装</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机箱</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rPr>
              <w:t>≥36L立式机箱，支持免工具拆卸、内嵌式把手设计，易于搬运；</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宋体" w:hAnsi="宋体" w:eastAsia="宋体" w:cs="宋体"/>
                <w:color w:val="auto"/>
                <w:sz w:val="21"/>
                <w:szCs w:val="21"/>
                <w:highlight w:val="none"/>
                <w:vertAlign w:val="baseline"/>
                <w:lang w:val="en-US" w:eastAsia="zh-CN"/>
              </w:rPr>
              <w:t>接口</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雷电接口</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lang w:eastAsia="zh-CN"/>
              </w:rPr>
              <w:t>接口</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rPr>
              <w:t>≥10个USB接口（前置4个USB 3.0接口，后置6个USB接口）、2个PS/2接口、1个串口，可选IEEE1394接口、eSATA接口</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宋体" w:hAnsi="宋体" w:eastAsia="宋体" w:cs="宋体"/>
                <w:color w:val="auto"/>
                <w:sz w:val="21"/>
                <w:szCs w:val="21"/>
                <w:highlight w:val="none"/>
                <w:vertAlign w:val="baseline"/>
                <w:lang w:val="en-US" w:eastAsia="zh-CN"/>
              </w:rPr>
              <w:t>扩展槽</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kern w:val="0"/>
                <w:szCs w:val="21"/>
                <w:highlight w:val="none"/>
              </w:rPr>
              <w:t>配置≥3个PCI-E3.0 x16，≥1个PCI-E3.0 x8，≥1个PCI-E3.0 x4，≥1个PCI</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宋体" w:hAnsi="宋体" w:cs="宋体"/>
                <w:color w:val="auto"/>
                <w:sz w:val="21"/>
                <w:szCs w:val="21"/>
                <w:highlight w:val="none"/>
                <w:vertAlign w:val="baseline"/>
                <w:lang w:val="en-US" w:eastAsia="zh-CN"/>
              </w:rPr>
              <w:t>操作系统</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kern w:val="0"/>
                <w:szCs w:val="21"/>
                <w:highlight w:val="none"/>
              </w:rPr>
              <w:t>预装Windows 10 专业版操作系统</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14</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宋体" w:hAnsi="宋体" w:cs="宋体"/>
                <w:color w:val="auto"/>
                <w:sz w:val="21"/>
                <w:szCs w:val="21"/>
                <w:highlight w:val="none"/>
                <w:vertAlign w:val="baseline"/>
                <w:lang w:val="en-US" w:eastAsia="zh-CN"/>
              </w:rPr>
              <w:t>RAID</w:t>
            </w:r>
          </w:p>
        </w:tc>
        <w:tc>
          <w:tcPr>
            <w:tcW w:w="4854" w:type="dxa"/>
            <w:noWrap w:val="0"/>
            <w:vAlign w:val="top"/>
          </w:tcPr>
          <w:p>
            <w:pPr>
              <w:autoSpaceDE w:val="0"/>
              <w:autoSpaceDN w:val="0"/>
              <w:adjustRightInd w:val="0"/>
              <w:spacing w:before="50" w:beforeLines="50" w:after="50" w:afterLines="50"/>
              <w:jc w:val="left"/>
              <w:rPr>
                <w:rFonts w:hint="eastAsia" w:ascii="宋体" w:hAnsi="宋体" w:cs="宋体"/>
                <w:color w:val="auto"/>
                <w:szCs w:val="21"/>
                <w:highlight w:val="none"/>
              </w:rPr>
            </w:pPr>
            <w:r>
              <w:rPr>
                <w:rFonts w:hint="eastAsia" w:ascii="宋体" w:hAnsi="宋体" w:cs="宋体"/>
                <w:color w:val="auto"/>
                <w:szCs w:val="21"/>
                <w:highlight w:val="none"/>
              </w:rPr>
              <w:t>RAID 0, 1, 5, 10 板载Intel控制器, SATA 6Gb/s.</w:t>
            </w:r>
          </w:p>
          <w:p>
            <w:pPr>
              <w:autoSpaceDE w:val="0"/>
              <w:autoSpaceDN w:val="0"/>
              <w:adjustRightInd w:val="0"/>
              <w:spacing w:before="50" w:beforeLines="50" w:after="50" w:afterLines="50"/>
              <w:jc w:val="left"/>
              <w:rPr>
                <w:rFonts w:hint="eastAsia" w:ascii="宋体" w:hAnsi="宋体" w:cs="宋体"/>
                <w:color w:val="auto"/>
                <w:szCs w:val="21"/>
                <w:highlight w:val="none"/>
              </w:rPr>
            </w:pPr>
            <w:r>
              <w:rPr>
                <w:rFonts w:hint="eastAsia" w:ascii="宋体" w:hAnsi="宋体" w:cs="宋体"/>
                <w:color w:val="auto"/>
                <w:szCs w:val="21"/>
                <w:highlight w:val="none"/>
              </w:rPr>
              <w:t>RAID 0, 1, 5, 10 可选 BCM Raid Controller, 12Gb/s SAS and SATA.</w:t>
            </w:r>
          </w:p>
          <w:p>
            <w:pPr>
              <w:widowControl/>
              <w:spacing w:before="50" w:beforeLines="50" w:after="50" w:afterLines="50"/>
              <w:jc w:val="left"/>
              <w:rPr>
                <w:rFonts w:hint="eastAsia" w:ascii="宋体" w:hAnsi="宋体" w:cs="宋体"/>
                <w:color w:val="auto"/>
                <w:szCs w:val="21"/>
                <w:highlight w:val="none"/>
              </w:rPr>
            </w:pPr>
            <w:r>
              <w:rPr>
                <w:rFonts w:hint="eastAsia" w:ascii="宋体" w:hAnsi="宋体" w:cs="宋体"/>
                <w:color w:val="auto"/>
                <w:szCs w:val="21"/>
                <w:highlight w:val="none"/>
              </w:rPr>
              <w:t>同时支持对M.2 SSD 做Raid 0、1、5、10</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15</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vMerge w:val="restart"/>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宋体" w:hAnsi="宋体" w:cs="宋体"/>
                <w:color w:val="auto"/>
                <w:sz w:val="21"/>
                <w:szCs w:val="21"/>
                <w:highlight w:val="none"/>
                <w:vertAlign w:val="baseline"/>
                <w:lang w:val="en-US" w:eastAsia="zh-CN"/>
              </w:rPr>
              <w:t>数据安全</w:t>
            </w:r>
          </w:p>
        </w:tc>
        <w:tc>
          <w:tcPr>
            <w:tcW w:w="4854" w:type="dxa"/>
            <w:noWrap w:val="0"/>
            <w:vAlign w:val="top"/>
          </w:tcPr>
          <w:p>
            <w:pPr>
              <w:widowControl/>
              <w:spacing w:before="50" w:beforeLines="50" w:after="50" w:afterLines="50"/>
              <w:jc w:val="left"/>
              <w:rPr>
                <w:rFonts w:hint="eastAsia" w:ascii="宋体" w:hAnsi="宋体" w:cs="宋体"/>
                <w:color w:val="auto"/>
                <w:szCs w:val="21"/>
                <w:highlight w:val="none"/>
              </w:rPr>
            </w:pPr>
            <w:r>
              <w:rPr>
                <w:rFonts w:hint="eastAsia" w:ascii="宋体" w:hAnsi="宋体" w:cs="宋体"/>
                <w:color w:val="auto"/>
                <w:szCs w:val="21"/>
                <w:highlight w:val="none"/>
              </w:rPr>
              <w:t>对重要数据支持水印功能，可对机器开启水印功能，支持生成用户名，终端名称，IP地址或者自定义文字生成水印，从而防止数据泄漏（提供水印功能配置截图和效果截图）</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16</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vMerge w:val="continue"/>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p>
        </w:tc>
        <w:tc>
          <w:tcPr>
            <w:tcW w:w="4854" w:type="dxa"/>
            <w:noWrap w:val="0"/>
            <w:vAlign w:val="top"/>
          </w:tcPr>
          <w:p>
            <w:pPr>
              <w:widowControl/>
              <w:spacing w:before="50" w:beforeLines="50" w:after="50" w:afterLines="50"/>
              <w:jc w:val="left"/>
              <w:rPr>
                <w:rFonts w:hint="eastAsia" w:ascii="宋体" w:hAnsi="宋体" w:cs="宋体"/>
                <w:color w:val="auto"/>
                <w:szCs w:val="21"/>
                <w:highlight w:val="none"/>
              </w:rPr>
            </w:pPr>
            <w:r>
              <w:rPr>
                <w:rFonts w:hint="eastAsia" w:ascii="宋体" w:hAnsi="宋体" w:cs="宋体"/>
                <w:color w:val="auto"/>
                <w:szCs w:val="21"/>
                <w:highlight w:val="none"/>
              </w:rPr>
              <w:t>主机BIOS需自带基于硬件底层的数据安全擦除功能且保证硬盘数据擦除后不可恢复，厂商需免费提供原厂数据安全擦除软件；提供原厂商通过国家信息安全一级认证证书;</w:t>
            </w:r>
            <w:r>
              <w:rPr>
                <w:rFonts w:hint="eastAsia" w:ascii="Arial" w:hAnsi="Arial" w:cs="Times New Roman"/>
                <w:color w:val="auto"/>
                <w:highlight w:val="none"/>
              </w:rPr>
              <w:t>提供制造厂商原厂售后服务通过客户联络中心标准体系（CCCS）钻石五星级认证。</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17</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宋体" w:hAnsi="宋体" w:cs="宋体"/>
                <w:color w:val="auto"/>
                <w:sz w:val="21"/>
                <w:szCs w:val="21"/>
                <w:highlight w:val="none"/>
                <w:vertAlign w:val="baseline"/>
                <w:lang w:val="en-US" w:eastAsia="zh-CN"/>
              </w:rPr>
              <w:t>质保函</w:t>
            </w:r>
          </w:p>
        </w:tc>
        <w:tc>
          <w:tcPr>
            <w:tcW w:w="4854" w:type="dxa"/>
            <w:noWrap w:val="0"/>
            <w:vAlign w:val="top"/>
          </w:tcPr>
          <w:p>
            <w:pPr>
              <w:widowControl/>
              <w:spacing w:before="50" w:beforeLines="50" w:after="50" w:afterLines="50"/>
              <w:jc w:val="left"/>
              <w:rPr>
                <w:rFonts w:hint="eastAsia" w:ascii="宋体" w:hAnsi="宋体" w:cs="宋体"/>
                <w:color w:val="auto"/>
                <w:szCs w:val="21"/>
                <w:highlight w:val="none"/>
              </w:rPr>
            </w:pPr>
            <w:r>
              <w:rPr>
                <w:rFonts w:hint="eastAsia" w:ascii="宋体" w:hAnsi="宋体" w:cs="宋体"/>
                <w:color w:val="auto"/>
                <w:szCs w:val="21"/>
                <w:highlight w:val="none"/>
              </w:rPr>
              <w:t>提供原厂针对此项目的原厂授权书及原厂三年质保函。</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18</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售后服务</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Times New Roman" w:hAnsi="Times New Roman" w:cs="宋体"/>
                <w:color w:val="auto"/>
                <w:szCs w:val="21"/>
                <w:highlight w:val="none"/>
              </w:rPr>
              <w:t>售后服务：中标后机器可以通过序列号查询原厂三年上门保修服务。原厂400/800技术支持.</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19</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鼠标</w:t>
            </w:r>
          </w:p>
        </w:tc>
        <w:tc>
          <w:tcPr>
            <w:tcW w:w="4854"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可切换有线/无线连接；有无线充电功能；重量≤80g;分辨率范围≥100-25600DPI；IPS≥400；报告速度≤1000Hz;可编程鼠标键数量≥4</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键盘</w:t>
            </w:r>
          </w:p>
        </w:tc>
        <w:tc>
          <w:tcPr>
            <w:tcW w:w="4854"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带有数字键盘；可切换有线/无线/蓝牙连接；报告速率≤1毫秒；可编程自定义宏和指令的按键数量≥5个；自带音量滚轮和多媒体控制按键</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bl>
    <w:p>
      <w:pPr>
        <w:pStyle w:val="2"/>
        <w:numPr>
          <w:ilvl w:val="0"/>
          <w:numId w:val="1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光纤存储阵列</w:t>
      </w:r>
      <w:r>
        <w:rPr>
          <w:rFonts w:hint="eastAsia" w:ascii="宋体" w:hAnsi="宋体" w:eastAsia="宋体" w:cs="宋体"/>
          <w:color w:val="auto"/>
          <w:sz w:val="21"/>
          <w:szCs w:val="21"/>
          <w:highlight w:val="none"/>
          <w:lang w:val="en-US" w:eastAsia="zh-CN"/>
        </w:rPr>
        <w:t>（II类）</w:t>
      </w:r>
    </w:p>
    <w:tbl>
      <w:tblPr>
        <w:tblStyle w:val="34"/>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950"/>
        <w:gridCol w:w="879"/>
        <w:gridCol w:w="4850"/>
        <w:gridCol w:w="670"/>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951"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名称</w:t>
            </w:r>
          </w:p>
        </w:tc>
        <w:tc>
          <w:tcPr>
            <w:tcW w:w="5727" w:type="dxa"/>
            <w:gridSpan w:val="2"/>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技术规格要求</w:t>
            </w:r>
            <w:r>
              <w:rPr>
                <w:rFonts w:hint="eastAsia" w:ascii="宋体" w:hAnsi="宋体" w:cs="宋体"/>
                <w:color w:val="auto"/>
                <w:kern w:val="0"/>
                <w:szCs w:val="21"/>
                <w:highlight w:val="none"/>
              </w:rPr>
              <w:t>（标</w:t>
            </w:r>
            <w:r>
              <w:rPr>
                <w:rFonts w:hint="eastAsia" w:ascii="微软雅黑" w:hAnsi="微软雅黑" w:eastAsia="微软雅黑" w:cs="微软雅黑"/>
                <w:color w:val="auto"/>
                <w:szCs w:val="21"/>
                <w:highlight w:val="none"/>
              </w:rPr>
              <w:t>▲</w:t>
            </w:r>
            <w:r>
              <w:rPr>
                <w:rFonts w:hint="eastAsia" w:ascii="宋体" w:hAnsi="宋体" w:cs="宋体"/>
                <w:color w:val="auto"/>
                <w:kern w:val="0"/>
                <w:szCs w:val="21"/>
                <w:highlight w:val="none"/>
              </w:rPr>
              <w:t>为关键性指标）</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数量</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51" w:type="dxa"/>
            <w:vMerge w:val="restart"/>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存储</w:t>
            </w: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Tahoma" w:hAnsi="Tahoma" w:eastAsia="Tahoma" w:cs="Tahoma"/>
                <w:i w:val="0"/>
                <w:caps w:val="0"/>
                <w:color w:val="auto"/>
                <w:spacing w:val="0"/>
                <w:kern w:val="0"/>
                <w:sz w:val="20"/>
                <w:szCs w:val="20"/>
                <w:highlight w:val="none"/>
                <w:lang w:val="en-US" w:eastAsia="zh-CN" w:bidi="ar"/>
              </w:rPr>
              <w:t>国产存储</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非OEM,</w:t>
            </w:r>
            <w:r>
              <w:rPr>
                <w:rFonts w:hint="eastAsia" w:ascii="Tahoma" w:hAnsi="Tahoma" w:eastAsia="Tahoma" w:cs="Tahoma"/>
                <w:i w:val="0"/>
                <w:caps w:val="0"/>
                <w:color w:val="auto"/>
                <w:spacing w:val="0"/>
                <w:kern w:val="0"/>
                <w:sz w:val="20"/>
                <w:szCs w:val="20"/>
                <w:highlight w:val="none"/>
                <w:lang w:val="en-US" w:eastAsia="zh-CN" w:bidi="ar"/>
              </w:rPr>
              <w:t>具</w:t>
            </w:r>
            <w:r>
              <w:rPr>
                <w:rFonts w:hint="default" w:ascii="Tahoma" w:hAnsi="Tahoma" w:eastAsia="Tahoma" w:cs="Tahoma"/>
                <w:i w:val="0"/>
                <w:caps w:val="0"/>
                <w:color w:val="auto"/>
                <w:spacing w:val="0"/>
                <w:kern w:val="0"/>
                <w:sz w:val="20"/>
                <w:szCs w:val="20"/>
                <w:highlight w:val="none"/>
                <w:lang w:val="en-US" w:eastAsia="zh-CN" w:bidi="ar"/>
              </w:rPr>
              <w:t>有RAID技术，RAID配置文件可以导出，保证用户数据安全。</w:t>
            </w:r>
          </w:p>
        </w:tc>
        <w:tc>
          <w:tcPr>
            <w:tcW w:w="670" w:type="dxa"/>
            <w:vMerge w:val="restart"/>
            <w:noWrap w:val="0"/>
            <w:vAlign w:val="top"/>
          </w:tcPr>
          <w:p>
            <w:pPr>
              <w:widowControl/>
              <w:spacing w:before="50" w:beforeLines="50" w:after="50" w:afterLines="50"/>
              <w:jc w:val="center"/>
              <w:rPr>
                <w:rFonts w:hint="eastAsia" w:ascii="Arial" w:hAnsi="Arial" w:cs="宋体"/>
                <w:color w:val="auto"/>
                <w:highlight w:val="none"/>
                <w:lang w:val="en-US" w:eastAsia="zh-CN"/>
              </w:rPr>
            </w:pPr>
          </w:p>
          <w:p>
            <w:pPr>
              <w:pStyle w:val="2"/>
              <w:spacing w:before="50" w:beforeLines="50" w:after="50" w:afterLines="50"/>
              <w:ind w:left="0" w:leftChars="0" w:firstLine="0" w:firstLineChars="0"/>
              <w:jc w:val="center"/>
              <w:rPr>
                <w:rFonts w:hint="eastAsia" w:ascii="宋体" w:hAnsi="宋体" w:eastAsia="宋体" w:cs="宋体"/>
                <w:color w:val="auto"/>
                <w:sz w:val="21"/>
                <w:szCs w:val="21"/>
                <w:highlight w:val="none"/>
                <w:vertAlign w:val="baseline"/>
                <w:lang w:val="en-US" w:eastAsia="zh-CN"/>
              </w:rPr>
            </w:pPr>
          </w:p>
          <w:p>
            <w:pPr>
              <w:pStyle w:val="2"/>
              <w:spacing w:before="50" w:beforeLines="50" w:after="50" w:afterLines="50"/>
              <w:ind w:left="0" w:leftChars="0" w:firstLine="0" w:firstLineChars="0"/>
              <w:jc w:val="center"/>
              <w:rPr>
                <w:rFonts w:hint="eastAsia" w:ascii="宋体" w:hAnsi="宋体" w:eastAsia="宋体" w:cs="宋体"/>
                <w:color w:val="auto"/>
                <w:sz w:val="21"/>
                <w:szCs w:val="21"/>
                <w:highlight w:val="none"/>
                <w:vertAlign w:val="baseline"/>
                <w:lang w:val="en-US" w:eastAsia="zh-CN"/>
              </w:rPr>
            </w:pPr>
          </w:p>
          <w:p>
            <w:pPr>
              <w:pStyle w:val="2"/>
              <w:spacing w:before="50" w:beforeLines="50" w:after="50" w:afterLines="50"/>
              <w:ind w:left="0" w:leftChars="0" w:firstLine="0" w:firstLineChars="0"/>
              <w:jc w:val="center"/>
              <w:rPr>
                <w:rFonts w:hint="eastAsia" w:ascii="宋体" w:hAnsi="宋体" w:eastAsia="宋体" w:cs="宋体"/>
                <w:color w:val="auto"/>
                <w:sz w:val="21"/>
                <w:szCs w:val="21"/>
                <w:highlight w:val="none"/>
                <w:vertAlign w:val="baseline"/>
                <w:lang w:val="en-US" w:eastAsia="zh-CN"/>
              </w:rPr>
            </w:pPr>
          </w:p>
          <w:p>
            <w:pPr>
              <w:pStyle w:val="2"/>
              <w:spacing w:before="50" w:beforeLines="50" w:after="50" w:afterLines="50"/>
              <w:ind w:left="0" w:leftChars="0" w:firstLine="0" w:firstLineChars="0"/>
              <w:jc w:val="center"/>
              <w:rPr>
                <w:rFonts w:hint="eastAsia" w:ascii="宋体" w:hAnsi="宋体" w:eastAsia="宋体" w:cs="宋体"/>
                <w:color w:val="auto"/>
                <w:sz w:val="21"/>
                <w:szCs w:val="21"/>
                <w:highlight w:val="none"/>
                <w:vertAlign w:val="baseline"/>
                <w:lang w:val="en-US" w:eastAsia="zh-CN"/>
              </w:rPr>
            </w:pPr>
          </w:p>
          <w:p>
            <w:pPr>
              <w:pStyle w:val="2"/>
              <w:spacing w:before="50" w:beforeLines="50" w:after="50" w:afterLines="50"/>
              <w:ind w:left="0" w:leftChars="0" w:firstLine="0" w:firstLineChars="0"/>
              <w:jc w:val="center"/>
              <w:rPr>
                <w:rFonts w:hint="eastAsia" w:ascii="宋体" w:hAnsi="宋体" w:eastAsia="宋体" w:cs="宋体"/>
                <w:color w:val="auto"/>
                <w:sz w:val="21"/>
                <w:szCs w:val="21"/>
                <w:highlight w:val="none"/>
                <w:vertAlign w:val="baseline"/>
                <w:lang w:val="en-US" w:eastAsia="zh-CN"/>
              </w:rPr>
            </w:pPr>
          </w:p>
          <w:p>
            <w:pPr>
              <w:pStyle w:val="2"/>
              <w:spacing w:before="50" w:beforeLines="50" w:after="50" w:afterLines="50"/>
              <w:ind w:left="0" w:leftChars="0" w:firstLine="0" w:firstLineChars="0"/>
              <w:jc w:val="center"/>
              <w:rPr>
                <w:rFonts w:hint="eastAsia" w:ascii="宋体" w:hAnsi="宋体" w:eastAsia="宋体" w:cs="宋体"/>
                <w:color w:val="auto"/>
                <w:sz w:val="21"/>
                <w:szCs w:val="21"/>
                <w:highlight w:val="none"/>
                <w:vertAlign w:val="baseline"/>
                <w:lang w:val="en-US" w:eastAsia="zh-CN"/>
              </w:rPr>
            </w:pPr>
          </w:p>
          <w:p>
            <w:pPr>
              <w:pStyle w:val="2"/>
              <w:spacing w:before="50" w:beforeLines="50" w:after="50" w:afterLines="50"/>
              <w:ind w:left="0" w:leftChars="0" w:firstLine="0" w:firstLineChars="0"/>
              <w:jc w:val="center"/>
              <w:rPr>
                <w:rFonts w:hint="eastAsia" w:ascii="宋体" w:hAnsi="宋体" w:eastAsia="宋体" w:cs="宋体"/>
                <w:color w:val="auto"/>
                <w:sz w:val="21"/>
                <w:szCs w:val="21"/>
                <w:highlight w:val="none"/>
                <w:vertAlign w:val="baseline"/>
                <w:lang w:val="en-US" w:eastAsia="zh-CN"/>
              </w:rPr>
            </w:pPr>
          </w:p>
          <w:p>
            <w:pPr>
              <w:pStyle w:val="2"/>
              <w:spacing w:before="50" w:beforeLines="50" w:after="50" w:afterLines="50"/>
              <w:ind w:left="0" w:leftChars="0" w:firstLine="0" w:firstLineChars="0"/>
              <w:jc w:val="center"/>
              <w:rPr>
                <w:rFonts w:hint="default" w:ascii="Arial" w:hAnsi="Arial" w:cs="宋体"/>
                <w:color w:val="auto"/>
                <w:highlight w:val="none"/>
                <w:lang w:val="en-US" w:eastAsia="zh-CN"/>
              </w:rPr>
            </w:pPr>
            <w:r>
              <w:rPr>
                <w:rFonts w:hint="eastAsia" w:ascii="宋体" w:hAnsi="宋体" w:eastAsia="宋体" w:cs="宋体"/>
                <w:color w:val="auto"/>
                <w:sz w:val="21"/>
                <w:szCs w:val="21"/>
                <w:highlight w:val="none"/>
                <w:vertAlign w:val="baseline"/>
                <w:lang w:val="en-US" w:eastAsia="zh-CN"/>
              </w:rPr>
              <w:t>1</w:t>
            </w:r>
          </w:p>
        </w:tc>
        <w:tc>
          <w:tcPr>
            <w:tcW w:w="947" w:type="dxa"/>
            <w:vMerge w:val="restart"/>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物理容量64T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Tahoma" w:hAnsi="Tahoma" w:eastAsia="Tahoma" w:cs="Tahoma"/>
                <w:i w:val="0"/>
                <w:caps w:val="0"/>
                <w:color w:val="auto"/>
                <w:spacing w:val="0"/>
                <w:kern w:val="0"/>
                <w:sz w:val="20"/>
                <w:szCs w:val="20"/>
                <w:highlight w:val="none"/>
                <w:lang w:val="en-US" w:eastAsia="zh-CN" w:bidi="ar"/>
              </w:rPr>
              <w:t>支持硬盘</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支持3.5/2.5英寸</w:t>
            </w:r>
            <w:r>
              <w:rPr>
                <w:rFonts w:hint="eastAsia" w:ascii="Tahoma" w:hAnsi="Tahoma" w:eastAsia="Tahoma" w:cs="Tahoma"/>
                <w:i w:val="0"/>
                <w:caps w:val="0"/>
                <w:color w:val="auto"/>
                <w:spacing w:val="0"/>
                <w:kern w:val="0"/>
                <w:sz w:val="20"/>
                <w:szCs w:val="20"/>
                <w:highlight w:val="none"/>
                <w:lang w:val="en-US" w:eastAsia="zh-CN" w:bidi="ar"/>
              </w:rPr>
              <w:t>7.2K/</w:t>
            </w:r>
            <w:r>
              <w:rPr>
                <w:rFonts w:hint="default" w:ascii="Tahoma" w:hAnsi="Tahoma" w:eastAsia="Tahoma" w:cs="Tahoma"/>
                <w:i w:val="0"/>
                <w:caps w:val="0"/>
                <w:color w:val="auto"/>
                <w:spacing w:val="0"/>
                <w:kern w:val="0"/>
                <w:sz w:val="20"/>
                <w:szCs w:val="20"/>
                <w:highlight w:val="none"/>
                <w:lang w:val="en-US" w:eastAsia="zh-CN" w:bidi="ar"/>
              </w:rPr>
              <w:t>10</w:t>
            </w:r>
            <w:r>
              <w:rPr>
                <w:rFonts w:hint="eastAsia" w:ascii="Tahoma" w:hAnsi="Tahoma" w:eastAsia="Tahoma" w:cs="Tahoma"/>
                <w:i w:val="0"/>
                <w:caps w:val="0"/>
                <w:color w:val="auto"/>
                <w:spacing w:val="0"/>
                <w:kern w:val="0"/>
                <w:sz w:val="20"/>
                <w:szCs w:val="20"/>
                <w:highlight w:val="none"/>
                <w:lang w:val="en-US" w:eastAsia="zh-CN" w:bidi="ar"/>
              </w:rPr>
              <w:t>K</w:t>
            </w:r>
            <w:r>
              <w:rPr>
                <w:rFonts w:hint="default" w:ascii="Tahoma" w:hAnsi="Tahoma" w:eastAsia="Tahoma" w:cs="Tahoma"/>
                <w:i w:val="0"/>
                <w:caps w:val="0"/>
                <w:color w:val="auto"/>
                <w:spacing w:val="0"/>
                <w:kern w:val="0"/>
                <w:sz w:val="20"/>
                <w:szCs w:val="20"/>
                <w:highlight w:val="none"/>
                <w:lang w:val="en-US" w:eastAsia="zh-CN" w:bidi="ar"/>
              </w:rPr>
              <w:t>/15K</w:t>
            </w:r>
            <w:r>
              <w:rPr>
                <w:rFonts w:hint="eastAsia" w:ascii="Tahoma" w:hAnsi="Tahoma" w:eastAsia="Tahoma" w:cs="Tahoma"/>
                <w:i w:val="0"/>
                <w:caps w:val="0"/>
                <w:color w:val="auto"/>
                <w:spacing w:val="0"/>
                <w:kern w:val="0"/>
                <w:sz w:val="20"/>
                <w:szCs w:val="20"/>
                <w:highlight w:val="none"/>
                <w:lang w:val="en-US" w:eastAsia="zh-CN" w:bidi="ar"/>
              </w:rPr>
              <w:t>/</w:t>
            </w:r>
            <w:r>
              <w:rPr>
                <w:rFonts w:hint="default" w:ascii="Tahoma" w:hAnsi="Tahoma" w:eastAsia="Tahoma" w:cs="Tahoma"/>
                <w:i w:val="0"/>
                <w:caps w:val="0"/>
                <w:color w:val="auto"/>
                <w:spacing w:val="0"/>
                <w:kern w:val="0"/>
                <w:sz w:val="20"/>
                <w:szCs w:val="20"/>
                <w:highlight w:val="none"/>
                <w:lang w:val="en-US" w:eastAsia="zh-CN" w:bidi="ar"/>
              </w:rPr>
              <w:t xml:space="preserve"> RPM</w:t>
            </w:r>
            <w:r>
              <w:rPr>
                <w:rFonts w:hint="eastAsia" w:ascii="Tahoma" w:hAnsi="Tahoma" w:eastAsia="Tahoma" w:cs="Tahoma"/>
                <w:i w:val="0"/>
                <w:caps w:val="0"/>
                <w:color w:val="auto"/>
                <w:spacing w:val="0"/>
                <w:kern w:val="0"/>
                <w:sz w:val="20"/>
                <w:szCs w:val="20"/>
                <w:highlight w:val="none"/>
                <w:lang w:val="en-US" w:eastAsia="zh-CN" w:bidi="ar"/>
              </w:rPr>
              <w:t xml:space="preserve">  </w:t>
            </w:r>
            <w:r>
              <w:rPr>
                <w:rFonts w:hint="default" w:ascii="Tahoma" w:hAnsi="Tahoma" w:eastAsia="Tahoma" w:cs="Tahoma"/>
                <w:i w:val="0"/>
                <w:caps w:val="0"/>
                <w:color w:val="auto"/>
                <w:spacing w:val="0"/>
                <w:kern w:val="0"/>
                <w:sz w:val="20"/>
                <w:szCs w:val="20"/>
                <w:highlight w:val="none"/>
                <w:lang w:val="en-US" w:eastAsia="zh-CN" w:bidi="ar"/>
              </w:rPr>
              <w:t>SATA</w:t>
            </w:r>
            <w:r>
              <w:rPr>
                <w:rFonts w:hint="eastAsia" w:ascii="Tahoma" w:hAnsi="Tahoma" w:cs="Tahoma"/>
                <w:i w:val="0"/>
                <w:caps w:val="0"/>
                <w:color w:val="auto"/>
                <w:spacing w:val="0"/>
                <w:kern w:val="0"/>
                <w:sz w:val="20"/>
                <w:szCs w:val="20"/>
                <w:highlight w:val="none"/>
                <w:lang w:val="en-US" w:eastAsia="zh-CN" w:bidi="ar"/>
              </w:rPr>
              <w:t>、</w:t>
            </w:r>
            <w:r>
              <w:rPr>
                <w:rFonts w:hint="default" w:ascii="Tahoma" w:hAnsi="Tahoma" w:eastAsia="Tahoma" w:cs="Tahoma"/>
                <w:i w:val="0"/>
                <w:caps w:val="0"/>
                <w:color w:val="auto"/>
                <w:spacing w:val="0"/>
                <w:kern w:val="0"/>
                <w:sz w:val="20"/>
                <w:szCs w:val="20"/>
                <w:highlight w:val="none"/>
                <w:lang w:val="en-US" w:eastAsia="zh-CN" w:bidi="ar"/>
              </w:rPr>
              <w:t>SAS</w:t>
            </w:r>
            <w:r>
              <w:rPr>
                <w:rFonts w:hint="eastAsia" w:ascii="Tahoma" w:hAnsi="Tahoma" w:eastAsia="Tahoma" w:cs="Tahoma"/>
                <w:i w:val="0"/>
                <w:caps w:val="0"/>
                <w:color w:val="auto"/>
                <w:spacing w:val="0"/>
                <w:kern w:val="0"/>
                <w:sz w:val="20"/>
                <w:szCs w:val="20"/>
                <w:highlight w:val="none"/>
                <w:lang w:val="en-US" w:eastAsia="zh-CN" w:bidi="ar"/>
              </w:rPr>
              <w:t>、</w:t>
            </w:r>
            <w:r>
              <w:rPr>
                <w:rFonts w:hint="default" w:ascii="Tahoma" w:hAnsi="Tahoma" w:eastAsia="Tahoma" w:cs="Tahoma"/>
                <w:i w:val="0"/>
                <w:caps w:val="0"/>
                <w:color w:val="auto"/>
                <w:spacing w:val="0"/>
                <w:kern w:val="0"/>
                <w:sz w:val="20"/>
                <w:szCs w:val="20"/>
                <w:highlight w:val="none"/>
                <w:lang w:val="en-US" w:eastAsia="zh-CN" w:bidi="ar"/>
              </w:rPr>
              <w:t>SSD硬盘混插（支持热插拔）</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Tahoma" w:hAnsi="Tahoma" w:eastAsia="Tahoma" w:cs="Tahoma"/>
                <w:i w:val="0"/>
                <w:caps w:val="0"/>
                <w:color w:val="auto"/>
                <w:spacing w:val="0"/>
                <w:kern w:val="0"/>
                <w:sz w:val="20"/>
                <w:szCs w:val="20"/>
                <w:highlight w:val="none"/>
                <w:lang w:val="en-US" w:eastAsia="zh-CN" w:bidi="ar"/>
              </w:rPr>
              <w:t>缓存标配</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Tahoma" w:hAnsi="Tahoma" w:eastAsia="Tahoma" w:cs="Tahoma"/>
                <w:i w:val="0"/>
                <w:caps w:val="0"/>
                <w:color w:val="auto"/>
                <w:spacing w:val="0"/>
                <w:kern w:val="0"/>
                <w:sz w:val="20"/>
                <w:szCs w:val="20"/>
                <w:highlight w:val="none"/>
                <w:lang w:val="en-US" w:eastAsia="zh-CN" w:bidi="ar"/>
              </w:rPr>
              <w:t>标配16</w:t>
            </w:r>
            <w:r>
              <w:rPr>
                <w:rFonts w:hint="default" w:ascii="Tahoma" w:hAnsi="Tahoma" w:eastAsia="Tahoma" w:cs="Tahoma"/>
                <w:i w:val="0"/>
                <w:caps w:val="0"/>
                <w:color w:val="auto"/>
                <w:spacing w:val="0"/>
                <w:kern w:val="0"/>
                <w:sz w:val="20"/>
                <w:szCs w:val="20"/>
                <w:highlight w:val="none"/>
                <w:lang w:val="en-US" w:eastAsia="zh-CN" w:bidi="ar"/>
              </w:rPr>
              <w:t xml:space="preserve">GB </w:t>
            </w:r>
            <w:r>
              <w:rPr>
                <w:rFonts w:hint="eastAsia" w:ascii="Tahoma" w:hAnsi="Tahoma" w:eastAsia="Tahoma" w:cs="Tahoma"/>
                <w:i w:val="0"/>
                <w:caps w:val="0"/>
                <w:color w:val="auto"/>
                <w:spacing w:val="0"/>
                <w:kern w:val="0"/>
                <w:sz w:val="20"/>
                <w:szCs w:val="20"/>
                <w:highlight w:val="none"/>
                <w:lang w:val="en-US" w:eastAsia="zh-CN" w:bidi="ar"/>
              </w:rPr>
              <w:t>ECC</w:t>
            </w:r>
            <w:r>
              <w:rPr>
                <w:rFonts w:hint="eastAsia" w:ascii="宋体" w:hAnsi="宋体" w:cs="宋体"/>
                <w:color w:val="auto"/>
                <w:kern w:val="0"/>
                <w:szCs w:val="21"/>
                <w:highlight w:val="none"/>
              </w:rPr>
              <w:t xml:space="preserve">  </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处理器</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Tahoma" w:hAnsi="Tahoma" w:eastAsia="Tahoma" w:cs="Tahoma"/>
                <w:i w:val="0"/>
                <w:caps w:val="0"/>
                <w:color w:val="auto"/>
                <w:spacing w:val="0"/>
                <w:kern w:val="0"/>
                <w:sz w:val="20"/>
                <w:szCs w:val="20"/>
                <w:highlight w:val="none"/>
                <w:lang w:val="en-US" w:eastAsia="zh-CN" w:bidi="ar"/>
              </w:rPr>
              <w:t xml:space="preserve">INTEL </w:t>
            </w:r>
            <w:r>
              <w:rPr>
                <w:rFonts w:hint="default" w:ascii="Tahoma" w:hAnsi="Tahoma" w:eastAsia="Tahoma" w:cs="Tahoma"/>
                <w:i w:val="0"/>
                <w:caps w:val="0"/>
                <w:color w:val="auto"/>
                <w:spacing w:val="0"/>
                <w:kern w:val="0"/>
                <w:sz w:val="20"/>
                <w:szCs w:val="20"/>
                <w:highlight w:val="none"/>
                <w:lang w:val="en-US" w:eastAsia="zh-CN" w:bidi="ar"/>
              </w:rPr>
              <w:t>64位多核存储处理器</w:t>
            </w:r>
            <w:r>
              <w:rPr>
                <w:rFonts w:hint="eastAsia" w:ascii="宋体" w:hAnsi="宋体" w:cs="宋体"/>
                <w:color w:val="auto"/>
                <w:kern w:val="0"/>
                <w:szCs w:val="21"/>
                <w:highlight w:val="none"/>
              </w:rPr>
              <w:t xml:space="preserve"> </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both"/>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Tahoma" w:hAnsi="Tahoma" w:eastAsia="Tahoma" w:cs="Tahoma"/>
                <w:i w:val="0"/>
                <w:caps w:val="0"/>
                <w:color w:val="auto"/>
                <w:spacing w:val="0"/>
                <w:kern w:val="0"/>
                <w:sz w:val="20"/>
                <w:szCs w:val="20"/>
                <w:highlight w:val="none"/>
                <w:lang w:val="en-US" w:eastAsia="zh-CN" w:bidi="ar"/>
              </w:rPr>
              <w:t>存储容量</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 xml:space="preserve">配满8块8T 企业级专用硬盘；物理容量64T，（做RAID5）实际使用容量约46T </w:t>
            </w:r>
            <w:r>
              <w:rPr>
                <w:rFonts w:hint="eastAsia" w:ascii="Tahoma" w:hAnsi="Tahoma" w:eastAsia="Tahoma" w:cs="Tahoma"/>
                <w:i w:val="0"/>
                <w:caps w:val="0"/>
                <w:color w:val="auto"/>
                <w:spacing w:val="0"/>
                <w:kern w:val="0"/>
                <w:sz w:val="20"/>
                <w:szCs w:val="20"/>
                <w:highlight w:val="none"/>
                <w:lang w:val="en-US" w:eastAsia="zh-CN" w:bidi="ar"/>
              </w:rPr>
              <w:t>。</w:t>
            </w:r>
            <w:r>
              <w:rPr>
                <w:rFonts w:hint="default" w:ascii="Tahoma" w:hAnsi="Tahoma" w:eastAsia="Tahoma" w:cs="Tahoma"/>
                <w:i w:val="0"/>
                <w:caps w:val="0"/>
                <w:color w:val="auto"/>
                <w:spacing w:val="0"/>
                <w:kern w:val="0"/>
                <w:sz w:val="20"/>
                <w:szCs w:val="20"/>
                <w:highlight w:val="none"/>
                <w:lang w:val="en-US" w:eastAsia="zh-CN" w:bidi="ar"/>
              </w:rPr>
              <w:t>最大支持1</w:t>
            </w:r>
            <w:r>
              <w:rPr>
                <w:rFonts w:hint="eastAsia" w:ascii="Tahoma" w:hAnsi="Tahoma" w:eastAsia="Tahoma" w:cs="Tahoma"/>
                <w:i w:val="0"/>
                <w:caps w:val="0"/>
                <w:color w:val="auto"/>
                <w:spacing w:val="0"/>
                <w:kern w:val="0"/>
                <w:sz w:val="20"/>
                <w:szCs w:val="20"/>
                <w:highlight w:val="none"/>
                <w:lang w:val="en-US" w:eastAsia="zh-CN" w:bidi="ar"/>
              </w:rPr>
              <w:t>6</w:t>
            </w:r>
            <w:r>
              <w:rPr>
                <w:rFonts w:hint="default" w:ascii="Tahoma" w:hAnsi="Tahoma" w:eastAsia="Tahoma" w:cs="Tahoma"/>
                <w:i w:val="0"/>
                <w:caps w:val="0"/>
                <w:color w:val="auto"/>
                <w:spacing w:val="0"/>
                <w:kern w:val="0"/>
                <w:sz w:val="20"/>
                <w:szCs w:val="20"/>
                <w:highlight w:val="none"/>
                <w:lang w:val="en-US" w:eastAsia="zh-CN" w:bidi="ar"/>
              </w:rPr>
              <w:t>T SATA硬盘，物理容量</w:t>
            </w:r>
            <w:r>
              <w:rPr>
                <w:rFonts w:hint="eastAsia" w:ascii="Tahoma" w:hAnsi="Tahoma" w:eastAsia="Tahoma" w:cs="Tahoma"/>
                <w:i w:val="0"/>
                <w:caps w:val="0"/>
                <w:color w:val="auto"/>
                <w:spacing w:val="0"/>
                <w:kern w:val="0"/>
                <w:sz w:val="20"/>
                <w:szCs w:val="20"/>
                <w:highlight w:val="none"/>
                <w:lang w:val="en-US" w:eastAsia="zh-CN" w:bidi="ar"/>
              </w:rPr>
              <w:t>128</w:t>
            </w:r>
            <w:r>
              <w:rPr>
                <w:rFonts w:hint="default" w:ascii="Tahoma" w:hAnsi="Tahoma" w:eastAsia="Tahoma" w:cs="Tahoma"/>
                <w:i w:val="0"/>
                <w:caps w:val="0"/>
                <w:color w:val="auto"/>
                <w:spacing w:val="0"/>
                <w:kern w:val="0"/>
                <w:sz w:val="20"/>
                <w:szCs w:val="20"/>
                <w:highlight w:val="none"/>
                <w:lang w:val="en-US" w:eastAsia="zh-CN" w:bidi="ar"/>
              </w:rPr>
              <w:t>T。</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eastAsia="zh-CN"/>
              </w:rPr>
            </w:pPr>
          </w:p>
        </w:tc>
        <w:tc>
          <w:tcPr>
            <w:tcW w:w="873"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Tahoma" w:hAnsi="Tahoma" w:eastAsia="Tahoma" w:cs="Tahoma"/>
                <w:i w:val="0"/>
                <w:caps w:val="0"/>
                <w:color w:val="auto"/>
                <w:spacing w:val="0"/>
                <w:kern w:val="0"/>
                <w:sz w:val="20"/>
                <w:szCs w:val="20"/>
                <w:highlight w:val="none"/>
                <w:lang w:val="en-US" w:eastAsia="zh-CN" w:bidi="ar"/>
              </w:rPr>
              <w:t>接口</w:t>
            </w:r>
            <w:r>
              <w:rPr>
                <w:rFonts w:hint="default" w:ascii="Tahoma" w:hAnsi="Tahoma" w:eastAsia="Tahoma" w:cs="Tahoma"/>
                <w:i w:val="0"/>
                <w:caps w:val="0"/>
                <w:color w:val="auto"/>
                <w:spacing w:val="0"/>
                <w:kern w:val="0"/>
                <w:sz w:val="20"/>
                <w:szCs w:val="20"/>
                <w:highlight w:val="none"/>
                <w:lang w:val="en-US" w:eastAsia="zh-CN" w:bidi="ar"/>
              </w:rPr>
              <w:t>通道</w:t>
            </w:r>
          </w:p>
        </w:tc>
        <w:tc>
          <w:tcPr>
            <w:tcW w:w="4854"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具有2个RJ45接口，</w:t>
            </w:r>
            <w:r>
              <w:rPr>
                <w:rFonts w:hint="eastAsia" w:ascii="Tahoma" w:hAnsi="Tahoma" w:eastAsia="Tahoma" w:cs="Tahoma"/>
                <w:i w:val="0"/>
                <w:caps w:val="0"/>
                <w:color w:val="auto"/>
                <w:spacing w:val="0"/>
                <w:kern w:val="0"/>
                <w:sz w:val="20"/>
                <w:szCs w:val="20"/>
                <w:highlight w:val="none"/>
                <w:lang w:val="en-US" w:eastAsia="zh-CN" w:bidi="ar"/>
              </w:rPr>
              <w:t>4</w:t>
            </w:r>
            <w:r>
              <w:rPr>
                <w:rFonts w:hint="default" w:ascii="Tahoma" w:hAnsi="Tahoma" w:eastAsia="Tahoma" w:cs="Tahoma"/>
                <w:i w:val="0"/>
                <w:caps w:val="0"/>
                <w:color w:val="auto"/>
                <w:spacing w:val="0"/>
                <w:kern w:val="0"/>
                <w:sz w:val="20"/>
                <w:szCs w:val="20"/>
                <w:highlight w:val="none"/>
                <w:lang w:val="en-US" w:eastAsia="zh-CN" w:bidi="ar"/>
              </w:rPr>
              <w:t>个10GB SFP+光口。</w:t>
            </w:r>
            <w:r>
              <w:rPr>
                <w:rFonts w:hint="eastAsia" w:ascii="Tahoma" w:hAnsi="Tahoma" w:eastAsia="Tahoma" w:cs="Tahoma"/>
                <w:i w:val="0"/>
                <w:caps w:val="0"/>
                <w:color w:val="auto"/>
                <w:spacing w:val="0"/>
                <w:kern w:val="0"/>
                <w:sz w:val="20"/>
                <w:szCs w:val="20"/>
                <w:highlight w:val="none"/>
                <w:lang w:val="en-US" w:eastAsia="zh-CN" w:bidi="ar"/>
              </w:rPr>
              <w:t>带宽高达1300MB/S,提供测试截图证明。</w:t>
            </w:r>
            <w:r>
              <w:rPr>
                <w:rFonts w:hint="default" w:ascii="Tahoma" w:hAnsi="Tahoma" w:eastAsia="Tahoma" w:cs="Tahoma"/>
                <w:i w:val="0"/>
                <w:caps w:val="0"/>
                <w:color w:val="auto"/>
                <w:spacing w:val="0"/>
                <w:kern w:val="0"/>
                <w:sz w:val="20"/>
                <w:szCs w:val="20"/>
                <w:highlight w:val="none"/>
                <w:lang w:val="en-US" w:eastAsia="zh-CN" w:bidi="ar"/>
              </w:rPr>
              <w:t>支持聚合绑定；</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Tahoma" w:hAnsi="Tahoma" w:eastAsia="Tahoma" w:cs="Tahoma"/>
                <w:i w:val="0"/>
                <w:caps w:val="0"/>
                <w:color w:val="auto"/>
                <w:spacing w:val="0"/>
                <w:kern w:val="0"/>
                <w:sz w:val="20"/>
                <w:szCs w:val="20"/>
                <w:highlight w:val="none"/>
                <w:lang w:val="en-US" w:eastAsia="zh-CN" w:bidi="ar"/>
              </w:rPr>
              <w:t>RAID级别功能</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Arial" w:hAnsi="Arial" w:cs="宋体"/>
                <w:color w:val="auto"/>
                <w:sz w:val="21"/>
                <w:highlight w:val="none"/>
                <w:lang w:val="en-US" w:eastAsia="zh-CN"/>
              </w:rPr>
              <w:t xml:space="preserve"> </w:t>
            </w:r>
            <w:r>
              <w:rPr>
                <w:rFonts w:hint="default" w:ascii="Tahoma" w:hAnsi="Tahoma" w:eastAsia="Tahoma" w:cs="Tahoma"/>
                <w:i w:val="0"/>
                <w:caps w:val="0"/>
                <w:color w:val="auto"/>
                <w:spacing w:val="0"/>
                <w:kern w:val="0"/>
                <w:sz w:val="20"/>
                <w:szCs w:val="20"/>
                <w:highlight w:val="none"/>
                <w:lang w:val="en-US" w:eastAsia="zh-CN" w:bidi="ar"/>
              </w:rPr>
              <w:t>RAID级别：0, 1, 10, 5, 6，7，10，50，60，70；支持全局热备和局部热备； RAID自动重建、支持在线扩容，可以从资源池中扩展, 支持动态的空间管理；</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Tahoma" w:hAnsi="Tahoma" w:eastAsia="Tahoma" w:cs="Tahoma"/>
                <w:i w:val="0"/>
                <w:caps w:val="0"/>
                <w:color w:val="auto"/>
                <w:spacing w:val="0"/>
                <w:kern w:val="0"/>
                <w:sz w:val="20"/>
                <w:szCs w:val="20"/>
                <w:highlight w:val="none"/>
                <w:lang w:val="en-US" w:eastAsia="zh-CN" w:bidi="ar"/>
              </w:rPr>
              <w:t>存储系统</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基于linux平台开发，不易中病毒，可以使得整个平台更稳定和更可靠的运行。</w:t>
            </w:r>
            <w:r>
              <w:rPr>
                <w:rFonts w:hint="eastAsia" w:ascii="Tahoma" w:hAnsi="Tahoma" w:eastAsia="Tahoma" w:cs="Tahoma"/>
                <w:i w:val="0"/>
                <w:caps w:val="0"/>
                <w:color w:val="auto"/>
                <w:spacing w:val="0"/>
                <w:kern w:val="0"/>
                <w:sz w:val="20"/>
                <w:szCs w:val="20"/>
                <w:highlight w:val="none"/>
                <w:lang w:val="en-US" w:eastAsia="zh-CN" w:bidi="ar"/>
              </w:rPr>
              <w:t xml:space="preserve"> </w:t>
            </w:r>
            <w:r>
              <w:rPr>
                <w:rFonts w:ascii="Tahoma" w:hAnsi="Tahoma" w:eastAsia="Tahoma" w:cs="Tahoma"/>
                <w:i w:val="0"/>
                <w:caps w:val="0"/>
                <w:color w:val="auto"/>
                <w:spacing w:val="0"/>
                <w:sz w:val="20"/>
                <w:szCs w:val="20"/>
                <w:highlight w:val="none"/>
                <w:shd w:val="clear" w:color="auto" w:fill="FFFFFF"/>
              </w:rPr>
              <w:t>具有远程统一开、关机功能</w:t>
            </w:r>
            <w:r>
              <w:rPr>
                <w:rFonts w:hint="eastAsia" w:ascii="Tahoma" w:hAnsi="Tahoma" w:cs="Tahoma"/>
                <w:i w:val="0"/>
                <w:caps w:val="0"/>
                <w:color w:val="auto"/>
                <w:spacing w:val="0"/>
                <w:sz w:val="20"/>
                <w:szCs w:val="20"/>
                <w:highlight w:val="none"/>
                <w:shd w:val="clear" w:color="auto" w:fill="FFFFFF"/>
                <w:lang w:val="en-US" w:eastAsia="zh-CN"/>
              </w:rPr>
              <w:t xml:space="preserve"> 。 </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9</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微软雅黑" w:hAnsi="微软雅黑" w:eastAsia="微软雅黑" w:cs="微软雅黑"/>
                <w:color w:val="auto"/>
                <w:szCs w:val="21"/>
                <w:highlight w:val="none"/>
              </w:rPr>
              <w:t>▲</w:t>
            </w:r>
            <w:r>
              <w:rPr>
                <w:rFonts w:hint="eastAsia" w:ascii="Tahoma" w:hAnsi="Tahoma" w:eastAsia="Tahoma" w:cs="Tahoma"/>
                <w:i w:val="0"/>
                <w:caps w:val="0"/>
                <w:color w:val="auto"/>
                <w:spacing w:val="0"/>
                <w:kern w:val="0"/>
                <w:sz w:val="20"/>
                <w:szCs w:val="20"/>
                <w:highlight w:val="none"/>
                <w:lang w:val="en-US" w:eastAsia="zh-CN" w:bidi="ar"/>
              </w:rPr>
              <w:t>支持协议和功能</w:t>
            </w:r>
          </w:p>
        </w:tc>
        <w:tc>
          <w:tcPr>
            <w:tcW w:w="4854" w:type="dxa"/>
            <w:noWrap w:val="0"/>
            <w:vAlign w:val="top"/>
          </w:tcPr>
          <w:p>
            <w:pPr>
              <w:pStyle w:val="112"/>
              <w:spacing w:before="30" w:beforeLines="50" w:after="50" w:afterLines="50"/>
              <w:ind w:left="206" w:leftChars="3" w:right="0" w:rightChars="0" w:hanging="200" w:hangingChars="100"/>
              <w:jc w:val="left"/>
              <w:rPr>
                <w:rFonts w:hint="eastAsia" w:ascii="Tahoma" w:hAnsi="Tahoma" w:eastAsia="Tahoma" w:cs="Tahoma"/>
                <w:i w:val="0"/>
                <w:caps w:val="0"/>
                <w:color w:val="auto"/>
                <w:spacing w:val="0"/>
                <w:kern w:val="0"/>
                <w:sz w:val="20"/>
                <w:szCs w:val="20"/>
                <w:highlight w:val="none"/>
                <w:lang w:val="en-US" w:eastAsia="zh-CN" w:bidi="ar"/>
              </w:rPr>
            </w:pPr>
            <w:r>
              <w:rPr>
                <w:rFonts w:hint="eastAsia" w:ascii="Tahoma" w:hAnsi="Tahoma" w:eastAsia="Tahoma" w:cs="Tahoma"/>
                <w:i w:val="0"/>
                <w:caps w:val="0"/>
                <w:color w:val="auto"/>
                <w:spacing w:val="0"/>
                <w:kern w:val="0"/>
                <w:sz w:val="20"/>
                <w:szCs w:val="20"/>
                <w:highlight w:val="none"/>
                <w:lang w:val="en-US" w:eastAsia="zh-CN" w:bidi="ar"/>
              </w:rPr>
              <w:t>支持本地数据保护功能，支持存储快照、镜像、远程复制。</w:t>
            </w:r>
          </w:p>
          <w:p>
            <w:pPr>
              <w:pStyle w:val="112"/>
              <w:spacing w:before="30" w:beforeLines="50" w:after="50" w:afterLines="50"/>
              <w:ind w:left="206" w:leftChars="3" w:right="0" w:rightChars="0" w:hanging="200" w:hangingChars="100"/>
              <w:jc w:val="left"/>
              <w:rPr>
                <w:rFonts w:hint="eastAsia" w:ascii="Tahoma" w:hAnsi="Tahoma" w:eastAsia="Tahoma" w:cs="Tahoma"/>
                <w:i w:val="0"/>
                <w:caps w:val="0"/>
                <w:color w:val="auto"/>
                <w:spacing w:val="0"/>
                <w:kern w:val="0"/>
                <w:sz w:val="20"/>
                <w:szCs w:val="20"/>
                <w:highlight w:val="none"/>
                <w:lang w:val="en-US" w:eastAsia="zh-CN" w:bidi="ar"/>
              </w:rPr>
            </w:pPr>
            <w:r>
              <w:rPr>
                <w:rFonts w:hint="eastAsia" w:ascii="Tahoma" w:hAnsi="Tahoma" w:eastAsia="Tahoma" w:cs="Tahoma"/>
                <w:i w:val="0"/>
                <w:caps w:val="0"/>
                <w:color w:val="auto"/>
                <w:spacing w:val="0"/>
                <w:kern w:val="0"/>
                <w:sz w:val="20"/>
                <w:szCs w:val="20"/>
                <w:highlight w:val="none"/>
                <w:lang w:val="en-US" w:eastAsia="zh-CN" w:bidi="ar"/>
              </w:rPr>
              <w:t>浏览器全中文管理；支持iSCSI、CIFS、NFS、FTP、AFP、等存储协议和用户权限管理及文件权限管理；具有自主研发的虚拟化技术。</w:t>
            </w:r>
          </w:p>
          <w:p>
            <w:pPr>
              <w:pStyle w:val="112"/>
              <w:spacing w:before="30" w:beforeLines="50" w:after="50" w:afterLines="50"/>
              <w:ind w:left="206" w:leftChars="3" w:right="0" w:rightChars="0" w:hanging="200" w:hangingChars="100"/>
              <w:jc w:val="left"/>
              <w:rPr>
                <w:rFonts w:hint="eastAsia" w:ascii="Tahoma" w:hAnsi="Tahoma" w:eastAsia="Tahoma" w:cs="Tahoma"/>
                <w:i w:val="0"/>
                <w:caps w:val="0"/>
                <w:color w:val="auto"/>
                <w:spacing w:val="0"/>
                <w:kern w:val="0"/>
                <w:sz w:val="20"/>
                <w:szCs w:val="20"/>
                <w:highlight w:val="none"/>
                <w:lang w:val="en-US" w:eastAsia="zh-CN" w:bidi="ar"/>
              </w:rPr>
            </w:pPr>
            <w:r>
              <w:rPr>
                <w:rFonts w:hint="eastAsia" w:ascii="Tahoma" w:hAnsi="Tahoma" w:eastAsia="Tahoma" w:cs="Tahoma"/>
                <w:i w:val="0"/>
                <w:caps w:val="0"/>
                <w:color w:val="auto"/>
                <w:spacing w:val="0"/>
                <w:kern w:val="0"/>
                <w:sz w:val="20"/>
                <w:szCs w:val="20"/>
                <w:highlight w:val="none"/>
                <w:lang w:val="en-US" w:eastAsia="zh-CN" w:bidi="ar"/>
              </w:rPr>
              <w:t>支持虚拟化,磁盘镜像、快照（自动快照，手动快照）、远程复制；</w:t>
            </w:r>
          </w:p>
          <w:p>
            <w:pPr>
              <w:pStyle w:val="112"/>
              <w:spacing w:before="30" w:beforeLines="50" w:after="50" w:afterLines="50"/>
              <w:ind w:left="206" w:leftChars="3" w:right="0" w:rightChars="0" w:hanging="200" w:hangingChars="100"/>
              <w:jc w:val="left"/>
              <w:rPr>
                <w:rFonts w:hint="eastAsia" w:ascii="Tahoma" w:hAnsi="Tahoma" w:eastAsia="Tahoma" w:cs="Tahoma"/>
                <w:i w:val="0"/>
                <w:caps w:val="0"/>
                <w:color w:val="auto"/>
                <w:spacing w:val="0"/>
                <w:kern w:val="0"/>
                <w:sz w:val="20"/>
                <w:szCs w:val="20"/>
                <w:highlight w:val="none"/>
                <w:lang w:val="en-US" w:eastAsia="zh-CN" w:bidi="ar"/>
              </w:rPr>
            </w:pPr>
            <w:r>
              <w:rPr>
                <w:rFonts w:hint="eastAsia" w:ascii="Tahoma" w:hAnsi="Tahoma" w:eastAsia="Tahoma" w:cs="Tahoma"/>
                <w:i w:val="0"/>
                <w:caps w:val="0"/>
                <w:color w:val="auto"/>
                <w:spacing w:val="0"/>
                <w:kern w:val="0"/>
                <w:sz w:val="20"/>
                <w:szCs w:val="20"/>
                <w:highlight w:val="none"/>
                <w:lang w:val="en-US" w:eastAsia="zh-CN" w:bidi="ar"/>
              </w:rPr>
              <w:t>具有防病毒功能，回收站，删除保护功能，支持域控加入管理。</w:t>
            </w:r>
          </w:p>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Tahoma" w:hAnsi="Tahoma" w:eastAsia="Tahoma" w:cs="Tahoma"/>
                <w:i w:val="0"/>
                <w:caps w:val="0"/>
                <w:color w:val="auto"/>
                <w:spacing w:val="0"/>
                <w:kern w:val="0"/>
                <w:sz w:val="20"/>
                <w:szCs w:val="20"/>
                <w:highlight w:val="none"/>
                <w:lang w:val="en-US" w:eastAsia="zh-CN" w:bidi="ar"/>
              </w:rPr>
              <w:t>自动精简配置， 重复数据删除；具有ISCSI、NAS、FC管理功能，支持三种管理功能混用，也可单独使用；（以上需提供界面截图）</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Tahoma" w:hAnsi="Tahoma" w:eastAsia="Tahoma" w:cs="Tahoma"/>
                <w:i w:val="0"/>
                <w:caps w:val="0"/>
                <w:color w:val="auto"/>
                <w:spacing w:val="0"/>
                <w:kern w:val="0"/>
                <w:sz w:val="20"/>
                <w:szCs w:val="20"/>
                <w:highlight w:val="none"/>
                <w:lang w:val="en-US" w:eastAsia="zh-CN" w:bidi="ar"/>
              </w:rPr>
              <w:t>配件</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 xml:space="preserve">含支持主机配套的INTEL 10GB万兆光纤卡 </w:t>
            </w:r>
            <w:r>
              <w:rPr>
                <w:rFonts w:hint="eastAsia" w:ascii="Tahoma" w:hAnsi="Tahoma" w:eastAsia="Tahoma" w:cs="Tahoma"/>
                <w:i w:val="0"/>
                <w:caps w:val="0"/>
                <w:color w:val="auto"/>
                <w:spacing w:val="0"/>
                <w:kern w:val="0"/>
                <w:sz w:val="20"/>
                <w:szCs w:val="20"/>
                <w:highlight w:val="none"/>
                <w:lang w:val="en-US" w:eastAsia="zh-CN" w:bidi="ar"/>
              </w:rPr>
              <w:t>1</w:t>
            </w:r>
            <w:r>
              <w:rPr>
                <w:rFonts w:hint="default" w:ascii="Tahoma" w:hAnsi="Tahoma" w:eastAsia="Tahoma" w:cs="Tahoma"/>
                <w:i w:val="0"/>
                <w:caps w:val="0"/>
                <w:color w:val="auto"/>
                <w:spacing w:val="0"/>
                <w:kern w:val="0"/>
                <w:sz w:val="20"/>
                <w:szCs w:val="20"/>
                <w:highlight w:val="none"/>
                <w:lang w:val="en-US" w:eastAsia="zh-CN" w:bidi="ar"/>
              </w:rPr>
              <w:t>片（含模块）和光纤线2条</w:t>
            </w:r>
            <w:r>
              <w:rPr>
                <w:rFonts w:hint="eastAsia" w:ascii="Tahoma" w:hAnsi="Tahoma" w:eastAsia="Tahoma" w:cs="Tahoma"/>
                <w:i w:val="0"/>
                <w:caps w:val="0"/>
                <w:color w:val="auto"/>
                <w:spacing w:val="0"/>
                <w:kern w:val="0"/>
                <w:sz w:val="20"/>
                <w:szCs w:val="20"/>
                <w:highlight w:val="none"/>
                <w:lang w:val="en-US" w:eastAsia="zh-CN" w:bidi="ar"/>
              </w:rPr>
              <w:t>用于前端工作站</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Tahoma" w:hAnsi="Tahoma" w:eastAsia="Tahoma" w:cs="Tahoma"/>
                <w:i w:val="0"/>
                <w:caps w:val="0"/>
                <w:color w:val="auto"/>
                <w:spacing w:val="0"/>
                <w:kern w:val="0"/>
                <w:sz w:val="20"/>
                <w:szCs w:val="20"/>
                <w:highlight w:val="none"/>
                <w:lang w:val="en-US" w:eastAsia="zh-CN" w:bidi="ar"/>
              </w:rPr>
              <w:t>支持操作系统</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Tahoma" w:hAnsi="Tahoma" w:eastAsia="Tahoma" w:cs="Tahoma"/>
                <w:i w:val="0"/>
                <w:caps w:val="0"/>
                <w:color w:val="auto"/>
                <w:spacing w:val="0"/>
                <w:kern w:val="0"/>
                <w:sz w:val="20"/>
                <w:szCs w:val="20"/>
                <w:highlight w:val="none"/>
                <w:lang w:val="en-US" w:eastAsia="zh-CN" w:bidi="ar"/>
              </w:rPr>
              <w:t>支持windows、Linux、Solaris、HP-UX、AIX、FreeBSD、MAC OS等主流操作系统。</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12</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管理界面</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远程浏览器中英文管理界面，可通过GUI或CLI设置阵列；无需在管理端安装软件，  直接可通过Web浏览器管理；</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尺寸(mm)</w:t>
            </w:r>
          </w:p>
        </w:tc>
        <w:tc>
          <w:tcPr>
            <w:tcW w:w="4854" w:type="dxa"/>
            <w:noWrap w:val="0"/>
            <w:vAlign w:val="top"/>
          </w:tcPr>
          <w:p>
            <w:pPr>
              <w:widowControl/>
              <w:spacing w:before="50" w:beforeLines="50" w:after="50" w:afterLines="50"/>
              <w:jc w:val="left"/>
              <w:rPr>
                <w:rFonts w:hint="eastAsia" w:ascii="宋体" w:hAnsi="宋体" w:cs="宋体"/>
                <w:color w:val="auto"/>
                <w:szCs w:val="21"/>
                <w:highlight w:val="none"/>
              </w:rPr>
            </w:pPr>
            <w:r>
              <w:rPr>
                <w:rFonts w:hint="default" w:ascii="Tahoma" w:hAnsi="Tahoma" w:eastAsia="Tahoma" w:cs="Tahoma"/>
                <w:i w:val="0"/>
                <w:caps w:val="0"/>
                <w:color w:val="auto"/>
                <w:spacing w:val="0"/>
                <w:kern w:val="0"/>
                <w:sz w:val="20"/>
                <w:szCs w:val="20"/>
                <w:highlight w:val="none"/>
                <w:lang w:val="en-US" w:eastAsia="zh-CN" w:bidi="ar"/>
              </w:rPr>
              <w:t>263x195x197(深x宽x高)</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14</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供电要求</w:t>
            </w:r>
          </w:p>
        </w:tc>
        <w:tc>
          <w:tcPr>
            <w:tcW w:w="4854" w:type="dxa"/>
            <w:noWrap w:val="0"/>
            <w:vAlign w:val="top"/>
          </w:tcPr>
          <w:p>
            <w:pPr>
              <w:widowControl/>
              <w:spacing w:before="50" w:beforeLines="50" w:after="50" w:afterLines="50"/>
              <w:jc w:val="left"/>
              <w:rPr>
                <w:rFonts w:hint="eastAsia" w:ascii="宋体" w:hAnsi="宋体" w:cs="宋体"/>
                <w:color w:val="auto"/>
                <w:szCs w:val="21"/>
                <w:highlight w:val="none"/>
              </w:rPr>
            </w:pPr>
            <w:r>
              <w:rPr>
                <w:rFonts w:hint="default" w:ascii="Tahoma" w:hAnsi="Tahoma" w:eastAsia="Tahoma" w:cs="Tahoma"/>
                <w:i w:val="0"/>
                <w:caps w:val="0"/>
                <w:color w:val="auto"/>
                <w:spacing w:val="0"/>
                <w:kern w:val="0"/>
                <w:sz w:val="20"/>
                <w:szCs w:val="20"/>
                <w:highlight w:val="none"/>
                <w:lang w:val="en-US" w:eastAsia="zh-CN" w:bidi="ar"/>
              </w:rPr>
              <w:t>100-120/200-240 VAC输入，50/60Hz</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15</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电源功率</w:t>
            </w:r>
          </w:p>
        </w:tc>
        <w:tc>
          <w:tcPr>
            <w:tcW w:w="4854" w:type="dxa"/>
            <w:noWrap w:val="0"/>
            <w:vAlign w:val="top"/>
          </w:tcPr>
          <w:p>
            <w:pPr>
              <w:widowControl/>
              <w:spacing w:before="50" w:beforeLines="50" w:after="50" w:afterLines="50"/>
              <w:jc w:val="left"/>
              <w:rPr>
                <w:rFonts w:hint="eastAsia" w:ascii="宋体" w:hAnsi="宋体" w:cs="宋体"/>
                <w:color w:val="auto"/>
                <w:szCs w:val="21"/>
                <w:highlight w:val="none"/>
              </w:rPr>
            </w:pPr>
            <w:r>
              <w:rPr>
                <w:rFonts w:hint="eastAsia" w:ascii="Tahoma" w:hAnsi="Tahoma" w:eastAsia="Tahoma" w:cs="Tahoma"/>
                <w:i w:val="0"/>
                <w:caps w:val="0"/>
                <w:color w:val="auto"/>
                <w:spacing w:val="0"/>
                <w:kern w:val="0"/>
                <w:sz w:val="20"/>
                <w:szCs w:val="20"/>
                <w:highlight w:val="none"/>
                <w:lang w:val="en-US" w:eastAsia="zh-CN" w:bidi="ar"/>
              </w:rPr>
              <w:t>2</w:t>
            </w:r>
            <w:r>
              <w:rPr>
                <w:rFonts w:hint="default" w:ascii="Tahoma" w:hAnsi="Tahoma" w:eastAsia="Tahoma" w:cs="Tahoma"/>
                <w:i w:val="0"/>
                <w:caps w:val="0"/>
                <w:color w:val="auto"/>
                <w:spacing w:val="0"/>
                <w:kern w:val="0"/>
                <w:sz w:val="20"/>
                <w:szCs w:val="20"/>
                <w:highlight w:val="none"/>
                <w:lang w:val="en-US" w:eastAsia="zh-CN" w:bidi="ar"/>
              </w:rPr>
              <w:t>50W 单电源</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16</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工作温度</w:t>
            </w:r>
            <w:r>
              <w:rPr>
                <w:rFonts w:hint="eastAsia" w:ascii="Tahoma" w:hAnsi="Tahoma" w:eastAsia="Tahoma" w:cs="Tahoma"/>
                <w:i w:val="0"/>
                <w:caps w:val="0"/>
                <w:color w:val="auto"/>
                <w:spacing w:val="0"/>
                <w:kern w:val="0"/>
                <w:sz w:val="20"/>
                <w:szCs w:val="20"/>
                <w:highlight w:val="none"/>
                <w:lang w:val="en-US" w:eastAsia="zh-CN" w:bidi="ar"/>
              </w:rPr>
              <w:t>/</w:t>
            </w:r>
            <w:r>
              <w:rPr>
                <w:rFonts w:hint="default" w:ascii="Tahoma" w:hAnsi="Tahoma" w:eastAsia="Tahoma" w:cs="Tahoma"/>
                <w:i w:val="0"/>
                <w:caps w:val="0"/>
                <w:color w:val="auto"/>
                <w:spacing w:val="0"/>
                <w:kern w:val="0"/>
                <w:sz w:val="20"/>
                <w:szCs w:val="20"/>
                <w:highlight w:val="none"/>
                <w:lang w:val="en-US" w:eastAsia="zh-CN" w:bidi="ar"/>
              </w:rPr>
              <w:t>相对</w:t>
            </w:r>
            <w:r>
              <w:rPr>
                <w:rFonts w:hint="eastAsia" w:ascii="Tahoma" w:hAnsi="Tahoma" w:eastAsia="Tahoma" w:cs="Tahoma"/>
                <w:i w:val="0"/>
                <w:caps w:val="0"/>
                <w:color w:val="auto"/>
                <w:spacing w:val="0"/>
                <w:kern w:val="0"/>
                <w:sz w:val="20"/>
                <w:szCs w:val="20"/>
                <w:highlight w:val="none"/>
                <w:lang w:val="en-US" w:eastAsia="zh-CN" w:bidi="ar"/>
              </w:rPr>
              <w:t>湿度</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Tahoma" w:hAnsi="Tahoma" w:eastAsia="Tahoma" w:cs="Tahoma"/>
                <w:i w:val="0"/>
                <w:caps w:val="0"/>
                <w:color w:val="auto"/>
                <w:spacing w:val="0"/>
                <w:kern w:val="0"/>
                <w:sz w:val="20"/>
                <w:szCs w:val="20"/>
                <w:highlight w:val="none"/>
                <w:lang w:val="en-US" w:eastAsia="zh-CN" w:bidi="ar"/>
              </w:rPr>
              <w:t>温度：</w:t>
            </w:r>
            <w:r>
              <w:rPr>
                <w:rFonts w:hint="default" w:ascii="Tahoma" w:hAnsi="Tahoma" w:eastAsia="Tahoma" w:cs="Tahoma"/>
                <w:i w:val="0"/>
                <w:caps w:val="0"/>
                <w:color w:val="auto"/>
                <w:spacing w:val="0"/>
                <w:kern w:val="0"/>
                <w:sz w:val="20"/>
                <w:szCs w:val="20"/>
                <w:highlight w:val="none"/>
                <w:lang w:val="en-US" w:eastAsia="zh-CN" w:bidi="ar"/>
              </w:rPr>
              <w:t>5℃～50℃</w:t>
            </w:r>
            <w:r>
              <w:rPr>
                <w:rFonts w:hint="eastAsia" w:ascii="Tahoma" w:hAnsi="Tahoma" w:eastAsia="Tahoma" w:cs="Tahoma"/>
                <w:i w:val="0"/>
                <w:caps w:val="0"/>
                <w:color w:val="auto"/>
                <w:spacing w:val="0"/>
                <w:kern w:val="0"/>
                <w:sz w:val="20"/>
                <w:szCs w:val="20"/>
                <w:highlight w:val="none"/>
                <w:lang w:val="en-US" w:eastAsia="zh-CN" w:bidi="ar"/>
              </w:rPr>
              <w:t xml:space="preserve">       湿度：</w:t>
            </w:r>
            <w:r>
              <w:rPr>
                <w:rFonts w:hint="default" w:ascii="Tahoma" w:hAnsi="Tahoma" w:eastAsia="Tahoma" w:cs="Tahoma"/>
                <w:i w:val="0"/>
                <w:caps w:val="0"/>
                <w:color w:val="auto"/>
                <w:spacing w:val="0"/>
                <w:kern w:val="0"/>
                <w:sz w:val="20"/>
                <w:szCs w:val="20"/>
                <w:highlight w:val="none"/>
                <w:lang w:val="en-US" w:eastAsia="zh-CN" w:bidi="ar"/>
              </w:rPr>
              <w:t>10％－90％（非凝结环境）</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17</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部件故障报警</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支持系统温度异常、磁盘等部件故障报警，支持磁盘故障图形化管理</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18</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default" w:ascii="Tahoma" w:hAnsi="Tahoma" w:eastAsia="Tahoma" w:cs="Tahoma"/>
                <w:i w:val="0"/>
                <w:caps w:val="0"/>
                <w:color w:val="auto"/>
                <w:spacing w:val="0"/>
                <w:kern w:val="0"/>
                <w:sz w:val="20"/>
                <w:szCs w:val="20"/>
                <w:highlight w:val="none"/>
                <w:lang w:val="en-US" w:eastAsia="zh-CN" w:bidi="ar"/>
              </w:rPr>
            </w:pPr>
            <w:r>
              <w:rPr>
                <w:rFonts w:hint="default" w:ascii="Tahoma" w:hAnsi="Tahoma" w:eastAsia="Tahoma" w:cs="Tahoma"/>
                <w:i w:val="0"/>
                <w:caps w:val="0"/>
                <w:color w:val="auto"/>
                <w:spacing w:val="0"/>
                <w:kern w:val="0"/>
                <w:sz w:val="20"/>
                <w:szCs w:val="20"/>
                <w:highlight w:val="none"/>
                <w:lang w:val="en-US" w:eastAsia="zh-CN" w:bidi="ar"/>
              </w:rPr>
              <w:t>故障报警方式</w:t>
            </w:r>
          </w:p>
        </w:tc>
        <w:tc>
          <w:tcPr>
            <w:tcW w:w="4854" w:type="dxa"/>
            <w:noWrap w:val="0"/>
            <w:vAlign w:val="top"/>
          </w:tcPr>
          <w:p>
            <w:pPr>
              <w:widowControl/>
              <w:spacing w:before="50" w:beforeLines="50" w:after="50" w:afterLines="50"/>
              <w:jc w:val="left"/>
              <w:rPr>
                <w:rFonts w:hint="default" w:ascii="Tahoma" w:hAnsi="Tahoma" w:eastAsia="Tahoma" w:cs="Tahoma"/>
                <w:i w:val="0"/>
                <w:caps w:val="0"/>
                <w:color w:val="auto"/>
                <w:spacing w:val="0"/>
                <w:kern w:val="0"/>
                <w:sz w:val="20"/>
                <w:szCs w:val="20"/>
                <w:highlight w:val="none"/>
                <w:lang w:val="en-US" w:eastAsia="zh-CN" w:bidi="ar"/>
              </w:rPr>
            </w:pPr>
            <w:r>
              <w:rPr>
                <w:rFonts w:hint="default" w:ascii="Tahoma" w:hAnsi="Tahoma" w:eastAsia="Tahoma" w:cs="Tahoma"/>
                <w:i w:val="0"/>
                <w:caps w:val="0"/>
                <w:color w:val="auto"/>
                <w:spacing w:val="0"/>
                <w:kern w:val="0"/>
                <w:sz w:val="20"/>
                <w:szCs w:val="20"/>
                <w:highlight w:val="none"/>
                <w:lang w:val="en-US" w:eastAsia="zh-CN" w:bidi="ar"/>
              </w:rPr>
              <w:t>远程邮件报警、图形化管理警示、windows messager 报警</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19</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default" w:ascii="Tahoma" w:hAnsi="Tahoma" w:eastAsia="Tahoma" w:cs="Tahoma"/>
                <w:i w:val="0"/>
                <w:caps w:val="0"/>
                <w:color w:val="auto"/>
                <w:spacing w:val="0"/>
                <w:kern w:val="0"/>
                <w:sz w:val="20"/>
                <w:szCs w:val="20"/>
                <w:highlight w:val="none"/>
                <w:lang w:val="en-US" w:eastAsia="zh-CN" w:bidi="ar"/>
              </w:rPr>
            </w:pPr>
            <w:r>
              <w:rPr>
                <w:rFonts w:hint="default" w:ascii="Tahoma" w:hAnsi="Tahoma" w:eastAsia="Tahoma" w:cs="Tahoma"/>
                <w:i w:val="0"/>
                <w:caps w:val="0"/>
                <w:color w:val="auto"/>
                <w:spacing w:val="0"/>
                <w:kern w:val="0"/>
                <w:sz w:val="20"/>
                <w:szCs w:val="20"/>
                <w:highlight w:val="none"/>
                <w:lang w:val="en-US" w:eastAsia="zh-CN" w:bidi="ar"/>
              </w:rPr>
              <w:t>软件包授权</w:t>
            </w:r>
          </w:p>
        </w:tc>
        <w:tc>
          <w:tcPr>
            <w:tcW w:w="4854" w:type="dxa"/>
            <w:noWrap w:val="0"/>
            <w:vAlign w:val="top"/>
          </w:tcPr>
          <w:p>
            <w:pPr>
              <w:widowControl/>
              <w:spacing w:before="50" w:beforeLines="50" w:after="50" w:afterLines="50"/>
              <w:jc w:val="left"/>
              <w:rPr>
                <w:rFonts w:hint="default" w:ascii="Tahoma" w:hAnsi="Tahoma" w:eastAsia="Tahoma" w:cs="Tahoma"/>
                <w:i w:val="0"/>
                <w:caps w:val="0"/>
                <w:color w:val="auto"/>
                <w:spacing w:val="0"/>
                <w:kern w:val="0"/>
                <w:sz w:val="20"/>
                <w:szCs w:val="20"/>
                <w:highlight w:val="none"/>
                <w:lang w:val="en-US" w:eastAsia="zh-CN" w:bidi="ar"/>
              </w:rPr>
            </w:pPr>
            <w:r>
              <w:rPr>
                <w:rFonts w:hint="default" w:ascii="Tahoma" w:hAnsi="Tahoma" w:eastAsia="Tahoma" w:cs="Tahoma"/>
                <w:i w:val="0"/>
                <w:caps w:val="0"/>
                <w:color w:val="auto"/>
                <w:spacing w:val="0"/>
                <w:kern w:val="0"/>
                <w:sz w:val="20"/>
                <w:szCs w:val="20"/>
                <w:highlight w:val="none"/>
                <w:lang w:val="en-US" w:eastAsia="zh-CN" w:bidi="ar"/>
              </w:rPr>
              <w:t>嵌入式存储 OS 软件（可选双活方案套件）</w:t>
            </w:r>
            <w:r>
              <w:rPr>
                <w:rFonts w:hint="eastAsia" w:ascii="Tahoma" w:hAnsi="Tahoma" w:eastAsia="Tahoma" w:cs="Tahoma"/>
                <w:i w:val="0"/>
                <w:caps w:val="0"/>
                <w:color w:val="auto"/>
                <w:spacing w:val="0"/>
                <w:kern w:val="0"/>
                <w:sz w:val="20"/>
                <w:szCs w:val="20"/>
                <w:highlight w:val="none"/>
                <w:lang w:val="en-US" w:eastAsia="zh-CN" w:bidi="ar"/>
              </w:rPr>
              <w:t>提供软件著作权证书</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w:t>
            </w:r>
          </w:p>
        </w:tc>
        <w:tc>
          <w:tcPr>
            <w:tcW w:w="951"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c>
          <w:tcPr>
            <w:tcW w:w="873"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服务</w:t>
            </w:r>
          </w:p>
        </w:tc>
        <w:tc>
          <w:tcPr>
            <w:tcW w:w="4854"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default" w:ascii="Tahoma" w:hAnsi="Tahoma" w:eastAsia="Tahoma" w:cs="Tahoma"/>
                <w:i w:val="0"/>
                <w:caps w:val="0"/>
                <w:color w:val="auto"/>
                <w:spacing w:val="0"/>
                <w:kern w:val="0"/>
                <w:sz w:val="20"/>
                <w:szCs w:val="20"/>
                <w:highlight w:val="none"/>
                <w:lang w:val="en-US" w:eastAsia="zh-CN" w:bidi="ar"/>
              </w:rPr>
              <w:t>原厂质保三年。</w:t>
            </w:r>
          </w:p>
        </w:tc>
        <w:tc>
          <w:tcPr>
            <w:tcW w:w="670" w:type="dxa"/>
            <w:vMerge w:val="continue"/>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47" w:type="dxa"/>
            <w:vMerge w:val="continue"/>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bl>
    <w:p>
      <w:pPr>
        <w:pStyle w:val="2"/>
        <w:numPr>
          <w:ilvl w:val="0"/>
          <w:numId w:val="10"/>
        </w:numPr>
        <w:ind w:left="0" w:leftChars="0" w:firstLine="0" w:firstLineChars="0"/>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微单视频机（III类）</w:t>
      </w:r>
    </w:p>
    <w:tbl>
      <w:tblPr>
        <w:tblStyle w:val="34"/>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951"/>
        <w:gridCol w:w="5727"/>
        <w:gridCol w:w="67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 w:type="dxa"/>
            <w:noWrap w:val="0"/>
            <w:vAlign w:val="top"/>
          </w:tcPr>
          <w:p>
            <w:pPr>
              <w:widowControl/>
              <w:spacing w:before="50" w:beforeLines="50" w:after="50" w:afterLines="5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951"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名称</w:t>
            </w:r>
          </w:p>
        </w:tc>
        <w:tc>
          <w:tcPr>
            <w:tcW w:w="5727"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技术规格要求</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数量</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微单相机</w:t>
            </w:r>
          </w:p>
        </w:tc>
        <w:tc>
          <w:tcPr>
            <w:tcW w:w="572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原生支持佳能RF镜头；无反结构；全画幅CMOS；内置陀螺仪感应器，配合RF镜头可实现8级及以上光学防抖；含有OLED，刷新率≥119.88帧/秒；电子取景器双核对焦；最大连拍速度≥20张/秒连拍；4K 60P 4：2：2 10bit内录；双SD卡槽。</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电影机</w:t>
            </w:r>
          </w:p>
        </w:tc>
        <w:tc>
          <w:tcPr>
            <w:tcW w:w="5727" w:type="dxa"/>
            <w:noWrap w:val="0"/>
            <w:vAlign w:val="top"/>
          </w:tcPr>
          <w:p>
            <w:pPr>
              <w:pStyle w:val="3"/>
              <w:bidi w:val="0"/>
              <w:spacing w:before="50" w:beforeLines="50" w:after="50" w:afterLines="50"/>
              <w:ind w:left="-19" w:leftChars="-94" w:hanging="178" w:hangingChars="85"/>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4/3英寸宽动态范围CMOS图像传感器；4K @160fps视频录制，10比特色深；16档动态范围</w:t>
            </w:r>
            <w:r>
              <w:rPr>
                <w:rFonts w:hint="eastAsia" w:ascii="宋体" w:hAnsi="宋体" w:cs="宋体"/>
                <w:color w:val="auto"/>
                <w:kern w:val="2"/>
                <w:sz w:val="21"/>
                <w:szCs w:val="21"/>
                <w:highlight w:val="none"/>
                <w:vertAlign w:val="baseline"/>
                <w:lang w:val="en-US" w:eastAsia="zh-CN" w:bidi="ar-SA"/>
              </w:rPr>
              <w:t>；可机内内录</w:t>
            </w:r>
            <w:r>
              <w:rPr>
                <w:rFonts w:hint="eastAsia" w:ascii="宋体" w:hAnsi="宋体" w:eastAsia="宋体" w:cs="宋体"/>
                <w:color w:val="auto"/>
                <w:kern w:val="2"/>
                <w:sz w:val="21"/>
                <w:szCs w:val="21"/>
                <w:highlight w:val="none"/>
                <w:vertAlign w:val="baseline"/>
                <w:lang w:val="en-US" w:eastAsia="zh-CN" w:bidi="ar-SA"/>
              </w:rPr>
              <w:t>经认证授权的Apple ProRes编码格式；</w:t>
            </w:r>
            <w:r>
              <w:rPr>
                <w:rFonts w:hint="eastAsia" w:ascii="宋体" w:hAnsi="宋体" w:cs="宋体"/>
                <w:color w:val="auto"/>
                <w:kern w:val="2"/>
                <w:sz w:val="21"/>
                <w:szCs w:val="21"/>
                <w:highlight w:val="none"/>
                <w:vertAlign w:val="baseline"/>
                <w:lang w:val="en-US" w:eastAsia="zh-CN" w:bidi="ar-SA"/>
              </w:rPr>
              <w:t>可拍摄ProRess 422 ZRAW视频格式；</w:t>
            </w:r>
            <w:r>
              <w:rPr>
                <w:rFonts w:hint="eastAsia" w:ascii="宋体" w:hAnsi="宋体" w:eastAsia="宋体" w:cs="宋体"/>
                <w:color w:val="auto"/>
                <w:kern w:val="2"/>
                <w:sz w:val="21"/>
                <w:szCs w:val="21"/>
                <w:highlight w:val="none"/>
                <w:vertAlign w:val="baseline"/>
                <w:lang w:val="en-US" w:eastAsia="zh-CN" w:bidi="ar-SA"/>
              </w:rPr>
              <w:t>MFT 镜头卡口</w:t>
            </w:r>
            <w:r>
              <w:rPr>
                <w:rFonts w:hint="eastAsia" w:ascii="宋体" w:hAnsi="宋体" w:cs="宋体"/>
                <w:color w:val="auto"/>
                <w:kern w:val="2"/>
                <w:sz w:val="21"/>
                <w:szCs w:val="21"/>
                <w:highlight w:val="none"/>
                <w:vertAlign w:val="baseline"/>
                <w:lang w:val="en-US" w:eastAsia="zh-CN" w:bidi="ar-SA"/>
              </w:rPr>
              <w:t>；可通过同步IO线与Z CAM E2电影机实现联机同步录制；机身尺寸&lt;10cm*10cm*10cm。</w:t>
            </w:r>
          </w:p>
          <w:p>
            <w:pPr>
              <w:widowControl/>
              <w:spacing w:before="50" w:beforeLines="50" w:after="50" w:afterLines="50"/>
              <w:jc w:val="left"/>
              <w:rPr>
                <w:rFonts w:hint="default" w:ascii="宋体" w:hAnsi="宋体" w:cs="宋体"/>
                <w:color w:val="auto"/>
                <w:sz w:val="21"/>
                <w:szCs w:val="21"/>
                <w:highlight w:val="none"/>
                <w:vertAlign w:val="baseline"/>
                <w:lang w:val="en-US" w:eastAsia="zh-CN"/>
              </w:rPr>
            </w:pP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监视器</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5.2英寸 10bit屏幕；可支持8K 监看、回放；</w:t>
            </w:r>
            <w:r>
              <w:rPr>
                <w:rFonts w:hint="eastAsia" w:ascii="宋体" w:hAnsi="宋体" w:cs="宋体"/>
                <w:color w:val="auto"/>
                <w:kern w:val="2"/>
                <w:sz w:val="21"/>
                <w:szCs w:val="21"/>
                <w:highlight w:val="none"/>
                <w:vertAlign w:val="baseline"/>
                <w:lang w:val="en-US" w:eastAsia="zh-CN" w:bidi="ar-SA"/>
              </w:rPr>
              <w:t>带有硬盘位，安装硬盘情况下可录制30帧8K 视频格式和120帧 4K ProRess 422HQ视频格式。</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转接环</w:t>
            </w:r>
          </w:p>
        </w:tc>
        <w:tc>
          <w:tcPr>
            <w:tcW w:w="572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由RF卡头转EF卡口的转接环；支持高速连拍、人眼锁定、面部识别、防抖功能。</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bl>
    <w:p>
      <w:pPr>
        <w:pStyle w:val="2"/>
        <w:numPr>
          <w:ilvl w:val="0"/>
          <w:numId w:val="10"/>
        </w:numPr>
        <w:ind w:left="0" w:leftChars="0" w:firstLine="0" w:firstLineChars="0"/>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调色系统（IV类）</w:t>
      </w:r>
    </w:p>
    <w:tbl>
      <w:tblPr>
        <w:tblStyle w:val="34"/>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951"/>
        <w:gridCol w:w="5727"/>
        <w:gridCol w:w="67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951"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名称</w:t>
            </w:r>
          </w:p>
        </w:tc>
        <w:tc>
          <w:tcPr>
            <w:tcW w:w="5727"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技术规格要求</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数量</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调色软件</w:t>
            </w:r>
          </w:p>
        </w:tc>
        <w:tc>
          <w:tcPr>
            <w:tcW w:w="572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视频制作公司广泛使用的主流视频调色软件；同时涵盖剪辑、调色、音频处理、后期制作功能；调色功能应是该软件着重侧重的功能；软件需为一次性付费软件。</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调色台</w:t>
            </w:r>
          </w:p>
        </w:tc>
        <w:tc>
          <w:tcPr>
            <w:tcW w:w="572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用于支持DaVinici Resolve 17的硬件调色台；3个调色轮，调色轮嵌套轨迹球的安装结构；调色台按键需直接映射DaVinici Resolve 17的一级校色功能（区别于选取二级按键）</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调色监视器</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用于调色使用的专用调色监视器，是视频制作公司主流采用的调色监视器；21吋及以上LCD屏幕；white led背光；具备自动校正和3D LUT色彩管理功能；厂方应提供无限次免费色彩校正服务；至少支持亮度、矢量显示、HUE Vector、RGB显示、GBR显示、RGB重叠显示、YCbCr显示、YCbCr重叠显示、柱状显示、直方图、色彩直方图、RGB直方图、音频相位、垂直音频表、水平音频表示波器功能；有SDI环出接口；含有监视器便携箱。</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上屏卡</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用于视频信号经SDI接口输入调色监视器；带雷电接口</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数位板</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感应方式:电磁压感应；绘画区域≥216mm*311mm；具备纸绘模式；8192级压感；笔读取速度：Pro Pen2:10mm Finetip Pen5mm;支持4.2蓝牙；可多指触控；自身具备存储功能。</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背光灯</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用于为调色环境提供标准光源的软质灯带；可提供标准D65“昏暗环绕”照明；显色指数（CRI）98；USB供电。</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键盘控制器</w:t>
            </w:r>
          </w:p>
        </w:tc>
        <w:tc>
          <w:tcPr>
            <w:tcW w:w="5727"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2" w:lineRule="atLeast"/>
              <w:ind w:left="0" w:right="0" w:firstLine="0"/>
              <w:jc w:val="left"/>
              <w:rPr>
                <w:rFonts w:hint="eastAsia" w:ascii="宋体" w:hAnsi="宋体" w:cs="宋体"/>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bidi="ar-SA"/>
              </w:rPr>
              <w:t>液晶显示按键可编程键盘宏控制器；含有≥32个LCD图标按键；LCD图标按键可自定义</w:t>
            </w:r>
            <w:r>
              <w:rPr>
                <w:rFonts w:hint="eastAsia" w:ascii="Arial" w:hAnsi="Arial" w:cs="宋体"/>
                <w:b w:val="0"/>
                <w:bCs w:val="0"/>
                <w:color w:val="auto"/>
                <w:kern w:val="2"/>
                <w:sz w:val="21"/>
                <w:szCs w:val="21"/>
                <w:highlight w:val="none"/>
                <w:vertAlign w:val="baseline"/>
                <w:lang w:val="en-US" w:eastAsia="zh-CN" w:bidi="ar-SA"/>
              </w:rPr>
              <w:t>。</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调控盘</w:t>
            </w:r>
          </w:p>
        </w:tc>
        <w:tc>
          <w:tcPr>
            <w:tcW w:w="5727"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2" w:lineRule="atLeast"/>
              <w:ind w:left="0" w:right="0" w:firstLine="0"/>
              <w:jc w:val="left"/>
              <w:rPr>
                <w:rFonts w:hint="eastAsia" w:ascii="宋体" w:hAnsi="宋体" w:cs="宋体"/>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bidi="ar-SA"/>
              </w:rPr>
              <w:t>摄影后期软件修图专用键盘；键盘案件需直接映射Lightroom的各项调色功能（区别于通过组合热键</w:t>
            </w:r>
            <w:r>
              <w:rPr>
                <w:rFonts w:hint="eastAsia" w:ascii="Arial" w:hAnsi="Arial" w:cs="宋体"/>
                <w:b w:val="0"/>
                <w:bCs w:val="0"/>
                <w:color w:val="auto"/>
                <w:kern w:val="2"/>
                <w:sz w:val="21"/>
                <w:szCs w:val="21"/>
                <w:highlight w:val="none"/>
                <w:vertAlign w:val="baseline"/>
                <w:lang w:val="en-US" w:eastAsia="zh-CN" w:bidi="ar-SA"/>
              </w:rPr>
              <w:t>的</w:t>
            </w:r>
            <w:r>
              <w:rPr>
                <w:rFonts w:hint="eastAsia" w:ascii="宋体" w:hAnsi="宋体" w:eastAsia="宋体" w:cs="宋体"/>
                <w:b w:val="0"/>
                <w:bCs w:val="0"/>
                <w:color w:val="auto"/>
                <w:kern w:val="2"/>
                <w:sz w:val="21"/>
                <w:szCs w:val="21"/>
                <w:highlight w:val="none"/>
                <w:vertAlign w:val="baseline"/>
                <w:lang w:val="en-US" w:eastAsia="zh-CN" w:bidi="ar-SA"/>
              </w:rPr>
              <w:t>二级</w:t>
            </w:r>
            <w:r>
              <w:rPr>
                <w:rFonts w:hint="eastAsia" w:ascii="Arial" w:hAnsi="Arial" w:cs="宋体"/>
                <w:b w:val="0"/>
                <w:bCs w:val="0"/>
                <w:color w:val="auto"/>
                <w:kern w:val="2"/>
                <w:sz w:val="21"/>
                <w:szCs w:val="21"/>
                <w:highlight w:val="none"/>
                <w:vertAlign w:val="baseline"/>
                <w:lang w:val="en-US" w:eastAsia="zh-CN" w:bidi="ar-SA"/>
              </w:rPr>
              <w:t>按键</w:t>
            </w:r>
            <w:r>
              <w:rPr>
                <w:rFonts w:hint="eastAsia" w:ascii="宋体" w:hAnsi="宋体" w:eastAsia="宋体" w:cs="宋体"/>
                <w:b w:val="0"/>
                <w:bCs w:val="0"/>
                <w:color w:val="auto"/>
                <w:kern w:val="2"/>
                <w:sz w:val="21"/>
                <w:szCs w:val="21"/>
                <w:highlight w:val="none"/>
                <w:vertAlign w:val="baseline"/>
                <w:lang w:val="en-US" w:eastAsia="zh-CN" w:bidi="ar-SA"/>
              </w:rPr>
              <w:t>）；可通过键盘上的滚轮和旋钮调整Lightroom的各项参数</w:t>
            </w:r>
            <w:r>
              <w:rPr>
                <w:rFonts w:hint="eastAsia" w:ascii="Arial" w:hAnsi="Arial" w:cs="宋体"/>
                <w:b w:val="0"/>
                <w:bCs w:val="0"/>
                <w:color w:val="auto"/>
                <w:kern w:val="2"/>
                <w:sz w:val="21"/>
                <w:szCs w:val="21"/>
                <w:highlight w:val="none"/>
                <w:vertAlign w:val="baseline"/>
                <w:lang w:val="en-US" w:eastAsia="zh-CN" w:bidi="ar-SA"/>
              </w:rPr>
              <w:t>。</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bl>
    <w:p>
      <w:pPr>
        <w:pStyle w:val="2"/>
        <w:numPr>
          <w:ilvl w:val="0"/>
          <w:numId w:val="10"/>
        </w:numPr>
        <w:ind w:left="0" w:leftChars="0" w:firstLine="0" w:firstLineChars="0"/>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镜头及附件（V类）</w:t>
      </w:r>
    </w:p>
    <w:tbl>
      <w:tblPr>
        <w:tblStyle w:val="34"/>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011"/>
        <w:gridCol w:w="5667"/>
        <w:gridCol w:w="67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1011"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名称</w:t>
            </w:r>
          </w:p>
        </w:tc>
        <w:tc>
          <w:tcPr>
            <w:tcW w:w="5667"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技术规格要求</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数量</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01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镜头</w:t>
            </w:r>
          </w:p>
        </w:tc>
        <w:tc>
          <w:tcPr>
            <w:tcW w:w="566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XF卡口；焦距 50mm；最大光圈 F1.0；直流自动对焦马达；防水滴</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01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镜头</w:t>
            </w:r>
          </w:p>
        </w:tc>
        <w:tc>
          <w:tcPr>
            <w:tcW w:w="566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RF卡口；焦距50mm；最大光圈 F1.2； 超声波自动对焦马达；与III类1项配合使用时，可通过镜头自带的控制环来调节机身设置的控制环自定义功能。</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101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镜头</w:t>
            </w:r>
          </w:p>
        </w:tc>
        <w:tc>
          <w:tcPr>
            <w:tcW w:w="566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RF卡口；焦距15-35mm；恒定最大光圈 F2.8 ；超声波自动对焦马达；与III类1项配合使用时，可通过镜头自带的控制环来调节机身设置的控制环自定义功能。</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101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镜头</w:t>
            </w:r>
          </w:p>
        </w:tc>
        <w:tc>
          <w:tcPr>
            <w:tcW w:w="566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RF卡口；焦距24-105mm；恒定最大光圈 F4 ；超声波自动对焦马达；与III类1项配合使用时，可通过镜头自带的控制环来调节机身设置的控制环自定义功能。</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101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镜头</w:t>
            </w:r>
          </w:p>
        </w:tc>
        <w:tc>
          <w:tcPr>
            <w:tcW w:w="566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M43卡口；焦距 12-40mm；恒定最大光圈 F 2.8;自动对焦马达；具备微距功能；内置L-Fn 功能（该功能可参照奥林巴斯 ED 12-40mm F2.8 PRO）</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101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转接环</w:t>
            </w:r>
          </w:p>
        </w:tc>
        <w:tc>
          <w:tcPr>
            <w:tcW w:w="5667" w:type="dxa"/>
            <w:noWrap w:val="0"/>
            <w:vAlign w:val="top"/>
          </w:tcPr>
          <w:p>
            <w:pPr>
              <w:widowControl/>
              <w:spacing w:before="50" w:beforeLines="50" w:after="50" w:afterLines="50"/>
              <w:ind w:left="210" w:hanging="210" w:hangingChars="10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EF卡口镜头转M43卡口相机转接环；具备减焦增光功能，减焦系数0.64；EF卡口端闭锁方式为旋紧锁定（转接环上自带闭锁旋紧环）。</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w:t>
            </w:r>
          </w:p>
        </w:tc>
        <w:tc>
          <w:tcPr>
            <w:tcW w:w="101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uv镜</w:t>
            </w:r>
          </w:p>
        </w:tc>
        <w:tc>
          <w:tcPr>
            <w:tcW w:w="566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 xml:space="preserve">适配77mm口径镜头；红外多层镀膜；镜片材料：肖特玻璃；镜框材料：铜 </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101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uv镜</w:t>
            </w:r>
          </w:p>
        </w:tc>
        <w:tc>
          <w:tcPr>
            <w:tcW w:w="566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 xml:space="preserve">适配82mm口径镜头；红外多层镀膜；镜片材料：肖特光学玻璃；镜框材料：铜 </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9</w:t>
            </w:r>
          </w:p>
        </w:tc>
        <w:tc>
          <w:tcPr>
            <w:tcW w:w="101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uv镜</w:t>
            </w:r>
          </w:p>
        </w:tc>
        <w:tc>
          <w:tcPr>
            <w:tcW w:w="566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 xml:space="preserve">适配72mm口径镜头；红外多层镀膜；镜片材料：肖特光学玻璃；镜框材料：铜 </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bl>
    <w:p>
      <w:pPr>
        <w:pStyle w:val="2"/>
        <w:widowControl w:val="0"/>
        <w:numPr>
          <w:ilvl w:val="0"/>
          <w:numId w:val="10"/>
        </w:numPr>
        <w:ind w:left="0" w:leftChars="0" w:firstLine="0" w:firstLineChars="0"/>
        <w:jc w:val="both"/>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录音配件（VI类）</w:t>
      </w:r>
    </w:p>
    <w:tbl>
      <w:tblPr>
        <w:tblStyle w:val="34"/>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951"/>
        <w:gridCol w:w="5727"/>
        <w:gridCol w:w="67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951"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名称</w:t>
            </w:r>
          </w:p>
        </w:tc>
        <w:tc>
          <w:tcPr>
            <w:tcW w:w="5727"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技术规格要求</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数量</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无线麦克风</w:t>
            </w:r>
          </w:p>
        </w:tc>
        <w:tc>
          <w:tcPr>
            <w:tcW w:w="572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专业录音麦克风；内置锂电池；发射端自带拾音功能，可另接领夹式麦克风；接收端可同时连接2个发射端；接收器尺寸&lt;45mm*19mm*47mm。</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麦克风</w:t>
            </w:r>
          </w:p>
        </w:tc>
        <w:tc>
          <w:tcPr>
            <w:tcW w:w="572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动圈传感器；心形拾音模式；频率相应50HZ-20KHZ;灵敏度（-59,0dBV/Pa  1,12mV/Pa）；可与VI类3项匹配使用</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话筒放大器</w:t>
            </w:r>
          </w:p>
        </w:tc>
        <w:tc>
          <w:tcPr>
            <w:tcW w:w="5727"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2" w:lineRule="atLeast"/>
              <w:ind w:left="0" w:right="0" w:firstLine="0"/>
              <w:rPr>
                <w:rFonts w:hint="default" w:ascii="宋体" w:hAnsi="宋体" w:cs="宋体"/>
                <w:color w:val="auto"/>
                <w:sz w:val="21"/>
                <w:szCs w:val="21"/>
                <w:highlight w:val="none"/>
                <w:vertAlign w:val="baseline"/>
                <w:lang w:val="en-US" w:eastAsia="zh-CN"/>
              </w:rPr>
            </w:pPr>
            <w:r>
              <w:rPr>
                <w:rFonts w:hint="eastAsia" w:ascii="Arial" w:hAnsi="Arial" w:cs="宋体"/>
                <w:b w:val="0"/>
                <w:bCs w:val="0"/>
                <w:color w:val="auto"/>
                <w:kern w:val="2"/>
                <w:sz w:val="21"/>
                <w:szCs w:val="21"/>
                <w:highlight w:val="none"/>
                <w:vertAlign w:val="baseline"/>
                <w:lang w:val="en-US" w:eastAsia="zh-CN" w:bidi="ar-SA"/>
              </w:rPr>
              <w:t>最大</w:t>
            </w:r>
            <w:r>
              <w:rPr>
                <w:rFonts w:hint="eastAsia" w:ascii="宋体" w:hAnsi="宋体" w:eastAsia="宋体" w:cs="宋体"/>
                <w:b w:val="0"/>
                <w:bCs w:val="0"/>
                <w:color w:val="auto"/>
                <w:kern w:val="2"/>
                <w:sz w:val="21"/>
                <w:szCs w:val="21"/>
                <w:highlight w:val="none"/>
                <w:vertAlign w:val="baseline"/>
                <w:lang w:val="en-US" w:eastAsia="zh-CN" w:bidi="ar-SA"/>
              </w:rPr>
              <w:t>增益≥71dB;使用1731型运放；XLR平衡输入；输出：XLR和1</w:t>
            </w:r>
            <w:r>
              <w:rPr>
                <w:rFonts w:hint="eastAsia" w:ascii="Arial" w:hAnsi="Arial" w:cs="宋体"/>
                <w:b w:val="0"/>
                <w:bCs w:val="0"/>
                <w:color w:val="auto"/>
                <w:kern w:val="2"/>
                <w:sz w:val="21"/>
                <w:szCs w:val="21"/>
                <w:highlight w:val="none"/>
                <w:vertAlign w:val="baseline"/>
                <w:lang w:val="en-US" w:eastAsia="zh-CN" w:bidi="ar-SA"/>
              </w:rPr>
              <w:t>/</w:t>
            </w:r>
            <w:r>
              <w:rPr>
                <w:rFonts w:hint="eastAsia" w:ascii="宋体" w:hAnsi="宋体" w:eastAsia="宋体" w:cs="宋体"/>
                <w:b w:val="0"/>
                <w:bCs w:val="0"/>
                <w:color w:val="auto"/>
                <w:kern w:val="2"/>
                <w:sz w:val="21"/>
                <w:szCs w:val="21"/>
                <w:highlight w:val="none"/>
                <w:vertAlign w:val="baseline"/>
                <w:lang w:val="en-US" w:eastAsia="zh-CN" w:bidi="ar-SA"/>
              </w:rPr>
              <w:t>4</w:t>
            </w:r>
            <w:r>
              <w:rPr>
                <w:rFonts w:hint="default" w:ascii="宋体" w:hAnsi="宋体" w:eastAsia="宋体" w:cs="宋体"/>
                <w:b w:val="0"/>
                <w:bCs w:val="0"/>
                <w:color w:val="auto"/>
                <w:kern w:val="2"/>
                <w:sz w:val="21"/>
                <w:szCs w:val="21"/>
                <w:highlight w:val="none"/>
                <w:vertAlign w:val="baseline"/>
                <w:lang w:val="en-US" w:eastAsia="zh-CN" w:bidi="ar-SA"/>
              </w:rPr>
              <w:t>”</w:t>
            </w:r>
            <w:r>
              <w:rPr>
                <w:rFonts w:hint="eastAsia" w:ascii="宋体" w:hAnsi="宋体" w:eastAsia="宋体" w:cs="宋体"/>
                <w:b w:val="0"/>
                <w:bCs w:val="0"/>
                <w:color w:val="auto"/>
                <w:kern w:val="2"/>
                <w:sz w:val="21"/>
                <w:szCs w:val="21"/>
                <w:highlight w:val="none"/>
                <w:vertAlign w:val="baseline"/>
                <w:lang w:val="en-US" w:eastAsia="zh-CN" w:bidi="ar-SA"/>
              </w:rPr>
              <w:t>/TRS;支持48V幻象电源话放;</w:t>
            </w:r>
            <w:r>
              <w:rPr>
                <w:rFonts w:hint="eastAsia" w:ascii="Arial" w:hAnsi="Arial" w:cs="宋体"/>
                <w:b w:val="0"/>
                <w:bCs w:val="0"/>
                <w:color w:val="auto"/>
                <w:kern w:val="2"/>
                <w:sz w:val="21"/>
                <w:szCs w:val="21"/>
                <w:highlight w:val="none"/>
                <w:vertAlign w:val="baseline"/>
                <w:lang w:val="en-US" w:eastAsia="zh-CN" w:bidi="ar-SA"/>
              </w:rPr>
              <w:t>使用</w:t>
            </w:r>
            <w:r>
              <w:rPr>
                <w:rFonts w:hint="eastAsia" w:ascii="宋体" w:hAnsi="宋体" w:eastAsia="宋体" w:cs="宋体"/>
                <w:b w:val="0"/>
                <w:bCs w:val="0"/>
                <w:color w:val="auto"/>
                <w:kern w:val="2"/>
                <w:sz w:val="21"/>
                <w:szCs w:val="21"/>
                <w:highlight w:val="none"/>
                <w:vertAlign w:val="baseline"/>
                <w:lang w:val="en-US" w:eastAsia="zh-CN" w:bidi="ar-SA"/>
              </w:rPr>
              <w:t>LED表头指示增益；阻抗150Ω/600Ω；可与VI类2项匹配使用</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话筒</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bidi="ar-SA"/>
              </w:rPr>
              <w:t>广播级话筒；与VI类第5项相适配；等效噪声电平≤15dB(A)at P48;声压级 132dB SPL at P48;diameter≤20mm;length≥256mm</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话筒防风套件</w:t>
            </w:r>
          </w:p>
        </w:tc>
        <w:tc>
          <w:tcPr>
            <w:tcW w:w="5727" w:type="dxa"/>
            <w:noWrap w:val="0"/>
            <w:vAlign w:val="top"/>
          </w:tcPr>
          <w:p>
            <w:pPr>
              <w:widowControl/>
              <w:spacing w:before="50" w:beforeLines="50" w:after="50" w:afterLines="50"/>
              <w:jc w:val="left"/>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含猪笼、减震架、挑杆、10米话筒延长线。</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话筒架</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直立话筒架 ；铝合金材质</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话筒架</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悬臂话筒架 ；铝合金材质</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监听耳机</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全封闭式监听耳机；阻抗≤35Ω；单元直径≥45mm；灵敏度≥98dB/mW；黑色可折叠。</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监听音箱</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专业监听音箱，被音频工作室广泛采用；5吋单元；黑色箱体；含悬浮支架；使用双中心同轴驱动单元。</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9</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外置声卡</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专业录音声卡，被音频工作室广泛采用；32bit/192kHZ；USB Type-C接口；带有前置放大器和SSP3、DSP芯片；至少包含2路卡农接口输入、2路MIDI、2路输出；支持单声道、立体声按键切换；有LED 或液晶屏显示设备状态；所有接口和按键、旋钮位置需在设备前后两端。</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音频线</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镀金卡农头；品牌线材；6N单晶铜线体；双层无氧铜屏蔽；单根线长2米</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麦克风</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微单相机机头麦克风；自带冷靴；带有2个成夹角的采音单元。</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bl>
    <w:p>
      <w:pPr>
        <w:pStyle w:val="2"/>
        <w:widowControl w:val="0"/>
        <w:numPr>
          <w:ilvl w:val="0"/>
          <w:numId w:val="10"/>
        </w:numPr>
        <w:ind w:left="0" w:leftChars="0" w:firstLine="0" w:firstLineChars="0"/>
        <w:jc w:val="both"/>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灯光系统（VII类）</w:t>
      </w:r>
    </w:p>
    <w:tbl>
      <w:tblPr>
        <w:tblStyle w:val="34"/>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951"/>
        <w:gridCol w:w="5727"/>
        <w:gridCol w:w="67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 w:type="dxa"/>
            <w:noWrap w:val="0"/>
            <w:vAlign w:val="top"/>
          </w:tcPr>
          <w:p>
            <w:pPr>
              <w:widowControl/>
              <w:spacing w:before="50" w:beforeLines="50" w:after="50" w:afterLines="5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951"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名称</w:t>
            </w:r>
          </w:p>
        </w:tc>
        <w:tc>
          <w:tcPr>
            <w:tcW w:w="5727"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技术规格要求</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数量</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补光灯</w:t>
            </w:r>
          </w:p>
        </w:tc>
        <w:tc>
          <w:tcPr>
            <w:tcW w:w="572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影视拍摄补光灯；色温可调范围：2700K-6500K;恒光输出；最大功率≥350W；TLCI指数≥96；CRI指数≥96;CQS指数≥95;内置光效≥9种；标配55度鳞甲遮光罩；带有灯光控制盒、可同时外接2块V口电池；具备APP远程遥控功能；设备需通过ROHS、CE、KC、PSE、FCC认证；搭配</w:t>
            </w:r>
            <w:r>
              <w:rPr>
                <w:rFonts w:hint="eastAsia" w:ascii="宋体" w:hAnsi="宋体" w:eastAsia="宋体" w:cs="宋体"/>
                <w:b w:val="0"/>
                <w:bCs w:val="0"/>
                <w:color w:val="auto"/>
                <w:kern w:val="2"/>
                <w:sz w:val="21"/>
                <w:szCs w:val="21"/>
                <w:highlight w:val="none"/>
                <w:vertAlign w:val="baseline"/>
                <w:lang w:val="en-US" w:eastAsia="zh-CN" w:bidi="ar-SA"/>
              </w:rPr>
              <w:t>55度鳞甲遮光罩</w:t>
            </w:r>
            <w:r>
              <w:rPr>
                <w:rFonts w:hint="eastAsia" w:ascii="宋体" w:hAnsi="宋体" w:cs="宋体"/>
                <w:color w:val="auto"/>
                <w:sz w:val="21"/>
                <w:szCs w:val="21"/>
                <w:highlight w:val="none"/>
                <w:vertAlign w:val="baseline"/>
                <w:lang w:val="en-US" w:eastAsia="zh-CN"/>
              </w:rPr>
              <w:t>，色温5500K，0.5米距离亮度≥116600LUX；操作菜单支持中英文。</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补光灯</w:t>
            </w:r>
          </w:p>
        </w:tc>
        <w:tc>
          <w:tcPr>
            <w:tcW w:w="5727"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2" w:lineRule="atLeast"/>
              <w:ind w:left="0" w:right="0" w:firstLine="0"/>
              <w:rPr>
                <w:rFonts w:hint="eastAsia" w:ascii="宋体" w:hAnsi="宋体" w:cs="宋体"/>
                <w:color w:val="auto"/>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vertAlign w:val="baseline"/>
                <w:lang w:val="en-US" w:eastAsia="zh-CN" w:bidi="ar-SA"/>
              </w:rPr>
              <w:t>影视拍摄补光灯；色温5500K;最大功率≥3</w:t>
            </w:r>
            <w:r>
              <w:rPr>
                <w:rFonts w:hint="eastAsia" w:ascii="Arial" w:hAnsi="Arial" w:cs="宋体"/>
                <w:b w:val="0"/>
                <w:bCs w:val="0"/>
                <w:color w:val="auto"/>
                <w:kern w:val="2"/>
                <w:sz w:val="21"/>
                <w:szCs w:val="21"/>
                <w:highlight w:val="none"/>
                <w:vertAlign w:val="baseline"/>
                <w:lang w:val="en-US" w:eastAsia="zh-CN" w:bidi="ar-SA"/>
              </w:rPr>
              <w:t>5</w:t>
            </w:r>
            <w:r>
              <w:rPr>
                <w:rFonts w:hint="eastAsia" w:ascii="宋体" w:hAnsi="宋体" w:eastAsia="宋体" w:cs="宋体"/>
                <w:b w:val="0"/>
                <w:bCs w:val="0"/>
                <w:color w:val="auto"/>
                <w:kern w:val="2"/>
                <w:sz w:val="21"/>
                <w:szCs w:val="21"/>
                <w:highlight w:val="none"/>
                <w:vertAlign w:val="baseline"/>
                <w:lang w:val="en-US" w:eastAsia="zh-CN" w:bidi="ar-SA"/>
              </w:rPr>
              <w:t>0W；TLCI指数≥96；CRI指数≥96;CQS指数≥95;内置光效≥8种；标配55度鳞甲遮光罩；带有灯光控制盒、可同时外接2块V口电池；具备APP远程遥控功能；设备需通过ROHS、CE、KC、PSE、FCC认证;搭配55度鳞甲遮光罩，色温5500K，0.5米距离亮度≥250000LUX</w:t>
            </w:r>
            <w:r>
              <w:rPr>
                <w:rFonts w:hint="eastAsia" w:ascii="Arial" w:hAnsi="Arial" w:cs="宋体"/>
                <w:b w:val="0"/>
                <w:bCs w:val="0"/>
                <w:color w:val="auto"/>
                <w:kern w:val="2"/>
                <w:sz w:val="21"/>
                <w:szCs w:val="21"/>
                <w:highlight w:val="none"/>
                <w:vertAlign w:val="baseline"/>
                <w:lang w:val="en-US" w:eastAsia="zh-CN" w:bidi="ar-SA"/>
              </w:rPr>
              <w:t>；</w:t>
            </w:r>
            <w:r>
              <w:rPr>
                <w:rFonts w:hint="eastAsia" w:ascii="宋体" w:hAnsi="宋体" w:eastAsia="宋体" w:cs="宋体"/>
                <w:b w:val="0"/>
                <w:bCs w:val="0"/>
                <w:color w:val="auto"/>
                <w:kern w:val="2"/>
                <w:sz w:val="21"/>
                <w:szCs w:val="21"/>
                <w:highlight w:val="none"/>
                <w:vertAlign w:val="baseline"/>
                <w:lang w:val="en-US" w:eastAsia="zh-CN" w:bidi="ar-SA"/>
              </w:rPr>
              <w:t>操作菜单支持中英文。</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灯棒</w:t>
            </w:r>
          </w:p>
        </w:tc>
        <w:tc>
          <w:tcPr>
            <w:tcW w:w="572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手持灯棒；</w:t>
            </w:r>
            <w:r>
              <w:rPr>
                <w:rFonts w:hint="eastAsia" w:ascii="宋体" w:hAnsi="宋体" w:eastAsia="宋体" w:cs="宋体"/>
                <w:b w:val="0"/>
                <w:bCs w:val="0"/>
                <w:color w:val="auto"/>
                <w:kern w:val="2"/>
                <w:sz w:val="21"/>
                <w:szCs w:val="21"/>
                <w:highlight w:val="none"/>
                <w:vertAlign w:val="baseline"/>
                <w:lang w:val="en-US" w:eastAsia="zh-CN" w:bidi="ar-SA"/>
              </w:rPr>
              <w:t>；TLCI指数≥9</w:t>
            </w:r>
            <w:r>
              <w:rPr>
                <w:rFonts w:hint="eastAsia" w:ascii="宋体" w:hAnsi="宋体" w:cs="宋体"/>
                <w:b w:val="0"/>
                <w:bCs w:val="0"/>
                <w:color w:val="auto"/>
                <w:kern w:val="2"/>
                <w:sz w:val="21"/>
                <w:szCs w:val="21"/>
                <w:highlight w:val="none"/>
                <w:vertAlign w:val="baseline"/>
                <w:lang w:val="en-US" w:eastAsia="zh-CN" w:bidi="ar-SA"/>
              </w:rPr>
              <w:t>5</w:t>
            </w:r>
            <w:r>
              <w:rPr>
                <w:rFonts w:hint="eastAsia" w:ascii="宋体" w:hAnsi="宋体" w:eastAsia="宋体" w:cs="宋体"/>
                <w:b w:val="0"/>
                <w:bCs w:val="0"/>
                <w:color w:val="auto"/>
                <w:kern w:val="2"/>
                <w:sz w:val="21"/>
                <w:szCs w:val="21"/>
                <w:highlight w:val="none"/>
                <w:vertAlign w:val="baseline"/>
                <w:lang w:val="en-US" w:eastAsia="zh-CN" w:bidi="ar-SA"/>
              </w:rPr>
              <w:t>；CRI指数≥9</w:t>
            </w:r>
            <w:r>
              <w:rPr>
                <w:rFonts w:hint="eastAsia" w:ascii="宋体" w:hAnsi="宋体" w:cs="宋体"/>
                <w:b w:val="0"/>
                <w:bCs w:val="0"/>
                <w:color w:val="auto"/>
                <w:kern w:val="2"/>
                <w:sz w:val="21"/>
                <w:szCs w:val="21"/>
                <w:highlight w:val="none"/>
                <w:vertAlign w:val="baseline"/>
                <w:lang w:val="en-US" w:eastAsia="zh-CN" w:bidi="ar-SA"/>
              </w:rPr>
              <w:t>8；色温：2700K-6500K；RGB色彩≥36000；内置电池；无极调光；长度≥115cm；具备警灯、烛光、闪电、色彩循环效果；可实现多灯联动、通过控制主灯同步统一调光。</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补光灯</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手持补光灯；</w:t>
            </w:r>
            <w:r>
              <w:rPr>
                <w:rFonts w:hint="eastAsia" w:ascii="宋体" w:hAnsi="宋体" w:eastAsia="宋体" w:cs="宋体"/>
                <w:b w:val="0"/>
                <w:bCs w:val="0"/>
                <w:color w:val="auto"/>
                <w:kern w:val="2"/>
                <w:sz w:val="21"/>
                <w:szCs w:val="21"/>
                <w:highlight w:val="none"/>
                <w:vertAlign w:val="baseline"/>
                <w:lang w:val="en-US" w:eastAsia="zh-CN" w:bidi="ar-SA"/>
              </w:rPr>
              <w:t>TLCI指数≥</w:t>
            </w:r>
            <w:r>
              <w:rPr>
                <w:rFonts w:hint="eastAsia" w:ascii="宋体" w:hAnsi="宋体" w:cs="宋体"/>
                <w:b w:val="0"/>
                <w:bCs w:val="0"/>
                <w:color w:val="auto"/>
                <w:kern w:val="2"/>
                <w:sz w:val="21"/>
                <w:szCs w:val="21"/>
                <w:highlight w:val="none"/>
                <w:vertAlign w:val="baseline"/>
                <w:lang w:val="en-US" w:eastAsia="zh-CN" w:bidi="ar-SA"/>
              </w:rPr>
              <w:t>97</w:t>
            </w:r>
            <w:r>
              <w:rPr>
                <w:rFonts w:hint="eastAsia" w:ascii="宋体" w:hAnsi="宋体" w:eastAsia="宋体" w:cs="宋体"/>
                <w:b w:val="0"/>
                <w:bCs w:val="0"/>
                <w:color w:val="auto"/>
                <w:kern w:val="2"/>
                <w:sz w:val="21"/>
                <w:szCs w:val="21"/>
                <w:highlight w:val="none"/>
                <w:vertAlign w:val="baseline"/>
                <w:lang w:val="en-US" w:eastAsia="zh-CN" w:bidi="ar-SA"/>
              </w:rPr>
              <w:t>；CRI指数≥9</w:t>
            </w:r>
            <w:r>
              <w:rPr>
                <w:rFonts w:hint="eastAsia" w:ascii="宋体" w:hAnsi="宋体" w:cs="宋体"/>
                <w:b w:val="0"/>
                <w:bCs w:val="0"/>
                <w:color w:val="auto"/>
                <w:kern w:val="2"/>
                <w:sz w:val="21"/>
                <w:szCs w:val="21"/>
                <w:highlight w:val="none"/>
                <w:vertAlign w:val="baseline"/>
                <w:lang w:val="en-US" w:eastAsia="zh-CN" w:bidi="ar-SA"/>
              </w:rPr>
              <w:t>6；色温2500K-8500K;无极调光；RGB色彩≥36000；备警灯、闪电、色彩循环效果；金属机身、自带冷靴接口；内置电池。</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柔光罩</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可与爱图仕HR672W LED补光灯相适配的柔光罩；具有柔光布模式和格栅模式。</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聚光筒光阑</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可与VII类13项匹配的聚光筒光阑</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柔光罩</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灯笼球形柔光箱；直径≥60cm；带有遮菲；保荣卡口；可与VII类1、2项相适配。</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控光附件</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4页挡光板；植绒内衬；保荣卡口；含有色纸夹和蜂巢片；可与VII类1、2项相适配。</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9</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布灯</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LED卷布灯；面积≥640mm*640mm；最大功率≥150W；色温3000K-5600K；无极调光；带有触屏、按键控制功能和遥控器；0.5米照度≥13800LUX；带有半球柔光箱和蜂巢柔光箱；含6米及以上供电连接线。</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菲涅尔镜</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保荣卡口；可与VII类1、2项相适配；适配VII类2项时，0.5米广角照度≥110000LX/10223FC 聚角照度≥250000LX/23234FC。</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反光罩</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抛物线反光罩；可折叠、带有快装卡盘；带有双层柔光；带有格栅柔光；直径≥89CM；可与VII类1、2项相适配。</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12</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反光罩</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抛物线反光罩；可折叠、带有快装卡盘；带有双层柔光；带有格栅柔光；直径≥55CM；可与VII类1、2项相适配。</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调焦聚光筒</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保荣卡口；可与VII类1、2项相适配；具备可替换镜头功能；含26度镜头；金属结构；色温偏移值≤200K；中心边缘照度比≤10/7。</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14</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灯架</w:t>
            </w:r>
          </w:p>
        </w:tc>
        <w:tc>
          <w:tcPr>
            <w:tcW w:w="572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具备气垫缓冲功能；伸缩结构、展开后高度≥210CM、收纳高度≤75CM；铝质材质；3段延伸杆、中轴可拆卸;灯架自带连锁结构，可实现多支灯架收起后的相互连接。</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15</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灯架</w:t>
            </w:r>
          </w:p>
        </w:tc>
        <w:tc>
          <w:tcPr>
            <w:tcW w:w="572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具备气垫缓冲功能；伸缩结构、展开后高度≥240CM、收纳高度≤90CM；铝质材质；2段延伸杆、中轴可拆卸;灯架自带连锁结构，可实现多支灯架收起后的相互连接。</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16</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灯架</w:t>
            </w:r>
          </w:p>
        </w:tc>
        <w:tc>
          <w:tcPr>
            <w:tcW w:w="572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具备气垫缓冲功能；伸缩结构、展开后高度≥360CM、收纳高度≤110CM；铝质材质；3段延伸杆、中轴可拆卸;灯架自带连锁结构，可实现多支灯架收起后的相互连接。</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17</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延伸吊杆</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横臂延伸吊杆；可与VII类15项适配；最大长度≥210CM；最大承重≥5KG;黑色。</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18</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影视灯架</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C形灯架；含魔术头和魔术臂；魔术头需具有铝制刹车片；C形腿最大展开距离≥95CM；展开后主体最大高度≥320CM；黑色。</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19</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钢珠沙包</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 xml:space="preserve">预填充钢珠；重量≥15磅。 </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旗板</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不锈钢框架；含黑旗、白旗、四色旗布罩；尺寸45cm*60cm。</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21</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旗板</w:t>
            </w:r>
          </w:p>
        </w:tc>
        <w:tc>
          <w:tcPr>
            <w:tcW w:w="572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不锈钢框架；含黑旗、白旗、四色旗布罩；尺寸60cm*75cm。</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22</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旗板</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不锈钢框架；含黑旗、白旗、四色旗布罩；尺寸75cm*90cm。</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23</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场记板</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 xml:space="preserve">亚克力场记板 </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24</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色卡</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48色色卡；适配达芬奇、Lightroom调色软件使用；有保护壳；有三脚架固定接口;有专用色块用于判断色卡老化程度。</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bl>
    <w:p>
      <w:pPr>
        <w:pStyle w:val="2"/>
        <w:widowControl w:val="0"/>
        <w:numPr>
          <w:ilvl w:val="0"/>
          <w:numId w:val="0"/>
        </w:numPr>
        <w:ind w:leftChars="0"/>
        <w:jc w:val="both"/>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8、供电系统（VIII类）</w:t>
      </w:r>
    </w:p>
    <w:tbl>
      <w:tblPr>
        <w:tblStyle w:val="34"/>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951"/>
        <w:gridCol w:w="5727"/>
        <w:gridCol w:w="67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951"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名称</w:t>
            </w:r>
          </w:p>
        </w:tc>
        <w:tc>
          <w:tcPr>
            <w:tcW w:w="5727"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技术规格要求</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数量</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电池</w:t>
            </w:r>
          </w:p>
        </w:tc>
        <w:tc>
          <w:tcPr>
            <w:tcW w:w="572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F970电池；具有LED电量显示功能；具有过充保护、过流保护、过放保护、短路保护、过压保护、过功率保护功能；带有Type-c双向接口；带有双DC双向接口；容量≥10500mAH；使用温度：-20℃-60℃。</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电池</w:t>
            </w:r>
          </w:p>
        </w:tc>
        <w:tc>
          <w:tcPr>
            <w:tcW w:w="572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u w:val="none"/>
                <w:vertAlign w:val="baseline"/>
                <w:lang w:val="en-US" w:eastAsia="zh-CN"/>
              </w:rPr>
              <w:t>适配佳能R5相机的内置电池</w:t>
            </w:r>
            <w:r>
              <w:rPr>
                <w:rFonts w:hint="eastAsia" w:ascii="宋体" w:hAnsi="宋体" w:cs="宋体"/>
                <w:color w:val="auto"/>
                <w:sz w:val="21"/>
                <w:szCs w:val="21"/>
                <w:highlight w:val="none"/>
                <w:vertAlign w:val="baseline"/>
                <w:lang w:val="en-US" w:eastAsia="zh-CN"/>
              </w:rPr>
              <w:t>；电池容量≥2130mAh</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电池</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V口电池；电压14.8V;容量≥230WH。</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户外电源</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220V户外电源；快充功能；容量≥2016Wh；功率≥2400W；带Type-c接口；可兼容正浩DELTA Max加电包。</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插排</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6孔插排；每插孔有独立开关；10A 2500W；总长5米；线体铜线。</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插排</w:t>
            </w:r>
          </w:p>
        </w:tc>
        <w:tc>
          <w:tcPr>
            <w:tcW w:w="5727"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自带盘卷线轴；10A 2500W；线体铜线；总长10米。</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插排</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抗浪涌插排、有抗浪涌显示灯；6孔、每孔有独立开关；超功率保护；10A 2500W；总长5米；黑色。</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bl>
    <w:p>
      <w:pPr>
        <w:pStyle w:val="2"/>
        <w:numPr>
          <w:ilvl w:val="0"/>
          <w:numId w:val="0"/>
        </w:numPr>
        <w:ind w:leftChars="0"/>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9、存储设备（IX类）</w:t>
      </w:r>
    </w:p>
    <w:tbl>
      <w:tblPr>
        <w:tblStyle w:val="34"/>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951"/>
        <w:gridCol w:w="5727"/>
        <w:gridCol w:w="67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951"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名称</w:t>
            </w:r>
          </w:p>
        </w:tc>
        <w:tc>
          <w:tcPr>
            <w:tcW w:w="5727"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技术规格要求</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数量</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存储卡</w:t>
            </w:r>
          </w:p>
        </w:tc>
        <w:tc>
          <w:tcPr>
            <w:tcW w:w="572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SD卡；容量256G；存储速度≥170M/S。</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存储卡</w:t>
            </w:r>
          </w:p>
        </w:tc>
        <w:tc>
          <w:tcPr>
            <w:tcW w:w="572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SSD 容量512G ；可适配III类2项需要。</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存储卡</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CFAST2.0 容量256G;可适配III类2项需要。</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读卡器</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多合一读卡器。</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bl>
    <w:p>
      <w:pPr>
        <w:pStyle w:val="2"/>
        <w:numPr>
          <w:ilvl w:val="0"/>
          <w:numId w:val="0"/>
        </w:numPr>
        <w:ind w:leftChars="0"/>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10、拍摄附件（X类）</w:t>
      </w:r>
    </w:p>
    <w:tbl>
      <w:tblPr>
        <w:tblStyle w:val="34"/>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951"/>
        <w:gridCol w:w="5727"/>
        <w:gridCol w:w="67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951"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名称</w:t>
            </w:r>
          </w:p>
        </w:tc>
        <w:tc>
          <w:tcPr>
            <w:tcW w:w="5727"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技术规格要求</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数量</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手持稳定器</w:t>
            </w:r>
          </w:p>
        </w:tc>
        <w:tc>
          <w:tcPr>
            <w:tcW w:w="572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电动三轴稳定；负载≥4.5KG;触摸屏操控；带有智能跟随功能；带有跟焦系统、图传系统和体感功能。</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51"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运动相机</w:t>
            </w:r>
          </w:p>
        </w:tc>
        <w:tc>
          <w:tcPr>
            <w:tcW w:w="5727" w:type="dxa"/>
            <w:noWrap w:val="0"/>
            <w:vAlign w:val="top"/>
          </w:tcPr>
          <w:p>
            <w:pPr>
              <w:widowControl/>
              <w:spacing w:before="50" w:beforeLines="50" w:after="50" w:afterLines="50"/>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全景运动相机；可拍摄5K以上全景视频；具有防抖功能；防水深度≥10米；可语音控制；具备水平矫正功能；具备自动跟随功能；随设备自带保护套、自拍杆、64G存储卡。</w:t>
            </w:r>
          </w:p>
        </w:tc>
        <w:tc>
          <w:tcPr>
            <w:tcW w:w="670" w:type="dxa"/>
            <w:noWrap w:val="0"/>
            <w:vAlign w:val="top"/>
          </w:tcPr>
          <w:p>
            <w:pPr>
              <w:widowControl/>
              <w:spacing w:before="50" w:beforeLines="50" w:after="50" w:afterLines="5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打印机</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A2打印幅面；10色墨盒；使用微压电打印头；分辨率≥5760*1440dpi;最小墨滴≤1.5微微升。</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墨盒</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X类3项所适配的原装10色墨盒套装。</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提词器</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22寸单屏；含支撑架、脚轮、无线控制器、脚踏控制器、</w:t>
            </w:r>
            <w:r>
              <w:rPr>
                <w:rFonts w:hint="default" w:ascii="宋体" w:hAnsi="宋体" w:cs="宋体"/>
                <w:color w:val="auto"/>
                <w:sz w:val="21"/>
                <w:szCs w:val="21"/>
                <w:highlight w:val="none"/>
                <w:vertAlign w:val="baseline"/>
                <w:lang w:val="en-US" w:eastAsia="zh-CN"/>
              </w:rPr>
              <w:t>便携拉杆带轮航空箱</w:t>
            </w:r>
            <w:r>
              <w:rPr>
                <w:rFonts w:hint="eastAsia" w:ascii="宋体" w:hAnsi="宋体" w:cs="宋体"/>
                <w:color w:val="auto"/>
                <w:sz w:val="21"/>
                <w:szCs w:val="21"/>
                <w:highlight w:val="none"/>
                <w:vertAlign w:val="baseline"/>
                <w:lang w:val="en-US" w:eastAsia="zh-CN"/>
              </w:rPr>
              <w:t>。</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default" w:ascii="宋体" w:hAnsi="宋体" w:cs="宋体"/>
                <w:color w:val="auto"/>
                <w:sz w:val="21"/>
                <w:szCs w:val="21"/>
                <w:highlight w:val="none"/>
                <w:vertAlign w:val="baseline"/>
                <w:lang w:val="en-US" w:eastAsia="zh-CN"/>
              </w:rPr>
              <w:t>监视器</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可与威固600+无线图传发射端信号匹配的7吋图传监视器。</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图传支架</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用于X类1项连接威固600+图传发射端的支架。</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default" w:ascii="宋体" w:hAnsi="宋体" w:cs="宋体"/>
                <w:color w:val="auto"/>
                <w:sz w:val="21"/>
                <w:szCs w:val="21"/>
                <w:highlight w:val="none"/>
                <w:vertAlign w:val="baseline"/>
                <w:lang w:val="en-US" w:eastAsia="zh-CN"/>
              </w:rPr>
              <w:t>控制提壶手柄</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用于X类1项的提壶手柄；支持跟焦录制功能。</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9</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快装板</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适用于</w:t>
            </w:r>
            <w:r>
              <w:rPr>
                <w:rFonts w:hint="default" w:ascii="宋体" w:hAnsi="宋体" w:cs="宋体"/>
                <w:color w:val="auto"/>
                <w:sz w:val="21"/>
                <w:szCs w:val="21"/>
                <w:highlight w:val="none"/>
                <w:vertAlign w:val="baseline"/>
                <w:lang w:val="en-US" w:eastAsia="zh-CN"/>
              </w:rPr>
              <w:t>佳能R5/R6</w:t>
            </w:r>
            <w:r>
              <w:rPr>
                <w:rFonts w:hint="eastAsia" w:ascii="宋体" w:hAnsi="宋体" w:cs="宋体"/>
                <w:color w:val="auto"/>
                <w:sz w:val="21"/>
                <w:szCs w:val="21"/>
                <w:highlight w:val="none"/>
                <w:vertAlign w:val="baseline"/>
                <w:lang w:val="en-US" w:eastAsia="zh-CN"/>
              </w:rPr>
              <w:t>的L形快装板。</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default" w:ascii="宋体" w:hAnsi="宋体" w:cs="宋体"/>
                <w:color w:val="auto"/>
                <w:sz w:val="21"/>
                <w:szCs w:val="21"/>
                <w:highlight w:val="none"/>
                <w:vertAlign w:val="baseline"/>
                <w:lang w:val="en-US" w:eastAsia="zh-CN"/>
              </w:rPr>
              <w:t>兔笼套件</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适用于</w:t>
            </w:r>
            <w:r>
              <w:rPr>
                <w:rFonts w:hint="default" w:ascii="宋体" w:hAnsi="宋体" w:cs="宋体"/>
                <w:color w:val="auto"/>
                <w:sz w:val="21"/>
                <w:szCs w:val="21"/>
                <w:highlight w:val="none"/>
                <w:vertAlign w:val="baseline"/>
                <w:lang w:val="en-US" w:eastAsia="zh-CN"/>
              </w:rPr>
              <w:t>佳能R5/R6</w:t>
            </w:r>
            <w:r>
              <w:rPr>
                <w:rFonts w:hint="eastAsia" w:ascii="宋体" w:hAnsi="宋体" w:cs="宋体"/>
                <w:color w:val="auto"/>
                <w:sz w:val="21"/>
                <w:szCs w:val="21"/>
                <w:highlight w:val="none"/>
                <w:vertAlign w:val="baseline"/>
                <w:lang w:val="en-US" w:eastAsia="zh-CN"/>
              </w:rPr>
              <w:t>的兔笼套件。</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滑轨</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电控滑轨；自带电控水平旋转功能；脚架上使用长度≥400±3mm；垂直承重≥2KG；水平承重≥2.5KG；轨道自带Type-c接口，可使用充电宝直接供电；轨道自带操控界面设定参数。</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12</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云台</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液压云台；最大承重≥5KG；划入式快装板；自重≤0.8KG；球碗底座；具有与三脚架连接的快拆功能。</w:t>
            </w:r>
          </w:p>
        </w:tc>
        <w:tc>
          <w:tcPr>
            <w:tcW w:w="670" w:type="dxa"/>
            <w:noWrap w:val="0"/>
            <w:vAlign w:val="top"/>
          </w:tcPr>
          <w:p>
            <w:pPr>
              <w:widowControl/>
              <w:spacing w:before="50" w:beforeLines="50" w:after="50" w:afterLines="50"/>
              <w:jc w:val="center"/>
              <w:rPr>
                <w:rFonts w:hint="eastAsia" w:ascii="宋体" w:hAnsi="宋体" w:cs="宋体"/>
                <w:color w:val="auto"/>
                <w:sz w:val="21"/>
                <w:szCs w:val="21"/>
                <w:highlight w:val="none"/>
                <w:vertAlign w:val="baseline"/>
                <w:lang w:val="en-US" w:eastAsia="zh-CN"/>
              </w:rPr>
            </w:pP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视频机三脚架</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碳纤维材质；75mm球碗接口；无中轴设计；可与X类12项适配；扳扣式锁紧结构。</w:t>
            </w:r>
          </w:p>
        </w:tc>
        <w:tc>
          <w:tcPr>
            <w:tcW w:w="670" w:type="dxa"/>
            <w:noWrap w:val="0"/>
            <w:vAlign w:val="top"/>
          </w:tcPr>
          <w:p>
            <w:pPr>
              <w:widowControl/>
              <w:spacing w:before="50" w:beforeLines="50" w:after="50" w:afterLines="50"/>
              <w:jc w:val="center"/>
              <w:rPr>
                <w:rFonts w:hint="eastAsia" w:ascii="宋体" w:hAnsi="宋体" w:cs="宋体"/>
                <w:color w:val="auto"/>
                <w:sz w:val="21"/>
                <w:szCs w:val="21"/>
                <w:highlight w:val="none"/>
                <w:vertAlign w:val="baseline"/>
                <w:lang w:val="en-US" w:eastAsia="zh-CN"/>
              </w:rPr>
            </w:pP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14</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照相机三脚架</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碳纤维材质；扳扣式锁紧结构；自带云台；展开后最大高度≥150cm;折叠后最大高度≤40cm;低拍模式下，高度≤14CM;自重≤1.3KG；承重≥9KG。</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15</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相机包</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容量：</w:t>
            </w:r>
            <w:r>
              <w:rPr>
                <w:rFonts w:hint="default" w:ascii="宋体" w:hAnsi="宋体" w:cs="宋体"/>
                <w:color w:val="auto"/>
                <w:sz w:val="21"/>
                <w:szCs w:val="21"/>
                <w:highlight w:val="none"/>
                <w:vertAlign w:val="baseline"/>
                <w:lang w:val="en-US" w:eastAsia="zh-CN"/>
              </w:rPr>
              <w:t>3L</w:t>
            </w:r>
            <w:r>
              <w:rPr>
                <w:rFonts w:hint="eastAsia" w:ascii="宋体" w:hAnsi="宋体" w:cs="宋体"/>
                <w:color w:val="auto"/>
                <w:sz w:val="21"/>
                <w:szCs w:val="21"/>
                <w:highlight w:val="none"/>
                <w:vertAlign w:val="baseline"/>
                <w:lang w:val="en-US" w:eastAsia="zh-CN"/>
              </w:rPr>
              <w:t>；可与</w:t>
            </w:r>
            <w:r>
              <w:rPr>
                <w:rFonts w:hint="default" w:ascii="宋体" w:hAnsi="宋体" w:cs="宋体"/>
                <w:color w:val="auto"/>
                <w:sz w:val="21"/>
                <w:szCs w:val="21"/>
                <w:highlight w:val="none"/>
                <w:vertAlign w:val="baseline"/>
                <w:lang w:val="en-US" w:eastAsia="zh-CN"/>
              </w:rPr>
              <w:t>peakdesign</w:t>
            </w:r>
            <w:r>
              <w:rPr>
                <w:rFonts w:hint="eastAsia" w:ascii="宋体" w:hAnsi="宋体" w:cs="宋体"/>
                <w:color w:val="auto"/>
                <w:sz w:val="21"/>
                <w:szCs w:val="21"/>
                <w:highlight w:val="none"/>
                <w:vertAlign w:val="baseline"/>
                <w:lang w:val="en-US" w:eastAsia="zh-CN"/>
              </w:rPr>
              <w:t>快挂板相适配</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16</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器材包</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容量：</w:t>
            </w:r>
            <w:r>
              <w:rPr>
                <w:rFonts w:hint="default" w:ascii="宋体" w:hAnsi="宋体" w:cs="宋体"/>
                <w:color w:val="auto"/>
                <w:sz w:val="21"/>
                <w:szCs w:val="21"/>
                <w:highlight w:val="none"/>
                <w:vertAlign w:val="baseline"/>
                <w:lang w:val="en-US" w:eastAsia="zh-CN"/>
              </w:rPr>
              <w:t>20L</w:t>
            </w:r>
            <w:r>
              <w:rPr>
                <w:rFonts w:hint="eastAsia" w:ascii="宋体" w:hAnsi="宋体" w:cs="宋体"/>
                <w:color w:val="auto"/>
                <w:sz w:val="21"/>
                <w:szCs w:val="21"/>
                <w:highlight w:val="none"/>
                <w:vertAlign w:val="baseline"/>
                <w:lang w:val="en-US" w:eastAsia="zh-CN"/>
              </w:rPr>
              <w:t>；可与</w:t>
            </w:r>
            <w:r>
              <w:rPr>
                <w:rFonts w:hint="default" w:ascii="宋体" w:hAnsi="宋体" w:cs="宋体"/>
                <w:color w:val="auto"/>
                <w:sz w:val="21"/>
                <w:szCs w:val="21"/>
                <w:highlight w:val="none"/>
                <w:vertAlign w:val="baseline"/>
                <w:lang w:val="en-US" w:eastAsia="zh-CN"/>
              </w:rPr>
              <w:t>peakdesign</w:t>
            </w:r>
            <w:r>
              <w:rPr>
                <w:rFonts w:hint="eastAsia" w:ascii="宋体" w:hAnsi="宋体" w:cs="宋体"/>
                <w:color w:val="auto"/>
                <w:sz w:val="21"/>
                <w:szCs w:val="21"/>
                <w:highlight w:val="none"/>
                <w:vertAlign w:val="baseline"/>
                <w:lang w:val="en-US" w:eastAsia="zh-CN"/>
              </w:rPr>
              <w:t>快挂板相适配</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17</w:t>
            </w:r>
          </w:p>
        </w:tc>
        <w:tc>
          <w:tcPr>
            <w:tcW w:w="951" w:type="dxa"/>
            <w:noWrap w:val="0"/>
            <w:vAlign w:val="top"/>
          </w:tcPr>
          <w:p>
            <w:pPr>
              <w:widowControl/>
              <w:spacing w:before="50" w:beforeLines="50" w:after="50" w:afterLines="50"/>
              <w:jc w:val="left"/>
              <w:rPr>
                <w:rFonts w:hint="eastAsia" w:ascii="宋体" w:hAnsi="宋体" w:cs="宋体"/>
                <w:color w:val="auto"/>
                <w:sz w:val="21"/>
                <w:szCs w:val="21"/>
                <w:highlight w:val="none"/>
                <w:vertAlign w:val="baseline"/>
                <w:lang w:val="en-US" w:eastAsia="zh-CN"/>
              </w:rPr>
            </w:pPr>
            <w:r>
              <w:rPr>
                <w:rFonts w:hint="default" w:ascii="宋体" w:hAnsi="宋体" w:cs="宋体"/>
                <w:color w:val="auto"/>
                <w:sz w:val="21"/>
                <w:szCs w:val="21"/>
                <w:highlight w:val="none"/>
                <w:vertAlign w:val="baseline"/>
                <w:lang w:val="en-US" w:eastAsia="zh-CN"/>
              </w:rPr>
              <w:t>影视苹果箱</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嵌套组合型苹果箱；所含苹果箱数量不少于4个。</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18</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default" w:ascii="宋体" w:hAnsi="宋体" w:cs="宋体"/>
                <w:color w:val="auto"/>
                <w:sz w:val="21"/>
                <w:szCs w:val="21"/>
                <w:highlight w:val="none"/>
                <w:vertAlign w:val="baseline"/>
                <w:lang w:val="en-US" w:eastAsia="zh-CN"/>
              </w:rPr>
              <w:t>柔光屏</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尺寸 150cm*200cm;含白、黑、银、金反光屏；含蝴蝶布、滚轮支撑架。</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19</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default" w:ascii="宋体" w:hAnsi="宋体" w:cs="宋体"/>
                <w:color w:val="auto"/>
                <w:sz w:val="21"/>
                <w:szCs w:val="21"/>
                <w:highlight w:val="none"/>
                <w:vertAlign w:val="baseline"/>
                <w:lang w:val="en-US" w:eastAsia="zh-CN"/>
              </w:rPr>
              <w:t>U型曲面反光板</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含两用地灯架。</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default" w:ascii="宋体" w:hAnsi="宋体" w:cs="宋体"/>
                <w:color w:val="auto"/>
                <w:sz w:val="21"/>
                <w:szCs w:val="21"/>
                <w:highlight w:val="none"/>
                <w:vertAlign w:val="baseline"/>
                <w:lang w:val="en-US" w:eastAsia="zh-CN"/>
              </w:rPr>
              <w:t>电脑台式桌</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桌面尺寸：160CM*80CM</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21</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default" w:ascii="宋体" w:hAnsi="宋体" w:cs="宋体"/>
                <w:color w:val="auto"/>
                <w:sz w:val="21"/>
                <w:szCs w:val="21"/>
                <w:highlight w:val="none"/>
                <w:vertAlign w:val="baseline"/>
                <w:lang w:val="en-US" w:eastAsia="zh-CN"/>
              </w:rPr>
              <w:t>货架</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default" w:ascii="宋体" w:hAnsi="宋体" w:cs="宋体"/>
                <w:color w:val="auto"/>
                <w:sz w:val="21"/>
                <w:szCs w:val="21"/>
                <w:highlight w:val="none"/>
                <w:vertAlign w:val="baseline"/>
                <w:lang w:val="en-US" w:eastAsia="zh-CN"/>
              </w:rPr>
              <w:t>白色</w:t>
            </w:r>
            <w:r>
              <w:rPr>
                <w:rFonts w:hint="eastAsia" w:ascii="宋体" w:hAnsi="宋体" w:cs="宋体"/>
                <w:color w:val="auto"/>
                <w:sz w:val="21"/>
                <w:szCs w:val="21"/>
                <w:highlight w:val="none"/>
                <w:vertAlign w:val="baseline"/>
                <w:lang w:val="en-US" w:eastAsia="zh-CN"/>
              </w:rPr>
              <w:t>；</w:t>
            </w:r>
            <w:r>
              <w:rPr>
                <w:rFonts w:hint="default" w:ascii="宋体" w:hAnsi="宋体" w:cs="宋体"/>
                <w:color w:val="auto"/>
                <w:sz w:val="21"/>
                <w:szCs w:val="21"/>
                <w:highlight w:val="none"/>
                <w:vertAlign w:val="baseline"/>
                <w:lang w:val="en-US" w:eastAsia="zh-CN"/>
              </w:rPr>
              <w:t>宽200cm 深60CM 高200CM</w:t>
            </w:r>
            <w:r>
              <w:rPr>
                <w:rFonts w:hint="eastAsia" w:ascii="宋体" w:hAnsi="宋体" w:cs="宋体"/>
                <w:color w:val="auto"/>
                <w:sz w:val="21"/>
                <w:szCs w:val="21"/>
                <w:highlight w:val="none"/>
                <w:vertAlign w:val="baseline"/>
                <w:lang w:val="en-US" w:eastAsia="zh-CN"/>
              </w:rPr>
              <w:t>；具有</w:t>
            </w:r>
            <w:r>
              <w:rPr>
                <w:rFonts w:hint="default" w:ascii="宋体" w:hAnsi="宋体" w:cs="宋体"/>
                <w:color w:val="auto"/>
                <w:sz w:val="21"/>
                <w:szCs w:val="21"/>
                <w:highlight w:val="none"/>
                <w:vertAlign w:val="baseline"/>
                <w:lang w:val="en-US" w:eastAsia="zh-CN"/>
              </w:rPr>
              <w:t>4层</w:t>
            </w:r>
            <w:r>
              <w:rPr>
                <w:rFonts w:hint="eastAsia" w:ascii="宋体" w:hAnsi="宋体" w:cs="宋体"/>
                <w:color w:val="auto"/>
                <w:sz w:val="21"/>
                <w:szCs w:val="21"/>
                <w:highlight w:val="none"/>
                <w:vertAlign w:val="baseline"/>
                <w:lang w:val="en-US" w:eastAsia="zh-CN"/>
              </w:rPr>
              <w:t>储物结构；承重≥</w:t>
            </w:r>
            <w:r>
              <w:rPr>
                <w:rFonts w:hint="default" w:ascii="宋体" w:hAnsi="宋体" w:cs="宋体"/>
                <w:color w:val="auto"/>
                <w:sz w:val="21"/>
                <w:szCs w:val="21"/>
                <w:highlight w:val="none"/>
                <w:vertAlign w:val="baseline"/>
                <w:lang w:val="en-US" w:eastAsia="zh-CN"/>
              </w:rPr>
              <w:t xml:space="preserve"> 240KG</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22</w:t>
            </w:r>
          </w:p>
        </w:tc>
        <w:tc>
          <w:tcPr>
            <w:tcW w:w="951"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简易拉杆车</w:t>
            </w:r>
          </w:p>
        </w:tc>
        <w:tc>
          <w:tcPr>
            <w:tcW w:w="5727" w:type="dxa"/>
            <w:noWrap w:val="0"/>
            <w:vAlign w:val="top"/>
          </w:tcPr>
          <w:p>
            <w:pPr>
              <w:widowControl/>
              <w:spacing w:before="50" w:beforeLines="50" w:after="50" w:afterLines="50"/>
              <w:jc w:val="lef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可折叠推拉车，用于装载影视设备使用；承重≥100KG</w:t>
            </w:r>
          </w:p>
        </w:tc>
        <w:tc>
          <w:tcPr>
            <w:tcW w:w="670" w:type="dxa"/>
            <w:noWrap w:val="0"/>
            <w:vAlign w:val="top"/>
          </w:tcPr>
          <w:p>
            <w:pPr>
              <w:widowControl/>
              <w:spacing w:before="50" w:beforeLines="50" w:after="50" w:afterLines="5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47" w:type="dxa"/>
            <w:noWrap w:val="0"/>
            <w:vAlign w:val="top"/>
          </w:tcPr>
          <w:p>
            <w:pPr>
              <w:widowControl/>
              <w:spacing w:before="50" w:beforeLines="50" w:after="50" w:afterLines="50"/>
              <w:jc w:val="left"/>
              <w:rPr>
                <w:rFonts w:hint="eastAsia" w:ascii="宋体" w:hAnsi="宋体" w:eastAsia="宋体" w:cs="宋体"/>
                <w:color w:val="auto"/>
                <w:sz w:val="21"/>
                <w:szCs w:val="21"/>
                <w:highlight w:val="none"/>
                <w:vertAlign w:val="baseline"/>
                <w:lang w:val="en-US" w:eastAsia="zh-CN"/>
              </w:rPr>
            </w:pPr>
          </w:p>
        </w:tc>
      </w:tr>
    </w:tbl>
    <w:p>
      <w:pPr>
        <w:spacing w:line="360" w:lineRule="auto"/>
        <w:rPr>
          <w:rFonts w:hint="eastAsia" w:ascii="宋体" w:hAnsi="宋体" w:cs="宋体"/>
          <w:color w:val="auto"/>
          <w:szCs w:val="21"/>
          <w:highlight w:val="none"/>
        </w:rPr>
      </w:pPr>
    </w:p>
    <w:p>
      <w:pPr>
        <w:pStyle w:val="55"/>
        <w:numPr>
          <w:ilvl w:val="0"/>
          <w:numId w:val="0"/>
        </w:numPr>
        <w:tabs>
          <w:tab w:val="left" w:pos="517"/>
        </w:tabs>
        <w:ind w:leftChars="0"/>
        <w:rPr>
          <w:rFonts w:hint="eastAsia" w:ascii="宋体" w:eastAsia="宋体" w:cs="宋体"/>
          <w:color w:val="auto"/>
          <w:sz w:val="21"/>
          <w:szCs w:val="21"/>
          <w:highlight w:val="none"/>
        </w:rPr>
      </w:pPr>
      <w:bookmarkStart w:id="100" w:name="_Toc1292"/>
      <w:bookmarkStart w:id="101" w:name="_Hlk79520341"/>
      <w:r>
        <w:rPr>
          <w:rFonts w:hint="eastAsia" w:ascii="宋体" w:eastAsia="宋体" w:cs="宋体"/>
          <w:color w:val="auto"/>
          <w:sz w:val="21"/>
          <w:szCs w:val="21"/>
          <w:highlight w:val="none"/>
          <w:lang w:val="en-US" w:eastAsia="zh-CN"/>
        </w:rPr>
        <w:t>1.3</w:t>
      </w:r>
      <w:r>
        <w:rPr>
          <w:rFonts w:hint="eastAsia" w:ascii="宋体" w:eastAsia="宋体" w:cs="宋体"/>
          <w:color w:val="auto"/>
          <w:sz w:val="21"/>
          <w:szCs w:val="21"/>
          <w:highlight w:val="none"/>
        </w:rPr>
        <w:t>知识产权要求</w:t>
      </w:r>
      <w:bookmarkEnd w:id="100"/>
    </w:p>
    <w:p>
      <w:pPr>
        <w:pStyle w:val="96"/>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应保证在中华人民共和国境内使用其提供的产品、技术、服务或其任何一部分时，不会产生因第三方提出侵犯其专利权、商标权或其它知识产权而引起的法律和经济纠纷。如法院裁定招标人侵权成立，则招标人有权向投标人追偿，投标人须无条件承担与此相关的所有责任和经济赔偿。</w:t>
      </w:r>
    </w:p>
    <w:p>
      <w:pPr>
        <w:pStyle w:val="96"/>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在本项目中所产生的解决方案、软件等知识产权及相关权益归招标人所有，投标人不得将涉及知识产权的技术秘密透露给第三方。投标人有不可争议的义务确保招标人依据本次采购所获得的知识产权不存在任何瑕疵并且可以不受限制地行使相关权利，包括各项延伸权利。</w:t>
      </w:r>
    </w:p>
    <w:p>
      <w:pPr>
        <w:pStyle w:val="55"/>
        <w:numPr>
          <w:ilvl w:val="0"/>
          <w:numId w:val="0"/>
        </w:numPr>
        <w:ind w:leftChars="0"/>
        <w:rPr>
          <w:rFonts w:hint="eastAsia" w:ascii="宋体" w:eastAsia="宋体" w:cs="宋体"/>
          <w:color w:val="auto"/>
          <w:sz w:val="21"/>
          <w:szCs w:val="21"/>
          <w:highlight w:val="none"/>
        </w:rPr>
      </w:pPr>
      <w:bookmarkStart w:id="102" w:name="_Toc21220"/>
      <w:r>
        <w:rPr>
          <w:rFonts w:hint="eastAsia" w:ascii="宋体" w:eastAsia="宋体" w:cs="宋体"/>
          <w:color w:val="auto"/>
          <w:sz w:val="21"/>
          <w:szCs w:val="21"/>
          <w:highlight w:val="none"/>
          <w:lang w:val="en-US" w:eastAsia="zh-CN"/>
        </w:rPr>
        <w:t>1.4</w:t>
      </w:r>
      <w:r>
        <w:rPr>
          <w:rFonts w:hint="eastAsia" w:ascii="宋体" w:eastAsia="宋体" w:cs="宋体"/>
          <w:color w:val="auto"/>
          <w:sz w:val="21"/>
          <w:szCs w:val="21"/>
          <w:highlight w:val="none"/>
        </w:rPr>
        <w:t>项目实施要求</w:t>
      </w:r>
      <w:bookmarkEnd w:id="102"/>
    </w:p>
    <w:p>
      <w:pPr>
        <w:pStyle w:val="77"/>
        <w:spacing w:line="360" w:lineRule="auto"/>
        <w:rPr>
          <w:rFonts w:hint="eastAsia" w:ascii="宋体" w:cs="宋体"/>
          <w:color w:val="auto"/>
          <w:szCs w:val="21"/>
          <w:highlight w:val="none"/>
        </w:rPr>
      </w:pPr>
      <w:r>
        <w:rPr>
          <w:rFonts w:hint="eastAsia" w:ascii="宋体" w:cs="宋体"/>
          <w:color w:val="auto"/>
          <w:szCs w:val="21"/>
          <w:highlight w:val="none"/>
        </w:rPr>
        <w:t>1、供应商提供的投标产品应满足采购人当前安装环境的各项要求，并且有责任检查安装现场是否符合产品安装条件。</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2、供应商应负责将所有投标产品运到采购人指定地点和位置，并承担运输费用和运输中发生的其它一切费用。</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3、软硬件到达采购人指定的现场后，将由供应商与采购人双方共同验收，并进行签字确认。若有差异，应由供应商承担责任。</w:t>
      </w:r>
    </w:p>
    <w:p>
      <w:pPr>
        <w:pStyle w:val="77"/>
        <w:spacing w:line="360" w:lineRule="auto"/>
        <w:rPr>
          <w:rFonts w:hint="eastAsia" w:ascii="宋体" w:eastAsia="宋体" w:cs="宋体"/>
          <w:color w:val="auto"/>
          <w:szCs w:val="21"/>
          <w:highlight w:val="none"/>
          <w:lang w:val="en-US" w:eastAsia="zh-CN"/>
        </w:rPr>
      </w:pPr>
      <w:r>
        <w:rPr>
          <w:rFonts w:hint="eastAsia" w:ascii="宋体" w:cs="宋体"/>
          <w:color w:val="auto"/>
          <w:szCs w:val="21"/>
          <w:highlight w:val="none"/>
        </w:rPr>
        <w:t>4、供应商需保证投标设备均</w:t>
      </w:r>
      <w:r>
        <w:rPr>
          <w:rFonts w:hint="eastAsia" w:ascii="宋体" w:hAnsi="宋体" w:eastAsia="宋体" w:cs="宋体"/>
          <w:color w:val="auto"/>
          <w:szCs w:val="21"/>
          <w:highlight w:val="none"/>
        </w:rPr>
        <w:t>为原产原装，保证所提供货物是全新的、未使用过的</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所有产品必须经正规渠道供货，不得提供旧货、水货、假货，并须提供详细配置清单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并按照国家三包政策提供维修、更换、退货服务。</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5、设备到货时供应商提供原厂商对本次提供设备的序列号所对应的最终用户为采购人的书面确认，如设备最终用户不是采购人，采购人有权退换设备并要求供应商赔偿所有相关损失。</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6、供应商应保证其提供的货物在正确安装、正常使用和保养条件下，在使用寿命期内应具有满意的性能。供应商应对由于设计、工艺或材料的缺陷而产生的故障负完全责任。</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7、供应商须保证所配置的产品有合法的使用权，并有相应的使用许可证。</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8、供应商应承担投标产品的安装、调试和配置工作，同时应提供安装的系统配置文件和文件档案。</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9、供应商应全力与采购人配合，根据采购人的详细需求，提交实施方案并得到采购人认可。</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10、供应商应明确承诺能够按采购方需要提供上述原有设备系统安装、升级、迁移等相关工作的原厂商现场实施服务和技术支持。</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11、本项目投标报价应包含按要求完成本项目的所有费用，包含但不仅限于实施所需的硬件、附件、备品备件等费用，以及本项目在实施过程中涉及的专用工具、辅材、安装、调试、检验、培训、技术服务、运杂、保险费、税金、验收检定、软件升级及供应商认为需要的所有费用。中标价格一经确定，除采购有要求追加或变动项目外，不再另行支付任何费用。</w:t>
      </w:r>
    </w:p>
    <w:p>
      <w:pPr>
        <w:pStyle w:val="55"/>
        <w:numPr>
          <w:ilvl w:val="0"/>
          <w:numId w:val="0"/>
        </w:numPr>
        <w:ind w:leftChars="0"/>
        <w:rPr>
          <w:rFonts w:hint="eastAsia" w:ascii="宋体" w:eastAsia="宋体" w:cs="宋体"/>
          <w:color w:val="auto"/>
          <w:sz w:val="21"/>
          <w:szCs w:val="21"/>
          <w:highlight w:val="none"/>
        </w:rPr>
      </w:pPr>
      <w:bookmarkStart w:id="103" w:name="_Toc24896"/>
      <w:r>
        <w:rPr>
          <w:rFonts w:hint="eastAsia" w:ascii="宋体" w:eastAsia="宋体" w:cs="宋体"/>
          <w:color w:val="auto"/>
          <w:sz w:val="21"/>
          <w:szCs w:val="21"/>
          <w:highlight w:val="none"/>
          <w:lang w:val="en-US" w:eastAsia="zh-CN"/>
        </w:rPr>
        <w:t>1.5</w:t>
      </w:r>
      <w:r>
        <w:rPr>
          <w:rFonts w:hint="eastAsia" w:ascii="宋体" w:eastAsia="宋体" w:cs="宋体"/>
          <w:color w:val="auto"/>
          <w:sz w:val="21"/>
          <w:szCs w:val="21"/>
          <w:highlight w:val="none"/>
        </w:rPr>
        <w:t>项目质量、进度、管理要求</w:t>
      </w:r>
      <w:bookmarkEnd w:id="103"/>
    </w:p>
    <w:p>
      <w:pPr>
        <w:spacing w:line="360" w:lineRule="auto"/>
        <w:ind w:firstLine="449" w:firstLineChars="213"/>
        <w:jc w:val="left"/>
        <w:rPr>
          <w:rFonts w:hint="eastAsia" w:ascii="宋体" w:hAnsi="宋体" w:cs="宋体"/>
          <w:b/>
          <w:bCs/>
          <w:color w:val="auto"/>
          <w:szCs w:val="21"/>
          <w:highlight w:val="none"/>
        </w:rPr>
      </w:pPr>
      <w:r>
        <w:rPr>
          <w:rFonts w:hint="eastAsia" w:ascii="宋体" w:hAnsi="宋体" w:cs="宋体"/>
          <w:b/>
          <w:bCs/>
          <w:color w:val="auto"/>
          <w:szCs w:val="21"/>
          <w:highlight w:val="none"/>
        </w:rPr>
        <w:t>1. 质量控制要求</w:t>
      </w:r>
    </w:p>
    <w:p>
      <w:pPr>
        <w:spacing w:line="360" w:lineRule="auto"/>
        <w:ind w:firstLine="449" w:firstLineChars="214"/>
        <w:jc w:val="left"/>
        <w:rPr>
          <w:rFonts w:hint="eastAsia" w:ascii="宋体" w:hAnsi="宋体" w:cs="宋体"/>
          <w:bCs/>
          <w:color w:val="auto"/>
          <w:szCs w:val="21"/>
          <w:highlight w:val="none"/>
        </w:rPr>
      </w:pPr>
      <w:r>
        <w:rPr>
          <w:rFonts w:hint="eastAsia" w:ascii="宋体" w:hAnsi="宋体" w:cs="宋体"/>
          <w:bCs/>
          <w:color w:val="auto"/>
          <w:szCs w:val="21"/>
          <w:highlight w:val="none"/>
        </w:rPr>
        <w:t>供应商需要按照国家相关质量管理要求，按时完成</w:t>
      </w:r>
      <w:r>
        <w:rPr>
          <w:rFonts w:hint="eastAsia" w:ascii="宋体" w:hAnsi="宋体" w:cs="宋体"/>
          <w:bCs/>
          <w:color w:val="auto"/>
          <w:szCs w:val="21"/>
          <w:highlight w:val="none"/>
          <w:lang w:val="en-US" w:eastAsia="zh-CN"/>
        </w:rPr>
        <w:t>供货</w:t>
      </w:r>
      <w:r>
        <w:rPr>
          <w:rFonts w:hint="eastAsia" w:ascii="宋体" w:hAnsi="宋体" w:cs="宋体"/>
          <w:bCs/>
          <w:color w:val="auto"/>
          <w:szCs w:val="21"/>
          <w:highlight w:val="none"/>
        </w:rPr>
        <w:t>，确保进度计划的执行和质量控制。</w:t>
      </w:r>
    </w:p>
    <w:p>
      <w:pPr>
        <w:spacing w:line="360" w:lineRule="auto"/>
        <w:ind w:left="420" w:left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2.项目进度要求</w:t>
      </w:r>
    </w:p>
    <w:p>
      <w:pPr>
        <w:spacing w:line="360" w:lineRule="auto"/>
        <w:ind w:firstLine="447" w:firstLineChars="213"/>
        <w:rPr>
          <w:rFonts w:hint="eastAsia" w:ascii="宋体" w:hAnsi="宋体" w:cs="宋体"/>
          <w:color w:val="auto"/>
          <w:szCs w:val="21"/>
          <w:highlight w:val="none"/>
        </w:rPr>
      </w:pPr>
      <w:r>
        <w:rPr>
          <w:rFonts w:hint="eastAsia" w:ascii="宋体" w:hAnsi="宋体" w:cs="宋体"/>
          <w:color w:val="auto"/>
          <w:szCs w:val="21"/>
          <w:highlight w:val="none"/>
        </w:rPr>
        <w:t>本项目周期为</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个月（含试运行时</w:t>
      </w:r>
      <w:r>
        <w:rPr>
          <w:rFonts w:hint="eastAsia" w:ascii="宋体" w:hAnsi="宋体" w:eastAsia="宋体" w:cs="宋体"/>
          <w:bCs/>
          <w:color w:val="auto"/>
          <w:szCs w:val="21"/>
          <w:highlight w:val="none"/>
        </w:rPr>
        <w:t>间）：自合同签订之日起至</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个月内完成安装调试、</w:t>
      </w:r>
      <w:r>
        <w:rPr>
          <w:rFonts w:hint="eastAsia" w:ascii="宋体" w:hAnsi="宋体" w:eastAsia="宋体" w:cs="宋体"/>
          <w:bCs/>
          <w:color w:val="auto"/>
          <w:szCs w:val="21"/>
          <w:highlight w:val="none"/>
          <w:lang w:eastAsia="zh-CN"/>
        </w:rPr>
        <w:t>整体</w:t>
      </w:r>
      <w:r>
        <w:rPr>
          <w:rFonts w:hint="eastAsia" w:ascii="宋体" w:hAnsi="宋体" w:eastAsia="宋体" w:cs="宋体"/>
          <w:bCs/>
          <w:color w:val="auto"/>
          <w:szCs w:val="21"/>
          <w:highlight w:val="none"/>
        </w:rPr>
        <w:t>测试，协助</w:t>
      </w:r>
      <w:r>
        <w:rPr>
          <w:rFonts w:hint="eastAsia" w:ascii="宋体" w:hAnsi="宋体" w:eastAsia="宋体" w:cs="宋体"/>
          <w:bCs/>
          <w:color w:val="auto"/>
          <w:szCs w:val="21"/>
          <w:highlight w:val="none"/>
          <w:lang w:eastAsia="zh-CN"/>
        </w:rPr>
        <w:t>用户</w:t>
      </w:r>
      <w:r>
        <w:rPr>
          <w:rFonts w:hint="eastAsia" w:ascii="宋体" w:hAnsi="宋体" w:eastAsia="宋体" w:cs="宋体"/>
          <w:bCs/>
          <w:color w:val="auto"/>
          <w:szCs w:val="21"/>
          <w:highlight w:val="none"/>
        </w:rPr>
        <w:t>备份及拷贝数据等工作，经初验合格后上线试运行，试运</w:t>
      </w:r>
      <w:r>
        <w:rPr>
          <w:rFonts w:hint="eastAsia" w:ascii="宋体" w:hAnsi="宋体" w:cs="宋体"/>
          <w:color w:val="auto"/>
          <w:szCs w:val="21"/>
          <w:highlight w:val="none"/>
        </w:rPr>
        <w:t>行时间不少于3个月。</w:t>
      </w:r>
    </w:p>
    <w:p>
      <w:pPr>
        <w:spacing w:line="360" w:lineRule="auto"/>
        <w:ind w:firstLine="449" w:firstLineChars="213"/>
        <w:jc w:val="left"/>
        <w:rPr>
          <w:rFonts w:hint="eastAsia" w:ascii="宋体" w:hAnsi="宋体" w:cs="宋体"/>
          <w:b/>
          <w:bCs/>
          <w:color w:val="auto"/>
          <w:szCs w:val="21"/>
          <w:highlight w:val="none"/>
        </w:rPr>
      </w:pPr>
      <w:r>
        <w:rPr>
          <w:rFonts w:hint="eastAsia" w:ascii="宋体" w:hAnsi="宋体" w:cs="宋体"/>
          <w:b/>
          <w:bCs/>
          <w:color w:val="auto"/>
          <w:szCs w:val="21"/>
          <w:highlight w:val="none"/>
        </w:rPr>
        <w:t>3.项目管理要求</w:t>
      </w:r>
    </w:p>
    <w:p>
      <w:pPr>
        <w:spacing w:line="360" w:lineRule="auto"/>
        <w:ind w:firstLine="449" w:firstLineChars="214"/>
        <w:rPr>
          <w:rFonts w:hint="eastAsia" w:ascii="宋体" w:hAnsi="宋体" w:cs="宋体"/>
          <w:bCs/>
          <w:color w:val="auto"/>
          <w:szCs w:val="21"/>
          <w:highlight w:val="none"/>
        </w:rPr>
      </w:pPr>
      <w:r>
        <w:rPr>
          <w:rFonts w:hint="eastAsia" w:ascii="宋体" w:hAnsi="宋体" w:cs="宋体"/>
          <w:bCs/>
          <w:color w:val="auto"/>
          <w:szCs w:val="21"/>
          <w:highlight w:val="none"/>
        </w:rPr>
        <w:t>（1）工期从合同签订开始计算，</w:t>
      </w:r>
      <w:r>
        <w:rPr>
          <w:rFonts w:hint="eastAsia" w:ascii="宋体" w:hAnsi="宋体" w:cs="宋体"/>
          <w:color w:val="auto"/>
          <w:szCs w:val="21"/>
          <w:highlight w:val="none"/>
        </w:rPr>
        <w:t>根据要求按期完成终验并交付使用</w:t>
      </w:r>
      <w:r>
        <w:rPr>
          <w:rFonts w:hint="eastAsia" w:ascii="宋体" w:hAnsi="宋体" w:cs="宋体"/>
          <w:bCs/>
          <w:color w:val="auto"/>
          <w:szCs w:val="21"/>
          <w:highlight w:val="none"/>
        </w:rPr>
        <w:t>，如中标人无法按期完成，采购人有权提出赔偿。如采购人根据工程实际情况调整工程进度计划，中标人不应为此提出任何增加费用的要求，供应商在投标文件中对此予以明确承诺。</w:t>
      </w:r>
    </w:p>
    <w:p>
      <w:pPr>
        <w:spacing w:line="360" w:lineRule="auto"/>
        <w:ind w:firstLine="449" w:firstLineChars="214"/>
        <w:rPr>
          <w:rFonts w:hint="eastAsia" w:ascii="宋体" w:hAnsi="宋体" w:eastAsia="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）本招标文件提出的为项目的主要需求，是供应商编制投标文件和报价的主要依据，但采购人有权根据实际业务需求，对招标文件规定的需求进行补充和优化，最终的需求以各方确认</w:t>
      </w:r>
      <w:r>
        <w:rPr>
          <w:rFonts w:hint="eastAsia" w:ascii="宋体" w:hAnsi="宋体" w:eastAsia="宋体" w:cs="宋体"/>
          <w:bCs/>
          <w:color w:val="auto"/>
          <w:szCs w:val="21"/>
          <w:highlight w:val="none"/>
        </w:rPr>
        <w:t>的需求规格说明书为准，并以最终确认的需求规格说明书作为验收依据。</w:t>
      </w:r>
    </w:p>
    <w:p>
      <w:pPr>
        <w:spacing w:line="360" w:lineRule="auto"/>
        <w:ind w:firstLine="449" w:firstLineChars="21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）中标后签合同前，提供中标</w:t>
      </w:r>
      <w:r>
        <w:rPr>
          <w:rFonts w:hint="eastAsia" w:ascii="宋体" w:hAnsi="宋体" w:eastAsia="宋体" w:cs="宋体"/>
          <w:bCs/>
          <w:color w:val="auto"/>
          <w:szCs w:val="21"/>
          <w:highlight w:val="none"/>
          <w:lang w:eastAsia="zh-CN"/>
        </w:rPr>
        <w:t>光纤存储阵列与用户工作站的连接</w:t>
      </w:r>
      <w:r>
        <w:rPr>
          <w:rFonts w:hint="eastAsia" w:ascii="宋体" w:hAnsi="宋体" w:eastAsia="宋体" w:cs="宋体"/>
          <w:bCs/>
          <w:color w:val="auto"/>
          <w:szCs w:val="21"/>
          <w:highlight w:val="none"/>
        </w:rPr>
        <w:t>，进行上述产品所描述功能一一测试，如发现虚假应标</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取消中标资格并根据《政府采购法》规定处罚</w:t>
      </w:r>
      <w:r>
        <w:rPr>
          <w:rFonts w:hint="eastAsia" w:ascii="宋体" w:hAnsi="宋体" w:eastAsia="宋体" w:cs="宋体"/>
          <w:bCs/>
          <w:color w:val="auto"/>
          <w:szCs w:val="21"/>
          <w:highlight w:val="none"/>
        </w:rPr>
        <w:t>。</w:t>
      </w:r>
    </w:p>
    <w:p>
      <w:pPr>
        <w:spacing w:line="360" w:lineRule="auto"/>
        <w:ind w:firstLine="449" w:firstLineChars="214"/>
        <w:rPr>
          <w:rFonts w:hint="eastAsia" w:ascii="宋体" w:hAnsi="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）试运行期间，中标人要提供足够的培训和技术支持，保障用户能够正确的理解和使用系统，同时要根据运行中出现的问题以及用户需求情况，及时整改完善</w:t>
      </w:r>
      <w:r>
        <w:rPr>
          <w:rFonts w:hint="eastAsia" w:ascii="宋体" w:hAnsi="宋体" w:cs="宋体"/>
          <w:bCs/>
          <w:color w:val="auto"/>
          <w:szCs w:val="21"/>
          <w:highlight w:val="none"/>
        </w:rPr>
        <w:t>。</w:t>
      </w:r>
    </w:p>
    <w:p>
      <w:pPr>
        <w:spacing w:line="360" w:lineRule="auto"/>
        <w:ind w:firstLine="449" w:firstLineChars="213"/>
        <w:jc w:val="left"/>
        <w:rPr>
          <w:rFonts w:hint="eastAsia" w:ascii="宋体" w:hAnsi="宋体" w:cs="宋体"/>
          <w:b/>
          <w:bCs/>
          <w:color w:val="auto"/>
          <w:szCs w:val="21"/>
          <w:highlight w:val="none"/>
        </w:rPr>
      </w:pPr>
      <w:r>
        <w:rPr>
          <w:rFonts w:hint="eastAsia" w:ascii="宋体" w:hAnsi="宋体" w:cs="宋体"/>
          <w:b/>
          <w:bCs/>
          <w:color w:val="auto"/>
          <w:szCs w:val="21"/>
          <w:highlight w:val="none"/>
        </w:rPr>
        <w:t>4.中标人的工作内容</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中标人的工作内容需包含但不局限于以下内容：</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1）软硬件采购及提供相关资料；</w:t>
      </w:r>
    </w:p>
    <w:p>
      <w:pPr>
        <w:pStyle w:val="77"/>
        <w:spacing w:line="360" w:lineRule="auto"/>
        <w:rPr>
          <w:rFonts w:hint="eastAsia" w:ascii="宋体" w:hAnsi="宋体" w:eastAsia="宋体" w:cs="宋体"/>
          <w:color w:val="auto"/>
          <w:szCs w:val="21"/>
          <w:highlight w:val="none"/>
        </w:rPr>
      </w:pPr>
      <w:r>
        <w:rPr>
          <w:rFonts w:hint="eastAsia" w:ascii="宋体" w:cs="宋体"/>
          <w:color w:val="auto"/>
          <w:szCs w:val="21"/>
          <w:highlight w:val="none"/>
        </w:rPr>
        <w:t>2</w:t>
      </w:r>
      <w:r>
        <w:rPr>
          <w:rFonts w:hint="eastAsia" w:ascii="宋体" w:hAnsi="宋体" w:eastAsia="宋体" w:cs="宋体"/>
          <w:color w:val="auto"/>
          <w:szCs w:val="21"/>
          <w:highlight w:val="none"/>
        </w:rPr>
        <w:t>）软硬件设备及部件的检查、检验及测试（该费用计入总价）；</w:t>
      </w:r>
    </w:p>
    <w:p>
      <w:pPr>
        <w:pStyle w:val="77"/>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3）软硬件设备的安装及部件的就位和固定；</w:t>
      </w:r>
    </w:p>
    <w:p>
      <w:pPr>
        <w:pStyle w:val="77"/>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）软硬件设备及部件的连接和检查；</w:t>
      </w:r>
    </w:p>
    <w:p>
      <w:pPr>
        <w:pStyle w:val="77"/>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）软硬件设备与系统的调试；</w:t>
      </w:r>
    </w:p>
    <w:p>
      <w:pPr>
        <w:pStyle w:val="77"/>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）整个系统调试；</w:t>
      </w:r>
    </w:p>
    <w:p>
      <w:pPr>
        <w:pStyle w:val="77"/>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）系统试运行；</w:t>
      </w:r>
    </w:p>
    <w:p>
      <w:pPr>
        <w:pStyle w:val="77"/>
        <w:spacing w:line="360" w:lineRule="auto"/>
        <w:rPr>
          <w:rFonts w:hint="eastAsia" w:ascii="宋体" w:cs="宋体"/>
          <w:color w:val="auto"/>
          <w:szCs w:val="21"/>
          <w:highlight w:val="none"/>
        </w:rPr>
      </w:pPr>
      <w:r>
        <w:rPr>
          <w:rFonts w:hint="eastAsia" w:ascii="宋体" w:cs="宋体"/>
          <w:color w:val="auto"/>
          <w:szCs w:val="21"/>
          <w:highlight w:val="none"/>
          <w:lang w:val="en-US" w:eastAsia="zh-CN"/>
        </w:rPr>
        <w:t>8</w:t>
      </w:r>
      <w:r>
        <w:rPr>
          <w:rFonts w:hint="eastAsia" w:ascii="宋体" w:cs="宋体"/>
          <w:color w:val="auto"/>
          <w:szCs w:val="21"/>
          <w:highlight w:val="none"/>
        </w:rPr>
        <w:t>）系统的维护、维修措施及急修接报后的响应措施；</w:t>
      </w:r>
    </w:p>
    <w:p>
      <w:pPr>
        <w:pStyle w:val="77"/>
        <w:spacing w:line="360" w:lineRule="auto"/>
        <w:rPr>
          <w:rFonts w:hint="eastAsia" w:ascii="宋体" w:cs="宋体"/>
          <w:color w:val="auto"/>
          <w:szCs w:val="21"/>
          <w:highlight w:val="none"/>
        </w:rPr>
      </w:pPr>
      <w:r>
        <w:rPr>
          <w:rFonts w:hint="eastAsia" w:ascii="宋体" w:cs="宋体"/>
          <w:color w:val="auto"/>
          <w:szCs w:val="21"/>
          <w:highlight w:val="none"/>
          <w:lang w:val="en-US" w:eastAsia="zh-CN"/>
        </w:rPr>
        <w:t>9</w:t>
      </w:r>
      <w:r>
        <w:rPr>
          <w:rFonts w:hint="eastAsia" w:ascii="宋体" w:cs="宋体"/>
          <w:color w:val="auto"/>
          <w:szCs w:val="21"/>
          <w:highlight w:val="none"/>
        </w:rPr>
        <w:t>）验收（包括负责通过相关部门的整体验收，资料整理交接）；</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val="en-US" w:eastAsia="zh-CN"/>
        </w:rPr>
        <w:t>0</w:t>
      </w:r>
      <w:r>
        <w:rPr>
          <w:rFonts w:hint="eastAsia" w:ascii="宋体" w:cs="宋体"/>
          <w:color w:val="auto"/>
          <w:szCs w:val="21"/>
          <w:highlight w:val="none"/>
        </w:rPr>
        <w:t>）负责培训资料的编写和技术培训；</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val="en-US" w:eastAsia="zh-CN"/>
        </w:rPr>
        <w:t>1</w:t>
      </w:r>
      <w:r>
        <w:rPr>
          <w:rFonts w:hint="eastAsia" w:ascii="宋体" w:cs="宋体"/>
          <w:color w:val="auto"/>
          <w:szCs w:val="21"/>
          <w:highlight w:val="none"/>
        </w:rPr>
        <w:t>）售后及运维服务。</w:t>
      </w:r>
    </w:p>
    <w:p>
      <w:pPr>
        <w:spacing w:line="360" w:lineRule="auto"/>
        <w:ind w:firstLine="449" w:firstLineChars="213"/>
        <w:jc w:val="left"/>
        <w:rPr>
          <w:rFonts w:hint="eastAsia" w:ascii="宋体" w:hAnsi="宋体" w:cs="宋体"/>
          <w:b/>
          <w:bCs/>
          <w:color w:val="auto"/>
          <w:szCs w:val="21"/>
          <w:highlight w:val="none"/>
        </w:rPr>
      </w:pPr>
      <w:r>
        <w:rPr>
          <w:rFonts w:hint="eastAsia" w:ascii="宋体" w:hAnsi="宋体" w:cs="宋体"/>
          <w:b/>
          <w:bCs/>
          <w:color w:val="auto"/>
          <w:szCs w:val="21"/>
          <w:highlight w:val="none"/>
        </w:rPr>
        <w:t>5.项目文档及成果要求</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中标人应按照招标文件所约定的内容和时间进行交付；按照标准分阶段交付应用系统的文档，所交付的文档与文件应该是电子版式及纸质形式。交付的文档及成果包括但不限于以下内容：</w:t>
      </w:r>
    </w:p>
    <w:p>
      <w:pPr>
        <w:pStyle w:val="77"/>
        <w:spacing w:line="360" w:lineRule="auto"/>
        <w:rPr>
          <w:rFonts w:hint="default" w:ascii="宋体" w:eastAsia="宋体" w:cs="宋体"/>
          <w:color w:val="auto"/>
          <w:szCs w:val="21"/>
          <w:highlight w:val="none"/>
          <w:lang w:val="en-US" w:eastAsia="zh-CN"/>
        </w:rPr>
      </w:pPr>
      <w:r>
        <w:rPr>
          <w:rFonts w:hint="eastAsia" w:ascii="宋体" w:cs="宋体"/>
          <w:color w:val="auto"/>
          <w:szCs w:val="21"/>
          <w:highlight w:val="none"/>
        </w:rPr>
        <w:t>（1）</w:t>
      </w:r>
      <w:r>
        <w:rPr>
          <w:rFonts w:hint="eastAsia" w:ascii="宋体" w:cs="宋体"/>
          <w:color w:val="auto"/>
          <w:szCs w:val="21"/>
          <w:highlight w:val="none"/>
          <w:lang w:val="en-US" w:eastAsia="zh-CN"/>
        </w:rPr>
        <w:t>需求配置清单</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（2）需求规格说明书</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w:t>
      </w:r>
      <w:r>
        <w:rPr>
          <w:rFonts w:hint="eastAsia" w:ascii="宋体" w:cs="宋体"/>
          <w:color w:val="auto"/>
          <w:szCs w:val="21"/>
          <w:highlight w:val="none"/>
          <w:lang w:val="en-US" w:eastAsia="zh-CN"/>
        </w:rPr>
        <w:t>3</w:t>
      </w:r>
      <w:r>
        <w:rPr>
          <w:rFonts w:hint="eastAsia" w:ascii="宋体" w:cs="宋体"/>
          <w:color w:val="auto"/>
          <w:szCs w:val="21"/>
          <w:highlight w:val="none"/>
        </w:rPr>
        <w:t>）测试分析报告</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w:t>
      </w:r>
      <w:r>
        <w:rPr>
          <w:rFonts w:hint="eastAsia" w:ascii="宋体" w:cs="宋体"/>
          <w:color w:val="auto"/>
          <w:szCs w:val="21"/>
          <w:highlight w:val="none"/>
          <w:lang w:val="en-US" w:eastAsia="zh-CN"/>
        </w:rPr>
        <w:t>4</w:t>
      </w:r>
      <w:r>
        <w:rPr>
          <w:rFonts w:hint="eastAsia" w:ascii="宋体" w:cs="宋体"/>
          <w:color w:val="auto"/>
          <w:szCs w:val="21"/>
          <w:highlight w:val="none"/>
        </w:rPr>
        <w:t>）用户操作手册</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w:t>
      </w:r>
      <w:r>
        <w:rPr>
          <w:rFonts w:hint="eastAsia" w:ascii="宋体" w:cs="宋体"/>
          <w:color w:val="auto"/>
          <w:szCs w:val="21"/>
          <w:highlight w:val="none"/>
          <w:lang w:val="en-US" w:eastAsia="zh-CN"/>
        </w:rPr>
        <w:t>5</w:t>
      </w:r>
      <w:r>
        <w:rPr>
          <w:rFonts w:hint="eastAsia" w:ascii="宋体" w:cs="宋体"/>
          <w:color w:val="auto"/>
          <w:szCs w:val="21"/>
          <w:highlight w:val="none"/>
        </w:rPr>
        <w:t>）安装手册</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w:t>
      </w:r>
      <w:r>
        <w:rPr>
          <w:rFonts w:hint="eastAsia" w:ascii="宋体" w:cs="宋体"/>
          <w:color w:val="auto"/>
          <w:szCs w:val="21"/>
          <w:highlight w:val="none"/>
          <w:lang w:val="en-US" w:eastAsia="zh-CN"/>
        </w:rPr>
        <w:t>6</w:t>
      </w:r>
      <w:r>
        <w:rPr>
          <w:rFonts w:hint="eastAsia" w:ascii="宋体" w:cs="宋体"/>
          <w:color w:val="auto"/>
          <w:szCs w:val="21"/>
          <w:highlight w:val="none"/>
        </w:rPr>
        <w:t>）项目总结报告</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w:t>
      </w:r>
      <w:r>
        <w:rPr>
          <w:rFonts w:hint="eastAsia" w:ascii="宋体" w:cs="宋体"/>
          <w:color w:val="auto"/>
          <w:szCs w:val="21"/>
          <w:highlight w:val="none"/>
          <w:lang w:val="en-US" w:eastAsia="zh-CN"/>
        </w:rPr>
        <w:t>7</w:t>
      </w:r>
      <w:r>
        <w:rPr>
          <w:rFonts w:hint="eastAsia" w:ascii="宋体" w:cs="宋体"/>
          <w:color w:val="auto"/>
          <w:szCs w:val="21"/>
          <w:highlight w:val="none"/>
        </w:rPr>
        <w:t>）采购人认为需要的其他材料</w:t>
      </w:r>
    </w:p>
    <w:p>
      <w:pPr>
        <w:pStyle w:val="55"/>
        <w:numPr>
          <w:ilvl w:val="0"/>
          <w:numId w:val="0"/>
        </w:numPr>
        <w:ind w:leftChars="0"/>
        <w:rPr>
          <w:rFonts w:hint="eastAsia" w:ascii="宋体" w:eastAsia="宋体" w:cs="宋体"/>
          <w:color w:val="auto"/>
          <w:sz w:val="21"/>
          <w:szCs w:val="21"/>
          <w:highlight w:val="none"/>
        </w:rPr>
      </w:pPr>
      <w:bookmarkStart w:id="104" w:name="_Toc13490"/>
      <w:r>
        <w:rPr>
          <w:rFonts w:hint="eastAsia" w:ascii="宋体" w:eastAsia="宋体" w:cs="宋体"/>
          <w:color w:val="auto"/>
          <w:sz w:val="21"/>
          <w:szCs w:val="21"/>
          <w:highlight w:val="none"/>
          <w:lang w:val="en-US" w:eastAsia="zh-CN"/>
        </w:rPr>
        <w:t>1.6</w:t>
      </w:r>
      <w:r>
        <w:rPr>
          <w:rFonts w:hint="eastAsia" w:ascii="宋体" w:eastAsia="宋体" w:cs="宋体"/>
          <w:color w:val="auto"/>
          <w:sz w:val="21"/>
          <w:szCs w:val="21"/>
          <w:highlight w:val="none"/>
        </w:rPr>
        <w:t>培训要求</w:t>
      </w:r>
      <w:bookmarkEnd w:id="104"/>
    </w:p>
    <w:p>
      <w:pPr>
        <w:pStyle w:val="77"/>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1、为确保本项目得以顺利实施、正常运行和使用，供应商必须为采购人提供</w:t>
      </w:r>
      <w:r>
        <w:rPr>
          <w:rFonts w:hint="eastAsia" w:ascii="宋体" w:hAnsi="宋体" w:eastAsia="宋体" w:cs="宋体"/>
          <w:color w:val="auto"/>
          <w:szCs w:val="21"/>
          <w:highlight w:val="none"/>
          <w:lang w:val="en-US" w:eastAsia="zh-CN"/>
        </w:rPr>
        <w:t>IV类2项，相关的产品使用培训</w:t>
      </w:r>
      <w:r>
        <w:rPr>
          <w:rFonts w:hint="eastAsia" w:ascii="宋体" w:hAnsi="宋体" w:eastAsia="宋体" w:cs="宋体"/>
          <w:color w:val="auto"/>
          <w:szCs w:val="21"/>
          <w:highlight w:val="none"/>
        </w:rPr>
        <w:t>，培训规模按用户实际需求为准，培训形式包括客户现场培训、课堂培训，供应商必须列明相应的培训课程。</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2、供应商应在投标文件中提供详细的培训计划，包括培训项目、人数、地点、日程、资料、其它等详细内容，为所有被培训人员提供培训用文字资料和讲义等相关用品。</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3、技术培训的内容必须包含软件的日常操作和管理维护，以及基本的故障诊断与排错。供应商培训人员必须是公司的资深工程师。</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4、培训工作必须在合同生效之后系统试运行之前安排。</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5、所有培训费用（含培训教材费），已包括在投标总价中。</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6、实际培训时间、人数和地点按供应商与项目采购人商定的为准。</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7、培训所使用的语言和教材必须是中文，否则供应商必须提供相应的翻译。供应商必须提供培训所需要的技术支持。</w:t>
      </w:r>
    </w:p>
    <w:p>
      <w:pPr>
        <w:pStyle w:val="55"/>
        <w:numPr>
          <w:ilvl w:val="0"/>
          <w:numId w:val="0"/>
        </w:numPr>
        <w:ind w:leftChars="0"/>
        <w:rPr>
          <w:rFonts w:hint="eastAsia" w:ascii="宋体" w:eastAsia="宋体" w:cs="宋体"/>
          <w:color w:val="auto"/>
          <w:sz w:val="21"/>
          <w:szCs w:val="21"/>
          <w:highlight w:val="none"/>
        </w:rPr>
      </w:pPr>
      <w:bookmarkStart w:id="105" w:name="_Toc19516"/>
      <w:r>
        <w:rPr>
          <w:rFonts w:hint="eastAsia" w:ascii="宋体" w:eastAsia="宋体" w:cs="宋体"/>
          <w:color w:val="auto"/>
          <w:sz w:val="21"/>
          <w:szCs w:val="21"/>
          <w:highlight w:val="none"/>
          <w:lang w:val="en-US" w:eastAsia="zh-CN"/>
        </w:rPr>
        <w:t>1.7</w:t>
      </w:r>
      <w:r>
        <w:rPr>
          <w:rFonts w:hint="eastAsia" w:ascii="宋体" w:eastAsia="宋体" w:cs="宋体"/>
          <w:color w:val="auto"/>
          <w:sz w:val="21"/>
          <w:szCs w:val="21"/>
          <w:highlight w:val="none"/>
        </w:rPr>
        <w:t>验收要求</w:t>
      </w:r>
      <w:bookmarkEnd w:id="105"/>
    </w:p>
    <w:p>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1、本项目验收分为初验、终验两个阶段。</w:t>
      </w:r>
    </w:p>
    <w:p>
      <w:pPr>
        <w:pStyle w:val="53"/>
        <w:ind w:firstLine="42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2、在项目内容</w:t>
      </w:r>
      <w:r>
        <w:rPr>
          <w:rFonts w:hint="eastAsia" w:ascii="宋体" w:hAnsi="宋体" w:eastAsia="宋体" w:cs="宋体"/>
          <w:color w:val="auto"/>
          <w:szCs w:val="21"/>
          <w:highlight w:val="none"/>
        </w:rPr>
        <w:t>安装调试、</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测试通过</w:t>
      </w:r>
      <w:r>
        <w:rPr>
          <w:rFonts w:hint="eastAsia" w:ascii="宋体" w:hAnsi="宋体" w:cs="宋体"/>
          <w:color w:val="auto"/>
          <w:szCs w:val="21"/>
          <w:highlight w:val="none"/>
        </w:rPr>
        <w:t>之后</w:t>
      </w:r>
      <w:r>
        <w:rPr>
          <w:rFonts w:hint="eastAsia" w:ascii="宋体" w:hAnsi="宋体" w:cs="宋体"/>
          <w:color w:val="auto"/>
          <w:sz w:val="21"/>
          <w:szCs w:val="21"/>
          <w:highlight w:val="none"/>
        </w:rPr>
        <w:t>，符合项目目标并满足使用要求后，</w:t>
      </w:r>
      <w:r>
        <w:rPr>
          <w:rFonts w:hint="eastAsia" w:ascii="宋体" w:hAnsi="宋体" w:cs="宋体"/>
          <w:color w:val="auto"/>
          <w:sz w:val="21"/>
          <w:szCs w:val="21"/>
          <w:highlight w:val="none"/>
          <w:lang w:val="en-US" w:eastAsia="zh-CN"/>
        </w:rPr>
        <w:t>经采购人确认进入试运营。</w:t>
      </w:r>
    </w:p>
    <w:p>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项目进入试运行，试运行不少于三个月。中标人需制定试运行方案，准备试运行环境，培训用户，提供技术支持并跟踪系统试运行情况。重点验证建设内容的稳定性和可用性，记录出现的各项问题及时整改，并形成试运行记录和报告。试运行结束后，采购人出具试运行评价意见。试运行未通过的，中标人应根据试运行评价意见整改。</w:t>
      </w:r>
    </w:p>
    <w:p>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4、在合同约定的所有内容完成建设实施，通过</w:t>
      </w:r>
      <w:r>
        <w:rPr>
          <w:rFonts w:hint="eastAsia" w:ascii="宋体" w:hAnsi="宋体" w:eastAsia="宋体" w:cs="宋体"/>
          <w:color w:val="auto"/>
          <w:szCs w:val="21"/>
          <w:highlight w:val="none"/>
        </w:rPr>
        <w:t>安装调试、</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测试</w:t>
      </w:r>
      <w:r>
        <w:rPr>
          <w:rFonts w:hint="eastAsia" w:ascii="宋体" w:hAnsi="宋体" w:cs="宋体"/>
          <w:color w:val="auto"/>
          <w:sz w:val="21"/>
          <w:szCs w:val="21"/>
          <w:highlight w:val="none"/>
        </w:rPr>
        <w:t>且完成试运行，并准备好完整的项目建设资料和技术文档后，中标人向采购人提交终验申请和相关资料，采购人</w:t>
      </w:r>
      <w:r>
        <w:rPr>
          <w:rFonts w:hint="eastAsia" w:ascii="宋体" w:hAnsi="宋体" w:cs="宋体"/>
          <w:color w:val="auto"/>
          <w:sz w:val="21"/>
          <w:szCs w:val="21"/>
          <w:highlight w:val="none"/>
          <w:lang w:val="en-US" w:eastAsia="zh-CN"/>
        </w:rPr>
        <w:t>对</w:t>
      </w:r>
      <w:r>
        <w:rPr>
          <w:rFonts w:hint="eastAsia" w:ascii="宋体" w:hAnsi="宋体" w:cs="宋体"/>
          <w:color w:val="auto"/>
          <w:sz w:val="21"/>
          <w:szCs w:val="21"/>
          <w:highlight w:val="none"/>
        </w:rPr>
        <w:t>进行项目终验。终验将对项目实施情况、投资情况、合同履行情况、进度情况、质量状况进行检查，并对项目建设成果进行功能性抽查和试验，对实施过程进行评价，形成终验意见。终验未通过的，中标人应在1个月内完成整改工作并再次提出终验申请。</w:t>
      </w:r>
    </w:p>
    <w:p>
      <w:pPr>
        <w:pStyle w:val="53"/>
        <w:ind w:firstLine="420"/>
        <w:rPr>
          <w:rFonts w:hint="eastAsia" w:ascii="宋体" w:hAnsi="宋体" w:cs="宋体"/>
          <w:b/>
          <w:bCs/>
          <w:color w:val="auto"/>
          <w:sz w:val="21"/>
          <w:szCs w:val="21"/>
          <w:highlight w:val="none"/>
        </w:rPr>
      </w:pPr>
      <w:r>
        <w:rPr>
          <w:rFonts w:hint="eastAsia" w:ascii="宋体" w:hAnsi="宋体" w:cs="宋体"/>
          <w:color w:val="auto"/>
          <w:sz w:val="21"/>
          <w:szCs w:val="21"/>
          <w:highlight w:val="none"/>
        </w:rPr>
        <w:t>5、项目通过终验后，即进入质保及运维服务期，本项目</w:t>
      </w:r>
      <w:r>
        <w:rPr>
          <w:rFonts w:hint="eastAsia" w:ascii="宋体" w:hAnsi="宋体" w:cs="宋体"/>
          <w:color w:val="auto"/>
          <w:sz w:val="21"/>
          <w:szCs w:val="21"/>
          <w:highlight w:val="none"/>
          <w:lang w:eastAsia="zh-CN"/>
        </w:rPr>
        <w:t>质保需符合国家及相关行业标准，</w:t>
      </w:r>
      <w:r>
        <w:rPr>
          <w:rFonts w:hint="eastAsia" w:ascii="宋体" w:hAnsi="宋体" w:cs="宋体"/>
          <w:color w:val="auto"/>
          <w:sz w:val="21"/>
          <w:szCs w:val="21"/>
          <w:highlight w:val="none"/>
        </w:rPr>
        <w:t>运维服务周期不少于三年。</w:t>
      </w:r>
    </w:p>
    <w:p>
      <w:pPr>
        <w:pStyle w:val="55"/>
        <w:numPr>
          <w:ilvl w:val="0"/>
          <w:numId w:val="0"/>
        </w:numPr>
        <w:ind w:leftChars="0"/>
        <w:rPr>
          <w:rFonts w:hint="eastAsia" w:ascii="宋体" w:eastAsia="宋体" w:cs="宋体"/>
          <w:color w:val="auto"/>
          <w:sz w:val="21"/>
          <w:szCs w:val="21"/>
          <w:highlight w:val="none"/>
        </w:rPr>
      </w:pPr>
      <w:bookmarkStart w:id="106" w:name="_Toc26537"/>
      <w:r>
        <w:rPr>
          <w:rFonts w:hint="eastAsia" w:ascii="宋体" w:eastAsia="宋体" w:cs="宋体"/>
          <w:color w:val="auto"/>
          <w:sz w:val="21"/>
          <w:szCs w:val="21"/>
          <w:highlight w:val="none"/>
          <w:lang w:val="en-US" w:eastAsia="zh-CN"/>
        </w:rPr>
        <w:t>1.8</w:t>
      </w:r>
      <w:r>
        <w:rPr>
          <w:rFonts w:hint="eastAsia" w:ascii="宋体" w:eastAsia="宋体" w:cs="宋体"/>
          <w:color w:val="auto"/>
          <w:sz w:val="21"/>
          <w:szCs w:val="21"/>
          <w:highlight w:val="none"/>
        </w:rPr>
        <w:t>售后服务要求</w:t>
      </w:r>
      <w:bookmarkEnd w:id="106"/>
    </w:p>
    <w:p>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1、本项目所有内容的免费</w:t>
      </w:r>
      <w:r>
        <w:rPr>
          <w:rFonts w:hint="eastAsia" w:ascii="宋体" w:hAnsi="宋体" w:cs="宋体"/>
          <w:color w:val="auto"/>
          <w:sz w:val="21"/>
          <w:szCs w:val="21"/>
          <w:highlight w:val="none"/>
          <w:lang w:eastAsia="zh-CN"/>
        </w:rPr>
        <w:t>质保需符合国家及相关行业标准</w:t>
      </w:r>
      <w:r>
        <w:rPr>
          <w:rFonts w:hint="eastAsia" w:ascii="宋体" w:hAnsi="宋体" w:cs="宋体"/>
          <w:color w:val="auto"/>
          <w:sz w:val="21"/>
          <w:szCs w:val="21"/>
          <w:highlight w:val="none"/>
        </w:rPr>
        <w:t>，免费质保及运维服务时间从项目通过</w:t>
      </w:r>
      <w:r>
        <w:rPr>
          <w:rFonts w:hint="eastAsia" w:ascii="宋体" w:hAnsi="宋体" w:cs="宋体"/>
          <w:color w:val="auto"/>
          <w:sz w:val="21"/>
          <w:szCs w:val="21"/>
          <w:highlight w:val="none"/>
          <w:lang w:val="en-US" w:eastAsia="zh-CN"/>
        </w:rPr>
        <w:t>试运营期</w:t>
      </w:r>
      <w:r>
        <w:rPr>
          <w:rFonts w:hint="eastAsia" w:ascii="宋体" w:hAnsi="宋体" w:cs="宋体"/>
          <w:color w:val="auto"/>
          <w:sz w:val="21"/>
          <w:szCs w:val="21"/>
          <w:highlight w:val="none"/>
        </w:rPr>
        <w:t>并正式投入运行开始计算。</w:t>
      </w:r>
    </w:p>
    <w:p>
      <w:pPr>
        <w:pStyle w:val="53"/>
        <w:ind w:firstLine="420"/>
        <w:rPr>
          <w:rFonts w:hint="eastAsia" w:ascii="宋体" w:hAnsi="宋体" w:cs="宋体"/>
          <w:color w:val="auto"/>
          <w:sz w:val="21"/>
          <w:szCs w:val="21"/>
          <w:highlight w:val="none"/>
        </w:rPr>
      </w:pPr>
      <w:r>
        <w:rPr>
          <w:rFonts w:hint="eastAsia" w:ascii="宋体" w:hAnsi="宋体" w:cs="宋体"/>
          <w:bCs/>
          <w:color w:val="auto"/>
          <w:sz w:val="21"/>
          <w:szCs w:val="21"/>
          <w:highlight w:val="none"/>
        </w:rPr>
        <w:t>2、供应商应及时处理本项目的售后技术维护服务，应包括电话、电子邮箱、现场技术支持、定期检查等维护服务方式。</w:t>
      </w:r>
    </w:p>
    <w:p>
      <w:pPr>
        <w:pStyle w:val="53"/>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、供应商应承诺在免费质保及运维服务时间内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在I类和II类产品</w:t>
      </w:r>
      <w:r>
        <w:rPr>
          <w:rFonts w:hint="eastAsia" w:ascii="宋体" w:hAnsi="宋体" w:eastAsia="宋体" w:cs="宋体"/>
          <w:bCs/>
          <w:color w:val="auto"/>
          <w:sz w:val="21"/>
          <w:szCs w:val="21"/>
          <w:highlight w:val="none"/>
        </w:rPr>
        <w:t>接买方故障通知后，</w:t>
      </w:r>
      <w:r>
        <w:rPr>
          <w:rFonts w:hint="eastAsia" w:ascii="宋体" w:hAnsi="宋体" w:eastAsia="宋体" w:cs="宋体"/>
          <w:bCs/>
          <w:color w:val="auto"/>
          <w:sz w:val="21"/>
          <w:szCs w:val="21"/>
          <w:highlight w:val="none"/>
          <w:lang w:eastAsia="zh-CN"/>
        </w:rPr>
        <w:t>供应</w:t>
      </w:r>
      <w:r>
        <w:rPr>
          <w:rFonts w:hint="eastAsia" w:ascii="宋体" w:hAnsi="宋体" w:eastAsia="宋体" w:cs="宋体"/>
          <w:bCs/>
          <w:color w:val="auto"/>
          <w:sz w:val="21"/>
          <w:szCs w:val="21"/>
          <w:highlight w:val="none"/>
        </w:rPr>
        <w:t>商技术工程师应在2小时之内到达现场，进行故障排除工作。一般性故障保证在4小时内修复。对于影响系统正常运行的严重故障（包括由系统软硬件等原因引起的），</w:t>
      </w:r>
      <w:r>
        <w:rPr>
          <w:rFonts w:hint="eastAsia" w:ascii="宋体" w:hAnsi="宋体" w:eastAsia="宋体" w:cs="宋体"/>
          <w:bCs/>
          <w:color w:val="auto"/>
          <w:sz w:val="21"/>
          <w:szCs w:val="21"/>
          <w:highlight w:val="none"/>
          <w:lang w:eastAsia="zh-CN"/>
        </w:rPr>
        <w:t>供应</w:t>
      </w:r>
      <w:r>
        <w:rPr>
          <w:rFonts w:hint="eastAsia" w:ascii="宋体" w:hAnsi="宋体" w:eastAsia="宋体" w:cs="宋体"/>
          <w:bCs/>
          <w:color w:val="auto"/>
          <w:sz w:val="21"/>
          <w:szCs w:val="21"/>
          <w:highlight w:val="none"/>
        </w:rPr>
        <w:t>商技术工程师在2小时内到达现场，查找原因，提出解决方案，并工作直至故障修妥完全恢复正常服务为止。若12小时内无法修复故障，则提供应急方案。</w:t>
      </w:r>
    </w:p>
    <w:p>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、供应商需在投标书中明确承诺，由各原厂商提供相应的投标产品的安装、调试、维修服务。</w:t>
      </w:r>
    </w:p>
    <w:p>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、在免费质保及运维期内，其中软件部分应</w:t>
      </w:r>
      <w:r>
        <w:rPr>
          <w:rFonts w:hint="eastAsia" w:ascii="宋体" w:hAnsi="宋体" w:cs="宋体"/>
          <w:bCs/>
          <w:color w:val="auto"/>
          <w:sz w:val="21"/>
          <w:szCs w:val="21"/>
          <w:highlight w:val="none"/>
        </w:rPr>
        <w:t>提供</w:t>
      </w:r>
      <w:r>
        <w:rPr>
          <w:rFonts w:hint="eastAsia" w:ascii="宋体" w:hAnsi="宋体" w:cs="宋体"/>
          <w:color w:val="auto"/>
          <w:sz w:val="21"/>
          <w:szCs w:val="21"/>
          <w:highlight w:val="none"/>
        </w:rPr>
        <w:t>免费升级、维护和错误修改支持，系统及其任何组成部分本身的</w:t>
      </w:r>
      <w:r>
        <w:rPr>
          <w:rFonts w:hint="eastAsia" w:ascii="宋体" w:hAnsi="宋体" w:cs="宋体"/>
          <w:bCs/>
          <w:color w:val="auto"/>
          <w:sz w:val="21"/>
          <w:szCs w:val="21"/>
          <w:highlight w:val="none"/>
        </w:rPr>
        <w:t>质量问题，无论是否在免费维护期内，项目供应商必须免费解决；硬件部分</w:t>
      </w:r>
      <w:r>
        <w:rPr>
          <w:rFonts w:hint="eastAsia" w:ascii="宋体" w:hAnsi="宋体" w:cs="宋体"/>
          <w:color w:val="auto"/>
          <w:sz w:val="21"/>
          <w:szCs w:val="21"/>
          <w:highlight w:val="none"/>
        </w:rPr>
        <w:t>非人为因素出现的质量问题，须按国家有关规定和要求（如无国家规定和要求的，按承诺和厂方“三包”规定）立即进行免费维修、免费更换有缺陷的零部件、直至免费更换新货物。在出现损坏时，要求备品、备件应在12小时之内到达，更换设备的时间最长一般不超过一天，特殊情况不超过三天，并需要提供确保承诺实现的措施。因货物本身问题在48小时之内仍不能排除的故障，应提供与原货物相同或不低于原货物性能的备用货物，如因修理货物或更换部件，而非人为因素出现故障而造成短期停用时，则保修期和免费维修期相应顺延。如停用时间累计超过20天，则货物保修期重新计算。</w:t>
      </w:r>
    </w:p>
    <w:p>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、在质量保修期内，须由原厂商的工程师每年进行一次全面检查，任何缺陷必须由供应商负责修理，在修理之后，供应商应将缺陷原因、修理内容、完成修理及恢复正常的时间和日期等报告给采购人。</w:t>
      </w:r>
    </w:p>
    <w:p>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供应商须作出无推诿承诺。即供应商应提供特殊措施，无论由于哪一方产生的问题而使系统发生不正常情况时，在得到采购人或用户方通知后，须立即派工程师到场，全力协助用户和其他供应商，使系统尽快恢复正常。</w:t>
      </w:r>
    </w:p>
    <w:p>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、以上所有售后服务的相关费用均需计入投标总价。</w:t>
      </w:r>
    </w:p>
    <w:p>
      <w:pPr>
        <w:pStyle w:val="55"/>
        <w:numPr>
          <w:ilvl w:val="0"/>
          <w:numId w:val="0"/>
        </w:numPr>
        <w:ind w:leftChars="0"/>
        <w:rPr>
          <w:rFonts w:hint="eastAsia" w:ascii="宋体" w:eastAsia="宋体" w:cs="宋体"/>
          <w:color w:val="auto"/>
          <w:sz w:val="21"/>
          <w:szCs w:val="21"/>
          <w:highlight w:val="none"/>
        </w:rPr>
      </w:pPr>
      <w:bookmarkStart w:id="107" w:name="_Toc26678"/>
      <w:r>
        <w:rPr>
          <w:rFonts w:hint="eastAsia" w:ascii="宋体" w:eastAsia="宋体" w:cs="宋体"/>
          <w:color w:val="auto"/>
          <w:sz w:val="21"/>
          <w:szCs w:val="21"/>
          <w:highlight w:val="none"/>
          <w:lang w:val="en-US" w:eastAsia="zh-CN"/>
        </w:rPr>
        <w:t>1.9</w:t>
      </w:r>
      <w:r>
        <w:rPr>
          <w:rFonts w:hint="eastAsia" w:ascii="宋体" w:eastAsia="宋体" w:cs="宋体"/>
          <w:color w:val="auto"/>
          <w:sz w:val="21"/>
          <w:szCs w:val="21"/>
          <w:highlight w:val="none"/>
        </w:rPr>
        <w:t>商务要求</w:t>
      </w:r>
      <w:bookmarkEnd w:id="107"/>
    </w:p>
    <w:tbl>
      <w:tblPr>
        <w:tblStyle w:val="33"/>
        <w:tblW w:w="0" w:type="auto"/>
        <w:tblInd w:w="0" w:type="dxa"/>
        <w:tblLayout w:type="fixed"/>
        <w:tblCellMar>
          <w:top w:w="0" w:type="dxa"/>
          <w:left w:w="108" w:type="dxa"/>
          <w:bottom w:w="0" w:type="dxa"/>
          <w:right w:w="108" w:type="dxa"/>
        </w:tblCellMar>
      </w:tblPr>
      <w:tblGrid>
        <w:gridCol w:w="1761"/>
        <w:gridCol w:w="7599"/>
      </w:tblGrid>
      <w:tr>
        <w:tblPrEx>
          <w:tblCellMar>
            <w:top w:w="0" w:type="dxa"/>
            <w:left w:w="108" w:type="dxa"/>
            <w:bottom w:w="0" w:type="dxa"/>
            <w:right w:w="108" w:type="dxa"/>
          </w:tblCellMar>
        </w:tblPrEx>
        <w:trPr>
          <w:trHeight w:val="510" w:hRule="atLeast"/>
        </w:trPr>
        <w:tc>
          <w:tcPr>
            <w:tcW w:w="17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项目</w:t>
            </w:r>
          </w:p>
        </w:tc>
        <w:tc>
          <w:tcPr>
            <w:tcW w:w="75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要 求</w:t>
            </w:r>
          </w:p>
        </w:tc>
      </w:tr>
      <w:tr>
        <w:tblPrEx>
          <w:tblCellMar>
            <w:top w:w="0" w:type="dxa"/>
            <w:left w:w="108" w:type="dxa"/>
            <w:bottom w:w="0" w:type="dxa"/>
            <w:right w:w="108" w:type="dxa"/>
          </w:tblCellMar>
        </w:tblPrEx>
        <w:trPr>
          <w:trHeight w:val="510" w:hRule="atLeast"/>
        </w:trPr>
        <w:tc>
          <w:tcPr>
            <w:tcW w:w="17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签订合同时间</w:t>
            </w:r>
          </w:p>
        </w:tc>
        <w:tc>
          <w:tcPr>
            <w:tcW w:w="75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中标通知书发出之日起30日内签订合同，具体签约时间以采购人通知为准。</w:t>
            </w:r>
          </w:p>
        </w:tc>
      </w:tr>
      <w:tr>
        <w:tblPrEx>
          <w:tblCellMar>
            <w:top w:w="0" w:type="dxa"/>
            <w:left w:w="108" w:type="dxa"/>
            <w:bottom w:w="0" w:type="dxa"/>
            <w:right w:w="108" w:type="dxa"/>
          </w:tblCellMar>
        </w:tblPrEx>
        <w:trPr>
          <w:trHeight w:val="510" w:hRule="atLeast"/>
        </w:trPr>
        <w:tc>
          <w:tcPr>
            <w:tcW w:w="17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系统质保期</w:t>
            </w:r>
          </w:p>
        </w:tc>
        <w:tc>
          <w:tcPr>
            <w:tcW w:w="75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 w:val="21"/>
                <w:szCs w:val="21"/>
                <w:highlight w:val="none"/>
                <w:lang w:eastAsia="zh-CN"/>
              </w:rPr>
              <w:t>符合国家及相关行业标准</w:t>
            </w:r>
            <w:r>
              <w:rPr>
                <w:rFonts w:hint="eastAsia" w:ascii="宋体" w:hAnsi="宋体" w:cs="宋体"/>
                <w:color w:val="auto"/>
                <w:szCs w:val="21"/>
                <w:highlight w:val="none"/>
              </w:rPr>
              <w:t>；</w:t>
            </w:r>
          </w:p>
        </w:tc>
      </w:tr>
      <w:tr>
        <w:tblPrEx>
          <w:tblCellMar>
            <w:top w:w="0" w:type="dxa"/>
            <w:left w:w="108" w:type="dxa"/>
            <w:bottom w:w="0" w:type="dxa"/>
            <w:right w:w="108" w:type="dxa"/>
          </w:tblCellMar>
        </w:tblPrEx>
        <w:trPr>
          <w:trHeight w:val="510" w:hRule="atLeast"/>
        </w:trPr>
        <w:tc>
          <w:tcPr>
            <w:tcW w:w="17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工期要求</w:t>
            </w:r>
          </w:p>
        </w:tc>
        <w:tc>
          <w:tcPr>
            <w:tcW w:w="75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47" w:firstLineChars="213"/>
              <w:rPr>
                <w:rFonts w:hint="eastAsia" w:ascii="宋体" w:hAnsi="宋体" w:cs="宋体"/>
                <w:color w:val="auto"/>
                <w:szCs w:val="21"/>
                <w:highlight w:val="none"/>
              </w:rPr>
            </w:pPr>
            <w:r>
              <w:rPr>
                <w:rFonts w:hint="eastAsia" w:ascii="宋体" w:hAnsi="宋体" w:cs="宋体"/>
                <w:color w:val="auto"/>
                <w:szCs w:val="21"/>
                <w:highlight w:val="none"/>
              </w:rPr>
              <w:t>本项目周期为</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个月（含试运行时</w:t>
            </w:r>
            <w:r>
              <w:rPr>
                <w:rFonts w:hint="eastAsia" w:ascii="宋体" w:hAnsi="宋体" w:eastAsia="宋体" w:cs="宋体"/>
                <w:bCs/>
                <w:color w:val="auto"/>
                <w:szCs w:val="21"/>
                <w:highlight w:val="none"/>
              </w:rPr>
              <w:t>间）：自合同签订之日起至</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个月内完成安装调试、</w:t>
            </w:r>
            <w:r>
              <w:rPr>
                <w:rFonts w:hint="eastAsia" w:ascii="宋体" w:hAnsi="宋体" w:eastAsia="宋体" w:cs="宋体"/>
                <w:bCs/>
                <w:color w:val="auto"/>
                <w:szCs w:val="21"/>
                <w:highlight w:val="none"/>
                <w:lang w:eastAsia="zh-CN"/>
              </w:rPr>
              <w:t>整体</w:t>
            </w:r>
            <w:r>
              <w:rPr>
                <w:rFonts w:hint="eastAsia" w:ascii="宋体" w:hAnsi="宋体" w:eastAsia="宋体" w:cs="宋体"/>
                <w:bCs/>
                <w:color w:val="auto"/>
                <w:szCs w:val="21"/>
                <w:highlight w:val="none"/>
              </w:rPr>
              <w:t>测试，协助</w:t>
            </w:r>
            <w:r>
              <w:rPr>
                <w:rFonts w:hint="eastAsia" w:ascii="宋体" w:hAnsi="宋体" w:eastAsia="宋体" w:cs="宋体"/>
                <w:bCs/>
                <w:color w:val="auto"/>
                <w:szCs w:val="21"/>
                <w:highlight w:val="none"/>
                <w:lang w:eastAsia="zh-CN"/>
              </w:rPr>
              <w:t>用户</w:t>
            </w:r>
            <w:r>
              <w:rPr>
                <w:rFonts w:hint="eastAsia" w:ascii="宋体" w:hAnsi="宋体" w:eastAsia="宋体" w:cs="宋体"/>
                <w:bCs/>
                <w:color w:val="auto"/>
                <w:szCs w:val="21"/>
                <w:highlight w:val="none"/>
              </w:rPr>
              <w:t>备份及拷贝数据等工作，经初验合格后上线试运行，试运</w:t>
            </w:r>
            <w:r>
              <w:rPr>
                <w:rFonts w:hint="eastAsia" w:ascii="宋体" w:hAnsi="宋体" w:cs="宋体"/>
                <w:color w:val="auto"/>
                <w:szCs w:val="21"/>
                <w:highlight w:val="none"/>
              </w:rPr>
              <w:t>行时间不少于3个月。</w:t>
            </w:r>
          </w:p>
        </w:tc>
      </w:tr>
      <w:tr>
        <w:tblPrEx>
          <w:tblCellMar>
            <w:top w:w="0" w:type="dxa"/>
            <w:left w:w="108" w:type="dxa"/>
            <w:bottom w:w="0" w:type="dxa"/>
            <w:right w:w="108" w:type="dxa"/>
          </w:tblCellMar>
        </w:tblPrEx>
        <w:trPr>
          <w:trHeight w:val="398" w:hRule="atLeast"/>
        </w:trPr>
        <w:tc>
          <w:tcPr>
            <w:tcW w:w="17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款项支付条件及方式</w:t>
            </w:r>
          </w:p>
        </w:tc>
        <w:tc>
          <w:tcPr>
            <w:tcW w:w="75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第一期</w:t>
            </w:r>
            <w:r>
              <w:rPr>
                <w:rFonts w:hint="eastAsia" w:ascii="宋体" w:hAnsi="宋体" w:cs="宋体"/>
                <w:color w:val="auto"/>
                <w:szCs w:val="21"/>
                <w:highlight w:val="none"/>
              </w:rPr>
              <w:t>：合同签订后支付合同总价的30%。</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第二期</w:t>
            </w:r>
            <w:r>
              <w:rPr>
                <w:rFonts w:hint="eastAsia" w:ascii="宋体" w:hAnsi="宋体" w:cs="宋体"/>
                <w:color w:val="auto"/>
                <w:szCs w:val="21"/>
                <w:highlight w:val="none"/>
              </w:rPr>
              <w:t>：硬件及软件购置内容在软硬件主要产品到货签收后，支付对应合同价款的40%。</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第三期</w:t>
            </w:r>
            <w:r>
              <w:rPr>
                <w:rFonts w:hint="eastAsia" w:ascii="宋体" w:hAnsi="宋体" w:eastAsia="宋体" w:cs="宋体"/>
                <w:color w:val="auto"/>
                <w:szCs w:val="21"/>
                <w:highlight w:val="none"/>
              </w:rPr>
              <w:t>：安装调试、</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测试通过</w:t>
            </w:r>
            <w:r>
              <w:rPr>
                <w:rFonts w:hint="eastAsia" w:ascii="宋体" w:hAnsi="宋体" w:cs="宋体"/>
                <w:color w:val="auto"/>
                <w:szCs w:val="21"/>
                <w:highlight w:val="none"/>
              </w:rPr>
              <w:t>之后支付至合同总价的85%。</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第四期</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试运行通过后，</w:t>
            </w:r>
            <w:r>
              <w:rPr>
                <w:rFonts w:hint="eastAsia" w:ascii="宋体" w:hAnsi="宋体" w:cs="宋体"/>
                <w:color w:val="auto"/>
                <w:szCs w:val="21"/>
                <w:highlight w:val="none"/>
              </w:rPr>
              <w:t>支付至审计金额的100%。</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注：每次支付前中标人必须开具相应金额的正式发票并提交给采购人,采购人收到发票后15日内支付。</w:t>
            </w:r>
          </w:p>
        </w:tc>
      </w:tr>
      <w:tr>
        <w:tblPrEx>
          <w:tblCellMar>
            <w:top w:w="0" w:type="dxa"/>
            <w:left w:w="108" w:type="dxa"/>
            <w:bottom w:w="0" w:type="dxa"/>
            <w:right w:w="108" w:type="dxa"/>
          </w:tblCellMar>
        </w:tblPrEx>
        <w:trPr>
          <w:trHeight w:val="510" w:hRule="atLeast"/>
        </w:trPr>
        <w:tc>
          <w:tcPr>
            <w:tcW w:w="17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履约担保</w:t>
            </w:r>
          </w:p>
        </w:tc>
        <w:tc>
          <w:tcPr>
            <w:tcW w:w="75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履约担保金额：合同总价的5%。</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履约担保提交时间：合同签订后5日历天内向采购人提供银行保函或保险保函。</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履约担保期限：自保函开立之日起生效，有效期至项目结束后30天止。</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履约担保形式：银行或保险公司出具的保函。</w:t>
            </w:r>
          </w:p>
        </w:tc>
      </w:tr>
      <w:tr>
        <w:tblPrEx>
          <w:tblCellMar>
            <w:top w:w="0" w:type="dxa"/>
            <w:left w:w="108" w:type="dxa"/>
            <w:bottom w:w="0" w:type="dxa"/>
            <w:right w:w="108" w:type="dxa"/>
          </w:tblCellMar>
        </w:tblPrEx>
        <w:trPr>
          <w:trHeight w:val="510" w:hRule="atLeast"/>
        </w:trPr>
        <w:tc>
          <w:tcPr>
            <w:tcW w:w="17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质量标准</w:t>
            </w:r>
          </w:p>
        </w:tc>
        <w:tc>
          <w:tcPr>
            <w:tcW w:w="75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产品质量必须执行国家相关标准、行业标准、地方标准或者其它标准、规范，按照就高原则执行。</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依据为国家有关规定、采购文件、中标人的投标文件以及其他相关文件和资料。</w:t>
            </w:r>
          </w:p>
        </w:tc>
      </w:tr>
      <w:tr>
        <w:tblPrEx>
          <w:tblCellMar>
            <w:top w:w="0" w:type="dxa"/>
            <w:left w:w="108" w:type="dxa"/>
            <w:bottom w:w="0" w:type="dxa"/>
            <w:right w:w="108" w:type="dxa"/>
          </w:tblCellMar>
        </w:tblPrEx>
        <w:trPr>
          <w:trHeight w:val="510" w:hRule="atLeast"/>
        </w:trPr>
        <w:tc>
          <w:tcPr>
            <w:tcW w:w="1761"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验收标准</w:t>
            </w:r>
          </w:p>
        </w:tc>
        <w:tc>
          <w:tcPr>
            <w:tcW w:w="7599"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1、根据中华人民共和国现行技术标准，按招标文件以及合同规定的验收评定标准等规范，由用户组织验收。</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2、用户对软硬件验收合格后，双方共同签署验收意见，验收中发现软硬件达不到验收标准或合同规定的性能指标，中标人必须免费更换，并且赔偿由此给用户造成的损失，直到验收合格为止。</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项目验收合格后的验收报告(验收报告格式自拟)采购人按规定备案存查。</w:t>
            </w:r>
          </w:p>
        </w:tc>
      </w:tr>
      <w:tr>
        <w:tblPrEx>
          <w:tblCellMar>
            <w:top w:w="0" w:type="dxa"/>
            <w:left w:w="108" w:type="dxa"/>
            <w:bottom w:w="0" w:type="dxa"/>
            <w:right w:w="108" w:type="dxa"/>
          </w:tblCellMar>
        </w:tblPrEx>
        <w:trPr>
          <w:trHeight w:val="841" w:hRule="atLeast"/>
        </w:trPr>
        <w:tc>
          <w:tcPr>
            <w:tcW w:w="1761"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技术培训</w:t>
            </w:r>
          </w:p>
        </w:tc>
        <w:tc>
          <w:tcPr>
            <w:tcW w:w="7599" w:type="dxa"/>
            <w:tcBorders>
              <w:top w:val="single" w:color="000000" w:sz="4" w:space="0"/>
              <w:left w:val="single" w:color="000000" w:sz="4" w:space="0"/>
              <w:bottom w:val="single" w:color="auto" w:sz="4" w:space="0"/>
              <w:right w:val="single" w:color="000000" w:sz="4" w:space="0"/>
            </w:tcBorders>
            <w:noWrap w:val="0"/>
            <w:vAlign w:val="top"/>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为确保本项目得以顺利实施、正常运行和使用，供应商必须为采购人提供系统使用、系统操作和管理维护培训，培训规模按用户实际需求为准，培训形式包括客户现场培训、课堂培训，供应商必须列明相应的培训课程。</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2、供应商应在投标文件中提供详细的培训计划，包括培训项目、人数、地点、日程、资料、其它等详细内容，为所有被培训人员提供培训用文字资料和讲义等相关用品。</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3、技术培训的内容必须包含软件的日常操作和管理维护，以及基本的故障诊断与排错。供应商培训人员必须是公司的资深工程师。</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4、培训工作必须在合同生效之后系统试运行之前安排。</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5、所有培训费用（含培训教材费），已包括在投标总价中。</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6、实际培训时间、人数和地点按供应商与项目采购人商定的为准。</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7、培训所使用的语言和教材必须是中文，否则供应商必须提供相应的翻译。供应商必须提供培训所需要的技术支持。</w:t>
            </w:r>
          </w:p>
        </w:tc>
      </w:tr>
      <w:tr>
        <w:tblPrEx>
          <w:tblCellMar>
            <w:top w:w="0" w:type="dxa"/>
            <w:left w:w="108" w:type="dxa"/>
            <w:bottom w:w="0" w:type="dxa"/>
            <w:right w:w="108" w:type="dxa"/>
          </w:tblCellMar>
        </w:tblPrEx>
        <w:trPr>
          <w:trHeight w:val="698" w:hRule="atLeast"/>
        </w:trPr>
        <w:tc>
          <w:tcPr>
            <w:tcW w:w="176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其他</w:t>
            </w:r>
          </w:p>
        </w:tc>
        <w:tc>
          <w:tcPr>
            <w:tcW w:w="75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1、在采购及合同执行过程中，供应商应承担由于其行为所造成的人身伤害、财产损失或损坏的责任，无论何种原因所造成，采购人均不负责。</w:t>
            </w:r>
          </w:p>
        </w:tc>
      </w:tr>
      <w:tr>
        <w:tblPrEx>
          <w:tblCellMar>
            <w:top w:w="0" w:type="dxa"/>
            <w:left w:w="108" w:type="dxa"/>
            <w:bottom w:w="0" w:type="dxa"/>
            <w:right w:w="108" w:type="dxa"/>
          </w:tblCellMar>
        </w:tblPrEx>
        <w:trPr>
          <w:trHeight w:val="720" w:hRule="atLeast"/>
        </w:trPr>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p>
        </w:tc>
        <w:tc>
          <w:tcPr>
            <w:tcW w:w="75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2、在合同履行过程中，中标人不得存在与本项目实施有利害冲突，影响或可能影响考核公正的情形，一旦出现，采购人有权解除合同。</w:t>
            </w:r>
          </w:p>
        </w:tc>
      </w:tr>
    </w:tbl>
    <w:p>
      <w:pPr>
        <w:pStyle w:val="55"/>
        <w:rPr>
          <w:rFonts w:hint="eastAsia" w:ascii="宋体" w:eastAsia="宋体" w:cs="宋体"/>
          <w:color w:val="auto"/>
          <w:sz w:val="21"/>
          <w:szCs w:val="21"/>
          <w:highlight w:val="none"/>
        </w:rPr>
      </w:pPr>
      <w:bookmarkStart w:id="108" w:name="_Toc17219"/>
      <w:r>
        <w:rPr>
          <w:rFonts w:hint="eastAsia" w:ascii="宋体" w:eastAsia="宋体" w:cs="宋体"/>
          <w:color w:val="auto"/>
          <w:sz w:val="21"/>
          <w:szCs w:val="21"/>
          <w:highlight w:val="none"/>
        </w:rPr>
        <w:t>其他要求</w:t>
      </w:r>
      <w:bookmarkEnd w:id="108"/>
    </w:p>
    <w:p>
      <w:pPr>
        <w:pStyle w:val="77"/>
        <w:spacing w:line="360" w:lineRule="auto"/>
        <w:rPr>
          <w:rFonts w:hint="eastAsia" w:ascii="宋体" w:cs="宋体"/>
          <w:color w:val="auto"/>
          <w:szCs w:val="21"/>
          <w:highlight w:val="none"/>
        </w:rPr>
      </w:pPr>
      <w:r>
        <w:rPr>
          <w:rFonts w:hint="eastAsia" w:ascii="宋体" w:cs="宋体"/>
          <w:color w:val="auto"/>
          <w:szCs w:val="21"/>
          <w:highlight w:val="none"/>
        </w:rPr>
        <w:t>（1）招标文件中的技术要求不得被认为是详尽无遗的，无论规定与否，供应商应提供采购人没有规定但供应商认为完成本项目操作和使用，必要或必须的设备和材料，并应在报价明细表中一一列明。</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（2）上述设备如无特别说明应为制造厂商出厂的原装配置。供应商应对清单中所列设备及其所有附件和配置进行报价，不允许只对其中部分设备或内容进行报价。</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3）供应商的投标文件应该真实、全面、完整，应提供完整的项目设计和实施方案，详细阐述对本项目总体要求的理解。包括：功能说明、性能指标及设备选型说明（质量、性能、价格、外观、体积等方面进行比较和选择的理由和过程），明确设备、材料的具体品牌、型号和数量，符合招标文件的要求。</w:t>
      </w:r>
    </w:p>
    <w:p>
      <w:pPr>
        <w:pStyle w:val="77"/>
        <w:spacing w:line="360" w:lineRule="auto"/>
        <w:rPr>
          <w:rFonts w:ascii="宋体" w:hAnsi="宋体" w:eastAsia="宋体" w:cs="宋体"/>
          <w:color w:val="auto"/>
          <w:sz w:val="24"/>
          <w:szCs w:val="24"/>
          <w:highlight w:val="none"/>
        </w:rPr>
      </w:pPr>
      <w:r>
        <w:rPr>
          <w:rFonts w:hint="eastAsia" w:ascii="宋体" w:cs="宋体"/>
          <w:color w:val="auto"/>
          <w:szCs w:val="21"/>
          <w:highlight w:val="none"/>
          <w:lang w:eastAsia="zh-CN"/>
        </w:rPr>
        <w:t>（</w:t>
      </w:r>
      <w:r>
        <w:rPr>
          <w:rFonts w:hint="eastAsia" w:ascii="宋体" w:cs="宋体"/>
          <w:color w:val="auto"/>
          <w:szCs w:val="21"/>
          <w:highlight w:val="none"/>
          <w:lang w:val="en-US" w:eastAsia="zh-CN"/>
        </w:rPr>
        <w:t>4）</w:t>
      </w:r>
      <w:r>
        <w:rPr>
          <w:rFonts w:hint="eastAsia" w:ascii="宋体" w:hAnsi="宋体" w:eastAsia="宋体" w:cs="宋体"/>
          <w:color w:val="auto"/>
          <w:sz w:val="24"/>
          <w:szCs w:val="24"/>
          <w:highlight w:val="none"/>
        </w:rPr>
        <w:t>投标人提供投标产品的技术</w:t>
      </w:r>
      <w:r>
        <w:rPr>
          <w:rFonts w:hint="eastAsia" w:ascii="宋体" w:hAnsi="宋体" w:eastAsia="宋体" w:cs="宋体"/>
          <w:color w:val="auto"/>
          <w:sz w:val="24"/>
          <w:szCs w:val="24"/>
          <w:highlight w:val="none"/>
          <w:lang w:eastAsia="zh-CN"/>
        </w:rPr>
        <w:t>规格要求</w:t>
      </w:r>
      <w:r>
        <w:rPr>
          <w:rFonts w:hint="eastAsia" w:ascii="宋体" w:hAnsi="宋体" w:eastAsia="宋体" w:cs="宋体"/>
          <w:color w:val="auto"/>
          <w:sz w:val="24"/>
          <w:szCs w:val="24"/>
          <w:highlight w:val="none"/>
        </w:rPr>
        <w:t>满足或高于采购要求。</w:t>
      </w:r>
    </w:p>
    <w:p>
      <w:pPr>
        <w:pStyle w:val="77"/>
        <w:numPr>
          <w:ilvl w:val="0"/>
          <w:numId w:val="0"/>
        </w:numPr>
        <w:spacing w:line="360" w:lineRule="auto"/>
        <w:ind w:firstLine="480" w:firstLineChars="200"/>
        <w:rPr>
          <w:rFonts w:ascii="宋体" w:hAnsi="宋体" w:eastAsia="宋体" w:cs="宋体"/>
          <w:color w:val="auto"/>
          <w:sz w:val="24"/>
          <w:szCs w:val="24"/>
          <w:highlight w:val="none"/>
        </w:rPr>
      </w:pPr>
      <w:r>
        <w:rPr>
          <w:rFonts w:hint="eastAsia" w:ascii="宋体" w:cs="宋体"/>
          <w:color w:val="auto"/>
          <w:sz w:val="24"/>
          <w:szCs w:val="24"/>
          <w:highlight w:val="none"/>
          <w:lang w:eastAsia="zh-CN"/>
        </w:rPr>
        <w:t>（</w:t>
      </w:r>
      <w:r>
        <w:rPr>
          <w:rFonts w:hint="eastAsia" w:ascii="宋体" w:cs="宋体"/>
          <w:color w:val="auto"/>
          <w:sz w:val="24"/>
          <w:szCs w:val="24"/>
          <w:highlight w:val="none"/>
          <w:lang w:val="en-US" w:eastAsia="zh-CN"/>
        </w:rPr>
        <w:t>5）</w:t>
      </w:r>
      <w:r>
        <w:rPr>
          <w:rFonts w:hint="eastAsia" w:ascii="宋体" w:hAnsi="宋体" w:eastAsia="宋体" w:cs="宋体"/>
          <w:color w:val="auto"/>
          <w:sz w:val="24"/>
          <w:szCs w:val="24"/>
          <w:highlight w:val="none"/>
        </w:rPr>
        <w:t>所有技术指标均以各厂商公开网站所公布的数据为准，如果有英文网站则以英文网站为准。</w:t>
      </w:r>
    </w:p>
    <w:p>
      <w:pPr>
        <w:pStyle w:val="77"/>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中标后签合同前，提供中标</w:t>
      </w:r>
      <w:r>
        <w:rPr>
          <w:rFonts w:hint="eastAsia" w:ascii="宋体" w:hAnsi="宋体" w:eastAsia="宋体" w:cs="宋体"/>
          <w:color w:val="auto"/>
          <w:sz w:val="24"/>
          <w:szCs w:val="24"/>
          <w:highlight w:val="none"/>
          <w:lang w:eastAsia="zh-CN"/>
        </w:rPr>
        <w:t>光纤存储阵列与用户工作站的连接</w:t>
      </w:r>
      <w:r>
        <w:rPr>
          <w:rFonts w:hint="eastAsia" w:ascii="宋体" w:hAnsi="宋体" w:eastAsia="宋体" w:cs="宋体"/>
          <w:color w:val="auto"/>
          <w:sz w:val="24"/>
          <w:szCs w:val="24"/>
          <w:highlight w:val="none"/>
        </w:rPr>
        <w:t>，进行上述产品所描述功能一一测试，如发现虚假应标后果自负。</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4）本项目投标报价应包含按要求完成本项目的所有费用，包含但不仅限于实施所需的硬件、附件、备品备件等费用，以及本项目在实施过程中涉及的专用工具、辅材、安装、调试、检验、培训、技术服务、运杂、保险费、税金、验收检定、软件升级及供应商认为需要的所有费用。中标价格一经确定，除采购有要求追加或变动项目外，不再另行支付任何费用。</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招标清单中未列或与清单中设备有出入，但系统正常运行必须的设备，其价格按已包含在投标报价内处理。</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招标清单中供应商没有填入单价或价格的子目，其费用视为已分摊在招标清单中其他相关子目的单价或价格之中。供应商必须按采购人指令完成招标清单中未填入单价或价格的子目，但不能得到结算与支付。符合合同条款规定的全部费用应认为已被计入有标价的招标清单所列各子目之中，未列子目不予计量的工作，其费用应视为已分摊在本合同的有关子目的单价或总额价之中。项目实施过程中可能发生的风险和费用均由成交供应商承担。</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（5）在满足性能技术参数的前提下，采购人可以根据现场的实际情况和要求，对设备数量作适当的调整。如因采购人原因引起承包总价变化，最终以成交供应商实际供货数量并依据中标单价按实结算。</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（6）要求使用绿色环保材料，制作的产品要进行异味的去除，确保安装后的货物对人体无害。</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（7）在中标后采购人有权选择中标货物的颜色，中标价格不变；采购人有权在不改基本规格尺寸的基础上，要求中标单位提供的货物在样式上稍做改动，价格不变。</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（8）信息保密要求：参与招投标各方应对招标、投标文件中的商业和技术秘密保密。同时，投标供应商应对采购人特殊单位的保密事项进行保密，违者应对由此造成的后果承担法律责任。</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（9）安全责任要求：设备运输、安装、调试、实施中的一切安全责任由供应商承担；供应商在安装、调试、实施中应遵守采购人有关的管理制度。</w:t>
      </w:r>
    </w:p>
    <w:p>
      <w:pPr>
        <w:pStyle w:val="77"/>
        <w:spacing w:line="360" w:lineRule="auto"/>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val="en-US" w:eastAsia="zh-CN"/>
        </w:rPr>
        <w:t>0</w:t>
      </w:r>
      <w:r>
        <w:rPr>
          <w:rFonts w:hint="eastAsia" w:ascii="宋体" w:cs="宋体"/>
          <w:color w:val="auto"/>
          <w:szCs w:val="21"/>
          <w:highlight w:val="none"/>
        </w:rPr>
        <w:t>）其他限制性要求：本项目不允许转包。</w:t>
      </w:r>
    </w:p>
    <w:p>
      <w:pPr>
        <w:pStyle w:val="77"/>
        <w:spacing w:line="360" w:lineRule="auto"/>
        <w:rPr>
          <w:rFonts w:hint="eastAsia"/>
          <w:b/>
          <w:bCs/>
          <w:color w:val="auto"/>
          <w:sz w:val="24"/>
          <w:szCs w:val="24"/>
          <w:highlight w:val="none"/>
        </w:rPr>
      </w:pPr>
      <w:r>
        <w:rPr>
          <w:rFonts w:hint="eastAsia" w:ascii="宋体" w:cs="宋体"/>
          <w:color w:val="auto"/>
          <w:szCs w:val="21"/>
          <w:highlight w:val="none"/>
        </w:rPr>
        <w:t>（1</w:t>
      </w:r>
      <w:r>
        <w:rPr>
          <w:rFonts w:hint="eastAsia" w:ascii="宋体" w:cs="宋体"/>
          <w:color w:val="auto"/>
          <w:szCs w:val="21"/>
          <w:highlight w:val="none"/>
          <w:lang w:val="en-US" w:eastAsia="zh-CN"/>
        </w:rPr>
        <w:t>1</w:t>
      </w:r>
      <w:r>
        <w:rPr>
          <w:rFonts w:hint="eastAsia" w:ascii="宋体" w:cs="宋体"/>
          <w:color w:val="auto"/>
          <w:szCs w:val="21"/>
          <w:highlight w:val="none"/>
        </w:rPr>
        <w:t>）保密要求：中标人需与采购人签订项目保密协议，承当相应的保密责任；供应商保证本项目有可能涉及到的所有的涉密数据、个人隐私数据的安全。如由于供应商不慎泄露涉密数据或隐私数据，由此引发的刑事、民事责任由供应商自行承担。</w:t>
      </w:r>
      <w:bookmarkEnd w:id="101"/>
    </w:p>
    <w:p>
      <w:pPr>
        <w:pStyle w:val="77"/>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供应</w:t>
      </w:r>
      <w:r>
        <w:rPr>
          <w:rFonts w:hint="eastAsia" w:ascii="宋体" w:hAnsi="宋体" w:eastAsia="宋体" w:cs="宋体"/>
          <w:color w:val="auto"/>
          <w:szCs w:val="21"/>
          <w:highlight w:val="none"/>
        </w:rPr>
        <w:t>商负责完成安装调试、</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测试，协助</w:t>
      </w:r>
      <w:r>
        <w:rPr>
          <w:rFonts w:hint="eastAsia" w:ascii="宋体" w:hAnsi="宋体" w:eastAsia="宋体" w:cs="宋体"/>
          <w:color w:val="auto"/>
          <w:szCs w:val="21"/>
          <w:highlight w:val="none"/>
          <w:lang w:eastAsia="zh-CN"/>
        </w:rPr>
        <w:t>用户</w:t>
      </w:r>
      <w:r>
        <w:rPr>
          <w:rFonts w:hint="eastAsia" w:ascii="宋体" w:hAnsi="宋体" w:eastAsia="宋体" w:cs="宋体"/>
          <w:color w:val="auto"/>
          <w:szCs w:val="21"/>
          <w:highlight w:val="none"/>
        </w:rPr>
        <w:t>备份及拷贝数据等工作。</w:t>
      </w:r>
    </w:p>
    <w:p>
      <w:pPr>
        <w:pStyle w:val="21"/>
        <w:rPr>
          <w:rFonts w:hint="eastAsia"/>
          <w:b/>
          <w:bCs/>
          <w:color w:val="auto"/>
          <w:sz w:val="24"/>
          <w:szCs w:val="24"/>
          <w:highlight w:val="none"/>
        </w:rPr>
        <w:sectPr>
          <w:headerReference r:id="rId13" w:type="default"/>
          <w:pgSz w:w="11907" w:h="16840"/>
          <w:pgMar w:top="1304" w:right="1588" w:bottom="1560" w:left="1588" w:header="720" w:footer="720" w:gutter="0"/>
          <w:cols w:space="720" w:num="1"/>
          <w:docGrid w:linePitch="285" w:charSpace="0"/>
        </w:sectPr>
      </w:pPr>
    </w:p>
    <w:p>
      <w:pPr>
        <w:pStyle w:val="4"/>
        <w:spacing w:beforeLines="0" w:afterLines="0" w:line="360" w:lineRule="auto"/>
        <w:jc w:val="both"/>
        <w:rPr>
          <w:rFonts w:ascii="宋体" w:hAnsi="宋体"/>
          <w:color w:val="auto"/>
          <w:sz w:val="32"/>
          <w:szCs w:val="32"/>
          <w:highlight w:val="none"/>
        </w:rPr>
      </w:pPr>
    </w:p>
    <w:p>
      <w:pPr>
        <w:pStyle w:val="4"/>
        <w:spacing w:beforeLines="0" w:afterLines="0" w:line="360" w:lineRule="auto"/>
        <w:rPr>
          <w:rFonts w:ascii="宋体" w:hAnsi="宋体"/>
          <w:color w:val="auto"/>
          <w:sz w:val="32"/>
          <w:szCs w:val="32"/>
          <w:highlight w:val="none"/>
        </w:rPr>
      </w:pPr>
      <w:bookmarkStart w:id="109" w:name="_Toc1349"/>
      <w:r>
        <w:rPr>
          <w:rFonts w:hint="eastAsia" w:ascii="宋体" w:hAnsi="宋体"/>
          <w:color w:val="auto"/>
          <w:sz w:val="32"/>
          <w:szCs w:val="32"/>
          <w:highlight w:val="none"/>
        </w:rPr>
        <w:t>第七部分 附件（投标文件格式）</w:t>
      </w:r>
      <w:bookmarkEnd w:id="98"/>
      <w:bookmarkEnd w:id="109"/>
    </w:p>
    <w:p>
      <w:pPr>
        <w:pStyle w:val="5"/>
        <w:spacing w:line="380" w:lineRule="exact"/>
        <w:rPr>
          <w:color w:val="auto"/>
          <w:highlight w:val="none"/>
        </w:rPr>
      </w:pPr>
      <w:bookmarkStart w:id="110" w:name="_Toc14756"/>
      <w:r>
        <w:rPr>
          <w:rFonts w:hint="eastAsia" w:ascii="宋体" w:hAnsi="宋体"/>
          <w:color w:val="auto"/>
          <w:szCs w:val="21"/>
          <w:highlight w:val="none"/>
        </w:rPr>
        <w:t>商务技术文件</w:t>
      </w:r>
      <w:bookmarkEnd w:id="110"/>
    </w:p>
    <w:p>
      <w:pPr>
        <w:snapToGrid w:val="0"/>
        <w:spacing w:before="120" w:beforeLines="50" w:after="50"/>
        <w:ind w:firstLine="3675" w:firstLineChars="1750"/>
        <w:rPr>
          <w:rFonts w:ascii="宋体" w:hAnsi="宋体"/>
          <w:color w:val="auto"/>
          <w:szCs w:val="21"/>
          <w:highlight w:val="none"/>
        </w:rPr>
      </w:pPr>
    </w:p>
    <w:p>
      <w:pPr>
        <w:spacing w:line="360" w:lineRule="auto"/>
        <w:rPr>
          <w:rFonts w:ascii="宋体" w:hAnsi="宋体"/>
          <w:color w:val="auto"/>
          <w:sz w:val="28"/>
          <w:szCs w:val="28"/>
          <w:highlight w:val="none"/>
        </w:rPr>
      </w:pPr>
      <w:r>
        <w:rPr>
          <w:rFonts w:hint="eastAsia" w:ascii="宋体" w:hAnsi="宋体"/>
          <w:color w:val="auto"/>
          <w:sz w:val="28"/>
          <w:szCs w:val="28"/>
          <w:highlight w:val="none"/>
        </w:rPr>
        <w:t>封面</w:t>
      </w:r>
    </w:p>
    <w:p>
      <w:pPr>
        <w:spacing w:line="360" w:lineRule="auto"/>
        <w:ind w:firstLine="560"/>
        <w:jc w:val="right"/>
        <w:rPr>
          <w:rFonts w:ascii="宋体" w:hAnsi="宋体"/>
          <w:color w:val="auto"/>
          <w:sz w:val="28"/>
          <w:highlight w:val="none"/>
        </w:rPr>
      </w:pPr>
    </w:p>
    <w:p>
      <w:pPr>
        <w:spacing w:line="360" w:lineRule="auto"/>
        <w:ind w:firstLine="1280" w:firstLineChars="400"/>
        <w:rPr>
          <w:rFonts w:ascii="宋体" w:hAnsi="宋体"/>
          <w:color w:val="auto"/>
          <w:sz w:val="32"/>
          <w:highlight w:val="none"/>
        </w:rPr>
      </w:pPr>
    </w:p>
    <w:p>
      <w:pPr>
        <w:spacing w:line="360" w:lineRule="auto"/>
        <w:jc w:val="center"/>
        <w:rPr>
          <w:rFonts w:ascii="宋体" w:hAnsi="宋体"/>
          <w:color w:val="auto"/>
          <w:sz w:val="28"/>
          <w:highlight w:val="none"/>
          <w:u w:val="single"/>
        </w:rPr>
      </w:pPr>
      <w:r>
        <w:rPr>
          <w:rFonts w:hint="eastAsia" w:ascii="宋体" w:hAnsi="宋体"/>
          <w:color w:val="auto"/>
          <w:sz w:val="28"/>
          <w:highlight w:val="none"/>
          <w:u w:val="none"/>
        </w:rPr>
        <w:t>________________________________________</w:t>
      </w:r>
      <w:r>
        <w:rPr>
          <w:rFonts w:hint="eastAsia" w:ascii="宋体" w:hAnsi="宋体"/>
          <w:color w:val="auto"/>
          <w:sz w:val="28"/>
          <w:highlight w:val="none"/>
        </w:rPr>
        <w:t>项目</w:t>
      </w:r>
    </w:p>
    <w:p>
      <w:pPr>
        <w:spacing w:line="360" w:lineRule="auto"/>
        <w:ind w:firstLine="1280" w:firstLineChars="400"/>
        <w:rPr>
          <w:rFonts w:ascii="宋体" w:hAnsi="宋体"/>
          <w:color w:val="auto"/>
          <w:sz w:val="32"/>
          <w:highlight w:val="none"/>
        </w:rPr>
      </w:pPr>
    </w:p>
    <w:p>
      <w:pPr>
        <w:spacing w:line="360" w:lineRule="auto"/>
        <w:ind w:firstLine="1280" w:firstLineChars="400"/>
        <w:rPr>
          <w:rFonts w:ascii="宋体" w:hAnsi="宋体"/>
          <w:color w:val="auto"/>
          <w:sz w:val="32"/>
          <w:highlight w:val="none"/>
        </w:rPr>
      </w:pPr>
    </w:p>
    <w:p>
      <w:pPr>
        <w:spacing w:line="360" w:lineRule="auto"/>
        <w:jc w:val="center"/>
        <w:rPr>
          <w:rFonts w:ascii="宋体" w:hAnsi="宋体"/>
          <w:b/>
          <w:color w:val="auto"/>
          <w:sz w:val="48"/>
          <w:szCs w:val="48"/>
          <w:highlight w:val="none"/>
        </w:rPr>
      </w:pPr>
      <w:r>
        <w:rPr>
          <w:rFonts w:hint="eastAsia" w:ascii="宋体" w:hAnsi="宋体"/>
          <w:b/>
          <w:color w:val="auto"/>
          <w:sz w:val="48"/>
          <w:szCs w:val="48"/>
          <w:highlight w:val="none"/>
        </w:rPr>
        <w:t>投 标 文 件</w:t>
      </w:r>
    </w:p>
    <w:p>
      <w:pPr>
        <w:spacing w:line="360" w:lineRule="auto"/>
        <w:ind w:firstLine="1680" w:firstLineChars="600"/>
        <w:rPr>
          <w:rFonts w:ascii="宋体" w:hAnsi="宋体"/>
          <w:color w:val="auto"/>
          <w:sz w:val="28"/>
          <w:highlight w:val="none"/>
        </w:rPr>
      </w:pPr>
    </w:p>
    <w:p>
      <w:pPr>
        <w:spacing w:line="360" w:lineRule="auto"/>
        <w:ind w:firstLine="1680" w:firstLineChars="600"/>
        <w:rPr>
          <w:rFonts w:hint="eastAsia" w:ascii="宋体" w:hAnsi="宋体"/>
          <w:color w:val="auto"/>
          <w:sz w:val="28"/>
          <w:highlight w:val="none"/>
          <w:u w:val="single"/>
        </w:rPr>
      </w:pPr>
      <w:r>
        <w:rPr>
          <w:rFonts w:hint="eastAsia" w:ascii="宋体" w:hAnsi="宋体"/>
          <w:color w:val="auto"/>
          <w:sz w:val="28"/>
          <w:highlight w:val="none"/>
        </w:rPr>
        <w:t>招标编号：</w:t>
      </w:r>
      <w:r>
        <w:rPr>
          <w:rFonts w:hint="eastAsia" w:ascii="宋体" w:hAnsi="宋体"/>
          <w:color w:val="auto"/>
          <w:sz w:val="28"/>
          <w:highlight w:val="none"/>
          <w:u w:val="single"/>
        </w:rPr>
        <w:t xml:space="preserve">______________   _ </w:t>
      </w:r>
    </w:p>
    <w:p>
      <w:pPr>
        <w:spacing w:line="360" w:lineRule="auto"/>
        <w:ind w:firstLine="1680" w:firstLineChars="600"/>
        <w:rPr>
          <w:rFonts w:hint="eastAsia" w:ascii="宋体" w:hAnsi="宋体"/>
          <w:color w:val="auto"/>
          <w:sz w:val="28"/>
          <w:szCs w:val="22"/>
          <w:highlight w:val="none"/>
          <w:u w:val="single"/>
        </w:rPr>
      </w:pPr>
      <w:r>
        <w:rPr>
          <w:rFonts w:hint="eastAsia" w:ascii="宋体" w:hAnsi="宋体"/>
          <w:color w:val="auto"/>
          <w:sz w:val="28"/>
          <w:szCs w:val="22"/>
          <w:highlight w:val="none"/>
        </w:rPr>
        <w:t>标项号：</w:t>
      </w:r>
      <w:r>
        <w:rPr>
          <w:rFonts w:hint="eastAsia" w:ascii="宋体" w:hAnsi="宋体"/>
          <w:color w:val="auto"/>
          <w:sz w:val="28"/>
          <w:szCs w:val="22"/>
          <w:highlight w:val="none"/>
          <w:u w:val="single"/>
        </w:rPr>
        <w:t xml:space="preserve">                     </w:t>
      </w:r>
    </w:p>
    <w:p>
      <w:pPr>
        <w:spacing w:line="360" w:lineRule="auto"/>
        <w:rPr>
          <w:rFonts w:ascii="宋体" w:hAnsi="宋体"/>
          <w:color w:val="auto"/>
          <w:sz w:val="28"/>
          <w:szCs w:val="28"/>
          <w:highlight w:val="none"/>
          <w:u w:val="single"/>
        </w:rPr>
      </w:pPr>
    </w:p>
    <w:p>
      <w:pPr>
        <w:spacing w:line="360" w:lineRule="auto"/>
        <w:rPr>
          <w:rFonts w:ascii="宋体" w:hAnsi="宋体"/>
          <w:b/>
          <w:color w:val="auto"/>
          <w:highlight w:val="none"/>
        </w:rPr>
      </w:pPr>
    </w:p>
    <w:p>
      <w:pPr>
        <w:spacing w:line="360" w:lineRule="auto"/>
        <w:rPr>
          <w:rFonts w:ascii="宋体" w:hAnsi="宋体"/>
          <w:b/>
          <w:color w:val="auto"/>
          <w:highlight w:val="none"/>
        </w:rPr>
      </w:pPr>
    </w:p>
    <w:p>
      <w:pPr>
        <w:spacing w:line="360" w:lineRule="auto"/>
        <w:rPr>
          <w:rFonts w:ascii="宋体" w:hAnsi="宋体"/>
          <w:b/>
          <w:color w:val="auto"/>
          <w:highlight w:val="none"/>
        </w:rPr>
      </w:pPr>
    </w:p>
    <w:p>
      <w:pPr>
        <w:spacing w:line="360" w:lineRule="auto"/>
        <w:rPr>
          <w:rFonts w:ascii="宋体" w:hAnsi="宋体"/>
          <w:b/>
          <w:color w:val="auto"/>
          <w:highlight w:val="none"/>
        </w:rPr>
      </w:pPr>
    </w:p>
    <w:p>
      <w:pPr>
        <w:spacing w:line="720" w:lineRule="auto"/>
        <w:rPr>
          <w:rFonts w:ascii="宋体" w:hAnsi="宋体"/>
          <w:b/>
          <w:color w:val="auto"/>
          <w:sz w:val="28"/>
          <w:highlight w:val="none"/>
          <w:u w:val="single"/>
        </w:rPr>
      </w:pPr>
      <w:r>
        <w:rPr>
          <w:rFonts w:hint="eastAsia" w:ascii="宋体" w:hAnsi="宋体"/>
          <w:color w:val="auto"/>
          <w:sz w:val="28"/>
          <w:highlight w:val="none"/>
        </w:rPr>
        <w:t>投标文件名称：</w:t>
      </w:r>
      <w:r>
        <w:rPr>
          <w:rFonts w:hint="eastAsia" w:ascii="宋体" w:hAnsi="宋体"/>
          <w:b/>
          <w:color w:val="auto"/>
          <w:sz w:val="28"/>
          <w:highlight w:val="none"/>
          <w:u w:val="single"/>
        </w:rPr>
        <w:t xml:space="preserve">           商务技术文件                      </w:t>
      </w:r>
    </w:p>
    <w:p>
      <w:pPr>
        <w:spacing w:line="720" w:lineRule="auto"/>
        <w:rPr>
          <w:rFonts w:ascii="宋体" w:hAnsi="宋体"/>
          <w:b/>
          <w:color w:val="auto"/>
          <w:sz w:val="28"/>
          <w:highlight w:val="none"/>
        </w:rPr>
      </w:pPr>
      <w:r>
        <w:rPr>
          <w:rFonts w:hint="eastAsia" w:ascii="宋体" w:hAnsi="宋体"/>
          <w:color w:val="auto"/>
          <w:sz w:val="28"/>
          <w:highlight w:val="none"/>
        </w:rPr>
        <w:t>投标人：</w:t>
      </w:r>
      <w:r>
        <w:rPr>
          <w:rFonts w:hint="eastAsia" w:ascii="宋体" w:hAnsi="宋体"/>
          <w:color w:val="auto"/>
          <w:sz w:val="28"/>
          <w:highlight w:val="none"/>
          <w:u w:val="single"/>
        </w:rPr>
        <w:t xml:space="preserve">                                             （盖章） </w:t>
      </w:r>
    </w:p>
    <w:p>
      <w:pPr>
        <w:pStyle w:val="3"/>
        <w:spacing w:line="720" w:lineRule="auto"/>
        <w:ind w:firstLine="0"/>
        <w:jc w:val="center"/>
        <w:rPr>
          <w:bCs/>
          <w:color w:val="auto"/>
          <w:sz w:val="24"/>
          <w:szCs w:val="24"/>
          <w:highlight w:val="none"/>
        </w:rPr>
      </w:pPr>
      <w:r>
        <w:rPr>
          <w:rFonts w:hint="eastAsia" w:ascii="宋体" w:hAnsi="宋体"/>
          <w:color w:val="auto"/>
          <w:sz w:val="28"/>
          <w:highlight w:val="none"/>
        </w:rPr>
        <w:t>日    期：年月日</w:t>
      </w:r>
    </w:p>
    <w:p>
      <w:pPr>
        <w:pStyle w:val="5"/>
        <w:spacing w:line="380" w:lineRule="exact"/>
        <w:rPr>
          <w:rFonts w:ascii="Times New Roman" w:hAnsi="Times New Roman"/>
          <w:bCs w:val="0"/>
          <w:color w:val="auto"/>
          <w:sz w:val="24"/>
          <w:szCs w:val="24"/>
          <w:highlight w:val="none"/>
        </w:rPr>
      </w:pPr>
    </w:p>
    <w:p>
      <w:pPr>
        <w:rPr>
          <w:color w:val="auto"/>
          <w:sz w:val="24"/>
          <w:szCs w:val="24"/>
          <w:highlight w:val="none"/>
        </w:r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商务技术文件</w:t>
      </w:r>
      <w:r>
        <w:rPr>
          <w:rFonts w:hint="eastAsia" w:ascii="宋体" w:hAnsi="宋体" w:cs="宋体"/>
          <w:color w:val="auto"/>
          <w:szCs w:val="21"/>
          <w:highlight w:val="none"/>
        </w:rPr>
        <w:t>，含：</w:t>
      </w:r>
    </w:p>
    <w:p>
      <w:pPr>
        <w:spacing w:line="360" w:lineRule="exac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投标函</w:t>
      </w:r>
    </w:p>
    <w:p>
      <w:pPr>
        <w:spacing w:line="360" w:lineRule="exact"/>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单位负责人授权书或单位负责人身份证明</w:t>
      </w:r>
      <w:r>
        <w:rPr>
          <w:rFonts w:ascii="宋体" w:hAnsi="宋体" w:cs="宋体"/>
          <w:color w:val="auto"/>
          <w:szCs w:val="21"/>
          <w:highlight w:val="none"/>
        </w:rPr>
        <w:t>；</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(3)投标单位情况一览表；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(4)技术条款偏离表；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(5)商务条款偏离表；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(6)第五部分“评标办法”中“评分标准”要求提供的资料（如有需提供）；</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以上条款请按本招标文件第七部分“附件（投标文件格式）”编制</w:t>
      </w:r>
    </w:p>
    <w:p>
      <w:pPr>
        <w:pStyle w:val="5"/>
        <w:spacing w:line="380" w:lineRule="exact"/>
        <w:rPr>
          <w:rFonts w:ascii="Times New Roman" w:hAnsi="Times New Roman"/>
          <w:bCs w:val="0"/>
          <w:color w:val="auto"/>
          <w:sz w:val="24"/>
          <w:szCs w:val="24"/>
          <w:highlight w:val="none"/>
        </w:rPr>
      </w:pPr>
    </w:p>
    <w:p>
      <w:pPr>
        <w:rPr>
          <w:color w:val="auto"/>
          <w:sz w:val="24"/>
          <w:szCs w:val="24"/>
          <w:highlight w:val="none"/>
        </w:rPr>
      </w:pPr>
    </w:p>
    <w:p>
      <w:pPr>
        <w:pStyle w:val="4"/>
        <w:spacing w:before="240" w:after="240"/>
        <w:rPr>
          <w:bCs w:val="0"/>
          <w:color w:val="auto"/>
          <w:sz w:val="24"/>
          <w:szCs w:val="24"/>
          <w:highlight w:val="none"/>
        </w:rPr>
      </w:pPr>
    </w:p>
    <w:p>
      <w:pPr>
        <w:rPr>
          <w:color w:val="auto"/>
          <w:sz w:val="24"/>
          <w:szCs w:val="24"/>
          <w:highlight w:val="none"/>
        </w:rPr>
      </w:pPr>
    </w:p>
    <w:p>
      <w:pPr>
        <w:pStyle w:val="4"/>
        <w:spacing w:before="240" w:after="240"/>
        <w:rPr>
          <w:bCs w:val="0"/>
          <w:color w:val="auto"/>
          <w:sz w:val="24"/>
          <w:szCs w:val="24"/>
          <w:highlight w:val="none"/>
        </w:rPr>
      </w:pPr>
    </w:p>
    <w:p>
      <w:pPr>
        <w:rPr>
          <w:color w:val="auto"/>
          <w:sz w:val="24"/>
          <w:szCs w:val="24"/>
          <w:highlight w:val="none"/>
        </w:rPr>
      </w:pPr>
    </w:p>
    <w:p>
      <w:pPr>
        <w:pStyle w:val="5"/>
        <w:spacing w:line="380" w:lineRule="exact"/>
        <w:rPr>
          <w:rFonts w:ascii="Times New Roman" w:hAnsi="Times New Roman"/>
          <w:bCs w:val="0"/>
          <w:color w:val="auto"/>
          <w:sz w:val="24"/>
          <w:szCs w:val="24"/>
          <w:highlight w:val="none"/>
        </w:rPr>
      </w:pPr>
    </w:p>
    <w:p>
      <w:pPr>
        <w:rPr>
          <w:color w:val="auto"/>
          <w:sz w:val="24"/>
          <w:szCs w:val="24"/>
          <w:highlight w:val="none"/>
        </w:rPr>
      </w:pPr>
    </w:p>
    <w:p>
      <w:pPr>
        <w:pStyle w:val="4"/>
        <w:spacing w:before="240" w:after="240"/>
        <w:rPr>
          <w:bCs w:val="0"/>
          <w:color w:val="auto"/>
          <w:sz w:val="24"/>
          <w:szCs w:val="24"/>
          <w:highlight w:val="none"/>
        </w:rPr>
      </w:pPr>
    </w:p>
    <w:p>
      <w:pPr>
        <w:rPr>
          <w:color w:val="auto"/>
          <w:sz w:val="24"/>
          <w:szCs w:val="24"/>
          <w:highlight w:val="none"/>
        </w:rPr>
      </w:pPr>
    </w:p>
    <w:p>
      <w:pPr>
        <w:pStyle w:val="4"/>
        <w:spacing w:before="240" w:after="240"/>
        <w:rPr>
          <w:bCs w:val="0"/>
          <w:color w:val="auto"/>
          <w:sz w:val="24"/>
          <w:szCs w:val="24"/>
          <w:highlight w:val="none"/>
        </w:rPr>
      </w:pPr>
    </w:p>
    <w:p>
      <w:pPr>
        <w:rPr>
          <w:color w:val="auto"/>
          <w:sz w:val="24"/>
          <w:szCs w:val="24"/>
          <w:highlight w:val="none"/>
        </w:rPr>
      </w:pPr>
    </w:p>
    <w:p>
      <w:pPr>
        <w:pStyle w:val="4"/>
        <w:spacing w:before="240" w:after="240"/>
        <w:rPr>
          <w:bCs w:val="0"/>
          <w:color w:val="auto"/>
          <w:sz w:val="24"/>
          <w:szCs w:val="24"/>
          <w:highlight w:val="none"/>
        </w:rPr>
      </w:pPr>
    </w:p>
    <w:p>
      <w:pPr>
        <w:rPr>
          <w:color w:val="auto"/>
          <w:sz w:val="24"/>
          <w:szCs w:val="24"/>
          <w:highlight w:val="none"/>
        </w:rPr>
      </w:pPr>
    </w:p>
    <w:p>
      <w:pPr>
        <w:snapToGrid w:val="0"/>
        <w:spacing w:line="360" w:lineRule="auto"/>
        <w:ind w:left="-23" w:leftChars="-11" w:right="-214" w:rightChars="-102" w:firstLine="24" w:firstLineChars="10"/>
        <w:jc w:val="center"/>
        <w:rPr>
          <w:b/>
          <w:color w:val="auto"/>
          <w:sz w:val="24"/>
          <w:szCs w:val="24"/>
          <w:highlight w:val="none"/>
        </w:rPr>
      </w:pPr>
      <w:r>
        <w:rPr>
          <w:b/>
          <w:color w:val="auto"/>
          <w:sz w:val="24"/>
          <w:szCs w:val="24"/>
          <w:highlight w:val="none"/>
        </w:rPr>
        <w:br w:type="page"/>
      </w:r>
    </w:p>
    <w:p>
      <w:pPr>
        <w:snapToGrid w:val="0"/>
        <w:spacing w:line="360" w:lineRule="auto"/>
        <w:ind w:left="-23" w:leftChars="-11" w:right="-214" w:rightChars="-102" w:firstLine="24" w:firstLineChars="10"/>
        <w:jc w:val="center"/>
        <w:rPr>
          <w:b/>
          <w:color w:val="auto"/>
          <w:sz w:val="24"/>
          <w:szCs w:val="24"/>
          <w:highlight w:val="none"/>
        </w:rPr>
      </w:pPr>
      <w:r>
        <w:rPr>
          <w:rFonts w:hint="eastAsia"/>
          <w:b/>
          <w:color w:val="auto"/>
          <w:sz w:val="24"/>
          <w:szCs w:val="24"/>
          <w:highlight w:val="none"/>
        </w:rPr>
        <w:t>（一）投</w:t>
      </w:r>
      <w:r>
        <w:rPr>
          <w:b/>
          <w:color w:val="auto"/>
          <w:sz w:val="24"/>
          <w:szCs w:val="24"/>
          <w:highlight w:val="none"/>
        </w:rPr>
        <w:t xml:space="preserve"> </w:t>
      </w:r>
      <w:r>
        <w:rPr>
          <w:rFonts w:hint="eastAsia"/>
          <w:b/>
          <w:color w:val="auto"/>
          <w:sz w:val="24"/>
          <w:szCs w:val="24"/>
          <w:highlight w:val="none"/>
        </w:rPr>
        <w:t>标</w:t>
      </w:r>
      <w:r>
        <w:rPr>
          <w:b/>
          <w:color w:val="auto"/>
          <w:sz w:val="24"/>
          <w:szCs w:val="24"/>
          <w:highlight w:val="none"/>
        </w:rPr>
        <w:t xml:space="preserve"> </w:t>
      </w:r>
      <w:r>
        <w:rPr>
          <w:rFonts w:hint="eastAsia"/>
          <w:b/>
          <w:color w:val="auto"/>
          <w:sz w:val="24"/>
          <w:szCs w:val="24"/>
          <w:highlight w:val="none"/>
        </w:rPr>
        <w:t>函</w:t>
      </w:r>
    </w:p>
    <w:p>
      <w:pPr>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（采购人、采购代理机构）               </w:t>
      </w:r>
    </w:p>
    <w:p>
      <w:pPr>
        <w:snapToGrid w:val="0"/>
        <w:spacing w:before="50" w:after="50"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szCs w:val="21"/>
          <w:highlight w:val="none"/>
        </w:rPr>
        <w:t>我方确认收到贵方关于</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），法定代表人（或《单位负责人授权书》中的授权代表）</w:t>
      </w:r>
      <w:r>
        <w:rPr>
          <w:rFonts w:hint="eastAsia" w:ascii="宋体" w:hAnsi="宋体"/>
          <w:color w:val="auto"/>
          <w:szCs w:val="21"/>
          <w:highlight w:val="none"/>
          <w:u w:val="single"/>
        </w:rPr>
        <w:t xml:space="preserve">        </w:t>
      </w:r>
      <w:r>
        <w:rPr>
          <w:rFonts w:hint="eastAsia" w:ascii="宋体" w:hAnsi="宋体"/>
          <w:color w:val="auto"/>
          <w:szCs w:val="21"/>
          <w:highlight w:val="none"/>
        </w:rPr>
        <w:t>作为我方代表，在此声明并同意：</w:t>
      </w:r>
    </w:p>
    <w:p>
      <w:pPr>
        <w:snapToGrid w:val="0"/>
        <w:spacing w:before="50" w:after="50"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szCs w:val="21"/>
          <w:highlight w:val="none"/>
        </w:rPr>
        <w:t>1.愿意遵守招标文件的各项规定，自愿参加投标，并已清楚招标文件的要求及有关文件规定，并严格按照招标文件的规定履行全部责任和义务。</w:t>
      </w:r>
    </w:p>
    <w:p>
      <w:pPr>
        <w:snapToGrid w:val="0"/>
        <w:spacing w:before="50" w:after="50"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szCs w:val="21"/>
          <w:highlight w:val="none"/>
        </w:rPr>
        <w:t>2.同意本投标文件的投标有效期从提交投标文件的截止之日起</w:t>
      </w:r>
      <w:r>
        <w:rPr>
          <w:rFonts w:hint="eastAsia" w:ascii="宋体" w:hAnsi="宋体"/>
          <w:color w:val="auto"/>
          <w:szCs w:val="21"/>
          <w:highlight w:val="none"/>
          <w:u w:val="single"/>
        </w:rPr>
        <w:t xml:space="preserve">     </w:t>
      </w:r>
      <w:r>
        <w:rPr>
          <w:rFonts w:hint="eastAsia" w:ascii="宋体" w:hAnsi="宋体"/>
          <w:color w:val="auto"/>
          <w:szCs w:val="21"/>
          <w:highlight w:val="none"/>
        </w:rPr>
        <w:t>日历天内有效。如果我方的投标被接受，则直至合同生效时止，本投标始终有效并不撤回已提交的投标文件。</w:t>
      </w:r>
    </w:p>
    <w:p>
      <w:pPr>
        <w:snapToGrid w:val="0"/>
        <w:spacing w:before="50" w:after="50"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szCs w:val="21"/>
          <w:highlight w:val="none"/>
        </w:rPr>
        <w:t>3.我</w:t>
      </w:r>
      <w:r>
        <w:rPr>
          <w:rFonts w:ascii="宋体" w:hAnsi="宋体"/>
          <w:color w:val="auto"/>
          <w:szCs w:val="21"/>
          <w:highlight w:val="none"/>
        </w:rPr>
        <w:t>方已详细审查并理解全部招标文件</w:t>
      </w:r>
      <w:r>
        <w:rPr>
          <w:rFonts w:hint="eastAsia" w:ascii="宋体" w:hAnsi="宋体"/>
          <w:color w:val="auto"/>
          <w:szCs w:val="21"/>
          <w:highlight w:val="none"/>
        </w:rPr>
        <w:t>，包括修改文件（如有）以及全部参考资料和有关附件，已经了解我方对于采购文件、采购过程、采购结果有依法进行询问、质疑、投诉的权利及进行询问、质疑、投诉的相关渠道、要求。我们同意放弃对招标文件提出不明或误解的一切权力。</w:t>
      </w:r>
    </w:p>
    <w:p>
      <w:pPr>
        <w:snapToGrid w:val="0"/>
        <w:spacing w:before="50" w:after="50"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szCs w:val="21"/>
          <w:highlight w:val="none"/>
        </w:rPr>
        <w:t>4.我方同意提供采购人或采购代理机构与评标委员会要求的有关投标的一切数据或资料。</w:t>
      </w:r>
    </w:p>
    <w:p>
      <w:pPr>
        <w:snapToGrid w:val="0"/>
        <w:spacing w:before="50" w:after="50"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szCs w:val="21"/>
          <w:highlight w:val="none"/>
        </w:rPr>
        <w:t>5.我们理解采购人或采购代理机构与评标委员会并无义务必须接受最低报价的投标或其它任何投标。</w:t>
      </w:r>
    </w:p>
    <w:p>
      <w:pPr>
        <w:snapToGrid w:val="0"/>
        <w:spacing w:before="50" w:after="50"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szCs w:val="21"/>
          <w:highlight w:val="none"/>
        </w:rPr>
        <w:t>6.如果我方未对招标文件全部要求作出实质性响应，则完全同意并接受按无效投标处理。</w:t>
      </w:r>
    </w:p>
    <w:p>
      <w:pPr>
        <w:snapToGrid w:val="0"/>
        <w:spacing w:before="50" w:after="50"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szCs w:val="21"/>
          <w:highlight w:val="none"/>
        </w:rPr>
        <w:t>7.我方证明提交的一切文件，无论是原件还是复印件均为准确、真实、有效、完整的，绝无任何虚假、伪造或者夸大。我们在此郑重承诺：在本次招标采购活动中，如有违法、违规、弄虚作假行为，所造成的损失、不良后果及法律责任，一律由我方承担。</w:t>
      </w:r>
    </w:p>
    <w:p>
      <w:pPr>
        <w:snapToGrid w:val="0"/>
        <w:spacing w:before="50" w:after="50"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szCs w:val="21"/>
          <w:highlight w:val="none"/>
        </w:rPr>
        <w:t>8.如果我们提供的声明或承诺不真实，则完全同意认定为我方提供虚假材料，并同意作相应处理。</w:t>
      </w:r>
    </w:p>
    <w:p>
      <w:pPr>
        <w:snapToGrid w:val="0"/>
        <w:spacing w:before="50" w:after="50" w:line="360" w:lineRule="auto"/>
        <w:ind w:left="-23" w:leftChars="-11" w:right="-214" w:rightChars="-102" w:firstLine="447" w:firstLineChars="213"/>
        <w:jc w:val="left"/>
        <w:rPr>
          <w:rFonts w:ascii="宋体" w:hAnsi="宋体"/>
          <w:color w:val="auto"/>
          <w:szCs w:val="21"/>
          <w:highlight w:val="none"/>
        </w:rPr>
      </w:pPr>
      <w:r>
        <w:rPr>
          <w:rFonts w:ascii="宋体" w:hAnsi="宋体"/>
          <w:color w:val="auto"/>
          <w:szCs w:val="21"/>
          <w:highlight w:val="none"/>
        </w:rPr>
        <w:t>9.如我方中标，承诺按照招标文件规定的金额、时间和方式支付采购代理服务费。因我方违约致使采购代理机构采取诉讼或仲裁等方式实现债权，为此支付的律师费、差旅费、执行费、评估费及其他实现债权的一切费用由我方承担。</w:t>
      </w:r>
    </w:p>
    <w:p>
      <w:pPr>
        <w:snapToGrid w:val="0"/>
        <w:spacing w:before="50" w:after="50"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szCs w:val="21"/>
          <w:highlight w:val="none"/>
        </w:rPr>
        <w:t>10.所有有关本次投标的函电请寄：</w:t>
      </w:r>
    </w:p>
    <w:p>
      <w:pPr>
        <w:snapToGrid w:val="0"/>
        <w:spacing w:line="36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邮编：</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电子邮箱：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w:t>
      </w:r>
      <w:r>
        <w:rPr>
          <w:rFonts w:hint="eastAsia" w:ascii="宋体" w:hAnsi="宋体"/>
          <w:color w:val="auto"/>
          <w:szCs w:val="21"/>
          <w:highlight w:val="none"/>
          <w:u w:val="single"/>
        </w:rPr>
        <w:t>填写全称并加盖公章</w:t>
      </w:r>
    </w:p>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法定代表人或授权代表签名：</w:t>
      </w:r>
      <w:r>
        <w:rPr>
          <w:rFonts w:ascii="宋体" w:hAnsi="宋体"/>
          <w:color w:val="auto"/>
          <w:szCs w:val="21"/>
          <w:highlight w:val="none"/>
          <w:u w:val="single"/>
        </w:rPr>
        <w:t xml:space="preserve"> ________________</w:t>
      </w:r>
      <w:r>
        <w:rPr>
          <w:rFonts w:ascii="宋体" w:hAnsi="宋体"/>
          <w:color w:val="auto"/>
          <w:szCs w:val="21"/>
          <w:highlight w:val="none"/>
        </w:rPr>
        <w:t>_</w:t>
      </w:r>
    </w:p>
    <w:p>
      <w:pPr>
        <w:snapToGrid w:val="0"/>
        <w:spacing w:line="360" w:lineRule="auto"/>
        <w:rPr>
          <w:rFonts w:ascii="宋体" w:hAnsi="宋体"/>
          <w:color w:val="auto"/>
          <w:szCs w:val="21"/>
          <w:highlight w:val="none"/>
        </w:rPr>
      </w:pPr>
      <w:r>
        <w:rPr>
          <w:rFonts w:hint="eastAsia" w:ascii="宋体" w:hAnsi="宋体"/>
          <w:color w:val="auto"/>
          <w:szCs w:val="21"/>
          <w:highlight w:val="none"/>
        </w:rPr>
        <w:t>日  期：</w:t>
      </w:r>
    </w:p>
    <w:p>
      <w:pPr>
        <w:pStyle w:val="4"/>
        <w:spacing w:before="240" w:after="240"/>
        <w:rPr>
          <w:bCs w:val="0"/>
          <w:color w:val="auto"/>
          <w:sz w:val="24"/>
          <w:szCs w:val="24"/>
          <w:highlight w:val="none"/>
        </w:rPr>
      </w:pPr>
    </w:p>
    <w:p>
      <w:pPr>
        <w:rPr>
          <w:color w:val="auto"/>
          <w:sz w:val="24"/>
          <w:szCs w:val="24"/>
          <w:highlight w:val="none"/>
        </w:rPr>
      </w:pPr>
    </w:p>
    <w:p>
      <w:pPr>
        <w:pStyle w:val="5"/>
        <w:spacing w:line="380" w:lineRule="exact"/>
        <w:rPr>
          <w:rFonts w:ascii="Times New Roman" w:hAnsi="Times New Roman"/>
          <w:bCs w:val="0"/>
          <w:color w:val="auto"/>
          <w:sz w:val="24"/>
          <w:szCs w:val="24"/>
          <w:highlight w:val="none"/>
        </w:rPr>
      </w:pPr>
      <w:bookmarkStart w:id="111" w:name="_Toc13219"/>
      <w:r>
        <w:rPr>
          <w:rFonts w:hint="eastAsia" w:ascii="Times New Roman" w:hAnsi="Times New Roman"/>
          <w:bCs w:val="0"/>
          <w:color w:val="auto"/>
          <w:sz w:val="24"/>
          <w:szCs w:val="24"/>
          <w:highlight w:val="none"/>
        </w:rPr>
        <w:t>（二）单位负责人授权书</w:t>
      </w:r>
      <w:bookmarkEnd w:id="111"/>
    </w:p>
    <w:p>
      <w:pPr>
        <w:pStyle w:val="3"/>
        <w:ind w:firstLine="0"/>
        <w:jc w:val="center"/>
        <w:rPr>
          <w:rFonts w:ascii="宋体" w:hAnsi="宋体"/>
          <w:color w:val="auto"/>
          <w:highlight w:val="none"/>
        </w:rPr>
      </w:pPr>
      <w:r>
        <w:rPr>
          <w:rFonts w:hint="eastAsia" w:ascii="宋体" w:hAnsi="宋体" w:cs="宋体"/>
          <w:bCs/>
          <w:color w:val="auto"/>
          <w:sz w:val="24"/>
          <w:highlight w:val="none"/>
        </w:rPr>
        <w:t>（单位负责人来投标的，此表不用）</w:t>
      </w:r>
    </w:p>
    <w:p>
      <w:pPr>
        <w:pStyle w:val="3"/>
        <w:ind w:firstLine="0"/>
        <w:rPr>
          <w:rFonts w:ascii="宋体" w:hAnsi="宋体"/>
          <w:color w:val="auto"/>
          <w:sz w:val="21"/>
          <w:szCs w:val="21"/>
          <w:highlight w:val="none"/>
        </w:rPr>
      </w:pPr>
      <w:r>
        <w:rPr>
          <w:rFonts w:hint="eastAsia" w:ascii="宋体" w:hAnsi="宋体"/>
          <w:color w:val="auto"/>
          <w:sz w:val="21"/>
          <w:szCs w:val="21"/>
          <w:highlight w:val="none"/>
          <w:u w:val="single"/>
        </w:rPr>
        <w:t xml:space="preserve">  致 （</w:t>
      </w:r>
      <w:r>
        <w:rPr>
          <w:rFonts w:hint="eastAsia" w:ascii="宋体" w:hAnsi="宋体"/>
          <w:i/>
          <w:color w:val="auto"/>
          <w:sz w:val="21"/>
          <w:szCs w:val="21"/>
          <w:highlight w:val="none"/>
          <w:u w:val="single"/>
        </w:rPr>
        <w:t>采购代理机构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pStyle w:val="3"/>
        <w:ind w:firstLine="0"/>
        <w:rPr>
          <w:rFonts w:ascii="宋体" w:hAnsi="宋体"/>
          <w:color w:val="auto"/>
          <w:sz w:val="21"/>
          <w:szCs w:val="21"/>
          <w:highlight w:val="none"/>
        </w:rPr>
      </w:pPr>
    </w:p>
    <w:p>
      <w:pPr>
        <w:pStyle w:val="3"/>
        <w:spacing w:line="500" w:lineRule="exact"/>
        <w:ind w:firstLine="0"/>
        <w:rPr>
          <w:rFonts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i/>
          <w:color w:val="auto"/>
          <w:sz w:val="21"/>
          <w:szCs w:val="21"/>
          <w:highlight w:val="none"/>
          <w:u w:val="single"/>
        </w:rPr>
        <w:t>投标人全称</w:t>
      </w:r>
      <w:r>
        <w:rPr>
          <w:rFonts w:hint="eastAsia" w:ascii="宋体" w:hAnsi="宋体"/>
          <w:color w:val="auto"/>
          <w:sz w:val="21"/>
          <w:szCs w:val="21"/>
          <w:highlight w:val="none"/>
          <w:u w:val="single"/>
        </w:rPr>
        <w:t xml:space="preserve">）      </w:t>
      </w:r>
      <w:r>
        <w:rPr>
          <w:rFonts w:hint="eastAsia" w:ascii="宋体" w:hAnsi="宋体"/>
          <w:i/>
          <w:color w:val="auto"/>
          <w:sz w:val="21"/>
          <w:szCs w:val="21"/>
          <w:highlight w:val="none"/>
          <w:u w:val="single"/>
        </w:rPr>
        <w:t>（姓名、职务）</w:t>
      </w:r>
      <w:r>
        <w:rPr>
          <w:rFonts w:hint="eastAsia" w:ascii="宋体" w:hAnsi="宋体"/>
          <w:color w:val="auto"/>
          <w:sz w:val="21"/>
          <w:szCs w:val="21"/>
          <w:highlight w:val="none"/>
        </w:rPr>
        <w:t>授权</w:t>
      </w:r>
      <w:r>
        <w:rPr>
          <w:rFonts w:hint="eastAsia" w:ascii="宋体" w:hAnsi="宋体"/>
          <w:color w:val="auto"/>
          <w:sz w:val="21"/>
          <w:szCs w:val="21"/>
          <w:highlight w:val="none"/>
          <w:u w:val="single"/>
        </w:rPr>
        <w:t xml:space="preserve">   （</w:t>
      </w:r>
      <w:r>
        <w:rPr>
          <w:rFonts w:hint="eastAsia" w:ascii="宋体" w:hAnsi="宋体"/>
          <w:i/>
          <w:color w:val="auto"/>
          <w:sz w:val="21"/>
          <w:szCs w:val="21"/>
          <w:highlight w:val="none"/>
          <w:u w:val="single"/>
        </w:rPr>
        <w:t>被授权代表姓名、职务</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为本公司合法代理人，参加贵采购代理机构组织的</w:t>
      </w:r>
      <w:r>
        <w:rPr>
          <w:rFonts w:hint="eastAsia" w:ascii="宋体" w:hAnsi="宋体"/>
          <w:i/>
          <w:color w:val="auto"/>
          <w:sz w:val="21"/>
          <w:szCs w:val="21"/>
          <w:highlight w:val="none"/>
          <w:u w:val="single"/>
        </w:rPr>
        <w:t>（招标编号）</w:t>
      </w:r>
      <w:r>
        <w:rPr>
          <w:rFonts w:hint="eastAsia" w:ascii="宋体" w:hAnsi="宋体"/>
          <w:color w:val="auto"/>
          <w:sz w:val="21"/>
          <w:szCs w:val="21"/>
          <w:highlight w:val="none"/>
          <w:u w:val="single"/>
        </w:rPr>
        <w:t xml:space="preserve"> (</w:t>
      </w:r>
      <w:r>
        <w:rPr>
          <w:rFonts w:hint="eastAsia" w:ascii="宋体" w:hAnsi="宋体"/>
          <w:i/>
          <w:color w:val="auto"/>
          <w:sz w:val="21"/>
          <w:szCs w:val="21"/>
          <w:highlight w:val="none"/>
          <w:u w:val="single"/>
        </w:rPr>
        <w:t>项目名称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项目的招标投标活动，代表本公司处理招标投标活动中的一切事宜。</w:t>
      </w:r>
    </w:p>
    <w:p>
      <w:pPr>
        <w:pStyle w:val="3"/>
        <w:spacing w:line="500" w:lineRule="exact"/>
        <w:ind w:firstLine="0"/>
        <w:rPr>
          <w:rFonts w:ascii="宋体" w:hAnsi="宋体"/>
          <w:color w:val="auto"/>
          <w:sz w:val="21"/>
          <w:szCs w:val="21"/>
          <w:highlight w:val="none"/>
          <w:u w:val="single"/>
        </w:rPr>
      </w:pPr>
      <w:r>
        <w:rPr>
          <w:rFonts w:hint="eastAsia" w:ascii="宋体" w:hAnsi="宋体"/>
          <w:color w:val="auto"/>
          <w:sz w:val="21"/>
          <w:szCs w:val="21"/>
          <w:highlight w:val="none"/>
        </w:rPr>
        <w:t xml:space="preserve">     本授权书于 年 月 日签字生效,特此声明。</w:t>
      </w:r>
    </w:p>
    <w:p>
      <w:pPr>
        <w:pStyle w:val="3"/>
        <w:spacing w:line="500" w:lineRule="exact"/>
        <w:ind w:firstLine="0"/>
        <w:rPr>
          <w:rFonts w:ascii="宋体" w:hAnsi="宋体"/>
          <w:color w:val="auto"/>
          <w:sz w:val="21"/>
          <w:szCs w:val="21"/>
          <w:highlight w:val="none"/>
        </w:rPr>
      </w:pPr>
    </w:p>
    <w:p>
      <w:pPr>
        <w:pStyle w:val="3"/>
        <w:ind w:firstLine="0"/>
        <w:rPr>
          <w:rFonts w:ascii="宋体" w:hAnsi="宋体"/>
          <w:color w:val="auto"/>
          <w:sz w:val="21"/>
          <w:szCs w:val="21"/>
          <w:highlight w:val="none"/>
        </w:rPr>
      </w:pPr>
      <w:r>
        <w:rPr>
          <w:rFonts w:hint="eastAsia" w:ascii="宋体" w:hAnsi="宋体"/>
          <w:color w:val="auto"/>
          <w:sz w:val="21"/>
          <w:szCs w:val="21"/>
          <w:highlight w:val="none"/>
        </w:rPr>
        <w:t xml:space="preserve">                                          单位负责人（签字或印章）：</w:t>
      </w:r>
    </w:p>
    <w:p>
      <w:pPr>
        <w:pStyle w:val="3"/>
        <w:ind w:firstLine="0"/>
        <w:rPr>
          <w:rFonts w:ascii="宋体" w:hAnsi="宋体"/>
          <w:color w:val="auto"/>
          <w:sz w:val="21"/>
          <w:szCs w:val="21"/>
          <w:highlight w:val="none"/>
        </w:rPr>
      </w:pPr>
    </w:p>
    <w:p>
      <w:pPr>
        <w:pStyle w:val="3"/>
        <w:ind w:firstLine="0"/>
        <w:rPr>
          <w:rFonts w:ascii="宋体" w:hAnsi="宋体"/>
          <w:color w:val="auto"/>
          <w:sz w:val="21"/>
          <w:szCs w:val="21"/>
          <w:highlight w:val="none"/>
        </w:rPr>
      </w:pPr>
      <w:r>
        <w:rPr>
          <w:rFonts w:hint="eastAsia" w:ascii="宋体" w:hAnsi="宋体"/>
          <w:color w:val="auto"/>
          <w:sz w:val="21"/>
          <w:szCs w:val="21"/>
          <w:highlight w:val="none"/>
        </w:rPr>
        <w:t xml:space="preserve">                                          投标人单位全称（公章）：</w:t>
      </w:r>
    </w:p>
    <w:p>
      <w:pPr>
        <w:pStyle w:val="3"/>
        <w:ind w:firstLine="0"/>
        <w:rPr>
          <w:rFonts w:ascii="宋体" w:hAnsi="宋体"/>
          <w:color w:val="auto"/>
          <w:sz w:val="21"/>
          <w:szCs w:val="21"/>
          <w:highlight w:val="none"/>
        </w:rPr>
      </w:pPr>
    </w:p>
    <w:p>
      <w:pPr>
        <w:pStyle w:val="3"/>
        <w:ind w:firstLine="0"/>
        <w:rPr>
          <w:rFonts w:ascii="宋体" w:hAnsi="宋体"/>
          <w:color w:val="auto"/>
          <w:sz w:val="21"/>
          <w:szCs w:val="21"/>
          <w:highlight w:val="none"/>
        </w:rPr>
      </w:pPr>
      <w:r>
        <w:rPr>
          <w:rFonts w:hint="eastAsia" w:ascii="宋体" w:hAnsi="宋体"/>
          <w:color w:val="auto"/>
          <w:sz w:val="21"/>
          <w:szCs w:val="21"/>
          <w:highlight w:val="none"/>
        </w:rPr>
        <w:t xml:space="preserve">                                          日  期：</w:t>
      </w:r>
    </w:p>
    <w:p>
      <w:pPr>
        <w:pStyle w:val="3"/>
        <w:ind w:firstLine="0"/>
        <w:rPr>
          <w:rFonts w:ascii="宋体" w:hAnsi="宋体"/>
          <w:color w:val="auto"/>
          <w:sz w:val="21"/>
          <w:szCs w:val="21"/>
          <w:highlight w:val="none"/>
        </w:rPr>
      </w:pPr>
      <w:r>
        <w:rPr>
          <w:rFonts w:hint="eastAsia" w:ascii="宋体" w:hAnsi="宋体"/>
          <w:color w:val="auto"/>
          <w:sz w:val="21"/>
          <w:szCs w:val="21"/>
          <w:highlight w:val="none"/>
        </w:rPr>
        <w:t>附：</w:t>
      </w:r>
    </w:p>
    <w:p>
      <w:pPr>
        <w:pStyle w:val="3"/>
        <w:ind w:firstLine="0"/>
        <w:rPr>
          <w:rFonts w:ascii="宋体" w:hAnsi="宋体"/>
          <w:color w:val="auto"/>
          <w:sz w:val="21"/>
          <w:szCs w:val="21"/>
          <w:highlight w:val="none"/>
        </w:rPr>
      </w:pPr>
      <w:r>
        <w:rPr>
          <w:rFonts w:hint="eastAsia" w:ascii="宋体" w:hAnsi="宋体"/>
          <w:color w:val="auto"/>
          <w:sz w:val="21"/>
          <w:szCs w:val="21"/>
          <w:highlight w:val="none"/>
        </w:rPr>
        <w:t xml:space="preserve">  被授权代表姓名：（印刷体）</w:t>
      </w:r>
    </w:p>
    <w:p>
      <w:pPr>
        <w:pStyle w:val="3"/>
        <w:ind w:firstLine="0"/>
        <w:rPr>
          <w:rFonts w:ascii="宋体" w:hAnsi="宋体"/>
          <w:color w:val="auto"/>
          <w:sz w:val="21"/>
          <w:szCs w:val="21"/>
          <w:highlight w:val="none"/>
        </w:rPr>
      </w:pPr>
      <w:r>
        <w:rPr>
          <w:rFonts w:hint="eastAsia" w:ascii="宋体" w:hAnsi="宋体"/>
          <w:color w:val="auto"/>
          <w:sz w:val="21"/>
          <w:szCs w:val="21"/>
          <w:highlight w:val="none"/>
        </w:rPr>
        <w:t xml:space="preserve">  职          务：</w:t>
      </w:r>
    </w:p>
    <w:p>
      <w:pPr>
        <w:pStyle w:val="3"/>
        <w:ind w:firstLine="235"/>
        <w:rPr>
          <w:rFonts w:ascii="宋体" w:hAnsi="宋体"/>
          <w:color w:val="auto"/>
          <w:sz w:val="21"/>
          <w:szCs w:val="21"/>
          <w:highlight w:val="none"/>
        </w:rPr>
      </w:pPr>
      <w:r>
        <w:rPr>
          <w:rFonts w:hint="eastAsia" w:ascii="宋体" w:hAnsi="宋体"/>
          <w:color w:val="auto"/>
          <w:sz w:val="21"/>
          <w:szCs w:val="21"/>
          <w:highlight w:val="none"/>
        </w:rPr>
        <w:t>被授权代表签字：</w:t>
      </w:r>
    </w:p>
    <w:p>
      <w:pPr>
        <w:pStyle w:val="3"/>
        <w:ind w:firstLine="0"/>
        <w:rPr>
          <w:rFonts w:ascii="宋体" w:hAnsi="宋体"/>
          <w:color w:val="auto"/>
          <w:sz w:val="21"/>
          <w:szCs w:val="21"/>
          <w:highlight w:val="none"/>
        </w:rPr>
      </w:pPr>
      <w:r>
        <w:rPr>
          <w:rFonts w:hint="eastAsia" w:ascii="宋体" w:hAnsi="宋体"/>
          <w:color w:val="auto"/>
          <w:sz w:val="21"/>
          <w:szCs w:val="21"/>
          <w:highlight w:val="none"/>
        </w:rPr>
        <w:t xml:space="preserve">  详细通讯地址：</w:t>
      </w:r>
    </w:p>
    <w:p>
      <w:pPr>
        <w:pStyle w:val="3"/>
        <w:ind w:firstLine="0"/>
        <w:rPr>
          <w:rFonts w:ascii="宋体" w:hAnsi="宋体"/>
          <w:color w:val="auto"/>
          <w:sz w:val="21"/>
          <w:szCs w:val="21"/>
          <w:highlight w:val="none"/>
        </w:rPr>
      </w:pPr>
      <w:r>
        <w:rPr>
          <w:rFonts w:hint="eastAsia" w:ascii="宋体" w:hAnsi="宋体"/>
          <w:color w:val="auto"/>
          <w:sz w:val="21"/>
          <w:szCs w:val="21"/>
          <w:highlight w:val="none"/>
        </w:rPr>
        <w:t xml:space="preserve">  邮 政 编  码：</w:t>
      </w:r>
    </w:p>
    <w:p>
      <w:pPr>
        <w:pStyle w:val="3"/>
        <w:ind w:firstLine="0"/>
        <w:rPr>
          <w:rFonts w:ascii="宋体" w:hAnsi="宋体"/>
          <w:color w:val="auto"/>
          <w:sz w:val="21"/>
          <w:szCs w:val="21"/>
          <w:highlight w:val="none"/>
        </w:rPr>
      </w:pPr>
      <w:r>
        <w:rPr>
          <w:rFonts w:hint="eastAsia" w:ascii="宋体" w:hAnsi="宋体"/>
          <w:color w:val="auto"/>
          <w:sz w:val="21"/>
          <w:szCs w:val="21"/>
          <w:highlight w:val="none"/>
        </w:rPr>
        <w:t xml:space="preserve">  传        真：</w:t>
      </w:r>
    </w:p>
    <w:p>
      <w:pPr>
        <w:pStyle w:val="3"/>
        <w:ind w:firstLine="0"/>
        <w:rPr>
          <w:rFonts w:ascii="宋体" w:hAnsi="宋体"/>
          <w:color w:val="auto"/>
          <w:sz w:val="21"/>
          <w:szCs w:val="21"/>
          <w:highlight w:val="none"/>
        </w:rPr>
      </w:pPr>
      <w:r>
        <w:rPr>
          <w:rFonts w:hint="eastAsia" w:ascii="宋体" w:hAnsi="宋体"/>
          <w:color w:val="auto"/>
          <w:sz w:val="21"/>
          <w:szCs w:val="21"/>
          <w:highlight w:val="none"/>
        </w:rPr>
        <w:t xml:space="preserve">  电        话：</w:t>
      </w:r>
    </w:p>
    <w:p>
      <w:pPr>
        <w:ind w:firstLine="207" w:firstLineChars="98"/>
        <w:rPr>
          <w:rFonts w:ascii="宋体" w:hAnsi="宋体"/>
          <w:b/>
          <w:color w:val="auto"/>
          <w:szCs w:val="21"/>
          <w:highlight w:val="none"/>
        </w:rPr>
      </w:pPr>
      <w:r>
        <w:rPr>
          <w:rFonts w:hint="eastAsia" w:ascii="宋体" w:hAnsi="宋体"/>
          <w:b/>
          <w:color w:val="auto"/>
          <w:szCs w:val="21"/>
          <w:highlight w:val="none"/>
        </w:rPr>
        <w:t>附：单位负责人及被授权人身份证复印件</w:t>
      </w:r>
    </w:p>
    <w:p>
      <w:pPr>
        <w:widowControl/>
        <w:jc w:val="left"/>
        <w:rPr>
          <w:rFonts w:ascii="宋体" w:hAnsi="宋体"/>
          <w:b/>
          <w:color w:val="auto"/>
          <w:szCs w:val="21"/>
          <w:highlight w:val="none"/>
        </w:rPr>
      </w:pPr>
      <w:r>
        <w:rPr>
          <w:rFonts w:ascii="宋体" w:hAnsi="宋体"/>
          <w:b/>
          <w:color w:val="auto"/>
          <w:szCs w:val="21"/>
          <w:highlight w:val="none"/>
        </w:rPr>
        <w:br w:type="page"/>
      </w:r>
    </w:p>
    <w:p>
      <w:pPr>
        <w:pStyle w:val="5"/>
        <w:spacing w:line="380" w:lineRule="exact"/>
        <w:rPr>
          <w:rFonts w:ascii="Times New Roman" w:hAnsi="Times New Roman"/>
          <w:bCs w:val="0"/>
          <w:color w:val="auto"/>
          <w:sz w:val="24"/>
          <w:szCs w:val="24"/>
          <w:highlight w:val="none"/>
        </w:rPr>
      </w:pPr>
      <w:bookmarkStart w:id="112" w:name="_Toc29440"/>
      <w:r>
        <w:rPr>
          <w:rFonts w:hint="eastAsia" w:ascii="Times New Roman" w:hAnsi="Times New Roman"/>
          <w:bCs w:val="0"/>
          <w:color w:val="auto"/>
          <w:sz w:val="24"/>
          <w:szCs w:val="24"/>
          <w:highlight w:val="none"/>
        </w:rPr>
        <w:t>单位负责人身份证明</w:t>
      </w:r>
      <w:bookmarkEnd w:id="112"/>
    </w:p>
    <w:p>
      <w:pPr>
        <w:pStyle w:val="3"/>
        <w:ind w:firstLine="0"/>
        <w:jc w:val="center"/>
        <w:rPr>
          <w:rFonts w:ascii="宋体" w:hAnsi="宋体" w:cs="宋体"/>
          <w:bCs/>
          <w:color w:val="auto"/>
          <w:sz w:val="24"/>
          <w:highlight w:val="none"/>
        </w:rPr>
      </w:pPr>
      <w:r>
        <w:rPr>
          <w:rFonts w:hint="eastAsia" w:ascii="宋体" w:hAnsi="宋体" w:cs="宋体"/>
          <w:bCs/>
          <w:color w:val="auto"/>
          <w:sz w:val="24"/>
          <w:highlight w:val="none"/>
        </w:rPr>
        <w:t>（单位负责人不来投标的，此表不用）</w:t>
      </w:r>
    </w:p>
    <w:p>
      <w:pPr>
        <w:spacing w:line="480" w:lineRule="auto"/>
        <w:ind w:firstLine="420" w:firstLineChars="200"/>
        <w:rPr>
          <w:rFonts w:ascii="宋体" w:hAnsi="宋体" w:cs="宋体"/>
          <w:color w:val="auto"/>
          <w:szCs w:val="21"/>
          <w:highlight w:val="none"/>
        </w:rPr>
      </w:pP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成立时间：年月＿日</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姓名：性别：年龄：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职务：_</w:t>
      </w:r>
    </w:p>
    <w:p>
      <w:pP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                 （投标人名称）的法定代表人。</w:t>
      </w:r>
    </w:p>
    <w:p>
      <w:pP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投标人：（盖单位公章）</w:t>
      </w:r>
    </w:p>
    <w:p>
      <w:pPr>
        <w:spacing w:line="360" w:lineRule="auto"/>
        <w:ind w:firstLine="4515" w:firstLineChars="2150"/>
        <w:rPr>
          <w:rFonts w:ascii="宋体" w:hAnsi="宋体" w:cs="宋体"/>
          <w:color w:val="auto"/>
          <w:szCs w:val="21"/>
          <w:highlight w:val="none"/>
          <w:u w:val="single"/>
        </w:rPr>
      </w:pPr>
    </w:p>
    <w:p>
      <w:pPr>
        <w:spacing w:line="360" w:lineRule="auto"/>
        <w:ind w:firstLine="3675" w:firstLineChars="1750"/>
        <w:jc w:val="right"/>
        <w:rPr>
          <w:rFonts w:ascii="宋体" w:hAnsi="宋体" w:cs="宋体"/>
          <w:color w:val="auto"/>
          <w:szCs w:val="21"/>
          <w:highlight w:val="none"/>
        </w:rPr>
      </w:pPr>
      <w:r>
        <w:rPr>
          <w:rFonts w:hint="eastAsia" w:ascii="宋体" w:hAnsi="宋体" w:cs="宋体"/>
          <w:color w:val="auto"/>
          <w:szCs w:val="21"/>
          <w:highlight w:val="none"/>
        </w:rPr>
        <w:t>年月日</w:t>
      </w:r>
    </w:p>
    <w:p>
      <w:pPr>
        <w:spacing w:line="360" w:lineRule="auto"/>
        <w:rPr>
          <w:rFonts w:ascii="宋体" w:hAnsi="宋体" w:cs="宋体"/>
          <w:color w:val="auto"/>
          <w:sz w:val="24"/>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附</w:t>
      </w:r>
      <w:r>
        <w:rPr>
          <w:rFonts w:hint="eastAsia" w:ascii="宋体" w:hAnsi="宋体"/>
          <w:b/>
          <w:color w:val="auto"/>
          <w:szCs w:val="21"/>
          <w:highlight w:val="none"/>
        </w:rPr>
        <w:t>单位负责人</w:t>
      </w:r>
      <w:r>
        <w:rPr>
          <w:rFonts w:hint="eastAsia" w:ascii="宋体" w:hAnsi="宋体" w:cs="宋体"/>
          <w:b/>
          <w:color w:val="auto"/>
          <w:szCs w:val="21"/>
          <w:highlight w:val="none"/>
        </w:rPr>
        <w:t>身份证复印件（正反面）：</w:t>
      </w:r>
    </w:p>
    <w:p>
      <w:pPr>
        <w:rPr>
          <w:color w:val="auto"/>
          <w:highlight w:val="none"/>
        </w:rPr>
      </w:pPr>
    </w:p>
    <w:p>
      <w:pPr>
        <w:pStyle w:val="4"/>
        <w:spacing w:before="240" w:after="240"/>
        <w:rPr>
          <w:color w:val="auto"/>
          <w:highlight w:val="none"/>
        </w:rPr>
      </w:pPr>
    </w:p>
    <w:p>
      <w:pPr>
        <w:rPr>
          <w:color w:val="auto"/>
          <w:highlight w:val="none"/>
        </w:rPr>
      </w:pPr>
    </w:p>
    <w:p>
      <w:pPr>
        <w:pStyle w:val="5"/>
        <w:spacing w:line="380" w:lineRule="exact"/>
        <w:rPr>
          <w:rFonts w:ascii="Times New Roman" w:hAnsi="Times New Roman"/>
          <w:bCs w:val="0"/>
          <w:color w:val="auto"/>
          <w:sz w:val="24"/>
          <w:szCs w:val="24"/>
          <w:highlight w:val="none"/>
        </w:rPr>
      </w:pPr>
      <w:bookmarkStart w:id="113" w:name="_Toc520902412"/>
    </w:p>
    <w:p>
      <w:pPr>
        <w:rPr>
          <w:color w:val="auto"/>
          <w:sz w:val="24"/>
          <w:szCs w:val="24"/>
          <w:highlight w:val="none"/>
        </w:rPr>
      </w:pPr>
    </w:p>
    <w:p>
      <w:pPr>
        <w:pStyle w:val="4"/>
        <w:spacing w:before="240" w:after="240"/>
        <w:rPr>
          <w:bCs w:val="0"/>
          <w:color w:val="auto"/>
          <w:sz w:val="24"/>
          <w:szCs w:val="24"/>
          <w:highlight w:val="none"/>
        </w:rPr>
      </w:pPr>
    </w:p>
    <w:p>
      <w:pPr>
        <w:rPr>
          <w:color w:val="auto"/>
          <w:highlight w:val="none"/>
        </w:rPr>
      </w:pPr>
    </w:p>
    <w:p>
      <w:pPr>
        <w:rPr>
          <w:rFonts w:hint="eastAsia" w:ascii="Times New Roman" w:hAnsi="Times New Roman"/>
          <w:bCs w:val="0"/>
          <w:color w:val="auto"/>
          <w:sz w:val="24"/>
          <w:szCs w:val="24"/>
          <w:highlight w:val="none"/>
        </w:rPr>
      </w:pPr>
      <w:bookmarkStart w:id="114" w:name="_Toc5325"/>
      <w:r>
        <w:rPr>
          <w:rFonts w:hint="eastAsia" w:ascii="Times New Roman" w:hAnsi="Times New Roman"/>
          <w:bCs w:val="0"/>
          <w:color w:val="auto"/>
          <w:sz w:val="24"/>
          <w:szCs w:val="24"/>
          <w:highlight w:val="none"/>
        </w:rPr>
        <w:br w:type="page"/>
      </w:r>
    </w:p>
    <w:p>
      <w:pPr>
        <w:pStyle w:val="5"/>
        <w:spacing w:line="380" w:lineRule="exact"/>
        <w:rPr>
          <w:rFonts w:ascii="Times New Roman" w:hAnsi="Times New Roman"/>
          <w:bCs w:val="0"/>
          <w:color w:val="auto"/>
          <w:sz w:val="24"/>
          <w:szCs w:val="24"/>
          <w:highlight w:val="none"/>
        </w:rPr>
      </w:pPr>
      <w:r>
        <w:rPr>
          <w:rFonts w:hint="eastAsia" w:ascii="Times New Roman" w:hAnsi="Times New Roman"/>
          <w:bCs w:val="0"/>
          <w:color w:val="auto"/>
          <w:sz w:val="24"/>
          <w:szCs w:val="24"/>
          <w:highlight w:val="none"/>
        </w:rPr>
        <w:t>（三）</w:t>
      </w:r>
      <w:bookmarkEnd w:id="113"/>
      <w:r>
        <w:rPr>
          <w:rFonts w:hint="eastAsia" w:ascii="Times New Roman" w:hAnsi="Times New Roman"/>
          <w:bCs w:val="0"/>
          <w:color w:val="auto"/>
          <w:sz w:val="24"/>
          <w:szCs w:val="24"/>
          <w:highlight w:val="none"/>
        </w:rPr>
        <w:t>投标单位情况一览表</w:t>
      </w:r>
      <w:bookmarkEnd w:id="114"/>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投标人名称</w:t>
            </w:r>
          </w:p>
        </w:tc>
        <w:tc>
          <w:tcPr>
            <w:tcW w:w="7149" w:type="dxa"/>
            <w:gridSpan w:val="8"/>
            <w:noWrap w:val="0"/>
            <w:vAlign w:val="center"/>
          </w:tcPr>
          <w:p>
            <w:pPr>
              <w:pStyle w:val="48"/>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注册地址</w:t>
            </w:r>
          </w:p>
        </w:tc>
        <w:tc>
          <w:tcPr>
            <w:tcW w:w="3347" w:type="dxa"/>
            <w:gridSpan w:val="3"/>
            <w:noWrap w:val="0"/>
            <w:vAlign w:val="center"/>
          </w:tcPr>
          <w:p>
            <w:pPr>
              <w:pStyle w:val="48"/>
              <w:jc w:val="center"/>
              <w:rPr>
                <w:color w:val="auto"/>
                <w:sz w:val="24"/>
                <w:szCs w:val="24"/>
                <w:highlight w:val="none"/>
                <w:lang w:val="en-US"/>
              </w:rPr>
            </w:pPr>
          </w:p>
        </w:tc>
        <w:tc>
          <w:tcPr>
            <w:tcW w:w="1268" w:type="dxa"/>
            <w:gridSpan w:val="2"/>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邮政编码</w:t>
            </w:r>
          </w:p>
        </w:tc>
        <w:tc>
          <w:tcPr>
            <w:tcW w:w="2534" w:type="dxa"/>
            <w:gridSpan w:val="3"/>
            <w:noWrap w:val="0"/>
            <w:vAlign w:val="center"/>
          </w:tcPr>
          <w:p>
            <w:pPr>
              <w:pStyle w:val="48"/>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联系方式</w:t>
            </w:r>
          </w:p>
        </w:tc>
        <w:tc>
          <w:tcPr>
            <w:tcW w:w="85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联系人</w:t>
            </w:r>
          </w:p>
        </w:tc>
        <w:tc>
          <w:tcPr>
            <w:tcW w:w="2496" w:type="dxa"/>
            <w:gridSpan w:val="2"/>
            <w:noWrap w:val="0"/>
            <w:vAlign w:val="center"/>
          </w:tcPr>
          <w:p>
            <w:pPr>
              <w:pStyle w:val="48"/>
              <w:jc w:val="center"/>
              <w:rPr>
                <w:color w:val="auto"/>
                <w:sz w:val="24"/>
                <w:szCs w:val="24"/>
                <w:highlight w:val="none"/>
                <w:lang w:val="en-US"/>
              </w:rPr>
            </w:pPr>
          </w:p>
        </w:tc>
        <w:tc>
          <w:tcPr>
            <w:tcW w:w="1268" w:type="dxa"/>
            <w:gridSpan w:val="2"/>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电话</w:t>
            </w:r>
          </w:p>
        </w:tc>
        <w:tc>
          <w:tcPr>
            <w:tcW w:w="2534" w:type="dxa"/>
            <w:gridSpan w:val="3"/>
            <w:noWrap w:val="0"/>
            <w:vAlign w:val="center"/>
          </w:tcPr>
          <w:p>
            <w:pPr>
              <w:pStyle w:val="48"/>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noWrap w:val="0"/>
            <w:vAlign w:val="center"/>
          </w:tcPr>
          <w:p>
            <w:pPr>
              <w:pStyle w:val="48"/>
              <w:jc w:val="center"/>
              <w:rPr>
                <w:color w:val="auto"/>
                <w:sz w:val="24"/>
                <w:szCs w:val="24"/>
                <w:highlight w:val="none"/>
                <w:lang w:val="en-US"/>
              </w:rPr>
            </w:pPr>
          </w:p>
        </w:tc>
        <w:tc>
          <w:tcPr>
            <w:tcW w:w="85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传真</w:t>
            </w:r>
          </w:p>
        </w:tc>
        <w:tc>
          <w:tcPr>
            <w:tcW w:w="2496" w:type="dxa"/>
            <w:gridSpan w:val="2"/>
            <w:noWrap w:val="0"/>
            <w:vAlign w:val="center"/>
          </w:tcPr>
          <w:p>
            <w:pPr>
              <w:pStyle w:val="48"/>
              <w:jc w:val="center"/>
              <w:rPr>
                <w:color w:val="auto"/>
                <w:sz w:val="24"/>
                <w:szCs w:val="24"/>
                <w:highlight w:val="none"/>
                <w:lang w:val="en-US"/>
              </w:rPr>
            </w:pPr>
          </w:p>
        </w:tc>
        <w:tc>
          <w:tcPr>
            <w:tcW w:w="1268" w:type="dxa"/>
            <w:gridSpan w:val="2"/>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电子邮址</w:t>
            </w:r>
          </w:p>
        </w:tc>
        <w:tc>
          <w:tcPr>
            <w:tcW w:w="2534" w:type="dxa"/>
            <w:gridSpan w:val="3"/>
            <w:noWrap w:val="0"/>
            <w:vAlign w:val="center"/>
          </w:tcPr>
          <w:p>
            <w:pPr>
              <w:pStyle w:val="48"/>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法定代表人</w:t>
            </w:r>
          </w:p>
        </w:tc>
        <w:tc>
          <w:tcPr>
            <w:tcW w:w="85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姓名</w:t>
            </w:r>
          </w:p>
        </w:tc>
        <w:tc>
          <w:tcPr>
            <w:tcW w:w="1276" w:type="dxa"/>
            <w:noWrap w:val="0"/>
            <w:vAlign w:val="center"/>
          </w:tcPr>
          <w:p>
            <w:pPr>
              <w:pStyle w:val="48"/>
              <w:jc w:val="center"/>
              <w:rPr>
                <w:color w:val="auto"/>
                <w:sz w:val="24"/>
                <w:szCs w:val="24"/>
                <w:highlight w:val="none"/>
                <w:lang w:val="en-US"/>
              </w:rPr>
            </w:pPr>
          </w:p>
        </w:tc>
        <w:tc>
          <w:tcPr>
            <w:tcW w:w="1220"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技术职称</w:t>
            </w:r>
          </w:p>
        </w:tc>
        <w:tc>
          <w:tcPr>
            <w:tcW w:w="1268" w:type="dxa"/>
            <w:gridSpan w:val="2"/>
            <w:noWrap w:val="0"/>
            <w:vAlign w:val="center"/>
          </w:tcPr>
          <w:p>
            <w:pPr>
              <w:pStyle w:val="48"/>
              <w:jc w:val="center"/>
              <w:rPr>
                <w:color w:val="auto"/>
                <w:sz w:val="24"/>
                <w:szCs w:val="24"/>
                <w:highlight w:val="none"/>
                <w:lang w:val="en-US"/>
              </w:rPr>
            </w:pPr>
          </w:p>
        </w:tc>
        <w:tc>
          <w:tcPr>
            <w:tcW w:w="794"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电话</w:t>
            </w:r>
          </w:p>
        </w:tc>
        <w:tc>
          <w:tcPr>
            <w:tcW w:w="1740" w:type="dxa"/>
            <w:gridSpan w:val="2"/>
            <w:noWrap w:val="0"/>
            <w:vAlign w:val="center"/>
          </w:tcPr>
          <w:p>
            <w:pPr>
              <w:pStyle w:val="48"/>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技术负责人</w:t>
            </w:r>
          </w:p>
        </w:tc>
        <w:tc>
          <w:tcPr>
            <w:tcW w:w="85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姓名</w:t>
            </w:r>
          </w:p>
        </w:tc>
        <w:tc>
          <w:tcPr>
            <w:tcW w:w="1276" w:type="dxa"/>
            <w:noWrap w:val="0"/>
            <w:vAlign w:val="center"/>
          </w:tcPr>
          <w:p>
            <w:pPr>
              <w:pStyle w:val="48"/>
              <w:jc w:val="center"/>
              <w:rPr>
                <w:color w:val="auto"/>
                <w:sz w:val="24"/>
                <w:szCs w:val="24"/>
                <w:highlight w:val="none"/>
                <w:lang w:val="en-US"/>
              </w:rPr>
            </w:pPr>
          </w:p>
        </w:tc>
        <w:tc>
          <w:tcPr>
            <w:tcW w:w="1220"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技术职称</w:t>
            </w:r>
          </w:p>
        </w:tc>
        <w:tc>
          <w:tcPr>
            <w:tcW w:w="1268" w:type="dxa"/>
            <w:gridSpan w:val="2"/>
            <w:noWrap w:val="0"/>
            <w:vAlign w:val="center"/>
          </w:tcPr>
          <w:p>
            <w:pPr>
              <w:pStyle w:val="48"/>
              <w:jc w:val="center"/>
              <w:rPr>
                <w:color w:val="auto"/>
                <w:sz w:val="24"/>
                <w:szCs w:val="24"/>
                <w:highlight w:val="none"/>
                <w:lang w:val="en-US"/>
              </w:rPr>
            </w:pPr>
          </w:p>
        </w:tc>
        <w:tc>
          <w:tcPr>
            <w:tcW w:w="794"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电话</w:t>
            </w:r>
          </w:p>
        </w:tc>
        <w:tc>
          <w:tcPr>
            <w:tcW w:w="1740" w:type="dxa"/>
            <w:gridSpan w:val="2"/>
            <w:noWrap w:val="0"/>
            <w:vAlign w:val="center"/>
          </w:tcPr>
          <w:p>
            <w:pPr>
              <w:pStyle w:val="48"/>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成立时间</w:t>
            </w:r>
          </w:p>
        </w:tc>
        <w:tc>
          <w:tcPr>
            <w:tcW w:w="3347" w:type="dxa"/>
            <w:gridSpan w:val="3"/>
            <w:noWrap w:val="0"/>
            <w:vAlign w:val="center"/>
          </w:tcPr>
          <w:p>
            <w:pPr>
              <w:pStyle w:val="48"/>
              <w:jc w:val="center"/>
              <w:rPr>
                <w:color w:val="auto"/>
                <w:sz w:val="24"/>
                <w:szCs w:val="24"/>
                <w:highlight w:val="none"/>
                <w:lang w:val="en-US"/>
              </w:rPr>
            </w:pPr>
          </w:p>
        </w:tc>
        <w:tc>
          <w:tcPr>
            <w:tcW w:w="3802" w:type="dxa"/>
            <w:gridSpan w:val="5"/>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061" w:type="dxa"/>
            <w:vMerge w:val="restart"/>
            <w:noWrap w:val="0"/>
            <w:vAlign w:val="center"/>
          </w:tcPr>
          <w:p>
            <w:pPr>
              <w:pStyle w:val="48"/>
              <w:jc w:val="center"/>
              <w:rPr>
                <w:color w:val="auto"/>
                <w:sz w:val="24"/>
                <w:szCs w:val="24"/>
                <w:highlight w:val="none"/>
                <w:lang w:val="en-US"/>
              </w:rPr>
            </w:pPr>
            <w:r>
              <w:rPr>
                <w:color w:val="auto"/>
                <w:sz w:val="24"/>
                <w:szCs w:val="24"/>
                <w:highlight w:val="none"/>
                <w:lang w:val="en-US"/>
              </w:rPr>
              <w:t>资质</w:t>
            </w:r>
            <w:r>
              <w:rPr>
                <w:rFonts w:hint="eastAsia"/>
                <w:color w:val="auto"/>
                <w:sz w:val="24"/>
                <w:szCs w:val="24"/>
                <w:highlight w:val="none"/>
                <w:lang w:val="en-US"/>
              </w:rPr>
              <w:t>资格与业务范围</w:t>
            </w:r>
          </w:p>
        </w:tc>
        <w:tc>
          <w:tcPr>
            <w:tcW w:w="3347" w:type="dxa"/>
            <w:gridSpan w:val="3"/>
            <w:vMerge w:val="restart"/>
            <w:noWrap w:val="0"/>
            <w:vAlign w:val="center"/>
          </w:tcPr>
          <w:p>
            <w:pPr>
              <w:pStyle w:val="48"/>
              <w:jc w:val="center"/>
              <w:rPr>
                <w:color w:val="auto"/>
                <w:sz w:val="24"/>
                <w:szCs w:val="24"/>
                <w:highlight w:val="none"/>
                <w:lang w:val="en-US"/>
              </w:rPr>
            </w:pPr>
          </w:p>
        </w:tc>
        <w:tc>
          <w:tcPr>
            <w:tcW w:w="892" w:type="dxa"/>
            <w:vMerge w:val="restart"/>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其中</w:t>
            </w:r>
          </w:p>
        </w:tc>
        <w:tc>
          <w:tcPr>
            <w:tcW w:w="1715" w:type="dxa"/>
            <w:gridSpan w:val="3"/>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高级职称</w:t>
            </w:r>
          </w:p>
        </w:tc>
        <w:tc>
          <w:tcPr>
            <w:tcW w:w="1195" w:type="dxa"/>
            <w:noWrap w:val="0"/>
            <w:vAlign w:val="center"/>
          </w:tcPr>
          <w:p>
            <w:pPr>
              <w:pStyle w:val="48"/>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61" w:type="dxa"/>
            <w:vMerge w:val="continue"/>
            <w:noWrap w:val="0"/>
            <w:vAlign w:val="center"/>
          </w:tcPr>
          <w:p>
            <w:pPr>
              <w:pStyle w:val="48"/>
              <w:jc w:val="center"/>
              <w:rPr>
                <w:color w:val="auto"/>
                <w:sz w:val="24"/>
                <w:szCs w:val="24"/>
                <w:highlight w:val="none"/>
                <w:lang w:val="en-US"/>
              </w:rPr>
            </w:pPr>
          </w:p>
        </w:tc>
        <w:tc>
          <w:tcPr>
            <w:tcW w:w="3347" w:type="dxa"/>
            <w:gridSpan w:val="3"/>
            <w:vMerge w:val="continue"/>
            <w:noWrap w:val="0"/>
            <w:vAlign w:val="center"/>
          </w:tcPr>
          <w:p>
            <w:pPr>
              <w:pStyle w:val="48"/>
              <w:jc w:val="center"/>
              <w:rPr>
                <w:color w:val="auto"/>
                <w:sz w:val="24"/>
                <w:szCs w:val="24"/>
                <w:highlight w:val="none"/>
                <w:lang w:val="en-US"/>
              </w:rPr>
            </w:pPr>
          </w:p>
        </w:tc>
        <w:tc>
          <w:tcPr>
            <w:tcW w:w="892" w:type="dxa"/>
            <w:vMerge w:val="continue"/>
            <w:noWrap w:val="0"/>
            <w:vAlign w:val="center"/>
          </w:tcPr>
          <w:p>
            <w:pPr>
              <w:pStyle w:val="48"/>
              <w:jc w:val="center"/>
              <w:rPr>
                <w:color w:val="auto"/>
                <w:sz w:val="24"/>
                <w:szCs w:val="24"/>
                <w:highlight w:val="none"/>
                <w:lang w:val="en-US"/>
              </w:rPr>
            </w:pPr>
          </w:p>
        </w:tc>
        <w:tc>
          <w:tcPr>
            <w:tcW w:w="1715" w:type="dxa"/>
            <w:gridSpan w:val="3"/>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中级职称</w:t>
            </w:r>
          </w:p>
        </w:tc>
        <w:tc>
          <w:tcPr>
            <w:tcW w:w="1195" w:type="dxa"/>
            <w:noWrap w:val="0"/>
            <w:vAlign w:val="center"/>
          </w:tcPr>
          <w:p>
            <w:pPr>
              <w:pStyle w:val="48"/>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营业执照号</w:t>
            </w:r>
          </w:p>
        </w:tc>
        <w:tc>
          <w:tcPr>
            <w:tcW w:w="3347" w:type="dxa"/>
            <w:gridSpan w:val="3"/>
            <w:noWrap w:val="0"/>
            <w:vAlign w:val="center"/>
          </w:tcPr>
          <w:p>
            <w:pPr>
              <w:pStyle w:val="48"/>
              <w:jc w:val="center"/>
              <w:rPr>
                <w:color w:val="auto"/>
                <w:sz w:val="24"/>
                <w:szCs w:val="24"/>
                <w:highlight w:val="none"/>
                <w:lang w:val="en-US"/>
              </w:rPr>
            </w:pPr>
          </w:p>
        </w:tc>
        <w:tc>
          <w:tcPr>
            <w:tcW w:w="892" w:type="dxa"/>
            <w:vMerge w:val="continue"/>
            <w:noWrap w:val="0"/>
            <w:vAlign w:val="center"/>
          </w:tcPr>
          <w:p>
            <w:pPr>
              <w:pStyle w:val="48"/>
              <w:jc w:val="center"/>
              <w:rPr>
                <w:color w:val="auto"/>
                <w:sz w:val="24"/>
                <w:szCs w:val="24"/>
                <w:highlight w:val="none"/>
                <w:lang w:val="en-US"/>
              </w:rPr>
            </w:pPr>
          </w:p>
        </w:tc>
        <w:tc>
          <w:tcPr>
            <w:tcW w:w="1715" w:type="dxa"/>
            <w:gridSpan w:val="3"/>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各类注册人员</w:t>
            </w:r>
          </w:p>
        </w:tc>
        <w:tc>
          <w:tcPr>
            <w:tcW w:w="1195" w:type="dxa"/>
            <w:noWrap w:val="0"/>
            <w:vAlign w:val="center"/>
          </w:tcPr>
          <w:p>
            <w:pPr>
              <w:pStyle w:val="48"/>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注册资金</w:t>
            </w:r>
          </w:p>
        </w:tc>
        <w:tc>
          <w:tcPr>
            <w:tcW w:w="7149" w:type="dxa"/>
            <w:gridSpan w:val="8"/>
            <w:noWrap w:val="0"/>
            <w:vAlign w:val="center"/>
          </w:tcPr>
          <w:p>
            <w:pPr>
              <w:pStyle w:val="48"/>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基本账户开户银行</w:t>
            </w:r>
          </w:p>
        </w:tc>
        <w:tc>
          <w:tcPr>
            <w:tcW w:w="7149" w:type="dxa"/>
            <w:gridSpan w:val="8"/>
            <w:noWrap w:val="0"/>
            <w:vAlign w:val="center"/>
          </w:tcPr>
          <w:p>
            <w:pPr>
              <w:pStyle w:val="48"/>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基本账户账号</w:t>
            </w:r>
          </w:p>
        </w:tc>
        <w:tc>
          <w:tcPr>
            <w:tcW w:w="7149" w:type="dxa"/>
            <w:gridSpan w:val="8"/>
            <w:noWrap w:val="0"/>
            <w:vAlign w:val="center"/>
          </w:tcPr>
          <w:p>
            <w:pPr>
              <w:pStyle w:val="48"/>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经营范围</w:t>
            </w:r>
          </w:p>
        </w:tc>
        <w:tc>
          <w:tcPr>
            <w:tcW w:w="7149" w:type="dxa"/>
            <w:gridSpan w:val="8"/>
            <w:noWrap w:val="0"/>
            <w:vAlign w:val="center"/>
          </w:tcPr>
          <w:p>
            <w:pPr>
              <w:pStyle w:val="48"/>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noWrap w:val="0"/>
            <w:vAlign w:val="center"/>
          </w:tcPr>
          <w:p>
            <w:pPr>
              <w:pStyle w:val="48"/>
              <w:jc w:val="center"/>
              <w:rPr>
                <w:color w:val="auto"/>
                <w:sz w:val="24"/>
                <w:szCs w:val="24"/>
                <w:highlight w:val="none"/>
                <w:lang w:val="en-US"/>
              </w:rPr>
            </w:pPr>
            <w:r>
              <w:rPr>
                <w:rFonts w:hint="eastAsia"/>
                <w:color w:val="auto"/>
                <w:sz w:val="24"/>
                <w:szCs w:val="24"/>
                <w:highlight w:val="none"/>
                <w:lang w:val="en-US"/>
              </w:rPr>
              <w:t>备注</w:t>
            </w:r>
          </w:p>
        </w:tc>
        <w:tc>
          <w:tcPr>
            <w:tcW w:w="7149" w:type="dxa"/>
            <w:gridSpan w:val="8"/>
            <w:noWrap w:val="0"/>
            <w:vAlign w:val="center"/>
          </w:tcPr>
          <w:p>
            <w:pPr>
              <w:pStyle w:val="48"/>
              <w:jc w:val="center"/>
              <w:rPr>
                <w:color w:val="auto"/>
                <w:sz w:val="24"/>
                <w:szCs w:val="24"/>
                <w:highlight w:val="none"/>
                <w:lang w:val="en-US"/>
              </w:rPr>
            </w:pPr>
          </w:p>
        </w:tc>
      </w:tr>
    </w:tbl>
    <w:p>
      <w:pPr>
        <w:spacing w:line="380" w:lineRule="exact"/>
        <w:rPr>
          <w:rFonts w:ascii="宋体" w:hAnsi="宋体"/>
          <w:color w:val="auto"/>
          <w:sz w:val="22"/>
          <w:szCs w:val="22"/>
          <w:highlight w:val="none"/>
        </w:rPr>
      </w:pPr>
    </w:p>
    <w:p>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pPr>
        <w:rPr>
          <w:color w:val="auto"/>
          <w:highlight w:val="none"/>
        </w:rPr>
      </w:pPr>
    </w:p>
    <w:p>
      <w:pPr>
        <w:rPr>
          <w:color w:val="auto"/>
          <w:highlight w:val="none"/>
        </w:rPr>
      </w:pPr>
    </w:p>
    <w:p>
      <w:pPr>
        <w:rPr>
          <w:color w:val="auto"/>
          <w:highlight w:val="none"/>
        </w:rPr>
      </w:pPr>
    </w:p>
    <w:p>
      <w:pPr>
        <w:rPr>
          <w:color w:val="auto"/>
          <w:highlight w:val="none"/>
        </w:rPr>
      </w:pPr>
      <w:r>
        <w:rPr>
          <w:color w:val="auto"/>
          <w:highlight w:val="none"/>
        </w:rPr>
        <w:br w:type="page"/>
      </w:r>
    </w:p>
    <w:p>
      <w:pPr>
        <w:pStyle w:val="5"/>
        <w:spacing w:line="380" w:lineRule="exact"/>
        <w:rPr>
          <w:color w:val="auto"/>
          <w:sz w:val="22"/>
          <w:szCs w:val="22"/>
          <w:highlight w:val="none"/>
        </w:rPr>
      </w:pPr>
      <w:bookmarkStart w:id="115" w:name="_Toc520902414"/>
      <w:bookmarkStart w:id="116" w:name="_Toc481153681"/>
      <w:bookmarkStart w:id="117" w:name="_Toc316649308"/>
      <w:bookmarkStart w:id="118" w:name="_Toc502819359"/>
      <w:bookmarkStart w:id="119" w:name="_Toc6122"/>
      <w:bookmarkStart w:id="120" w:name="_Toc497935752"/>
      <w:r>
        <w:rPr>
          <w:rFonts w:hint="eastAsia"/>
          <w:color w:val="auto"/>
          <w:sz w:val="22"/>
          <w:szCs w:val="22"/>
          <w:highlight w:val="none"/>
        </w:rPr>
        <w:t>（四）技术条款偏离表</w:t>
      </w:r>
      <w:bookmarkEnd w:id="115"/>
      <w:bookmarkEnd w:id="116"/>
      <w:bookmarkEnd w:id="117"/>
      <w:bookmarkEnd w:id="118"/>
      <w:bookmarkEnd w:id="119"/>
      <w:bookmarkEnd w:id="120"/>
    </w:p>
    <w:p>
      <w:pPr>
        <w:spacing w:line="380" w:lineRule="exact"/>
        <w:rPr>
          <w:rFonts w:ascii="宋体" w:hAnsi="宋体"/>
          <w:color w:val="auto"/>
          <w:szCs w:val="21"/>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3360" w:type="dxa"/>
            <w:noWrap w:val="0"/>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招标文件技术要求</w:t>
            </w:r>
          </w:p>
        </w:tc>
        <w:tc>
          <w:tcPr>
            <w:tcW w:w="2908" w:type="dxa"/>
            <w:noWrap w:val="0"/>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投标文件对应规格</w:t>
            </w:r>
          </w:p>
        </w:tc>
        <w:tc>
          <w:tcPr>
            <w:tcW w:w="1578" w:type="dxa"/>
            <w:noWrap w:val="0"/>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spacing w:line="380" w:lineRule="exact"/>
              <w:jc w:val="center"/>
              <w:rPr>
                <w:rFonts w:ascii="宋体" w:hAnsi="宋体"/>
                <w:color w:val="auto"/>
                <w:sz w:val="22"/>
                <w:szCs w:val="22"/>
                <w:highlight w:val="none"/>
              </w:rPr>
            </w:pPr>
          </w:p>
        </w:tc>
        <w:tc>
          <w:tcPr>
            <w:tcW w:w="3360" w:type="dxa"/>
            <w:noWrap w:val="0"/>
            <w:vAlign w:val="center"/>
          </w:tcPr>
          <w:p>
            <w:pPr>
              <w:spacing w:line="380" w:lineRule="exact"/>
              <w:jc w:val="center"/>
              <w:rPr>
                <w:rFonts w:ascii="宋体" w:hAnsi="宋体"/>
                <w:color w:val="auto"/>
                <w:sz w:val="22"/>
                <w:szCs w:val="22"/>
                <w:highlight w:val="none"/>
              </w:rPr>
            </w:pPr>
          </w:p>
        </w:tc>
        <w:tc>
          <w:tcPr>
            <w:tcW w:w="2908" w:type="dxa"/>
            <w:noWrap w:val="0"/>
            <w:vAlign w:val="center"/>
          </w:tcPr>
          <w:p>
            <w:pPr>
              <w:spacing w:line="380" w:lineRule="exact"/>
              <w:jc w:val="center"/>
              <w:rPr>
                <w:rFonts w:ascii="宋体" w:hAnsi="宋体"/>
                <w:color w:val="auto"/>
                <w:sz w:val="22"/>
                <w:szCs w:val="22"/>
                <w:highlight w:val="none"/>
              </w:rPr>
            </w:pPr>
          </w:p>
        </w:tc>
        <w:tc>
          <w:tcPr>
            <w:tcW w:w="1578" w:type="dxa"/>
            <w:noWrap w:val="0"/>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spacing w:line="380" w:lineRule="exact"/>
              <w:jc w:val="center"/>
              <w:rPr>
                <w:rFonts w:ascii="宋体" w:hAnsi="宋体"/>
                <w:color w:val="auto"/>
                <w:sz w:val="22"/>
                <w:szCs w:val="22"/>
                <w:highlight w:val="none"/>
              </w:rPr>
            </w:pPr>
          </w:p>
        </w:tc>
        <w:tc>
          <w:tcPr>
            <w:tcW w:w="3360" w:type="dxa"/>
            <w:noWrap w:val="0"/>
            <w:vAlign w:val="center"/>
          </w:tcPr>
          <w:p>
            <w:pPr>
              <w:spacing w:line="380" w:lineRule="exact"/>
              <w:jc w:val="center"/>
              <w:rPr>
                <w:rFonts w:ascii="宋体" w:hAnsi="宋体"/>
                <w:color w:val="auto"/>
                <w:sz w:val="22"/>
                <w:szCs w:val="22"/>
                <w:highlight w:val="none"/>
              </w:rPr>
            </w:pPr>
          </w:p>
        </w:tc>
        <w:tc>
          <w:tcPr>
            <w:tcW w:w="2908" w:type="dxa"/>
            <w:noWrap w:val="0"/>
            <w:vAlign w:val="center"/>
          </w:tcPr>
          <w:p>
            <w:pPr>
              <w:spacing w:line="380" w:lineRule="exact"/>
              <w:jc w:val="center"/>
              <w:rPr>
                <w:rFonts w:ascii="宋体" w:hAnsi="宋体"/>
                <w:color w:val="auto"/>
                <w:sz w:val="22"/>
                <w:szCs w:val="22"/>
                <w:highlight w:val="none"/>
              </w:rPr>
            </w:pPr>
          </w:p>
        </w:tc>
        <w:tc>
          <w:tcPr>
            <w:tcW w:w="1578" w:type="dxa"/>
            <w:noWrap w:val="0"/>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pPr>
              <w:spacing w:line="380" w:lineRule="exact"/>
              <w:jc w:val="center"/>
              <w:rPr>
                <w:rFonts w:ascii="宋体" w:hAnsi="宋体"/>
                <w:color w:val="auto"/>
                <w:sz w:val="22"/>
                <w:szCs w:val="22"/>
                <w:highlight w:val="none"/>
              </w:rPr>
            </w:pPr>
          </w:p>
        </w:tc>
        <w:tc>
          <w:tcPr>
            <w:tcW w:w="3360" w:type="dxa"/>
            <w:noWrap w:val="0"/>
            <w:vAlign w:val="center"/>
          </w:tcPr>
          <w:p>
            <w:pPr>
              <w:spacing w:line="380" w:lineRule="exact"/>
              <w:jc w:val="center"/>
              <w:rPr>
                <w:rFonts w:ascii="宋体" w:hAnsi="宋体"/>
                <w:color w:val="auto"/>
                <w:sz w:val="22"/>
                <w:szCs w:val="22"/>
                <w:highlight w:val="none"/>
              </w:rPr>
            </w:pPr>
          </w:p>
        </w:tc>
        <w:tc>
          <w:tcPr>
            <w:tcW w:w="2908" w:type="dxa"/>
            <w:noWrap w:val="0"/>
            <w:vAlign w:val="center"/>
          </w:tcPr>
          <w:p>
            <w:pPr>
              <w:spacing w:line="380" w:lineRule="exact"/>
              <w:jc w:val="center"/>
              <w:rPr>
                <w:rFonts w:ascii="宋体" w:hAnsi="宋体"/>
                <w:color w:val="auto"/>
                <w:sz w:val="22"/>
                <w:szCs w:val="22"/>
                <w:highlight w:val="none"/>
              </w:rPr>
            </w:pPr>
          </w:p>
        </w:tc>
        <w:tc>
          <w:tcPr>
            <w:tcW w:w="1578" w:type="dxa"/>
            <w:noWrap w:val="0"/>
            <w:vAlign w:val="center"/>
          </w:tcPr>
          <w:p>
            <w:pPr>
              <w:spacing w:line="380" w:lineRule="exact"/>
              <w:jc w:val="center"/>
              <w:rPr>
                <w:rFonts w:ascii="宋体" w:hAnsi="宋体"/>
                <w:color w:val="auto"/>
                <w:sz w:val="22"/>
                <w:szCs w:val="22"/>
                <w:highlight w:val="none"/>
              </w:rPr>
            </w:pPr>
          </w:p>
        </w:tc>
      </w:tr>
    </w:tbl>
    <w:p>
      <w:pPr>
        <w:spacing w:line="400" w:lineRule="exact"/>
        <w:rPr>
          <w:rFonts w:ascii="宋体" w:hAnsi="宋体"/>
          <w:color w:val="auto"/>
          <w:szCs w:val="21"/>
          <w:highlight w:val="none"/>
        </w:rPr>
      </w:pPr>
      <w:r>
        <w:rPr>
          <w:rFonts w:hint="eastAsia" w:ascii="宋体" w:hAnsi="宋体"/>
          <w:color w:val="auto"/>
          <w:szCs w:val="21"/>
          <w:highlight w:val="none"/>
        </w:rPr>
        <w:t>注：1、须与招标文件第六部分“招标项目需求”中“</w:t>
      </w:r>
      <w:r>
        <w:rPr>
          <w:rFonts w:hint="eastAsia" w:ascii="宋体" w:hAnsi="宋体" w:eastAsia="宋体" w:cs="宋体"/>
          <w:color w:val="auto"/>
          <w:sz w:val="21"/>
          <w:szCs w:val="21"/>
          <w:highlight w:val="none"/>
          <w:lang w:val="en-US" w:eastAsia="zh-CN"/>
        </w:rPr>
        <w:t>技术规格要求</w:t>
      </w:r>
      <w:r>
        <w:rPr>
          <w:rFonts w:hint="eastAsia" w:ascii="宋体" w:hAnsi="宋体"/>
          <w:color w:val="auto"/>
          <w:szCs w:val="21"/>
          <w:highlight w:val="none"/>
        </w:rPr>
        <w:t>”逐项比较填写。</w:t>
      </w:r>
    </w:p>
    <w:p>
      <w:pPr>
        <w:spacing w:line="380" w:lineRule="exact"/>
        <w:rPr>
          <w:rFonts w:ascii="宋体" w:hAnsi="宋体"/>
          <w:color w:val="auto"/>
          <w:szCs w:val="21"/>
          <w:highlight w:val="none"/>
        </w:rPr>
      </w:pPr>
      <w:r>
        <w:rPr>
          <w:rFonts w:hint="eastAsia" w:ascii="宋体" w:hAnsi="宋体"/>
          <w:color w:val="auto"/>
          <w:szCs w:val="21"/>
          <w:highlight w:val="none"/>
        </w:rPr>
        <w:t>2、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pPr>
        <w:pStyle w:val="2"/>
        <w:ind w:firstLine="400"/>
        <w:rPr>
          <w:color w:val="auto"/>
          <w:highlight w:val="none"/>
        </w:rPr>
      </w:pPr>
    </w:p>
    <w:p>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pPr>
        <w:spacing w:line="380" w:lineRule="exact"/>
        <w:rPr>
          <w:rFonts w:ascii="宋体" w:hAnsi="宋体"/>
          <w:color w:val="auto"/>
          <w:sz w:val="24"/>
          <w:highlight w:val="none"/>
        </w:rPr>
      </w:pPr>
    </w:p>
    <w:p>
      <w:pPr>
        <w:pStyle w:val="5"/>
        <w:spacing w:line="380" w:lineRule="exact"/>
        <w:rPr>
          <w:color w:val="auto"/>
          <w:sz w:val="22"/>
          <w:szCs w:val="22"/>
          <w:highlight w:val="none"/>
        </w:rPr>
      </w:pPr>
      <w:bookmarkStart w:id="121" w:name="_Toc316649309"/>
      <w:bookmarkStart w:id="122" w:name="_Toc497935753"/>
      <w:bookmarkStart w:id="123" w:name="_Toc502819360"/>
      <w:bookmarkStart w:id="124" w:name="_Toc481153682"/>
      <w:bookmarkStart w:id="125" w:name="_Toc520902415"/>
      <w:r>
        <w:rPr>
          <w:color w:val="auto"/>
          <w:sz w:val="22"/>
          <w:szCs w:val="22"/>
          <w:highlight w:val="none"/>
        </w:rPr>
        <w:br w:type="page"/>
      </w:r>
    </w:p>
    <w:p>
      <w:pPr>
        <w:pStyle w:val="5"/>
        <w:spacing w:line="380" w:lineRule="exact"/>
        <w:rPr>
          <w:color w:val="auto"/>
          <w:sz w:val="22"/>
          <w:szCs w:val="22"/>
          <w:highlight w:val="none"/>
        </w:rPr>
      </w:pPr>
      <w:bookmarkStart w:id="126" w:name="_Toc31865"/>
      <w:r>
        <w:rPr>
          <w:rFonts w:hint="eastAsia"/>
          <w:color w:val="auto"/>
          <w:sz w:val="22"/>
          <w:szCs w:val="22"/>
          <w:highlight w:val="none"/>
        </w:rPr>
        <w:t>（五）商务条款偏离表</w:t>
      </w:r>
      <w:bookmarkEnd w:id="121"/>
      <w:bookmarkEnd w:id="122"/>
      <w:bookmarkEnd w:id="123"/>
      <w:bookmarkEnd w:id="124"/>
      <w:bookmarkEnd w:id="125"/>
      <w:bookmarkEnd w:id="126"/>
    </w:p>
    <w:p>
      <w:pPr>
        <w:spacing w:line="380" w:lineRule="exact"/>
        <w:rPr>
          <w:rFonts w:ascii="宋体" w:hAnsi="宋体"/>
          <w:color w:val="auto"/>
          <w:sz w:val="24"/>
          <w:highlight w:val="none"/>
        </w:rPr>
      </w:pP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noWrap w:val="0"/>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3418" w:type="dxa"/>
            <w:noWrap w:val="0"/>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招标文件的商务条款</w:t>
            </w:r>
          </w:p>
        </w:tc>
        <w:tc>
          <w:tcPr>
            <w:tcW w:w="2891" w:type="dxa"/>
            <w:noWrap w:val="0"/>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投标文件的商务条款</w:t>
            </w:r>
          </w:p>
        </w:tc>
        <w:tc>
          <w:tcPr>
            <w:tcW w:w="1618" w:type="dxa"/>
            <w:noWrap w:val="0"/>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noWrap w:val="0"/>
            <w:vAlign w:val="center"/>
          </w:tcPr>
          <w:p>
            <w:pPr>
              <w:spacing w:line="380" w:lineRule="exact"/>
              <w:jc w:val="center"/>
              <w:rPr>
                <w:rFonts w:ascii="宋体" w:hAnsi="宋体"/>
                <w:color w:val="auto"/>
                <w:sz w:val="22"/>
                <w:szCs w:val="22"/>
                <w:highlight w:val="none"/>
              </w:rPr>
            </w:pPr>
          </w:p>
        </w:tc>
        <w:tc>
          <w:tcPr>
            <w:tcW w:w="3418" w:type="dxa"/>
            <w:noWrap w:val="0"/>
            <w:vAlign w:val="center"/>
          </w:tcPr>
          <w:p>
            <w:pPr>
              <w:spacing w:line="380" w:lineRule="exact"/>
              <w:jc w:val="center"/>
              <w:rPr>
                <w:rFonts w:ascii="宋体" w:hAnsi="宋体"/>
                <w:color w:val="auto"/>
                <w:sz w:val="22"/>
                <w:szCs w:val="22"/>
                <w:highlight w:val="none"/>
              </w:rPr>
            </w:pPr>
          </w:p>
        </w:tc>
        <w:tc>
          <w:tcPr>
            <w:tcW w:w="2891" w:type="dxa"/>
            <w:noWrap w:val="0"/>
            <w:vAlign w:val="center"/>
          </w:tcPr>
          <w:p>
            <w:pPr>
              <w:spacing w:line="380" w:lineRule="exact"/>
              <w:jc w:val="center"/>
              <w:rPr>
                <w:rFonts w:ascii="宋体" w:hAnsi="宋体"/>
                <w:color w:val="auto"/>
                <w:sz w:val="22"/>
                <w:szCs w:val="22"/>
                <w:highlight w:val="none"/>
              </w:rPr>
            </w:pPr>
          </w:p>
        </w:tc>
        <w:tc>
          <w:tcPr>
            <w:tcW w:w="1618" w:type="dxa"/>
            <w:noWrap w:val="0"/>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noWrap w:val="0"/>
            <w:vAlign w:val="center"/>
          </w:tcPr>
          <w:p>
            <w:pPr>
              <w:spacing w:line="380" w:lineRule="exact"/>
              <w:jc w:val="center"/>
              <w:rPr>
                <w:rFonts w:ascii="宋体" w:hAnsi="宋体"/>
                <w:color w:val="auto"/>
                <w:sz w:val="22"/>
                <w:szCs w:val="22"/>
                <w:highlight w:val="none"/>
              </w:rPr>
            </w:pPr>
          </w:p>
        </w:tc>
        <w:tc>
          <w:tcPr>
            <w:tcW w:w="3418" w:type="dxa"/>
            <w:noWrap w:val="0"/>
            <w:vAlign w:val="center"/>
          </w:tcPr>
          <w:p>
            <w:pPr>
              <w:spacing w:line="380" w:lineRule="exact"/>
              <w:jc w:val="center"/>
              <w:rPr>
                <w:rFonts w:ascii="宋体" w:hAnsi="宋体"/>
                <w:color w:val="auto"/>
                <w:sz w:val="22"/>
                <w:szCs w:val="22"/>
                <w:highlight w:val="none"/>
              </w:rPr>
            </w:pPr>
          </w:p>
        </w:tc>
        <w:tc>
          <w:tcPr>
            <w:tcW w:w="2891" w:type="dxa"/>
            <w:noWrap w:val="0"/>
            <w:vAlign w:val="center"/>
          </w:tcPr>
          <w:p>
            <w:pPr>
              <w:spacing w:line="380" w:lineRule="exact"/>
              <w:jc w:val="center"/>
              <w:rPr>
                <w:rFonts w:ascii="宋体" w:hAnsi="宋体"/>
                <w:color w:val="auto"/>
                <w:sz w:val="22"/>
                <w:szCs w:val="22"/>
                <w:highlight w:val="none"/>
              </w:rPr>
            </w:pPr>
          </w:p>
        </w:tc>
        <w:tc>
          <w:tcPr>
            <w:tcW w:w="1618" w:type="dxa"/>
            <w:noWrap w:val="0"/>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noWrap w:val="0"/>
            <w:vAlign w:val="center"/>
          </w:tcPr>
          <w:p>
            <w:pPr>
              <w:spacing w:line="380" w:lineRule="exact"/>
              <w:jc w:val="center"/>
              <w:rPr>
                <w:rFonts w:ascii="宋体" w:hAnsi="宋体"/>
                <w:color w:val="auto"/>
                <w:sz w:val="22"/>
                <w:szCs w:val="22"/>
                <w:highlight w:val="none"/>
              </w:rPr>
            </w:pPr>
          </w:p>
        </w:tc>
        <w:tc>
          <w:tcPr>
            <w:tcW w:w="3418" w:type="dxa"/>
            <w:noWrap w:val="0"/>
            <w:vAlign w:val="center"/>
          </w:tcPr>
          <w:p>
            <w:pPr>
              <w:spacing w:line="380" w:lineRule="exact"/>
              <w:jc w:val="center"/>
              <w:rPr>
                <w:rFonts w:ascii="宋体" w:hAnsi="宋体"/>
                <w:color w:val="auto"/>
                <w:sz w:val="22"/>
                <w:szCs w:val="22"/>
                <w:highlight w:val="none"/>
              </w:rPr>
            </w:pPr>
          </w:p>
        </w:tc>
        <w:tc>
          <w:tcPr>
            <w:tcW w:w="2891" w:type="dxa"/>
            <w:noWrap w:val="0"/>
            <w:vAlign w:val="center"/>
          </w:tcPr>
          <w:p>
            <w:pPr>
              <w:spacing w:line="380" w:lineRule="exact"/>
              <w:jc w:val="center"/>
              <w:rPr>
                <w:rFonts w:ascii="宋体" w:hAnsi="宋体"/>
                <w:color w:val="auto"/>
                <w:sz w:val="22"/>
                <w:szCs w:val="22"/>
                <w:highlight w:val="none"/>
              </w:rPr>
            </w:pPr>
          </w:p>
        </w:tc>
        <w:tc>
          <w:tcPr>
            <w:tcW w:w="1618" w:type="dxa"/>
            <w:noWrap w:val="0"/>
            <w:vAlign w:val="center"/>
          </w:tcPr>
          <w:p>
            <w:pPr>
              <w:spacing w:line="380" w:lineRule="exact"/>
              <w:jc w:val="center"/>
              <w:rPr>
                <w:rFonts w:ascii="宋体" w:hAnsi="宋体"/>
                <w:color w:val="auto"/>
                <w:sz w:val="22"/>
                <w:szCs w:val="22"/>
                <w:highlight w:val="none"/>
              </w:rPr>
            </w:pPr>
          </w:p>
        </w:tc>
      </w:tr>
    </w:tbl>
    <w:p>
      <w:pPr>
        <w:spacing w:line="400" w:lineRule="exact"/>
        <w:rPr>
          <w:rFonts w:ascii="宋体" w:hAnsi="宋体"/>
          <w:color w:val="auto"/>
          <w:szCs w:val="21"/>
          <w:highlight w:val="none"/>
        </w:rPr>
      </w:pPr>
      <w:r>
        <w:rPr>
          <w:rFonts w:hint="eastAsia" w:ascii="宋体" w:hAnsi="宋体"/>
          <w:color w:val="auto"/>
          <w:szCs w:val="21"/>
          <w:highlight w:val="none"/>
        </w:rPr>
        <w:t>注：1、须与招标文件第六部分“招标项目需求”中“商务要求”逐项比较填写。</w:t>
      </w:r>
    </w:p>
    <w:p>
      <w:pPr>
        <w:spacing w:line="380" w:lineRule="exact"/>
        <w:rPr>
          <w:rFonts w:ascii="宋体" w:hAnsi="宋体"/>
          <w:color w:val="auto"/>
          <w:sz w:val="22"/>
          <w:szCs w:val="22"/>
          <w:highlight w:val="none"/>
        </w:rPr>
      </w:pPr>
      <w:r>
        <w:rPr>
          <w:rFonts w:hint="eastAsia" w:ascii="宋体" w:hAnsi="宋体"/>
          <w:color w:val="auto"/>
          <w:szCs w:val="21"/>
          <w:highlight w:val="none"/>
        </w:rPr>
        <w:t>2、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pPr>
        <w:pStyle w:val="2"/>
        <w:ind w:firstLine="400"/>
        <w:rPr>
          <w:color w:val="auto"/>
          <w:highlight w:val="none"/>
        </w:rPr>
      </w:pPr>
    </w:p>
    <w:p>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pPr>
        <w:spacing w:line="380" w:lineRule="exact"/>
        <w:rPr>
          <w:rFonts w:ascii="宋体" w:hAnsi="宋体"/>
          <w:color w:val="auto"/>
          <w:sz w:val="24"/>
          <w:highlight w:val="none"/>
          <w:u w:val="single"/>
        </w:rPr>
      </w:pPr>
    </w:p>
    <w:p>
      <w:pPr>
        <w:spacing w:line="380" w:lineRule="exact"/>
        <w:rPr>
          <w:rFonts w:ascii="宋体" w:hAnsi="宋体"/>
          <w:color w:val="auto"/>
          <w:sz w:val="24"/>
          <w:highlight w:val="none"/>
          <w:u w:val="single"/>
        </w:rPr>
      </w:pPr>
    </w:p>
    <w:p>
      <w:pPr>
        <w:spacing w:line="380" w:lineRule="exact"/>
        <w:rPr>
          <w:rFonts w:ascii="宋体" w:hAnsi="宋体"/>
          <w:color w:val="auto"/>
          <w:sz w:val="24"/>
          <w:highlight w:val="none"/>
          <w:u w:val="single"/>
        </w:rPr>
      </w:pPr>
    </w:p>
    <w:p>
      <w:pPr>
        <w:rPr>
          <w:color w:val="auto"/>
          <w:highlight w:val="none"/>
        </w:rPr>
      </w:pPr>
    </w:p>
    <w:p>
      <w:pPr>
        <w:rPr>
          <w:color w:val="auto"/>
          <w:highlight w:val="none"/>
        </w:rPr>
      </w:pPr>
    </w:p>
    <w:p>
      <w:pPr>
        <w:rPr>
          <w:color w:val="auto"/>
          <w:highlight w:val="none"/>
        </w:rPr>
      </w:pPr>
    </w:p>
    <w:p>
      <w:pPr>
        <w:pStyle w:val="5"/>
        <w:spacing w:line="380" w:lineRule="exact"/>
        <w:rPr>
          <w:rFonts w:ascii="Times New Roman" w:hAnsi="Times New Roman"/>
          <w:color w:val="auto"/>
          <w:sz w:val="24"/>
          <w:szCs w:val="24"/>
          <w:highlight w:val="none"/>
        </w:rPr>
      </w:pPr>
      <w:bookmarkStart w:id="127" w:name="_Toc520902416"/>
      <w:r>
        <w:rPr>
          <w:rFonts w:ascii="Times New Roman" w:hAnsi="Times New Roman"/>
          <w:color w:val="auto"/>
          <w:sz w:val="24"/>
          <w:szCs w:val="24"/>
          <w:highlight w:val="none"/>
        </w:rPr>
        <w:br w:type="page"/>
      </w:r>
    </w:p>
    <w:p>
      <w:pPr>
        <w:pStyle w:val="5"/>
        <w:spacing w:line="380" w:lineRule="exact"/>
        <w:rPr>
          <w:rFonts w:ascii="Times New Roman" w:hAnsi="Times New Roman"/>
          <w:color w:val="auto"/>
          <w:sz w:val="24"/>
          <w:szCs w:val="24"/>
          <w:highlight w:val="none"/>
        </w:rPr>
      </w:pPr>
      <w:bookmarkStart w:id="128" w:name="_Toc20167"/>
      <w:r>
        <w:rPr>
          <w:rFonts w:hint="eastAsia" w:ascii="Times New Roman" w:hAnsi="Times New Roman"/>
          <w:color w:val="auto"/>
          <w:sz w:val="24"/>
          <w:szCs w:val="24"/>
          <w:highlight w:val="none"/>
        </w:rPr>
        <w:t>（六）</w:t>
      </w:r>
      <w:bookmarkEnd w:id="127"/>
      <w:r>
        <w:rPr>
          <w:rFonts w:hint="eastAsia" w:ascii="Times New Roman" w:hAnsi="Times New Roman"/>
          <w:color w:val="auto"/>
          <w:sz w:val="24"/>
          <w:szCs w:val="24"/>
          <w:highlight w:val="none"/>
        </w:rPr>
        <w:t>第五部分“评标办法”中“评分标准”要求提供的资料（如有需提供）</w:t>
      </w:r>
      <w:bookmarkEnd w:id="128"/>
    </w:p>
    <w:p>
      <w:pPr>
        <w:jc w:val="center"/>
        <w:rPr>
          <w:rFonts w:ascii="宋体" w:hAnsi="宋体"/>
          <w:b/>
          <w:color w:val="auto"/>
          <w:sz w:val="24"/>
          <w:szCs w:val="24"/>
          <w:highlight w:val="none"/>
        </w:rPr>
      </w:pPr>
    </w:p>
    <w:p>
      <w:pPr>
        <w:jc w:val="center"/>
        <w:rPr>
          <w:rFonts w:ascii="宋体" w:hAnsi="宋体"/>
          <w:b/>
          <w:color w:val="auto"/>
          <w:sz w:val="24"/>
          <w:szCs w:val="24"/>
          <w:highlight w:val="none"/>
        </w:rPr>
      </w:pPr>
      <w:r>
        <w:rPr>
          <w:rFonts w:hint="eastAsia" w:ascii="宋体" w:hAnsi="宋体"/>
          <w:b/>
          <w:color w:val="auto"/>
          <w:sz w:val="24"/>
          <w:szCs w:val="24"/>
          <w:highlight w:val="none"/>
        </w:rPr>
        <w:t>投标人自201</w:t>
      </w:r>
      <w:r>
        <w:rPr>
          <w:rFonts w:hint="eastAsia" w:ascii="宋体" w:hAnsi="宋体"/>
          <w:b/>
          <w:color w:val="auto"/>
          <w:sz w:val="24"/>
          <w:szCs w:val="24"/>
          <w:highlight w:val="none"/>
          <w:lang w:val="en-US" w:eastAsia="zh-CN"/>
        </w:rPr>
        <w:t>6</w:t>
      </w:r>
      <w:r>
        <w:rPr>
          <w:rFonts w:hint="eastAsia" w:ascii="宋体" w:hAnsi="宋体"/>
          <w:b/>
          <w:color w:val="auto"/>
          <w:sz w:val="24"/>
          <w:szCs w:val="24"/>
          <w:highlight w:val="none"/>
        </w:rPr>
        <w:t>年</w:t>
      </w:r>
      <w:r>
        <w:rPr>
          <w:rFonts w:hint="eastAsia" w:ascii="宋体" w:hAnsi="宋体"/>
          <w:b/>
          <w:color w:val="auto"/>
          <w:sz w:val="24"/>
          <w:szCs w:val="24"/>
          <w:highlight w:val="none"/>
          <w:lang w:val="en-US" w:eastAsia="zh-CN"/>
        </w:rPr>
        <w:t>7</w:t>
      </w:r>
      <w:r>
        <w:rPr>
          <w:rFonts w:hint="eastAsia" w:ascii="宋体" w:hAnsi="宋体"/>
          <w:b/>
          <w:color w:val="auto"/>
          <w:sz w:val="24"/>
          <w:szCs w:val="24"/>
          <w:highlight w:val="none"/>
        </w:rPr>
        <w:t>月1日以来项目汇总表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noWrap w:val="0"/>
            <w:vAlign w:val="center"/>
          </w:tcPr>
          <w:p>
            <w:pPr>
              <w:pStyle w:val="48"/>
              <w:jc w:val="center"/>
              <w:rPr>
                <w:bCs w:val="0"/>
                <w:color w:val="auto"/>
                <w:sz w:val="24"/>
                <w:szCs w:val="24"/>
                <w:highlight w:val="none"/>
                <w:lang w:val="en-US"/>
              </w:rPr>
            </w:pPr>
            <w:r>
              <w:rPr>
                <w:rFonts w:hint="eastAsia"/>
                <w:bCs w:val="0"/>
                <w:color w:val="auto"/>
                <w:sz w:val="24"/>
                <w:szCs w:val="24"/>
                <w:highlight w:val="none"/>
                <w:lang w:val="en-US"/>
              </w:rPr>
              <w:t>项目序号</w:t>
            </w:r>
          </w:p>
        </w:tc>
        <w:tc>
          <w:tcPr>
            <w:tcW w:w="2268" w:type="dxa"/>
            <w:noWrap w:val="0"/>
            <w:vAlign w:val="center"/>
          </w:tcPr>
          <w:p>
            <w:pPr>
              <w:pStyle w:val="48"/>
              <w:jc w:val="center"/>
              <w:rPr>
                <w:bCs w:val="0"/>
                <w:color w:val="auto"/>
                <w:sz w:val="24"/>
                <w:szCs w:val="24"/>
                <w:highlight w:val="none"/>
                <w:lang w:val="en-US"/>
              </w:rPr>
            </w:pPr>
            <w:r>
              <w:rPr>
                <w:rFonts w:hint="eastAsia"/>
                <w:bCs w:val="0"/>
                <w:color w:val="auto"/>
                <w:sz w:val="24"/>
                <w:szCs w:val="24"/>
                <w:highlight w:val="none"/>
                <w:lang w:val="en-US"/>
              </w:rPr>
              <w:t>项目名称</w:t>
            </w:r>
          </w:p>
        </w:tc>
        <w:tc>
          <w:tcPr>
            <w:tcW w:w="2268" w:type="dxa"/>
            <w:noWrap w:val="0"/>
            <w:vAlign w:val="center"/>
          </w:tcPr>
          <w:p>
            <w:pPr>
              <w:pStyle w:val="48"/>
              <w:jc w:val="center"/>
              <w:rPr>
                <w:bCs w:val="0"/>
                <w:color w:val="auto"/>
                <w:sz w:val="24"/>
                <w:szCs w:val="24"/>
                <w:highlight w:val="none"/>
                <w:lang w:val="en-US"/>
              </w:rPr>
            </w:pPr>
            <w:r>
              <w:rPr>
                <w:rFonts w:hint="eastAsia"/>
                <w:bCs w:val="0"/>
                <w:color w:val="auto"/>
                <w:sz w:val="24"/>
                <w:szCs w:val="24"/>
                <w:highlight w:val="none"/>
                <w:lang w:val="en-US"/>
              </w:rPr>
              <w:t>委托人名称</w:t>
            </w:r>
          </w:p>
        </w:tc>
        <w:tc>
          <w:tcPr>
            <w:tcW w:w="2977" w:type="dxa"/>
            <w:noWrap w:val="0"/>
            <w:vAlign w:val="center"/>
          </w:tcPr>
          <w:p>
            <w:pPr>
              <w:pStyle w:val="48"/>
              <w:jc w:val="center"/>
              <w:rPr>
                <w:bCs w:val="0"/>
                <w:color w:val="auto"/>
                <w:sz w:val="24"/>
                <w:szCs w:val="24"/>
                <w:highlight w:val="none"/>
                <w:lang w:val="en-US"/>
              </w:rPr>
            </w:pPr>
            <w:r>
              <w:rPr>
                <w:rFonts w:hint="eastAsia"/>
                <w:bCs w:val="0"/>
                <w:color w:val="auto"/>
                <w:sz w:val="24"/>
                <w:szCs w:val="24"/>
                <w:highlight w:val="none"/>
                <w:lang w:val="en-US"/>
              </w:rPr>
              <w:t>服务开始和完成日期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977" w:type="dxa"/>
            <w:noWrap w:val="0"/>
            <w:vAlign w:val="center"/>
          </w:tcPr>
          <w:p>
            <w:pPr>
              <w:pStyle w:val="48"/>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977" w:type="dxa"/>
            <w:noWrap w:val="0"/>
            <w:vAlign w:val="center"/>
          </w:tcPr>
          <w:p>
            <w:pPr>
              <w:pStyle w:val="48"/>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977" w:type="dxa"/>
            <w:noWrap w:val="0"/>
            <w:vAlign w:val="center"/>
          </w:tcPr>
          <w:p>
            <w:pPr>
              <w:pStyle w:val="48"/>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977" w:type="dxa"/>
            <w:noWrap w:val="0"/>
            <w:vAlign w:val="center"/>
          </w:tcPr>
          <w:p>
            <w:pPr>
              <w:pStyle w:val="48"/>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977" w:type="dxa"/>
            <w:noWrap w:val="0"/>
            <w:vAlign w:val="center"/>
          </w:tcPr>
          <w:p>
            <w:pPr>
              <w:pStyle w:val="48"/>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977" w:type="dxa"/>
            <w:noWrap w:val="0"/>
            <w:vAlign w:val="center"/>
          </w:tcPr>
          <w:p>
            <w:pPr>
              <w:pStyle w:val="48"/>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977" w:type="dxa"/>
            <w:noWrap w:val="0"/>
            <w:vAlign w:val="center"/>
          </w:tcPr>
          <w:p>
            <w:pPr>
              <w:pStyle w:val="48"/>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977" w:type="dxa"/>
            <w:noWrap w:val="0"/>
            <w:vAlign w:val="center"/>
          </w:tcPr>
          <w:p>
            <w:pPr>
              <w:pStyle w:val="48"/>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268" w:type="dxa"/>
            <w:noWrap w:val="0"/>
            <w:vAlign w:val="center"/>
          </w:tcPr>
          <w:p>
            <w:pPr>
              <w:pStyle w:val="48"/>
              <w:jc w:val="center"/>
              <w:rPr>
                <w:bCs w:val="0"/>
                <w:color w:val="auto"/>
                <w:sz w:val="24"/>
                <w:szCs w:val="24"/>
                <w:highlight w:val="none"/>
                <w:lang w:val="en-US"/>
              </w:rPr>
            </w:pPr>
          </w:p>
        </w:tc>
        <w:tc>
          <w:tcPr>
            <w:tcW w:w="2977" w:type="dxa"/>
            <w:noWrap w:val="0"/>
            <w:vAlign w:val="center"/>
          </w:tcPr>
          <w:p>
            <w:pPr>
              <w:pStyle w:val="48"/>
              <w:jc w:val="center"/>
              <w:rPr>
                <w:bCs w:val="0"/>
                <w:color w:val="auto"/>
                <w:sz w:val="24"/>
                <w:szCs w:val="24"/>
                <w:highlight w:val="none"/>
                <w:lang w:val="en-US"/>
              </w:rPr>
            </w:pPr>
          </w:p>
        </w:tc>
      </w:tr>
    </w:tbl>
    <w:p>
      <w:pPr>
        <w:spacing w:line="380" w:lineRule="exact"/>
        <w:rPr>
          <w:rFonts w:ascii="宋体" w:hAnsi="宋体"/>
          <w:color w:val="auto"/>
          <w:sz w:val="22"/>
          <w:szCs w:val="22"/>
          <w:highlight w:val="none"/>
        </w:rPr>
      </w:pPr>
      <w:r>
        <w:rPr>
          <w:rFonts w:hint="eastAsia" w:ascii="宋体" w:hAnsi="宋体"/>
          <w:color w:val="auto"/>
          <w:sz w:val="22"/>
          <w:szCs w:val="22"/>
          <w:highlight w:val="none"/>
        </w:rPr>
        <w:t>注：表后附合同复印件加盖公章，时间以合同签订时间为准。</w:t>
      </w:r>
    </w:p>
    <w:p>
      <w:pPr>
        <w:pStyle w:val="2"/>
        <w:ind w:firstLine="400"/>
        <w:rPr>
          <w:color w:val="auto"/>
          <w:highlight w:val="none"/>
        </w:rPr>
      </w:pPr>
    </w:p>
    <w:p>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pPr>
        <w:spacing w:after="120" w:afterLines="50"/>
        <w:jc w:val="center"/>
        <w:rPr>
          <w:color w:val="auto"/>
          <w:sz w:val="24"/>
          <w:szCs w:val="24"/>
          <w:highlight w:val="none"/>
        </w:rPr>
      </w:pPr>
      <w:r>
        <w:rPr>
          <w:rFonts w:ascii="宋体" w:hAnsi="宋体"/>
          <w:b/>
          <w:color w:val="auto"/>
          <w:sz w:val="24"/>
          <w:szCs w:val="24"/>
          <w:highlight w:val="none"/>
        </w:rPr>
        <w:br w:type="page"/>
      </w:r>
    </w:p>
    <w:p>
      <w:pPr>
        <w:spacing w:after="120" w:afterLines="50"/>
        <w:jc w:val="center"/>
        <w:rPr>
          <w:rFonts w:ascii="宋体"/>
          <w:b/>
          <w:color w:val="auto"/>
          <w:sz w:val="24"/>
          <w:szCs w:val="24"/>
          <w:highlight w:val="none"/>
        </w:rPr>
      </w:pPr>
      <w:r>
        <w:rPr>
          <w:rFonts w:hint="eastAsia" w:ascii="宋体" w:hAnsi="宋体"/>
          <w:b/>
          <w:color w:val="auto"/>
          <w:sz w:val="24"/>
          <w:szCs w:val="24"/>
          <w:highlight w:val="none"/>
        </w:rPr>
        <w:t>3、第五部分“评标办法”中“评分标准”要求提供的资料（如有需提供）</w:t>
      </w:r>
    </w:p>
    <w:p>
      <w:pPr>
        <w:pStyle w:val="43"/>
        <w:rPr>
          <w:color w:val="auto"/>
          <w:highlight w:val="none"/>
        </w:rPr>
      </w:pPr>
    </w:p>
    <w:p>
      <w:pPr>
        <w:pStyle w:val="43"/>
        <w:ind w:firstLine="0" w:firstLineChars="0"/>
        <w:rPr>
          <w:color w:val="auto"/>
          <w:highlight w:val="none"/>
        </w:rPr>
      </w:pPr>
      <w:r>
        <w:rPr>
          <w:rFonts w:hint="eastAsia"/>
          <w:color w:val="auto"/>
          <w:highlight w:val="none"/>
        </w:rPr>
        <w:t>主要内容详见第五部分的评分标准中内容。</w:t>
      </w:r>
    </w:p>
    <w:p>
      <w:pPr>
        <w:rPr>
          <w:color w:val="auto"/>
          <w:highlight w:val="none"/>
        </w:rPr>
      </w:pPr>
    </w:p>
    <w:p>
      <w:pPr>
        <w:pStyle w:val="4"/>
        <w:spacing w:before="240" w:after="240"/>
        <w:rPr>
          <w:color w:val="auto"/>
          <w:highlight w:val="none"/>
        </w:rPr>
      </w:pPr>
    </w:p>
    <w:p>
      <w:pPr>
        <w:rPr>
          <w:color w:val="auto"/>
          <w:highlight w:val="none"/>
        </w:rPr>
      </w:pPr>
    </w:p>
    <w:p>
      <w:pPr>
        <w:pStyle w:val="4"/>
        <w:spacing w:before="240" w:after="240"/>
        <w:rPr>
          <w:color w:val="auto"/>
          <w:highlight w:val="none"/>
        </w:rPr>
      </w:pPr>
    </w:p>
    <w:p>
      <w:pPr>
        <w:rPr>
          <w:color w:val="auto"/>
          <w:highlight w:val="none"/>
        </w:rPr>
      </w:pPr>
    </w:p>
    <w:p>
      <w:pPr>
        <w:pStyle w:val="4"/>
        <w:spacing w:before="240" w:after="240"/>
        <w:rPr>
          <w:color w:val="auto"/>
          <w:highlight w:val="none"/>
        </w:rPr>
      </w:pPr>
    </w:p>
    <w:p>
      <w:pPr>
        <w:rPr>
          <w:color w:val="auto"/>
          <w:highlight w:val="none"/>
        </w:rPr>
      </w:pPr>
    </w:p>
    <w:p>
      <w:pPr>
        <w:pStyle w:val="4"/>
        <w:spacing w:before="240" w:after="240"/>
        <w:rPr>
          <w:color w:val="auto"/>
          <w:highlight w:val="none"/>
        </w:rPr>
      </w:pPr>
    </w:p>
    <w:p>
      <w:pPr>
        <w:rPr>
          <w:color w:val="auto"/>
          <w:highlight w:val="none"/>
        </w:rPr>
      </w:pPr>
    </w:p>
    <w:p>
      <w:pPr>
        <w:pStyle w:val="4"/>
        <w:spacing w:before="240" w:after="240"/>
        <w:rPr>
          <w:color w:val="auto"/>
          <w:highlight w:val="none"/>
        </w:rPr>
      </w:pPr>
    </w:p>
    <w:p>
      <w:pPr>
        <w:rPr>
          <w:color w:val="auto"/>
          <w:highlight w:val="none"/>
        </w:rPr>
      </w:pPr>
    </w:p>
    <w:p>
      <w:pPr>
        <w:pStyle w:val="4"/>
        <w:spacing w:before="240" w:after="240"/>
        <w:rPr>
          <w:color w:val="auto"/>
          <w:highlight w:val="none"/>
        </w:rPr>
      </w:pPr>
    </w:p>
    <w:p>
      <w:pPr>
        <w:rPr>
          <w:color w:val="auto"/>
          <w:highlight w:val="none"/>
        </w:rPr>
      </w:pPr>
    </w:p>
    <w:p>
      <w:pPr>
        <w:pStyle w:val="4"/>
        <w:spacing w:before="240" w:after="240"/>
        <w:rPr>
          <w:color w:val="auto"/>
          <w:highlight w:val="none"/>
        </w:rPr>
      </w:pPr>
    </w:p>
    <w:p>
      <w:pPr>
        <w:rPr>
          <w:color w:val="auto"/>
          <w:highlight w:val="none"/>
        </w:rPr>
      </w:pPr>
    </w:p>
    <w:p>
      <w:pPr>
        <w:pStyle w:val="4"/>
        <w:spacing w:before="240" w:after="240"/>
        <w:rPr>
          <w:color w:val="auto"/>
          <w:highlight w:val="none"/>
        </w:rPr>
      </w:pPr>
    </w:p>
    <w:p>
      <w:pPr>
        <w:rPr>
          <w:color w:val="auto"/>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jc w:val="center"/>
        <w:rPr>
          <w:rFonts w:ascii="宋体" w:hAnsi="宋体" w:cs="宋体"/>
          <w:b/>
          <w:color w:val="auto"/>
          <w:sz w:val="36"/>
          <w:szCs w:val="36"/>
          <w:highlight w:val="none"/>
          <w:u w:val="single"/>
        </w:rPr>
      </w:pPr>
    </w:p>
    <w:p>
      <w:pPr>
        <w:spacing w:line="360" w:lineRule="auto"/>
        <w:jc w:val="center"/>
        <w:rPr>
          <w:rFonts w:ascii="宋体" w:hAnsi="宋体"/>
          <w:b/>
          <w:color w:val="auto"/>
          <w:sz w:val="48"/>
          <w:szCs w:val="48"/>
          <w:highlight w:val="none"/>
        </w:rPr>
      </w:pPr>
      <w:r>
        <w:rPr>
          <w:rFonts w:hint="eastAsia" w:ascii="宋体" w:hAnsi="宋体"/>
          <w:b/>
          <w:color w:val="auto"/>
          <w:sz w:val="48"/>
          <w:szCs w:val="48"/>
          <w:highlight w:val="none"/>
        </w:rPr>
        <w:t>资格证明文件</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封面</w:t>
      </w:r>
    </w:p>
    <w:p>
      <w:pPr>
        <w:spacing w:line="360" w:lineRule="auto"/>
        <w:ind w:firstLine="560"/>
        <w:jc w:val="right"/>
        <w:rPr>
          <w:rFonts w:ascii="宋体" w:hAnsi="宋体"/>
          <w:color w:val="auto"/>
          <w:sz w:val="28"/>
          <w:highlight w:val="none"/>
        </w:rPr>
      </w:pPr>
    </w:p>
    <w:p>
      <w:pPr>
        <w:spacing w:line="360" w:lineRule="auto"/>
        <w:ind w:firstLine="1280" w:firstLineChars="400"/>
        <w:rPr>
          <w:rFonts w:ascii="宋体" w:hAnsi="宋体"/>
          <w:color w:val="auto"/>
          <w:sz w:val="32"/>
          <w:highlight w:val="none"/>
        </w:rPr>
      </w:pPr>
    </w:p>
    <w:p>
      <w:pPr>
        <w:spacing w:line="360" w:lineRule="auto"/>
        <w:jc w:val="center"/>
        <w:rPr>
          <w:rFonts w:ascii="宋体" w:hAnsi="宋体"/>
          <w:color w:val="auto"/>
          <w:sz w:val="28"/>
          <w:highlight w:val="none"/>
          <w:u w:val="single"/>
        </w:rPr>
      </w:pPr>
      <w:r>
        <w:rPr>
          <w:rFonts w:hint="eastAsia" w:ascii="宋体" w:hAnsi="宋体"/>
          <w:color w:val="auto"/>
          <w:sz w:val="28"/>
          <w:highlight w:val="none"/>
          <w:u w:val="single"/>
        </w:rPr>
        <w:t>________________________________________  ________</w:t>
      </w:r>
      <w:r>
        <w:rPr>
          <w:rFonts w:hint="eastAsia" w:ascii="宋体" w:hAnsi="宋体"/>
          <w:color w:val="auto"/>
          <w:sz w:val="28"/>
          <w:highlight w:val="none"/>
        </w:rPr>
        <w:t>项目</w:t>
      </w:r>
    </w:p>
    <w:p>
      <w:pPr>
        <w:spacing w:line="360" w:lineRule="auto"/>
        <w:ind w:firstLine="1280" w:firstLineChars="400"/>
        <w:rPr>
          <w:rFonts w:ascii="宋体" w:hAnsi="宋体"/>
          <w:color w:val="auto"/>
          <w:sz w:val="32"/>
          <w:highlight w:val="none"/>
        </w:rPr>
      </w:pPr>
    </w:p>
    <w:p>
      <w:pPr>
        <w:spacing w:line="360" w:lineRule="auto"/>
        <w:ind w:firstLine="1280" w:firstLineChars="400"/>
        <w:rPr>
          <w:rFonts w:ascii="宋体" w:hAnsi="宋体"/>
          <w:color w:val="auto"/>
          <w:sz w:val="32"/>
          <w:highlight w:val="none"/>
        </w:rPr>
      </w:pPr>
    </w:p>
    <w:p>
      <w:pPr>
        <w:spacing w:line="360" w:lineRule="auto"/>
        <w:jc w:val="center"/>
        <w:rPr>
          <w:rFonts w:ascii="宋体" w:hAnsi="宋体"/>
          <w:b/>
          <w:color w:val="auto"/>
          <w:sz w:val="48"/>
          <w:szCs w:val="48"/>
          <w:highlight w:val="none"/>
        </w:rPr>
      </w:pPr>
      <w:r>
        <w:rPr>
          <w:rFonts w:hint="eastAsia" w:ascii="宋体" w:hAnsi="宋体"/>
          <w:b/>
          <w:color w:val="auto"/>
          <w:sz w:val="48"/>
          <w:szCs w:val="48"/>
          <w:highlight w:val="none"/>
        </w:rPr>
        <w:t>投 标 文 件</w:t>
      </w:r>
    </w:p>
    <w:p>
      <w:pPr>
        <w:spacing w:line="360" w:lineRule="auto"/>
        <w:ind w:firstLine="1680" w:firstLineChars="600"/>
        <w:rPr>
          <w:rFonts w:ascii="宋体" w:hAnsi="宋体"/>
          <w:color w:val="auto"/>
          <w:sz w:val="28"/>
          <w:highlight w:val="none"/>
        </w:rPr>
      </w:pPr>
    </w:p>
    <w:p>
      <w:pPr>
        <w:spacing w:line="360" w:lineRule="auto"/>
        <w:ind w:firstLine="1680" w:firstLineChars="600"/>
        <w:rPr>
          <w:rFonts w:ascii="宋体" w:hAnsi="宋体"/>
          <w:color w:val="auto"/>
          <w:sz w:val="28"/>
          <w:highlight w:val="none"/>
          <w:u w:val="single"/>
        </w:rPr>
      </w:pPr>
      <w:r>
        <w:rPr>
          <w:rFonts w:hint="eastAsia" w:ascii="宋体" w:hAnsi="宋体"/>
          <w:color w:val="auto"/>
          <w:sz w:val="28"/>
          <w:highlight w:val="none"/>
        </w:rPr>
        <w:t>招标编号：</w:t>
      </w:r>
      <w:r>
        <w:rPr>
          <w:rFonts w:hint="eastAsia" w:ascii="宋体" w:hAnsi="宋体"/>
          <w:color w:val="auto"/>
          <w:sz w:val="28"/>
          <w:highlight w:val="none"/>
          <w:u w:val="single"/>
        </w:rPr>
        <w:t xml:space="preserve">______________   _ </w:t>
      </w:r>
    </w:p>
    <w:p>
      <w:pPr>
        <w:spacing w:line="360" w:lineRule="auto"/>
        <w:ind w:firstLine="1680" w:firstLineChars="600"/>
        <w:rPr>
          <w:rFonts w:hint="eastAsia" w:ascii="宋体" w:hAnsi="宋体"/>
          <w:color w:val="auto"/>
          <w:sz w:val="28"/>
          <w:szCs w:val="22"/>
          <w:highlight w:val="none"/>
          <w:u w:val="single"/>
        </w:rPr>
      </w:pPr>
      <w:r>
        <w:rPr>
          <w:rFonts w:hint="eastAsia" w:ascii="宋体" w:hAnsi="宋体"/>
          <w:color w:val="auto"/>
          <w:sz w:val="28"/>
          <w:szCs w:val="22"/>
          <w:highlight w:val="none"/>
        </w:rPr>
        <w:t>标项号：</w:t>
      </w:r>
      <w:r>
        <w:rPr>
          <w:rFonts w:hint="eastAsia" w:ascii="宋体" w:hAnsi="宋体"/>
          <w:color w:val="auto"/>
          <w:sz w:val="28"/>
          <w:szCs w:val="22"/>
          <w:highlight w:val="none"/>
          <w:u w:val="single"/>
        </w:rPr>
        <w:t xml:space="preserve">                        </w:t>
      </w:r>
    </w:p>
    <w:p>
      <w:pPr>
        <w:spacing w:line="360" w:lineRule="auto"/>
        <w:rPr>
          <w:rFonts w:ascii="宋体" w:hAnsi="宋体"/>
          <w:b/>
          <w:color w:val="auto"/>
          <w:highlight w:val="none"/>
        </w:rPr>
      </w:pPr>
    </w:p>
    <w:p>
      <w:pPr>
        <w:spacing w:line="360" w:lineRule="auto"/>
        <w:rPr>
          <w:rFonts w:ascii="宋体" w:hAnsi="宋体"/>
          <w:b/>
          <w:color w:val="auto"/>
          <w:highlight w:val="none"/>
        </w:rPr>
      </w:pPr>
    </w:p>
    <w:p>
      <w:pPr>
        <w:spacing w:line="360" w:lineRule="auto"/>
        <w:rPr>
          <w:rFonts w:ascii="宋体" w:hAnsi="宋体"/>
          <w:b/>
          <w:color w:val="auto"/>
          <w:highlight w:val="none"/>
        </w:rPr>
      </w:pPr>
    </w:p>
    <w:p>
      <w:pPr>
        <w:spacing w:line="720" w:lineRule="auto"/>
        <w:rPr>
          <w:rFonts w:ascii="宋体" w:hAnsi="宋体"/>
          <w:b/>
          <w:color w:val="auto"/>
          <w:sz w:val="28"/>
          <w:highlight w:val="none"/>
          <w:u w:val="single"/>
        </w:rPr>
      </w:pPr>
      <w:r>
        <w:rPr>
          <w:rFonts w:hint="eastAsia" w:ascii="宋体" w:hAnsi="宋体"/>
          <w:color w:val="auto"/>
          <w:sz w:val="28"/>
          <w:highlight w:val="none"/>
        </w:rPr>
        <w:t>投标文件名称：</w:t>
      </w:r>
      <w:r>
        <w:rPr>
          <w:rFonts w:hint="eastAsia" w:ascii="宋体" w:hAnsi="宋体"/>
          <w:b/>
          <w:color w:val="auto"/>
          <w:sz w:val="28"/>
          <w:highlight w:val="none"/>
          <w:u w:val="single"/>
        </w:rPr>
        <w:t xml:space="preserve">           资格证明文件                      </w:t>
      </w:r>
    </w:p>
    <w:p>
      <w:pPr>
        <w:adjustRightInd w:val="0"/>
        <w:snapToGrid w:val="0"/>
        <w:jc w:val="left"/>
        <w:rPr>
          <w:rFonts w:ascii="宋体" w:hAnsi="宋体"/>
          <w:b/>
          <w:color w:val="auto"/>
          <w:sz w:val="24"/>
          <w:highlight w:val="none"/>
        </w:rPr>
      </w:pPr>
      <w:r>
        <w:rPr>
          <w:rFonts w:hint="eastAsia" w:ascii="宋体" w:hAnsi="宋体"/>
          <w:color w:val="auto"/>
          <w:sz w:val="28"/>
          <w:highlight w:val="none"/>
        </w:rPr>
        <w:t>投标人：</w:t>
      </w: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spacing w:line="360" w:lineRule="exact"/>
        <w:rPr>
          <w:rFonts w:hint="eastAsia" w:ascii="宋体" w:hAnsi="宋体" w:cs="宋体"/>
          <w:color w:val="auto"/>
          <w:szCs w:val="21"/>
          <w:highlight w:val="none"/>
        </w:rPr>
        <w:sectPr>
          <w:pgSz w:w="11907" w:h="16840"/>
          <w:pgMar w:top="1304" w:right="1588" w:bottom="1304" w:left="1588" w:header="720" w:footer="720" w:gutter="0"/>
          <w:cols w:space="720" w:num="1"/>
          <w:docGrid w:linePitch="285" w:charSpace="0"/>
        </w:sect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t>资格证明文件，含：</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(1)资格条件自查表；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(2)投标声明书；</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(3)有效的“多证合一”的营业执照（未办理多证合一的提供营业执照、税务登记证、组织机构代码证）副本复印件。投标人如果有名称变更的，应提供由行政主管部门出具的变更证明文件；</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 2020年年度财务会计报表复印件，其他组织或投标人新成立不足一年的，提供基本账户开户银行出具的资信证明材料复印件（银行资信证明一般应是为本次采购出具的原件，如提供采购日前六个月内开具的用于他次招标的银行资信证明的复印件也可。银行资信证明必须按第七部分附件中“银行资信证明”的要求提供。资信评估机构出具的资信等级证书或证明不能代替银行资信证明）；</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(5)提供具有履行合同所必需的设备和专业技术能力的书面声明；</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(6)依法缴纳税收和社会保障资金的书面声明；</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(7)提供参加政府采购活动前3年内在经营活动中没有重大违法记录的书面声明。</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(8)分支机构投标的（指金融、保险、通讯等特定行业），还须提供总公司（总机构）授权书或房产权证或其他有效财产证明材料复印件加盖供应商公章。（如有）</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（9）投标人的特定条件的证明文件：</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r>
        <w:rPr>
          <w:rFonts w:hint="eastAsia" w:ascii="宋体" w:hAnsi="宋体"/>
          <w:b/>
          <w:color w:val="auto"/>
          <w:sz w:val="24"/>
          <w:highlight w:val="none"/>
        </w:rPr>
        <w:t>（一）资格条件自查表</w:t>
      </w:r>
    </w:p>
    <w:p>
      <w:pPr>
        <w:adjustRightInd w:val="0"/>
        <w:snapToGrid w:val="0"/>
        <w:jc w:val="center"/>
        <w:rPr>
          <w:rFonts w:ascii="宋体" w:hAnsi="宋体"/>
          <w:b/>
          <w:color w:val="auto"/>
          <w:sz w:val="24"/>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270"/>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07" w:hRule="atLeast"/>
          <w:jc w:val="center"/>
        </w:trPr>
        <w:tc>
          <w:tcPr>
            <w:tcW w:w="831" w:type="dxa"/>
            <w:noWrap w:val="0"/>
            <w:vAlign w:val="center"/>
          </w:tcPr>
          <w:p>
            <w:pPr>
              <w:adjustRightInd w:val="0"/>
              <w:snapToGrid w:val="0"/>
              <w:jc w:val="center"/>
              <w:rPr>
                <w:rFonts w:ascii="宋体" w:hAnsi="宋体" w:cs="宋体"/>
                <w:color w:val="auto"/>
                <w:szCs w:val="21"/>
                <w:highlight w:val="none"/>
              </w:rPr>
            </w:pPr>
            <w:r>
              <w:rPr>
                <w:rStyle w:val="36"/>
                <w:rFonts w:hint="eastAsia" w:ascii="宋体" w:hAnsi="宋体"/>
                <w:color w:val="auto"/>
                <w:szCs w:val="21"/>
                <w:highlight w:val="none"/>
              </w:rPr>
              <w:t>评审内容</w:t>
            </w:r>
          </w:p>
        </w:tc>
        <w:tc>
          <w:tcPr>
            <w:tcW w:w="4221" w:type="dxa"/>
            <w:noWrap w:val="0"/>
            <w:vAlign w:val="center"/>
          </w:tcPr>
          <w:p>
            <w:pPr>
              <w:adjustRightInd w:val="0"/>
              <w:snapToGrid w:val="0"/>
              <w:jc w:val="center"/>
              <w:rPr>
                <w:rFonts w:ascii="宋体" w:hAnsi="宋体" w:cs="宋体"/>
                <w:color w:val="auto"/>
                <w:szCs w:val="21"/>
                <w:highlight w:val="none"/>
              </w:rPr>
            </w:pPr>
            <w:r>
              <w:rPr>
                <w:rStyle w:val="36"/>
                <w:rFonts w:hint="eastAsia" w:ascii="宋体" w:hAnsi="宋体"/>
                <w:color w:val="auto"/>
                <w:szCs w:val="21"/>
                <w:highlight w:val="none"/>
              </w:rPr>
              <w:t>招标文件要求</w:t>
            </w:r>
          </w:p>
        </w:tc>
        <w:tc>
          <w:tcPr>
            <w:tcW w:w="1270" w:type="dxa"/>
            <w:noWrap w:val="0"/>
            <w:vAlign w:val="center"/>
          </w:tcPr>
          <w:p>
            <w:pPr>
              <w:adjustRightInd w:val="0"/>
              <w:snapToGrid w:val="0"/>
              <w:jc w:val="center"/>
              <w:rPr>
                <w:rFonts w:ascii="宋体" w:hAnsi="宋体" w:cs="宋体"/>
                <w:color w:val="auto"/>
                <w:szCs w:val="21"/>
                <w:highlight w:val="none"/>
              </w:rPr>
            </w:pPr>
            <w:r>
              <w:rPr>
                <w:rStyle w:val="36"/>
                <w:rFonts w:hint="eastAsia" w:ascii="宋体" w:hAnsi="宋体"/>
                <w:color w:val="auto"/>
                <w:szCs w:val="21"/>
                <w:highlight w:val="none"/>
              </w:rPr>
              <w:t>自查结论</w:t>
            </w:r>
          </w:p>
        </w:tc>
        <w:tc>
          <w:tcPr>
            <w:tcW w:w="2611" w:type="dxa"/>
            <w:noWrap w:val="0"/>
            <w:vAlign w:val="center"/>
          </w:tcPr>
          <w:p>
            <w:pPr>
              <w:adjustRightInd w:val="0"/>
              <w:snapToGrid w:val="0"/>
              <w:jc w:val="center"/>
              <w:rPr>
                <w:rFonts w:ascii="宋体" w:hAnsi="宋体" w:cs="宋体"/>
                <w:color w:val="auto"/>
                <w:szCs w:val="21"/>
                <w:highlight w:val="none"/>
              </w:rPr>
            </w:pPr>
            <w:r>
              <w:rPr>
                <w:rStyle w:val="36"/>
                <w:rFonts w:hint="eastAsia" w:ascii="宋体" w:hAnsi="宋体"/>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07" w:hRule="atLeast"/>
          <w:jc w:val="center"/>
        </w:trPr>
        <w:tc>
          <w:tcPr>
            <w:tcW w:w="831" w:type="dxa"/>
            <w:vMerge w:val="restart"/>
            <w:noWrap w:val="0"/>
            <w:vAlign w:val="center"/>
          </w:tcPr>
          <w:p>
            <w:pPr>
              <w:pStyle w:val="102"/>
              <w:adjustRightInd w:val="0"/>
              <w:snapToGrid w:val="0"/>
              <w:spacing w:before="0" w:beforeAutospacing="0" w:after="0" w:afterAutospacing="0"/>
              <w:jc w:val="center"/>
              <w:rPr>
                <w:b/>
                <w:color w:val="auto"/>
                <w:sz w:val="21"/>
                <w:szCs w:val="21"/>
                <w:highlight w:val="none"/>
              </w:rPr>
            </w:pPr>
            <w:r>
              <w:rPr>
                <w:rFonts w:hint="eastAsia"/>
                <w:b/>
                <w:color w:val="auto"/>
                <w:sz w:val="21"/>
                <w:szCs w:val="21"/>
                <w:highlight w:val="none"/>
              </w:rPr>
              <w:t>资</w:t>
            </w:r>
          </w:p>
          <w:p>
            <w:pPr>
              <w:pStyle w:val="102"/>
              <w:adjustRightInd w:val="0"/>
              <w:snapToGrid w:val="0"/>
              <w:spacing w:before="0" w:beforeAutospacing="0" w:after="0" w:afterAutospacing="0"/>
              <w:jc w:val="center"/>
              <w:rPr>
                <w:b/>
                <w:color w:val="auto"/>
                <w:sz w:val="21"/>
                <w:szCs w:val="21"/>
                <w:highlight w:val="none"/>
              </w:rPr>
            </w:pPr>
            <w:r>
              <w:rPr>
                <w:rFonts w:hint="eastAsia"/>
                <w:b/>
                <w:color w:val="auto"/>
                <w:sz w:val="21"/>
                <w:szCs w:val="21"/>
                <w:highlight w:val="none"/>
              </w:rPr>
              <w:t>格</w:t>
            </w:r>
          </w:p>
          <w:p>
            <w:pPr>
              <w:pStyle w:val="102"/>
              <w:adjustRightInd w:val="0"/>
              <w:snapToGrid w:val="0"/>
              <w:spacing w:before="0" w:beforeAutospacing="0" w:after="0" w:afterAutospacing="0"/>
              <w:jc w:val="center"/>
              <w:rPr>
                <w:b/>
                <w:color w:val="auto"/>
                <w:sz w:val="21"/>
                <w:szCs w:val="21"/>
                <w:highlight w:val="none"/>
              </w:rPr>
            </w:pPr>
            <w:r>
              <w:rPr>
                <w:rFonts w:hint="eastAsia"/>
                <w:b/>
                <w:color w:val="auto"/>
                <w:sz w:val="21"/>
                <w:szCs w:val="21"/>
                <w:highlight w:val="none"/>
              </w:rPr>
              <w:t>性</w:t>
            </w:r>
          </w:p>
          <w:p>
            <w:pPr>
              <w:pStyle w:val="102"/>
              <w:adjustRightInd w:val="0"/>
              <w:snapToGrid w:val="0"/>
              <w:spacing w:before="0" w:beforeAutospacing="0" w:after="0" w:afterAutospacing="0"/>
              <w:jc w:val="center"/>
              <w:rPr>
                <w:b/>
                <w:color w:val="auto"/>
                <w:sz w:val="21"/>
                <w:szCs w:val="21"/>
                <w:highlight w:val="none"/>
              </w:rPr>
            </w:pPr>
            <w:r>
              <w:rPr>
                <w:rFonts w:hint="eastAsia"/>
                <w:b/>
                <w:color w:val="auto"/>
                <w:sz w:val="21"/>
                <w:szCs w:val="21"/>
                <w:highlight w:val="none"/>
              </w:rPr>
              <w:t>审</w:t>
            </w:r>
          </w:p>
          <w:p>
            <w:pPr>
              <w:pStyle w:val="102"/>
              <w:adjustRightInd w:val="0"/>
              <w:snapToGrid w:val="0"/>
              <w:spacing w:before="0" w:beforeAutospacing="0" w:after="0" w:afterAutospacing="0"/>
              <w:jc w:val="center"/>
              <w:rPr>
                <w:b/>
                <w:color w:val="auto"/>
                <w:sz w:val="21"/>
                <w:szCs w:val="21"/>
                <w:highlight w:val="none"/>
              </w:rPr>
            </w:pPr>
            <w:r>
              <w:rPr>
                <w:rFonts w:hint="eastAsia"/>
                <w:b/>
                <w:color w:val="auto"/>
                <w:sz w:val="21"/>
                <w:szCs w:val="21"/>
                <w:highlight w:val="none"/>
              </w:rPr>
              <w:t>查</w:t>
            </w:r>
          </w:p>
        </w:tc>
        <w:tc>
          <w:tcPr>
            <w:tcW w:w="4221"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1、投标人具备《政府采购法》第二十二条所规定的条件：</w:t>
            </w:r>
          </w:p>
        </w:tc>
        <w:tc>
          <w:tcPr>
            <w:tcW w:w="1270" w:type="dxa"/>
            <w:vMerge w:val="restart"/>
            <w:noWrap w:val="0"/>
            <w:vAlign w:val="center"/>
          </w:tcPr>
          <w:p>
            <w:pPr>
              <w:adjustRightInd w:val="0"/>
              <w:snapToGrid w:val="0"/>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2611" w:type="dxa"/>
            <w:noWrap w:val="0"/>
            <w:vAlign w:val="center"/>
          </w:tcPr>
          <w:p>
            <w:pPr>
              <w:adjustRightInd w:val="0"/>
              <w:snapToGrid w:val="0"/>
              <w:jc w:val="center"/>
              <w:rPr>
                <w:rFonts w:ascii="宋体" w:hAnsi="宋体" w:cs="宋体"/>
                <w:color w:val="auto"/>
                <w:szCs w:val="21"/>
                <w:highlight w:val="none"/>
              </w:rPr>
            </w:pPr>
            <w:r>
              <w:rPr>
                <w:rFonts w:hint="eastAsia" w:ascii="宋体" w:hAnsi="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09" w:hRule="atLeast"/>
          <w:jc w:val="center"/>
        </w:trPr>
        <w:tc>
          <w:tcPr>
            <w:tcW w:w="831" w:type="dxa"/>
            <w:vMerge w:val="continue"/>
            <w:noWrap w:val="0"/>
            <w:vAlign w:val="center"/>
          </w:tcPr>
          <w:p>
            <w:pPr>
              <w:pStyle w:val="102"/>
              <w:adjustRightInd w:val="0"/>
              <w:snapToGrid w:val="0"/>
              <w:spacing w:before="0" w:beforeAutospacing="0" w:after="0" w:afterAutospacing="0"/>
              <w:jc w:val="center"/>
              <w:rPr>
                <w:b/>
                <w:color w:val="auto"/>
                <w:sz w:val="21"/>
                <w:szCs w:val="21"/>
                <w:highlight w:val="none"/>
              </w:rPr>
            </w:pPr>
          </w:p>
        </w:tc>
        <w:tc>
          <w:tcPr>
            <w:tcW w:w="4221" w:type="dxa"/>
            <w:noWrap w:val="0"/>
            <w:vAlign w:val="center"/>
          </w:tcPr>
          <w:p>
            <w:pPr>
              <w:rPr>
                <w:color w:val="auto"/>
                <w:highlight w:val="none"/>
              </w:rPr>
            </w:pPr>
            <w:r>
              <w:rPr>
                <w:rFonts w:hint="eastAsia"/>
                <w:color w:val="auto"/>
                <w:highlight w:val="none"/>
              </w:rPr>
              <w:t>1.1有效的“多证合一”的营业执照（未办理多证合一的提供营业执照、税务登记证、组织机构代码证）副本复印件。投标人如果有名称变更的，应提供由行政主管部门出具的变更证明文件；</w:t>
            </w:r>
          </w:p>
        </w:tc>
        <w:tc>
          <w:tcPr>
            <w:tcW w:w="1270" w:type="dxa"/>
            <w:vMerge w:val="continue"/>
            <w:noWrap w:val="0"/>
            <w:vAlign w:val="center"/>
          </w:tcPr>
          <w:p>
            <w:pPr>
              <w:adjustRightInd w:val="0"/>
              <w:snapToGrid w:val="0"/>
              <w:rPr>
                <w:rFonts w:ascii="宋体" w:hAnsi="宋体" w:cs="Arial"/>
                <w:color w:val="auto"/>
                <w:szCs w:val="21"/>
                <w:highlight w:val="none"/>
              </w:rPr>
            </w:pPr>
          </w:p>
        </w:tc>
        <w:tc>
          <w:tcPr>
            <w:tcW w:w="2611"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09" w:hRule="atLeast"/>
          <w:jc w:val="center"/>
        </w:trPr>
        <w:tc>
          <w:tcPr>
            <w:tcW w:w="831" w:type="dxa"/>
            <w:vMerge w:val="continue"/>
            <w:noWrap w:val="0"/>
            <w:vAlign w:val="center"/>
          </w:tcPr>
          <w:p>
            <w:pPr>
              <w:pStyle w:val="102"/>
              <w:adjustRightInd w:val="0"/>
              <w:snapToGrid w:val="0"/>
              <w:spacing w:before="0" w:beforeAutospacing="0" w:after="0" w:afterAutospacing="0"/>
              <w:jc w:val="center"/>
              <w:rPr>
                <w:b/>
                <w:color w:val="auto"/>
                <w:sz w:val="21"/>
                <w:szCs w:val="21"/>
                <w:highlight w:val="none"/>
              </w:rPr>
            </w:pPr>
          </w:p>
        </w:tc>
        <w:tc>
          <w:tcPr>
            <w:tcW w:w="4221"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1.2 2020年年度财务会计报表复印件。其他组织或投标人新成立不足一年的，提供基本账户开户银行出具的资信证明材料复印件</w:t>
            </w:r>
          </w:p>
        </w:tc>
        <w:tc>
          <w:tcPr>
            <w:tcW w:w="1270" w:type="dxa"/>
            <w:vMerge w:val="continue"/>
            <w:noWrap w:val="0"/>
            <w:vAlign w:val="center"/>
          </w:tcPr>
          <w:p>
            <w:pPr>
              <w:adjustRightInd w:val="0"/>
              <w:snapToGrid w:val="0"/>
              <w:rPr>
                <w:rFonts w:ascii="宋体" w:hAnsi="宋体" w:cs="Arial"/>
                <w:color w:val="auto"/>
                <w:szCs w:val="21"/>
                <w:highlight w:val="none"/>
              </w:rPr>
            </w:pPr>
          </w:p>
        </w:tc>
        <w:tc>
          <w:tcPr>
            <w:tcW w:w="2611"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02"/>
              <w:adjustRightInd w:val="0"/>
              <w:snapToGrid w:val="0"/>
              <w:spacing w:before="0" w:beforeAutospacing="0" w:after="0" w:afterAutospacing="0"/>
              <w:jc w:val="center"/>
              <w:rPr>
                <w:color w:val="auto"/>
                <w:sz w:val="21"/>
                <w:szCs w:val="21"/>
                <w:highlight w:val="none"/>
              </w:rPr>
            </w:pPr>
          </w:p>
        </w:tc>
        <w:tc>
          <w:tcPr>
            <w:tcW w:w="4221"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1.3提供具有履行合同所必需的设备和专业技术能力的书面声明。</w:t>
            </w:r>
          </w:p>
        </w:tc>
        <w:tc>
          <w:tcPr>
            <w:tcW w:w="1270" w:type="dxa"/>
            <w:vMerge w:val="continue"/>
            <w:noWrap w:val="0"/>
            <w:vAlign w:val="center"/>
          </w:tcPr>
          <w:p>
            <w:pPr>
              <w:adjustRightInd w:val="0"/>
              <w:snapToGrid w:val="0"/>
              <w:rPr>
                <w:rFonts w:ascii="宋体" w:hAnsi="宋体" w:cs="Arial"/>
                <w:color w:val="auto"/>
                <w:szCs w:val="21"/>
                <w:highlight w:val="none"/>
              </w:rPr>
            </w:pPr>
          </w:p>
        </w:tc>
        <w:tc>
          <w:tcPr>
            <w:tcW w:w="2611"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02"/>
              <w:adjustRightInd w:val="0"/>
              <w:snapToGrid w:val="0"/>
              <w:spacing w:before="0" w:beforeAutospacing="0" w:after="0" w:afterAutospacing="0"/>
              <w:jc w:val="center"/>
              <w:rPr>
                <w:color w:val="auto"/>
                <w:sz w:val="21"/>
                <w:szCs w:val="21"/>
                <w:highlight w:val="none"/>
              </w:rPr>
            </w:pPr>
          </w:p>
        </w:tc>
        <w:tc>
          <w:tcPr>
            <w:tcW w:w="4221"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1.4依法缴纳税收和社会保障资金的书面声明。</w:t>
            </w:r>
          </w:p>
        </w:tc>
        <w:tc>
          <w:tcPr>
            <w:tcW w:w="1270" w:type="dxa"/>
            <w:vMerge w:val="continue"/>
            <w:noWrap w:val="0"/>
            <w:vAlign w:val="center"/>
          </w:tcPr>
          <w:p>
            <w:pPr>
              <w:adjustRightInd w:val="0"/>
              <w:snapToGrid w:val="0"/>
              <w:rPr>
                <w:rFonts w:ascii="宋体" w:hAnsi="宋体" w:cs="Arial"/>
                <w:color w:val="auto"/>
                <w:szCs w:val="21"/>
                <w:highlight w:val="none"/>
              </w:rPr>
            </w:pPr>
          </w:p>
        </w:tc>
        <w:tc>
          <w:tcPr>
            <w:tcW w:w="2611"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02"/>
              <w:adjustRightInd w:val="0"/>
              <w:snapToGrid w:val="0"/>
              <w:spacing w:before="0" w:beforeAutospacing="0" w:after="0" w:afterAutospacing="0"/>
              <w:jc w:val="center"/>
              <w:rPr>
                <w:color w:val="auto"/>
                <w:sz w:val="21"/>
                <w:szCs w:val="21"/>
                <w:highlight w:val="none"/>
              </w:rPr>
            </w:pPr>
          </w:p>
        </w:tc>
        <w:tc>
          <w:tcPr>
            <w:tcW w:w="4221"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1.5提供参加政府采购活动前3年内在经营活动中没有重大违法记录的书面声明。</w:t>
            </w:r>
          </w:p>
        </w:tc>
        <w:tc>
          <w:tcPr>
            <w:tcW w:w="1270" w:type="dxa"/>
            <w:vMerge w:val="continue"/>
            <w:noWrap w:val="0"/>
            <w:vAlign w:val="center"/>
          </w:tcPr>
          <w:p>
            <w:pPr>
              <w:adjustRightInd w:val="0"/>
              <w:snapToGrid w:val="0"/>
              <w:rPr>
                <w:rFonts w:ascii="宋体" w:hAnsi="宋体" w:cs="Arial"/>
                <w:color w:val="auto"/>
                <w:szCs w:val="21"/>
                <w:highlight w:val="none"/>
              </w:rPr>
            </w:pPr>
          </w:p>
        </w:tc>
        <w:tc>
          <w:tcPr>
            <w:tcW w:w="2611"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02"/>
              <w:adjustRightInd w:val="0"/>
              <w:snapToGrid w:val="0"/>
              <w:spacing w:before="0" w:beforeAutospacing="0" w:after="0" w:afterAutospacing="0"/>
              <w:jc w:val="center"/>
              <w:rPr>
                <w:color w:val="auto"/>
                <w:sz w:val="21"/>
                <w:szCs w:val="21"/>
                <w:highlight w:val="none"/>
              </w:rPr>
            </w:pPr>
          </w:p>
        </w:tc>
        <w:tc>
          <w:tcPr>
            <w:tcW w:w="4221" w:type="dxa"/>
            <w:noWrap w:val="0"/>
            <w:vAlign w:val="center"/>
          </w:tcPr>
          <w:p>
            <w:pPr>
              <w:wordWrap w:val="0"/>
              <w:adjustRightInd w:val="0"/>
              <w:snapToGrid w:val="0"/>
              <w:rPr>
                <w:rFonts w:ascii="宋体" w:hAnsi="宋体" w:cs="宋体"/>
                <w:color w:val="auto"/>
                <w:szCs w:val="21"/>
                <w:highlight w:val="none"/>
              </w:rPr>
            </w:pPr>
            <w:r>
              <w:rPr>
                <w:rFonts w:hint="eastAsia" w:ascii="宋体" w:hAnsi="宋体" w:cs="宋体"/>
                <w:color w:val="auto"/>
                <w:szCs w:val="21"/>
                <w:highlight w:val="none"/>
              </w:rPr>
              <w:t>2、未被“信用中国”（www.creditchina.gov.cn)、中国政府采购网（www.ccgp.gov.cn）列入失信被执行人、重大税收违法案件当事人名单、政府采购严重违法失信行为记录名单。</w:t>
            </w:r>
          </w:p>
        </w:tc>
        <w:tc>
          <w:tcPr>
            <w:tcW w:w="1270" w:type="dxa"/>
            <w:noWrap w:val="0"/>
            <w:vAlign w:val="center"/>
          </w:tcPr>
          <w:p>
            <w:pPr>
              <w:adjustRightInd w:val="0"/>
              <w:snapToGrid w:val="0"/>
              <w:rPr>
                <w:rFonts w:ascii="宋体" w:hAnsi="宋体" w:cs="Arial"/>
                <w:color w:val="auto"/>
                <w:szCs w:val="21"/>
                <w:highlight w:val="none"/>
              </w:rPr>
            </w:pPr>
          </w:p>
        </w:tc>
        <w:tc>
          <w:tcPr>
            <w:tcW w:w="2611" w:type="dxa"/>
            <w:noWrap w:val="0"/>
            <w:vAlign w:val="center"/>
          </w:tcPr>
          <w:p>
            <w:pPr>
              <w:adjustRightInd w:val="0"/>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11" w:hRule="atLeast"/>
          <w:jc w:val="center"/>
        </w:trPr>
        <w:tc>
          <w:tcPr>
            <w:tcW w:w="831" w:type="dxa"/>
            <w:vMerge w:val="continue"/>
            <w:noWrap w:val="0"/>
            <w:vAlign w:val="center"/>
          </w:tcPr>
          <w:p>
            <w:pPr>
              <w:pStyle w:val="102"/>
              <w:adjustRightInd w:val="0"/>
              <w:snapToGrid w:val="0"/>
              <w:spacing w:before="0" w:beforeAutospacing="0" w:after="0" w:afterAutospacing="0"/>
              <w:jc w:val="center"/>
              <w:rPr>
                <w:color w:val="auto"/>
                <w:sz w:val="21"/>
                <w:szCs w:val="21"/>
                <w:highlight w:val="none"/>
              </w:rPr>
            </w:pPr>
          </w:p>
        </w:tc>
        <w:tc>
          <w:tcPr>
            <w:tcW w:w="4221" w:type="dxa"/>
            <w:noWrap w:val="0"/>
            <w:vAlign w:val="center"/>
          </w:tcPr>
          <w:p>
            <w:pPr>
              <w:adjustRightInd w:val="0"/>
              <w:snapToGrid w:val="0"/>
              <w:rPr>
                <w:rFonts w:ascii="宋体" w:hAnsi="宋体" w:cs="黑体"/>
                <w:color w:val="auto"/>
                <w:szCs w:val="21"/>
                <w:highlight w:val="none"/>
              </w:rPr>
            </w:pPr>
            <w:r>
              <w:rPr>
                <w:rFonts w:hint="eastAsia" w:cs="宋体"/>
                <w:color w:val="auto"/>
                <w:highlight w:val="none"/>
              </w:rPr>
              <w:t>3、落实政府采购政策需满足的资格要求：（如有）</w:t>
            </w:r>
          </w:p>
        </w:tc>
        <w:tc>
          <w:tcPr>
            <w:tcW w:w="1270" w:type="dxa"/>
            <w:noWrap w:val="0"/>
            <w:vAlign w:val="center"/>
          </w:tcPr>
          <w:p>
            <w:pPr>
              <w:adjustRightInd w:val="0"/>
              <w:snapToGrid w:val="0"/>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 xml:space="preserve">通过 </w:t>
            </w:r>
          </w:p>
          <w:p>
            <w:pPr>
              <w:adjustRightInd w:val="0"/>
              <w:snapToGrid w:val="0"/>
              <w:rPr>
                <w:rFonts w:ascii="宋体" w:hAnsi="宋体" w:cs="Arial"/>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2611"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07" w:hRule="atLeast"/>
          <w:jc w:val="center"/>
        </w:trPr>
        <w:tc>
          <w:tcPr>
            <w:tcW w:w="831" w:type="dxa"/>
            <w:vMerge w:val="continue"/>
            <w:noWrap w:val="0"/>
            <w:vAlign w:val="center"/>
          </w:tcPr>
          <w:p>
            <w:pPr>
              <w:adjustRightInd w:val="0"/>
              <w:snapToGrid w:val="0"/>
              <w:rPr>
                <w:rFonts w:ascii="宋体" w:hAnsi="宋体" w:cs="宋体"/>
                <w:color w:val="auto"/>
                <w:szCs w:val="21"/>
                <w:highlight w:val="none"/>
              </w:rPr>
            </w:pPr>
          </w:p>
        </w:tc>
        <w:tc>
          <w:tcPr>
            <w:tcW w:w="4221"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4、本项目的特定资格要求：</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本项目不接受联合体投标。</w:t>
            </w:r>
          </w:p>
        </w:tc>
        <w:tc>
          <w:tcPr>
            <w:tcW w:w="1270" w:type="dxa"/>
            <w:noWrap w:val="0"/>
            <w:vAlign w:val="center"/>
          </w:tcPr>
          <w:p>
            <w:pPr>
              <w:adjustRightInd w:val="0"/>
              <w:snapToGrid w:val="0"/>
              <w:rPr>
                <w:rFonts w:ascii="宋体" w:hAnsi="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通过</w:t>
            </w:r>
          </w:p>
          <w:p>
            <w:pPr>
              <w:adjustRightInd w:val="0"/>
              <w:snapToGrid w:val="0"/>
              <w:rPr>
                <w:rFonts w:ascii="宋体" w:hAnsi="宋体" w:cs="宋体"/>
                <w:color w:val="auto"/>
                <w:szCs w:val="21"/>
                <w:highlight w:val="none"/>
              </w:rPr>
            </w:pPr>
            <w:r>
              <w:rPr>
                <w:rFonts w:hint="eastAsia" w:ascii="宋体" w:hAnsi="宋体" w:cs="Arial"/>
                <w:color w:val="auto"/>
                <w:szCs w:val="21"/>
                <w:highlight w:val="none"/>
              </w:rPr>
              <w:t>□</w:t>
            </w:r>
            <w:r>
              <w:rPr>
                <w:rFonts w:hint="eastAsia" w:ascii="宋体" w:hAnsi="宋体"/>
                <w:color w:val="auto"/>
                <w:szCs w:val="21"/>
                <w:highlight w:val="none"/>
              </w:rPr>
              <w:t>不通过</w:t>
            </w:r>
          </w:p>
        </w:tc>
        <w:tc>
          <w:tcPr>
            <w:tcW w:w="2611" w:type="dxa"/>
            <w:noWrap w:val="0"/>
            <w:vAlign w:val="center"/>
          </w:tcPr>
          <w:p>
            <w:pPr>
              <w:adjustRightInd w:val="0"/>
              <w:snapToGrid w:val="0"/>
              <w:jc w:val="center"/>
              <w:rPr>
                <w:rFonts w:ascii="宋体" w:hAnsi="宋体" w:cs="宋体"/>
                <w:color w:val="auto"/>
                <w:szCs w:val="21"/>
                <w:highlight w:val="none"/>
              </w:rPr>
            </w:pPr>
          </w:p>
        </w:tc>
      </w:tr>
    </w:tbl>
    <w:p>
      <w:pPr>
        <w:pStyle w:val="3"/>
        <w:ind w:firstLine="0"/>
        <w:rPr>
          <w:rFonts w:ascii="Cambria" w:hAnsi="Cambria"/>
          <w:b/>
          <w:bCs/>
          <w:color w:val="auto"/>
          <w:sz w:val="22"/>
          <w:szCs w:val="22"/>
          <w:highlight w:val="none"/>
        </w:rPr>
      </w:pPr>
      <w:r>
        <w:rPr>
          <w:rFonts w:hint="eastAsia" w:ascii="宋体" w:hAnsi="宋体"/>
          <w:b/>
          <w:color w:val="auto"/>
          <w:szCs w:val="21"/>
          <w:highlight w:val="none"/>
        </w:rPr>
        <w:t>备注：投标人自查表将作为投标人有效性审查的重要内容之一，投标人必须严格按照其内容及序列要求在投标文件中对应如实提供，对资格证明文件的任何缺漏和不符合项将会直接导致投标无效！</w:t>
      </w:r>
      <w:r>
        <w:rPr>
          <w:rFonts w:ascii="宋体" w:hAnsi="宋体"/>
          <w:b/>
          <w:color w:val="auto"/>
          <w:szCs w:val="21"/>
          <w:highlight w:val="none"/>
        </w:rPr>
        <w:br w:type="page"/>
      </w:r>
    </w:p>
    <w:p>
      <w:pPr>
        <w:pStyle w:val="6"/>
        <w:spacing w:line="380" w:lineRule="exact"/>
        <w:rPr>
          <w:rFonts w:ascii="Cambria" w:hAnsi="Cambria"/>
          <w:color w:val="auto"/>
          <w:sz w:val="28"/>
          <w:szCs w:val="28"/>
          <w:highlight w:val="none"/>
        </w:rPr>
      </w:pPr>
      <w:bookmarkStart w:id="129" w:name="_Toc502819365"/>
      <w:bookmarkStart w:id="130" w:name="_Toc15066"/>
      <w:bookmarkStart w:id="131" w:name="_Toc497935758"/>
      <w:bookmarkStart w:id="132" w:name="_Toc520902430"/>
      <w:bookmarkStart w:id="133" w:name="_Toc481153685"/>
      <w:bookmarkStart w:id="134" w:name="_Toc316649312"/>
      <w:r>
        <w:rPr>
          <w:rFonts w:hint="eastAsia" w:ascii="Cambria" w:hAnsi="Cambria"/>
          <w:color w:val="auto"/>
          <w:sz w:val="28"/>
          <w:szCs w:val="28"/>
          <w:highlight w:val="none"/>
        </w:rPr>
        <w:t>（二）投标声明书</w:t>
      </w:r>
      <w:bookmarkEnd w:id="129"/>
      <w:bookmarkEnd w:id="130"/>
      <w:bookmarkEnd w:id="131"/>
      <w:bookmarkEnd w:id="132"/>
    </w:p>
    <w:p>
      <w:pPr>
        <w:rPr>
          <w:rFonts w:ascii="宋体" w:hAnsi="宋体"/>
          <w:b/>
          <w:color w:val="auto"/>
          <w:highlight w:val="none"/>
        </w:rPr>
      </w:pPr>
    </w:p>
    <w:p>
      <w:pPr>
        <w:rPr>
          <w:rFonts w:ascii="宋体" w:hAnsi="宋体"/>
          <w:b/>
          <w:color w:val="auto"/>
          <w:highlight w:val="none"/>
        </w:rPr>
      </w:pPr>
    </w:p>
    <w:p>
      <w:pPr>
        <w:rPr>
          <w:rFonts w:ascii="宋体" w:hAnsi="宋体"/>
          <w:b/>
          <w:color w:val="auto"/>
          <w:szCs w:val="21"/>
          <w:highlight w:val="none"/>
        </w:rPr>
      </w:pPr>
      <w:r>
        <w:rPr>
          <w:rFonts w:hint="eastAsia" w:ascii="宋体" w:hAnsi="宋体"/>
          <w:color w:val="auto"/>
          <w:szCs w:val="21"/>
          <w:highlight w:val="none"/>
          <w:u w:val="single"/>
        </w:rPr>
        <w:t>（</w:t>
      </w:r>
      <w:r>
        <w:rPr>
          <w:rFonts w:hint="eastAsia" w:ascii="宋体" w:hAnsi="宋体"/>
          <w:i/>
          <w:color w:val="auto"/>
          <w:szCs w:val="21"/>
          <w:highlight w:val="none"/>
          <w:u w:val="single"/>
        </w:rPr>
        <w:t>采购代理机构</w:t>
      </w:r>
      <w:r>
        <w:rPr>
          <w:rFonts w:hint="eastAsia" w:ascii="宋体" w:hAnsi="宋体"/>
          <w:color w:val="auto"/>
          <w:szCs w:val="21"/>
          <w:highlight w:val="none"/>
          <w:u w:val="single"/>
        </w:rPr>
        <w:t>）</w:t>
      </w:r>
      <w:r>
        <w:rPr>
          <w:rFonts w:hint="eastAsia" w:ascii="宋体" w:hAnsi="宋体"/>
          <w:b/>
          <w:color w:val="auto"/>
          <w:szCs w:val="21"/>
          <w:highlight w:val="none"/>
        </w:rPr>
        <w:t>：</w:t>
      </w:r>
    </w:p>
    <w:p>
      <w:pPr>
        <w:snapToGrid w:val="0"/>
        <w:spacing w:before="120" w:beforeLines="50" w:line="360" w:lineRule="auto"/>
        <w:ind w:firstLine="424" w:firstLineChars="202"/>
        <w:rPr>
          <w:rFonts w:ascii="宋体" w:hAnsi="宋体"/>
          <w:color w:val="auto"/>
          <w:szCs w:val="21"/>
          <w:highlight w:val="none"/>
        </w:rPr>
      </w:pPr>
      <w:r>
        <w:rPr>
          <w:rFonts w:hint="eastAsia" w:ascii="宋体" w:hAnsi="宋体"/>
          <w:color w:val="auto"/>
          <w:szCs w:val="21"/>
          <w:highlight w:val="none"/>
        </w:rPr>
        <w:t>关于贵司年</w:t>
      </w:r>
      <w:r>
        <w:rPr>
          <w:rFonts w:hint="eastAsia" w:ascii="宋体" w:hAnsi="宋体"/>
          <w:color w:val="auto"/>
          <w:szCs w:val="21"/>
          <w:highlight w:val="none"/>
          <w:u w:val="single"/>
        </w:rPr>
        <w:t>　　</w:t>
      </w:r>
      <w:r>
        <w:rPr>
          <w:rFonts w:hint="eastAsia" w:ascii="宋体" w:hAnsi="宋体"/>
          <w:color w:val="auto"/>
          <w:szCs w:val="21"/>
          <w:highlight w:val="none"/>
        </w:rPr>
        <w:t>月</w:t>
      </w:r>
      <w:r>
        <w:rPr>
          <w:rFonts w:hint="eastAsia" w:ascii="宋体" w:hAnsi="宋体"/>
          <w:color w:val="auto"/>
          <w:szCs w:val="21"/>
          <w:highlight w:val="none"/>
          <w:u w:val="single"/>
        </w:rPr>
        <w:t>　　</w:t>
      </w:r>
      <w:r>
        <w:rPr>
          <w:rFonts w:hint="eastAsia" w:ascii="宋体" w:hAnsi="宋体"/>
          <w:color w:val="auto"/>
          <w:szCs w:val="21"/>
          <w:highlight w:val="none"/>
        </w:rPr>
        <w:t>日发布</w:t>
      </w:r>
      <w:r>
        <w:rPr>
          <w:rFonts w:hint="eastAsia" w:ascii="宋体" w:hAnsi="宋体"/>
          <w:color w:val="auto"/>
          <w:kern w:val="28"/>
          <w:szCs w:val="21"/>
          <w:highlight w:val="none"/>
          <w:u w:val="single"/>
        </w:rPr>
        <w:t>XXXXXXXXXXXXXXXX</w:t>
      </w:r>
      <w:r>
        <w:rPr>
          <w:rFonts w:hint="eastAsia" w:ascii="宋体" w:hAnsi="宋体"/>
          <w:color w:val="auto"/>
          <w:szCs w:val="21"/>
          <w:highlight w:val="none"/>
        </w:rPr>
        <w:t>项目（项目编号：　　　）的招标公告，本单位愿意参加投标，并声明：</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我单位具备</w:t>
      </w:r>
      <w:r>
        <w:rPr>
          <w:rFonts w:hint="eastAsia" w:ascii="宋体" w:hAnsi="宋体"/>
          <w:bCs/>
          <w:color w:val="auto"/>
          <w:szCs w:val="21"/>
          <w:highlight w:val="none"/>
        </w:rPr>
        <w:t>《中华人民共和国政府采购法》第二十二条资格条件，</w:t>
      </w:r>
      <w:r>
        <w:rPr>
          <w:rFonts w:hint="eastAsia" w:ascii="宋体" w:hAnsi="宋体"/>
          <w:color w:val="auto"/>
          <w:szCs w:val="21"/>
          <w:highlight w:val="none"/>
        </w:rPr>
        <w:t>并已清楚招标文件的要求及有关文件规定。</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我单位的单位负责人或单位负责人与所参投的本采购项目的其他投标人的单位负责人或单位负责人不为同一人且与其他投标人之间不存在直接控股、管理关系。</w:t>
      </w:r>
    </w:p>
    <w:p>
      <w:pPr>
        <w:widowControl/>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中华人民共和国政府采购法实施条例》的规定，本单位如为本采购项目提供整体设计、规范编制或者项目管理、监理、检测等服务的投标人，不得再参加该采购项目的其他采购活动。否则，由此所造成的损失、不良后果及法律责任，一律由我单位承担。</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我单位未被信用中国网站（www.creditchina.gov.cn）列入失信被执行人、重大税收违法件当事人名单，未被中国政府采购网（www.ccgp.gov.cn）列入政府采购严重违法失信行为记录名单。</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本次招标采购活动中，如有违法、违规、弄虚作假行为，所造成的损失、不良后果及法律责任，一律由我单位承担。</w:t>
      </w:r>
    </w:p>
    <w:p>
      <w:pPr>
        <w:spacing w:line="360" w:lineRule="auto"/>
        <w:ind w:firstLine="420"/>
        <w:rPr>
          <w:rFonts w:ascii="宋体" w:hAnsi="宋体"/>
          <w:color w:val="auto"/>
          <w:szCs w:val="21"/>
          <w:highlight w:val="none"/>
        </w:rPr>
      </w:pPr>
      <w:r>
        <w:rPr>
          <w:rFonts w:hint="eastAsia" w:ascii="宋体" w:hAnsi="宋体"/>
          <w:color w:val="auto"/>
          <w:szCs w:val="21"/>
          <w:highlight w:val="none"/>
        </w:rPr>
        <w:t>特此声明！</w:t>
      </w:r>
    </w:p>
    <w:p>
      <w:pPr>
        <w:adjustRightInd w:val="0"/>
        <w:snapToGrid w:val="0"/>
        <w:spacing w:line="360" w:lineRule="auto"/>
        <w:ind w:left="425"/>
        <w:rPr>
          <w:rFonts w:ascii="宋体" w:hAnsi="宋体"/>
          <w:color w:val="auto"/>
          <w:spacing w:val="4"/>
          <w:szCs w:val="21"/>
          <w:highlight w:val="none"/>
        </w:rPr>
      </w:pPr>
    </w:p>
    <w:p>
      <w:pPr>
        <w:adjustRightInd w:val="0"/>
        <w:snapToGrid w:val="0"/>
        <w:spacing w:line="360" w:lineRule="auto"/>
        <w:ind w:left="425"/>
        <w:rPr>
          <w:rFonts w:ascii="宋体" w:hAnsi="宋体"/>
          <w:color w:val="auto"/>
          <w:spacing w:val="4"/>
          <w:szCs w:val="21"/>
          <w:highlight w:val="none"/>
        </w:rPr>
      </w:pPr>
    </w:p>
    <w:p>
      <w:pPr>
        <w:adjustRightInd w:val="0"/>
        <w:snapToGrid w:val="0"/>
        <w:spacing w:line="360" w:lineRule="auto"/>
        <w:ind w:left="425"/>
        <w:rPr>
          <w:rFonts w:ascii="宋体" w:hAnsi="宋体"/>
          <w:color w:val="auto"/>
          <w:spacing w:val="4"/>
          <w:szCs w:val="21"/>
          <w:highlight w:val="none"/>
        </w:rPr>
      </w:pPr>
    </w:p>
    <w:p>
      <w:pPr>
        <w:spacing w:line="480" w:lineRule="auto"/>
        <w:ind w:right="420" w:firstLine="3150" w:firstLineChars="1500"/>
        <w:rPr>
          <w:color w:val="auto"/>
          <w:szCs w:val="21"/>
          <w:highlight w:val="none"/>
        </w:rPr>
      </w:pPr>
      <w:r>
        <w:rPr>
          <w:rFonts w:hint="eastAsia"/>
          <w:color w:val="auto"/>
          <w:szCs w:val="21"/>
          <w:highlight w:val="none"/>
        </w:rPr>
        <w:t>投标人（公章）：</w:t>
      </w:r>
    </w:p>
    <w:p>
      <w:pPr>
        <w:spacing w:line="480" w:lineRule="auto"/>
        <w:ind w:right="420" w:firstLine="3150" w:firstLineChars="1500"/>
        <w:rPr>
          <w:color w:val="auto"/>
          <w:szCs w:val="21"/>
          <w:highlight w:val="none"/>
        </w:rPr>
      </w:pPr>
      <w:r>
        <w:rPr>
          <w:rFonts w:hint="eastAsia"/>
          <w:color w:val="auto"/>
          <w:szCs w:val="21"/>
          <w:highlight w:val="none"/>
        </w:rPr>
        <w:t>投标人代表（签字或印章）：</w:t>
      </w:r>
    </w:p>
    <w:p>
      <w:pPr>
        <w:spacing w:line="480" w:lineRule="auto"/>
        <w:ind w:right="420" w:firstLine="3045" w:firstLineChars="1450"/>
        <w:rPr>
          <w:color w:val="auto"/>
          <w:szCs w:val="21"/>
          <w:highlight w:val="none"/>
        </w:rPr>
      </w:pPr>
      <w:r>
        <w:rPr>
          <w:rFonts w:hint="eastAsia"/>
          <w:color w:val="auto"/>
          <w:szCs w:val="21"/>
          <w:highlight w:val="none"/>
        </w:rPr>
        <w:t>年月日</w:t>
      </w:r>
    </w:p>
    <w:p>
      <w:pPr>
        <w:pStyle w:val="3"/>
        <w:ind w:firstLine="0"/>
        <w:jc w:val="center"/>
        <w:rPr>
          <w:rFonts w:ascii="宋体" w:hAnsi="宋体"/>
          <w:color w:val="auto"/>
          <w:highlight w:val="none"/>
        </w:rPr>
      </w:pPr>
    </w:p>
    <w:p>
      <w:pPr>
        <w:pStyle w:val="3"/>
        <w:ind w:firstLine="0"/>
        <w:jc w:val="center"/>
        <w:rPr>
          <w:rFonts w:ascii="宋体" w:hAnsi="宋体"/>
          <w:color w:val="auto"/>
          <w:highlight w:val="none"/>
        </w:rPr>
      </w:pPr>
    </w:p>
    <w:p>
      <w:pPr>
        <w:pStyle w:val="3"/>
        <w:ind w:firstLine="0"/>
        <w:jc w:val="center"/>
        <w:rPr>
          <w:rFonts w:ascii="宋体" w:hAnsi="宋体"/>
          <w:color w:val="auto"/>
          <w:highlight w:val="none"/>
        </w:rPr>
      </w:pPr>
    </w:p>
    <w:p>
      <w:pPr>
        <w:pStyle w:val="3"/>
        <w:ind w:firstLine="0"/>
        <w:jc w:val="center"/>
        <w:rPr>
          <w:rFonts w:ascii="宋体" w:hAnsi="宋体"/>
          <w:color w:val="auto"/>
          <w:highlight w:val="none"/>
        </w:rPr>
      </w:pPr>
    </w:p>
    <w:p>
      <w:pPr>
        <w:pStyle w:val="3"/>
        <w:ind w:firstLine="0"/>
        <w:jc w:val="center"/>
        <w:rPr>
          <w:rFonts w:ascii="宋体" w:hAnsi="宋体"/>
          <w:color w:val="auto"/>
          <w:highlight w:val="none"/>
        </w:rPr>
      </w:pPr>
    </w:p>
    <w:p>
      <w:pPr>
        <w:pStyle w:val="3"/>
        <w:ind w:firstLine="0"/>
        <w:jc w:val="center"/>
        <w:rPr>
          <w:rFonts w:ascii="宋体" w:hAnsi="宋体"/>
          <w:color w:val="auto"/>
          <w:highlight w:val="none"/>
        </w:rPr>
      </w:pPr>
    </w:p>
    <w:p>
      <w:pPr>
        <w:pStyle w:val="3"/>
        <w:ind w:firstLine="0"/>
        <w:jc w:val="center"/>
        <w:rPr>
          <w:rFonts w:ascii="宋体" w:hAnsi="宋体"/>
          <w:color w:val="auto"/>
          <w:highlight w:val="none"/>
        </w:rPr>
      </w:pPr>
    </w:p>
    <w:p>
      <w:pPr>
        <w:pStyle w:val="3"/>
        <w:ind w:firstLine="0"/>
        <w:jc w:val="center"/>
        <w:rPr>
          <w:rFonts w:ascii="宋体" w:hAnsi="宋体"/>
          <w:color w:val="auto"/>
          <w:highlight w:val="none"/>
        </w:rPr>
      </w:pPr>
    </w:p>
    <w:p>
      <w:pPr>
        <w:pStyle w:val="3"/>
        <w:ind w:firstLine="0"/>
        <w:jc w:val="center"/>
        <w:rPr>
          <w:rFonts w:ascii="宋体" w:hAnsi="宋体"/>
          <w:color w:val="auto"/>
          <w:highlight w:val="none"/>
        </w:rPr>
      </w:pPr>
    </w:p>
    <w:p>
      <w:pPr>
        <w:pStyle w:val="3"/>
        <w:ind w:firstLine="0"/>
        <w:jc w:val="center"/>
        <w:rPr>
          <w:rFonts w:ascii="宋体" w:hAnsi="宋体"/>
          <w:color w:val="auto"/>
          <w:highlight w:val="none"/>
        </w:rPr>
      </w:pPr>
    </w:p>
    <w:p>
      <w:pPr>
        <w:pStyle w:val="6"/>
        <w:spacing w:line="380" w:lineRule="exact"/>
        <w:ind w:left="0" w:firstLine="0"/>
        <w:rPr>
          <w:rFonts w:ascii="Cambria" w:hAnsi="Cambria"/>
          <w:color w:val="auto"/>
          <w:sz w:val="28"/>
          <w:szCs w:val="28"/>
          <w:highlight w:val="none"/>
        </w:rPr>
      </w:pPr>
      <w:bookmarkStart w:id="135" w:name="_Toc316649311"/>
      <w:bookmarkStart w:id="136" w:name="_Toc481153684"/>
      <w:bookmarkStart w:id="137" w:name="_Toc497935757"/>
      <w:bookmarkStart w:id="138" w:name="_Toc502819364"/>
      <w:bookmarkStart w:id="139" w:name="_Toc520902431"/>
      <w:bookmarkStart w:id="140" w:name="_Toc25820"/>
      <w:r>
        <w:rPr>
          <w:rFonts w:hint="eastAsia" w:ascii="Cambria" w:hAnsi="Cambria"/>
          <w:color w:val="auto"/>
          <w:sz w:val="28"/>
          <w:szCs w:val="28"/>
          <w:highlight w:val="none"/>
        </w:rPr>
        <w:t>（三）</w:t>
      </w:r>
      <w:bookmarkEnd w:id="135"/>
      <w:bookmarkEnd w:id="136"/>
      <w:bookmarkEnd w:id="137"/>
      <w:bookmarkEnd w:id="138"/>
      <w:r>
        <w:rPr>
          <w:rFonts w:hint="eastAsia" w:ascii="Cambria" w:hAnsi="Cambria"/>
          <w:color w:val="auto"/>
          <w:sz w:val="28"/>
          <w:szCs w:val="28"/>
          <w:highlight w:val="none"/>
        </w:rPr>
        <w:t>有效的“多证合一”的营业执照（未办理多证合一的提供营业执照、税务登记证、组织机构代码证）副本复印件。投标人如果有名称变更的，应提供由行政主管部门出具的变更证明文件；</w:t>
      </w:r>
      <w:bookmarkEnd w:id="139"/>
      <w:bookmarkEnd w:id="140"/>
    </w:p>
    <w:p>
      <w:pPr>
        <w:pStyle w:val="3"/>
        <w:ind w:firstLine="0"/>
        <w:jc w:val="center"/>
        <w:rPr>
          <w:rFonts w:ascii="Cambria" w:hAnsi="Cambria"/>
          <w:bCs/>
          <w:color w:val="auto"/>
          <w:sz w:val="22"/>
          <w:szCs w:val="22"/>
          <w:highlight w:val="none"/>
        </w:rPr>
      </w:pPr>
      <w:r>
        <w:rPr>
          <w:rFonts w:hint="eastAsia" w:ascii="Cambria" w:hAnsi="Cambria"/>
          <w:bCs/>
          <w:color w:val="auto"/>
          <w:sz w:val="22"/>
          <w:szCs w:val="22"/>
          <w:highlight w:val="none"/>
        </w:rPr>
        <w:t>（复印件并加盖公章）</w:t>
      </w:r>
    </w:p>
    <w:p>
      <w:pPr>
        <w:pStyle w:val="3"/>
        <w:ind w:firstLine="0"/>
        <w:jc w:val="center"/>
        <w:rPr>
          <w:rFonts w:ascii="宋体" w:hAnsi="宋体"/>
          <w:color w:val="auto"/>
          <w:highlight w:val="none"/>
        </w:rPr>
      </w:pPr>
    </w:p>
    <w:p>
      <w:pPr>
        <w:pStyle w:val="3"/>
        <w:ind w:firstLine="0"/>
        <w:jc w:val="center"/>
        <w:rPr>
          <w:rFonts w:ascii="宋体" w:hAnsi="宋体"/>
          <w:color w:val="auto"/>
          <w:highlight w:val="none"/>
        </w:rPr>
      </w:pPr>
    </w:p>
    <w:p>
      <w:pPr>
        <w:pStyle w:val="3"/>
        <w:ind w:firstLine="0"/>
        <w:jc w:val="center"/>
        <w:rPr>
          <w:rFonts w:ascii="宋体" w:hAnsi="宋体"/>
          <w:color w:val="auto"/>
          <w:highlight w:val="none"/>
        </w:rPr>
      </w:pPr>
    </w:p>
    <w:p>
      <w:pPr>
        <w:pStyle w:val="3"/>
        <w:ind w:firstLine="0"/>
        <w:jc w:val="center"/>
        <w:rPr>
          <w:rFonts w:ascii="宋体" w:hAnsi="宋体"/>
          <w:color w:val="auto"/>
          <w:highlight w:val="none"/>
        </w:rPr>
      </w:pPr>
    </w:p>
    <w:p>
      <w:pPr>
        <w:pStyle w:val="3"/>
        <w:ind w:firstLine="0"/>
        <w:jc w:val="center"/>
        <w:rPr>
          <w:rFonts w:ascii="宋体" w:hAnsi="宋体"/>
          <w:color w:val="auto"/>
          <w:highlight w:val="none"/>
        </w:rPr>
      </w:pPr>
    </w:p>
    <w:p>
      <w:pPr>
        <w:pStyle w:val="6"/>
        <w:spacing w:line="380" w:lineRule="exact"/>
        <w:rPr>
          <w:rFonts w:ascii="Cambria" w:hAnsi="Cambria"/>
          <w:color w:val="auto"/>
          <w:sz w:val="28"/>
          <w:szCs w:val="28"/>
          <w:highlight w:val="none"/>
        </w:rPr>
      </w:pPr>
      <w:bookmarkStart w:id="141" w:name="_Toc5778"/>
      <w:bookmarkStart w:id="142" w:name="_Toc520902432"/>
      <w:r>
        <w:rPr>
          <w:rFonts w:hint="eastAsia" w:ascii="Cambria" w:hAnsi="Cambria"/>
          <w:color w:val="auto"/>
          <w:sz w:val="28"/>
          <w:szCs w:val="28"/>
          <w:highlight w:val="none"/>
        </w:rPr>
        <w:t>（四）2020年年度财务会计报表复印件。其他组织或投标人新成立不足一年的，提供基本账户开户银行出具的资信证明材料复印件</w:t>
      </w:r>
      <w:bookmarkEnd w:id="141"/>
      <w:bookmarkEnd w:id="142"/>
    </w:p>
    <w:p>
      <w:pPr>
        <w:rPr>
          <w:color w:val="auto"/>
          <w:highlight w:val="none"/>
        </w:rPr>
      </w:pPr>
    </w:p>
    <w:p>
      <w:pPr>
        <w:pStyle w:val="3"/>
        <w:ind w:firstLine="0"/>
        <w:jc w:val="center"/>
        <w:rPr>
          <w:rFonts w:ascii="宋体" w:hAnsi="宋体"/>
          <w:color w:val="auto"/>
          <w:highlight w:val="none"/>
        </w:rPr>
      </w:pPr>
    </w:p>
    <w:p>
      <w:pPr>
        <w:pStyle w:val="3"/>
        <w:ind w:firstLine="0"/>
        <w:rPr>
          <w:rFonts w:ascii="宋体" w:hAnsi="宋体"/>
          <w:color w:val="auto"/>
          <w:sz w:val="21"/>
          <w:szCs w:val="21"/>
          <w:highlight w:val="none"/>
        </w:rPr>
      </w:pPr>
      <w:r>
        <w:rPr>
          <w:rFonts w:hint="eastAsia" w:ascii="宋体" w:hAnsi="宋体"/>
          <w:color w:val="auto"/>
          <w:sz w:val="21"/>
          <w:szCs w:val="21"/>
          <w:highlight w:val="none"/>
        </w:rPr>
        <w:t>银行资信证明开具要求：</w:t>
      </w:r>
    </w:p>
    <w:p>
      <w:pPr>
        <w:pStyle w:val="3"/>
        <w:ind w:firstLine="0"/>
        <w:rPr>
          <w:rFonts w:ascii="宋体" w:hAnsi="宋体"/>
          <w:color w:val="auto"/>
          <w:sz w:val="21"/>
          <w:szCs w:val="21"/>
          <w:highlight w:val="none"/>
        </w:rPr>
      </w:pPr>
    </w:p>
    <w:p>
      <w:pPr>
        <w:pStyle w:val="3"/>
        <w:spacing w:line="360" w:lineRule="auto"/>
        <w:ind w:left="210" w:hanging="210" w:hangingChars="100"/>
        <w:rPr>
          <w:rFonts w:ascii="宋体" w:hAnsi="宋体"/>
          <w:color w:val="auto"/>
          <w:sz w:val="21"/>
          <w:szCs w:val="21"/>
          <w:highlight w:val="none"/>
        </w:rPr>
      </w:pPr>
      <w:r>
        <w:rPr>
          <w:rFonts w:hint="eastAsia" w:ascii="宋体" w:hAnsi="宋体"/>
          <w:color w:val="auto"/>
          <w:sz w:val="21"/>
          <w:szCs w:val="21"/>
          <w:highlight w:val="none"/>
        </w:rPr>
        <w:t>1.声明本银行是投标人的基本账户开户银行（非投标人基本账户的开户银行出具的资信证明无效）。</w:t>
      </w:r>
    </w:p>
    <w:p>
      <w:pPr>
        <w:pStyle w:val="3"/>
        <w:spacing w:line="360" w:lineRule="auto"/>
        <w:ind w:firstLine="0"/>
        <w:rPr>
          <w:rFonts w:ascii="宋体" w:hAnsi="宋体"/>
          <w:color w:val="auto"/>
          <w:sz w:val="21"/>
          <w:szCs w:val="21"/>
          <w:highlight w:val="none"/>
        </w:rPr>
      </w:pPr>
      <w:r>
        <w:rPr>
          <w:rFonts w:hint="eastAsia" w:ascii="宋体" w:hAnsi="宋体"/>
          <w:color w:val="auto"/>
          <w:sz w:val="21"/>
          <w:szCs w:val="21"/>
          <w:highlight w:val="none"/>
        </w:rPr>
        <w:t>2.证明投标人资金往来结算信誉情况良好。</w:t>
      </w:r>
    </w:p>
    <w:p>
      <w:pPr>
        <w:pStyle w:val="3"/>
        <w:spacing w:line="360" w:lineRule="auto"/>
        <w:ind w:left="210" w:hanging="210" w:hangingChars="100"/>
        <w:rPr>
          <w:rFonts w:ascii="宋体" w:hAnsi="宋体"/>
          <w:color w:val="auto"/>
          <w:sz w:val="21"/>
          <w:szCs w:val="21"/>
          <w:highlight w:val="none"/>
        </w:rPr>
      </w:pPr>
      <w:r>
        <w:rPr>
          <w:rFonts w:hint="eastAsia" w:ascii="宋体" w:hAnsi="宋体"/>
          <w:color w:val="auto"/>
          <w:sz w:val="21"/>
          <w:szCs w:val="21"/>
          <w:highlight w:val="none"/>
        </w:rPr>
        <w:t>3.落款应有银行公章或银行资信证明专用章或业务专用章、负责人姓名、签字及日期。</w:t>
      </w:r>
    </w:p>
    <w:p>
      <w:pPr>
        <w:pStyle w:val="3"/>
        <w:spacing w:line="360" w:lineRule="auto"/>
        <w:ind w:left="210" w:hanging="210" w:hangingChars="100"/>
        <w:rPr>
          <w:rFonts w:ascii="宋体" w:hAnsi="宋体"/>
          <w:color w:val="auto"/>
          <w:sz w:val="21"/>
          <w:szCs w:val="21"/>
          <w:highlight w:val="none"/>
        </w:rPr>
      </w:pPr>
      <w:r>
        <w:rPr>
          <w:rFonts w:hint="eastAsia" w:ascii="宋体" w:hAnsi="宋体"/>
          <w:color w:val="auto"/>
          <w:sz w:val="21"/>
          <w:szCs w:val="21"/>
          <w:highlight w:val="none"/>
        </w:rPr>
        <w:t>4.银行资信证明应是在开标日前6个月之内出具的，否则为无效证明，有关企业资信等级的证明不能替代本证明。</w:t>
      </w:r>
    </w:p>
    <w:p>
      <w:pPr>
        <w:rPr>
          <w:color w:val="auto"/>
          <w:highlight w:val="none"/>
        </w:rPr>
      </w:pPr>
    </w:p>
    <w:p>
      <w:pPr>
        <w:rPr>
          <w:color w:val="auto"/>
          <w:highlight w:val="none"/>
        </w:rPr>
      </w:pPr>
    </w:p>
    <w:p>
      <w:pPr>
        <w:rPr>
          <w:color w:val="auto"/>
          <w:highlight w:val="none"/>
        </w:rPr>
      </w:pPr>
      <w:r>
        <w:rPr>
          <w:color w:val="auto"/>
          <w:highlight w:val="none"/>
        </w:rPr>
        <w:br w:type="page"/>
      </w:r>
    </w:p>
    <w:p>
      <w:pPr>
        <w:rPr>
          <w:color w:val="auto"/>
          <w:highlight w:val="none"/>
        </w:rPr>
      </w:pPr>
    </w:p>
    <w:p>
      <w:pPr>
        <w:rPr>
          <w:color w:val="auto"/>
          <w:highlight w:val="none"/>
        </w:rPr>
      </w:pPr>
    </w:p>
    <w:p>
      <w:pPr>
        <w:pStyle w:val="6"/>
        <w:spacing w:line="380" w:lineRule="exact"/>
        <w:rPr>
          <w:rFonts w:ascii="Cambria" w:hAnsi="Cambria"/>
          <w:color w:val="auto"/>
          <w:sz w:val="28"/>
          <w:szCs w:val="28"/>
          <w:highlight w:val="none"/>
        </w:rPr>
      </w:pPr>
      <w:bookmarkStart w:id="143" w:name="_Toc520902433"/>
      <w:bookmarkStart w:id="144" w:name="_Toc17130"/>
      <w:r>
        <w:rPr>
          <w:rFonts w:hint="eastAsia" w:ascii="Cambria" w:hAnsi="Cambria"/>
          <w:color w:val="auto"/>
          <w:sz w:val="28"/>
          <w:szCs w:val="28"/>
          <w:highlight w:val="none"/>
        </w:rPr>
        <w:t>（五）提供具有履行合同所必需的设备和专业技术能力的书面声明</w:t>
      </w:r>
      <w:bookmarkEnd w:id="143"/>
      <w:bookmarkEnd w:id="144"/>
    </w:p>
    <w:p>
      <w:pPr>
        <w:pStyle w:val="6"/>
        <w:spacing w:line="380" w:lineRule="exact"/>
        <w:jc w:val="both"/>
        <w:rPr>
          <w:rFonts w:ascii="Cambria" w:hAnsi="Cambria"/>
          <w:color w:val="auto"/>
          <w:sz w:val="28"/>
          <w:szCs w:val="28"/>
          <w:highlight w:val="none"/>
        </w:rPr>
      </w:pPr>
      <w:bookmarkStart w:id="145" w:name="_Toc502819366"/>
      <w:bookmarkStart w:id="146" w:name="_Toc497935759"/>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olor w:val="auto"/>
          <w:highlight w:val="none"/>
        </w:rPr>
        <w:t>我公司（单位）具备履行合同所需的设备和专业技术能力，否则，由此所造成的损失、不良后果及法律责任，一律由我公司（单位）承担：</w:t>
      </w:r>
    </w:p>
    <w:p>
      <w:pPr>
        <w:spacing w:line="360" w:lineRule="auto"/>
        <w:rPr>
          <w:color w:val="auto"/>
          <w:highlight w:val="none"/>
        </w:rPr>
      </w:pPr>
      <w:r>
        <w:rPr>
          <w:color w:val="auto"/>
          <w:highlight w:val="none"/>
        </w:rPr>
        <w:t>……</w:t>
      </w:r>
      <w:r>
        <w:rPr>
          <w:rFonts w:hint="eastAsia"/>
          <w:color w:val="auto"/>
          <w:highlight w:val="none"/>
        </w:rPr>
        <w:t>..</w:t>
      </w:r>
    </w:p>
    <w:p>
      <w:pPr>
        <w:spacing w:line="360" w:lineRule="auto"/>
        <w:rPr>
          <w:color w:val="auto"/>
          <w:highlight w:val="none"/>
        </w:rPr>
      </w:pPr>
      <w:r>
        <w:rPr>
          <w:rFonts w:hint="eastAsia"/>
          <w:color w:val="auto"/>
          <w:highlight w:val="none"/>
        </w:rPr>
        <w:t>特此声明。</w:t>
      </w:r>
    </w:p>
    <w:p>
      <w:pPr>
        <w:spacing w:line="360" w:lineRule="auto"/>
        <w:rPr>
          <w:color w:val="auto"/>
          <w:highlight w:val="none"/>
        </w:rPr>
      </w:pPr>
    </w:p>
    <w:p>
      <w:pPr>
        <w:spacing w:line="360" w:lineRule="auto"/>
        <w:rPr>
          <w:color w:val="auto"/>
          <w:highlight w:val="none"/>
        </w:rPr>
      </w:pPr>
    </w:p>
    <w:p>
      <w:pPr>
        <w:spacing w:line="480" w:lineRule="auto"/>
        <w:ind w:right="420" w:firstLine="3150" w:firstLineChars="1500"/>
        <w:rPr>
          <w:color w:val="auto"/>
          <w:szCs w:val="21"/>
          <w:highlight w:val="none"/>
        </w:rPr>
      </w:pPr>
      <w:r>
        <w:rPr>
          <w:rFonts w:hint="eastAsia"/>
          <w:color w:val="auto"/>
          <w:szCs w:val="21"/>
          <w:highlight w:val="none"/>
        </w:rPr>
        <w:t>投标人（公章）：</w:t>
      </w:r>
    </w:p>
    <w:p>
      <w:pPr>
        <w:spacing w:line="480" w:lineRule="auto"/>
        <w:ind w:right="420" w:firstLine="3150" w:firstLineChars="1500"/>
        <w:rPr>
          <w:color w:val="auto"/>
          <w:szCs w:val="21"/>
          <w:highlight w:val="none"/>
        </w:rPr>
      </w:pPr>
      <w:r>
        <w:rPr>
          <w:rFonts w:hint="eastAsia"/>
          <w:color w:val="auto"/>
          <w:szCs w:val="21"/>
          <w:highlight w:val="none"/>
        </w:rPr>
        <w:t>投标人代表（签字或印章）：</w:t>
      </w:r>
    </w:p>
    <w:p>
      <w:pPr>
        <w:spacing w:line="480" w:lineRule="auto"/>
        <w:ind w:right="420" w:firstLine="3045" w:firstLineChars="1450"/>
        <w:rPr>
          <w:color w:val="auto"/>
          <w:szCs w:val="21"/>
          <w:highlight w:val="none"/>
        </w:rPr>
      </w:pPr>
      <w:r>
        <w:rPr>
          <w:rFonts w:hint="eastAsia"/>
          <w:color w:val="auto"/>
          <w:szCs w:val="21"/>
          <w:highlight w:val="none"/>
        </w:rPr>
        <w:t>年月日</w:t>
      </w:r>
    </w:p>
    <w:p>
      <w:pPr>
        <w:spacing w:line="360" w:lineRule="auto"/>
        <w:ind w:firstLine="562"/>
        <w:jc w:val="center"/>
        <w:rPr>
          <w:rFonts w:ascii="宋体" w:hAnsi="宋体"/>
          <w:b/>
          <w:color w:val="auto"/>
          <w:sz w:val="24"/>
          <w:szCs w:val="24"/>
          <w:highlight w:val="none"/>
        </w:rPr>
      </w:pPr>
    </w:p>
    <w:p>
      <w:pPr>
        <w:spacing w:line="360" w:lineRule="auto"/>
        <w:ind w:firstLine="562"/>
        <w:jc w:val="center"/>
        <w:rPr>
          <w:rFonts w:ascii="宋体" w:hAnsi="宋体"/>
          <w:b/>
          <w:color w:val="auto"/>
          <w:sz w:val="24"/>
          <w:szCs w:val="24"/>
          <w:highlight w:val="none"/>
        </w:rPr>
      </w:pPr>
    </w:p>
    <w:p>
      <w:pPr>
        <w:pStyle w:val="6"/>
        <w:spacing w:line="380" w:lineRule="exact"/>
        <w:rPr>
          <w:rFonts w:ascii="Cambria" w:hAnsi="Cambria"/>
          <w:color w:val="auto"/>
          <w:sz w:val="28"/>
          <w:szCs w:val="28"/>
          <w:highlight w:val="none"/>
        </w:rPr>
      </w:pPr>
      <w:bookmarkStart w:id="147" w:name="_Toc520902434"/>
      <w:bookmarkStart w:id="148" w:name="_Toc18274"/>
      <w:r>
        <w:rPr>
          <w:rFonts w:hint="eastAsia" w:ascii="Cambria" w:hAnsi="Cambria"/>
          <w:color w:val="auto"/>
          <w:sz w:val="28"/>
          <w:szCs w:val="28"/>
          <w:highlight w:val="none"/>
        </w:rPr>
        <w:t>（六）依法缴纳税收和社会保障资金的书面声明</w:t>
      </w:r>
      <w:bookmarkEnd w:id="147"/>
      <w:bookmarkEnd w:id="148"/>
    </w:p>
    <w:p>
      <w:pPr>
        <w:pStyle w:val="31"/>
        <w:spacing w:before="0" w:beforeAutospacing="0" w:after="0" w:afterAutospacing="0"/>
        <w:ind w:right="159" w:firstLine="480" w:firstLineChars="200"/>
        <w:jc w:val="both"/>
        <w:rPr>
          <w:rFonts w:eastAsia="宋体"/>
          <w:bCs/>
          <w:color w:val="auto"/>
          <w:highlight w:val="none"/>
        </w:rPr>
      </w:pPr>
    </w:p>
    <w:p>
      <w:pPr>
        <w:spacing w:line="360" w:lineRule="auto"/>
        <w:ind w:firstLine="420" w:firstLineChars="200"/>
        <w:rPr>
          <w:color w:val="auto"/>
          <w:highlight w:val="none"/>
        </w:rPr>
      </w:pPr>
      <w:r>
        <w:rPr>
          <w:rFonts w:hint="eastAsia"/>
          <w:color w:val="auto"/>
          <w:highlight w:val="none"/>
        </w:rPr>
        <w:t>我公司（单位）近三年均依法缴纳了各项税费，没有偷税、漏税行为。</w:t>
      </w:r>
    </w:p>
    <w:p>
      <w:pPr>
        <w:spacing w:line="360" w:lineRule="auto"/>
        <w:ind w:firstLine="420" w:firstLineChars="200"/>
        <w:rPr>
          <w:color w:val="auto"/>
          <w:highlight w:val="none"/>
        </w:rPr>
      </w:pPr>
      <w:r>
        <w:rPr>
          <w:rFonts w:hint="eastAsia"/>
          <w:color w:val="auto"/>
          <w:highlight w:val="none"/>
        </w:rPr>
        <w:t>我公司（单位）近三年均依法缴纳了各项社会保障资金，没有欠缴、漏缴行为。</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olor w:val="auto"/>
          <w:highlight w:val="none"/>
        </w:rPr>
        <w:t>特此声明。</w:t>
      </w: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480" w:lineRule="auto"/>
        <w:ind w:right="420" w:firstLine="3150" w:firstLineChars="1500"/>
        <w:rPr>
          <w:color w:val="auto"/>
          <w:szCs w:val="21"/>
          <w:highlight w:val="none"/>
        </w:rPr>
      </w:pPr>
      <w:r>
        <w:rPr>
          <w:rFonts w:hint="eastAsia"/>
          <w:color w:val="auto"/>
          <w:szCs w:val="21"/>
          <w:highlight w:val="none"/>
        </w:rPr>
        <w:t>投标人（公章）：</w:t>
      </w:r>
    </w:p>
    <w:p>
      <w:pPr>
        <w:spacing w:line="480" w:lineRule="auto"/>
        <w:ind w:right="420" w:firstLine="3150" w:firstLineChars="1500"/>
        <w:rPr>
          <w:color w:val="auto"/>
          <w:szCs w:val="21"/>
          <w:highlight w:val="none"/>
        </w:rPr>
      </w:pPr>
      <w:r>
        <w:rPr>
          <w:rFonts w:hint="eastAsia"/>
          <w:color w:val="auto"/>
          <w:szCs w:val="21"/>
          <w:highlight w:val="none"/>
        </w:rPr>
        <w:t>投标人代表（签字或印章）：</w:t>
      </w:r>
    </w:p>
    <w:p>
      <w:pPr>
        <w:spacing w:line="480" w:lineRule="auto"/>
        <w:ind w:right="420" w:firstLine="3045" w:firstLineChars="1450"/>
        <w:rPr>
          <w:color w:val="auto"/>
          <w:szCs w:val="21"/>
          <w:highlight w:val="none"/>
        </w:rPr>
      </w:pPr>
      <w:r>
        <w:rPr>
          <w:rFonts w:hint="eastAsia"/>
          <w:color w:val="auto"/>
          <w:szCs w:val="21"/>
          <w:highlight w:val="none"/>
        </w:rPr>
        <w:t>年月日</w:t>
      </w:r>
    </w:p>
    <w:p>
      <w:pPr>
        <w:pStyle w:val="31"/>
        <w:spacing w:before="0" w:beforeAutospacing="0" w:after="0" w:afterAutospacing="0" w:line="640" w:lineRule="exact"/>
        <w:ind w:right="159" w:firstLine="660"/>
        <w:jc w:val="both"/>
        <w:rPr>
          <w:bCs/>
          <w:color w:val="auto"/>
          <w:highlight w:val="none"/>
        </w:rPr>
      </w:pPr>
    </w:p>
    <w:p>
      <w:pPr>
        <w:spacing w:line="360" w:lineRule="auto"/>
        <w:ind w:firstLine="420"/>
        <w:jc w:val="center"/>
        <w:rPr>
          <w:rFonts w:ascii="宋体" w:hAnsi="宋体"/>
          <w:b/>
          <w:color w:val="auto"/>
          <w:szCs w:val="21"/>
          <w:highlight w:val="none"/>
        </w:rPr>
      </w:pPr>
      <w:r>
        <w:rPr>
          <w:rFonts w:hint="eastAsia"/>
          <w:bCs/>
          <w:color w:val="auto"/>
          <w:szCs w:val="21"/>
          <w:highlight w:val="none"/>
        </w:rPr>
        <w:t>（注：代理机构、投标人注册成立不足三年的，应就单位成立至参加政府采购活动时段进行承诺）</w:t>
      </w:r>
    </w:p>
    <w:p>
      <w:pPr>
        <w:spacing w:line="360" w:lineRule="auto"/>
        <w:ind w:firstLine="562"/>
        <w:rPr>
          <w:color w:val="auto"/>
          <w:highlight w:val="none"/>
        </w:rPr>
      </w:pPr>
    </w:p>
    <w:p>
      <w:pPr>
        <w:pStyle w:val="6"/>
        <w:spacing w:line="380" w:lineRule="exact"/>
        <w:rPr>
          <w:rFonts w:ascii="Cambria" w:hAnsi="Cambria"/>
          <w:color w:val="auto"/>
          <w:sz w:val="28"/>
          <w:szCs w:val="28"/>
          <w:highlight w:val="none"/>
        </w:rPr>
      </w:pPr>
      <w:bookmarkStart w:id="149" w:name="_Toc520902435"/>
    </w:p>
    <w:p>
      <w:pPr>
        <w:rPr>
          <w:color w:val="auto"/>
          <w:highlight w:val="none"/>
        </w:rPr>
      </w:pPr>
    </w:p>
    <w:p>
      <w:pPr>
        <w:pStyle w:val="17"/>
        <w:rPr>
          <w:rFonts w:hint="eastAsia"/>
          <w:color w:val="auto"/>
          <w:highlight w:val="none"/>
        </w:rPr>
      </w:pPr>
    </w:p>
    <w:p>
      <w:pPr>
        <w:pStyle w:val="6"/>
        <w:spacing w:line="380" w:lineRule="exact"/>
        <w:rPr>
          <w:rFonts w:ascii="Cambria" w:hAnsi="Cambria"/>
          <w:color w:val="auto"/>
          <w:sz w:val="28"/>
          <w:szCs w:val="28"/>
          <w:highlight w:val="none"/>
        </w:rPr>
      </w:pPr>
      <w:bookmarkStart w:id="150" w:name="_Toc29611"/>
      <w:r>
        <w:rPr>
          <w:rFonts w:hint="eastAsia" w:ascii="Cambria" w:hAnsi="Cambria"/>
          <w:color w:val="auto"/>
          <w:sz w:val="28"/>
          <w:szCs w:val="28"/>
          <w:highlight w:val="none"/>
        </w:rPr>
        <w:t>（七）提供参加政府采购活动前</w:t>
      </w:r>
      <w:r>
        <w:rPr>
          <w:rFonts w:ascii="Cambria" w:hAnsi="Cambria"/>
          <w:color w:val="auto"/>
          <w:sz w:val="28"/>
          <w:szCs w:val="28"/>
          <w:highlight w:val="none"/>
        </w:rPr>
        <w:t>3</w:t>
      </w:r>
      <w:r>
        <w:rPr>
          <w:rFonts w:hint="eastAsia" w:ascii="Cambria" w:hAnsi="Cambria"/>
          <w:color w:val="auto"/>
          <w:sz w:val="28"/>
          <w:szCs w:val="28"/>
          <w:highlight w:val="none"/>
        </w:rPr>
        <w:t>年内在经营活动中没有重大违法记录的书面声明。</w:t>
      </w:r>
      <w:bookmarkEnd w:id="149"/>
      <w:bookmarkEnd w:id="150"/>
    </w:p>
    <w:p>
      <w:pPr>
        <w:rPr>
          <w:color w:val="auto"/>
          <w:highlight w:val="none"/>
        </w:rPr>
      </w:pPr>
    </w:p>
    <w:p>
      <w:pPr>
        <w:rPr>
          <w:color w:val="auto"/>
          <w:highlight w:val="none"/>
        </w:rPr>
      </w:pPr>
    </w:p>
    <w:p>
      <w:pPr>
        <w:rPr>
          <w:color w:val="auto"/>
          <w:highlight w:val="none"/>
        </w:rPr>
      </w:pPr>
    </w:p>
    <w:p>
      <w:pPr>
        <w:spacing w:line="360" w:lineRule="auto"/>
        <w:rPr>
          <w:color w:val="auto"/>
          <w:highlight w:val="none"/>
        </w:rPr>
      </w:pPr>
      <w:r>
        <w:rPr>
          <w:rFonts w:hint="eastAsia"/>
          <w:color w:val="auto"/>
          <w:highlight w:val="none"/>
        </w:rPr>
        <w:t>参加政府采购活动前三年内，在经营活动中没有重大违法记录（</w:t>
      </w:r>
      <w:r>
        <w:rPr>
          <w:color w:val="auto"/>
          <w:highlight w:val="none"/>
        </w:rPr>
        <w:t>没有因违法经营受到刑事处罚或者责令停产停业、吊销许可证或者执照、较大数额罚款等行政处罚）</w:t>
      </w:r>
      <w:r>
        <w:rPr>
          <w:rFonts w:hint="eastAsia"/>
          <w:color w:val="auto"/>
          <w:highlight w:val="none"/>
        </w:rPr>
        <w:t>，特此声明。</w:t>
      </w:r>
    </w:p>
    <w:p>
      <w:pPr>
        <w:spacing w:line="360" w:lineRule="auto"/>
        <w:rPr>
          <w:color w:val="auto"/>
          <w:highlight w:val="none"/>
        </w:rPr>
      </w:pPr>
    </w:p>
    <w:p>
      <w:pPr>
        <w:spacing w:line="360" w:lineRule="auto"/>
        <w:ind w:firstLine="1365" w:firstLineChars="650"/>
        <w:rPr>
          <w:color w:val="auto"/>
          <w:highlight w:val="none"/>
        </w:rPr>
      </w:pPr>
    </w:p>
    <w:p>
      <w:pPr>
        <w:spacing w:line="360" w:lineRule="auto"/>
        <w:ind w:firstLine="1365" w:firstLineChars="650"/>
        <w:rPr>
          <w:color w:val="auto"/>
          <w:highlight w:val="none"/>
        </w:rPr>
      </w:pPr>
    </w:p>
    <w:p>
      <w:pPr>
        <w:spacing w:line="480" w:lineRule="auto"/>
        <w:ind w:right="420" w:firstLine="3150" w:firstLineChars="1500"/>
        <w:rPr>
          <w:color w:val="auto"/>
          <w:szCs w:val="21"/>
          <w:highlight w:val="none"/>
        </w:rPr>
      </w:pPr>
      <w:r>
        <w:rPr>
          <w:rFonts w:hint="eastAsia"/>
          <w:color w:val="auto"/>
          <w:szCs w:val="21"/>
          <w:highlight w:val="none"/>
        </w:rPr>
        <w:t>投标人（公章）：</w:t>
      </w:r>
    </w:p>
    <w:p>
      <w:pPr>
        <w:spacing w:line="480" w:lineRule="auto"/>
        <w:ind w:right="420" w:firstLine="3150" w:firstLineChars="1500"/>
        <w:rPr>
          <w:color w:val="auto"/>
          <w:szCs w:val="21"/>
          <w:highlight w:val="none"/>
        </w:rPr>
      </w:pPr>
      <w:r>
        <w:rPr>
          <w:rFonts w:hint="eastAsia"/>
          <w:color w:val="auto"/>
          <w:szCs w:val="21"/>
          <w:highlight w:val="none"/>
        </w:rPr>
        <w:t>投标人代表（签字或印章）：</w:t>
      </w:r>
    </w:p>
    <w:p>
      <w:pPr>
        <w:spacing w:line="480" w:lineRule="auto"/>
        <w:ind w:right="420" w:firstLine="3045" w:firstLineChars="1450"/>
        <w:rPr>
          <w:color w:val="auto"/>
          <w:szCs w:val="21"/>
          <w:highlight w:val="none"/>
        </w:rPr>
      </w:pPr>
      <w:r>
        <w:rPr>
          <w:rFonts w:hint="eastAsia"/>
          <w:color w:val="auto"/>
          <w:szCs w:val="21"/>
          <w:highlight w:val="none"/>
        </w:rPr>
        <w:t>年月日</w:t>
      </w:r>
    </w:p>
    <w:bookmarkEnd w:id="133"/>
    <w:bookmarkEnd w:id="134"/>
    <w:bookmarkEnd w:id="145"/>
    <w:bookmarkEnd w:id="146"/>
    <w:p>
      <w:pPr>
        <w:pStyle w:val="6"/>
        <w:spacing w:line="380" w:lineRule="exact"/>
        <w:rPr>
          <w:rFonts w:ascii="宋体" w:hAnsi="宋体"/>
          <w:color w:val="auto"/>
          <w:sz w:val="21"/>
          <w:szCs w:val="21"/>
          <w:highlight w:val="none"/>
        </w:rPr>
      </w:pPr>
    </w:p>
    <w:p>
      <w:pPr>
        <w:pStyle w:val="3"/>
        <w:spacing w:line="360" w:lineRule="auto"/>
        <w:ind w:left="210" w:hanging="210" w:hangingChars="100"/>
        <w:rPr>
          <w:rFonts w:ascii="宋体" w:hAnsi="宋体"/>
          <w:color w:val="auto"/>
          <w:sz w:val="21"/>
          <w:szCs w:val="21"/>
          <w:highlight w:val="none"/>
        </w:rPr>
      </w:pPr>
    </w:p>
    <w:p>
      <w:pPr>
        <w:pStyle w:val="3"/>
        <w:spacing w:line="360" w:lineRule="auto"/>
        <w:ind w:left="220" w:hanging="220" w:hangingChars="100"/>
        <w:rPr>
          <w:rFonts w:ascii="宋体" w:hAnsi="宋体"/>
          <w:color w:val="auto"/>
          <w:sz w:val="22"/>
          <w:highlight w:val="none"/>
        </w:rPr>
      </w:pPr>
    </w:p>
    <w:p>
      <w:pPr>
        <w:pStyle w:val="6"/>
        <w:spacing w:line="380" w:lineRule="exact"/>
        <w:ind w:left="0" w:firstLine="0"/>
        <w:rPr>
          <w:rFonts w:hint="eastAsia" w:ascii="Cambria" w:hAnsi="Cambria"/>
          <w:color w:val="auto"/>
          <w:sz w:val="28"/>
          <w:szCs w:val="28"/>
          <w:highlight w:val="none"/>
        </w:rPr>
      </w:pPr>
      <w:bookmarkStart w:id="151" w:name="_Toc32560"/>
      <w:r>
        <w:rPr>
          <w:rFonts w:hint="eastAsia" w:ascii="Cambria" w:hAnsi="Cambria"/>
          <w:color w:val="auto"/>
          <w:sz w:val="28"/>
          <w:szCs w:val="28"/>
          <w:highlight w:val="none"/>
        </w:rPr>
        <w:t>（八）提供总公司（总机构）授权书或房产权证或其他有效财产证明材料复印件加盖供应商公章（分支机构投标的（指金融、保险、通讯等特定行业）须提供）</w:t>
      </w:r>
      <w:bookmarkEnd w:id="151"/>
    </w:p>
    <w:p>
      <w:pPr>
        <w:pStyle w:val="3"/>
        <w:ind w:firstLine="0"/>
        <w:jc w:val="center"/>
        <w:rPr>
          <w:rFonts w:ascii="宋体" w:hAnsi="宋体"/>
          <w:color w:val="auto"/>
          <w:highlight w:val="none"/>
        </w:rPr>
      </w:pPr>
    </w:p>
    <w:p>
      <w:pPr>
        <w:pStyle w:val="6"/>
        <w:spacing w:line="380" w:lineRule="exact"/>
        <w:ind w:left="0" w:firstLine="0"/>
        <w:rPr>
          <w:rFonts w:hint="eastAsia" w:ascii="Cambria" w:hAnsi="Cambria"/>
          <w:color w:val="auto"/>
          <w:sz w:val="28"/>
          <w:szCs w:val="28"/>
          <w:highlight w:val="none"/>
        </w:rPr>
      </w:pPr>
      <w:bookmarkStart w:id="152" w:name="_Toc520902436"/>
    </w:p>
    <w:p>
      <w:pPr>
        <w:pStyle w:val="6"/>
        <w:spacing w:line="380" w:lineRule="exact"/>
        <w:ind w:left="0" w:firstLine="0"/>
        <w:rPr>
          <w:rFonts w:ascii="Cambria" w:hAnsi="Cambria"/>
          <w:color w:val="auto"/>
          <w:sz w:val="28"/>
          <w:szCs w:val="28"/>
          <w:highlight w:val="none"/>
        </w:rPr>
      </w:pPr>
      <w:bookmarkStart w:id="153" w:name="_Toc13110"/>
      <w:r>
        <w:rPr>
          <w:rFonts w:hint="eastAsia" w:ascii="Cambria" w:hAnsi="Cambria"/>
          <w:color w:val="auto"/>
          <w:sz w:val="28"/>
          <w:szCs w:val="28"/>
          <w:highlight w:val="none"/>
        </w:rPr>
        <w:t>（九）投标人的特定条件的证明文件</w:t>
      </w:r>
      <w:bookmarkEnd w:id="152"/>
      <w:bookmarkEnd w:id="153"/>
    </w:p>
    <w:p>
      <w:pPr>
        <w:jc w:val="center"/>
        <w:rPr>
          <w:color w:val="auto"/>
          <w:highlight w:val="none"/>
        </w:rPr>
      </w:pPr>
    </w:p>
    <w:p>
      <w:pPr>
        <w:rPr>
          <w:rFonts w:hint="eastAsia" w:eastAsia="宋体"/>
          <w:color w:val="auto"/>
          <w:highlight w:val="none"/>
          <w:lang w:val="en-US" w:eastAsia="zh-CN"/>
        </w:rPr>
      </w:pPr>
      <w:r>
        <w:rPr>
          <w:rFonts w:hint="eastAsia"/>
          <w:color w:val="auto"/>
          <w:highlight w:val="none"/>
          <w:lang w:val="en-US" w:eastAsia="zh-CN"/>
        </w:rPr>
        <w:t>/。</w:t>
      </w:r>
    </w:p>
    <w:p>
      <w:pPr>
        <w:pStyle w:val="4"/>
        <w:spacing w:before="240" w:after="240"/>
        <w:rPr>
          <w:color w:val="auto"/>
          <w:highlight w:val="none"/>
        </w:rPr>
      </w:pPr>
    </w:p>
    <w:p>
      <w:pPr>
        <w:rPr>
          <w:color w:val="auto"/>
          <w:highlight w:val="none"/>
        </w:rPr>
      </w:pPr>
    </w:p>
    <w:p>
      <w:pPr>
        <w:pStyle w:val="4"/>
        <w:spacing w:before="240" w:after="240"/>
        <w:rPr>
          <w:color w:val="auto"/>
          <w:highlight w:val="none"/>
        </w:rPr>
      </w:pPr>
    </w:p>
    <w:p>
      <w:pPr>
        <w:rPr>
          <w:color w:val="auto"/>
          <w:highlight w:val="none"/>
        </w:rPr>
      </w:pPr>
    </w:p>
    <w:p>
      <w:pPr>
        <w:pStyle w:val="5"/>
        <w:spacing w:line="380" w:lineRule="exact"/>
        <w:rPr>
          <w:rFonts w:ascii="Times New Roman" w:hAnsi="Times New Roman"/>
          <w:bCs w:val="0"/>
          <w:color w:val="auto"/>
          <w:sz w:val="24"/>
          <w:szCs w:val="24"/>
          <w:highlight w:val="none"/>
        </w:rPr>
      </w:pPr>
      <w:bookmarkStart w:id="154" w:name="_Toc481153678"/>
      <w:bookmarkStart w:id="155" w:name="_Toc316649305"/>
      <w:bookmarkStart w:id="156" w:name="_Toc502819357"/>
      <w:bookmarkStart w:id="157" w:name="_Toc497935749"/>
      <w:r>
        <w:rPr>
          <w:rFonts w:ascii="Times New Roman" w:hAnsi="Times New Roman"/>
          <w:bCs w:val="0"/>
          <w:color w:val="auto"/>
          <w:sz w:val="24"/>
          <w:szCs w:val="24"/>
          <w:highlight w:val="none"/>
        </w:rPr>
        <w:br w:type="page"/>
      </w:r>
    </w:p>
    <w:p>
      <w:pPr>
        <w:spacing w:line="360" w:lineRule="auto"/>
        <w:jc w:val="center"/>
        <w:rPr>
          <w:rFonts w:ascii="宋体" w:hAnsi="宋体"/>
          <w:b/>
          <w:color w:val="auto"/>
          <w:sz w:val="48"/>
          <w:szCs w:val="48"/>
          <w:highlight w:val="none"/>
        </w:rPr>
      </w:pPr>
      <w:r>
        <w:rPr>
          <w:rFonts w:hint="eastAsia" w:ascii="宋体" w:hAnsi="宋体"/>
          <w:b/>
          <w:color w:val="auto"/>
          <w:sz w:val="48"/>
          <w:szCs w:val="48"/>
          <w:highlight w:val="none"/>
        </w:rPr>
        <w:t>报价文件</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封面</w:t>
      </w:r>
    </w:p>
    <w:p>
      <w:pPr>
        <w:spacing w:line="360" w:lineRule="auto"/>
        <w:ind w:firstLine="560"/>
        <w:jc w:val="right"/>
        <w:rPr>
          <w:rFonts w:ascii="宋体" w:hAnsi="宋体"/>
          <w:color w:val="auto"/>
          <w:sz w:val="28"/>
          <w:highlight w:val="none"/>
        </w:rPr>
      </w:pPr>
    </w:p>
    <w:p>
      <w:pPr>
        <w:spacing w:line="360" w:lineRule="auto"/>
        <w:ind w:firstLine="1280" w:firstLineChars="400"/>
        <w:rPr>
          <w:rFonts w:ascii="宋体" w:hAnsi="宋体"/>
          <w:color w:val="auto"/>
          <w:sz w:val="32"/>
          <w:highlight w:val="none"/>
        </w:rPr>
      </w:pPr>
    </w:p>
    <w:p>
      <w:pPr>
        <w:spacing w:line="360" w:lineRule="auto"/>
        <w:jc w:val="center"/>
        <w:rPr>
          <w:rFonts w:ascii="宋体" w:hAnsi="宋体"/>
          <w:color w:val="auto"/>
          <w:sz w:val="28"/>
          <w:highlight w:val="none"/>
          <w:u w:val="single"/>
        </w:rPr>
      </w:pPr>
      <w:r>
        <w:rPr>
          <w:rFonts w:hint="eastAsia" w:ascii="宋体" w:hAnsi="宋体"/>
          <w:color w:val="auto"/>
          <w:sz w:val="28"/>
          <w:highlight w:val="none"/>
          <w:u w:val="single"/>
        </w:rPr>
        <w:t>________________________________________  ________</w:t>
      </w:r>
      <w:r>
        <w:rPr>
          <w:rFonts w:hint="eastAsia" w:ascii="宋体" w:hAnsi="宋体"/>
          <w:color w:val="auto"/>
          <w:sz w:val="28"/>
          <w:highlight w:val="none"/>
        </w:rPr>
        <w:t>项目</w:t>
      </w:r>
    </w:p>
    <w:p>
      <w:pPr>
        <w:spacing w:line="360" w:lineRule="auto"/>
        <w:ind w:firstLine="1280" w:firstLineChars="400"/>
        <w:rPr>
          <w:rFonts w:ascii="宋体" w:hAnsi="宋体"/>
          <w:color w:val="auto"/>
          <w:sz w:val="32"/>
          <w:highlight w:val="none"/>
        </w:rPr>
      </w:pPr>
    </w:p>
    <w:p>
      <w:pPr>
        <w:spacing w:line="360" w:lineRule="auto"/>
        <w:ind w:firstLine="1280" w:firstLineChars="400"/>
        <w:rPr>
          <w:rFonts w:ascii="宋体" w:hAnsi="宋体"/>
          <w:color w:val="auto"/>
          <w:sz w:val="32"/>
          <w:highlight w:val="none"/>
        </w:rPr>
      </w:pPr>
    </w:p>
    <w:p>
      <w:pPr>
        <w:spacing w:line="360" w:lineRule="auto"/>
        <w:jc w:val="center"/>
        <w:rPr>
          <w:rFonts w:ascii="宋体" w:hAnsi="宋体"/>
          <w:b/>
          <w:color w:val="auto"/>
          <w:sz w:val="48"/>
          <w:szCs w:val="48"/>
          <w:highlight w:val="none"/>
        </w:rPr>
      </w:pPr>
      <w:r>
        <w:rPr>
          <w:rFonts w:hint="eastAsia" w:ascii="宋体" w:hAnsi="宋体"/>
          <w:b/>
          <w:color w:val="auto"/>
          <w:sz w:val="48"/>
          <w:szCs w:val="48"/>
          <w:highlight w:val="none"/>
        </w:rPr>
        <w:t>投 标 文 件</w:t>
      </w:r>
    </w:p>
    <w:p>
      <w:pPr>
        <w:spacing w:line="360" w:lineRule="auto"/>
        <w:ind w:firstLine="1680" w:firstLineChars="600"/>
        <w:rPr>
          <w:rFonts w:ascii="宋体" w:hAnsi="宋体"/>
          <w:color w:val="auto"/>
          <w:sz w:val="28"/>
          <w:highlight w:val="none"/>
        </w:rPr>
      </w:pPr>
    </w:p>
    <w:p>
      <w:pPr>
        <w:spacing w:line="360" w:lineRule="auto"/>
        <w:ind w:firstLine="1680" w:firstLineChars="600"/>
        <w:rPr>
          <w:rFonts w:ascii="宋体" w:hAnsi="宋体"/>
          <w:color w:val="auto"/>
          <w:sz w:val="28"/>
          <w:highlight w:val="none"/>
          <w:u w:val="single"/>
        </w:rPr>
      </w:pPr>
      <w:r>
        <w:rPr>
          <w:rFonts w:hint="eastAsia" w:ascii="宋体" w:hAnsi="宋体"/>
          <w:color w:val="auto"/>
          <w:sz w:val="28"/>
          <w:highlight w:val="none"/>
        </w:rPr>
        <w:t>招标编号：</w:t>
      </w:r>
      <w:r>
        <w:rPr>
          <w:rFonts w:hint="eastAsia" w:ascii="宋体" w:hAnsi="宋体"/>
          <w:color w:val="auto"/>
          <w:sz w:val="28"/>
          <w:highlight w:val="none"/>
          <w:u w:val="single"/>
        </w:rPr>
        <w:t xml:space="preserve">______________   _ </w:t>
      </w:r>
    </w:p>
    <w:p>
      <w:pPr>
        <w:spacing w:line="360" w:lineRule="auto"/>
        <w:ind w:firstLine="1680" w:firstLineChars="600"/>
        <w:rPr>
          <w:rFonts w:hint="eastAsia" w:ascii="宋体" w:hAnsi="宋体"/>
          <w:color w:val="auto"/>
          <w:sz w:val="28"/>
          <w:szCs w:val="22"/>
          <w:highlight w:val="none"/>
          <w:u w:val="single"/>
        </w:rPr>
      </w:pPr>
      <w:r>
        <w:rPr>
          <w:rFonts w:hint="eastAsia" w:ascii="宋体" w:hAnsi="宋体"/>
          <w:color w:val="auto"/>
          <w:sz w:val="28"/>
          <w:szCs w:val="22"/>
          <w:highlight w:val="none"/>
        </w:rPr>
        <w:t>标项号：</w:t>
      </w:r>
      <w:r>
        <w:rPr>
          <w:rFonts w:hint="eastAsia" w:ascii="宋体" w:hAnsi="宋体"/>
          <w:color w:val="auto"/>
          <w:sz w:val="28"/>
          <w:szCs w:val="22"/>
          <w:highlight w:val="none"/>
          <w:u w:val="single"/>
        </w:rPr>
        <w:t xml:space="preserve">                      </w:t>
      </w:r>
    </w:p>
    <w:p>
      <w:pPr>
        <w:spacing w:line="360" w:lineRule="auto"/>
        <w:rPr>
          <w:rFonts w:ascii="宋体" w:hAnsi="宋体"/>
          <w:b/>
          <w:color w:val="auto"/>
          <w:highlight w:val="none"/>
        </w:rPr>
      </w:pPr>
    </w:p>
    <w:p>
      <w:pPr>
        <w:spacing w:line="360" w:lineRule="auto"/>
        <w:rPr>
          <w:rFonts w:ascii="宋体" w:hAnsi="宋体"/>
          <w:b/>
          <w:color w:val="auto"/>
          <w:highlight w:val="none"/>
        </w:rPr>
      </w:pPr>
    </w:p>
    <w:p>
      <w:pPr>
        <w:spacing w:line="360" w:lineRule="auto"/>
        <w:rPr>
          <w:rFonts w:ascii="宋体" w:hAnsi="宋体"/>
          <w:b/>
          <w:color w:val="auto"/>
          <w:highlight w:val="none"/>
        </w:rPr>
      </w:pPr>
    </w:p>
    <w:p>
      <w:pPr>
        <w:spacing w:line="360" w:lineRule="auto"/>
        <w:rPr>
          <w:rFonts w:ascii="宋体" w:hAnsi="宋体"/>
          <w:b/>
          <w:color w:val="auto"/>
          <w:highlight w:val="none"/>
        </w:rPr>
      </w:pPr>
    </w:p>
    <w:p>
      <w:pPr>
        <w:spacing w:line="720" w:lineRule="auto"/>
        <w:rPr>
          <w:rFonts w:ascii="宋体" w:hAnsi="宋体"/>
          <w:b/>
          <w:color w:val="auto"/>
          <w:sz w:val="28"/>
          <w:highlight w:val="none"/>
          <w:u w:val="single"/>
        </w:rPr>
      </w:pPr>
      <w:r>
        <w:rPr>
          <w:rFonts w:hint="eastAsia" w:ascii="宋体" w:hAnsi="宋体"/>
          <w:color w:val="auto"/>
          <w:sz w:val="28"/>
          <w:highlight w:val="none"/>
        </w:rPr>
        <w:t>投标文件名称：</w:t>
      </w:r>
      <w:r>
        <w:rPr>
          <w:rFonts w:hint="eastAsia" w:ascii="宋体" w:hAnsi="宋体"/>
          <w:b/>
          <w:color w:val="auto"/>
          <w:sz w:val="28"/>
          <w:highlight w:val="none"/>
          <w:u w:val="single"/>
        </w:rPr>
        <w:t xml:space="preserve">           报价文件                      </w:t>
      </w:r>
    </w:p>
    <w:p>
      <w:pPr>
        <w:adjustRightInd w:val="0"/>
        <w:snapToGrid w:val="0"/>
        <w:jc w:val="left"/>
        <w:rPr>
          <w:rFonts w:ascii="宋体" w:hAnsi="宋体"/>
          <w:b/>
          <w:color w:val="auto"/>
          <w:sz w:val="24"/>
          <w:highlight w:val="none"/>
        </w:rPr>
      </w:pPr>
      <w:r>
        <w:rPr>
          <w:rFonts w:hint="eastAsia" w:ascii="宋体" w:hAnsi="宋体"/>
          <w:color w:val="auto"/>
          <w:sz w:val="28"/>
          <w:highlight w:val="none"/>
        </w:rPr>
        <w:t>投标人：</w:t>
      </w: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s="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报价文件</w:t>
      </w:r>
      <w:r>
        <w:rPr>
          <w:rFonts w:hint="eastAsia" w:ascii="宋体" w:hAnsi="宋体" w:cs="宋体"/>
          <w:color w:val="auto"/>
          <w:szCs w:val="21"/>
          <w:highlight w:val="none"/>
        </w:rPr>
        <w:t>，含：</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(1)开标一览表；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(2)投标分项报价表；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(3)中小企业声明函（如有需提供）；</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对非专门面向中小企业采购的项目，如果投标人为小微企业，应提供中小企业声明函；如未按照要求提供，将不得享受评标标准中注明的针对小微企业的价格扣除优惠。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对非专门面向中小企业采购的项目，如果投标人为联合体，且联合体中有中小企业，应提供中小企业声明函；如未按照要求提供，将不得享受评标标准中注明的针对小微企业联合体的价格扣除优惠。</w:t>
      </w:r>
    </w:p>
    <w:p>
      <w:pPr>
        <w:numPr>
          <w:ilvl w:val="0"/>
          <w:numId w:val="11"/>
        </w:num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残疾人福利性单位声明函（如有需提供）。</w:t>
      </w:r>
    </w:p>
    <w:p>
      <w:pPr>
        <w:numPr>
          <w:ilvl w:val="0"/>
          <w:numId w:val="11"/>
        </w:num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监狱企业声明函（如有需提供）。</w:t>
      </w:r>
    </w:p>
    <w:p>
      <w:pPr>
        <w:rPr>
          <w:color w:val="auto"/>
          <w:highlight w:val="none"/>
        </w:rPr>
      </w:pPr>
    </w:p>
    <w:p>
      <w:pPr>
        <w:pStyle w:val="5"/>
        <w:spacing w:line="380" w:lineRule="exact"/>
        <w:rPr>
          <w:rFonts w:ascii="Times New Roman" w:hAnsi="Times New Roman"/>
          <w:bCs w:val="0"/>
          <w:color w:val="auto"/>
          <w:sz w:val="24"/>
          <w:szCs w:val="24"/>
          <w:highlight w:val="none"/>
        </w:rPr>
      </w:pPr>
      <w:bookmarkStart w:id="158" w:name="_Toc520902410"/>
    </w:p>
    <w:p>
      <w:pPr>
        <w:rPr>
          <w:color w:val="auto"/>
          <w:sz w:val="24"/>
          <w:szCs w:val="24"/>
          <w:highlight w:val="none"/>
        </w:rPr>
      </w:pPr>
    </w:p>
    <w:p>
      <w:pPr>
        <w:pStyle w:val="4"/>
        <w:spacing w:before="240" w:after="240"/>
        <w:rPr>
          <w:bCs w:val="0"/>
          <w:color w:val="auto"/>
          <w:sz w:val="24"/>
          <w:szCs w:val="24"/>
          <w:highlight w:val="none"/>
        </w:rPr>
      </w:pPr>
    </w:p>
    <w:p>
      <w:pPr>
        <w:rPr>
          <w:color w:val="auto"/>
          <w:sz w:val="24"/>
          <w:szCs w:val="24"/>
          <w:highlight w:val="none"/>
        </w:rPr>
      </w:pPr>
    </w:p>
    <w:p>
      <w:pPr>
        <w:pStyle w:val="4"/>
        <w:spacing w:before="240" w:after="240"/>
        <w:rPr>
          <w:bCs w:val="0"/>
          <w:color w:val="auto"/>
          <w:sz w:val="24"/>
          <w:szCs w:val="24"/>
          <w:highlight w:val="none"/>
        </w:rPr>
      </w:pPr>
    </w:p>
    <w:p>
      <w:pPr>
        <w:rPr>
          <w:color w:val="auto"/>
          <w:sz w:val="24"/>
          <w:szCs w:val="24"/>
          <w:highlight w:val="none"/>
        </w:rPr>
      </w:pPr>
    </w:p>
    <w:p>
      <w:pPr>
        <w:pStyle w:val="4"/>
        <w:spacing w:before="240" w:after="240"/>
        <w:rPr>
          <w:bCs w:val="0"/>
          <w:color w:val="auto"/>
          <w:sz w:val="24"/>
          <w:szCs w:val="24"/>
          <w:highlight w:val="none"/>
        </w:rPr>
      </w:pPr>
    </w:p>
    <w:p>
      <w:pPr>
        <w:rPr>
          <w:color w:val="auto"/>
          <w:sz w:val="24"/>
          <w:szCs w:val="24"/>
          <w:highlight w:val="none"/>
        </w:rPr>
      </w:pPr>
    </w:p>
    <w:p>
      <w:pPr>
        <w:pStyle w:val="4"/>
        <w:spacing w:before="240" w:after="240"/>
        <w:rPr>
          <w:bCs w:val="0"/>
          <w:color w:val="auto"/>
          <w:sz w:val="24"/>
          <w:szCs w:val="24"/>
          <w:highlight w:val="none"/>
        </w:rPr>
      </w:pPr>
    </w:p>
    <w:p>
      <w:pPr>
        <w:rPr>
          <w:color w:val="auto"/>
          <w:sz w:val="24"/>
          <w:szCs w:val="24"/>
          <w:highlight w:val="none"/>
        </w:rPr>
      </w:pPr>
    </w:p>
    <w:p>
      <w:pPr>
        <w:pStyle w:val="5"/>
        <w:spacing w:line="380" w:lineRule="exact"/>
        <w:rPr>
          <w:rFonts w:ascii="Times New Roman" w:hAnsi="Times New Roman"/>
          <w:bCs w:val="0"/>
          <w:color w:val="auto"/>
          <w:sz w:val="24"/>
          <w:szCs w:val="24"/>
          <w:highlight w:val="none"/>
        </w:rPr>
      </w:pPr>
    </w:p>
    <w:p>
      <w:pPr>
        <w:rPr>
          <w:color w:val="auto"/>
          <w:sz w:val="24"/>
          <w:szCs w:val="24"/>
          <w:highlight w:val="none"/>
        </w:rPr>
      </w:pPr>
    </w:p>
    <w:p>
      <w:pPr>
        <w:pStyle w:val="4"/>
        <w:spacing w:before="240" w:after="240"/>
        <w:rPr>
          <w:bCs w:val="0"/>
          <w:color w:val="auto"/>
          <w:sz w:val="24"/>
          <w:szCs w:val="24"/>
          <w:highlight w:val="none"/>
        </w:rPr>
      </w:pPr>
    </w:p>
    <w:p>
      <w:pPr>
        <w:rPr>
          <w:color w:val="auto"/>
          <w:sz w:val="24"/>
          <w:szCs w:val="24"/>
          <w:highlight w:val="none"/>
        </w:rPr>
      </w:pPr>
    </w:p>
    <w:p>
      <w:pPr>
        <w:pStyle w:val="4"/>
        <w:spacing w:before="240" w:after="240"/>
        <w:rPr>
          <w:bCs w:val="0"/>
          <w:color w:val="auto"/>
          <w:sz w:val="24"/>
          <w:szCs w:val="24"/>
          <w:highlight w:val="none"/>
        </w:rPr>
      </w:pPr>
    </w:p>
    <w:p>
      <w:pPr>
        <w:rPr>
          <w:color w:val="auto"/>
          <w:sz w:val="24"/>
          <w:szCs w:val="24"/>
          <w:highlight w:val="none"/>
        </w:rPr>
      </w:pPr>
    </w:p>
    <w:p>
      <w:pPr>
        <w:pStyle w:val="5"/>
        <w:spacing w:line="380" w:lineRule="exact"/>
        <w:rPr>
          <w:rFonts w:ascii="Times New Roman" w:hAnsi="Times New Roman"/>
          <w:bCs w:val="0"/>
          <w:color w:val="auto"/>
          <w:sz w:val="24"/>
          <w:szCs w:val="24"/>
          <w:highlight w:val="none"/>
        </w:rPr>
      </w:pPr>
    </w:p>
    <w:p>
      <w:pPr>
        <w:rPr>
          <w:color w:val="auto"/>
          <w:sz w:val="24"/>
          <w:szCs w:val="24"/>
          <w:highlight w:val="none"/>
        </w:rPr>
      </w:pPr>
    </w:p>
    <w:p>
      <w:pPr>
        <w:pStyle w:val="5"/>
        <w:spacing w:line="380" w:lineRule="exact"/>
        <w:rPr>
          <w:rFonts w:ascii="Times New Roman" w:hAnsi="Times New Roman"/>
          <w:bCs w:val="0"/>
          <w:color w:val="auto"/>
          <w:sz w:val="24"/>
          <w:szCs w:val="24"/>
          <w:highlight w:val="none"/>
        </w:rPr>
      </w:pPr>
      <w:r>
        <w:rPr>
          <w:rFonts w:ascii="Times New Roman" w:hAnsi="Times New Roman"/>
          <w:bCs w:val="0"/>
          <w:color w:val="auto"/>
          <w:sz w:val="24"/>
          <w:szCs w:val="24"/>
          <w:highlight w:val="none"/>
        </w:rPr>
        <w:br w:type="page"/>
      </w:r>
    </w:p>
    <w:p>
      <w:pPr>
        <w:pStyle w:val="5"/>
        <w:spacing w:line="380" w:lineRule="exact"/>
        <w:rPr>
          <w:rFonts w:ascii="Times New Roman" w:hAnsi="Times New Roman"/>
          <w:bCs w:val="0"/>
          <w:color w:val="auto"/>
          <w:sz w:val="24"/>
          <w:szCs w:val="24"/>
          <w:highlight w:val="none"/>
        </w:rPr>
      </w:pPr>
      <w:bookmarkStart w:id="159" w:name="_Toc30361"/>
      <w:r>
        <w:rPr>
          <w:rFonts w:hint="eastAsia" w:ascii="Times New Roman" w:hAnsi="Times New Roman"/>
          <w:bCs w:val="0"/>
          <w:color w:val="auto"/>
          <w:sz w:val="24"/>
          <w:szCs w:val="24"/>
          <w:highlight w:val="none"/>
        </w:rPr>
        <w:t>（一）开标一览表</w:t>
      </w:r>
      <w:bookmarkEnd w:id="154"/>
      <w:bookmarkEnd w:id="155"/>
      <w:bookmarkEnd w:id="156"/>
      <w:bookmarkEnd w:id="157"/>
      <w:bookmarkEnd w:id="158"/>
      <w:bookmarkEnd w:id="159"/>
    </w:p>
    <w:p>
      <w:pPr>
        <w:spacing w:line="400" w:lineRule="exact"/>
        <w:ind w:left="525"/>
        <w:rPr>
          <w:rFonts w:ascii="宋体" w:hAnsi="宋体"/>
          <w:color w:val="auto"/>
          <w:szCs w:val="21"/>
          <w:highlight w:val="none"/>
        </w:rPr>
      </w:pPr>
    </w:p>
    <w:p>
      <w:pPr>
        <w:rPr>
          <w:rFonts w:ascii="宋体" w:hAnsi="宋体"/>
          <w:color w:val="auto"/>
          <w:szCs w:val="21"/>
          <w:highlight w:val="none"/>
        </w:rPr>
      </w:pPr>
    </w:p>
    <w:p>
      <w:pPr>
        <w:spacing w:line="380" w:lineRule="exact"/>
        <w:rPr>
          <w:rFonts w:hint="eastAsia" w:ascii="方正书宋简体"/>
          <w:color w:val="auto"/>
          <w:szCs w:val="21"/>
          <w:highlight w:val="none"/>
          <w:u w:val="single"/>
        </w:rPr>
      </w:pPr>
      <w:r>
        <w:rPr>
          <w:rFonts w:hint="eastAsia" w:ascii="方正书宋简体"/>
          <w:color w:val="auto"/>
          <w:szCs w:val="21"/>
          <w:highlight w:val="none"/>
        </w:rPr>
        <w:t>项目名称：</w:t>
      </w:r>
      <w:r>
        <w:rPr>
          <w:rFonts w:hint="eastAsia" w:ascii="方正书宋简体"/>
          <w:color w:val="auto"/>
          <w:szCs w:val="21"/>
          <w:highlight w:val="none"/>
          <w:u w:val="single"/>
        </w:rPr>
        <w:t xml:space="preserve">               </w:t>
      </w:r>
      <w:r>
        <w:rPr>
          <w:rFonts w:hint="eastAsia" w:ascii="方正书宋简体"/>
          <w:color w:val="auto"/>
          <w:szCs w:val="21"/>
          <w:highlight w:val="none"/>
        </w:rPr>
        <w:t>招标编号：</w:t>
      </w:r>
      <w:r>
        <w:rPr>
          <w:rFonts w:hint="eastAsia" w:ascii="方正书宋简体"/>
          <w:color w:val="auto"/>
          <w:szCs w:val="21"/>
          <w:highlight w:val="none"/>
          <w:u w:val="single"/>
        </w:rPr>
        <w:t xml:space="preserve">                </w:t>
      </w:r>
      <w:r>
        <w:rPr>
          <w:rFonts w:hint="eastAsia" w:ascii="宋体" w:hAnsi="宋体" w:cs="宋体"/>
          <w:color w:val="auto"/>
          <w:sz w:val="24"/>
          <w:szCs w:val="24"/>
          <w:highlight w:val="none"/>
        </w:rPr>
        <w:t xml:space="preserve"> </w:t>
      </w:r>
      <w:r>
        <w:rPr>
          <w:rFonts w:hint="eastAsia" w:ascii="方正书宋简体"/>
          <w:color w:val="auto"/>
          <w:szCs w:val="21"/>
          <w:highlight w:val="none"/>
        </w:rPr>
        <w:t>标项号：</w:t>
      </w:r>
      <w:r>
        <w:rPr>
          <w:rFonts w:hint="eastAsia" w:ascii="宋体" w:hAnsi="宋体" w:cs="宋体"/>
          <w:color w:val="auto"/>
          <w:sz w:val="24"/>
          <w:szCs w:val="24"/>
          <w:highlight w:val="none"/>
          <w:u w:val="single"/>
        </w:rPr>
        <w:t xml:space="preserve">          </w:t>
      </w:r>
    </w:p>
    <w:p>
      <w:pPr>
        <w:spacing w:line="380" w:lineRule="exact"/>
        <w:rPr>
          <w:rFonts w:ascii="方正书宋简体"/>
          <w:color w:val="auto"/>
          <w:szCs w:val="21"/>
          <w:highlight w:val="none"/>
          <w:u w:val="single"/>
        </w:rPr>
      </w:pP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91"/>
        <w:gridCol w:w="3258"/>
        <w:gridCol w:w="2155"/>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i/>
                <w:color w:val="auto"/>
                <w:sz w:val="24"/>
                <w:highlight w:val="none"/>
              </w:rPr>
            </w:pPr>
            <w:r>
              <w:rPr>
                <w:rFonts w:hint="eastAsia" w:ascii="宋体" w:hAnsi="宋体" w:cs="宋体"/>
                <w:color w:val="auto"/>
                <w:sz w:val="24"/>
                <w:highlight w:val="none"/>
              </w:rPr>
              <w:t>标项</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ascii="宋体" w:hAnsi="宋体" w:cs="宋体"/>
                <w:color w:val="auto"/>
                <w:sz w:val="24"/>
                <w:highlight w:val="none"/>
              </w:rPr>
              <w:t>项目内容</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w:t>
            </w:r>
            <w:r>
              <w:rPr>
                <w:rFonts w:ascii="宋体" w:hAnsi="宋体" w:cs="宋体"/>
                <w:color w:val="auto"/>
                <w:sz w:val="24"/>
                <w:highlight w:val="none"/>
              </w:rPr>
              <w:t>报价（单位：元）</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ascii="宋体" w:hAnsi="宋体" w:cs="宋体"/>
                <w:color w:val="auto"/>
                <w:sz w:val="24"/>
                <w:highlight w:val="none"/>
              </w:rPr>
              <w:t>服务期</w:t>
            </w:r>
            <w:r>
              <w:rPr>
                <w:rFonts w:hint="eastAsia" w:ascii="宋体" w:hAnsi="宋体" w:cs="宋体"/>
                <w:color w:val="auto"/>
                <w:sz w:val="24"/>
                <w:highlight w:val="none"/>
              </w:rPr>
              <w:t>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 w:lineRule="atLeast"/>
              <w:jc w:val="center"/>
              <w:rPr>
                <w:rFonts w:ascii="宋体" w:hAnsi="宋体" w:cs="宋体"/>
                <w:color w:val="auto"/>
                <w:sz w:val="24"/>
                <w:highlight w:val="none"/>
              </w:rPr>
            </w:pPr>
          </w:p>
        </w:tc>
        <w:tc>
          <w:tcPr>
            <w:tcW w:w="325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 w:lineRule="atLeast"/>
              <w:rPr>
                <w:rFonts w:ascii="宋体" w:hAnsi="宋体"/>
                <w:color w:val="auto"/>
                <w:highlight w:val="none"/>
              </w:rPr>
            </w:pPr>
            <w:r>
              <w:rPr>
                <w:rFonts w:hint="eastAsia" w:ascii="宋体" w:hAnsi="宋体"/>
                <w:color w:val="auto"/>
                <w:highlight w:val="none"/>
              </w:rPr>
              <w:t>大</w:t>
            </w:r>
            <w:r>
              <w:rPr>
                <w:rFonts w:ascii="宋体" w:hAnsi="宋体"/>
                <w:color w:val="auto"/>
                <w:highlight w:val="none"/>
              </w:rPr>
              <w:t>写</w:t>
            </w:r>
            <w:r>
              <w:rPr>
                <w:rFonts w:hint="eastAsia" w:ascii="宋体" w:hAnsi="宋体"/>
                <w:color w:val="auto"/>
                <w:highlight w:val="none"/>
              </w:rPr>
              <w:t>：</w:t>
            </w:r>
          </w:p>
          <w:p>
            <w:pPr>
              <w:snapToGrid w:val="0"/>
              <w:spacing w:line="26" w:lineRule="atLeast"/>
              <w:ind w:firstLine="210" w:firstLineChars="100"/>
              <w:rPr>
                <w:rFonts w:ascii="宋体" w:hAnsi="宋体"/>
                <w:color w:val="auto"/>
                <w:highlight w:val="none"/>
              </w:rPr>
            </w:pPr>
          </w:p>
          <w:p>
            <w:pPr>
              <w:snapToGrid w:val="0"/>
              <w:spacing w:line="26" w:lineRule="atLeast"/>
              <w:rPr>
                <w:rFonts w:ascii="宋体" w:hAnsi="宋体"/>
                <w:color w:val="auto"/>
                <w:highlight w:val="none"/>
              </w:rPr>
            </w:pPr>
            <w:r>
              <w:rPr>
                <w:rFonts w:hint="eastAsia" w:ascii="宋体" w:hAnsi="宋体"/>
                <w:color w:val="auto"/>
                <w:highlight w:val="none"/>
              </w:rPr>
              <w:t>小写：¥</w:t>
            </w:r>
          </w:p>
        </w:tc>
        <w:tc>
          <w:tcPr>
            <w:tcW w:w="2155" w:type="dxa"/>
            <w:tcBorders>
              <w:top w:val="single" w:color="000000" w:sz="4" w:space="0"/>
              <w:left w:val="single" w:color="000000" w:sz="4" w:space="0"/>
              <w:right w:val="single" w:color="000000" w:sz="4" w:space="0"/>
            </w:tcBorders>
            <w:noWrap w:val="0"/>
            <w:vAlign w:val="center"/>
          </w:tcPr>
          <w:p>
            <w:pPr>
              <w:snapToGrid w:val="0"/>
              <w:spacing w:line="26" w:lineRule="atLeast"/>
              <w:jc w:val="center"/>
              <w:rPr>
                <w:rFonts w:ascii="宋体" w:hAnsi="宋体"/>
                <w:color w:val="auto"/>
                <w:highlight w:val="none"/>
              </w:rPr>
            </w:pPr>
          </w:p>
        </w:tc>
        <w:tc>
          <w:tcPr>
            <w:tcW w:w="1275" w:type="dxa"/>
            <w:tcBorders>
              <w:top w:val="single" w:color="000000" w:sz="4" w:space="0"/>
              <w:left w:val="single" w:color="000000" w:sz="4" w:space="0"/>
              <w:right w:val="single" w:color="000000" w:sz="4" w:space="0"/>
            </w:tcBorders>
            <w:noWrap w:val="0"/>
            <w:vAlign w:val="center"/>
          </w:tcPr>
          <w:p>
            <w:pPr>
              <w:jc w:val="center"/>
              <w:rPr>
                <w:rFonts w:ascii="宋体" w:hAnsi="宋体" w:cs="宋体"/>
                <w:color w:val="auto"/>
                <w:sz w:val="24"/>
                <w:highlight w:val="none"/>
              </w:rPr>
            </w:pPr>
          </w:p>
        </w:tc>
      </w:tr>
    </w:tbl>
    <w:p>
      <w:pPr>
        <w:spacing w:line="380" w:lineRule="exact"/>
        <w:rPr>
          <w:rFonts w:ascii="方正书宋简体"/>
          <w:color w:val="auto"/>
          <w:szCs w:val="21"/>
          <w:highlight w:val="none"/>
          <w:u w:val="single"/>
        </w:rPr>
      </w:pPr>
    </w:p>
    <w:p>
      <w:pPr>
        <w:spacing w:line="380" w:lineRule="exact"/>
        <w:rPr>
          <w:color w:val="auto"/>
          <w:szCs w:val="21"/>
          <w:highlight w:val="none"/>
        </w:rPr>
      </w:pPr>
    </w:p>
    <w:p>
      <w:pPr>
        <w:spacing w:line="380" w:lineRule="exact"/>
        <w:rPr>
          <w:rFonts w:ascii="方正书宋简体"/>
          <w:color w:val="auto"/>
          <w:szCs w:val="21"/>
          <w:highlight w:val="none"/>
        </w:rPr>
      </w:pPr>
      <w:r>
        <w:rPr>
          <w:rFonts w:hint="eastAsia" w:ascii="方正书宋简体"/>
          <w:color w:val="auto"/>
          <w:szCs w:val="21"/>
          <w:highlight w:val="none"/>
        </w:rPr>
        <w:t>投标人（公章）：</w:t>
      </w:r>
    </w:p>
    <w:p>
      <w:pPr>
        <w:spacing w:line="380" w:lineRule="exact"/>
        <w:rPr>
          <w:rFonts w:ascii="方正书宋简体"/>
          <w:color w:val="auto"/>
          <w:szCs w:val="21"/>
          <w:highlight w:val="none"/>
        </w:rPr>
      </w:pPr>
    </w:p>
    <w:p>
      <w:pPr>
        <w:spacing w:line="380" w:lineRule="exact"/>
        <w:rPr>
          <w:rFonts w:ascii="方正书宋简体"/>
          <w:color w:val="auto"/>
          <w:szCs w:val="21"/>
          <w:highlight w:val="none"/>
        </w:rPr>
      </w:pPr>
      <w:r>
        <w:rPr>
          <w:rFonts w:hint="eastAsia" w:ascii="方正书宋简体"/>
          <w:color w:val="auto"/>
          <w:szCs w:val="21"/>
          <w:highlight w:val="none"/>
        </w:rPr>
        <w:t>投标人代表（签字或印章）：</w:t>
      </w:r>
    </w:p>
    <w:p>
      <w:pPr>
        <w:spacing w:line="380" w:lineRule="exact"/>
        <w:rPr>
          <w:rFonts w:ascii="方正书宋简体"/>
          <w:color w:val="auto"/>
          <w:szCs w:val="21"/>
          <w:highlight w:val="none"/>
        </w:rPr>
      </w:pPr>
    </w:p>
    <w:p>
      <w:pPr>
        <w:rPr>
          <w:color w:val="auto"/>
          <w:highlight w:val="none"/>
        </w:rPr>
      </w:pPr>
      <w:r>
        <w:rPr>
          <w:rFonts w:hint="eastAsia" w:ascii="方正书宋简体"/>
          <w:color w:val="auto"/>
          <w:szCs w:val="21"/>
          <w:highlight w:val="none"/>
        </w:rPr>
        <w:t>日期</w:t>
      </w:r>
      <w:r>
        <w:rPr>
          <w:rFonts w:hint="eastAsia"/>
          <w:color w:val="auto"/>
          <w:szCs w:val="21"/>
          <w:highlight w:val="none"/>
        </w:rPr>
        <w:t>：</w:t>
      </w:r>
    </w:p>
    <w:p>
      <w:pPr>
        <w:rPr>
          <w:color w:val="auto"/>
          <w:highlight w:val="none"/>
        </w:rPr>
      </w:pPr>
    </w:p>
    <w:p>
      <w:pPr>
        <w:jc w:val="center"/>
        <w:rPr>
          <w:b/>
          <w:color w:val="auto"/>
          <w:sz w:val="28"/>
          <w:szCs w:val="28"/>
          <w:highlight w:val="none"/>
        </w:rPr>
      </w:pPr>
      <w:r>
        <w:rPr>
          <w:b/>
          <w:color w:val="auto"/>
          <w:sz w:val="28"/>
          <w:szCs w:val="28"/>
          <w:highlight w:val="none"/>
        </w:rPr>
        <w:br w:type="page"/>
      </w:r>
    </w:p>
    <w:p>
      <w:pPr>
        <w:jc w:val="center"/>
        <w:rPr>
          <w:b/>
          <w:color w:val="auto"/>
          <w:sz w:val="28"/>
          <w:szCs w:val="28"/>
          <w:highlight w:val="none"/>
        </w:rPr>
      </w:pPr>
      <w:r>
        <w:rPr>
          <w:rFonts w:hint="eastAsia"/>
          <w:b/>
          <w:color w:val="auto"/>
          <w:sz w:val="28"/>
          <w:szCs w:val="28"/>
          <w:highlight w:val="none"/>
        </w:rPr>
        <w:t>（二）投标分项报价表</w:t>
      </w:r>
    </w:p>
    <w:p>
      <w:pPr>
        <w:spacing w:line="380" w:lineRule="exact"/>
        <w:rPr>
          <w:rFonts w:ascii="方正书宋简体"/>
          <w:color w:val="auto"/>
          <w:szCs w:val="21"/>
          <w:highlight w:val="none"/>
        </w:rPr>
      </w:pPr>
    </w:p>
    <w:p>
      <w:pPr>
        <w:spacing w:line="380" w:lineRule="exact"/>
        <w:rPr>
          <w:rFonts w:hint="eastAsia" w:ascii="方正书宋简体"/>
          <w:color w:val="auto"/>
          <w:szCs w:val="21"/>
          <w:highlight w:val="none"/>
          <w:u w:val="single"/>
        </w:rPr>
      </w:pPr>
      <w:r>
        <w:rPr>
          <w:rFonts w:hint="eastAsia" w:ascii="方正书宋简体"/>
          <w:color w:val="auto"/>
          <w:szCs w:val="21"/>
          <w:highlight w:val="none"/>
        </w:rPr>
        <w:t>项目名称：</w:t>
      </w:r>
      <w:r>
        <w:rPr>
          <w:rFonts w:hint="eastAsia" w:ascii="方正书宋简体"/>
          <w:color w:val="auto"/>
          <w:szCs w:val="21"/>
          <w:highlight w:val="none"/>
          <w:u w:val="single"/>
        </w:rPr>
        <w:t xml:space="preserve">               </w:t>
      </w:r>
      <w:r>
        <w:rPr>
          <w:rFonts w:hint="eastAsia" w:ascii="方正书宋简体"/>
          <w:color w:val="auto"/>
          <w:szCs w:val="21"/>
          <w:highlight w:val="none"/>
        </w:rPr>
        <w:t>招标编号：</w:t>
      </w:r>
      <w:r>
        <w:rPr>
          <w:rFonts w:hint="eastAsia" w:ascii="方正书宋简体"/>
          <w:color w:val="auto"/>
          <w:szCs w:val="21"/>
          <w:highlight w:val="none"/>
          <w:u w:val="single"/>
        </w:rPr>
        <w:t xml:space="preserve">                </w:t>
      </w:r>
      <w:r>
        <w:rPr>
          <w:rFonts w:hint="eastAsia" w:ascii="宋体" w:hAnsi="宋体" w:cs="宋体"/>
          <w:color w:val="auto"/>
          <w:sz w:val="24"/>
          <w:szCs w:val="24"/>
          <w:highlight w:val="none"/>
        </w:rPr>
        <w:t xml:space="preserve"> </w:t>
      </w:r>
      <w:r>
        <w:rPr>
          <w:rFonts w:hint="eastAsia" w:ascii="方正书宋简体"/>
          <w:color w:val="auto"/>
          <w:szCs w:val="21"/>
          <w:highlight w:val="none"/>
        </w:rPr>
        <w:t>标项号：</w:t>
      </w:r>
      <w:r>
        <w:rPr>
          <w:rFonts w:hint="eastAsia" w:ascii="宋体" w:hAnsi="宋体" w:cs="宋体"/>
          <w:color w:val="auto"/>
          <w:sz w:val="24"/>
          <w:szCs w:val="24"/>
          <w:highlight w:val="none"/>
          <w:u w:val="single"/>
        </w:rPr>
        <w:t xml:space="preserve">          </w:t>
      </w:r>
    </w:p>
    <w:p>
      <w:pPr>
        <w:jc w:val="center"/>
        <w:rPr>
          <w:rFonts w:ascii="宋体" w:hAnsi="宋体"/>
          <w:b/>
          <w:color w:val="auto"/>
          <w:szCs w:val="21"/>
          <w:highlight w:val="none"/>
        </w:rPr>
      </w:pPr>
    </w:p>
    <w:tbl>
      <w:tblPr>
        <w:tblStyle w:val="3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418"/>
        <w:gridCol w:w="1701"/>
        <w:gridCol w:w="709"/>
        <w:gridCol w:w="708"/>
        <w:gridCol w:w="1276"/>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0" w:type="dxa"/>
            <w:noWrap w:val="0"/>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序号</w:t>
            </w:r>
          </w:p>
        </w:tc>
        <w:tc>
          <w:tcPr>
            <w:tcW w:w="1418" w:type="dxa"/>
            <w:noWrap w:val="0"/>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名称</w:t>
            </w:r>
          </w:p>
        </w:tc>
        <w:tc>
          <w:tcPr>
            <w:tcW w:w="1701" w:type="dxa"/>
            <w:noWrap w:val="0"/>
            <w:vAlign w:val="center"/>
          </w:tcPr>
          <w:p>
            <w:pPr>
              <w:spacing w:line="300" w:lineRule="exact"/>
              <w:jc w:val="center"/>
              <w:rPr>
                <w:rFonts w:ascii="宋体" w:hAnsi="宋体"/>
                <w:bCs/>
                <w:color w:val="auto"/>
                <w:szCs w:val="21"/>
                <w:highlight w:val="none"/>
              </w:rPr>
            </w:pPr>
            <w:r>
              <w:rPr>
                <w:rFonts w:hint="eastAsia" w:ascii="宋体" w:hAnsi="宋体"/>
                <w:color w:val="auto"/>
                <w:szCs w:val="21"/>
                <w:highlight w:val="none"/>
              </w:rPr>
              <w:t>技术参数</w:t>
            </w:r>
          </w:p>
        </w:tc>
        <w:tc>
          <w:tcPr>
            <w:tcW w:w="709" w:type="dxa"/>
            <w:noWrap w:val="0"/>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单位</w:t>
            </w:r>
          </w:p>
        </w:tc>
        <w:tc>
          <w:tcPr>
            <w:tcW w:w="708" w:type="dxa"/>
            <w:noWrap w:val="0"/>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数量</w:t>
            </w:r>
          </w:p>
        </w:tc>
        <w:tc>
          <w:tcPr>
            <w:tcW w:w="1276" w:type="dxa"/>
            <w:noWrap w:val="0"/>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单价</w:t>
            </w:r>
          </w:p>
        </w:tc>
        <w:tc>
          <w:tcPr>
            <w:tcW w:w="1276" w:type="dxa"/>
            <w:noWrap w:val="0"/>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合价</w:t>
            </w:r>
          </w:p>
        </w:tc>
        <w:tc>
          <w:tcPr>
            <w:tcW w:w="1134" w:type="dxa"/>
            <w:noWrap w:val="0"/>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0" w:type="dxa"/>
            <w:noWrap w:val="0"/>
            <w:vAlign w:val="center"/>
          </w:tcPr>
          <w:p>
            <w:pPr>
              <w:spacing w:line="300" w:lineRule="exact"/>
              <w:jc w:val="center"/>
              <w:rPr>
                <w:rFonts w:ascii="宋体" w:hAnsi="宋体"/>
                <w:caps/>
                <w:color w:val="auto"/>
                <w:szCs w:val="21"/>
                <w:highlight w:val="none"/>
              </w:rPr>
            </w:pPr>
          </w:p>
        </w:tc>
        <w:tc>
          <w:tcPr>
            <w:tcW w:w="1418" w:type="dxa"/>
            <w:noWrap w:val="0"/>
            <w:vAlign w:val="center"/>
          </w:tcPr>
          <w:p>
            <w:pPr>
              <w:spacing w:line="300" w:lineRule="exact"/>
              <w:jc w:val="center"/>
              <w:rPr>
                <w:rFonts w:ascii="宋体" w:hAnsi="宋体"/>
                <w:color w:val="auto"/>
                <w:szCs w:val="21"/>
                <w:highlight w:val="none"/>
              </w:rPr>
            </w:pPr>
          </w:p>
        </w:tc>
        <w:tc>
          <w:tcPr>
            <w:tcW w:w="1701" w:type="dxa"/>
            <w:noWrap w:val="0"/>
            <w:vAlign w:val="center"/>
          </w:tcPr>
          <w:p>
            <w:pPr>
              <w:adjustRightInd w:val="0"/>
              <w:spacing w:line="276" w:lineRule="auto"/>
              <w:ind w:left="420" w:hanging="420"/>
              <w:jc w:val="center"/>
              <w:rPr>
                <w:rFonts w:ascii="宋体" w:hAnsi="宋体" w:cs="宋体"/>
                <w:color w:val="auto"/>
                <w:highlight w:val="none"/>
              </w:rPr>
            </w:pPr>
          </w:p>
        </w:tc>
        <w:tc>
          <w:tcPr>
            <w:tcW w:w="709" w:type="dxa"/>
            <w:noWrap w:val="0"/>
            <w:vAlign w:val="center"/>
          </w:tcPr>
          <w:p>
            <w:pPr>
              <w:adjustRightInd w:val="0"/>
              <w:spacing w:line="276" w:lineRule="auto"/>
              <w:ind w:left="420" w:hanging="420"/>
              <w:jc w:val="center"/>
              <w:rPr>
                <w:rFonts w:ascii="宋体" w:hAnsi="宋体" w:cs="宋体"/>
                <w:color w:val="auto"/>
                <w:highlight w:val="none"/>
              </w:rPr>
            </w:pPr>
          </w:p>
        </w:tc>
        <w:tc>
          <w:tcPr>
            <w:tcW w:w="708" w:type="dxa"/>
            <w:noWrap w:val="0"/>
            <w:vAlign w:val="center"/>
          </w:tcPr>
          <w:p>
            <w:pPr>
              <w:adjustRightInd w:val="0"/>
              <w:spacing w:line="276" w:lineRule="auto"/>
              <w:ind w:left="420" w:hanging="420"/>
              <w:jc w:val="center"/>
              <w:rPr>
                <w:rFonts w:ascii="宋体" w:hAnsi="宋体" w:cs="宋体"/>
                <w:color w:val="auto"/>
                <w:highlight w:val="none"/>
              </w:rPr>
            </w:pPr>
          </w:p>
        </w:tc>
        <w:tc>
          <w:tcPr>
            <w:tcW w:w="1276" w:type="dxa"/>
            <w:noWrap w:val="0"/>
            <w:vAlign w:val="center"/>
          </w:tcPr>
          <w:p>
            <w:pPr>
              <w:adjustRightInd w:val="0"/>
              <w:spacing w:line="276" w:lineRule="auto"/>
              <w:ind w:left="420" w:hanging="420"/>
              <w:jc w:val="center"/>
              <w:rPr>
                <w:rFonts w:ascii="宋体" w:hAnsi="宋体" w:cs="宋体"/>
                <w:color w:val="auto"/>
                <w:highlight w:val="none"/>
              </w:rPr>
            </w:pPr>
          </w:p>
        </w:tc>
        <w:tc>
          <w:tcPr>
            <w:tcW w:w="1276" w:type="dxa"/>
            <w:noWrap w:val="0"/>
            <w:vAlign w:val="center"/>
          </w:tcPr>
          <w:p>
            <w:pPr>
              <w:spacing w:line="300" w:lineRule="exact"/>
              <w:jc w:val="center"/>
              <w:rPr>
                <w:rFonts w:ascii="宋体" w:hAnsi="宋体"/>
                <w:color w:val="auto"/>
                <w:szCs w:val="21"/>
                <w:highlight w:val="none"/>
              </w:rPr>
            </w:pPr>
          </w:p>
        </w:tc>
        <w:tc>
          <w:tcPr>
            <w:tcW w:w="1134" w:type="dxa"/>
            <w:noWrap w:val="0"/>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0" w:type="dxa"/>
            <w:noWrap w:val="0"/>
            <w:vAlign w:val="center"/>
          </w:tcPr>
          <w:p>
            <w:pPr>
              <w:spacing w:line="300" w:lineRule="exact"/>
              <w:jc w:val="center"/>
              <w:rPr>
                <w:rFonts w:ascii="宋体" w:hAnsi="宋体"/>
                <w:caps/>
                <w:color w:val="auto"/>
                <w:szCs w:val="21"/>
                <w:highlight w:val="none"/>
              </w:rPr>
            </w:pPr>
          </w:p>
        </w:tc>
        <w:tc>
          <w:tcPr>
            <w:tcW w:w="1418" w:type="dxa"/>
            <w:noWrap w:val="0"/>
            <w:vAlign w:val="center"/>
          </w:tcPr>
          <w:p>
            <w:pPr>
              <w:spacing w:line="300" w:lineRule="exact"/>
              <w:jc w:val="center"/>
              <w:rPr>
                <w:rFonts w:ascii="宋体" w:hAnsi="宋体"/>
                <w:color w:val="auto"/>
                <w:szCs w:val="21"/>
                <w:highlight w:val="none"/>
              </w:rPr>
            </w:pPr>
          </w:p>
        </w:tc>
        <w:tc>
          <w:tcPr>
            <w:tcW w:w="1701" w:type="dxa"/>
            <w:noWrap w:val="0"/>
            <w:vAlign w:val="center"/>
          </w:tcPr>
          <w:p>
            <w:pPr>
              <w:adjustRightInd w:val="0"/>
              <w:spacing w:line="276" w:lineRule="auto"/>
              <w:ind w:left="420" w:hanging="420"/>
              <w:jc w:val="center"/>
              <w:rPr>
                <w:rFonts w:ascii="宋体" w:hAnsi="宋体" w:cs="宋体"/>
                <w:color w:val="auto"/>
                <w:highlight w:val="none"/>
              </w:rPr>
            </w:pPr>
          </w:p>
        </w:tc>
        <w:tc>
          <w:tcPr>
            <w:tcW w:w="709" w:type="dxa"/>
            <w:noWrap w:val="0"/>
            <w:vAlign w:val="center"/>
          </w:tcPr>
          <w:p>
            <w:pPr>
              <w:adjustRightInd w:val="0"/>
              <w:spacing w:line="276" w:lineRule="auto"/>
              <w:ind w:left="420" w:hanging="420"/>
              <w:jc w:val="center"/>
              <w:rPr>
                <w:rFonts w:ascii="宋体" w:hAnsi="宋体" w:cs="宋体"/>
                <w:color w:val="auto"/>
                <w:highlight w:val="none"/>
              </w:rPr>
            </w:pPr>
          </w:p>
        </w:tc>
        <w:tc>
          <w:tcPr>
            <w:tcW w:w="708" w:type="dxa"/>
            <w:noWrap w:val="0"/>
            <w:vAlign w:val="center"/>
          </w:tcPr>
          <w:p>
            <w:pPr>
              <w:adjustRightInd w:val="0"/>
              <w:spacing w:line="276" w:lineRule="auto"/>
              <w:ind w:left="420" w:hanging="420"/>
              <w:jc w:val="center"/>
              <w:rPr>
                <w:rFonts w:ascii="宋体" w:hAnsi="宋体" w:cs="宋体"/>
                <w:color w:val="auto"/>
                <w:highlight w:val="none"/>
              </w:rPr>
            </w:pPr>
          </w:p>
        </w:tc>
        <w:tc>
          <w:tcPr>
            <w:tcW w:w="1276" w:type="dxa"/>
            <w:noWrap w:val="0"/>
            <w:vAlign w:val="center"/>
          </w:tcPr>
          <w:p>
            <w:pPr>
              <w:adjustRightInd w:val="0"/>
              <w:spacing w:line="276" w:lineRule="auto"/>
              <w:ind w:left="420" w:hanging="420"/>
              <w:jc w:val="center"/>
              <w:rPr>
                <w:rFonts w:ascii="宋体" w:hAnsi="宋体" w:cs="宋体"/>
                <w:color w:val="auto"/>
                <w:highlight w:val="none"/>
              </w:rPr>
            </w:pPr>
          </w:p>
        </w:tc>
        <w:tc>
          <w:tcPr>
            <w:tcW w:w="1276" w:type="dxa"/>
            <w:noWrap w:val="0"/>
            <w:vAlign w:val="center"/>
          </w:tcPr>
          <w:p>
            <w:pPr>
              <w:spacing w:line="300" w:lineRule="exact"/>
              <w:jc w:val="center"/>
              <w:rPr>
                <w:rFonts w:ascii="宋体" w:hAnsi="宋体"/>
                <w:color w:val="auto"/>
                <w:szCs w:val="21"/>
                <w:highlight w:val="none"/>
              </w:rPr>
            </w:pPr>
          </w:p>
        </w:tc>
        <w:tc>
          <w:tcPr>
            <w:tcW w:w="1134" w:type="dxa"/>
            <w:noWrap w:val="0"/>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0" w:type="dxa"/>
            <w:noWrap w:val="0"/>
            <w:vAlign w:val="center"/>
          </w:tcPr>
          <w:p>
            <w:pPr>
              <w:spacing w:line="300" w:lineRule="exact"/>
              <w:jc w:val="center"/>
              <w:rPr>
                <w:rFonts w:ascii="宋体" w:hAnsi="宋体"/>
                <w:color w:val="auto"/>
                <w:szCs w:val="21"/>
                <w:highlight w:val="none"/>
              </w:rPr>
            </w:pPr>
          </w:p>
        </w:tc>
        <w:tc>
          <w:tcPr>
            <w:tcW w:w="1418" w:type="dxa"/>
            <w:noWrap w:val="0"/>
            <w:vAlign w:val="center"/>
          </w:tcPr>
          <w:p>
            <w:pPr>
              <w:adjustRightInd w:val="0"/>
              <w:spacing w:line="276" w:lineRule="auto"/>
              <w:jc w:val="center"/>
              <w:rPr>
                <w:rFonts w:ascii="宋体" w:hAnsi="宋体" w:cs="宋体"/>
                <w:color w:val="auto"/>
                <w:highlight w:val="none"/>
              </w:rPr>
            </w:pPr>
          </w:p>
        </w:tc>
        <w:tc>
          <w:tcPr>
            <w:tcW w:w="1701" w:type="dxa"/>
            <w:noWrap w:val="0"/>
            <w:vAlign w:val="center"/>
          </w:tcPr>
          <w:p>
            <w:pPr>
              <w:adjustRightInd w:val="0"/>
              <w:spacing w:line="276" w:lineRule="auto"/>
              <w:jc w:val="center"/>
              <w:rPr>
                <w:rFonts w:ascii="宋体" w:hAnsi="宋体" w:cs="宋体"/>
                <w:color w:val="auto"/>
                <w:highlight w:val="none"/>
              </w:rPr>
            </w:pPr>
          </w:p>
        </w:tc>
        <w:tc>
          <w:tcPr>
            <w:tcW w:w="709" w:type="dxa"/>
            <w:noWrap w:val="0"/>
            <w:vAlign w:val="center"/>
          </w:tcPr>
          <w:p>
            <w:pPr>
              <w:adjustRightInd w:val="0"/>
              <w:spacing w:line="276" w:lineRule="auto"/>
              <w:ind w:left="420" w:hanging="420"/>
              <w:jc w:val="center"/>
              <w:rPr>
                <w:rFonts w:ascii="宋体" w:hAnsi="宋体" w:cs="宋体"/>
                <w:color w:val="auto"/>
                <w:highlight w:val="none"/>
              </w:rPr>
            </w:pPr>
          </w:p>
        </w:tc>
        <w:tc>
          <w:tcPr>
            <w:tcW w:w="708" w:type="dxa"/>
            <w:noWrap w:val="0"/>
            <w:vAlign w:val="center"/>
          </w:tcPr>
          <w:p>
            <w:pPr>
              <w:adjustRightInd w:val="0"/>
              <w:spacing w:line="276" w:lineRule="auto"/>
              <w:ind w:left="420" w:hanging="420"/>
              <w:jc w:val="center"/>
              <w:rPr>
                <w:rFonts w:ascii="宋体" w:hAnsi="宋体" w:cs="宋体"/>
                <w:color w:val="auto"/>
                <w:highlight w:val="none"/>
              </w:rPr>
            </w:pPr>
          </w:p>
        </w:tc>
        <w:tc>
          <w:tcPr>
            <w:tcW w:w="1276" w:type="dxa"/>
            <w:noWrap w:val="0"/>
            <w:vAlign w:val="center"/>
          </w:tcPr>
          <w:p>
            <w:pPr>
              <w:adjustRightInd w:val="0"/>
              <w:spacing w:line="276" w:lineRule="auto"/>
              <w:ind w:left="420" w:hanging="420"/>
              <w:jc w:val="center"/>
              <w:rPr>
                <w:rFonts w:ascii="宋体" w:hAnsi="宋体" w:cs="宋体"/>
                <w:color w:val="auto"/>
                <w:highlight w:val="none"/>
              </w:rPr>
            </w:pPr>
          </w:p>
        </w:tc>
        <w:tc>
          <w:tcPr>
            <w:tcW w:w="1276" w:type="dxa"/>
            <w:noWrap w:val="0"/>
            <w:vAlign w:val="center"/>
          </w:tcPr>
          <w:p>
            <w:pPr>
              <w:spacing w:line="300" w:lineRule="exact"/>
              <w:jc w:val="center"/>
              <w:rPr>
                <w:rFonts w:ascii="宋体" w:hAnsi="宋体"/>
                <w:color w:val="auto"/>
                <w:szCs w:val="21"/>
                <w:highlight w:val="none"/>
              </w:rPr>
            </w:pPr>
          </w:p>
        </w:tc>
        <w:tc>
          <w:tcPr>
            <w:tcW w:w="1134" w:type="dxa"/>
            <w:noWrap w:val="0"/>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0" w:type="dxa"/>
            <w:noWrap w:val="0"/>
            <w:vAlign w:val="center"/>
          </w:tcPr>
          <w:p>
            <w:pPr>
              <w:spacing w:line="300" w:lineRule="exact"/>
              <w:jc w:val="center"/>
              <w:rPr>
                <w:rFonts w:ascii="宋体" w:hAnsi="宋体"/>
                <w:color w:val="auto"/>
                <w:szCs w:val="21"/>
                <w:highlight w:val="none"/>
              </w:rPr>
            </w:pPr>
          </w:p>
        </w:tc>
        <w:tc>
          <w:tcPr>
            <w:tcW w:w="1418" w:type="dxa"/>
            <w:noWrap w:val="0"/>
            <w:vAlign w:val="center"/>
          </w:tcPr>
          <w:p>
            <w:pPr>
              <w:adjustRightInd w:val="0"/>
              <w:spacing w:line="276" w:lineRule="auto"/>
              <w:jc w:val="center"/>
              <w:rPr>
                <w:rFonts w:ascii="宋体" w:hAnsi="宋体" w:cs="宋体"/>
                <w:color w:val="auto"/>
                <w:highlight w:val="none"/>
              </w:rPr>
            </w:pPr>
          </w:p>
        </w:tc>
        <w:tc>
          <w:tcPr>
            <w:tcW w:w="1701" w:type="dxa"/>
            <w:noWrap w:val="0"/>
            <w:vAlign w:val="center"/>
          </w:tcPr>
          <w:p>
            <w:pPr>
              <w:adjustRightInd w:val="0"/>
              <w:spacing w:line="276" w:lineRule="auto"/>
              <w:jc w:val="center"/>
              <w:rPr>
                <w:rFonts w:ascii="宋体" w:hAnsi="宋体" w:cs="宋体"/>
                <w:color w:val="auto"/>
                <w:highlight w:val="none"/>
              </w:rPr>
            </w:pPr>
          </w:p>
        </w:tc>
        <w:tc>
          <w:tcPr>
            <w:tcW w:w="709" w:type="dxa"/>
            <w:noWrap w:val="0"/>
            <w:vAlign w:val="center"/>
          </w:tcPr>
          <w:p>
            <w:pPr>
              <w:adjustRightInd w:val="0"/>
              <w:spacing w:line="276" w:lineRule="auto"/>
              <w:ind w:left="420" w:hanging="420"/>
              <w:jc w:val="center"/>
              <w:rPr>
                <w:rFonts w:ascii="宋体" w:hAnsi="宋体" w:cs="宋体"/>
                <w:color w:val="auto"/>
                <w:highlight w:val="none"/>
              </w:rPr>
            </w:pPr>
          </w:p>
        </w:tc>
        <w:tc>
          <w:tcPr>
            <w:tcW w:w="708" w:type="dxa"/>
            <w:noWrap w:val="0"/>
            <w:vAlign w:val="center"/>
          </w:tcPr>
          <w:p>
            <w:pPr>
              <w:adjustRightInd w:val="0"/>
              <w:spacing w:line="276" w:lineRule="auto"/>
              <w:ind w:left="420" w:hanging="420"/>
              <w:jc w:val="center"/>
              <w:rPr>
                <w:rFonts w:ascii="宋体" w:hAnsi="宋体" w:cs="宋体"/>
                <w:color w:val="auto"/>
                <w:highlight w:val="none"/>
              </w:rPr>
            </w:pPr>
          </w:p>
        </w:tc>
        <w:tc>
          <w:tcPr>
            <w:tcW w:w="1276" w:type="dxa"/>
            <w:noWrap w:val="0"/>
            <w:vAlign w:val="center"/>
          </w:tcPr>
          <w:p>
            <w:pPr>
              <w:adjustRightInd w:val="0"/>
              <w:spacing w:line="276" w:lineRule="auto"/>
              <w:ind w:left="420" w:hanging="420"/>
              <w:jc w:val="center"/>
              <w:rPr>
                <w:rFonts w:ascii="宋体" w:hAnsi="宋体" w:cs="宋体"/>
                <w:color w:val="auto"/>
                <w:highlight w:val="none"/>
              </w:rPr>
            </w:pPr>
          </w:p>
        </w:tc>
        <w:tc>
          <w:tcPr>
            <w:tcW w:w="1276" w:type="dxa"/>
            <w:noWrap w:val="0"/>
            <w:vAlign w:val="center"/>
          </w:tcPr>
          <w:p>
            <w:pPr>
              <w:spacing w:line="300" w:lineRule="exact"/>
              <w:jc w:val="center"/>
              <w:rPr>
                <w:rFonts w:ascii="宋体" w:hAnsi="宋体"/>
                <w:color w:val="auto"/>
                <w:szCs w:val="21"/>
                <w:highlight w:val="none"/>
              </w:rPr>
            </w:pPr>
          </w:p>
        </w:tc>
        <w:tc>
          <w:tcPr>
            <w:tcW w:w="1134" w:type="dxa"/>
            <w:noWrap w:val="0"/>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0" w:type="dxa"/>
            <w:noWrap w:val="0"/>
            <w:vAlign w:val="center"/>
          </w:tcPr>
          <w:p>
            <w:pPr>
              <w:spacing w:line="300" w:lineRule="exact"/>
              <w:jc w:val="center"/>
              <w:rPr>
                <w:rFonts w:ascii="宋体" w:hAnsi="宋体"/>
                <w:color w:val="auto"/>
                <w:szCs w:val="21"/>
                <w:highlight w:val="none"/>
              </w:rPr>
            </w:pPr>
          </w:p>
        </w:tc>
        <w:tc>
          <w:tcPr>
            <w:tcW w:w="1418" w:type="dxa"/>
            <w:noWrap w:val="0"/>
            <w:vAlign w:val="center"/>
          </w:tcPr>
          <w:p>
            <w:pPr>
              <w:adjustRightInd w:val="0"/>
              <w:spacing w:line="276" w:lineRule="auto"/>
              <w:jc w:val="center"/>
              <w:rPr>
                <w:rFonts w:ascii="宋体" w:hAnsi="宋体" w:cs="宋体"/>
                <w:color w:val="auto"/>
                <w:highlight w:val="none"/>
              </w:rPr>
            </w:pPr>
          </w:p>
        </w:tc>
        <w:tc>
          <w:tcPr>
            <w:tcW w:w="1701" w:type="dxa"/>
            <w:noWrap w:val="0"/>
            <w:vAlign w:val="center"/>
          </w:tcPr>
          <w:p>
            <w:pPr>
              <w:adjustRightInd w:val="0"/>
              <w:spacing w:line="276" w:lineRule="auto"/>
              <w:jc w:val="center"/>
              <w:rPr>
                <w:rFonts w:ascii="宋体" w:hAnsi="宋体" w:cs="宋体"/>
                <w:color w:val="auto"/>
                <w:highlight w:val="none"/>
              </w:rPr>
            </w:pPr>
          </w:p>
        </w:tc>
        <w:tc>
          <w:tcPr>
            <w:tcW w:w="709" w:type="dxa"/>
            <w:noWrap w:val="0"/>
            <w:vAlign w:val="center"/>
          </w:tcPr>
          <w:p>
            <w:pPr>
              <w:adjustRightInd w:val="0"/>
              <w:spacing w:line="276" w:lineRule="auto"/>
              <w:ind w:left="420" w:hanging="420"/>
              <w:jc w:val="center"/>
              <w:rPr>
                <w:rFonts w:ascii="宋体" w:hAnsi="宋体" w:cs="宋体"/>
                <w:color w:val="auto"/>
                <w:highlight w:val="none"/>
              </w:rPr>
            </w:pPr>
          </w:p>
        </w:tc>
        <w:tc>
          <w:tcPr>
            <w:tcW w:w="708" w:type="dxa"/>
            <w:noWrap w:val="0"/>
            <w:vAlign w:val="center"/>
          </w:tcPr>
          <w:p>
            <w:pPr>
              <w:adjustRightInd w:val="0"/>
              <w:spacing w:line="276" w:lineRule="auto"/>
              <w:ind w:left="420" w:hanging="420"/>
              <w:jc w:val="center"/>
              <w:rPr>
                <w:rFonts w:ascii="宋体" w:hAnsi="宋体" w:cs="宋体"/>
                <w:color w:val="auto"/>
                <w:highlight w:val="none"/>
              </w:rPr>
            </w:pPr>
          </w:p>
        </w:tc>
        <w:tc>
          <w:tcPr>
            <w:tcW w:w="1276" w:type="dxa"/>
            <w:noWrap w:val="0"/>
            <w:vAlign w:val="center"/>
          </w:tcPr>
          <w:p>
            <w:pPr>
              <w:adjustRightInd w:val="0"/>
              <w:spacing w:line="276" w:lineRule="auto"/>
              <w:ind w:left="420" w:hanging="420"/>
              <w:jc w:val="center"/>
              <w:rPr>
                <w:rFonts w:ascii="宋体" w:hAnsi="宋体" w:cs="宋体"/>
                <w:color w:val="auto"/>
                <w:highlight w:val="none"/>
              </w:rPr>
            </w:pPr>
          </w:p>
        </w:tc>
        <w:tc>
          <w:tcPr>
            <w:tcW w:w="1276" w:type="dxa"/>
            <w:noWrap w:val="0"/>
            <w:vAlign w:val="center"/>
          </w:tcPr>
          <w:p>
            <w:pPr>
              <w:spacing w:line="300" w:lineRule="exact"/>
              <w:jc w:val="center"/>
              <w:rPr>
                <w:rFonts w:ascii="宋体" w:hAnsi="宋体"/>
                <w:color w:val="auto"/>
                <w:szCs w:val="21"/>
                <w:highlight w:val="none"/>
              </w:rPr>
            </w:pPr>
          </w:p>
        </w:tc>
        <w:tc>
          <w:tcPr>
            <w:tcW w:w="1134" w:type="dxa"/>
            <w:noWrap w:val="0"/>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0" w:type="dxa"/>
            <w:noWrap w:val="0"/>
            <w:vAlign w:val="center"/>
          </w:tcPr>
          <w:p>
            <w:pPr>
              <w:spacing w:line="300" w:lineRule="exact"/>
              <w:jc w:val="center"/>
              <w:rPr>
                <w:rFonts w:ascii="宋体" w:hAnsi="宋体"/>
                <w:color w:val="auto"/>
                <w:szCs w:val="21"/>
                <w:highlight w:val="none"/>
              </w:rPr>
            </w:pPr>
          </w:p>
        </w:tc>
        <w:tc>
          <w:tcPr>
            <w:tcW w:w="1418" w:type="dxa"/>
            <w:noWrap w:val="0"/>
            <w:vAlign w:val="center"/>
          </w:tcPr>
          <w:p>
            <w:pPr>
              <w:adjustRightInd w:val="0"/>
              <w:spacing w:line="276" w:lineRule="auto"/>
              <w:jc w:val="center"/>
              <w:rPr>
                <w:rFonts w:ascii="宋体" w:hAnsi="宋体" w:cs="宋体"/>
                <w:color w:val="auto"/>
                <w:highlight w:val="none"/>
              </w:rPr>
            </w:pPr>
          </w:p>
        </w:tc>
        <w:tc>
          <w:tcPr>
            <w:tcW w:w="1701" w:type="dxa"/>
            <w:noWrap w:val="0"/>
            <w:vAlign w:val="center"/>
          </w:tcPr>
          <w:p>
            <w:pPr>
              <w:adjustRightInd w:val="0"/>
              <w:spacing w:line="276" w:lineRule="auto"/>
              <w:jc w:val="center"/>
              <w:rPr>
                <w:rFonts w:ascii="宋体" w:hAnsi="宋体" w:cs="宋体"/>
                <w:color w:val="auto"/>
                <w:highlight w:val="none"/>
              </w:rPr>
            </w:pPr>
          </w:p>
        </w:tc>
        <w:tc>
          <w:tcPr>
            <w:tcW w:w="709" w:type="dxa"/>
            <w:noWrap w:val="0"/>
            <w:vAlign w:val="center"/>
          </w:tcPr>
          <w:p>
            <w:pPr>
              <w:adjustRightInd w:val="0"/>
              <w:spacing w:line="276" w:lineRule="auto"/>
              <w:ind w:left="420" w:hanging="420"/>
              <w:jc w:val="center"/>
              <w:rPr>
                <w:rFonts w:ascii="宋体" w:hAnsi="宋体" w:cs="宋体"/>
                <w:color w:val="auto"/>
                <w:highlight w:val="none"/>
              </w:rPr>
            </w:pPr>
          </w:p>
        </w:tc>
        <w:tc>
          <w:tcPr>
            <w:tcW w:w="708" w:type="dxa"/>
            <w:noWrap w:val="0"/>
            <w:vAlign w:val="center"/>
          </w:tcPr>
          <w:p>
            <w:pPr>
              <w:adjustRightInd w:val="0"/>
              <w:spacing w:line="276" w:lineRule="auto"/>
              <w:ind w:left="420" w:hanging="420"/>
              <w:jc w:val="center"/>
              <w:rPr>
                <w:rFonts w:ascii="宋体" w:hAnsi="宋体" w:cs="宋体"/>
                <w:color w:val="auto"/>
                <w:highlight w:val="none"/>
              </w:rPr>
            </w:pPr>
          </w:p>
        </w:tc>
        <w:tc>
          <w:tcPr>
            <w:tcW w:w="1276" w:type="dxa"/>
            <w:noWrap w:val="0"/>
            <w:vAlign w:val="center"/>
          </w:tcPr>
          <w:p>
            <w:pPr>
              <w:adjustRightInd w:val="0"/>
              <w:spacing w:line="276" w:lineRule="auto"/>
              <w:ind w:left="420" w:hanging="420"/>
              <w:jc w:val="center"/>
              <w:rPr>
                <w:rFonts w:ascii="宋体" w:hAnsi="宋体" w:cs="宋体"/>
                <w:color w:val="auto"/>
                <w:highlight w:val="none"/>
              </w:rPr>
            </w:pPr>
          </w:p>
        </w:tc>
        <w:tc>
          <w:tcPr>
            <w:tcW w:w="1276" w:type="dxa"/>
            <w:noWrap w:val="0"/>
            <w:vAlign w:val="center"/>
          </w:tcPr>
          <w:p>
            <w:pPr>
              <w:spacing w:line="300" w:lineRule="exact"/>
              <w:jc w:val="center"/>
              <w:rPr>
                <w:rFonts w:ascii="宋体" w:hAnsi="宋体"/>
                <w:color w:val="auto"/>
                <w:szCs w:val="21"/>
                <w:highlight w:val="none"/>
              </w:rPr>
            </w:pPr>
          </w:p>
        </w:tc>
        <w:tc>
          <w:tcPr>
            <w:tcW w:w="1134" w:type="dxa"/>
            <w:noWrap w:val="0"/>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206" w:type="dxa"/>
            <w:gridSpan w:val="5"/>
            <w:noWrap w:val="0"/>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投标价合计</w:t>
            </w:r>
          </w:p>
        </w:tc>
        <w:tc>
          <w:tcPr>
            <w:tcW w:w="3686" w:type="dxa"/>
            <w:gridSpan w:val="3"/>
            <w:noWrap w:val="0"/>
            <w:vAlign w:val="center"/>
          </w:tcPr>
          <w:p>
            <w:pPr>
              <w:spacing w:line="300" w:lineRule="exact"/>
              <w:rPr>
                <w:rFonts w:ascii="宋体" w:hAnsi="宋体"/>
                <w:color w:val="auto"/>
                <w:szCs w:val="21"/>
                <w:highlight w:val="none"/>
              </w:rPr>
            </w:pPr>
          </w:p>
        </w:tc>
      </w:tr>
    </w:tbl>
    <w:p>
      <w:pPr>
        <w:tabs>
          <w:tab w:val="left" w:pos="426"/>
        </w:tabs>
        <w:snapToGrid w:val="0"/>
        <w:spacing w:line="360" w:lineRule="auto"/>
        <w:ind w:firstLine="140" w:firstLineChars="67"/>
        <w:rPr>
          <w:rFonts w:ascii="宋体" w:hAnsi="宋体"/>
          <w:color w:val="auto"/>
          <w:szCs w:val="21"/>
          <w:highlight w:val="none"/>
        </w:rPr>
      </w:pPr>
      <w:r>
        <w:rPr>
          <w:rFonts w:hint="eastAsia" w:ascii="宋体" w:hAnsi="宋体"/>
          <w:color w:val="auto"/>
          <w:szCs w:val="21"/>
          <w:highlight w:val="none"/>
        </w:rPr>
        <w:t>注：1、</w:t>
      </w:r>
      <w:r>
        <w:rPr>
          <w:color w:val="auto"/>
          <w:highlight w:val="none"/>
        </w:rPr>
        <w:t>供应商应详细列出</w:t>
      </w:r>
      <w:r>
        <w:rPr>
          <w:rFonts w:hint="eastAsia"/>
          <w:color w:val="auto"/>
          <w:highlight w:val="none"/>
        </w:rPr>
        <w:t>招</w:t>
      </w:r>
      <w:r>
        <w:rPr>
          <w:color w:val="auto"/>
          <w:highlight w:val="none"/>
        </w:rPr>
        <w:t>标文件规定的所有费用的明细表</w:t>
      </w:r>
      <w:r>
        <w:rPr>
          <w:rFonts w:hint="eastAsia"/>
          <w:color w:val="auto"/>
          <w:highlight w:val="none"/>
        </w:rPr>
        <w:t>，本表“</w:t>
      </w:r>
      <w:r>
        <w:rPr>
          <w:color w:val="auto"/>
          <w:highlight w:val="none"/>
        </w:rPr>
        <w:t>投标价合计</w:t>
      </w:r>
      <w:r>
        <w:rPr>
          <w:rFonts w:hint="eastAsia"/>
          <w:color w:val="auto"/>
          <w:highlight w:val="none"/>
        </w:rPr>
        <w:t>”应与“开标一览表”中的“</w:t>
      </w:r>
      <w:r>
        <w:rPr>
          <w:color w:val="auto"/>
          <w:highlight w:val="none"/>
        </w:rPr>
        <w:t>投标</w:t>
      </w:r>
      <w:r>
        <w:rPr>
          <w:rFonts w:hint="eastAsia"/>
          <w:color w:val="auto"/>
          <w:highlight w:val="none"/>
        </w:rPr>
        <w:t>报价”保持一致</w:t>
      </w:r>
      <w:r>
        <w:rPr>
          <w:color w:val="auto"/>
          <w:highlight w:val="none"/>
        </w:rPr>
        <w:t>。</w:t>
      </w:r>
    </w:p>
    <w:p>
      <w:pPr>
        <w:spacing w:line="440" w:lineRule="exact"/>
        <w:ind w:firstLine="420"/>
        <w:rPr>
          <w:color w:val="auto"/>
          <w:highlight w:val="none"/>
        </w:rPr>
      </w:pPr>
      <w:r>
        <w:rPr>
          <w:rFonts w:hint="eastAsia" w:ascii="宋体" w:hAnsi="宋体"/>
          <w:color w:val="auto"/>
          <w:highlight w:val="none"/>
        </w:rPr>
        <w:t>2、符合合同条款规定的全部费用应认为已被计入有标价的</w:t>
      </w:r>
      <w:r>
        <w:rPr>
          <w:rFonts w:hint="eastAsia"/>
          <w:color w:val="auto"/>
          <w:highlight w:val="none"/>
        </w:rPr>
        <w:t>清单</w:t>
      </w:r>
      <w:r>
        <w:rPr>
          <w:rFonts w:hint="eastAsia" w:ascii="宋体" w:hAnsi="宋体"/>
          <w:color w:val="auto"/>
          <w:highlight w:val="none"/>
        </w:rPr>
        <w:t>所列各子目之中，未列子目不予计量的工作，其费用应视为已分摊在本合同的有关子目的单价或总额价之中。</w:t>
      </w:r>
    </w:p>
    <w:p>
      <w:pPr>
        <w:spacing w:line="400" w:lineRule="exact"/>
        <w:ind w:firstLine="449" w:firstLineChars="214"/>
        <w:jc w:val="left"/>
        <w:rPr>
          <w:rFonts w:ascii="宋体" w:hAnsi="宋体"/>
          <w:color w:val="auto"/>
          <w:highlight w:val="none"/>
        </w:rPr>
      </w:pPr>
      <w:r>
        <w:rPr>
          <w:rFonts w:hint="eastAsia" w:ascii="宋体" w:hAnsi="宋体"/>
          <w:color w:val="auto"/>
          <w:highlight w:val="none"/>
        </w:rPr>
        <w:t>3、</w:t>
      </w:r>
      <w:r>
        <w:rPr>
          <w:rFonts w:ascii="宋体" w:hAnsi="宋体"/>
          <w:color w:val="auto"/>
          <w:highlight w:val="none"/>
        </w:rPr>
        <w:t>此表在不改变表式的情况下，可自行制作扩展。</w:t>
      </w:r>
    </w:p>
    <w:p>
      <w:pPr>
        <w:tabs>
          <w:tab w:val="left" w:pos="426"/>
        </w:tabs>
        <w:snapToGrid w:val="0"/>
        <w:spacing w:line="360" w:lineRule="auto"/>
        <w:ind w:firstLine="140" w:firstLineChars="67"/>
        <w:rPr>
          <w:color w:val="auto"/>
          <w:szCs w:val="21"/>
          <w:highlight w:val="none"/>
        </w:rPr>
      </w:pPr>
    </w:p>
    <w:p>
      <w:pPr>
        <w:spacing w:line="380" w:lineRule="exact"/>
        <w:rPr>
          <w:rFonts w:ascii="方正书宋简体"/>
          <w:color w:val="auto"/>
          <w:szCs w:val="21"/>
          <w:highlight w:val="none"/>
        </w:rPr>
      </w:pPr>
      <w:r>
        <w:rPr>
          <w:rFonts w:hint="eastAsia" w:ascii="方正书宋简体"/>
          <w:color w:val="auto"/>
          <w:szCs w:val="21"/>
          <w:highlight w:val="none"/>
        </w:rPr>
        <w:t>投标人（公章）：</w:t>
      </w:r>
    </w:p>
    <w:p>
      <w:pPr>
        <w:spacing w:line="380" w:lineRule="exact"/>
        <w:rPr>
          <w:rFonts w:ascii="方正书宋简体"/>
          <w:color w:val="auto"/>
          <w:szCs w:val="21"/>
          <w:highlight w:val="none"/>
        </w:rPr>
      </w:pPr>
    </w:p>
    <w:p>
      <w:pPr>
        <w:spacing w:line="380" w:lineRule="exact"/>
        <w:rPr>
          <w:rFonts w:ascii="方正书宋简体"/>
          <w:color w:val="auto"/>
          <w:szCs w:val="21"/>
          <w:highlight w:val="none"/>
        </w:rPr>
      </w:pPr>
      <w:r>
        <w:rPr>
          <w:rFonts w:hint="eastAsia" w:ascii="方正书宋简体"/>
          <w:color w:val="auto"/>
          <w:szCs w:val="21"/>
          <w:highlight w:val="none"/>
        </w:rPr>
        <w:t>投标人代表（签字或印章）：</w:t>
      </w:r>
    </w:p>
    <w:p>
      <w:pPr>
        <w:spacing w:line="380" w:lineRule="exact"/>
        <w:rPr>
          <w:rFonts w:ascii="方正书宋简体"/>
          <w:color w:val="auto"/>
          <w:szCs w:val="21"/>
          <w:highlight w:val="none"/>
        </w:rPr>
      </w:pPr>
    </w:p>
    <w:p>
      <w:pPr>
        <w:rPr>
          <w:color w:val="auto"/>
          <w:highlight w:val="none"/>
        </w:rPr>
      </w:pPr>
      <w:r>
        <w:rPr>
          <w:rFonts w:hint="eastAsia" w:ascii="方正书宋简体"/>
          <w:color w:val="auto"/>
          <w:szCs w:val="21"/>
          <w:highlight w:val="none"/>
        </w:rPr>
        <w:t>日期</w:t>
      </w:r>
      <w:r>
        <w:rPr>
          <w:rFonts w:hint="eastAsia"/>
          <w:color w:val="auto"/>
          <w:szCs w:val="21"/>
          <w:highlight w:val="none"/>
        </w:rPr>
        <w:t>：</w:t>
      </w:r>
    </w:p>
    <w:p>
      <w:pPr>
        <w:pStyle w:val="5"/>
        <w:spacing w:line="380" w:lineRule="exact"/>
        <w:rPr>
          <w:color w:val="auto"/>
          <w:sz w:val="24"/>
          <w:szCs w:val="24"/>
          <w:highlight w:val="none"/>
        </w:rPr>
      </w:pPr>
      <w:bookmarkStart w:id="160" w:name="_Toc520902427"/>
      <w:bookmarkStart w:id="161" w:name="_Toc497935762"/>
      <w:bookmarkStart w:id="162" w:name="_Toc502819371"/>
    </w:p>
    <w:p>
      <w:pPr>
        <w:rPr>
          <w:color w:val="auto"/>
          <w:sz w:val="24"/>
          <w:szCs w:val="24"/>
          <w:highlight w:val="none"/>
        </w:rPr>
      </w:pPr>
    </w:p>
    <w:p>
      <w:pPr>
        <w:pStyle w:val="4"/>
        <w:spacing w:before="240" w:after="240"/>
        <w:rPr>
          <w:color w:val="auto"/>
          <w:sz w:val="24"/>
          <w:szCs w:val="24"/>
          <w:highlight w:val="none"/>
        </w:rPr>
      </w:pPr>
    </w:p>
    <w:p>
      <w:pPr>
        <w:rPr>
          <w:color w:val="auto"/>
          <w:sz w:val="24"/>
          <w:szCs w:val="24"/>
          <w:highlight w:val="none"/>
        </w:rPr>
      </w:pPr>
    </w:p>
    <w:p>
      <w:pPr>
        <w:pStyle w:val="4"/>
        <w:spacing w:before="240" w:after="240"/>
        <w:rPr>
          <w:color w:val="auto"/>
          <w:sz w:val="24"/>
          <w:szCs w:val="24"/>
          <w:highlight w:val="none"/>
        </w:rPr>
      </w:pPr>
    </w:p>
    <w:p>
      <w:pPr>
        <w:rPr>
          <w:color w:val="auto"/>
          <w:sz w:val="24"/>
          <w:szCs w:val="24"/>
          <w:highlight w:val="none"/>
        </w:rPr>
      </w:pPr>
    </w:p>
    <w:p>
      <w:pPr>
        <w:pStyle w:val="4"/>
        <w:spacing w:before="240" w:after="240"/>
        <w:rPr>
          <w:color w:val="auto"/>
          <w:highlight w:val="none"/>
        </w:rPr>
      </w:pPr>
    </w:p>
    <w:p>
      <w:pPr>
        <w:rPr>
          <w:color w:val="auto"/>
          <w:highlight w:val="none"/>
        </w:rPr>
      </w:pPr>
      <w:r>
        <w:rPr>
          <w:color w:val="auto"/>
          <w:sz w:val="24"/>
          <w:szCs w:val="24"/>
          <w:highlight w:val="none"/>
        </w:rPr>
        <w:br w:type="page"/>
      </w:r>
    </w:p>
    <w:bookmarkEnd w:id="160"/>
    <w:bookmarkEnd w:id="161"/>
    <w:bookmarkEnd w:id="162"/>
    <w:p>
      <w:pPr>
        <w:pStyle w:val="5"/>
        <w:numPr>
          <w:ilvl w:val="0"/>
          <w:numId w:val="12"/>
        </w:numPr>
        <w:spacing w:line="380" w:lineRule="exact"/>
        <w:rPr>
          <w:rFonts w:hint="eastAsia"/>
          <w:color w:val="auto"/>
          <w:sz w:val="24"/>
          <w:szCs w:val="24"/>
          <w:highlight w:val="none"/>
        </w:rPr>
      </w:pPr>
      <w:bookmarkStart w:id="163" w:name="_Toc5418"/>
      <w:r>
        <w:rPr>
          <w:rFonts w:hint="eastAsia"/>
          <w:color w:val="auto"/>
          <w:sz w:val="24"/>
          <w:szCs w:val="24"/>
          <w:highlight w:val="none"/>
        </w:rPr>
        <w:t>中小企业声明函（货物）</w:t>
      </w:r>
      <w:bookmarkEnd w:id="163"/>
    </w:p>
    <w:p>
      <w:pPr>
        <w:rPr>
          <w:color w:val="auto"/>
          <w:highlight w:val="none"/>
        </w:rPr>
      </w:pPr>
    </w:p>
    <w:p>
      <w:pPr>
        <w:spacing w:line="276" w:lineRule="auto"/>
        <w:jc w:val="center"/>
        <w:rPr>
          <w:b/>
          <w:color w:val="auto"/>
          <w:sz w:val="24"/>
          <w:szCs w:val="24"/>
          <w:highlight w:val="none"/>
        </w:rPr>
      </w:pPr>
      <w:r>
        <w:rPr>
          <w:b/>
          <w:color w:val="auto"/>
          <w:sz w:val="24"/>
          <w:szCs w:val="24"/>
          <w:highlight w:val="none"/>
        </w:rPr>
        <w:t>（如非小微企业，可不提供此声明函）</w:t>
      </w:r>
    </w:p>
    <w:p>
      <w:pPr>
        <w:autoSpaceDN w:val="0"/>
        <w:spacing w:line="360" w:lineRule="auto"/>
        <w:jc w:val="center"/>
        <w:rPr>
          <w:b/>
          <w:bCs/>
          <w:color w:val="auto"/>
          <w:szCs w:val="21"/>
          <w:highlight w:val="none"/>
        </w:rPr>
      </w:pPr>
    </w:p>
    <w:p>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本公司（联合体）郑重声明，根据《政府采购促进中小企业发展管理办法》（财库</w:t>
      </w:r>
      <w:r>
        <w:rPr>
          <w:rFonts w:hint="eastAsia" w:ascii="宋体" w:hAnsi="宋体"/>
          <w:color w:val="auto"/>
          <w:spacing w:val="6"/>
          <w:szCs w:val="21"/>
          <w:highlight w:val="none"/>
        </w:rPr>
        <w:t>﹝</w:t>
      </w:r>
      <w:r>
        <w:rPr>
          <w:rFonts w:ascii="宋体" w:hAnsi="宋体"/>
          <w:color w:val="auto"/>
          <w:spacing w:val="6"/>
          <w:szCs w:val="21"/>
          <w:highlight w:val="none"/>
        </w:rPr>
        <w:t>2020</w:t>
      </w:r>
      <w:r>
        <w:rPr>
          <w:rFonts w:hint="eastAsia" w:ascii="宋体" w:hAnsi="宋体"/>
          <w:color w:val="auto"/>
          <w:spacing w:val="6"/>
          <w:szCs w:val="21"/>
          <w:highlight w:val="none"/>
        </w:rPr>
        <w:t>﹞</w:t>
      </w:r>
      <w:r>
        <w:rPr>
          <w:rFonts w:ascii="宋体" w:hAnsi="宋体"/>
          <w:color w:val="auto"/>
          <w:spacing w:val="6"/>
          <w:szCs w:val="21"/>
          <w:highlight w:val="none"/>
        </w:rPr>
        <w:t>46 号）的规定，本公司</w:t>
      </w:r>
      <w:r>
        <w:rPr>
          <w:rFonts w:ascii="宋体" w:hAnsi="宋体"/>
          <w:color w:val="auto"/>
          <w:spacing w:val="6"/>
          <w:szCs w:val="21"/>
          <w:highlight w:val="none"/>
          <w:u w:val="single"/>
        </w:rPr>
        <w:t>（联合体）</w:t>
      </w:r>
      <w:r>
        <w:rPr>
          <w:rFonts w:ascii="宋体" w:hAnsi="宋体"/>
          <w:color w:val="auto"/>
          <w:spacing w:val="6"/>
          <w:szCs w:val="21"/>
          <w:highlight w:val="none"/>
        </w:rPr>
        <w:t>参加</w:t>
      </w:r>
      <w:r>
        <w:rPr>
          <w:rFonts w:ascii="宋体" w:hAnsi="宋体"/>
          <w:color w:val="auto"/>
          <w:spacing w:val="6"/>
          <w:szCs w:val="21"/>
          <w:highlight w:val="none"/>
          <w:u w:val="single"/>
        </w:rPr>
        <w:t>（单位名称）</w:t>
      </w:r>
      <w:r>
        <w:rPr>
          <w:rFonts w:ascii="宋体" w:hAnsi="宋体"/>
          <w:color w:val="auto"/>
          <w:spacing w:val="6"/>
          <w:szCs w:val="21"/>
          <w:highlight w:val="none"/>
        </w:rPr>
        <w:t>的</w:t>
      </w:r>
      <w:r>
        <w:rPr>
          <w:rFonts w:ascii="宋体" w:hAnsi="宋体"/>
          <w:color w:val="auto"/>
          <w:spacing w:val="6"/>
          <w:szCs w:val="21"/>
          <w:highlight w:val="none"/>
          <w:u w:val="single"/>
        </w:rPr>
        <w:t>（项目名称）</w:t>
      </w:r>
      <w:r>
        <w:rPr>
          <w:rFonts w:ascii="宋体" w:hAnsi="宋体"/>
          <w:color w:val="auto"/>
          <w:spacing w:val="6"/>
          <w:szCs w:val="21"/>
          <w:highlight w:val="none"/>
        </w:rPr>
        <w:t>采购活动，提</w:t>
      </w:r>
      <w:r>
        <w:rPr>
          <w:rFonts w:ascii="宋体" w:hAnsi="宋体"/>
          <w:color w:val="auto"/>
          <w:spacing w:val="6"/>
          <w:szCs w:val="21"/>
          <w:highlight w:val="none"/>
          <w:u w:val="single"/>
        </w:rPr>
        <w:t xml:space="preserve">     </w:t>
      </w:r>
      <w:r>
        <w:rPr>
          <w:rFonts w:ascii="宋体" w:hAnsi="宋体"/>
          <w:color w:val="auto"/>
          <w:spacing w:val="6"/>
          <w:szCs w:val="21"/>
          <w:highlight w:val="none"/>
        </w:rPr>
        <w:t>供的货物全部由符合政策要求的中小企业制造。相关企业（含联合体中的中小企业、签订分包意向协议的中小企业） 的具体情况如下：</w:t>
      </w:r>
    </w:p>
    <w:p>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 xml:space="preserve"> </w:t>
      </w:r>
      <w:r>
        <w:rPr>
          <w:rFonts w:hint="eastAsia" w:ascii="宋体" w:hAnsi="宋体"/>
          <w:color w:val="auto"/>
          <w:spacing w:val="6"/>
          <w:szCs w:val="21"/>
          <w:highlight w:val="none"/>
        </w:rPr>
        <w:t>1、</w:t>
      </w:r>
      <w:r>
        <w:rPr>
          <w:rFonts w:ascii="宋体" w:hAnsi="宋体"/>
          <w:color w:val="auto"/>
          <w:spacing w:val="6"/>
          <w:szCs w:val="21"/>
          <w:highlight w:val="none"/>
          <w:u w:val="single"/>
        </w:rPr>
        <w:t xml:space="preserve">（标的名称） </w:t>
      </w:r>
      <w:r>
        <w:rPr>
          <w:rFonts w:ascii="宋体" w:hAnsi="宋体"/>
          <w:color w:val="auto"/>
          <w:spacing w:val="6"/>
          <w:szCs w:val="21"/>
          <w:highlight w:val="none"/>
        </w:rPr>
        <w:t>，属于</w:t>
      </w:r>
      <w:r>
        <w:rPr>
          <w:rFonts w:ascii="宋体" w:hAnsi="宋体"/>
          <w:color w:val="auto"/>
          <w:spacing w:val="6"/>
          <w:szCs w:val="21"/>
          <w:highlight w:val="none"/>
          <w:u w:val="single"/>
        </w:rPr>
        <w:t>（采购文件中明确的所属行业）行业</w:t>
      </w:r>
      <w:r>
        <w:rPr>
          <w:rFonts w:ascii="宋体" w:hAnsi="宋体"/>
          <w:color w:val="auto"/>
          <w:spacing w:val="6"/>
          <w:szCs w:val="21"/>
          <w:highlight w:val="none"/>
        </w:rPr>
        <w:t>；制造商为</w:t>
      </w:r>
      <w:r>
        <w:rPr>
          <w:rFonts w:ascii="宋体" w:hAnsi="宋体"/>
          <w:color w:val="auto"/>
          <w:spacing w:val="6"/>
          <w:szCs w:val="21"/>
          <w:highlight w:val="none"/>
          <w:u w:val="single"/>
        </w:rPr>
        <w:t>（企业名称）</w:t>
      </w:r>
      <w:r>
        <w:rPr>
          <w:rFonts w:ascii="宋体" w:hAnsi="宋体"/>
          <w:color w:val="auto"/>
          <w:spacing w:val="6"/>
          <w:szCs w:val="21"/>
          <w:highlight w:val="none"/>
        </w:rPr>
        <w:t>，从业人员</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人，营业收入为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万元，资产总额为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2、</w:t>
      </w:r>
      <w:r>
        <w:rPr>
          <w:rFonts w:ascii="宋体" w:hAnsi="宋体"/>
          <w:color w:val="auto"/>
          <w:spacing w:val="6"/>
          <w:szCs w:val="21"/>
          <w:highlight w:val="none"/>
          <w:u w:val="single"/>
        </w:rPr>
        <w:t xml:space="preserve"> （标的名称） </w:t>
      </w:r>
      <w:r>
        <w:rPr>
          <w:rFonts w:ascii="宋体" w:hAnsi="宋体"/>
          <w:color w:val="auto"/>
          <w:spacing w:val="6"/>
          <w:szCs w:val="21"/>
          <w:highlight w:val="none"/>
        </w:rPr>
        <w:t>，属于</w:t>
      </w:r>
      <w:r>
        <w:rPr>
          <w:rFonts w:ascii="宋体" w:hAnsi="宋体"/>
          <w:color w:val="auto"/>
          <w:spacing w:val="6"/>
          <w:szCs w:val="21"/>
          <w:highlight w:val="none"/>
          <w:u w:val="single"/>
        </w:rPr>
        <w:t>（采购文件中明确的所属行业）</w:t>
      </w:r>
      <w:r>
        <w:rPr>
          <w:rFonts w:ascii="宋体" w:hAnsi="宋体"/>
          <w:color w:val="auto"/>
          <w:spacing w:val="6"/>
          <w:szCs w:val="21"/>
          <w:highlight w:val="none"/>
        </w:rPr>
        <w:t>行业；制造商为（企业名称），从业人员</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人，营业收入为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万元，资产总额为</w:t>
      </w:r>
      <w:r>
        <w:rPr>
          <w:rFonts w:ascii="宋体" w:hAnsi="宋体"/>
          <w:color w:val="auto"/>
          <w:spacing w:val="6"/>
          <w:szCs w:val="21"/>
          <w:highlight w:val="none"/>
          <w:u w:val="single"/>
        </w:rPr>
        <w:t xml:space="preserve"> </w:t>
      </w:r>
      <w:r>
        <w:rPr>
          <w:rFonts w:ascii="宋体" w:hAnsi="宋体"/>
          <w:color w:val="auto"/>
          <w:spacing w:val="6"/>
          <w:szCs w:val="21"/>
          <w:highlight w:val="none"/>
          <w:u w:val="single"/>
        </w:rPr>
        <w:tab/>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w:t>
      </w:r>
    </w:p>
    <w:p>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以上企业，不属于大企业的分支机构，不存在控股股东为大企业的情形，也不存在与大企业的负责人为同一人的情形。</w:t>
      </w:r>
    </w:p>
    <w:p>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本企业对上述声明内容的真实性负责。如有虚假，将依法承担相应责任。</w:t>
      </w:r>
    </w:p>
    <w:p>
      <w:pPr>
        <w:spacing w:line="360" w:lineRule="auto"/>
        <w:ind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w:t>
      </w:r>
    </w:p>
    <w:p>
      <w:pPr>
        <w:spacing w:line="360" w:lineRule="auto"/>
        <w:ind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w:t>
      </w:r>
      <w:r>
        <w:rPr>
          <w:rFonts w:ascii="宋体" w:hAnsi="宋体"/>
          <w:color w:val="auto"/>
          <w:spacing w:val="6"/>
          <w:szCs w:val="21"/>
          <w:highlight w:val="none"/>
        </w:rPr>
        <w:t>企业名称（盖章）：</w:t>
      </w:r>
    </w:p>
    <w:p>
      <w:pPr>
        <w:spacing w:line="360" w:lineRule="auto"/>
        <w:ind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w:t>
      </w:r>
      <w:r>
        <w:rPr>
          <w:rFonts w:ascii="宋体" w:hAnsi="宋体"/>
          <w:color w:val="auto"/>
          <w:spacing w:val="6"/>
          <w:szCs w:val="21"/>
          <w:highlight w:val="none"/>
        </w:rPr>
        <w:t>日期：</w:t>
      </w:r>
    </w:p>
    <w:p>
      <w:pPr>
        <w:spacing w:line="360" w:lineRule="auto"/>
        <w:ind w:left="2" w:leftChars="1" w:right="46"/>
        <w:rPr>
          <w:rFonts w:ascii="宋体" w:hAnsi="宋体"/>
          <w:color w:val="auto"/>
          <w:spacing w:val="6"/>
          <w:szCs w:val="21"/>
          <w:highlight w:val="none"/>
        </w:rPr>
      </w:pPr>
    </w:p>
    <w:p>
      <w:pPr>
        <w:spacing w:line="360" w:lineRule="auto"/>
        <w:ind w:left="2" w:leftChars="1" w:right="46"/>
        <w:rPr>
          <w:rFonts w:ascii="宋体" w:hAnsi="宋体"/>
          <w:color w:val="auto"/>
          <w:spacing w:val="6"/>
          <w:szCs w:val="21"/>
          <w:highlight w:val="none"/>
        </w:rPr>
      </w:pPr>
    </w:p>
    <w:p>
      <w:pPr>
        <w:spacing w:line="360" w:lineRule="auto"/>
        <w:ind w:left="2" w:leftChars="1" w:right="46"/>
        <w:rPr>
          <w:rFonts w:ascii="宋体" w:hAnsi="宋体"/>
          <w:color w:val="auto"/>
          <w:spacing w:val="6"/>
          <w:szCs w:val="21"/>
          <w:highlight w:val="none"/>
        </w:rPr>
      </w:pPr>
      <w:r>
        <w:rPr>
          <w:rFonts w:hint="eastAsia" w:ascii="宋体" w:hAnsi="宋体"/>
          <w:color w:val="auto"/>
          <w:spacing w:val="6"/>
          <w:szCs w:val="21"/>
          <w:highlight w:val="none"/>
        </w:rPr>
        <w:t>注：从业人员、营业收入、资产总额填报上一年度数据，无上一年度数据的新成立企业可不填报。</w:t>
      </w:r>
    </w:p>
    <w:p>
      <w:pPr>
        <w:tabs>
          <w:tab w:val="left" w:pos="4860"/>
        </w:tabs>
        <w:spacing w:line="360" w:lineRule="auto"/>
        <w:ind w:left="222" w:right="46" w:hanging="222" w:hangingChars="100"/>
        <w:rPr>
          <w:rFonts w:ascii="宋体" w:hAnsi="宋体"/>
          <w:color w:val="auto"/>
          <w:spacing w:val="6"/>
          <w:szCs w:val="21"/>
          <w:highlight w:val="none"/>
        </w:rPr>
      </w:pPr>
    </w:p>
    <w:p>
      <w:pPr>
        <w:rPr>
          <w:rFonts w:ascii="宋体" w:hAnsi="宋体"/>
          <w:b/>
          <w:color w:val="auto"/>
          <w:spacing w:val="6"/>
          <w:sz w:val="28"/>
          <w:szCs w:val="28"/>
          <w:highlight w:val="none"/>
        </w:rPr>
        <w:sectPr>
          <w:pgSz w:w="11907" w:h="16840"/>
          <w:pgMar w:top="1304" w:right="1588" w:bottom="1304" w:left="1588" w:header="720" w:footer="720" w:gutter="0"/>
          <w:cols w:space="720" w:num="1"/>
          <w:docGrid w:linePitch="285" w:charSpace="0"/>
        </w:sectPr>
      </w:pPr>
    </w:p>
    <w:p>
      <w:pPr>
        <w:rPr>
          <w:rFonts w:ascii="宋体" w:hAnsi="宋体"/>
          <w:b/>
          <w:color w:val="auto"/>
          <w:spacing w:val="6"/>
          <w:sz w:val="28"/>
          <w:szCs w:val="28"/>
          <w:highlight w:val="none"/>
        </w:rPr>
      </w:pPr>
    </w:p>
    <w:p>
      <w:pPr>
        <w:jc w:val="center"/>
        <w:rPr>
          <w:rStyle w:val="147"/>
          <w:rFonts w:hint="default"/>
          <w:color w:val="auto"/>
          <w:sz w:val="28"/>
          <w:szCs w:val="28"/>
          <w:highlight w:val="none"/>
        </w:rPr>
      </w:pPr>
      <w:r>
        <w:rPr>
          <w:rFonts w:hint="eastAsia" w:ascii="宋体" w:hAnsi="宋体" w:cs="宋体"/>
          <w:b/>
          <w:color w:val="auto"/>
          <w:kern w:val="0"/>
          <w:sz w:val="28"/>
          <w:szCs w:val="28"/>
          <w:highlight w:val="none"/>
        </w:rPr>
        <w:t>中小微行业划型标准规定</w:t>
      </w:r>
      <w:r>
        <w:rPr>
          <w:rStyle w:val="147"/>
          <w:rFonts w:hint="default"/>
          <w:color w:val="auto"/>
          <w:sz w:val="28"/>
          <w:szCs w:val="28"/>
          <w:highlight w:val="none"/>
        </w:rPr>
        <w:t>（根据工信部联企业〔2011〕300号制定）</w:t>
      </w:r>
    </w:p>
    <w:tbl>
      <w:tblPr>
        <w:tblStyle w:val="33"/>
        <w:tblW w:w="0" w:type="auto"/>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noWrap w:val="0"/>
            <w:vAlign w:val="center"/>
          </w:tcPr>
          <w:p>
            <w:pPr>
              <w:widowControl/>
              <w:jc w:val="center"/>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行业</w:t>
            </w:r>
          </w:p>
        </w:tc>
        <w:tc>
          <w:tcPr>
            <w:tcW w:w="4380" w:type="dxa"/>
            <w:gridSpan w:val="3"/>
            <w:tcBorders>
              <w:top w:val="single" w:color="000000" w:sz="12" w:space="0"/>
              <w:left w:val="single" w:color="000000" w:sz="12" w:space="0"/>
              <w:bottom w:val="single" w:color="000000" w:sz="4" w:space="0"/>
              <w:right w:val="single" w:color="000000" w:sz="12" w:space="0"/>
            </w:tcBorders>
            <w:noWrap w:val="0"/>
            <w:vAlign w:val="bottom"/>
          </w:tcPr>
          <w:p>
            <w:pPr>
              <w:widowControl/>
              <w:jc w:val="center"/>
              <w:textAlignment w:val="bottom"/>
              <w:rPr>
                <w:rFonts w:ascii="宋体" w:hAnsi="宋体" w:cs="宋体"/>
                <w:b/>
                <w:color w:val="auto"/>
                <w:sz w:val="18"/>
                <w:szCs w:val="18"/>
                <w:highlight w:val="none"/>
              </w:rPr>
            </w:pPr>
            <w:r>
              <w:rPr>
                <w:rFonts w:hint="eastAsia" w:ascii="宋体" w:hAnsi="宋体" w:cs="宋体"/>
                <w:b/>
                <w:color w:val="auto"/>
                <w:kern w:val="0"/>
                <w:sz w:val="18"/>
                <w:szCs w:val="18"/>
                <w:highlight w:val="none"/>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noWrap w:val="0"/>
            <w:vAlign w:val="bottom"/>
          </w:tcPr>
          <w:p>
            <w:pPr>
              <w:widowControl/>
              <w:jc w:val="center"/>
              <w:textAlignment w:val="bottom"/>
              <w:rPr>
                <w:rFonts w:ascii="宋体" w:hAnsi="宋体" w:cs="宋体"/>
                <w:b/>
                <w:color w:val="auto"/>
                <w:sz w:val="18"/>
                <w:szCs w:val="18"/>
                <w:highlight w:val="none"/>
              </w:rPr>
            </w:pPr>
            <w:r>
              <w:rPr>
                <w:rFonts w:hint="eastAsia" w:ascii="宋体" w:hAnsi="宋体" w:cs="宋体"/>
                <w:b/>
                <w:color w:val="auto"/>
                <w:kern w:val="0"/>
                <w:sz w:val="18"/>
                <w:szCs w:val="18"/>
                <w:highlight w:val="none"/>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noWrap w:val="0"/>
            <w:vAlign w:val="bottom"/>
          </w:tcPr>
          <w:p>
            <w:pPr>
              <w:widowControl/>
              <w:jc w:val="center"/>
              <w:textAlignment w:val="bottom"/>
              <w:rPr>
                <w:rFonts w:ascii="宋体" w:hAnsi="宋体" w:cs="宋体"/>
                <w:b/>
                <w:color w:val="auto"/>
                <w:sz w:val="18"/>
                <w:szCs w:val="18"/>
                <w:highlight w:val="none"/>
              </w:rPr>
            </w:pPr>
            <w:r>
              <w:rPr>
                <w:rFonts w:hint="eastAsia" w:ascii="宋体" w:hAnsi="宋体" w:cs="宋体"/>
                <w:b/>
                <w:color w:val="auto"/>
                <w:kern w:val="0"/>
                <w:sz w:val="18"/>
                <w:szCs w:val="18"/>
                <w:highlight w:val="none"/>
              </w:rPr>
              <w:t>微型企业</w:t>
            </w:r>
          </w:p>
        </w:tc>
      </w:tr>
      <w:tr>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noWrap w:val="0"/>
            <w:vAlign w:val="center"/>
          </w:tcPr>
          <w:p>
            <w:pPr>
              <w:jc w:val="center"/>
              <w:rPr>
                <w:rFonts w:ascii="宋体" w:hAnsi="宋体" w:cs="宋体"/>
                <w:b/>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从业人员X（人）</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营业收入 Y（万元）</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资产总额 Z（万元）</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从业人员X（人）</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营业收入Y（万元）</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资产总额Z（万元）</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从业人员X（人）</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营业收入Y（万元）</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资产总额Z（万元）</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50≤Y＜500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2、工业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2000≤Y＜40000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3、建筑业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6000≤Y＜80000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5000≤Z＜80000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300≤Y＜6000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300≤Z＜5000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Z＜300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4、批发业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20≤X＜200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5000≤Y＜40000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5≤X＜20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1000≤Y＜5000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X＜5</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5、零售业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10≤X＜50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100≤Y＜500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200≤Y＜3000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V＜200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7、仓储业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100≤X＜200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8、邮政业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9、住宿业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10、餐饮业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V＜100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11、信息传输业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100≤X＜2000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1000≤Y＜100000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13、房地产开发经营</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1000≤Y＜200000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5000≤Z＜10000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2000≤Z＜5000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Z＜2000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14、物业管理</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1000≤Y＜5000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Y＜500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15、租赁和商务服务业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8000≤Z＜120000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auto"/>
                <w:sz w:val="18"/>
                <w:szCs w:val="18"/>
                <w:highlight w:val="none"/>
              </w:rPr>
            </w:pP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100≤Z＜8000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auto"/>
                <w:sz w:val="18"/>
                <w:szCs w:val="18"/>
                <w:highlight w:val="none"/>
              </w:rPr>
            </w:pP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Z＜100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16、其他未列明行业</w:t>
            </w:r>
          </w:p>
        </w:tc>
        <w:tc>
          <w:tcPr>
            <w:tcW w:w="1320" w:type="dxa"/>
            <w:tcBorders>
              <w:top w:val="single" w:color="000000" w:sz="4" w:space="0"/>
              <w:left w:val="single" w:color="000000" w:sz="12" w:space="0"/>
              <w:bottom w:val="single" w:color="000000" w:sz="12"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12" w:space="0"/>
              <w:right w:val="single" w:color="000000" w:sz="4" w:space="0"/>
            </w:tcBorders>
            <w:noWrap w:val="0"/>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12" w:space="0"/>
              <w:right w:val="single" w:color="000000" w:sz="12" w:space="0"/>
            </w:tcBorders>
            <w:noWrap w:val="0"/>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12"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12" w:space="0"/>
              <w:right w:val="single" w:color="000000" w:sz="4" w:space="0"/>
            </w:tcBorders>
            <w:noWrap w:val="0"/>
            <w:vAlign w:val="bottom"/>
          </w:tcPr>
          <w:p>
            <w:pPr>
              <w:rPr>
                <w:rFonts w:ascii="宋体" w:hAnsi="宋体" w:cs="宋体"/>
                <w:color w:val="auto"/>
                <w:sz w:val="18"/>
                <w:szCs w:val="18"/>
                <w:highlight w:val="none"/>
              </w:rPr>
            </w:pPr>
          </w:p>
        </w:tc>
        <w:tc>
          <w:tcPr>
            <w:tcW w:w="1406" w:type="dxa"/>
            <w:tcBorders>
              <w:top w:val="single" w:color="000000" w:sz="4" w:space="0"/>
              <w:left w:val="single" w:color="000000" w:sz="4" w:space="0"/>
              <w:bottom w:val="single" w:color="000000" w:sz="12" w:space="0"/>
              <w:right w:val="single" w:color="000000" w:sz="12" w:space="0"/>
            </w:tcBorders>
            <w:noWrap w:val="0"/>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12" w:space="0"/>
              <w:right w:val="single" w:color="000000" w:sz="4" w:space="0"/>
            </w:tcBorders>
            <w:noWrap w:val="0"/>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12" w:space="0"/>
              <w:right w:val="single" w:color="000000" w:sz="4" w:space="0"/>
            </w:tcBorders>
            <w:noWrap w:val="0"/>
            <w:vAlign w:val="bottom"/>
          </w:tcPr>
          <w:p>
            <w:pPr>
              <w:rPr>
                <w:rFonts w:ascii="宋体" w:hAnsi="宋体" w:cs="宋体"/>
                <w:color w:val="auto"/>
                <w:sz w:val="18"/>
                <w:szCs w:val="18"/>
                <w:highlight w:val="none"/>
              </w:rPr>
            </w:pPr>
          </w:p>
        </w:tc>
        <w:tc>
          <w:tcPr>
            <w:tcW w:w="1515" w:type="dxa"/>
            <w:tcBorders>
              <w:top w:val="single" w:color="000000" w:sz="4" w:space="0"/>
              <w:left w:val="single" w:color="000000" w:sz="4" w:space="0"/>
              <w:bottom w:val="single" w:color="000000" w:sz="12" w:space="0"/>
              <w:right w:val="single" w:color="000000" w:sz="12" w:space="0"/>
            </w:tcBorders>
            <w:noWrap w:val="0"/>
            <w:vAlign w:val="bottom"/>
          </w:tcPr>
          <w:p>
            <w:pPr>
              <w:rPr>
                <w:rFonts w:ascii="宋体" w:hAnsi="宋体" w:cs="宋体"/>
                <w:color w:val="auto"/>
                <w:sz w:val="18"/>
                <w:szCs w:val="18"/>
                <w:highlight w:val="none"/>
              </w:rPr>
            </w:pPr>
          </w:p>
        </w:tc>
      </w:tr>
    </w:tbl>
    <w:p>
      <w:pPr>
        <w:rPr>
          <w:rFonts w:ascii="Cambria" w:hAnsi="Cambria"/>
          <w:color w:val="auto"/>
          <w:sz w:val="28"/>
          <w:szCs w:val="28"/>
          <w:highlight w:val="none"/>
        </w:rPr>
      </w:pPr>
      <w:r>
        <w:rPr>
          <w:rFonts w:hint="eastAsia" w:ascii="宋体" w:hAnsi="宋体" w:cs="宋体"/>
          <w:color w:val="auto"/>
          <w:kern w:val="0"/>
          <w:sz w:val="18"/>
          <w:szCs w:val="18"/>
          <w:highlight w:val="none"/>
        </w:rPr>
        <w:t>说明　1、企业类型的划分以统计部门的统计数据为依据。2、个体工商户和本规定以外的行业，参照本规定进行划型。3、本规定的中型企业标准上限即为大型企业标准的下限。</w:t>
      </w:r>
      <w:bookmarkStart w:id="164" w:name="_Toc497935763"/>
      <w:bookmarkStart w:id="165" w:name="_Toc502819372"/>
    </w:p>
    <w:p>
      <w:pPr>
        <w:pStyle w:val="6"/>
        <w:spacing w:line="380" w:lineRule="exact"/>
        <w:rPr>
          <w:rFonts w:ascii="Cambria" w:hAnsi="Cambria"/>
          <w:color w:val="auto"/>
          <w:sz w:val="28"/>
          <w:szCs w:val="28"/>
          <w:highlight w:val="none"/>
        </w:rPr>
        <w:sectPr>
          <w:headerReference r:id="rId14" w:type="default"/>
          <w:pgSz w:w="16840" w:h="11907" w:orient="landscape"/>
          <w:pgMar w:top="1588" w:right="1304" w:bottom="1588" w:left="1304" w:header="720" w:footer="720" w:gutter="0"/>
          <w:cols w:space="720" w:num="1"/>
          <w:docGrid w:linePitch="285" w:charSpace="0"/>
        </w:sectPr>
      </w:pPr>
    </w:p>
    <w:bookmarkEnd w:id="164"/>
    <w:bookmarkEnd w:id="165"/>
    <w:p>
      <w:pPr>
        <w:pStyle w:val="5"/>
        <w:spacing w:line="380" w:lineRule="exact"/>
        <w:rPr>
          <w:color w:val="auto"/>
          <w:sz w:val="24"/>
          <w:szCs w:val="24"/>
          <w:highlight w:val="none"/>
        </w:rPr>
      </w:pPr>
      <w:bookmarkStart w:id="166" w:name="_Toc520902428"/>
      <w:bookmarkStart w:id="167" w:name="_Toc3964"/>
      <w:r>
        <w:rPr>
          <w:rFonts w:hint="eastAsia"/>
          <w:color w:val="auto"/>
          <w:sz w:val="24"/>
          <w:szCs w:val="24"/>
          <w:highlight w:val="none"/>
        </w:rPr>
        <w:t>（四）残疾人福利性单位声明函（如有需提供）</w:t>
      </w:r>
      <w:bookmarkEnd w:id="166"/>
      <w:bookmarkEnd w:id="167"/>
    </w:p>
    <w:p>
      <w:pPr>
        <w:ind w:firstLine="420" w:firstLineChars="200"/>
        <w:rPr>
          <w:rFonts w:ascii="宋体" w:hAnsi="宋体"/>
          <w:color w:val="auto"/>
          <w:szCs w:val="21"/>
          <w:highlight w:val="none"/>
        </w:rPr>
      </w:pP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tabs>
          <w:tab w:val="left" w:pos="4860"/>
        </w:tabs>
        <w:spacing w:line="588" w:lineRule="exact"/>
        <w:ind w:right="1560" w:firstLine="420" w:firstLineChars="200"/>
        <w:jc w:val="center"/>
        <w:rPr>
          <w:rFonts w:ascii="宋体" w:hAnsi="宋体"/>
          <w:color w:val="auto"/>
          <w:szCs w:val="21"/>
          <w:highlight w:val="none"/>
        </w:rPr>
      </w:pPr>
    </w:p>
    <w:p>
      <w:pPr>
        <w:tabs>
          <w:tab w:val="left" w:pos="4860"/>
        </w:tabs>
        <w:spacing w:line="588" w:lineRule="exact"/>
        <w:ind w:right="1560" w:firstLine="420" w:firstLineChars="200"/>
        <w:jc w:val="center"/>
        <w:rPr>
          <w:rFonts w:ascii="宋体" w:hAnsi="宋体"/>
          <w:color w:val="auto"/>
          <w:szCs w:val="21"/>
          <w:highlight w:val="none"/>
        </w:rPr>
      </w:pPr>
    </w:p>
    <w:p>
      <w:pPr>
        <w:tabs>
          <w:tab w:val="left" w:pos="4860"/>
        </w:tabs>
        <w:spacing w:line="588" w:lineRule="exact"/>
        <w:ind w:right="1560" w:firstLine="420" w:firstLineChars="200"/>
        <w:jc w:val="center"/>
        <w:rPr>
          <w:rFonts w:ascii="宋体" w:hAnsi="宋体"/>
          <w:color w:val="auto"/>
          <w:szCs w:val="21"/>
          <w:highlight w:val="none"/>
        </w:rPr>
      </w:pPr>
      <w:r>
        <w:rPr>
          <w:rFonts w:hint="eastAsia" w:ascii="宋体" w:hAnsi="宋体"/>
          <w:color w:val="auto"/>
          <w:szCs w:val="21"/>
          <w:highlight w:val="none"/>
        </w:rPr>
        <w:t xml:space="preserve">               单位名称（盖章）：</w:t>
      </w:r>
    </w:p>
    <w:p>
      <w:pPr>
        <w:spacing w:line="380" w:lineRule="exact"/>
        <w:rPr>
          <w:rFonts w:ascii="宋体" w:hAnsi="宋体"/>
          <w:color w:val="auto"/>
          <w:szCs w:val="21"/>
          <w:highlight w:val="none"/>
        </w:rPr>
      </w:pPr>
      <w:r>
        <w:rPr>
          <w:rFonts w:hint="eastAsia" w:ascii="宋体" w:hAnsi="宋体"/>
          <w:color w:val="auto"/>
          <w:szCs w:val="21"/>
          <w:highlight w:val="none"/>
        </w:rPr>
        <w:t xml:space="preserve">                                   日  期：</w:t>
      </w:r>
    </w:p>
    <w:p>
      <w:pPr>
        <w:spacing w:line="400" w:lineRule="exact"/>
        <w:ind w:firstLine="422" w:firstLineChars="200"/>
        <w:rPr>
          <w:rFonts w:ascii="宋体" w:hAnsi="宋体"/>
          <w:b/>
          <w:color w:val="auto"/>
          <w:szCs w:val="21"/>
          <w:highlight w:val="none"/>
        </w:rPr>
      </w:pP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注：</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享受政府采购支持政策的残疾人福利性单位应当同时满足以下条件：</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（一）安置的残疾人占本单位在职职工人数的比例不低于</w:t>
      </w:r>
      <w:r>
        <w:rPr>
          <w:rFonts w:ascii="宋体" w:hAnsi="宋体"/>
          <w:b/>
          <w:color w:val="auto"/>
          <w:szCs w:val="21"/>
          <w:highlight w:val="none"/>
        </w:rPr>
        <w:t>25%</w:t>
      </w:r>
      <w:r>
        <w:rPr>
          <w:rFonts w:hint="eastAsia" w:ascii="宋体" w:hAnsi="宋体"/>
          <w:b/>
          <w:color w:val="auto"/>
          <w:szCs w:val="21"/>
          <w:highlight w:val="none"/>
        </w:rPr>
        <w:t>（含</w:t>
      </w:r>
      <w:r>
        <w:rPr>
          <w:rFonts w:ascii="宋体" w:hAnsi="宋体"/>
          <w:b/>
          <w:color w:val="auto"/>
          <w:szCs w:val="21"/>
          <w:highlight w:val="none"/>
        </w:rPr>
        <w:t>25%</w:t>
      </w:r>
      <w:r>
        <w:rPr>
          <w:rFonts w:hint="eastAsia" w:ascii="宋体" w:hAnsi="宋体"/>
          <w:b/>
          <w:color w:val="auto"/>
          <w:szCs w:val="21"/>
          <w:highlight w:val="none"/>
        </w:rPr>
        <w:t>），并且安置的残疾人人数不少于</w:t>
      </w:r>
      <w:r>
        <w:rPr>
          <w:rFonts w:ascii="宋体" w:hAnsi="宋体"/>
          <w:b/>
          <w:color w:val="auto"/>
          <w:szCs w:val="21"/>
          <w:highlight w:val="none"/>
        </w:rPr>
        <w:t>10</w:t>
      </w:r>
      <w:r>
        <w:rPr>
          <w:rFonts w:hint="eastAsia" w:ascii="宋体" w:hAnsi="宋体"/>
          <w:b/>
          <w:color w:val="auto"/>
          <w:szCs w:val="21"/>
          <w:highlight w:val="none"/>
        </w:rPr>
        <w:t>人（含</w:t>
      </w:r>
      <w:r>
        <w:rPr>
          <w:rFonts w:ascii="宋体" w:hAnsi="宋体"/>
          <w:b/>
          <w:color w:val="auto"/>
          <w:szCs w:val="21"/>
          <w:highlight w:val="none"/>
        </w:rPr>
        <w:t>10</w:t>
      </w:r>
      <w:r>
        <w:rPr>
          <w:rFonts w:hint="eastAsia" w:ascii="宋体" w:hAnsi="宋体"/>
          <w:b/>
          <w:color w:val="auto"/>
          <w:szCs w:val="21"/>
          <w:highlight w:val="none"/>
        </w:rPr>
        <w:t>人）；</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（二）依法与安置的每位残疾人签订了一年以上（含一年）的劳动合同或服务协议；</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（三）为安置的每位残疾人按月足额缴纳了基本养老保险、基本医疗保险、失业保险、工伤保险和生育保险等社会保险费；</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（四）通过银行等金融机构向安置的每位残疾人，按月支付了不低于单位所在区县适用的经省级人民政府批准的月最低工资标准的工资；</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（五）提供本单位制造的货物、承担的工程或者服务（以下简称产品），或者提供其他残疾人福利性单位制造的货物（不包括使用非残疾人福利性单位注册商标的货物）。</w:t>
      </w:r>
    </w:p>
    <w:p>
      <w:pPr>
        <w:spacing w:line="380" w:lineRule="exact"/>
        <w:rPr>
          <w:rFonts w:ascii="宋体" w:hAnsi="宋体"/>
          <w:color w:val="auto"/>
          <w:szCs w:val="21"/>
          <w:highlight w:val="none"/>
        </w:rPr>
      </w:pPr>
      <w:r>
        <w:rPr>
          <w:rFonts w:hint="eastAsia" w:ascii="宋体" w:hAnsi="宋体"/>
          <w:b/>
          <w:color w:val="auto"/>
          <w:szCs w:val="21"/>
          <w:highlight w:val="none"/>
        </w:rPr>
        <w:t>前款所称残疾人是指法定劳动年龄内，持有《中华人民共和国残疾人证》或者《中华人民共和国残疾军人证（</w:t>
      </w:r>
      <w:r>
        <w:rPr>
          <w:rFonts w:ascii="宋体" w:hAnsi="宋体"/>
          <w:b/>
          <w:color w:val="auto"/>
          <w:szCs w:val="21"/>
          <w:highlight w:val="none"/>
        </w:rPr>
        <w:t>1</w:t>
      </w:r>
      <w:r>
        <w:rPr>
          <w:rFonts w:hint="eastAsia" w:ascii="宋体" w:hAnsi="宋体"/>
          <w:b/>
          <w:color w:val="auto"/>
          <w:szCs w:val="21"/>
          <w:highlight w:val="none"/>
        </w:rPr>
        <w:t>至</w:t>
      </w:r>
      <w:r>
        <w:rPr>
          <w:rFonts w:ascii="宋体" w:hAnsi="宋体"/>
          <w:b/>
          <w:color w:val="auto"/>
          <w:szCs w:val="21"/>
          <w:highlight w:val="none"/>
        </w:rPr>
        <w:t>8</w:t>
      </w:r>
      <w:r>
        <w:rPr>
          <w:rFonts w:hint="eastAsia" w:ascii="宋体" w:hAnsi="宋体"/>
          <w:b/>
          <w:color w:val="auto"/>
          <w:szCs w:val="21"/>
          <w:highlight w:val="none"/>
        </w:rPr>
        <w:t>级）》的自然人，包括具有劳动条件和劳动意愿的精神残疾人。在职职工人数是指与残疾人福利性单位建立劳动关系并依法签订劳动合同或者服务协议的雇员人数。</w:t>
      </w:r>
    </w:p>
    <w:p>
      <w:pPr>
        <w:rPr>
          <w:b/>
          <w:bCs/>
          <w:color w:val="auto"/>
          <w:sz w:val="30"/>
          <w:szCs w:val="30"/>
          <w:highlight w:val="none"/>
        </w:rPr>
        <w:sectPr>
          <w:headerReference r:id="rId15" w:type="default"/>
          <w:pgSz w:w="11907" w:h="16840"/>
          <w:pgMar w:top="1418" w:right="1701" w:bottom="1418" w:left="1701" w:header="720" w:footer="720" w:gutter="0"/>
          <w:cols w:space="720" w:num="1"/>
          <w:docGrid w:type="lines" w:linePitch="286" w:charSpace="0"/>
        </w:sectPr>
      </w:pPr>
    </w:p>
    <w:p>
      <w:pPr>
        <w:jc w:val="center"/>
        <w:rPr>
          <w:rFonts w:ascii="宋体" w:hAnsi="宋体" w:cs="宋体"/>
          <w:b/>
          <w:bCs/>
          <w:color w:val="auto"/>
          <w:sz w:val="28"/>
          <w:szCs w:val="28"/>
          <w:highlight w:val="none"/>
        </w:rPr>
      </w:pPr>
      <w:r>
        <w:rPr>
          <w:rFonts w:hint="eastAsia" w:ascii="宋体" w:hAnsi="宋体"/>
          <w:b/>
          <w:color w:val="auto"/>
          <w:sz w:val="28"/>
          <w:szCs w:val="28"/>
          <w:highlight w:val="none"/>
        </w:rPr>
        <w:t>（五）监狱企业声明函（如有需提供）</w:t>
      </w:r>
    </w:p>
    <w:p>
      <w:pPr>
        <w:spacing w:line="360" w:lineRule="auto"/>
        <w:ind w:firstLine="525" w:firstLineChars="250"/>
        <w:rPr>
          <w:rFonts w:ascii="宋体" w:hAnsi="宋体" w:cs="宋体"/>
          <w:color w:val="auto"/>
          <w:szCs w:val="21"/>
          <w:highlight w:val="none"/>
        </w:rPr>
      </w:pP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根据上述标准，我企业属于监狱企业的理由为：。</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本企业为参加（项目名称： ）（项目编号： ）（标项号：   ）采购活动提供本企业的产品。</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本企业对上述声明的真实性负责。如有虚假，将依法承担相应责任。</w:t>
      </w:r>
    </w:p>
    <w:p>
      <w:pPr>
        <w:spacing w:line="360" w:lineRule="auto"/>
        <w:ind w:firstLine="480"/>
        <w:rPr>
          <w:rFonts w:ascii="宋体" w:hAnsi="宋体" w:cs="宋体"/>
          <w:color w:val="auto"/>
          <w:szCs w:val="21"/>
          <w:highlight w:val="none"/>
        </w:rPr>
      </w:pPr>
    </w:p>
    <w:p>
      <w:pPr>
        <w:spacing w:line="360" w:lineRule="auto"/>
        <w:ind w:firstLine="480"/>
        <w:rPr>
          <w:rFonts w:ascii="宋体" w:hAnsi="宋体" w:cs="宋体"/>
          <w:color w:val="auto"/>
          <w:szCs w:val="21"/>
          <w:highlight w:val="none"/>
        </w:rPr>
      </w:pPr>
      <w:r>
        <w:rPr>
          <w:rFonts w:hint="eastAsia" w:ascii="宋体" w:hAnsi="宋体"/>
          <w:color w:val="auto"/>
          <w:szCs w:val="21"/>
          <w:highlight w:val="none"/>
        </w:rPr>
        <w:t>投标单位名称（盖章）</w:t>
      </w:r>
      <w:r>
        <w:rPr>
          <w:rFonts w:hint="eastAsia" w:ascii="宋体" w:hAnsi="宋体" w:cs="宋体"/>
          <w:color w:val="auto"/>
          <w:szCs w:val="21"/>
          <w:highlight w:val="none"/>
        </w:rPr>
        <w:t>：</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ind w:firstLine="480"/>
        <w:rPr>
          <w:rFonts w:ascii="宋体" w:hAnsi="宋体" w:cs="宋体"/>
          <w:color w:val="auto"/>
          <w:szCs w:val="21"/>
          <w:highlight w:val="none"/>
        </w:rPr>
      </w:pPr>
    </w:p>
    <w:p>
      <w:pPr>
        <w:spacing w:line="360" w:lineRule="auto"/>
        <w:ind w:firstLine="480"/>
        <w:rPr>
          <w:rFonts w:ascii="宋体" w:hAnsi="宋体" w:cs="宋体"/>
          <w:color w:val="auto"/>
          <w:szCs w:val="21"/>
          <w:highlight w:val="none"/>
        </w:rPr>
      </w:pP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供应商为监狱企业的提供此函。</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局、戒毒管理局（含新疆生产建设兵团）出具的属于监狱企业的证明文件。</w:t>
      </w:r>
    </w:p>
    <w:p>
      <w:pPr>
        <w:spacing w:line="360" w:lineRule="auto"/>
        <w:ind w:firstLine="480"/>
        <w:rPr>
          <w:color w:val="auto"/>
          <w:highlight w:val="none"/>
        </w:rPr>
      </w:pPr>
      <w:r>
        <w:rPr>
          <w:rFonts w:hint="eastAsia" w:ascii="宋体" w:hAnsi="宋体" w:cs="宋体"/>
          <w:color w:val="auto"/>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rPr>
          <w:rFonts w:hint="eastAsia"/>
          <w:color w:val="auto"/>
          <w:highlight w:val="none"/>
        </w:rPr>
      </w:pPr>
    </w:p>
    <w:sectPr>
      <w:headerReference r:id="rId16" w:type="default"/>
      <w:footerReference r:id="rId17" w:type="default"/>
      <w:pgSz w:w="11907" w:h="16840"/>
      <w:pgMar w:top="1418" w:right="1701" w:bottom="1418" w:left="1701"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6</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335</w:t>
    </w:r>
    <w:r>
      <w:rPr>
        <w:lang w:val="zh-CN"/>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335</w:t>
    </w:r>
    <w:r>
      <w:rPr>
        <w:lang w:val="zh-CN"/>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政府采购公开招标采购文件附件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E6FF5"/>
    <w:multiLevelType w:val="singleLevel"/>
    <w:tmpl w:val="A82E6FF5"/>
    <w:lvl w:ilvl="0" w:tentative="0">
      <w:start w:val="4"/>
      <w:numFmt w:val="decimal"/>
      <w:lvlText w:val="(%1)"/>
      <w:lvlJc w:val="left"/>
      <w:pPr>
        <w:tabs>
          <w:tab w:val="left" w:pos="312"/>
        </w:tabs>
      </w:pPr>
    </w:lvl>
  </w:abstractNum>
  <w:abstractNum w:abstractNumId="1">
    <w:nsid w:val="BB939F06"/>
    <w:multiLevelType w:val="singleLevel"/>
    <w:tmpl w:val="BB939F06"/>
    <w:lvl w:ilvl="0" w:tentative="0">
      <w:start w:val="1"/>
      <w:numFmt w:val="chineseCounting"/>
      <w:suff w:val="nothing"/>
      <w:lvlText w:val="%1、"/>
      <w:lvlJc w:val="left"/>
      <w:rPr>
        <w:rFonts w:hint="eastAsia"/>
      </w:rPr>
    </w:lvl>
  </w:abstractNum>
  <w:abstractNum w:abstractNumId="2">
    <w:nsid w:val="D0129411"/>
    <w:multiLevelType w:val="singleLevel"/>
    <w:tmpl w:val="D0129411"/>
    <w:lvl w:ilvl="0" w:tentative="0">
      <w:start w:val="2"/>
      <w:numFmt w:val="decimal"/>
      <w:suff w:val="nothing"/>
      <w:lvlText w:val="%1、"/>
      <w:lvlJc w:val="left"/>
    </w:lvl>
  </w:abstractNum>
  <w:abstractNum w:abstractNumId="3">
    <w:nsid w:val="EAE052B4"/>
    <w:multiLevelType w:val="singleLevel"/>
    <w:tmpl w:val="EAE052B4"/>
    <w:lvl w:ilvl="0" w:tentative="0">
      <w:start w:val="4"/>
      <w:numFmt w:val="decimal"/>
      <w:lvlText w:val="(%1)"/>
      <w:lvlJc w:val="left"/>
      <w:pPr>
        <w:tabs>
          <w:tab w:val="left" w:pos="312"/>
        </w:tabs>
      </w:pPr>
    </w:lvl>
  </w:abstractNum>
  <w:abstractNum w:abstractNumId="4">
    <w:nsid w:val="0ED47B7B"/>
    <w:multiLevelType w:val="multilevel"/>
    <w:tmpl w:val="0ED47B7B"/>
    <w:lvl w:ilvl="0" w:tentative="0">
      <w:start w:val="1"/>
      <w:numFmt w:val="decimal"/>
      <w:suff w:val="space"/>
      <w:lvlText w:val="%1."/>
      <w:lvlJc w:val="left"/>
      <w:pPr>
        <w:ind w:left="5535" w:hanging="432"/>
      </w:pPr>
      <w:rPr>
        <w:rFonts w:hint="eastAsia"/>
      </w:rPr>
    </w:lvl>
    <w:lvl w:ilvl="1" w:tentative="0">
      <w:start w:val="1"/>
      <w:numFmt w:val="decimal"/>
      <w:pStyle w:val="55"/>
      <w:suff w:val="space"/>
      <w:lvlText w:val="%1.%2."/>
      <w:lvlJc w:val="left"/>
      <w:pPr>
        <w:ind w:left="576" w:hanging="576"/>
      </w:pPr>
      <w:rPr>
        <w:rFonts w:hint="eastAsia"/>
      </w:rPr>
    </w:lvl>
    <w:lvl w:ilvl="2" w:tentative="0">
      <w:start w:val="1"/>
      <w:numFmt w:val="decimal"/>
      <w:pStyle w:val="54"/>
      <w:suff w:val="space"/>
      <w:lvlText w:val="%1.%2.%3."/>
      <w:lvlJc w:val="left"/>
      <w:pPr>
        <w:ind w:left="720" w:hanging="720"/>
      </w:pPr>
      <w:rPr>
        <w:rFonts w:hint="eastAsia"/>
      </w:rPr>
    </w:lvl>
    <w:lvl w:ilvl="3" w:tentative="0">
      <w:start w:val="1"/>
      <w:numFmt w:val="decimal"/>
      <w:pStyle w:val="98"/>
      <w:suff w:val="space"/>
      <w:lvlText w:val="%1.%2.%3.%4."/>
      <w:lvlJc w:val="left"/>
      <w:pPr>
        <w:ind w:left="864" w:hanging="864"/>
      </w:pPr>
      <w:rPr>
        <w:rFonts w:hint="eastAsia"/>
      </w:rPr>
    </w:lvl>
    <w:lvl w:ilvl="4" w:tentative="0">
      <w:start w:val="1"/>
      <w:numFmt w:val="decimal"/>
      <w:pStyle w:val="74"/>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5">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1559"/>
        </w:tabs>
        <w:ind w:left="1559" w:hanging="567"/>
      </w:pPr>
      <w:rPr>
        <w:rFonts w:hint="eastAsia"/>
      </w:rPr>
    </w:lvl>
    <w:lvl w:ilvl="2" w:tentative="0">
      <w:start w:val="1"/>
      <w:numFmt w:val="decimal"/>
      <w:pStyle w:val="97"/>
      <w:isLgl/>
      <w:lvlText w:val="%1.%2.%3."/>
      <w:lvlJc w:val="left"/>
      <w:pPr>
        <w:tabs>
          <w:tab w:val="left" w:pos="1276"/>
        </w:tabs>
        <w:ind w:left="1276" w:hanging="709"/>
      </w:pPr>
      <w:rPr>
        <w:rFonts w:hint="default" w:ascii="Times New Roman" w:hAnsi="Times New Roman" w:cs="Times New Roman"/>
      </w:rPr>
    </w:lvl>
    <w:lvl w:ilvl="3" w:tentative="0">
      <w:start w:val="1"/>
      <w:numFmt w:val="decimal"/>
      <w:isLgl/>
      <w:lvlText w:val="%1.%2.%3.%4."/>
      <w:lvlJc w:val="left"/>
      <w:pPr>
        <w:tabs>
          <w:tab w:val="left" w:pos="1560"/>
        </w:tabs>
        <w:ind w:left="1560" w:hanging="851"/>
      </w:pPr>
      <w:rPr>
        <w:rFonts w:hint="eastAsia"/>
      </w:rPr>
    </w:lvl>
    <w:lvl w:ilvl="4" w:tentative="0">
      <w:start w:val="1"/>
      <w:numFmt w:val="decimal"/>
      <w:pStyle w:val="8"/>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6">
    <w:nsid w:val="208A7ABE"/>
    <w:multiLevelType w:val="multilevel"/>
    <w:tmpl w:val="208A7ABE"/>
    <w:lvl w:ilvl="0" w:tentative="0">
      <w:start w:val="1"/>
      <w:numFmt w:val="decimal"/>
      <w:pStyle w:val="60"/>
      <w:suff w:val="space"/>
      <w:lvlText w:val="表%1"/>
      <w:lvlJc w:val="left"/>
      <w:pPr>
        <w:ind w:left="424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4D774CB"/>
    <w:multiLevelType w:val="multilevel"/>
    <w:tmpl w:val="24D774CB"/>
    <w:lvl w:ilvl="0" w:tentative="0">
      <w:start w:val="1"/>
      <w:numFmt w:val="decimal"/>
      <w:lvlText w:val="第%1章."/>
      <w:lvlJc w:val="left"/>
      <w:pPr>
        <w:tabs>
          <w:tab w:val="left" w:pos="425"/>
        </w:tabs>
        <w:ind w:left="425" w:hanging="425"/>
      </w:pPr>
      <w:rPr>
        <w:rFonts w:hint="eastAsia" w:cs="Times New Roman"/>
      </w:rPr>
    </w:lvl>
    <w:lvl w:ilvl="1" w:tentative="0">
      <w:start w:val="1"/>
      <w:numFmt w:val="decimal"/>
      <w:lvlText w:val="%1.%2."/>
      <w:lvlJc w:val="left"/>
      <w:pPr>
        <w:tabs>
          <w:tab w:val="left" w:pos="567"/>
        </w:tabs>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2CA81660"/>
    <w:multiLevelType w:val="singleLevel"/>
    <w:tmpl w:val="2CA81660"/>
    <w:lvl w:ilvl="0" w:tentative="0">
      <w:start w:val="3"/>
      <w:numFmt w:val="chineseCounting"/>
      <w:suff w:val="nothing"/>
      <w:lvlText w:val="（%1）"/>
      <w:lvlJc w:val="left"/>
      <w:rPr>
        <w:rFonts w:hint="eastAsia"/>
      </w:rPr>
    </w:lvl>
  </w:abstractNum>
  <w:abstractNum w:abstractNumId="9">
    <w:nsid w:val="3B363D98"/>
    <w:multiLevelType w:val="multilevel"/>
    <w:tmpl w:val="3B363D98"/>
    <w:lvl w:ilvl="0" w:tentative="0">
      <w:start w:val="1"/>
      <w:numFmt w:val="decimal"/>
      <w:pStyle w:val="14"/>
      <w:suff w:val="space"/>
      <w:lvlText w:val="图%1"/>
      <w:lvlJc w:val="left"/>
      <w:pPr>
        <w:ind w:left="2263"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0">
    <w:nsid w:val="4784294C"/>
    <w:multiLevelType w:val="singleLevel"/>
    <w:tmpl w:val="4784294C"/>
    <w:lvl w:ilvl="0" w:tentative="0">
      <w:start w:val="6"/>
      <w:numFmt w:val="chineseCounting"/>
      <w:suff w:val="nothing"/>
      <w:lvlText w:val="%1、"/>
      <w:lvlJc w:val="left"/>
      <w:rPr>
        <w:rFonts w:hint="eastAsia"/>
      </w:rPr>
    </w:lvl>
  </w:abstractNum>
  <w:abstractNum w:abstractNumId="11">
    <w:nsid w:val="4CA75A52"/>
    <w:multiLevelType w:val="multilevel"/>
    <w:tmpl w:val="4CA75A52"/>
    <w:lvl w:ilvl="0" w:tentative="0">
      <w:start w:val="1"/>
      <w:numFmt w:val="decimal"/>
      <w:pStyle w:val="47"/>
      <w:suff w:val="nothing"/>
      <w:lvlText w:val="（%1）"/>
      <w:lvlJc w:val="left"/>
      <w:pPr>
        <w:ind w:left="42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num w:numId="1">
    <w:abstractNumId w:val="5"/>
  </w:num>
  <w:num w:numId="2">
    <w:abstractNumId w:val="9"/>
  </w:num>
  <w:num w:numId="3">
    <w:abstractNumId w:val="11"/>
  </w:num>
  <w:num w:numId="4">
    <w:abstractNumId w:val="4"/>
  </w:num>
  <w:num w:numId="5">
    <w:abstractNumId w:val="6"/>
  </w:num>
  <w:num w:numId="6">
    <w:abstractNumId w:val="7"/>
    <w:lvlOverride w:ilvl="0">
      <w:lvl w:ilvl="0" w:tentative="1">
        <w:start w:val="1"/>
        <w:numFmt w:val="decimal"/>
        <w:pStyle w:val="95"/>
        <w:lvlText w:val="第%1章."/>
        <w:lvlJc w:val="left"/>
        <w:pPr>
          <w:tabs>
            <w:tab w:val="left" w:pos="425"/>
          </w:tabs>
          <w:ind w:left="425" w:hanging="425"/>
        </w:pPr>
        <w:rPr>
          <w:rFonts w:hint="eastAsia"/>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3."/>
        <w:lvlJc w:val="left"/>
        <w:pPr>
          <w:tabs>
            <w:tab w:val="left" w:pos="709"/>
          </w:tabs>
          <w:ind w:left="709" w:hanging="709"/>
        </w:pPr>
        <w:rPr>
          <w:rFonts w:hint="eastAsia"/>
        </w:rPr>
      </w:lvl>
    </w:lvlOverride>
    <w:lvlOverride w:ilvl="3">
      <w:lvl w:ilvl="3" w:tentative="1">
        <w:start w:val="1"/>
        <w:numFmt w:val="decimal"/>
        <w:pStyle w:val="109"/>
        <w:lvlText w:val="%1.%3.%4."/>
        <w:lvlJc w:val="left"/>
        <w:pPr>
          <w:tabs>
            <w:tab w:val="left" w:pos="851"/>
          </w:tabs>
          <w:ind w:left="851" w:hanging="851"/>
        </w:pPr>
        <w:rPr>
          <w:rFonts w:hint="eastAsia"/>
        </w:rPr>
      </w:lvl>
    </w:lvlOverride>
    <w:lvlOverride w:ilvl="4">
      <w:lvl w:ilvl="4" w:tentative="1">
        <w:start w:val="1"/>
        <w:numFmt w:val="decimal"/>
        <w:lvlText w:val="%1.%2.%3.%5.%4"/>
        <w:lvlJc w:val="left"/>
        <w:pPr>
          <w:tabs>
            <w:tab w:val="left" w:pos="992"/>
          </w:tabs>
          <w:ind w:left="992" w:hanging="992"/>
        </w:pPr>
        <w:rPr>
          <w:rFonts w:hint="eastAsia"/>
          <w:b/>
        </w:rPr>
      </w:lvl>
    </w:lvlOverride>
    <w:lvlOverride w:ilvl="5">
      <w:lvl w:ilvl="5" w:tentative="1">
        <w:start w:val="1"/>
        <w:numFmt w:val="decimal"/>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7">
    <w:abstractNumId w:val="10"/>
  </w:num>
  <w:num w:numId="8">
    <w:abstractNumId w:val="0"/>
  </w:num>
  <w:num w:numId="9">
    <w:abstractNumId w:val="1"/>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2781D"/>
    <w:rsid w:val="00023E13"/>
    <w:rsid w:val="000505E5"/>
    <w:rsid w:val="00056AFF"/>
    <w:rsid w:val="00097BC4"/>
    <w:rsid w:val="000A2EFF"/>
    <w:rsid w:val="000A3A9B"/>
    <w:rsid w:val="000B16EE"/>
    <w:rsid w:val="000E4A9A"/>
    <w:rsid w:val="000E79C4"/>
    <w:rsid w:val="00104A8A"/>
    <w:rsid w:val="00113E5D"/>
    <w:rsid w:val="00146A09"/>
    <w:rsid w:val="001550CE"/>
    <w:rsid w:val="001835A5"/>
    <w:rsid w:val="001A3E02"/>
    <w:rsid w:val="001A6CE3"/>
    <w:rsid w:val="001D2412"/>
    <w:rsid w:val="001F22E3"/>
    <w:rsid w:val="00234670"/>
    <w:rsid w:val="00242A30"/>
    <w:rsid w:val="00246F2C"/>
    <w:rsid w:val="00260FC8"/>
    <w:rsid w:val="002A20E9"/>
    <w:rsid w:val="002B245B"/>
    <w:rsid w:val="002B4802"/>
    <w:rsid w:val="002D4FD9"/>
    <w:rsid w:val="00306EDA"/>
    <w:rsid w:val="00310DA5"/>
    <w:rsid w:val="00337BF7"/>
    <w:rsid w:val="0034508C"/>
    <w:rsid w:val="00345648"/>
    <w:rsid w:val="00384D20"/>
    <w:rsid w:val="003868F8"/>
    <w:rsid w:val="003A276F"/>
    <w:rsid w:val="003E3F90"/>
    <w:rsid w:val="003E4819"/>
    <w:rsid w:val="00413981"/>
    <w:rsid w:val="00423729"/>
    <w:rsid w:val="00431720"/>
    <w:rsid w:val="00446235"/>
    <w:rsid w:val="004E30B8"/>
    <w:rsid w:val="00503B96"/>
    <w:rsid w:val="005427F4"/>
    <w:rsid w:val="005B030C"/>
    <w:rsid w:val="005D1E88"/>
    <w:rsid w:val="005D6F2C"/>
    <w:rsid w:val="00602894"/>
    <w:rsid w:val="00611D11"/>
    <w:rsid w:val="00616C54"/>
    <w:rsid w:val="00636528"/>
    <w:rsid w:val="00652009"/>
    <w:rsid w:val="00655C41"/>
    <w:rsid w:val="006B6425"/>
    <w:rsid w:val="006F334B"/>
    <w:rsid w:val="0072295A"/>
    <w:rsid w:val="00796585"/>
    <w:rsid w:val="007965AC"/>
    <w:rsid w:val="007A2DAB"/>
    <w:rsid w:val="007B3AFA"/>
    <w:rsid w:val="007B66F3"/>
    <w:rsid w:val="00831A33"/>
    <w:rsid w:val="00835556"/>
    <w:rsid w:val="008401D8"/>
    <w:rsid w:val="00843788"/>
    <w:rsid w:val="00865842"/>
    <w:rsid w:val="0088062D"/>
    <w:rsid w:val="008839D9"/>
    <w:rsid w:val="008D6939"/>
    <w:rsid w:val="008F6850"/>
    <w:rsid w:val="009605BF"/>
    <w:rsid w:val="0097554F"/>
    <w:rsid w:val="0097685B"/>
    <w:rsid w:val="009A38CE"/>
    <w:rsid w:val="00A20598"/>
    <w:rsid w:val="00A27C67"/>
    <w:rsid w:val="00A43431"/>
    <w:rsid w:val="00A53248"/>
    <w:rsid w:val="00A55B00"/>
    <w:rsid w:val="00A929D7"/>
    <w:rsid w:val="00AB76A7"/>
    <w:rsid w:val="00AC5CC5"/>
    <w:rsid w:val="00B12E99"/>
    <w:rsid w:val="00B179F1"/>
    <w:rsid w:val="00B6649A"/>
    <w:rsid w:val="00BD458A"/>
    <w:rsid w:val="00C30A80"/>
    <w:rsid w:val="00C409E3"/>
    <w:rsid w:val="00C52A0C"/>
    <w:rsid w:val="00C52AFC"/>
    <w:rsid w:val="00C57A93"/>
    <w:rsid w:val="00C67B0E"/>
    <w:rsid w:val="00CA0CE1"/>
    <w:rsid w:val="00CA6D55"/>
    <w:rsid w:val="00CB476B"/>
    <w:rsid w:val="00CD4E99"/>
    <w:rsid w:val="00D17ED6"/>
    <w:rsid w:val="00D33C05"/>
    <w:rsid w:val="00DB2BAA"/>
    <w:rsid w:val="00DE0CAD"/>
    <w:rsid w:val="00DF17DD"/>
    <w:rsid w:val="00E5373E"/>
    <w:rsid w:val="00E64B37"/>
    <w:rsid w:val="00E729BF"/>
    <w:rsid w:val="00EB6C72"/>
    <w:rsid w:val="00EC16CA"/>
    <w:rsid w:val="00EE6082"/>
    <w:rsid w:val="00EF1D90"/>
    <w:rsid w:val="00F150B6"/>
    <w:rsid w:val="00F16A16"/>
    <w:rsid w:val="00F2413C"/>
    <w:rsid w:val="00F31D33"/>
    <w:rsid w:val="00F91A47"/>
    <w:rsid w:val="00FE7D3D"/>
    <w:rsid w:val="01B873BF"/>
    <w:rsid w:val="02D654F4"/>
    <w:rsid w:val="033E0271"/>
    <w:rsid w:val="034869D1"/>
    <w:rsid w:val="03581529"/>
    <w:rsid w:val="05110F39"/>
    <w:rsid w:val="06660245"/>
    <w:rsid w:val="091D4B80"/>
    <w:rsid w:val="093F5A96"/>
    <w:rsid w:val="094D53AB"/>
    <w:rsid w:val="0AA2002C"/>
    <w:rsid w:val="0ACF29F2"/>
    <w:rsid w:val="0B7E3A8C"/>
    <w:rsid w:val="0C8B7454"/>
    <w:rsid w:val="0D293667"/>
    <w:rsid w:val="0D6D3352"/>
    <w:rsid w:val="0EEB27FE"/>
    <w:rsid w:val="0FE57510"/>
    <w:rsid w:val="114E4552"/>
    <w:rsid w:val="11C55A77"/>
    <w:rsid w:val="122B7C28"/>
    <w:rsid w:val="1505613C"/>
    <w:rsid w:val="17DC3E4C"/>
    <w:rsid w:val="18586BBF"/>
    <w:rsid w:val="18AD2306"/>
    <w:rsid w:val="198E7910"/>
    <w:rsid w:val="199918DB"/>
    <w:rsid w:val="1A145F89"/>
    <w:rsid w:val="1ACF2CB9"/>
    <w:rsid w:val="1C2426B7"/>
    <w:rsid w:val="1D3D30B7"/>
    <w:rsid w:val="1D4D28E4"/>
    <w:rsid w:val="1DCA6501"/>
    <w:rsid w:val="2117359D"/>
    <w:rsid w:val="21A36859"/>
    <w:rsid w:val="23DD6CAC"/>
    <w:rsid w:val="24700B73"/>
    <w:rsid w:val="2514566C"/>
    <w:rsid w:val="26045380"/>
    <w:rsid w:val="26FA0767"/>
    <w:rsid w:val="28033A96"/>
    <w:rsid w:val="2858552C"/>
    <w:rsid w:val="292B6D69"/>
    <w:rsid w:val="2A666378"/>
    <w:rsid w:val="2C151012"/>
    <w:rsid w:val="2C52495B"/>
    <w:rsid w:val="2C702D37"/>
    <w:rsid w:val="2F913C47"/>
    <w:rsid w:val="318E7B76"/>
    <w:rsid w:val="31E27DA0"/>
    <w:rsid w:val="332D6EBE"/>
    <w:rsid w:val="33BC576E"/>
    <w:rsid w:val="33EA758A"/>
    <w:rsid w:val="363D1A3E"/>
    <w:rsid w:val="37C111B6"/>
    <w:rsid w:val="390E1C58"/>
    <w:rsid w:val="39797350"/>
    <w:rsid w:val="39B8599D"/>
    <w:rsid w:val="3A0D2437"/>
    <w:rsid w:val="3CEC2C54"/>
    <w:rsid w:val="3D523832"/>
    <w:rsid w:val="3DC33AF2"/>
    <w:rsid w:val="3E4226E5"/>
    <w:rsid w:val="3FA453B2"/>
    <w:rsid w:val="40AD4102"/>
    <w:rsid w:val="43FF56E1"/>
    <w:rsid w:val="44BF35F2"/>
    <w:rsid w:val="44E619E4"/>
    <w:rsid w:val="45BC4C03"/>
    <w:rsid w:val="45FF14A1"/>
    <w:rsid w:val="471817A8"/>
    <w:rsid w:val="480D6E86"/>
    <w:rsid w:val="48E537AA"/>
    <w:rsid w:val="49BB71F3"/>
    <w:rsid w:val="49D030AE"/>
    <w:rsid w:val="4A3B2353"/>
    <w:rsid w:val="4AC72341"/>
    <w:rsid w:val="4ADE5E18"/>
    <w:rsid w:val="4BE1552B"/>
    <w:rsid w:val="4CF8318E"/>
    <w:rsid w:val="4D530856"/>
    <w:rsid w:val="4DAD5A77"/>
    <w:rsid w:val="4F5B5745"/>
    <w:rsid w:val="4F927396"/>
    <w:rsid w:val="50B769E4"/>
    <w:rsid w:val="54770976"/>
    <w:rsid w:val="553F523A"/>
    <w:rsid w:val="569B30FD"/>
    <w:rsid w:val="573D6905"/>
    <w:rsid w:val="577B4AB4"/>
    <w:rsid w:val="57813A01"/>
    <w:rsid w:val="58584A14"/>
    <w:rsid w:val="58782C8A"/>
    <w:rsid w:val="588923B4"/>
    <w:rsid w:val="5B0A5208"/>
    <w:rsid w:val="5CB5236B"/>
    <w:rsid w:val="5CBC4790"/>
    <w:rsid w:val="5CE241B5"/>
    <w:rsid w:val="5F23416B"/>
    <w:rsid w:val="5F3B708E"/>
    <w:rsid w:val="5FFB6C02"/>
    <w:rsid w:val="635F49D5"/>
    <w:rsid w:val="639D3B71"/>
    <w:rsid w:val="63E6501D"/>
    <w:rsid w:val="64101193"/>
    <w:rsid w:val="642C0AAF"/>
    <w:rsid w:val="657640F9"/>
    <w:rsid w:val="65F45FE0"/>
    <w:rsid w:val="67A844B9"/>
    <w:rsid w:val="6882781D"/>
    <w:rsid w:val="68EF5335"/>
    <w:rsid w:val="69170256"/>
    <w:rsid w:val="696C6F73"/>
    <w:rsid w:val="69E97820"/>
    <w:rsid w:val="6A65008F"/>
    <w:rsid w:val="6BB33C69"/>
    <w:rsid w:val="6C032DD6"/>
    <w:rsid w:val="6D7E2665"/>
    <w:rsid w:val="6D8C0E09"/>
    <w:rsid w:val="6E1D6DA6"/>
    <w:rsid w:val="6ECB432F"/>
    <w:rsid w:val="6EEC3264"/>
    <w:rsid w:val="6F4D44C6"/>
    <w:rsid w:val="70567BE5"/>
    <w:rsid w:val="71387A92"/>
    <w:rsid w:val="7189242B"/>
    <w:rsid w:val="71EF7AA5"/>
    <w:rsid w:val="72086ABA"/>
    <w:rsid w:val="73BA4C80"/>
    <w:rsid w:val="74912762"/>
    <w:rsid w:val="74B930B3"/>
    <w:rsid w:val="79F80838"/>
    <w:rsid w:val="7A94541A"/>
    <w:rsid w:val="7A9B3F06"/>
    <w:rsid w:val="7B8E1A48"/>
    <w:rsid w:val="7B957FCC"/>
    <w:rsid w:val="7BDE3B2D"/>
    <w:rsid w:val="7CA9532D"/>
    <w:rsid w:val="7D0C7383"/>
    <w:rsid w:val="7D2179BF"/>
    <w:rsid w:val="7D3E499F"/>
    <w:rsid w:val="7D4E62CC"/>
    <w:rsid w:val="7FDA6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20"/>
    <w:qFormat/>
    <w:uiPriority w:val="9"/>
    <w:pPr>
      <w:keepNext/>
      <w:keepLines/>
      <w:spacing w:beforeLines="100" w:afterLines="100" w:line="400" w:lineRule="exact"/>
      <w:jc w:val="center"/>
      <w:outlineLvl w:val="0"/>
    </w:pPr>
    <w:rPr>
      <w:b/>
      <w:bCs/>
      <w:kern w:val="44"/>
      <w:sz w:val="44"/>
      <w:szCs w:val="44"/>
    </w:rPr>
  </w:style>
  <w:style w:type="paragraph" w:styleId="5">
    <w:name w:val="heading 2"/>
    <w:basedOn w:val="1"/>
    <w:next w:val="1"/>
    <w:link w:val="121"/>
    <w:qFormat/>
    <w:uiPriority w:val="9"/>
    <w:pPr>
      <w:keepNext/>
      <w:jc w:val="center"/>
      <w:outlineLvl w:val="1"/>
    </w:pPr>
    <w:rPr>
      <w:rFonts w:ascii="Cambria" w:hAnsi="Cambria"/>
      <w:b/>
      <w:bCs/>
      <w:sz w:val="30"/>
      <w:szCs w:val="32"/>
    </w:rPr>
  </w:style>
  <w:style w:type="paragraph" w:styleId="6">
    <w:name w:val="heading 3"/>
    <w:basedOn w:val="1"/>
    <w:next w:val="1"/>
    <w:link w:val="122"/>
    <w:qFormat/>
    <w:uiPriority w:val="9"/>
    <w:pPr>
      <w:keepNext/>
      <w:tabs>
        <w:tab w:val="left" w:pos="720"/>
      </w:tabs>
      <w:spacing w:line="240" w:lineRule="atLeast"/>
      <w:ind w:left="720" w:hanging="720"/>
      <w:jc w:val="center"/>
      <w:outlineLvl w:val="2"/>
    </w:pPr>
    <w:rPr>
      <w:b/>
      <w:bCs/>
      <w:kern w:val="0"/>
      <w:sz w:val="32"/>
      <w:szCs w:val="32"/>
    </w:rPr>
  </w:style>
  <w:style w:type="paragraph" w:styleId="7">
    <w:name w:val="heading 4"/>
    <w:basedOn w:val="1"/>
    <w:next w:val="1"/>
    <w:link w:val="123"/>
    <w:qFormat/>
    <w:uiPriority w:val="0"/>
    <w:pPr>
      <w:keepNext/>
      <w:keepLines/>
      <w:spacing w:before="280" w:after="290" w:line="374" w:lineRule="auto"/>
      <w:outlineLvl w:val="3"/>
    </w:pPr>
    <w:rPr>
      <w:rFonts w:ascii="Cambria" w:hAnsi="Cambria"/>
      <w:b/>
      <w:bCs/>
      <w:kern w:val="0"/>
      <w:sz w:val="28"/>
      <w:szCs w:val="28"/>
    </w:rPr>
  </w:style>
  <w:style w:type="paragraph" w:styleId="8">
    <w:name w:val="heading 5"/>
    <w:basedOn w:val="1"/>
    <w:next w:val="1"/>
    <w:link w:val="124"/>
    <w:qFormat/>
    <w:uiPriority w:val="0"/>
    <w:pPr>
      <w:keepNext/>
      <w:keepLines/>
      <w:numPr>
        <w:ilvl w:val="4"/>
        <w:numId w:val="1"/>
      </w:numPr>
      <w:tabs>
        <w:tab w:val="left" w:pos="425"/>
        <w:tab w:val="left" w:pos="1418"/>
        <w:tab w:val="left" w:pos="1560"/>
      </w:tabs>
      <w:spacing w:before="280" w:after="290" w:line="376" w:lineRule="auto"/>
      <w:outlineLvl w:val="4"/>
    </w:pPr>
    <w:rPr>
      <w:b/>
      <w:bCs/>
      <w:szCs w:val="28"/>
    </w:rPr>
  </w:style>
  <w:style w:type="paragraph" w:styleId="9">
    <w:name w:val="heading 6"/>
    <w:basedOn w:val="1"/>
    <w:next w:val="1"/>
    <w:link w:val="125"/>
    <w:qFormat/>
    <w:uiPriority w:val="0"/>
    <w:pPr>
      <w:keepNext/>
      <w:keepLines/>
      <w:spacing w:line="360" w:lineRule="auto"/>
      <w:jc w:val="left"/>
      <w:outlineLvl w:val="5"/>
    </w:pPr>
    <w:rPr>
      <w:rFonts w:eastAsia="黑体" w:cs="Times New Roman"/>
      <w:bCs/>
      <w:sz w:val="24"/>
      <w:szCs w:val="21"/>
    </w:rPr>
  </w:style>
  <w:style w:type="paragraph" w:styleId="10">
    <w:name w:val="heading 7"/>
    <w:basedOn w:val="1"/>
    <w:next w:val="1"/>
    <w:link w:val="126"/>
    <w:qFormat/>
    <w:uiPriority w:val="0"/>
    <w:pPr>
      <w:keepNext/>
      <w:keepLines/>
      <w:spacing w:line="360" w:lineRule="auto"/>
      <w:jc w:val="left"/>
      <w:outlineLvl w:val="6"/>
    </w:pPr>
    <w:rPr>
      <w:rFonts w:cs="Times New Roman"/>
      <w:bCs/>
      <w:sz w:val="24"/>
      <w:szCs w:val="24"/>
      <w:lang w:eastAsia="en-US"/>
    </w:rPr>
  </w:style>
  <w:style w:type="paragraph" w:styleId="11">
    <w:name w:val="heading 8"/>
    <w:basedOn w:val="1"/>
    <w:next w:val="1"/>
    <w:link w:val="127"/>
    <w:qFormat/>
    <w:uiPriority w:val="0"/>
    <w:pPr>
      <w:keepNext/>
      <w:keepLines/>
      <w:spacing w:line="360" w:lineRule="auto"/>
      <w:jc w:val="left"/>
      <w:outlineLvl w:val="7"/>
    </w:pPr>
    <w:rPr>
      <w:sz w:val="24"/>
      <w:szCs w:val="24"/>
      <w:lang w:eastAsia="en-US"/>
    </w:rPr>
  </w:style>
  <w:style w:type="paragraph" w:styleId="12">
    <w:name w:val="heading 9"/>
    <w:basedOn w:val="1"/>
    <w:next w:val="1"/>
    <w:link w:val="128"/>
    <w:qFormat/>
    <w:uiPriority w:val="0"/>
    <w:pPr>
      <w:keepNext/>
      <w:keepLines/>
      <w:spacing w:line="360" w:lineRule="auto"/>
      <w:jc w:val="left"/>
      <w:outlineLvl w:val="8"/>
    </w:pPr>
    <w:rPr>
      <w:sz w:val="24"/>
      <w:szCs w:val="21"/>
      <w:lang w:eastAsia="en-US"/>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119"/>
    <w:qFormat/>
    <w:uiPriority w:val="0"/>
    <w:pPr>
      <w:widowControl/>
      <w:tabs>
        <w:tab w:val="left" w:pos="0"/>
        <w:tab w:val="left" w:pos="1260"/>
        <w:tab w:val="left" w:pos="1365"/>
      </w:tabs>
      <w:ind w:left="200" w:firstLine="200" w:firstLineChars="200"/>
      <w:jc w:val="left"/>
    </w:pPr>
  </w:style>
  <w:style w:type="paragraph" w:styleId="3">
    <w:name w:val="Body Text Indent"/>
    <w:basedOn w:val="1"/>
    <w:next w:val="1"/>
    <w:link w:val="118"/>
    <w:qFormat/>
    <w:uiPriority w:val="0"/>
    <w:pPr>
      <w:spacing w:line="380" w:lineRule="exact"/>
      <w:ind w:firstLine="480"/>
    </w:pPr>
    <w:rPr>
      <w:kern w:val="0"/>
      <w:sz w:val="20"/>
    </w:rPr>
  </w:style>
  <w:style w:type="paragraph" w:styleId="13">
    <w:name w:val="Normal Indent"/>
    <w:basedOn w:val="1"/>
    <w:link w:val="129"/>
    <w:qFormat/>
    <w:uiPriority w:val="99"/>
    <w:pPr>
      <w:widowControl/>
      <w:adjustRightInd w:val="0"/>
      <w:snapToGrid w:val="0"/>
      <w:spacing w:line="480" w:lineRule="exact"/>
      <w:ind w:firstLine="567"/>
    </w:pPr>
    <w:rPr>
      <w:rFonts w:ascii="宋体"/>
      <w:snapToGrid w:val="0"/>
      <w:color w:val="000000"/>
      <w:kern w:val="28"/>
      <w:sz w:val="28"/>
    </w:rPr>
  </w:style>
  <w:style w:type="paragraph" w:styleId="14">
    <w:name w:val="caption"/>
    <w:basedOn w:val="1"/>
    <w:next w:val="1"/>
    <w:link w:val="130"/>
    <w:qFormat/>
    <w:uiPriority w:val="35"/>
    <w:pPr>
      <w:numPr>
        <w:ilvl w:val="0"/>
        <w:numId w:val="2"/>
      </w:numPr>
      <w:spacing w:line="360" w:lineRule="auto"/>
      <w:ind w:left="0" w:firstLine="0"/>
      <w:jc w:val="center"/>
    </w:pPr>
    <w:rPr>
      <w:rFonts w:cs="Times New Roman"/>
      <w:szCs w:val="21"/>
    </w:rPr>
  </w:style>
  <w:style w:type="paragraph" w:styleId="15">
    <w:name w:val="Document Map"/>
    <w:basedOn w:val="1"/>
    <w:link w:val="131"/>
    <w:qFormat/>
    <w:uiPriority w:val="99"/>
    <w:pPr>
      <w:shd w:val="clear" w:color="auto" w:fill="000080"/>
    </w:pPr>
    <w:rPr>
      <w:kern w:val="0"/>
      <w:sz w:val="2"/>
    </w:rPr>
  </w:style>
  <w:style w:type="paragraph" w:styleId="16">
    <w:name w:val="annotation text"/>
    <w:basedOn w:val="1"/>
    <w:link w:val="132"/>
    <w:qFormat/>
    <w:uiPriority w:val="0"/>
    <w:pPr>
      <w:jc w:val="left"/>
    </w:pPr>
  </w:style>
  <w:style w:type="paragraph" w:styleId="17">
    <w:name w:val="Body Text"/>
    <w:basedOn w:val="1"/>
    <w:next w:val="18"/>
    <w:link w:val="133"/>
    <w:qFormat/>
    <w:uiPriority w:val="0"/>
    <w:rPr>
      <w:kern w:val="0"/>
      <w:sz w:val="20"/>
    </w:rPr>
  </w:style>
  <w:style w:type="paragraph" w:styleId="18">
    <w:name w:val="Body Text First Indent"/>
    <w:basedOn w:val="17"/>
    <w:link w:val="134"/>
    <w:unhideWhenUsed/>
    <w:qFormat/>
    <w:uiPriority w:val="99"/>
    <w:pPr>
      <w:spacing w:after="120"/>
      <w:ind w:firstLine="420" w:firstLineChars="100"/>
    </w:pPr>
    <w:rPr>
      <w:kern w:val="2"/>
      <w:sz w:val="21"/>
    </w:rPr>
  </w:style>
  <w:style w:type="paragraph" w:styleId="19">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20">
    <w:name w:val="toc 3"/>
    <w:basedOn w:val="1"/>
    <w:next w:val="1"/>
    <w:qFormat/>
    <w:uiPriority w:val="39"/>
    <w:pPr>
      <w:ind w:left="840" w:leftChars="400"/>
    </w:pPr>
  </w:style>
  <w:style w:type="paragraph" w:styleId="21">
    <w:name w:val="Plain Text"/>
    <w:basedOn w:val="1"/>
    <w:link w:val="135"/>
    <w:qFormat/>
    <w:uiPriority w:val="0"/>
    <w:rPr>
      <w:rFonts w:ascii="宋体" w:hAnsi="Courier New"/>
      <w:kern w:val="0"/>
      <w:szCs w:val="21"/>
    </w:rPr>
  </w:style>
  <w:style w:type="paragraph" w:styleId="22">
    <w:name w:val="Date"/>
    <w:basedOn w:val="1"/>
    <w:next w:val="1"/>
    <w:link w:val="136"/>
    <w:qFormat/>
    <w:uiPriority w:val="0"/>
    <w:rPr>
      <w:sz w:val="28"/>
    </w:rPr>
  </w:style>
  <w:style w:type="paragraph" w:styleId="23">
    <w:name w:val="Body Text Indent 2"/>
    <w:basedOn w:val="1"/>
    <w:link w:val="137"/>
    <w:qFormat/>
    <w:uiPriority w:val="0"/>
    <w:pPr>
      <w:tabs>
        <w:tab w:val="left" w:pos="240"/>
        <w:tab w:val="left" w:pos="480"/>
      </w:tabs>
      <w:ind w:left="630" w:leftChars="300"/>
    </w:pPr>
    <w:rPr>
      <w:kern w:val="0"/>
      <w:sz w:val="20"/>
    </w:rPr>
  </w:style>
  <w:style w:type="paragraph" w:styleId="24">
    <w:name w:val="Balloon Text"/>
    <w:basedOn w:val="1"/>
    <w:link w:val="138"/>
    <w:qFormat/>
    <w:uiPriority w:val="0"/>
    <w:rPr>
      <w:sz w:val="18"/>
      <w:szCs w:val="18"/>
    </w:rPr>
  </w:style>
  <w:style w:type="paragraph" w:styleId="25">
    <w:name w:val="footer"/>
    <w:basedOn w:val="1"/>
    <w:link w:val="139"/>
    <w:unhideWhenUsed/>
    <w:qFormat/>
    <w:uiPriority w:val="99"/>
    <w:pPr>
      <w:tabs>
        <w:tab w:val="center" w:pos="4153"/>
        <w:tab w:val="right" w:pos="8306"/>
      </w:tabs>
      <w:snapToGrid w:val="0"/>
      <w:jc w:val="left"/>
    </w:pPr>
    <w:rPr>
      <w:sz w:val="18"/>
      <w:szCs w:val="18"/>
    </w:rPr>
  </w:style>
  <w:style w:type="paragraph" w:styleId="26">
    <w:name w:val="header"/>
    <w:basedOn w:val="1"/>
    <w:link w:val="140"/>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rPr>
      <w:sz w:val="24"/>
    </w:rPr>
  </w:style>
  <w:style w:type="paragraph" w:styleId="28">
    <w:name w:val="Body Text Indent 3"/>
    <w:basedOn w:val="1"/>
    <w:link w:val="141"/>
    <w:qFormat/>
    <w:uiPriority w:val="0"/>
    <w:pPr>
      <w:spacing w:after="120"/>
      <w:ind w:left="420" w:leftChars="200"/>
    </w:pPr>
    <w:rPr>
      <w:sz w:val="16"/>
      <w:szCs w:val="16"/>
    </w:rPr>
  </w:style>
  <w:style w:type="paragraph" w:styleId="29">
    <w:name w:val="toc 2"/>
    <w:basedOn w:val="1"/>
    <w:next w:val="1"/>
    <w:qFormat/>
    <w:uiPriority w:val="39"/>
    <w:pPr>
      <w:ind w:left="420" w:leftChars="200"/>
    </w:pPr>
  </w:style>
  <w:style w:type="paragraph" w:styleId="30">
    <w:name w:val="Body Text 2"/>
    <w:basedOn w:val="1"/>
    <w:link w:val="142"/>
    <w:qFormat/>
    <w:uiPriority w:val="0"/>
    <w:pPr>
      <w:spacing w:after="120" w:line="480" w:lineRule="auto"/>
    </w:pPr>
    <w:rPr>
      <w:kern w:val="0"/>
      <w:sz w:val="20"/>
    </w:rPr>
  </w:style>
  <w:style w:type="paragraph" w:styleId="3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2">
    <w:name w:val="annotation subject"/>
    <w:basedOn w:val="16"/>
    <w:next w:val="16"/>
    <w:link w:val="143"/>
    <w:qFormat/>
    <w:uiPriority w:val="0"/>
    <w:rPr>
      <w:b/>
      <w:bCs/>
    </w:rPr>
  </w:style>
  <w:style w:type="table" w:styleId="34">
    <w:name w:val="Table Grid"/>
    <w:basedOn w:val="33"/>
    <w:qFormat/>
    <w:uiPriority w:val="0"/>
    <w:pPr>
      <w:widowControl w:val="0"/>
      <w:spacing w:before="50" w:beforeLines="50" w:after="50" w:afterLines="50"/>
      <w:jc w:val="both"/>
    </w:pPr>
    <w:rPr>
      <w:rFonts w:ascii="Arial" w:hAnsi="Arial"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qFormat/>
    <w:uiPriority w:val="0"/>
    <w:rPr>
      <w:rFonts w:cs="Times New Roman"/>
    </w:rPr>
  </w:style>
  <w:style w:type="character" w:styleId="38">
    <w:name w:val="FollowedHyperlink"/>
    <w:qFormat/>
    <w:uiPriority w:val="0"/>
    <w:rPr>
      <w:rFonts w:cs="Times New Roman"/>
      <w:color w:val="800080"/>
      <w:u w:val="single"/>
    </w:rPr>
  </w:style>
  <w:style w:type="character" w:styleId="39">
    <w:name w:val="HTML Typewriter"/>
    <w:qFormat/>
    <w:uiPriority w:val="99"/>
    <w:rPr>
      <w:rFonts w:ascii="Courier New" w:hAnsi="Courier New" w:cs="Courier New"/>
      <w:sz w:val="20"/>
      <w:szCs w:val="20"/>
    </w:rPr>
  </w:style>
  <w:style w:type="character" w:styleId="40">
    <w:name w:val="Hyperlink"/>
    <w:qFormat/>
    <w:uiPriority w:val="99"/>
    <w:rPr>
      <w:rFonts w:cs="Times New Roman"/>
      <w:color w:val="0000FF"/>
      <w:u w:val="single"/>
    </w:rPr>
  </w:style>
  <w:style w:type="character" w:styleId="41">
    <w:name w:val="annotation reference"/>
    <w:qFormat/>
    <w:uiPriority w:val="0"/>
    <w:rPr>
      <w:sz w:val="21"/>
      <w:szCs w:val="21"/>
    </w:rPr>
  </w:style>
  <w:style w:type="paragraph" w:customStyle="1" w:styleId="42">
    <w:name w:val="正文2"/>
    <w:basedOn w:val="1"/>
    <w:link w:val="149"/>
    <w:qFormat/>
    <w:uiPriority w:val="0"/>
    <w:pPr>
      <w:spacing w:before="156" w:line="360" w:lineRule="auto"/>
      <w:ind w:firstLine="510" w:firstLineChars="200"/>
    </w:pPr>
    <w:rPr>
      <w:rFonts w:ascii="Calibri" w:hAnsi="Calibri" w:cs="Times New Roman"/>
      <w:sz w:val="24"/>
      <w:szCs w:val="22"/>
    </w:rPr>
  </w:style>
  <w:style w:type="paragraph" w:customStyle="1" w:styleId="43">
    <w:name w:val="主体"/>
    <w:basedOn w:val="1"/>
    <w:link w:val="150"/>
    <w:qFormat/>
    <w:uiPriority w:val="99"/>
    <w:pPr>
      <w:spacing w:line="360" w:lineRule="auto"/>
      <w:ind w:firstLine="480" w:firstLineChars="200"/>
    </w:pPr>
    <w:rPr>
      <w:rFonts w:ascii="宋体" w:hAnsi="宋体"/>
      <w:kern w:val="58"/>
      <w:sz w:val="24"/>
      <w:szCs w:val="24"/>
    </w:rPr>
  </w:style>
  <w:style w:type="paragraph" w:customStyle="1" w:styleId="44">
    <w:name w:val="标题2"/>
    <w:basedOn w:val="1"/>
    <w:link w:val="151"/>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paragraph" w:customStyle="1" w:styleId="45">
    <w:name w:val="_正文段落"/>
    <w:basedOn w:val="1"/>
    <w:link w:val="152"/>
    <w:qFormat/>
    <w:uiPriority w:val="0"/>
    <w:pPr>
      <w:spacing w:line="360" w:lineRule="auto"/>
      <w:ind w:firstLine="200" w:firstLineChars="200"/>
    </w:pPr>
    <w:rPr>
      <w:rFonts w:ascii="仿宋_GB2312" w:hAnsi="Calibri" w:eastAsia="仿宋_GB2312" w:cs="Times New Roman"/>
      <w:sz w:val="28"/>
      <w:szCs w:val="24"/>
    </w:rPr>
  </w:style>
  <w:style w:type="paragraph" w:customStyle="1" w:styleId="46">
    <w:name w:val="表格正文"/>
    <w:basedOn w:val="1"/>
    <w:link w:val="153"/>
    <w:qFormat/>
    <w:uiPriority w:val="0"/>
    <w:pPr>
      <w:jc w:val="left"/>
    </w:pPr>
    <w:rPr>
      <w:rFonts w:cs="Times New Roman"/>
      <w:szCs w:val="21"/>
    </w:rPr>
  </w:style>
  <w:style w:type="paragraph" w:customStyle="1" w:styleId="47">
    <w:name w:val="正文（1）"/>
    <w:basedOn w:val="1"/>
    <w:link w:val="154"/>
    <w:qFormat/>
    <w:uiPriority w:val="0"/>
    <w:pPr>
      <w:numPr>
        <w:ilvl w:val="0"/>
        <w:numId w:val="3"/>
      </w:numPr>
      <w:spacing w:line="360" w:lineRule="auto"/>
    </w:pPr>
    <w:rPr>
      <w:rFonts w:cs="Times New Roman"/>
      <w:sz w:val="24"/>
      <w:szCs w:val="21"/>
    </w:rPr>
  </w:style>
  <w:style w:type="paragraph" w:customStyle="1" w:styleId="48">
    <w:name w:val="表格文字"/>
    <w:basedOn w:val="1"/>
    <w:link w:val="157"/>
    <w:qFormat/>
    <w:uiPriority w:val="99"/>
    <w:pPr>
      <w:jc w:val="left"/>
    </w:pPr>
    <w:rPr>
      <w:rFonts w:ascii="宋体" w:hAnsi="宋体"/>
      <w:bCs/>
      <w:spacing w:val="-4"/>
      <w:kern w:val="0"/>
      <w:sz w:val="32"/>
      <w:szCs w:val="32"/>
      <w:lang w:val="zh-CN"/>
    </w:rPr>
  </w:style>
  <w:style w:type="paragraph" w:customStyle="1" w:styleId="49">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styleId="51">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此正文"/>
    <w:basedOn w:val="1"/>
    <w:qFormat/>
    <w:uiPriority w:val="0"/>
    <w:pPr>
      <w:spacing w:line="360" w:lineRule="auto"/>
      <w:ind w:firstLine="200" w:firstLineChars="200"/>
    </w:pPr>
    <w:rPr>
      <w:sz w:val="24"/>
      <w:szCs w:val="24"/>
    </w:rPr>
  </w:style>
  <w:style w:type="paragraph" w:customStyle="1" w:styleId="54">
    <w:name w:val="fa标题3"/>
    <w:basedOn w:val="55"/>
    <w:next w:val="1"/>
    <w:qFormat/>
    <w:uiPriority w:val="0"/>
    <w:pPr>
      <w:numPr>
        <w:ilvl w:val="2"/>
      </w:numPr>
      <w:outlineLvl w:val="2"/>
    </w:pPr>
    <w:rPr>
      <w:sz w:val="28"/>
    </w:rPr>
  </w:style>
  <w:style w:type="paragraph" w:customStyle="1" w:styleId="55">
    <w:name w:val="fa标题2"/>
    <w:next w:val="1"/>
    <w:qFormat/>
    <w:uiPriority w:val="0"/>
    <w:pPr>
      <w:widowControl w:val="0"/>
      <w:numPr>
        <w:ilvl w:val="1"/>
        <w:numId w:val="4"/>
      </w:numPr>
      <w:spacing w:line="360" w:lineRule="auto"/>
      <w:outlineLvl w:val="1"/>
    </w:pPr>
    <w:rPr>
      <w:rFonts w:ascii="黑体" w:hAnsi="宋体" w:eastAsia="黑体" w:cs="Times New Roman"/>
      <w:b/>
      <w:color w:val="000000"/>
      <w:kern w:val="2"/>
      <w:sz w:val="30"/>
      <w:szCs w:val="30"/>
      <w:lang w:val="en-US" w:eastAsia="zh-CN" w:bidi="ar-SA"/>
    </w:rPr>
  </w:style>
  <w:style w:type="paragraph" w:customStyle="1" w:styleId="56">
    <w:name w:val="表格表头"/>
    <w:basedOn w:val="1"/>
    <w:qFormat/>
    <w:uiPriority w:val="0"/>
    <w:pPr>
      <w:jc w:val="center"/>
    </w:pPr>
    <w:rPr>
      <w:rFonts w:eastAsia="黑体" w:cs="Times New Roman"/>
      <w:sz w:val="24"/>
      <w:szCs w:val="21"/>
    </w:rPr>
  </w:style>
  <w:style w:type="paragraph" w:customStyle="1" w:styleId="57">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列出段落1"/>
    <w:basedOn w:val="1"/>
    <w:qFormat/>
    <w:uiPriority w:val="99"/>
    <w:pPr>
      <w:ind w:firstLine="420"/>
    </w:pPr>
    <w:rPr>
      <w:rFonts w:ascii="Times New Roman" w:hAnsi="Times New Roman" w:cs="Times New Roman"/>
      <w:szCs w:val="24"/>
    </w:rPr>
  </w:style>
  <w:style w:type="paragraph" w:customStyle="1" w:styleId="59">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表注"/>
    <w:basedOn w:val="1"/>
    <w:qFormat/>
    <w:uiPriority w:val="0"/>
    <w:pPr>
      <w:numPr>
        <w:ilvl w:val="0"/>
        <w:numId w:val="5"/>
      </w:numPr>
      <w:spacing w:line="360" w:lineRule="auto"/>
      <w:ind w:left="0" w:firstLine="0"/>
      <w:jc w:val="center"/>
    </w:pPr>
    <w:rPr>
      <w:rFonts w:cs="Times New Roman"/>
      <w:szCs w:val="21"/>
    </w:rPr>
  </w:style>
  <w:style w:type="paragraph" w:customStyle="1" w:styleId="61">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修订1"/>
    <w:unhideWhenUsed/>
    <w:qFormat/>
    <w:uiPriority w:val="99"/>
    <w:rPr>
      <w:rFonts w:ascii="Times New Roman" w:hAnsi="Times New Roman" w:eastAsia="宋体" w:cs="Times New Roman"/>
      <w:kern w:val="2"/>
      <w:sz w:val="21"/>
      <w:lang w:val="en-US" w:eastAsia="zh-CN" w:bidi="ar-SA"/>
    </w:rPr>
  </w:style>
  <w:style w:type="paragraph" w:customStyle="1" w:styleId="66">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标书正文"/>
    <w:basedOn w:val="1"/>
    <w:qFormat/>
    <w:uiPriority w:val="99"/>
    <w:pPr>
      <w:ind w:firstLine="480" w:firstLineChars="200"/>
    </w:pPr>
  </w:style>
  <w:style w:type="paragraph" w:customStyle="1" w:styleId="69">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表格文字2"/>
    <w:basedOn w:val="48"/>
    <w:qFormat/>
    <w:uiPriority w:val="99"/>
    <w:pPr>
      <w:jc w:val="both"/>
    </w:pPr>
  </w:style>
  <w:style w:type="paragraph" w:customStyle="1" w:styleId="71">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修订2"/>
    <w:unhideWhenUsed/>
    <w:qFormat/>
    <w:uiPriority w:val="99"/>
    <w:rPr>
      <w:rFonts w:ascii="Times New Roman" w:hAnsi="Times New Roman" w:eastAsia="宋体" w:cs="Times New Roman"/>
      <w:kern w:val="2"/>
      <w:sz w:val="21"/>
      <w:lang w:val="en-US" w:eastAsia="zh-CN" w:bidi="ar-SA"/>
    </w:rPr>
  </w:style>
  <w:style w:type="paragraph" w:customStyle="1" w:styleId="73">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fa标题5"/>
    <w:basedOn w:val="1"/>
    <w:next w:val="1"/>
    <w:qFormat/>
    <w:uiPriority w:val="0"/>
    <w:pPr>
      <w:numPr>
        <w:ilvl w:val="4"/>
        <w:numId w:val="4"/>
      </w:numPr>
      <w:ind w:firstLine="0" w:firstLineChars="0"/>
      <w:jc w:val="left"/>
      <w:outlineLvl w:val="4"/>
    </w:pPr>
    <w:rPr>
      <w:rFonts w:hAnsi="黑体" w:cs="宋体"/>
      <w:b/>
      <w:szCs w:val="28"/>
    </w:rPr>
  </w:style>
  <w:style w:type="paragraph" w:customStyle="1" w:styleId="75">
    <w:name w:val="Char Char Char Char Char Char"/>
    <w:basedOn w:val="1"/>
    <w:qFormat/>
    <w:uiPriority w:val="0"/>
    <w:pPr>
      <w:ind w:firstLine="200" w:firstLineChars="200"/>
    </w:pPr>
    <w:rPr>
      <w:rFonts w:ascii="Tahoma" w:hAnsi="Tahoma"/>
      <w:sz w:val="24"/>
    </w:rPr>
  </w:style>
  <w:style w:type="paragraph" w:customStyle="1" w:styleId="76">
    <w:name w:val="Char2"/>
    <w:basedOn w:val="1"/>
    <w:qFormat/>
    <w:uiPriority w:val="0"/>
    <w:pPr>
      <w:tabs>
        <w:tab w:val="left" w:pos="720"/>
      </w:tabs>
      <w:ind w:left="720" w:hanging="360"/>
    </w:pPr>
    <w:rPr>
      <w:sz w:val="24"/>
      <w:szCs w:val="24"/>
    </w:rPr>
  </w:style>
  <w:style w:type="paragraph" w:customStyle="1" w:styleId="77">
    <w:name w:val="**正文"/>
    <w:basedOn w:val="1"/>
    <w:qFormat/>
    <w:uiPriority w:val="0"/>
    <w:pPr>
      <w:ind w:firstLine="482" w:firstLineChars="0"/>
    </w:pPr>
    <w:rPr>
      <w:rFonts w:hAnsi="宋体" w:eastAsia="宋体"/>
      <w:szCs w:val="24"/>
    </w:rPr>
  </w:style>
  <w:style w:type="paragraph" w:customStyle="1" w:styleId="78">
    <w:name w:val="TOC 标题1"/>
    <w:basedOn w:val="4"/>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79">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Char Char2"/>
    <w:basedOn w:val="1"/>
    <w:qFormat/>
    <w:uiPriority w:val="0"/>
    <w:rPr>
      <w:rFonts w:ascii="宋体" w:hAnsi="宋体"/>
      <w:b/>
      <w:sz w:val="28"/>
      <w:szCs w:val="28"/>
    </w:rPr>
  </w:style>
  <w:style w:type="paragraph" w:customStyle="1" w:styleId="82">
    <w:name w:val="表"/>
    <w:basedOn w:val="1"/>
    <w:qFormat/>
    <w:uiPriority w:val="0"/>
    <w:pPr>
      <w:spacing w:line="360" w:lineRule="auto"/>
    </w:pPr>
    <w:rPr>
      <w:rFonts w:cs="Garamond"/>
      <w:b/>
      <w:bCs/>
      <w:color w:val="FF0000"/>
    </w:rPr>
  </w:style>
  <w:style w:type="paragraph" w:customStyle="1" w:styleId="83">
    <w:name w:val="Char"/>
    <w:basedOn w:val="1"/>
    <w:qFormat/>
    <w:uiPriority w:val="0"/>
    <w:pPr>
      <w:widowControl/>
      <w:spacing w:line="400" w:lineRule="exact"/>
      <w:jc w:val="center"/>
    </w:pPr>
    <w:rPr>
      <w:rFonts w:ascii="Verdana" w:hAnsi="Verdana"/>
      <w:kern w:val="0"/>
      <w:lang w:eastAsia="en-US"/>
    </w:rPr>
  </w:style>
  <w:style w:type="paragraph" w:customStyle="1" w:styleId="84">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_Style 87"/>
    <w:unhideWhenUsed/>
    <w:qFormat/>
    <w:uiPriority w:val="99"/>
    <w:rPr>
      <w:rFonts w:ascii="Times New Roman" w:hAnsi="Times New Roman" w:eastAsia="宋体" w:cs="Times New Roman"/>
      <w:kern w:val="2"/>
      <w:sz w:val="21"/>
      <w:lang w:val="en-US" w:eastAsia="zh-CN" w:bidi="ar-SA"/>
    </w:rPr>
  </w:style>
  <w:style w:type="paragraph" w:customStyle="1" w:styleId="89">
    <w:name w:val="Char2 Char Char"/>
    <w:basedOn w:val="1"/>
    <w:qFormat/>
    <w:uiPriority w:val="0"/>
    <w:rPr>
      <w:rFonts w:ascii="Tahoma" w:hAnsi="Tahoma"/>
      <w:sz w:val="24"/>
    </w:rPr>
  </w:style>
  <w:style w:type="paragraph" w:customStyle="1" w:styleId="90">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Char Char Char"/>
    <w:basedOn w:val="1"/>
    <w:qFormat/>
    <w:uiPriority w:val="0"/>
    <w:rPr>
      <w:rFonts w:ascii="Tahoma" w:hAnsi="Tahoma"/>
      <w:sz w:val="24"/>
    </w:rPr>
  </w:style>
  <w:style w:type="paragraph" w:customStyle="1" w:styleId="92">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95">
    <w:name w:val="!标题1 Ctrl+1"/>
    <w:basedOn w:val="4"/>
    <w:next w:val="1"/>
    <w:qFormat/>
    <w:uiPriority w:val="0"/>
    <w:pPr>
      <w:keepNext w:val="0"/>
      <w:keepLines w:val="0"/>
      <w:pageBreakBefore/>
      <w:numPr>
        <w:ilvl w:val="0"/>
        <w:numId w:val="6"/>
      </w:numPr>
      <w:tabs>
        <w:tab w:val="center" w:pos="0"/>
        <w:tab w:val="left" w:pos="3402"/>
        <w:tab w:val="left" w:pos="3828"/>
      </w:tabs>
      <w:adjustRightInd w:val="0"/>
      <w:snapToGrid w:val="0"/>
      <w:spacing w:before="240" w:after="240" w:line="240" w:lineRule="auto"/>
    </w:pPr>
    <w:rPr>
      <w:rFonts w:ascii="Arial" w:hAnsi="Arial" w:eastAsia="黑体" w:cs="Times New Roman"/>
      <w:b w:val="0"/>
      <w:kern w:val="2"/>
    </w:rPr>
  </w:style>
  <w:style w:type="paragraph" w:styleId="96">
    <w:name w:val="List Paragraph"/>
    <w:basedOn w:val="1"/>
    <w:qFormat/>
    <w:uiPriority w:val="34"/>
    <w:pPr>
      <w:ind w:firstLine="420" w:firstLineChars="200"/>
    </w:pPr>
  </w:style>
  <w:style w:type="paragraph" w:customStyle="1" w:styleId="97">
    <w:name w:val="!标题3 Ctrl+3"/>
    <w:basedOn w:val="6"/>
    <w:next w:val="1"/>
    <w:qFormat/>
    <w:uiPriority w:val="0"/>
    <w:pPr>
      <w:keepNext w:val="0"/>
      <w:numPr>
        <w:ilvl w:val="2"/>
        <w:numId w:val="1"/>
      </w:numPr>
      <w:tabs>
        <w:tab w:val="clear" w:pos="720"/>
      </w:tabs>
      <w:adjustRightInd w:val="0"/>
      <w:snapToGrid w:val="0"/>
      <w:spacing w:before="120" w:beforeLines="75" w:after="120" w:afterLines="25" w:line="360" w:lineRule="auto"/>
      <w:ind w:left="709"/>
      <w:jc w:val="left"/>
    </w:pPr>
    <w:rPr>
      <w:rFonts w:ascii="Arial" w:hAnsi="Arial" w:eastAsia="黑体" w:cs="Times New Roman"/>
      <w:b w:val="0"/>
      <w:kern w:val="2"/>
      <w:lang w:val="zh-CN"/>
    </w:rPr>
  </w:style>
  <w:style w:type="paragraph" w:customStyle="1" w:styleId="98">
    <w:name w:val="fa标题4"/>
    <w:next w:val="1"/>
    <w:qFormat/>
    <w:uiPriority w:val="0"/>
    <w:pPr>
      <w:widowControl w:val="0"/>
      <w:numPr>
        <w:ilvl w:val="3"/>
        <w:numId w:val="4"/>
      </w:numPr>
      <w:spacing w:line="360" w:lineRule="auto"/>
      <w:outlineLvl w:val="3"/>
    </w:pPr>
    <w:rPr>
      <w:rFonts w:ascii="黑体" w:hAnsi="宋体" w:eastAsia="宋体" w:cs="Times New Roman"/>
      <w:b/>
      <w:kern w:val="2"/>
      <w:sz w:val="24"/>
      <w:szCs w:val="28"/>
      <w:lang w:val="en-US" w:eastAsia="zh-CN" w:bidi="ar-SA"/>
    </w:rPr>
  </w:style>
  <w:style w:type="paragraph" w:customStyle="1" w:styleId="99">
    <w:name w:val="Char1"/>
    <w:basedOn w:val="15"/>
    <w:qFormat/>
    <w:uiPriority w:val="0"/>
    <w:pPr>
      <w:adjustRightInd w:val="0"/>
      <w:spacing w:line="436" w:lineRule="exact"/>
      <w:ind w:left="357"/>
      <w:jc w:val="left"/>
      <w:outlineLvl w:val="3"/>
    </w:pPr>
  </w:style>
  <w:style w:type="paragraph" w:customStyle="1" w:styleId="100">
    <w:name w:val="Char11"/>
    <w:basedOn w:val="15"/>
    <w:qFormat/>
    <w:uiPriority w:val="0"/>
    <w:pPr>
      <w:adjustRightInd w:val="0"/>
      <w:spacing w:line="436" w:lineRule="exact"/>
      <w:ind w:left="357"/>
      <w:jc w:val="left"/>
      <w:outlineLvl w:val="3"/>
    </w:pPr>
    <w:rPr>
      <w:rFonts w:ascii="Tahoma" w:hAnsi="Tahoma"/>
      <w:b/>
      <w:sz w:val="24"/>
      <w:szCs w:val="24"/>
    </w:rPr>
  </w:style>
  <w:style w:type="paragraph" w:customStyle="1" w:styleId="101">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3">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标题4 Ctrl+4"/>
    <w:basedOn w:val="1"/>
    <w:next w:val="1"/>
    <w:qFormat/>
    <w:uiPriority w:val="0"/>
    <w:pPr>
      <w:numPr>
        <w:ilvl w:val="3"/>
        <w:numId w:val="6"/>
      </w:numPr>
      <w:adjustRightInd w:val="0"/>
      <w:snapToGrid w:val="0"/>
      <w:spacing w:before="156" w:beforeLines="50" w:after="156" w:afterLines="50" w:line="360" w:lineRule="auto"/>
      <w:ind w:firstLine="200" w:firstLineChars="200"/>
      <w:outlineLvl w:val="3"/>
    </w:pPr>
    <w:rPr>
      <w:rFonts w:ascii="Arial" w:hAnsi="Arial" w:eastAsia="黑体" w:cs="Times New Roman"/>
      <w:b/>
      <w:sz w:val="30"/>
      <w:szCs w:val="30"/>
    </w:rPr>
  </w:style>
  <w:style w:type="paragraph" w:customStyle="1" w:styleId="110">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Table Paragraph"/>
    <w:basedOn w:val="1"/>
    <w:qFormat/>
    <w:uiPriority w:val="1"/>
    <w:rPr>
      <w:rFonts w:ascii="Calibri" w:hAnsi="Calibri" w:eastAsia="宋体" w:cs="Times New Roman"/>
      <w:sz w:val="22"/>
      <w:szCs w:val="22"/>
      <w:lang w:eastAsia="en-US"/>
    </w:rPr>
  </w:style>
  <w:style w:type="paragraph" w:customStyle="1" w:styleId="113">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文档正文"/>
    <w:basedOn w:val="31"/>
    <w:qFormat/>
    <w:uiPriority w:val="0"/>
    <w:pPr>
      <w:shd w:val="clear" w:color="auto" w:fill="FFFFFF"/>
      <w:spacing w:beforeLines="50" w:beforeAutospacing="0" w:after="0" w:afterAutospacing="0" w:line="360" w:lineRule="auto"/>
      <w:ind w:firstLine="560" w:firstLineChars="200"/>
      <w:jc w:val="both"/>
    </w:pPr>
    <w:rPr>
      <w:rFonts w:eastAsia="仿宋" w:cs="Times New Roman"/>
      <w:sz w:val="28"/>
      <w:szCs w:val="32"/>
    </w:rPr>
  </w:style>
  <w:style w:type="paragraph" w:customStyle="1" w:styleId="115">
    <w:name w:val="!标题2 Ctrl+2"/>
    <w:basedOn w:val="5"/>
    <w:next w:val="15"/>
    <w:qFormat/>
    <w:uiPriority w:val="0"/>
    <w:pPr>
      <w:keepNext w:val="0"/>
      <w:numPr>
        <w:ilvl w:val="1"/>
        <w:numId w:val="0"/>
      </w:numPr>
      <w:adjustRightInd w:val="0"/>
      <w:snapToGrid w:val="0"/>
      <w:spacing w:before="240" w:beforeLines="200" w:after="120" w:afterLines="50" w:line="360" w:lineRule="auto"/>
      <w:ind w:left="284"/>
      <w:jc w:val="left"/>
    </w:pPr>
    <w:rPr>
      <w:rFonts w:ascii="Times New Roman" w:hAnsi="Times New Roman" w:eastAsia="黑体" w:cs="Times New Roman"/>
      <w:b w:val="0"/>
      <w:sz w:val="36"/>
      <w:szCs w:val="36"/>
      <w:lang w:val="zh-CN"/>
    </w:rPr>
  </w:style>
  <w:style w:type="paragraph" w:customStyle="1" w:styleId="116">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顺颂商祺！"/>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8">
    <w:name w:val="正文文本缩进 字符"/>
    <w:link w:val="3"/>
    <w:qFormat/>
    <w:uiPriority w:val="0"/>
    <w:rPr>
      <w:rFonts w:ascii="Times New Roman" w:hAnsi="Times New Roman" w:eastAsia="宋体" w:cs="Times New Roman"/>
      <w:kern w:val="0"/>
      <w:sz w:val="20"/>
      <w:szCs w:val="20"/>
    </w:rPr>
  </w:style>
  <w:style w:type="character" w:customStyle="1" w:styleId="119">
    <w:name w:val="正文文本首行缩进 2 字符"/>
    <w:basedOn w:val="118"/>
    <w:link w:val="2"/>
    <w:qFormat/>
    <w:uiPriority w:val="0"/>
  </w:style>
  <w:style w:type="character" w:customStyle="1" w:styleId="120">
    <w:name w:val="标题 1 字符"/>
    <w:link w:val="4"/>
    <w:qFormat/>
    <w:uiPriority w:val="9"/>
    <w:rPr>
      <w:rFonts w:ascii="Times New Roman" w:hAnsi="Times New Roman" w:eastAsia="宋体" w:cs="Times New Roman"/>
      <w:b/>
      <w:bCs/>
      <w:kern w:val="44"/>
      <w:sz w:val="44"/>
      <w:szCs w:val="44"/>
    </w:rPr>
  </w:style>
  <w:style w:type="character" w:customStyle="1" w:styleId="121">
    <w:name w:val="标题 2 字符"/>
    <w:link w:val="5"/>
    <w:qFormat/>
    <w:uiPriority w:val="9"/>
    <w:rPr>
      <w:rFonts w:ascii="Cambria" w:hAnsi="Cambria" w:eastAsia="宋体" w:cs="Times New Roman"/>
      <w:b/>
      <w:bCs/>
      <w:sz w:val="30"/>
      <w:szCs w:val="32"/>
    </w:rPr>
  </w:style>
  <w:style w:type="character" w:customStyle="1" w:styleId="122">
    <w:name w:val="标题 3 字符"/>
    <w:link w:val="6"/>
    <w:qFormat/>
    <w:uiPriority w:val="9"/>
    <w:rPr>
      <w:rFonts w:ascii="Times New Roman" w:hAnsi="Times New Roman" w:eastAsia="宋体" w:cs="Times New Roman"/>
      <w:b/>
      <w:bCs/>
      <w:kern w:val="0"/>
      <w:sz w:val="32"/>
      <w:szCs w:val="32"/>
    </w:rPr>
  </w:style>
  <w:style w:type="character" w:customStyle="1" w:styleId="123">
    <w:name w:val="标题 4 字符"/>
    <w:link w:val="7"/>
    <w:qFormat/>
    <w:uiPriority w:val="0"/>
    <w:rPr>
      <w:rFonts w:ascii="Cambria" w:hAnsi="Cambria" w:eastAsia="宋体" w:cs="Times New Roman"/>
      <w:b/>
      <w:bCs/>
      <w:kern w:val="0"/>
      <w:sz w:val="28"/>
      <w:szCs w:val="28"/>
    </w:rPr>
  </w:style>
  <w:style w:type="character" w:customStyle="1" w:styleId="124">
    <w:name w:val="标题 5 字符"/>
    <w:link w:val="8"/>
    <w:qFormat/>
    <w:uiPriority w:val="0"/>
    <w:rPr>
      <w:rFonts w:ascii="Times New Roman" w:hAnsi="Times New Roman" w:eastAsia="宋体" w:cs="Times New Roman"/>
      <w:b/>
      <w:bCs/>
      <w:szCs w:val="28"/>
    </w:rPr>
  </w:style>
  <w:style w:type="character" w:customStyle="1" w:styleId="125">
    <w:name w:val="标题 6 字符"/>
    <w:link w:val="9"/>
    <w:qFormat/>
    <w:uiPriority w:val="0"/>
    <w:rPr>
      <w:rFonts w:ascii="Times New Roman" w:hAnsi="Times New Roman" w:eastAsia="黑体"/>
      <w:bCs/>
      <w:sz w:val="24"/>
      <w:szCs w:val="21"/>
    </w:rPr>
  </w:style>
  <w:style w:type="character" w:customStyle="1" w:styleId="126">
    <w:name w:val="标题 7 字符"/>
    <w:link w:val="10"/>
    <w:qFormat/>
    <w:uiPriority w:val="0"/>
    <w:rPr>
      <w:rFonts w:ascii="Times New Roman" w:hAnsi="Times New Roman" w:eastAsia="宋体"/>
      <w:bCs/>
      <w:sz w:val="24"/>
      <w:szCs w:val="24"/>
      <w:lang w:eastAsia="en-US"/>
    </w:rPr>
  </w:style>
  <w:style w:type="character" w:customStyle="1" w:styleId="127">
    <w:name w:val="标题 8 字符"/>
    <w:link w:val="11"/>
    <w:qFormat/>
    <w:uiPriority w:val="0"/>
    <w:rPr>
      <w:rFonts w:ascii="Times New Roman" w:hAnsi="Times New Roman" w:eastAsia="宋体" w:cs="Times New Roman"/>
      <w:sz w:val="24"/>
      <w:szCs w:val="24"/>
      <w:lang w:eastAsia="en-US"/>
    </w:rPr>
  </w:style>
  <w:style w:type="character" w:customStyle="1" w:styleId="128">
    <w:name w:val="标题 9 字符"/>
    <w:link w:val="12"/>
    <w:qFormat/>
    <w:uiPriority w:val="0"/>
    <w:rPr>
      <w:rFonts w:ascii="Times New Roman" w:hAnsi="Times New Roman" w:eastAsia="宋体" w:cs="Times New Roman"/>
      <w:sz w:val="24"/>
      <w:szCs w:val="21"/>
      <w:lang w:eastAsia="en-US"/>
    </w:rPr>
  </w:style>
  <w:style w:type="character" w:customStyle="1" w:styleId="129">
    <w:name w:val="正文缩进 字符"/>
    <w:link w:val="13"/>
    <w:qFormat/>
    <w:uiPriority w:val="99"/>
    <w:rPr>
      <w:rFonts w:ascii="宋体" w:hAnsi="Times New Roman" w:eastAsia="宋体" w:cs="Times New Roman"/>
      <w:snapToGrid/>
      <w:color w:val="000000"/>
      <w:kern w:val="28"/>
      <w:sz w:val="28"/>
      <w:szCs w:val="20"/>
    </w:rPr>
  </w:style>
  <w:style w:type="character" w:customStyle="1" w:styleId="130">
    <w:name w:val="题注 字符"/>
    <w:link w:val="14"/>
    <w:qFormat/>
    <w:locked/>
    <w:uiPriority w:val="35"/>
    <w:rPr>
      <w:rFonts w:ascii="Times New Roman" w:hAnsi="Times New Roman" w:eastAsia="宋体"/>
      <w:szCs w:val="21"/>
    </w:rPr>
  </w:style>
  <w:style w:type="character" w:customStyle="1" w:styleId="131">
    <w:name w:val="文档结构图 字符"/>
    <w:link w:val="15"/>
    <w:qFormat/>
    <w:uiPriority w:val="99"/>
    <w:rPr>
      <w:rFonts w:ascii="Times New Roman" w:hAnsi="Times New Roman" w:eastAsia="宋体" w:cs="Times New Roman"/>
      <w:kern w:val="0"/>
      <w:sz w:val="2"/>
      <w:szCs w:val="20"/>
      <w:shd w:val="clear" w:color="auto" w:fill="000080"/>
    </w:rPr>
  </w:style>
  <w:style w:type="character" w:customStyle="1" w:styleId="132">
    <w:name w:val="批注文字 字符"/>
    <w:link w:val="16"/>
    <w:qFormat/>
    <w:uiPriority w:val="0"/>
    <w:rPr>
      <w:rFonts w:ascii="Times New Roman" w:hAnsi="Times New Roman" w:eastAsia="宋体" w:cs="Times New Roman"/>
      <w:szCs w:val="20"/>
    </w:rPr>
  </w:style>
  <w:style w:type="character" w:customStyle="1" w:styleId="133">
    <w:name w:val="正文文本 字符"/>
    <w:link w:val="17"/>
    <w:qFormat/>
    <w:uiPriority w:val="0"/>
    <w:rPr>
      <w:rFonts w:ascii="Times New Roman" w:hAnsi="Times New Roman" w:eastAsia="宋体" w:cs="Times New Roman"/>
      <w:kern w:val="0"/>
      <w:sz w:val="20"/>
      <w:szCs w:val="20"/>
    </w:rPr>
  </w:style>
  <w:style w:type="character" w:customStyle="1" w:styleId="134">
    <w:name w:val="正文文本首行缩进 字符"/>
    <w:basedOn w:val="133"/>
    <w:link w:val="18"/>
    <w:qFormat/>
    <w:uiPriority w:val="99"/>
  </w:style>
  <w:style w:type="character" w:customStyle="1" w:styleId="135">
    <w:name w:val="纯文本 字符"/>
    <w:link w:val="21"/>
    <w:qFormat/>
    <w:uiPriority w:val="0"/>
    <w:rPr>
      <w:rFonts w:ascii="宋体" w:hAnsi="Courier New" w:eastAsia="宋体" w:cs="Times New Roman"/>
      <w:kern w:val="0"/>
      <w:szCs w:val="21"/>
    </w:rPr>
  </w:style>
  <w:style w:type="character" w:customStyle="1" w:styleId="136">
    <w:name w:val="日期 字符"/>
    <w:link w:val="22"/>
    <w:qFormat/>
    <w:uiPriority w:val="0"/>
    <w:rPr>
      <w:rFonts w:ascii="Times New Roman" w:hAnsi="Times New Roman" w:eastAsia="宋体" w:cs="Times New Roman"/>
      <w:sz w:val="28"/>
      <w:szCs w:val="20"/>
    </w:rPr>
  </w:style>
  <w:style w:type="character" w:customStyle="1" w:styleId="137">
    <w:name w:val="正文文本缩进 2 字符"/>
    <w:link w:val="23"/>
    <w:qFormat/>
    <w:uiPriority w:val="0"/>
    <w:rPr>
      <w:rFonts w:ascii="Times New Roman" w:hAnsi="Times New Roman" w:eastAsia="宋体" w:cs="Times New Roman"/>
      <w:kern w:val="0"/>
      <w:sz w:val="20"/>
      <w:szCs w:val="20"/>
    </w:rPr>
  </w:style>
  <w:style w:type="character" w:customStyle="1" w:styleId="138">
    <w:name w:val="批注框文本 字符"/>
    <w:link w:val="24"/>
    <w:qFormat/>
    <w:uiPriority w:val="0"/>
    <w:rPr>
      <w:rFonts w:ascii="Times New Roman" w:hAnsi="Times New Roman" w:eastAsia="宋体" w:cs="Times New Roman"/>
      <w:sz w:val="18"/>
      <w:szCs w:val="18"/>
    </w:rPr>
  </w:style>
  <w:style w:type="character" w:customStyle="1" w:styleId="139">
    <w:name w:val="页脚 字符"/>
    <w:link w:val="25"/>
    <w:qFormat/>
    <w:uiPriority w:val="99"/>
    <w:rPr>
      <w:sz w:val="18"/>
      <w:szCs w:val="18"/>
    </w:rPr>
  </w:style>
  <w:style w:type="character" w:customStyle="1" w:styleId="140">
    <w:name w:val="页眉 字符"/>
    <w:link w:val="26"/>
    <w:qFormat/>
    <w:uiPriority w:val="99"/>
    <w:rPr>
      <w:sz w:val="18"/>
      <w:szCs w:val="18"/>
    </w:rPr>
  </w:style>
  <w:style w:type="character" w:customStyle="1" w:styleId="141">
    <w:name w:val="正文文本缩进 3 字符"/>
    <w:link w:val="28"/>
    <w:qFormat/>
    <w:uiPriority w:val="0"/>
    <w:rPr>
      <w:rFonts w:ascii="Times New Roman" w:hAnsi="Times New Roman" w:eastAsia="宋体" w:cs="Times New Roman"/>
      <w:sz w:val="16"/>
      <w:szCs w:val="16"/>
    </w:rPr>
  </w:style>
  <w:style w:type="character" w:customStyle="1" w:styleId="142">
    <w:name w:val="正文文本 2 字符"/>
    <w:link w:val="30"/>
    <w:qFormat/>
    <w:uiPriority w:val="0"/>
    <w:rPr>
      <w:rFonts w:ascii="Times New Roman" w:hAnsi="Times New Roman" w:eastAsia="宋体" w:cs="Times New Roman"/>
      <w:kern w:val="0"/>
      <w:sz w:val="20"/>
      <w:szCs w:val="20"/>
    </w:rPr>
  </w:style>
  <w:style w:type="character" w:customStyle="1" w:styleId="143">
    <w:name w:val="批注主题 字符"/>
    <w:link w:val="32"/>
    <w:qFormat/>
    <w:uiPriority w:val="0"/>
    <w:rPr>
      <w:rFonts w:ascii="Times New Roman" w:hAnsi="Times New Roman" w:eastAsia="宋体" w:cs="Times New Roman"/>
      <w:b/>
      <w:bCs/>
      <w:szCs w:val="20"/>
    </w:rPr>
  </w:style>
  <w:style w:type="character" w:customStyle="1" w:styleId="144">
    <w:name w:val="ca-51"/>
    <w:qFormat/>
    <w:uiPriority w:val="0"/>
    <w:rPr>
      <w:rFonts w:hint="eastAsia" w:ascii="宋体" w:hAnsi="宋体" w:eastAsia="宋体"/>
      <w:color w:val="FF0000"/>
      <w:sz w:val="21"/>
      <w:szCs w:val="21"/>
    </w:rPr>
  </w:style>
  <w:style w:type="character" w:customStyle="1" w:styleId="145">
    <w:name w:val="Char Char15"/>
    <w:qFormat/>
    <w:uiPriority w:val="0"/>
    <w:rPr>
      <w:rFonts w:ascii="Arial" w:hAnsi="Arial" w:eastAsia="黑体"/>
      <w:b/>
      <w:bCs/>
      <w:kern w:val="2"/>
      <w:sz w:val="28"/>
      <w:szCs w:val="28"/>
      <w:lang w:val="en-US" w:eastAsia="zh-CN" w:bidi="ar-SA"/>
    </w:rPr>
  </w:style>
  <w:style w:type="character" w:customStyle="1" w:styleId="146">
    <w:name w:val="标准正文 Char"/>
    <w:qFormat/>
    <w:uiPriority w:val="0"/>
    <w:rPr>
      <w:kern w:val="2"/>
      <w:sz w:val="24"/>
      <w:szCs w:val="24"/>
    </w:rPr>
  </w:style>
  <w:style w:type="character" w:customStyle="1" w:styleId="147">
    <w:name w:val="font01"/>
    <w:qFormat/>
    <w:uiPriority w:val="0"/>
    <w:rPr>
      <w:rFonts w:hint="eastAsia" w:ascii="宋体" w:hAnsi="宋体" w:eastAsia="宋体" w:cs="宋体"/>
      <w:b/>
      <w:color w:val="333333"/>
      <w:sz w:val="24"/>
      <w:szCs w:val="24"/>
      <w:u w:val="none"/>
    </w:rPr>
  </w:style>
  <w:style w:type="character" w:customStyle="1" w:styleId="148">
    <w:name w:val="font31"/>
    <w:qFormat/>
    <w:uiPriority w:val="0"/>
    <w:rPr>
      <w:rFonts w:hint="eastAsia" w:ascii="宋体" w:hAnsi="宋体" w:eastAsia="宋体" w:cs="宋体"/>
      <w:color w:val="000000"/>
      <w:sz w:val="22"/>
      <w:szCs w:val="22"/>
      <w:u w:val="none"/>
    </w:rPr>
  </w:style>
  <w:style w:type="character" w:customStyle="1" w:styleId="149">
    <w:name w:val="正文2 Char Char"/>
    <w:link w:val="42"/>
    <w:qFormat/>
    <w:uiPriority w:val="0"/>
    <w:rPr>
      <w:rFonts w:eastAsia="宋体"/>
      <w:sz w:val="24"/>
    </w:rPr>
  </w:style>
  <w:style w:type="character" w:customStyle="1" w:styleId="150">
    <w:name w:val="主体 Char Char"/>
    <w:link w:val="43"/>
    <w:qFormat/>
    <w:uiPriority w:val="99"/>
    <w:rPr>
      <w:rFonts w:ascii="宋体" w:hAnsi="宋体" w:eastAsia="宋体" w:cs="Times New Roman"/>
      <w:kern w:val="58"/>
      <w:sz w:val="24"/>
      <w:szCs w:val="24"/>
    </w:rPr>
  </w:style>
  <w:style w:type="character" w:customStyle="1" w:styleId="151">
    <w:name w:val="标题2 Char Char"/>
    <w:link w:val="44"/>
    <w:qFormat/>
    <w:uiPriority w:val="0"/>
    <w:rPr>
      <w:rFonts w:ascii="宋体" w:hAnsi="Times New Roman" w:eastAsia="宋体" w:cs="Times New Roman"/>
      <w:b/>
      <w:kern w:val="0"/>
      <w:sz w:val="24"/>
      <w:szCs w:val="20"/>
    </w:rPr>
  </w:style>
  <w:style w:type="character" w:customStyle="1" w:styleId="152">
    <w:name w:val="_正文段落 Char"/>
    <w:link w:val="45"/>
    <w:qFormat/>
    <w:uiPriority w:val="0"/>
    <w:rPr>
      <w:rFonts w:ascii="仿宋_GB2312" w:eastAsia="仿宋_GB2312"/>
      <w:sz w:val="28"/>
      <w:szCs w:val="24"/>
    </w:rPr>
  </w:style>
  <w:style w:type="character" w:customStyle="1" w:styleId="153">
    <w:name w:val="表格正文 Char"/>
    <w:link w:val="46"/>
    <w:qFormat/>
    <w:uiPriority w:val="0"/>
    <w:rPr>
      <w:rFonts w:ascii="Times New Roman" w:hAnsi="Times New Roman" w:eastAsia="宋体"/>
      <w:szCs w:val="21"/>
    </w:rPr>
  </w:style>
  <w:style w:type="character" w:customStyle="1" w:styleId="154">
    <w:name w:val="正文（1） Char"/>
    <w:link w:val="47"/>
    <w:qFormat/>
    <w:uiPriority w:val="0"/>
    <w:rPr>
      <w:rFonts w:ascii="Times New Roman" w:hAnsi="Times New Roman" w:eastAsia="宋体"/>
      <w:sz w:val="24"/>
      <w:szCs w:val="21"/>
    </w:rPr>
  </w:style>
  <w:style w:type="character" w:customStyle="1" w:styleId="155">
    <w:name w:val="NormalCharacter"/>
    <w:semiHidden/>
    <w:qFormat/>
    <w:uiPriority w:val="0"/>
  </w:style>
  <w:style w:type="character" w:customStyle="1" w:styleId="156">
    <w:name w:val="纯文本 Char1"/>
    <w:qFormat/>
    <w:uiPriority w:val="99"/>
    <w:rPr>
      <w:rFonts w:ascii="宋体" w:hAnsi="Courier New" w:eastAsia="宋体"/>
      <w:kern w:val="2"/>
      <w:sz w:val="21"/>
      <w:lang w:val="en-US" w:eastAsia="zh-CN" w:bidi="ar-SA"/>
    </w:rPr>
  </w:style>
  <w:style w:type="character" w:customStyle="1" w:styleId="157">
    <w:name w:val="表格文字 Char Char"/>
    <w:link w:val="48"/>
    <w:qFormat/>
    <w:uiPriority w:val="99"/>
    <w:rPr>
      <w:rFonts w:ascii="宋体" w:hAnsi="宋体" w:eastAsia="宋体" w:cs="Times New Roman"/>
      <w:bCs/>
      <w:spacing w:val="-4"/>
      <w:kern w:val="0"/>
      <w:sz w:val="32"/>
      <w:szCs w:val="32"/>
      <w:lang w:val="zh-CN"/>
    </w:rPr>
  </w:style>
  <w:style w:type="character" w:customStyle="1" w:styleId="158">
    <w:name w:val="普通文字 Char Char2"/>
    <w:qFormat/>
    <w:locked/>
    <w:uiPriority w:val="0"/>
    <w:rPr>
      <w:rFonts w:ascii="宋体" w:hAnsi="Courier New" w:eastAsia="宋体" w:cs="Times New Roman"/>
      <w:kern w:val="2"/>
      <w:sz w:val="21"/>
      <w:lang w:val="en-US" w:eastAsia="zh-CN" w:bidi="ar-SA"/>
    </w:rPr>
  </w:style>
  <w:style w:type="character" w:customStyle="1" w:styleId="159">
    <w:name w:val="内容"/>
    <w:qFormat/>
    <w:uiPriority w:val="0"/>
    <w:rPr>
      <w:rFonts w:ascii="华文细黑" w:eastAsia="华文细黑"/>
      <w:color w:val="75787B"/>
      <w:sz w:val="20"/>
      <w:u w:val="none"/>
    </w:rPr>
  </w:style>
  <w:style w:type="character" w:customStyle="1" w:styleId="160">
    <w:name w:val="font61"/>
    <w:qFormat/>
    <w:uiPriority w:val="0"/>
    <w:rPr>
      <w:rFonts w:hint="eastAsia" w:ascii="宋体" w:hAnsi="宋体" w:eastAsia="宋体" w:cs="宋体"/>
      <w:color w:val="000000"/>
      <w:sz w:val="20"/>
      <w:szCs w:val="20"/>
      <w:u w:val="none"/>
    </w:rPr>
  </w:style>
  <w:style w:type="character" w:customStyle="1" w:styleId="161">
    <w:name w:val="ca-31"/>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0701;&#35270;&#39057;&#21046;&#20316;&#22120;&#26448;&#39033;&#30446;&#21021;&#31295;202110.2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短视频制作器材项目初稿202110.25.dot</Template>
  <Pages>80</Pages>
  <Words>48614</Words>
  <Characters>53544</Characters>
  <Lines>1825</Lines>
  <Paragraphs>513</Paragraphs>
  <TotalTime>0</TotalTime>
  <ScaleCrop>false</ScaleCrop>
  <LinksUpToDate>false</LinksUpToDate>
  <CharactersWithSpaces>55818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2021-11-11T06:30:00Z</dcterms:created>
  <dc:creator>Administrator</dc:creator>
  <cp:lastModifiedBy>煮面的鸭子</cp:lastModifiedBy>
  <dcterms:modified xsi:type="dcterms:W3CDTF">2021-11-24T03:09:29Z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B1ABDBD39E184608A36A052C04EDBFC5</vt:lpwstr>
  </property>
</Properties>
</file>