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E2E4">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64FBDD92">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17500A23">
      <w:pPr>
        <w:shd w:val="clea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7AB0087A">
      <w:pPr>
        <w:shd w:val="clear"/>
        <w:spacing w:line="360" w:lineRule="auto"/>
        <w:jc w:val="center"/>
        <w:rPr>
          <w:rFonts w:ascii="宋体" w:hAnsi="宋体" w:cs="宋体"/>
          <w:b/>
          <w:color w:val="000000" w:themeColor="text1"/>
          <w:sz w:val="44"/>
          <w:szCs w:val="44"/>
          <w:highlight w:val="none"/>
          <w14:textFill>
            <w14:solidFill>
              <w14:schemeClr w14:val="tx1"/>
            </w14:solidFill>
          </w14:textFill>
        </w:rPr>
      </w:pPr>
    </w:p>
    <w:p w14:paraId="044EEE22">
      <w:pPr>
        <w:shd w:val="clea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3B712FB2">
      <w:pPr>
        <w:shd w:val="clear"/>
        <w:kinsoku/>
        <w:wordWrap/>
        <w:overflowPunct/>
        <w:topLinePunct w:val="0"/>
        <w:bidi w:val="0"/>
        <w:adjustRightInd/>
        <w:spacing w:line="360" w:lineRule="auto"/>
        <w:jc w:val="center"/>
        <w:outlineLvl w:val="9"/>
        <w:rPr>
          <w:rFonts w:hint="eastAsia" w:ascii="宋体" w:hAnsi="宋体" w:eastAsia="宋体" w:cs="宋体"/>
          <w:color w:val="000000" w:themeColor="text1"/>
          <w:spacing w:val="-11"/>
          <w:sz w:val="48"/>
          <w:szCs w:val="48"/>
          <w:highlight w:val="none"/>
          <w:lang w:eastAsia="zh-CN"/>
          <w14:textFill>
            <w14:solidFill>
              <w14:schemeClr w14:val="tx1"/>
            </w14:solidFill>
          </w14:textFill>
        </w:rPr>
      </w:pPr>
      <w:r>
        <w:rPr>
          <w:rFonts w:hint="eastAsia" w:ascii="宋体" w:hAnsi="宋体" w:eastAsia="宋体" w:cs="宋体"/>
          <w:color w:val="000000" w:themeColor="text1"/>
          <w:spacing w:val="-11"/>
          <w:sz w:val="48"/>
          <w:szCs w:val="48"/>
          <w:highlight w:val="none"/>
          <w:lang w:eastAsia="zh-CN"/>
          <w14:textFill>
            <w14:solidFill>
              <w14:schemeClr w14:val="tx1"/>
            </w14:solidFill>
          </w14:textFill>
        </w:rPr>
        <w:t>2025-2026年度午餐原材料配送服务采购项目</w:t>
      </w:r>
    </w:p>
    <w:p w14:paraId="44AA9B69">
      <w:pPr>
        <w:pStyle w:val="5"/>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w:t>
      </w:r>
    </w:p>
    <w:p w14:paraId="0A17C7A2">
      <w:pPr>
        <w:shd w:val="clea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22E624C8">
      <w:pPr>
        <w:shd w:val="clea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：2025NBHSWT359</w:t>
      </w:r>
    </w:p>
    <w:p w14:paraId="2FD932FF">
      <w:pPr>
        <w:shd w:val="clear"/>
        <w:adjustRightInd/>
        <w:spacing w:line="360" w:lineRule="auto"/>
        <w:rPr>
          <w:rFonts w:ascii="宋体" w:hAnsi="宋体" w:cs="宋体"/>
          <w:color w:val="000000" w:themeColor="text1"/>
          <w:sz w:val="28"/>
          <w:szCs w:val="20"/>
          <w:highlight w:val="none"/>
          <w14:textFill>
            <w14:solidFill>
              <w14:schemeClr w14:val="tx1"/>
            </w14:solidFill>
          </w14:textFill>
        </w:rPr>
      </w:pPr>
    </w:p>
    <w:p w14:paraId="3C99CA33">
      <w:pPr>
        <w:shd w:val="clea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728BA10">
      <w:pPr>
        <w:shd w:val="clear"/>
        <w:spacing w:line="360" w:lineRule="auto"/>
        <w:jc w:val="center"/>
        <w:rPr>
          <w:rFonts w:ascii="宋体" w:hAnsi="宋体" w:cs="宋体"/>
          <w:b/>
          <w:color w:val="000000" w:themeColor="text1"/>
          <w:sz w:val="44"/>
          <w:szCs w:val="44"/>
          <w:highlight w:val="none"/>
          <w14:textFill>
            <w14:solidFill>
              <w14:schemeClr w14:val="tx1"/>
            </w14:solidFill>
          </w14:textFill>
        </w:rPr>
      </w:pPr>
    </w:p>
    <w:p w14:paraId="71DCFD01">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47661E75">
      <w:pPr>
        <w:shd w:val="clear"/>
        <w:spacing w:line="360" w:lineRule="auto"/>
        <w:jc w:val="center"/>
        <w:rPr>
          <w:rFonts w:ascii="宋体" w:hAnsi="宋体" w:cs="宋体"/>
          <w:color w:val="000000" w:themeColor="text1"/>
          <w:sz w:val="24"/>
          <w:highlight w:val="none"/>
          <w14:textFill>
            <w14:solidFill>
              <w14:schemeClr w14:val="tx1"/>
            </w14:solidFill>
          </w14:textFill>
        </w:rPr>
      </w:pPr>
    </w:p>
    <w:p w14:paraId="053334DD">
      <w:pPr>
        <w:shd w:val="clear"/>
        <w:spacing w:line="360" w:lineRule="auto"/>
        <w:rPr>
          <w:rFonts w:ascii="宋体" w:hAnsi="宋体" w:cs="宋体"/>
          <w:color w:val="000000" w:themeColor="text1"/>
          <w:sz w:val="32"/>
          <w:szCs w:val="32"/>
          <w:highlight w:val="none"/>
          <w14:textFill>
            <w14:solidFill>
              <w14:schemeClr w14:val="tx1"/>
            </w14:solidFill>
          </w14:textFill>
        </w:rPr>
      </w:pPr>
    </w:p>
    <w:p w14:paraId="639587D6">
      <w:pPr>
        <w:shd w:val="clear"/>
        <w:snapToGrid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宁波市海曙区环境卫生服务中心</w:t>
      </w:r>
    </w:p>
    <w:p w14:paraId="16029478">
      <w:pPr>
        <w:shd w:val="clea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宁波中基国际招标有限公司</w:t>
      </w:r>
    </w:p>
    <w:p w14:paraId="70BBFFFD">
      <w:pPr>
        <w:shd w:val="clea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cs="宋体"/>
          <w:bCs/>
          <w:color w:val="000000" w:themeColor="text1"/>
          <w:sz w:val="32"/>
          <w:szCs w:val="32"/>
          <w:highlight w:val="none"/>
          <w14:textFill>
            <w14:solidFill>
              <w14:schemeClr w14:val="tx1"/>
            </w14:solidFill>
          </w14:textFill>
        </w:rPr>
        <w:t>月</w:t>
      </w:r>
    </w:p>
    <w:p w14:paraId="2BEBBC6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39A2DA6D">
      <w:pPr>
        <w:pStyle w:val="634"/>
        <w:shd w:val="clear"/>
        <w:rPr>
          <w:color w:val="000000" w:themeColor="text1"/>
          <w:highlight w:val="none"/>
          <w14:textFill>
            <w14:solidFill>
              <w14:schemeClr w14:val="tx1"/>
            </w14:solidFill>
          </w14:textFill>
        </w:rPr>
      </w:pPr>
    </w:p>
    <w:p w14:paraId="37F1AE10">
      <w:pPr>
        <w:shd w:val="clea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135F04B6">
      <w:pPr>
        <w:shd w:val="clear"/>
        <w:spacing w:line="360" w:lineRule="auto"/>
        <w:rPr>
          <w:rFonts w:ascii="宋体" w:hAnsi="宋体" w:cs="宋体"/>
          <w:color w:val="000000" w:themeColor="text1"/>
          <w:sz w:val="32"/>
          <w:szCs w:val="32"/>
          <w:highlight w:val="none"/>
          <w14:textFill>
            <w14:solidFill>
              <w14:schemeClr w14:val="tx1"/>
            </w14:solidFill>
          </w14:textFill>
        </w:rPr>
      </w:pPr>
    </w:p>
    <w:p w14:paraId="48ABE297">
      <w:pPr>
        <w:shd w:val="clear"/>
        <w:spacing w:line="360" w:lineRule="auto"/>
        <w:rPr>
          <w:rFonts w:ascii="宋体" w:hAnsi="宋体" w:cs="宋体"/>
          <w:color w:val="000000" w:themeColor="text1"/>
          <w:sz w:val="32"/>
          <w:szCs w:val="32"/>
          <w:highlight w:val="none"/>
          <w14:textFill>
            <w14:solidFill>
              <w14:schemeClr w14:val="tx1"/>
            </w14:solidFill>
          </w14:textFill>
        </w:rPr>
      </w:pPr>
    </w:p>
    <w:p w14:paraId="25D1275C">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156D212F">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3CAA220B">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6700A6D4">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169F20EA">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0FE2FE45">
      <w:pPr>
        <w:shd w:val="clea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051DE24D">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EBDB51F">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E2D247A">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02A0E8D">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1AA6E8">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D3AB6BF">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030316C">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4B72F06">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03DE8DD">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D1D6896">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180530E">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784BFF2">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EAC3564">
      <w:pPr>
        <w:shd w:val="clea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2F78CA8">
      <w:pPr>
        <w:shd w:val="clear"/>
        <w:spacing w:line="360" w:lineRule="auto"/>
        <w:rPr>
          <w:rFonts w:ascii="宋体" w:hAnsi="宋体" w:cs="宋体"/>
          <w:color w:val="000000" w:themeColor="text1"/>
          <w:sz w:val="24"/>
          <w:highlight w:val="none"/>
          <w14:textFill>
            <w14:solidFill>
              <w14:schemeClr w14:val="tx1"/>
            </w14:solidFill>
          </w14:textFill>
        </w:rPr>
      </w:pPr>
    </w:p>
    <w:p w14:paraId="5D0FF1A0">
      <w:pPr>
        <w:shd w:val="clea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473563DA">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356B50C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6"/>
          <w:rFonts w:hint="eastAsia" w:ascii="宋体" w:hAnsi="宋体" w:cs="宋体"/>
          <w:snapToGrid/>
          <w:color w:val="000000" w:themeColor="text1"/>
          <w:kern w:val="2"/>
          <w:sz w:val="24"/>
          <w:szCs w:val="24"/>
          <w:highlight w:val="none"/>
          <w:lang w:eastAsia="zh-CN"/>
          <w14:textFill>
            <w14:solidFill>
              <w14:schemeClr w14:val="tx1"/>
            </w14:solidFill>
          </w14:textFill>
        </w:rPr>
        <w:t>2025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08</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06</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080832B9">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6CDC870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 xml:space="preserve">2025NBHSWT359  </w:t>
      </w:r>
    </w:p>
    <w:p w14:paraId="1FADFD6E">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p>
    <w:p w14:paraId="481634BC">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lang w:val="en-US" w:eastAsia="zh-CN"/>
          <w14:textFill>
            <w14:solidFill>
              <w14:schemeClr w14:val="tx1"/>
            </w14:solidFill>
          </w14:textFill>
        </w:rPr>
        <w:t>904000</w:t>
      </w:r>
    </w:p>
    <w:p w14:paraId="022FE2FA">
      <w:pPr>
        <w:shd w:val="clea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904000</w:t>
      </w:r>
    </w:p>
    <w:p w14:paraId="6DCA0EC5">
      <w:pPr>
        <w:shd w:val="clear"/>
        <w:spacing w:line="360" w:lineRule="auto"/>
        <w:ind w:firstLine="480"/>
        <w:rPr>
          <w:rFonts w:hint="default" w:ascii="宋体" w:hAnsi="宋体" w:eastAsia="宋体" w:cs="宋体"/>
          <w:b/>
          <w:bCs/>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b/>
          <w:bCs/>
          <w:snapToGrid w:val="0"/>
          <w:color w:val="000000" w:themeColor="text1"/>
          <w:kern w:val="28"/>
          <w:sz w:val="24"/>
          <w:szCs w:val="20"/>
          <w:highlight w:val="none"/>
          <w:lang w:val="en-US" w:eastAsia="zh-CN"/>
          <w14:textFill>
            <w14:solidFill>
              <w14:schemeClr w14:val="tx1"/>
            </w14:solidFill>
          </w14:textFill>
        </w:rPr>
        <w:t>采购需求：</w:t>
      </w:r>
    </w:p>
    <w:p w14:paraId="197D64AB">
      <w:pPr>
        <w:spacing w:line="360" w:lineRule="auto"/>
        <w:ind w:firstLine="480"/>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t>标项</w:t>
      </w:r>
      <w:r>
        <w:rPr>
          <w:rFonts w:hint="eastAsia" w:ascii="宋体" w:hAnsi="宋体" w:cs="宋体"/>
          <w:b/>
          <w:bCs/>
          <w:snapToGrid w:val="0"/>
          <w:color w:val="000000" w:themeColor="text1"/>
          <w:kern w:val="28"/>
          <w:sz w:val="24"/>
          <w:szCs w:val="20"/>
          <w:highlight w:val="none"/>
          <w:lang w:val="en-US" w:eastAsia="zh-CN"/>
          <w14:textFill>
            <w14:solidFill>
              <w14:schemeClr w14:val="tx1"/>
            </w14:solidFill>
          </w14:textFill>
        </w:rPr>
        <w:t>一</w:t>
      </w:r>
      <w:r>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t>：</w:t>
      </w:r>
    </w:p>
    <w:p w14:paraId="419074E1">
      <w:pPr>
        <w:spacing w:line="360" w:lineRule="auto"/>
        <w:ind w:leftChars="100" w:firstLine="480"/>
        <w:rPr>
          <w:rFonts w:hint="eastAsia" w:ascii="宋体" w:hAnsi="宋体" w:eastAsia="宋体" w:cs="宋体"/>
          <w:snapToGrid w:val="0"/>
          <w:color w:val="000000" w:themeColor="text1"/>
          <w:kern w:val="28"/>
          <w:sz w:val="24"/>
          <w:szCs w:val="20"/>
          <w:highlight w:val="none"/>
          <w:lang w:val="en-US"/>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标项名称</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：2025-2026年度午餐原材料配送服务标项1</w:t>
      </w:r>
    </w:p>
    <w:p w14:paraId="74C183EB">
      <w:pPr>
        <w:spacing w:line="360" w:lineRule="auto"/>
        <w:ind w:leftChars="100"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数量</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1项</w:t>
      </w:r>
    </w:p>
    <w:p w14:paraId="260C7EE9">
      <w:pPr>
        <w:spacing w:line="360" w:lineRule="auto"/>
        <w:ind w:leftChars="100" w:firstLine="480"/>
        <w:rPr>
          <w:rFonts w:hint="default"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预算金额（元）</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452000</w:t>
      </w:r>
    </w:p>
    <w:p w14:paraId="4AF7C0D6">
      <w:pPr>
        <w:spacing w:line="360" w:lineRule="auto"/>
        <w:ind w:leftChars="100"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简要规格描述或项目基本概况介绍、用途：午餐原材料配送服务</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具体以招标文件第三部分采购需求为准，供应商可点击本公告下方“浏览采购文件”查看采购需求。</w:t>
      </w:r>
    </w:p>
    <w:p w14:paraId="3D678C40">
      <w:pPr>
        <w:spacing w:line="360" w:lineRule="auto"/>
        <w:ind w:leftChars="100"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备注：</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组成联合体的成员（含联合体牵头人）数量不超过2个。（2）年度预算金额为</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45.2</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万元/年。</w:t>
      </w:r>
    </w:p>
    <w:p w14:paraId="67D66D00">
      <w:pPr>
        <w:pStyle w:val="79"/>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p>
    <w:p w14:paraId="6B4898CB">
      <w:pPr>
        <w:spacing w:line="360" w:lineRule="auto"/>
        <w:ind w:firstLine="480"/>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t>标项</w:t>
      </w:r>
      <w:r>
        <w:rPr>
          <w:rFonts w:hint="eastAsia" w:ascii="宋体" w:hAnsi="宋体" w:cs="宋体"/>
          <w:b/>
          <w:bCs/>
          <w:snapToGrid w:val="0"/>
          <w:color w:val="000000" w:themeColor="text1"/>
          <w:kern w:val="28"/>
          <w:sz w:val="24"/>
          <w:szCs w:val="20"/>
          <w:highlight w:val="none"/>
          <w:lang w:val="en-US" w:eastAsia="zh-CN"/>
          <w14:textFill>
            <w14:solidFill>
              <w14:schemeClr w14:val="tx1"/>
            </w14:solidFill>
          </w14:textFill>
        </w:rPr>
        <w:t>二</w:t>
      </w:r>
      <w:r>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t>：</w:t>
      </w:r>
    </w:p>
    <w:p w14:paraId="219FFA12">
      <w:pPr>
        <w:spacing w:line="360" w:lineRule="auto"/>
        <w:ind w:leftChars="100" w:firstLine="480"/>
        <w:rPr>
          <w:rFonts w:hint="eastAsia" w:ascii="宋体" w:hAnsi="宋体" w:eastAsia="宋体" w:cs="宋体"/>
          <w:snapToGrid w:val="0"/>
          <w:color w:val="000000" w:themeColor="text1"/>
          <w:kern w:val="28"/>
          <w:sz w:val="24"/>
          <w:szCs w:val="20"/>
          <w:highlight w:val="none"/>
          <w:lang w:val="en-US"/>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标项名称</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：2025-2026年度午餐原材料配送服务标项</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2</w:t>
      </w:r>
    </w:p>
    <w:p w14:paraId="57141A16">
      <w:pPr>
        <w:spacing w:line="360" w:lineRule="auto"/>
        <w:ind w:leftChars="100"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数量</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1项</w:t>
      </w:r>
    </w:p>
    <w:p w14:paraId="3136A6A1">
      <w:pPr>
        <w:spacing w:line="360" w:lineRule="auto"/>
        <w:ind w:leftChars="100" w:firstLine="480"/>
        <w:rPr>
          <w:rFonts w:hint="default"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预算金额（元）</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452000</w:t>
      </w:r>
    </w:p>
    <w:p w14:paraId="486C4C06">
      <w:pPr>
        <w:spacing w:line="360" w:lineRule="auto"/>
        <w:ind w:leftChars="100"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简要规格描述或项目基本概况介绍、用途：午餐原材料配送服务，</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具体以招标文件第三部分采购需求为准，供应商可点击本公告下方“浏览采购文件”查看采购需求。</w:t>
      </w:r>
    </w:p>
    <w:p w14:paraId="1F68206D">
      <w:pPr>
        <w:spacing w:line="360" w:lineRule="auto"/>
        <w:ind w:leftChars="100"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备注：</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组成联合体的成员（含联合体牵头人）数量不超过2个。（2）年度预算金额为</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45.2</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万元/年。</w:t>
      </w:r>
    </w:p>
    <w:p w14:paraId="0C922A5A">
      <w:pPr>
        <w:pStyle w:val="79"/>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p>
    <w:p w14:paraId="7AE8F38C">
      <w:pPr>
        <w:pStyle w:val="130"/>
        <w:shd w:val="clear"/>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val="0"/>
          <w:bCs/>
          <w:color w:val="000000" w:themeColor="text1"/>
          <w:highlight w:val="none"/>
          <w14:textFill>
            <w14:solidFill>
              <w14:schemeClr w14:val="tx1"/>
            </w14:solidFill>
          </w14:textFill>
        </w:rPr>
        <w:t>标项 1、2，</w:t>
      </w:r>
      <w:r>
        <w:rPr>
          <w:rFonts w:hint="eastAsia"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t>自合同签订之日起一年</w:t>
      </w:r>
      <w:r>
        <w:rPr>
          <w:rFonts w:hint="eastAsia" w:ascii="宋体" w:hAnsi="宋体" w:cs="宋体"/>
          <w:snapToGrid w:val="0"/>
          <w:color w:val="000000" w:themeColor="text1"/>
          <w:kern w:val="28"/>
          <w:sz w:val="24"/>
          <w:szCs w:val="20"/>
          <w:highlight w:val="none"/>
          <w:lang w:val="en-US" w:eastAsia="zh-CN" w:bidi="ar-SA"/>
          <w14:textFill>
            <w14:solidFill>
              <w14:schemeClr w14:val="tx1"/>
            </w14:solidFill>
          </w14:textFill>
        </w:rPr>
        <w:t>（暂定统一配送时间为2025年 8月19日至2026年8月18日止）</w:t>
      </w:r>
      <w:r>
        <w:rPr>
          <w:rFonts w:hint="eastAsia"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t>。供应商如不能按时、按质提供采购人所需原材料，由此造成的一切相关损失全部由供应商承担。</w:t>
      </w:r>
    </w:p>
    <w:p w14:paraId="046D43AB">
      <w:pPr>
        <w:pStyle w:val="7"/>
        <w:shd w:val="clear"/>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6FF06237">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70612423">
      <w:pPr>
        <w:shd w:val="clea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14:textFill>
            <w14:solidFill>
              <w14:schemeClr w14:val="tx1"/>
            </w14:solidFill>
          </w14:textFill>
        </w:rPr>
        <w:t>、中国政府采购网（www.ccgp.gov.cn）列入失信被执行人、重大税收违法案件当事人名单、政府采购严重违法失信行为记录名单；</w:t>
      </w:r>
    </w:p>
    <w:p w14:paraId="7068A972">
      <w:pPr>
        <w:shd w:val="clea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w:t>
      </w:r>
    </w:p>
    <w:p w14:paraId="1BE23A6E">
      <w:pPr>
        <w:shd w:val="clea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21F70EA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249FA0A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3BF24483">
      <w:pPr>
        <w:shd w:val="clea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24A39304">
      <w:pPr>
        <w:shd w:val="clea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61191240">
      <w:pPr>
        <w:shd w:val="clear"/>
        <w:rPr>
          <w:rFonts w:ascii="宋体" w:hAnsi="宋体" w:cs="宋体"/>
          <w:color w:val="000000" w:themeColor="text1"/>
          <w:highlight w:val="none"/>
          <w14:textFill>
            <w14:solidFill>
              <w14:schemeClr w14:val="tx1"/>
            </w14:solidFill>
          </w14:textFill>
        </w:rPr>
      </w:pPr>
    </w:p>
    <w:p w14:paraId="0B4DC262">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3F482E9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5F0F473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.本项目的特定资格要求：供应商须</w:t>
      </w:r>
      <w:r>
        <w:rPr>
          <w:rFonts w:hint="eastAsia" w:ascii="宋体" w:hAnsi="宋体" w:cs="宋体"/>
          <w:color w:val="000000" w:themeColor="text1"/>
          <w:sz w:val="24"/>
          <w:highlight w:val="none"/>
          <w:lang w:val="en-US" w:eastAsia="zh-CN"/>
          <w14:textFill>
            <w14:solidFill>
              <w14:schemeClr w14:val="tx1"/>
            </w14:solidFill>
          </w14:textFill>
        </w:rPr>
        <w:t>提供</w:t>
      </w:r>
      <w:r>
        <w:rPr>
          <w:rFonts w:hint="eastAsia" w:ascii="宋体" w:hAnsi="宋体" w:cs="宋体"/>
          <w:color w:val="000000" w:themeColor="text1"/>
          <w:sz w:val="24"/>
          <w:highlight w:val="none"/>
          <w14:textFill>
            <w14:solidFill>
              <w14:schemeClr w14:val="tx1"/>
            </w14:solidFill>
          </w14:textFill>
        </w:rPr>
        <w:t>有效的食品经营许可证【主体业态：食品销售经营者，经营项目中具有预包装食品销售及散装食品销售】（投标文件中</w:t>
      </w:r>
      <w:r>
        <w:rPr>
          <w:rFonts w:hint="eastAsia" w:ascii="宋体" w:hAnsi="宋体" w:cs="宋体"/>
          <w:color w:val="000000" w:themeColor="text1"/>
          <w:sz w:val="24"/>
          <w:highlight w:val="none"/>
          <w:lang w:val="en-US" w:eastAsia="zh-CN"/>
          <w14:textFill>
            <w14:solidFill>
              <w14:schemeClr w14:val="tx1"/>
            </w14:solidFill>
          </w14:textFill>
        </w:rPr>
        <w:t>需提供</w:t>
      </w:r>
      <w:r>
        <w:rPr>
          <w:rFonts w:hint="eastAsia" w:ascii="宋体" w:hAnsi="宋体" w:cs="宋体"/>
          <w:color w:val="000000" w:themeColor="text1"/>
          <w:sz w:val="24"/>
          <w:highlight w:val="none"/>
          <w14:textFill>
            <w14:solidFill>
              <w14:schemeClr w14:val="tx1"/>
            </w14:solidFill>
          </w14:textFill>
        </w:rPr>
        <w:t>证</w:t>
      </w:r>
      <w:r>
        <w:rPr>
          <w:rFonts w:hint="eastAsia" w:ascii="宋体" w:hAnsi="宋体" w:cs="宋体"/>
          <w:color w:val="000000" w:themeColor="text1"/>
          <w:sz w:val="24"/>
          <w:highlight w:val="none"/>
          <w:lang w:val="en-US" w:eastAsia="zh-CN"/>
          <w14:textFill>
            <w14:solidFill>
              <w14:schemeClr w14:val="tx1"/>
            </w14:solidFill>
          </w14:textFill>
        </w:rPr>
        <w:t>书扫描件</w:t>
      </w:r>
      <w:r>
        <w:rPr>
          <w:rFonts w:hint="eastAsia" w:ascii="宋体" w:hAnsi="宋体" w:cs="宋体"/>
          <w:color w:val="000000" w:themeColor="text1"/>
          <w:sz w:val="24"/>
          <w:highlight w:val="none"/>
          <w14:textFill>
            <w14:solidFill>
              <w14:schemeClr w14:val="tx1"/>
            </w14:solidFill>
          </w14:textFill>
        </w:rPr>
        <w:t>加盖公章</w:t>
      </w:r>
      <w:r>
        <w:rPr>
          <w:rFonts w:hint="eastAsia" w:ascii="宋体" w:hAnsi="宋体" w:cs="宋体"/>
          <w:color w:val="000000" w:themeColor="text1"/>
          <w:sz w:val="24"/>
          <w:highlight w:val="none"/>
          <w:lang w:eastAsia="zh-CN"/>
          <w14:textFill>
            <w14:solidFill>
              <w14:schemeClr w14:val="tx1"/>
            </w14:solidFill>
          </w14:textFill>
        </w:rPr>
        <w:t>）。</w:t>
      </w:r>
    </w:p>
    <w:p w14:paraId="2CEC9D91">
      <w:pPr>
        <w:shd w:val="clea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DD02A0">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479450E5">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25</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C2D2368">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1AF5100">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163DC1E">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1A6A244">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0276DBF4">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lang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08</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6CBC8631">
      <w:pPr>
        <w:shd w:val="clea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宁波市海曙区营商环境服务中心</w:t>
      </w:r>
      <w:r>
        <w:rPr>
          <w:rFonts w:hint="eastAsia" w:asciiTheme="minorEastAsia" w:hAnsiTheme="minorEastAsia" w:eastAsiaTheme="minorEastAsia"/>
          <w:color w:val="000000" w:themeColor="text1"/>
          <w:sz w:val="24"/>
          <w:highlight w:val="none"/>
          <w14:textFill>
            <w14:solidFill>
              <w14:schemeClr w14:val="tx1"/>
            </w14:solidFill>
          </w14:textFill>
        </w:rPr>
        <w:t>二楼开标室（</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[宁波市海曙区气象路58号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南门上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1B94F476">
      <w:pPr>
        <w:shd w:val="clea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08</w:t>
      </w:r>
      <w:r>
        <w:rPr>
          <w:rFonts w:hint="eastAsia" w:ascii="宋体" w:hAnsi="宋体" w:cs="宋体"/>
          <w:color w:val="000000" w:themeColor="text1"/>
          <w:sz w:val="24"/>
          <w:highlight w:val="none"/>
          <w:u w:val="single"/>
          <w:lang w:eastAsia="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lang w:eastAsia="zh-CN"/>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lang w:eastAsia="zh-CN"/>
          <w14:textFill>
            <w14:solidFill>
              <w14:schemeClr w14:val="tx1"/>
            </w14:solidFill>
          </w14:textFill>
        </w:rPr>
        <w:t>分00秒</w:t>
      </w:r>
    </w:p>
    <w:p w14:paraId="422CF910">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宁波市海曙区营商环境服务中心</w:t>
      </w:r>
      <w:r>
        <w:rPr>
          <w:rFonts w:hint="eastAsia" w:asciiTheme="minorEastAsia" w:hAnsiTheme="minorEastAsia" w:eastAsiaTheme="minorEastAsia"/>
          <w:color w:val="000000" w:themeColor="text1"/>
          <w:sz w:val="24"/>
          <w:highlight w:val="none"/>
          <w14:textFill>
            <w14:solidFill>
              <w14:schemeClr w14:val="tx1"/>
            </w14:solidFill>
          </w14:textFill>
        </w:rPr>
        <w:t>二楼开标室（</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[宁波市海曙区气象路58号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南门上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]。政采云平台（https://www.zcygov.cn/）</w:t>
      </w:r>
    </w:p>
    <w:p w14:paraId="4EB4474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29AEC67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270C6C9B">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59A6CAA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95F8FE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项目采购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询问质疑投诉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询问列表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鼓励供应商在线提起质疑，路径为：政采云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项目采购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询问质疑投诉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质疑列表。质疑供应商对在线质疑答复不满意的，可在线提起投诉，路径为：浙江政府服务网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政府采购投诉处理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在线办理。</w:t>
      </w:r>
    </w:p>
    <w:p w14:paraId="2F3D432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AA860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点击“商家入驻”，进行政府采购供应商资料填写；申领CA数字证书---申领流程详见“浙江政府采购网-下载专区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电子交易客户端-CA驱动和申领流程”；安装“政采云电子交易客户端”----前往“浙江政府采购网-下载专区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导入投标文件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标书关联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标书检查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帮助文档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项目采购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操作流程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政府采购项目电子交易管理操作指南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供应商”。（3）招标文件公告期限与招标公告的公告期限一致。（</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招标公告中二、申请人的资格要求：第一条中的“重大税收违法案件当事人名单”即为“重大税收违法失信主体”。（5）海曙区“政采贷”助力中小企业金融服务，有需要的中标（成交）供应商请于网站https://jyxt.zwb.ningbo.gov.cn:4011/website/announcementDetails?article_ID=9174636&amp;code=0101&amp;project_ID=N&amp;isShowTypeSteps=false&amp;project_NO=N&amp;sidebarID办理具体业务。（6）本公告发布媒体：浙江政府采购网（http://www.ccgp-zhejiang.gov.cn/site/home）、浙江省公共资源交易服务平台（https://ggzy.zj.gov.cn/）、宁波政府采购(https://zfcg.czj.ningbo.gov.cn/)、宁波市公共资源交易电子服务系统（甬易阳光）（jyxt.zwb.ningbo.gov.cn:4011）、宁波中基国际招标有限公司网（www.cbbidding.com）。</w:t>
      </w:r>
    </w:p>
    <w:p w14:paraId="2DBCE4CD">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E361FB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5A4A0E8">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 xml:space="preserve"> </w:t>
      </w:r>
    </w:p>
    <w:p w14:paraId="0E26447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址：宁波市海曙区环城西路南段475号      </w:t>
      </w:r>
    </w:p>
    <w:p w14:paraId="1F2D026A">
      <w:pPr>
        <w:shd w:val="clea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7FF0CE6E">
      <w:pPr>
        <w:shd w:val="clea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朱老师</w:t>
      </w:r>
      <w:r>
        <w:rPr>
          <w:rFonts w:hint="eastAsia" w:ascii="宋体" w:hAnsi="宋体" w:cs="宋体"/>
          <w:color w:val="000000" w:themeColor="text1"/>
          <w:sz w:val="24"/>
          <w:highlight w:val="none"/>
          <w14:textFill>
            <w14:solidFill>
              <w14:schemeClr w14:val="tx1"/>
            </w14:solidFill>
          </w14:textFill>
        </w:rPr>
        <w:t xml:space="preserve">  </w:t>
      </w:r>
    </w:p>
    <w:p w14:paraId="744DDFF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项目联系方式（询问）：0574-87112726 </w:t>
      </w:r>
    </w:p>
    <w:p w14:paraId="2552879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王老师</w:t>
      </w:r>
      <w:r>
        <w:rPr>
          <w:rFonts w:hint="eastAsia" w:ascii="宋体" w:hAnsi="宋体" w:cs="宋体"/>
          <w:color w:val="000000" w:themeColor="text1"/>
          <w:sz w:val="24"/>
          <w:highlight w:val="none"/>
          <w14:textFill>
            <w14:solidFill>
              <w14:schemeClr w14:val="tx1"/>
            </w14:solidFill>
          </w14:textFill>
        </w:rPr>
        <w:t xml:space="preserve"> </w:t>
      </w:r>
    </w:p>
    <w:p w14:paraId="545E98EC">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质疑联系方式：0574-87512336</w:t>
      </w:r>
    </w:p>
    <w:p w14:paraId="1908B34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6BA13EAF">
      <w:pPr>
        <w:shd w:val="clea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称：宁波中基国际招标有限公司</w:t>
      </w:r>
    </w:p>
    <w:p w14:paraId="57EF4ED9">
      <w:pPr>
        <w:shd w:val="clea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址：宁波市鄞州区天童南路666号中基大厦19楼</w:t>
      </w:r>
    </w:p>
    <w:p w14:paraId="1EFBA168">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2142D85A">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项目联系人（询问）：王莹巧 </w:t>
      </w:r>
    </w:p>
    <w:p w14:paraId="0908921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项目联系方式（询问）：0574-87425</w:t>
      </w:r>
      <w:r>
        <w:rPr>
          <w:rFonts w:hint="eastAsia" w:ascii="宋体" w:hAnsi="宋体" w:cs="宋体"/>
          <w:color w:val="000000" w:themeColor="text1"/>
          <w:sz w:val="24"/>
          <w:highlight w:val="none"/>
          <w:lang w:val="en-US" w:eastAsia="zh-CN"/>
          <w14:textFill>
            <w14:solidFill>
              <w14:schemeClr w14:val="tx1"/>
            </w14:solidFill>
          </w14:textFill>
        </w:rPr>
        <w:t>583</w:t>
      </w:r>
    </w:p>
    <w:p w14:paraId="34388BE5">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质疑联系人：周旭坤 </w:t>
      </w:r>
    </w:p>
    <w:p w14:paraId="3ABF1FE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质疑联系方式：0574-8742</w:t>
      </w:r>
      <w:r>
        <w:rPr>
          <w:rFonts w:hint="eastAsia" w:ascii="宋体" w:hAnsi="宋体" w:cs="宋体"/>
          <w:color w:val="000000" w:themeColor="text1"/>
          <w:sz w:val="24"/>
          <w:highlight w:val="none"/>
          <w:lang w:val="en-US" w:eastAsia="zh-CN"/>
          <w14:textFill>
            <w14:solidFill>
              <w14:schemeClr w14:val="tx1"/>
            </w14:solidFill>
          </w14:textFill>
        </w:rPr>
        <w:t>6203</w:t>
      </w:r>
    </w:p>
    <w:p w14:paraId="6CA82BD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76698975">
      <w:pPr>
        <w:shd w:val="clea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名    称：宁波市海曙区采购管理办公室</w:t>
      </w:r>
    </w:p>
    <w:p w14:paraId="4B1D0AC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址：宁波市海曙区大梁街48号天之海大厦 </w:t>
      </w:r>
    </w:p>
    <w:p w14:paraId="422949C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4945E0BA">
      <w:pPr>
        <w:shd w:val="clea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人：王老师</w:t>
      </w:r>
    </w:p>
    <w:p w14:paraId="7115A576">
      <w:pPr>
        <w:shd w:val="clea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投诉电话：0574-87297540 </w:t>
      </w:r>
    </w:p>
    <w:p w14:paraId="44BD283A">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990A875">
      <w:pPr>
        <w:shd w:val="clea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141E94A0">
      <w:pPr>
        <w:widowControl/>
        <w:shd w:val="clear"/>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69A7B4B1">
      <w:pPr>
        <w:shd w:val="clear"/>
        <w:adjustRightInd/>
        <w:spacing w:line="360" w:lineRule="auto"/>
        <w:jc w:val="center"/>
        <w:outlineLvl w:val="0"/>
        <w:rPr>
          <w:rFonts w:hint="eastAsia" w:ascii="宋体" w:hAnsi="宋体" w:eastAsia="宋体" w:cs="宋体"/>
          <w:b/>
          <w:color w:val="000000" w:themeColor="text1"/>
          <w:sz w:val="36"/>
          <w:szCs w:val="20"/>
          <w:highlight w:val="none"/>
          <w:lang w:val="en-US" w:eastAsia="zh-CN"/>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EF70FBE">
      <w:pPr>
        <w:shd w:val="clea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2BE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9BE6B76">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36FAB2">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272F8">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12B60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9F7E7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F91194">
            <w:pPr>
              <w:keepNext w:val="0"/>
              <w:keepLines w:val="0"/>
              <w:suppressLineNumbers w:val="0"/>
              <w:shd w:val="clear"/>
              <w:snapToGrid w:val="0"/>
              <w:spacing w:before="0" w:beforeAutospacing="0" w:after="0" w:afterAutospacing="0" w:line="360" w:lineRule="auto"/>
              <w:ind w:left="0" w:right="0"/>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A86F7">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7F2FC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0BC940">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54BB0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A8602">
            <w:pPr>
              <w:keepNext w:val="0"/>
              <w:keepLines w:val="0"/>
              <w:suppressLineNumbers w:val="0"/>
              <w:snapToGrid w:val="0"/>
              <w:spacing w:before="0" w:beforeAutospacing="0" w:after="0" w:afterAutospacing="0" w:line="360" w:lineRule="auto"/>
              <w:ind w:left="0" w:right="0"/>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本项目为专门面向中小企业采购。</w:t>
            </w:r>
          </w:p>
          <w:p w14:paraId="1DE6E99F">
            <w:pPr>
              <w:keepNext w:val="0"/>
              <w:keepLines w:val="0"/>
              <w:suppressLineNumbers w:val="0"/>
              <w:snapToGrid w:val="0"/>
              <w:spacing w:before="0" w:beforeAutospacing="0" w:after="0" w:afterAutospacing="0" w:line="360" w:lineRule="auto"/>
              <w:ind w:left="0" w:right="0"/>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标项1：</w:t>
            </w:r>
          </w:p>
          <w:p w14:paraId="3272778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2025-2026年度午餐原材料配送服务标项1</w:t>
            </w:r>
            <w:r>
              <w:rPr>
                <w:rFonts w:hint="eastAsia" w:ascii="宋体" w:hAnsi="宋体" w:eastAsia="宋体" w:cs="宋体"/>
                <w:color w:val="000000" w:themeColor="text1"/>
                <w:kern w:val="0"/>
                <w:sz w:val="24"/>
                <w:highlight w:val="none"/>
                <w:u w:val="none"/>
                <w14:textFill>
                  <w14:solidFill>
                    <w14:schemeClr w14:val="tx1"/>
                  </w14:solidFill>
                </w14:textFill>
              </w:rPr>
              <w:t>，属于</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批发业</w:t>
            </w:r>
            <w:r>
              <w:rPr>
                <w:rFonts w:hint="eastAsia" w:ascii="宋体" w:hAnsi="宋体" w:eastAsia="宋体" w:cs="宋体"/>
                <w:color w:val="000000" w:themeColor="text1"/>
                <w:kern w:val="0"/>
                <w:sz w:val="24"/>
                <w:highlight w:val="none"/>
                <w:u w:val="none"/>
                <w14:textFill>
                  <w14:solidFill>
                    <w14:schemeClr w14:val="tx1"/>
                  </w14:solidFill>
                </w14:textFill>
              </w:rPr>
              <w:t>；</w:t>
            </w:r>
          </w:p>
          <w:p w14:paraId="4DAEE967">
            <w:pPr>
              <w:keepNext w:val="0"/>
              <w:keepLines w:val="0"/>
              <w:suppressLineNumbers w:val="0"/>
              <w:snapToGrid w:val="0"/>
              <w:spacing w:before="0" w:beforeAutospacing="0" w:after="0" w:afterAutospacing="0" w:line="360" w:lineRule="auto"/>
              <w:ind w:left="0" w:right="0"/>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标项2：</w:t>
            </w:r>
          </w:p>
          <w:p w14:paraId="47DEBD21">
            <w:pPr>
              <w:pStyle w:val="79"/>
              <w:keepNext w:val="0"/>
              <w:keepLines w:val="0"/>
              <w:suppressLineNumbers w:val="0"/>
              <w:spacing w:before="0" w:beforeAutospacing="0" w:after="0" w:afterAutospacing="0"/>
              <w:ind w:left="0" w:leftChars="0" w:right="0" w:firstLine="0" w:firstLineChars="0"/>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标的</w:t>
            </w:r>
            <w:r>
              <w:rPr>
                <w:rFonts w:hint="eastAsia" w:ascii="宋体" w:hAnsi="宋体" w:eastAsia="宋体" w:cs="宋体"/>
                <w:color w:val="000000" w:themeColor="text1"/>
                <w:kern w:val="0"/>
                <w:sz w:val="24"/>
                <w:highlight w:val="none"/>
                <w:u w:val="none"/>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2025-2026年度午餐原材料配送服务标项2</w:t>
            </w:r>
            <w:r>
              <w:rPr>
                <w:rFonts w:hint="eastAsia" w:ascii="宋体" w:hAnsi="宋体" w:eastAsia="宋体" w:cs="宋体"/>
                <w:color w:val="000000" w:themeColor="text1"/>
                <w:kern w:val="0"/>
                <w:sz w:val="24"/>
                <w:highlight w:val="none"/>
                <w:u w:val="none"/>
                <w14:textFill>
                  <w14:solidFill>
                    <w14:schemeClr w14:val="tx1"/>
                  </w14:solidFill>
                </w14:textFill>
              </w:rPr>
              <w:t>，属于</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批发业</w:t>
            </w:r>
            <w:r>
              <w:rPr>
                <w:rFonts w:hint="eastAsia" w:ascii="宋体" w:hAnsi="宋体" w:eastAsia="宋体" w:cs="宋体"/>
                <w:color w:val="000000" w:themeColor="text1"/>
                <w:kern w:val="0"/>
                <w:sz w:val="24"/>
                <w:highlight w:val="none"/>
                <w:u w:val="none"/>
                <w14:textFill>
                  <w14:solidFill>
                    <w14:schemeClr w14:val="tx1"/>
                  </w14:solidFill>
                </w14:textFill>
              </w:rPr>
              <w:t>；</w:t>
            </w:r>
          </w:p>
        </w:tc>
      </w:tr>
      <w:tr w14:paraId="533DA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F5813E">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E7CF74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896C6D">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1618D58">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547CE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7D926C">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5D9861">
            <w:pPr>
              <w:keepNext w:val="0"/>
              <w:keepLines w:val="0"/>
              <w:suppressLineNumbers w:val="0"/>
              <w:shd w:val="clear"/>
              <w:snapToGrid w:val="0"/>
              <w:spacing w:before="0" w:beforeAutospacing="0" w:after="0" w:afterAutospacing="0" w:line="360" w:lineRule="auto"/>
              <w:ind w:left="0" w:right="0" w:firstLine="482" w:firstLineChars="200"/>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01A9B0E">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default"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3910F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57923C">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CB299B">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34487">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D0AEA27">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2E967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24B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A83FD3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801E5">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6C2D90F1">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14:paraId="77B8D110">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332FE0D">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63F9700">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34AE3B24">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DC563F9">
            <w:pPr>
              <w:keepNext w:val="0"/>
              <w:keepLines w:val="0"/>
              <w:suppressLineNumbers w:val="0"/>
              <w:shd w:val="clear"/>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E882A76">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2380B13D">
            <w:pPr>
              <w:keepNext w:val="0"/>
              <w:keepLines w:val="0"/>
              <w:suppressLineNumbers w:val="0"/>
              <w:shd w:val="clear"/>
              <w:spacing w:before="0" w:beforeAutospacing="0" w:after="0" w:afterAutospacing="0" w:line="360" w:lineRule="auto"/>
              <w:ind w:left="0" w:right="0"/>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17FB9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7CF20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BAD6F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74EED2">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5359167">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7040B5ED">
            <w:pPr>
              <w:keepNext w:val="0"/>
              <w:keepLines w:val="0"/>
              <w:suppressLineNumbers w:val="0"/>
              <w:shd w:val="clear"/>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编制时可根据项目情况进行调整</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01F25CFD">
            <w:pPr>
              <w:keepNext w:val="0"/>
              <w:keepLines w:val="0"/>
              <w:suppressLineNumbers w:val="0"/>
              <w:shd w:val="clear"/>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709728DC">
            <w:pPr>
              <w:keepNext w:val="0"/>
              <w:keepLines w:val="0"/>
              <w:suppressLineNumbers w:val="0"/>
              <w:shd w:val="clear"/>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7FB6E91C">
            <w:pPr>
              <w:keepNext w:val="0"/>
              <w:keepLines w:val="0"/>
              <w:suppressLineNumbers w:val="0"/>
              <w:shd w:val="clear"/>
              <w:snapToGrid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95068D4">
            <w:pPr>
              <w:keepNext w:val="0"/>
              <w:keepLines w:val="0"/>
              <w:suppressLineNumbers w:val="0"/>
              <w:shd w:val="clear"/>
              <w:snapToGrid w:val="0"/>
              <w:spacing w:before="0" w:beforeAutospacing="0" w:after="0" w:afterAutospacing="0" w:line="360" w:lineRule="auto"/>
              <w:ind w:left="0" w:right="0"/>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69B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B7AE3E2">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6BF0F2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257A65">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514F01CE">
            <w:pPr>
              <w:keepNext w:val="0"/>
              <w:keepLines w:val="0"/>
              <w:suppressLineNumbers w:val="0"/>
              <w:shd w:val="clear"/>
              <w:spacing w:before="0" w:beforeAutospacing="0" w:after="0" w:afterAutospacing="0" w:line="360" w:lineRule="auto"/>
              <w:ind w:left="0" w:right="0"/>
              <w:rPr>
                <w:rFonts w:hint="default"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36C7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151B60D9">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EE2022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F30888">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29831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36A8EC">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B73F6D">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A6B2AF">
            <w:pPr>
              <w:keepNext w:val="0"/>
              <w:keepLines w:val="0"/>
              <w:suppressLineNumbers w:val="0"/>
              <w:shd w:val="clear"/>
              <w:snapToGrid w:val="0"/>
              <w:spacing w:before="0" w:beforeAutospacing="0" w:after="0" w:afterAutospacing="0" w:line="360" w:lineRule="auto"/>
              <w:ind w:left="0" w:right="0"/>
              <w:rPr>
                <w:rFonts w:hint="default"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82D3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47D42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5DFE09">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C18DA35">
            <w:pPr>
              <w:keepNext w:val="0"/>
              <w:keepLines w:val="0"/>
              <w:suppressLineNumbers w:val="0"/>
              <w:shd w:val="clear"/>
              <w:snapToGrid w:val="0"/>
              <w:spacing w:before="0" w:beforeAutospacing="0" w:after="0" w:afterAutospacing="0" w:line="360" w:lineRule="auto"/>
              <w:ind w:left="0" w:right="0"/>
              <w:jc w:val="left"/>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eastAsia="zh-CN"/>
                <w14:textFill>
                  <w14:solidFill>
                    <w14:schemeClr w14:val="tx1"/>
                  </w14:solidFill>
                </w14:textFill>
              </w:rPr>
              <w:t>本项目采用投标折扣系数形式报价，要求分别报出不同类别原材料供应的投标折扣系数。具体供应食品价格须包含原材料成本、包装、运输费（送货到采购人指定的现场）、保险、上下车、利润、税金、政策性规费、售后服务等所有中标人应承担的全部费用。投标折扣系数最高限价：100%，超出投标折扣系数最高限价的投标将作为无效标处理。</w:t>
            </w:r>
          </w:p>
          <w:p w14:paraId="3A189C18">
            <w:pPr>
              <w:keepNext w:val="0"/>
              <w:keepLines w:val="0"/>
              <w:suppressLineNumbers w:val="0"/>
              <w:shd w:val="clear"/>
              <w:snapToGrid w:val="0"/>
              <w:spacing w:before="0" w:beforeAutospacing="0" w:after="0" w:afterAutospacing="0" w:line="360" w:lineRule="auto"/>
              <w:ind w:left="0" w:right="0"/>
              <w:jc w:val="left"/>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670DDC6B">
            <w:pPr>
              <w:keepNext w:val="0"/>
              <w:keepLines w:val="0"/>
              <w:suppressLineNumbers w:val="0"/>
              <w:shd w:val="clear"/>
              <w:snapToGrid w:val="0"/>
              <w:spacing w:before="0" w:beforeAutospacing="0" w:after="0" w:afterAutospacing="0" w:line="360" w:lineRule="auto"/>
              <w:ind w:left="0" w:right="0" w:firstLine="241" w:firstLineChars="100"/>
              <w:jc w:val="left"/>
              <w:rPr>
                <w:rFonts w:hint="default"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59586536">
            <w:pPr>
              <w:keepNext w:val="0"/>
              <w:keepLines w:val="0"/>
              <w:suppressLineNumbers w:val="0"/>
              <w:shd w:val="clear"/>
              <w:snapToGrid w:val="0"/>
              <w:spacing w:before="0" w:beforeAutospacing="0" w:after="0" w:afterAutospacing="0" w:line="360" w:lineRule="auto"/>
              <w:ind w:left="0" w:right="0" w:firstLine="241" w:firstLineChars="100"/>
              <w:jc w:val="left"/>
              <w:rPr>
                <w:rFonts w:hint="default"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9E4937F">
            <w:pPr>
              <w:keepNext w:val="0"/>
              <w:keepLines w:val="0"/>
              <w:suppressLineNumbers w:val="0"/>
              <w:shd w:val="clear"/>
              <w:spacing w:before="0" w:beforeAutospacing="0" w:after="0" w:afterAutospacing="0" w:line="360" w:lineRule="auto"/>
              <w:ind w:left="0" w:right="0" w:firstLine="241" w:firstLineChars="100"/>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kern w:val="0"/>
                <w:sz w:val="24"/>
                <w:highlight w:val="none"/>
                <w:lang w:eastAsia="zh-CN"/>
                <w14:textFill>
                  <w14:solidFill>
                    <w14:schemeClr w14:val="tx1"/>
                  </w14:solidFill>
                </w14:textFill>
              </w:rPr>
              <w:t>；</w:t>
            </w:r>
          </w:p>
          <w:p w14:paraId="19C674D5">
            <w:pPr>
              <w:keepNext w:val="0"/>
              <w:keepLines w:val="0"/>
              <w:suppressLineNumbers w:val="0"/>
              <w:shd w:val="clear"/>
              <w:spacing w:before="0" w:beforeAutospacing="0" w:after="0" w:afterAutospacing="0" w:line="360" w:lineRule="auto"/>
              <w:ind w:left="0" w:right="0" w:firstLine="241" w:firstLineChars="10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07CDC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7AC2EAA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274F65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70E8EDC">
            <w:pPr>
              <w:keepNext w:val="0"/>
              <w:keepLines w:val="0"/>
              <w:suppressLineNumbers w:val="0"/>
              <w:shd w:val="clear"/>
              <w:spacing w:before="0" w:beforeAutospacing="0" w:after="0" w:afterAutospacing="0" w:line="360" w:lineRule="auto"/>
              <w:ind w:left="0" w:right="0" w:firstLine="480" w:firstLineChars="20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3C3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86616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037394B">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备份投标文件送达</w:t>
            </w:r>
            <w:r>
              <w:rPr>
                <w:rFonts w:hint="eastAsia" w:ascii="宋体" w:hAnsi="宋体" w:cs="宋体"/>
                <w:b/>
                <w:color w:val="000000" w:themeColor="text1"/>
                <w:sz w:val="24"/>
                <w:highlight w:val="none"/>
                <w:lang w:val="en-US" w:eastAsia="zh-CN"/>
                <w14:textFill>
                  <w14:solidFill>
                    <w14:schemeClr w14:val="tx1"/>
                  </w14:solidFill>
                </w14:textFill>
              </w:rPr>
              <w:t>时间、</w:t>
            </w:r>
            <w:r>
              <w:rPr>
                <w:rFonts w:hint="eastAsia" w:ascii="宋体" w:hAnsi="宋体" w:cs="宋体"/>
                <w:b/>
                <w:color w:val="000000" w:themeColor="text1"/>
                <w:sz w:val="24"/>
                <w:highlight w:val="none"/>
                <w14:textFill>
                  <w14:solidFill>
                    <w14:schemeClr w14:val="tx1"/>
                  </w14:solidFill>
                </w14:textFill>
              </w:rPr>
              <w:t xml:space="preserve">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C38A1E">
            <w:pPr>
              <w:pStyle w:val="33"/>
              <w:keepNext w:val="0"/>
              <w:keepLines w:val="0"/>
              <w:suppressLineNumbers w:val="0"/>
              <w:shd w:val="clear"/>
              <w:spacing w:before="0" w:beforeAutospacing="0" w:after="0" w:afterAutospacing="0" w:line="360" w:lineRule="auto"/>
              <w:ind w:left="0" w:right="0"/>
              <w:rPr>
                <w:rFonts w:hint="eastAsia"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直接提交备份投标文件的</w:t>
            </w:r>
            <w:r>
              <w:rPr>
                <w:rFonts w:hint="eastAsia" w:hAnsi="宋体" w:cs="宋体"/>
                <w:color w:val="000000" w:themeColor="text1"/>
                <w:sz w:val="24"/>
                <w:szCs w:val="24"/>
                <w:highlight w:val="none"/>
                <w:lang w:eastAsia="zh-CN"/>
                <w14:textFill>
                  <w14:solidFill>
                    <w14:schemeClr w14:val="tx1"/>
                  </w14:solidFill>
                </w14:textFill>
              </w:rPr>
              <w:t>：</w:t>
            </w:r>
          </w:p>
          <w:p w14:paraId="56A0D3F7">
            <w:pPr>
              <w:pStyle w:val="33"/>
              <w:keepNext w:val="0"/>
              <w:keepLines w:val="0"/>
              <w:suppressLineNumbers w:val="0"/>
              <w:shd w:val="clear"/>
              <w:spacing w:before="0" w:beforeAutospacing="0" w:after="0" w:afterAutospacing="0" w:line="360" w:lineRule="auto"/>
              <w:ind w:left="0" w:right="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cs="宋体" w:asciiTheme="minorEastAsia" w:hAnsiTheme="minorEastAsia" w:eastAsiaTheme="minorEastAsia"/>
                <w:color w:val="000000" w:themeColor="text1"/>
                <w:kern w:val="28"/>
                <w:sz w:val="24"/>
                <w:szCs w:val="24"/>
                <w:highlight w:val="none"/>
                <w:u w:val="single"/>
                <w:lang w:val="en-US" w:eastAsia="zh-CN"/>
                <w14:textFill>
                  <w14:solidFill>
                    <w14:schemeClr w14:val="tx1"/>
                  </w14:solidFill>
                </w14:textFill>
              </w:rPr>
              <w:t>宁波市海曙区营商环境服务中心二楼开标室</w:t>
            </w:r>
            <w:r>
              <w:rPr>
                <w:rFonts w:hint="eastAsia" w:hAnsi="宋体" w:cs="宋体"/>
                <w:color w:val="000000" w:themeColor="text1"/>
                <w:kern w:val="28"/>
                <w:sz w:val="24"/>
                <w:szCs w:val="24"/>
                <w:highlight w:val="none"/>
                <w:u w:val="single"/>
                <w14:textFill>
                  <w14:solidFill>
                    <w14:schemeClr w14:val="tx1"/>
                  </w14:solidFill>
                </w14:textFill>
              </w:rPr>
              <w:t>[宁波市海曙区气象路58号</w:t>
            </w:r>
            <w:r>
              <w:rPr>
                <w:rFonts w:hint="eastAsia" w:hAnsi="宋体" w:cs="宋体"/>
                <w:color w:val="000000" w:themeColor="text1"/>
                <w:kern w:val="28"/>
                <w:sz w:val="24"/>
                <w:szCs w:val="24"/>
                <w:highlight w:val="none"/>
                <w:u w:val="single"/>
                <w:lang w:eastAsia="zh-CN"/>
                <w14:textFill>
                  <w14:solidFill>
                    <w14:schemeClr w14:val="tx1"/>
                  </w14:solidFill>
                </w14:textFill>
              </w:rPr>
              <w:t>（</w:t>
            </w:r>
            <w:r>
              <w:rPr>
                <w:rFonts w:hint="eastAsia" w:hAnsi="宋体" w:cs="宋体"/>
                <w:color w:val="000000" w:themeColor="text1"/>
                <w:kern w:val="28"/>
                <w:sz w:val="24"/>
                <w:szCs w:val="24"/>
                <w:highlight w:val="none"/>
                <w:u w:val="single"/>
                <w14:textFill>
                  <w14:solidFill>
                    <w14:schemeClr w14:val="tx1"/>
                  </w14:solidFill>
                </w14:textFill>
              </w:rPr>
              <w:t>南门上</w:t>
            </w:r>
            <w:r>
              <w:rPr>
                <w:rFonts w:hint="eastAsia" w:hAnsi="宋体" w:cs="宋体"/>
                <w:color w:val="000000" w:themeColor="text1"/>
                <w:kern w:val="28"/>
                <w:sz w:val="24"/>
                <w:szCs w:val="24"/>
                <w:highlight w:val="none"/>
                <w:u w:val="single"/>
                <w:lang w:eastAsia="zh-CN"/>
                <w14:textFill>
                  <w14:solidFill>
                    <w14:schemeClr w14:val="tx1"/>
                  </w14:solidFill>
                </w14:textFill>
              </w:rPr>
              <w:t>）</w:t>
            </w:r>
            <w:r>
              <w:rPr>
                <w:rFonts w:hint="eastAsia" w:hAnsi="宋体" w:cs="宋体"/>
                <w:color w:val="000000" w:themeColor="text1"/>
                <w:kern w:val="28"/>
                <w:sz w:val="24"/>
                <w:szCs w:val="24"/>
                <w:highlight w:val="none"/>
                <w:u w:val="single"/>
                <w14:textFill>
                  <w14:solidFill>
                    <w14:schemeClr w14:val="tx1"/>
                  </w14:solidFill>
                </w14:textFill>
              </w:rPr>
              <w:t>]。</w:t>
            </w:r>
          </w:p>
          <w:p w14:paraId="4551B1BF">
            <w:pPr>
              <w:pStyle w:val="33"/>
              <w:keepNext w:val="0"/>
              <w:keepLines w:val="0"/>
              <w:suppressLineNumbers w:val="0"/>
              <w:shd w:val="clear"/>
              <w:spacing w:before="0" w:beforeAutospacing="0" w:after="0" w:afterAutospacing="0" w:line="360" w:lineRule="auto"/>
              <w:ind w:left="0" w:right="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2</w:t>
            </w: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w:t>
            </w:r>
          </w:p>
          <w:p w14:paraId="17934905">
            <w:pPr>
              <w:pStyle w:val="33"/>
              <w:keepNext w:val="0"/>
              <w:keepLines w:val="0"/>
              <w:suppressLineNumbers w:val="0"/>
              <w:shd w:val="clear"/>
              <w:spacing w:before="0" w:beforeAutospacing="0" w:after="0" w:afterAutospacing="0" w:line="360" w:lineRule="auto"/>
              <w:ind w:left="0" w:right="0"/>
              <w:rPr>
                <w:rFonts w:hint="default" w:hAnsi="宋体" w:eastAsia="宋体" w:cs="宋体"/>
                <w:color w:val="000000" w:themeColor="text1"/>
                <w:kern w:val="28"/>
                <w:sz w:val="24"/>
                <w:szCs w:val="24"/>
                <w:highlight w:val="none"/>
                <w:lang w:val="en-US" w:eastAsia="zh-CN"/>
                <w14:textFill>
                  <w14:solidFill>
                    <w14:schemeClr w14:val="tx1"/>
                  </w14:solidFill>
                </w14:textFill>
              </w:rPr>
            </w:pPr>
            <w:r>
              <w:rPr>
                <w:rFonts w:hint="eastAsia" w:hAnsi="宋体" w:cs="宋体"/>
                <w:snapToGrid/>
                <w:color w:val="000000" w:themeColor="text1"/>
                <w:sz w:val="24"/>
                <w:szCs w:val="24"/>
                <w:highlight w:val="none"/>
                <w14:textFill>
                  <w14:solidFill>
                    <w14:schemeClr w14:val="tx1"/>
                  </w14:solidFill>
                </w14:textFill>
              </w:rPr>
              <w:t>备份投标文件送达</w:t>
            </w:r>
            <w:r>
              <w:rPr>
                <w:rFonts w:hint="eastAsia" w:hAnsi="宋体" w:cs="宋体"/>
                <w:color w:val="000000" w:themeColor="text1"/>
                <w:sz w:val="24"/>
                <w:szCs w:val="24"/>
                <w:highlight w:val="none"/>
                <w14:textFill>
                  <w14:solidFill>
                    <w14:schemeClr w14:val="tx1"/>
                  </w14:solidFill>
                </w14:textFill>
              </w:rPr>
              <w:t>截止时间</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
                <w:sz w:val="24"/>
                <w:szCs w:val="24"/>
                <w:highlight w:val="none"/>
                <w:u w:val="single"/>
                <w:lang w:val="en-US" w:eastAsia="zh-CN" w:bidi="ar-SA"/>
                <w14:textFill>
                  <w14:solidFill>
                    <w14:schemeClr w14:val="tx1"/>
                  </w14:solidFill>
                </w14:textFill>
              </w:rPr>
              <w:t>开标</w:t>
            </w:r>
            <w:r>
              <w:rPr>
                <w:rFonts w:hint="eastAsia" w:ascii="宋体" w:hAnsi="宋体" w:cs="宋体"/>
                <w:snapToGrid w:val="0"/>
                <w:color w:val="000000" w:themeColor="text1"/>
                <w:kern w:val="2"/>
                <w:sz w:val="24"/>
                <w:szCs w:val="24"/>
                <w:highlight w:val="none"/>
                <w:u w:val="single"/>
                <w:lang w:val="en-US" w:eastAsia="zh-CN" w:bidi="ar-SA"/>
                <w14:textFill>
                  <w14:solidFill>
                    <w14:schemeClr w14:val="tx1"/>
                  </w14:solidFill>
                </w14:textFill>
              </w:rPr>
              <w:t>时间前一个工作日的</w:t>
            </w:r>
            <w:r>
              <w:rPr>
                <w:rFonts w:hint="eastAsia" w:ascii="宋体" w:hAnsi="宋体" w:eastAsia="宋体" w:cs="宋体"/>
                <w:snapToGrid w:val="0"/>
                <w:color w:val="000000" w:themeColor="text1"/>
                <w:kern w:val="2"/>
                <w:sz w:val="24"/>
                <w:szCs w:val="24"/>
                <w:highlight w:val="none"/>
                <w:u w:val="single"/>
                <w:lang w:val="en-US" w:eastAsia="zh-CN" w:bidi="ar-SA"/>
                <w14:textFill>
                  <w14:solidFill>
                    <w14:schemeClr w14:val="tx1"/>
                  </w14:solidFill>
                </w14:textFill>
              </w:rPr>
              <w:t>16:00止。</w:t>
            </w:r>
          </w:p>
          <w:p w14:paraId="400B95A5">
            <w:pPr>
              <w:pStyle w:val="33"/>
              <w:keepNext w:val="0"/>
              <w:keepLines w:val="0"/>
              <w:suppressLineNumbers w:val="0"/>
              <w:shd w:val="clear"/>
              <w:spacing w:before="0" w:beforeAutospacing="0" w:after="0" w:afterAutospacing="0" w:line="360" w:lineRule="auto"/>
              <w:ind w:left="0" w:right="0"/>
              <w:rPr>
                <w:rFonts w:hint="default"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 宁波市鄞州区天童南路666号中基大厦19楼业务六部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 xml:space="preserve"> 0574-</w:t>
            </w:r>
            <w:r>
              <w:rPr>
                <w:rFonts w:hint="eastAsia" w:hAnsi="宋体" w:cs="宋体"/>
                <w:color w:val="000000" w:themeColor="text1"/>
                <w:sz w:val="24"/>
                <w:highlight w:val="none"/>
                <w:u w:val="single"/>
                <w:lang w:val="en-US" w:eastAsia="zh-CN"/>
                <w14:textFill>
                  <w14:solidFill>
                    <w14:schemeClr w14:val="tx1"/>
                  </w14:solidFill>
                </w14:textFill>
              </w:rPr>
              <w:t>87425583</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49E3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5504274C">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right w:val="single" w:color="000000" w:sz="8" w:space="0"/>
            </w:tcBorders>
            <w:vAlign w:val="center"/>
          </w:tcPr>
          <w:p w14:paraId="638DC240">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6534CAC4">
            <w:pPr>
              <w:keepNext w:val="0"/>
              <w:keepLines w:val="0"/>
              <w:suppressLineNumbers w:val="0"/>
              <w:shd w:val="clear"/>
              <w:spacing w:before="0" w:beforeAutospacing="0" w:after="0" w:afterAutospacing="0" w:line="360" w:lineRule="auto"/>
              <w:ind w:left="0" w:right="0"/>
              <w:rPr>
                <w:rFonts w:hint="default"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47464530"/>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含业绩证明材料</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的，视为符合了相关要求。</w:t>
            </w:r>
          </w:p>
        </w:tc>
      </w:tr>
      <w:tr w14:paraId="0FFC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5579BA">
            <w:pPr>
              <w:keepNext w:val="0"/>
              <w:keepLines w:val="0"/>
              <w:suppressLineNumbers w:val="0"/>
              <w:shd w:val="clear"/>
              <w:snapToGrid w:val="0"/>
              <w:spacing w:before="0" w:beforeAutospacing="0" w:after="0" w:afterAutospacing="0" w:line="360" w:lineRule="auto"/>
              <w:ind w:left="0" w:right="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FCCF6D9">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服务费</w:t>
            </w:r>
          </w:p>
        </w:tc>
        <w:tc>
          <w:tcPr>
            <w:tcW w:w="6095" w:type="dxa"/>
            <w:tcBorders>
              <w:top w:val="single" w:color="auto" w:sz="4" w:space="0"/>
              <w:left w:val="single" w:color="auto" w:sz="4" w:space="0"/>
              <w:bottom w:val="single" w:color="auto" w:sz="4" w:space="0"/>
              <w:right w:val="single" w:color="auto" w:sz="4" w:space="0"/>
            </w:tcBorders>
            <w:vAlign w:val="center"/>
          </w:tcPr>
          <w:p w14:paraId="5B0ED97D">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采购代理按下表中服务招标标准（按差额定率累进法计算）的80%，根据各标项预算金额，向中标人收取中标服务费。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2F7D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7C940EBF">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p>
                <w:p w14:paraId="662906AE">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金额</w:t>
                  </w:r>
                </w:p>
                <w:p w14:paraId="4F849A00">
                  <w:pPr>
                    <w:keepNext w:val="0"/>
                    <w:keepLines w:val="0"/>
                    <w:suppressLineNumbers w:val="0"/>
                    <w:shd w:val="clear"/>
                    <w:spacing w:before="0" w:beforeAutospacing="0" w:after="0" w:afterAutospacing="0" w:line="360" w:lineRule="auto"/>
                    <w:ind w:left="0" w:right="0"/>
                    <mc:AlternateContent>
                      <mc:Choice Requires="wpsCustomData">
                        <wpsCustomData:diagonalParaType/>
                      </mc:Choice>
                    </mc:AlternateContent>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（万元）</w:t>
                  </w:r>
                </w:p>
                <w:p w14:paraId="4CD68534">
                  <w:pPr>
                    <w:keepNext w:val="0"/>
                    <w:keepLines w:val="0"/>
                    <w:suppressLineNumbers w:val="0"/>
                    <w:shd w:val="clear"/>
                    <w:spacing w:before="0" w:beforeAutospacing="0" w:after="0" w:afterAutospacing="0" w:line="360" w:lineRule="auto"/>
                    <w:ind w:left="0" w:right="0"/>
                    <mc:AlternateContent>
                      <mc:Choice Requires="wpsCustomData">
                        <wpsCustomData:diagonalParaType/>
                      </mc:Choice>
                    </mc:AlternateContent>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费率</w:t>
                  </w:r>
                </w:p>
                <w:p w14:paraId="66851F1E">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服务类型</w:t>
                  </w:r>
                </w:p>
              </w:tc>
              <w:tc>
                <w:tcPr>
                  <w:tcW w:w="832" w:type="dxa"/>
                  <w:noWrap w:val="0"/>
                  <w:tcMar>
                    <w:top w:w="30" w:type="dxa"/>
                    <w:left w:w="150" w:type="dxa"/>
                    <w:bottom w:w="30" w:type="dxa"/>
                    <w:right w:w="150" w:type="dxa"/>
                  </w:tcMar>
                  <w:vAlign w:val="center"/>
                </w:tcPr>
                <w:p w14:paraId="512E7090">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货物</w:t>
                  </w:r>
                </w:p>
                <w:p w14:paraId="57684A7A">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招标</w:t>
                  </w:r>
                </w:p>
              </w:tc>
              <w:tc>
                <w:tcPr>
                  <w:tcW w:w="859" w:type="dxa"/>
                  <w:noWrap w:val="0"/>
                  <w:tcMar>
                    <w:top w:w="30" w:type="dxa"/>
                    <w:left w:w="150" w:type="dxa"/>
                    <w:bottom w:w="30" w:type="dxa"/>
                    <w:right w:w="150" w:type="dxa"/>
                  </w:tcMar>
                  <w:vAlign w:val="center"/>
                </w:tcPr>
                <w:p w14:paraId="259BC2E0">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服务</w:t>
                  </w:r>
                </w:p>
                <w:p w14:paraId="5E8CC960">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招标</w:t>
                  </w:r>
                </w:p>
              </w:tc>
              <w:tc>
                <w:tcPr>
                  <w:tcW w:w="838" w:type="dxa"/>
                  <w:noWrap w:val="0"/>
                  <w:tcMar>
                    <w:top w:w="30" w:type="dxa"/>
                    <w:left w:w="150" w:type="dxa"/>
                    <w:bottom w:w="30" w:type="dxa"/>
                    <w:right w:w="150" w:type="dxa"/>
                  </w:tcMar>
                  <w:vAlign w:val="center"/>
                </w:tcPr>
                <w:p w14:paraId="06C401A5">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工程</w:t>
                  </w:r>
                </w:p>
                <w:p w14:paraId="07CD68AA">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招标</w:t>
                  </w:r>
                </w:p>
              </w:tc>
            </w:tr>
            <w:tr w14:paraId="650A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74CB1357">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100以下</w:t>
                  </w:r>
                </w:p>
              </w:tc>
              <w:tc>
                <w:tcPr>
                  <w:tcW w:w="832" w:type="dxa"/>
                  <w:noWrap w:val="0"/>
                  <w:tcMar>
                    <w:top w:w="30" w:type="dxa"/>
                    <w:left w:w="150" w:type="dxa"/>
                    <w:bottom w:w="30" w:type="dxa"/>
                    <w:right w:w="150" w:type="dxa"/>
                  </w:tcMar>
                  <w:vAlign w:val="center"/>
                </w:tcPr>
                <w:p w14:paraId="60044471">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1.5%</w:t>
                  </w:r>
                </w:p>
              </w:tc>
              <w:tc>
                <w:tcPr>
                  <w:tcW w:w="859" w:type="dxa"/>
                  <w:noWrap w:val="0"/>
                  <w:tcMar>
                    <w:top w:w="30" w:type="dxa"/>
                    <w:left w:w="150" w:type="dxa"/>
                    <w:bottom w:w="30" w:type="dxa"/>
                    <w:right w:w="150" w:type="dxa"/>
                  </w:tcMar>
                  <w:vAlign w:val="center"/>
                </w:tcPr>
                <w:p w14:paraId="0BDAA2EA">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1.5%</w:t>
                  </w:r>
                </w:p>
              </w:tc>
              <w:tc>
                <w:tcPr>
                  <w:tcW w:w="838" w:type="dxa"/>
                  <w:noWrap w:val="0"/>
                  <w:tcMar>
                    <w:top w:w="30" w:type="dxa"/>
                    <w:left w:w="150" w:type="dxa"/>
                    <w:bottom w:w="30" w:type="dxa"/>
                    <w:right w:w="150" w:type="dxa"/>
                  </w:tcMar>
                  <w:vAlign w:val="center"/>
                </w:tcPr>
                <w:p w14:paraId="131F4D8F">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1.0%</w:t>
                  </w:r>
                </w:p>
              </w:tc>
            </w:tr>
            <w:tr w14:paraId="0C23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F893D4B">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100-500</w:t>
                  </w:r>
                </w:p>
              </w:tc>
              <w:tc>
                <w:tcPr>
                  <w:tcW w:w="832" w:type="dxa"/>
                  <w:noWrap w:val="0"/>
                  <w:tcMar>
                    <w:top w:w="30" w:type="dxa"/>
                    <w:left w:w="150" w:type="dxa"/>
                    <w:bottom w:w="30" w:type="dxa"/>
                    <w:right w:w="150" w:type="dxa"/>
                  </w:tcMar>
                  <w:vAlign w:val="center"/>
                </w:tcPr>
                <w:p w14:paraId="4654D6A1">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1.1%</w:t>
                  </w:r>
                </w:p>
              </w:tc>
              <w:tc>
                <w:tcPr>
                  <w:tcW w:w="859" w:type="dxa"/>
                  <w:noWrap w:val="0"/>
                  <w:tcMar>
                    <w:top w:w="30" w:type="dxa"/>
                    <w:left w:w="150" w:type="dxa"/>
                    <w:bottom w:w="30" w:type="dxa"/>
                    <w:right w:w="150" w:type="dxa"/>
                  </w:tcMar>
                  <w:vAlign w:val="center"/>
                </w:tcPr>
                <w:p w14:paraId="7835943F">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0.8%</w:t>
                  </w:r>
                </w:p>
              </w:tc>
              <w:tc>
                <w:tcPr>
                  <w:tcW w:w="838" w:type="dxa"/>
                  <w:noWrap w:val="0"/>
                  <w:tcMar>
                    <w:top w:w="30" w:type="dxa"/>
                    <w:left w:w="150" w:type="dxa"/>
                    <w:bottom w:w="30" w:type="dxa"/>
                    <w:right w:w="150" w:type="dxa"/>
                  </w:tcMar>
                  <w:vAlign w:val="center"/>
                </w:tcPr>
                <w:p w14:paraId="3BEEE97C">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0.7%</w:t>
                  </w:r>
                </w:p>
              </w:tc>
            </w:tr>
            <w:tr w14:paraId="318A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72FB7124">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500-1000</w:t>
                  </w:r>
                </w:p>
              </w:tc>
              <w:tc>
                <w:tcPr>
                  <w:tcW w:w="832" w:type="dxa"/>
                  <w:noWrap w:val="0"/>
                  <w:tcMar>
                    <w:top w:w="30" w:type="dxa"/>
                    <w:left w:w="150" w:type="dxa"/>
                    <w:bottom w:w="30" w:type="dxa"/>
                    <w:right w:w="150" w:type="dxa"/>
                  </w:tcMar>
                  <w:vAlign w:val="center"/>
                </w:tcPr>
                <w:p w14:paraId="4189C026">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0.8%</w:t>
                  </w:r>
                </w:p>
              </w:tc>
              <w:tc>
                <w:tcPr>
                  <w:tcW w:w="859" w:type="dxa"/>
                  <w:noWrap w:val="0"/>
                  <w:tcMar>
                    <w:top w:w="30" w:type="dxa"/>
                    <w:left w:w="150" w:type="dxa"/>
                    <w:bottom w:w="30" w:type="dxa"/>
                    <w:right w:w="150" w:type="dxa"/>
                  </w:tcMar>
                  <w:vAlign w:val="center"/>
                </w:tcPr>
                <w:p w14:paraId="59CD7359">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0.45%</w:t>
                  </w:r>
                </w:p>
              </w:tc>
              <w:tc>
                <w:tcPr>
                  <w:tcW w:w="838" w:type="dxa"/>
                  <w:noWrap w:val="0"/>
                  <w:tcMar>
                    <w:top w:w="30" w:type="dxa"/>
                    <w:left w:w="150" w:type="dxa"/>
                    <w:bottom w:w="30" w:type="dxa"/>
                    <w:right w:w="150" w:type="dxa"/>
                  </w:tcMar>
                  <w:vAlign w:val="center"/>
                </w:tcPr>
                <w:p w14:paraId="54605901">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0.55%</w:t>
                  </w:r>
                </w:p>
              </w:tc>
            </w:tr>
            <w:tr w14:paraId="6A62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7F0FA2BD">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1000-5000</w:t>
                  </w:r>
                </w:p>
              </w:tc>
              <w:tc>
                <w:tcPr>
                  <w:tcW w:w="832" w:type="dxa"/>
                  <w:noWrap w:val="0"/>
                  <w:tcMar>
                    <w:top w:w="30" w:type="dxa"/>
                    <w:left w:w="150" w:type="dxa"/>
                    <w:bottom w:w="30" w:type="dxa"/>
                    <w:right w:w="150" w:type="dxa"/>
                  </w:tcMar>
                  <w:vAlign w:val="center"/>
                </w:tcPr>
                <w:p w14:paraId="227A9EED">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0.5%</w:t>
                  </w:r>
                </w:p>
              </w:tc>
              <w:tc>
                <w:tcPr>
                  <w:tcW w:w="859" w:type="dxa"/>
                  <w:noWrap w:val="0"/>
                  <w:tcMar>
                    <w:top w:w="30" w:type="dxa"/>
                    <w:left w:w="150" w:type="dxa"/>
                    <w:bottom w:w="30" w:type="dxa"/>
                    <w:right w:w="150" w:type="dxa"/>
                  </w:tcMar>
                  <w:vAlign w:val="center"/>
                </w:tcPr>
                <w:p w14:paraId="472C693A">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0.25%</w:t>
                  </w:r>
                </w:p>
              </w:tc>
              <w:tc>
                <w:tcPr>
                  <w:tcW w:w="838" w:type="dxa"/>
                  <w:noWrap w:val="0"/>
                  <w:tcMar>
                    <w:top w:w="30" w:type="dxa"/>
                    <w:left w:w="150" w:type="dxa"/>
                    <w:bottom w:w="30" w:type="dxa"/>
                    <w:right w:w="150" w:type="dxa"/>
                  </w:tcMar>
                  <w:vAlign w:val="center"/>
                </w:tcPr>
                <w:p w14:paraId="1D7FC737">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0.35%</w:t>
                  </w:r>
                </w:p>
              </w:tc>
            </w:tr>
            <w:tr w14:paraId="3385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5A0809C">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5000-10000</w:t>
                  </w:r>
                </w:p>
              </w:tc>
              <w:tc>
                <w:tcPr>
                  <w:tcW w:w="832" w:type="dxa"/>
                  <w:noWrap w:val="0"/>
                  <w:tcMar>
                    <w:top w:w="30" w:type="dxa"/>
                    <w:left w:w="150" w:type="dxa"/>
                    <w:bottom w:w="30" w:type="dxa"/>
                    <w:right w:w="150" w:type="dxa"/>
                  </w:tcMar>
                  <w:vAlign w:val="center"/>
                </w:tcPr>
                <w:p w14:paraId="667434EF">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0.25%</w:t>
                  </w:r>
                </w:p>
              </w:tc>
              <w:tc>
                <w:tcPr>
                  <w:tcW w:w="859" w:type="dxa"/>
                  <w:noWrap w:val="0"/>
                  <w:tcMar>
                    <w:top w:w="30" w:type="dxa"/>
                    <w:left w:w="150" w:type="dxa"/>
                    <w:bottom w:w="30" w:type="dxa"/>
                    <w:right w:w="150" w:type="dxa"/>
                  </w:tcMar>
                  <w:vAlign w:val="center"/>
                </w:tcPr>
                <w:p w14:paraId="04221863">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0.1%</w:t>
                  </w:r>
                </w:p>
              </w:tc>
              <w:tc>
                <w:tcPr>
                  <w:tcW w:w="838" w:type="dxa"/>
                  <w:noWrap w:val="0"/>
                  <w:tcMar>
                    <w:top w:w="30" w:type="dxa"/>
                    <w:left w:w="150" w:type="dxa"/>
                    <w:bottom w:w="30" w:type="dxa"/>
                    <w:right w:w="150" w:type="dxa"/>
                  </w:tcMar>
                  <w:vAlign w:val="center"/>
                </w:tcPr>
                <w:p w14:paraId="605A796E">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0.2%</w:t>
                  </w:r>
                </w:p>
              </w:tc>
            </w:tr>
            <w:tr w14:paraId="6B25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47736B23">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1亿～5亿</w:t>
                  </w:r>
                </w:p>
              </w:tc>
              <w:tc>
                <w:tcPr>
                  <w:tcW w:w="832" w:type="dxa"/>
                  <w:noWrap w:val="0"/>
                  <w:tcMar>
                    <w:top w:w="30" w:type="dxa"/>
                    <w:left w:w="150" w:type="dxa"/>
                    <w:bottom w:w="30" w:type="dxa"/>
                    <w:right w:w="150" w:type="dxa"/>
                  </w:tcMar>
                  <w:vAlign w:val="center"/>
                </w:tcPr>
                <w:p w14:paraId="6202E3C1">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0.05%</w:t>
                  </w:r>
                </w:p>
              </w:tc>
              <w:tc>
                <w:tcPr>
                  <w:tcW w:w="859" w:type="dxa"/>
                  <w:noWrap w:val="0"/>
                  <w:tcMar>
                    <w:top w:w="30" w:type="dxa"/>
                    <w:left w:w="150" w:type="dxa"/>
                    <w:bottom w:w="30" w:type="dxa"/>
                    <w:right w:w="150" w:type="dxa"/>
                  </w:tcMar>
                  <w:vAlign w:val="center"/>
                </w:tcPr>
                <w:p w14:paraId="04CC7EE1">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0.05%</w:t>
                  </w:r>
                </w:p>
              </w:tc>
              <w:tc>
                <w:tcPr>
                  <w:tcW w:w="838" w:type="dxa"/>
                  <w:noWrap w:val="0"/>
                  <w:tcMar>
                    <w:top w:w="30" w:type="dxa"/>
                    <w:left w:w="150" w:type="dxa"/>
                    <w:bottom w:w="30" w:type="dxa"/>
                    <w:right w:w="150" w:type="dxa"/>
                  </w:tcMar>
                  <w:vAlign w:val="center"/>
                </w:tcPr>
                <w:p w14:paraId="21429F44">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0.05%</w:t>
                  </w:r>
                </w:p>
              </w:tc>
            </w:tr>
          </w:tbl>
          <w:p w14:paraId="4B0D9631">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备注：</w:t>
            </w: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中标服务费</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只收现金、银行票汇款、电汇款。汇入以下账户：</w:t>
            </w:r>
          </w:p>
          <w:p w14:paraId="6E35370B">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开户银行： 宁波银行科技支行</w:t>
            </w:r>
          </w:p>
          <w:p w14:paraId="4C399D23">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账    号： 31010122000005488</w:t>
            </w:r>
          </w:p>
          <w:p w14:paraId="75F50595">
            <w:pPr>
              <w:keepNext w:val="0"/>
              <w:keepLines w:val="0"/>
              <w:suppressLineNumbers w:val="0"/>
              <w:shd w:val="clear"/>
              <w:spacing w:before="0" w:beforeAutospacing="0" w:after="0" w:afterAutospacing="0" w:line="360" w:lineRule="auto"/>
              <w:ind w:left="0" w:right="0"/>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lang w:val="en-US" w:eastAsia="zh-CN"/>
                <w14:textFill>
                  <w14:solidFill>
                    <w14:schemeClr w14:val="tx1"/>
                  </w14:solidFill>
                </w14:textFill>
              </w:rPr>
              <w:t>户    名： 宁波中基国际招标有限公司</w:t>
            </w:r>
          </w:p>
        </w:tc>
      </w:tr>
    </w:tbl>
    <w:p w14:paraId="78C7B4D1">
      <w:pPr>
        <w:shd w:val="clea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65370006">
      <w:pPr>
        <w:shd w:val="clea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14:paraId="0DA8852F">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1.适用范围</w:t>
      </w:r>
    </w:p>
    <w:p w14:paraId="742A2F25">
      <w:pPr>
        <w:shd w:val="clear"/>
        <w:snapToGrid w:val="0"/>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cs="宋体"/>
          <w:color w:val="000000" w:themeColor="text1"/>
          <w:sz w:val="24"/>
          <w:highlight w:val="none"/>
          <w14:textFill>
            <w14:solidFill>
              <w14:schemeClr w14:val="tx1"/>
            </w14:solidFill>
          </w14:textFill>
        </w:rPr>
        <w:t>另有规定的，从其规定）。</w:t>
      </w:r>
    </w:p>
    <w:p w14:paraId="2C83374E">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2.定义</w:t>
      </w:r>
    </w:p>
    <w:p w14:paraId="62F6B0E7">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16FF5644">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73DE02ED">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“投标人”系指响应招标、参加投标竞争的法人、其他组织或者自然人。</w:t>
      </w:r>
    </w:p>
    <w:p w14:paraId="7612EC5C">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A4C057A">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75A445">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623C248E">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sz w:val="24"/>
            <w:highlight w:val="none"/>
            <w14:textFill>
              <w14:solidFill>
                <w14:schemeClr w14:val="tx1"/>
              </w14:solidFill>
            </w14:textFill>
          </w:rPr>
        </w:sdtEndPr>
        <w:sdtContent>
          <w:r>
            <w:rPr>
              <w:rFonts w:hint="eastAsia" w:ascii="宋体" w:hAnsi="宋体" w:cs="宋体"/>
              <w:color w:val="000000" w:themeColor="text1"/>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sz w:val="24"/>
            <w:highlight w:val="none"/>
            <w14:textFill>
              <w14:solidFill>
                <w14:schemeClr w14:val="tx1"/>
              </w14:solidFill>
            </w14:textFill>
          </w:rPr>
        </w:sdtEndPr>
        <w:sdtContent>
          <w:r>
            <w:rPr>
              <w:rFonts w:hint="eastAsia" w:ascii="宋体" w:hAnsi="宋体" w:cs="宋体"/>
              <w:color w:val="000000" w:themeColor="text1"/>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046377F">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采购项目需要落实的政府采购政策</w:t>
      </w:r>
    </w:p>
    <w:p w14:paraId="5A9149AF">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不会对其加以限制，仍将按照公平竞争原则实施采购）；优先采购向我国企业转让技术、与我国企业签订消化吸收再创新方案的供应商的进口产品。</w:t>
      </w:r>
    </w:p>
    <w:p w14:paraId="7AB122D1">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A092FDE">
      <w:pPr>
        <w:shd w:val="clear"/>
        <w:spacing w:line="360" w:lineRule="auto"/>
        <w:ind w:leftChars="100"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15131D8">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41FC9E6D">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快递包装政府采购需求标准（试行）》。鼓励采购单位优先采购秸秆环保板材等资源综合利用产品。鼓励采购单位优先采购绿色物流配送服务、提供新能源交通工具的租赁服务。</w:t>
      </w:r>
    </w:p>
    <w:p w14:paraId="598C4457">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85247C2">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FED6B26">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E7A671">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29D46FC0">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3.3.2</w:t>
      </w:r>
      <w:r>
        <w:rPr>
          <w:rFonts w:hint="eastAsia" w:ascii="宋体" w:hAnsi="宋体" w:cs="宋体"/>
          <w:color w:val="000000" w:themeColor="text1"/>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EF86DF">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E793C7C">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07D83F">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CC20F80">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0ABD83">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255076">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8FDD9E7">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3.4支持创新发展</w:t>
      </w:r>
    </w:p>
    <w:p w14:paraId="7594BC1B">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6A1631A6">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04DC613B">
      <w:pPr>
        <w:shd w:val="clea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694D7335">
      <w:pPr>
        <w:shd w:val="clear"/>
        <w:snapToGrid w:val="0"/>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bCs/>
          <w:color w:val="000000" w:themeColor="text1"/>
          <w:sz w:val="24"/>
          <w:highlight w:val="none"/>
          <w14:textFill>
            <w14:solidFill>
              <w14:schemeClr w14:val="tx1"/>
            </w14:solidFill>
          </w14:textFill>
        </w:rPr>
        <w:t>4. 询问、质疑、投诉</w:t>
      </w:r>
    </w:p>
    <w:p w14:paraId="18F9B3DC">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A45AC9">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4.2供应商询问</w:t>
      </w:r>
    </w:p>
    <w:p w14:paraId="6D6355F6">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394856">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4.3供应商质疑</w:t>
      </w:r>
    </w:p>
    <w:p w14:paraId="31868AA2">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6063496">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提出质疑，否则，采购人或者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不予受理：</w:t>
      </w:r>
    </w:p>
    <w:p w14:paraId="39C96726">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4.3.2.1对招标文件提出质疑的，质疑期限为供应商获得招标文件之日或者招标文件公告期限届满之日起计算。</w:t>
      </w:r>
    </w:p>
    <w:p w14:paraId="5052F85B">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4.3.2.2对采购过程提出质疑的，质疑期限为各采购程序环节结束之日起计算。</w:t>
      </w:r>
    </w:p>
    <w:p w14:paraId="057E6237">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4.3.2.3对采购结果提出质疑的，质疑期限自采购结果公告期限届满之日起计算。</w:t>
      </w:r>
    </w:p>
    <w:p w14:paraId="4062671C">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4.3.3供应商提出质疑应当提交质疑函和必要的证明材料。质疑函应当包括下列内容：</w:t>
      </w:r>
    </w:p>
    <w:p w14:paraId="076ECDFD">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4.3.3.1供应商的姓名或者名称、地址、邮编、联系人及联系电话；</w:t>
      </w:r>
    </w:p>
    <w:p w14:paraId="3479DEDE">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4.3.3.2质疑项目的名称、编号；</w:t>
      </w:r>
    </w:p>
    <w:p w14:paraId="741D4A4D">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4.3.3.3具体、明确的质疑事项和与质疑事项相关的请求；</w:t>
      </w:r>
    </w:p>
    <w:p w14:paraId="57E051A5">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4.3.3.4事实依据；</w:t>
      </w:r>
    </w:p>
    <w:p w14:paraId="02830053">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4.3.3.5必要的法律依据；</w:t>
      </w:r>
    </w:p>
    <w:p w14:paraId="7D8E68AD">
      <w:pPr>
        <w:shd w:val="clear"/>
        <w:spacing w:line="360" w:lineRule="auto"/>
        <w:ind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4.3.3.6提出质疑的日期。</w:t>
      </w:r>
    </w:p>
    <w:p w14:paraId="4E0C96A0">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408C8E5">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质疑函范本及制作说明详见附件2。</w:t>
      </w:r>
    </w:p>
    <w:p w14:paraId="71A72C31">
      <w:pPr>
        <w:shd w:val="clear"/>
        <w:spacing w:line="360" w:lineRule="auto"/>
        <w:ind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4.3.4对同一采购程序环节的质疑，供应商须在法定质疑期内一次性提出。</w:t>
      </w:r>
    </w:p>
    <w:p w14:paraId="752E29A3">
      <w:pPr>
        <w:shd w:val="clear"/>
        <w:spacing w:line="360" w:lineRule="auto"/>
        <w:ind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.5采购人或者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cs="宋体"/>
          <w:color w:val="000000" w:themeColor="text1"/>
          <w:sz w:val="24"/>
          <w:highlight w:val="none"/>
          <w:lang w:val="en-US" w:eastAsia="zh-CN"/>
          <w14:textFill>
            <w14:solidFill>
              <w14:schemeClr w14:val="tx1"/>
            </w14:solidFill>
          </w14:textFill>
        </w:rPr>
        <w:t>浙江省财政厅</w:t>
      </w:r>
      <w:r>
        <w:rPr>
          <w:rFonts w:hint="eastAsia" w:ascii="宋体" w:hAnsi="宋体" w:cs="宋体"/>
          <w:color w:val="000000" w:themeColor="text1"/>
          <w:sz w:val="24"/>
          <w:highlight w:val="none"/>
          <w14:textFill>
            <w14:solidFill>
              <w14:schemeClr w14:val="tx1"/>
            </w14:solidFill>
          </w14:textFill>
        </w:rPr>
        <w:t>关于进一步加强政府采购公</w:t>
      </w:r>
      <w:r>
        <w:rPr>
          <w:rFonts w:hint="eastAsia" w:ascii="宋体" w:hAnsi="宋体" w:cs="宋体"/>
          <w:color w:val="000000" w:themeColor="text1"/>
          <w:sz w:val="24"/>
          <w:highlight w:val="none"/>
          <w:lang w:val="en-US" w:eastAsia="zh-CN"/>
          <w14:textFill>
            <w14:solidFill>
              <w14:schemeClr w14:val="tx1"/>
            </w14:solidFill>
          </w14:textFill>
        </w:rPr>
        <w:t>平竞争打造最</w:t>
      </w:r>
      <w:r>
        <w:rPr>
          <w:rFonts w:hint="eastAsia" w:ascii="宋体" w:hAnsi="宋体" w:cs="宋体"/>
          <w:color w:val="000000" w:themeColor="text1"/>
          <w:sz w:val="24"/>
          <w:highlight w:val="none"/>
          <w14:textFill>
            <w14:solidFill>
              <w14:schemeClr w14:val="tx1"/>
            </w14:solidFill>
          </w14:textFill>
        </w:rPr>
        <w:t>优营商环境的通知》（</w:t>
      </w:r>
      <w:r>
        <w:rPr>
          <w:rFonts w:hint="eastAsia" w:ascii="宋体" w:hAnsi="宋体" w:cs="宋体"/>
          <w:color w:val="000000" w:themeColor="text1"/>
          <w:sz w:val="24"/>
          <w:highlight w:val="none"/>
          <w:lang w:val="en-US" w:eastAsia="zh-CN"/>
          <w14:textFill>
            <w14:solidFill>
              <w14:schemeClr w14:val="tx1"/>
            </w14:solidFill>
          </w14:textFill>
        </w:rPr>
        <w:t>浙</w:t>
      </w:r>
      <w:r>
        <w:rPr>
          <w:rFonts w:hint="eastAsia" w:ascii="宋体" w:hAnsi="宋体" w:cs="宋体"/>
          <w:color w:val="000000" w:themeColor="text1"/>
          <w:sz w:val="24"/>
          <w:highlight w:val="none"/>
          <w14:textFill>
            <w14:solidFill>
              <w14:schemeClr w14:val="tx1"/>
            </w14:solidFill>
          </w14:textFill>
        </w:rPr>
        <w:t>财采监〔2021〕</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采购人或者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在质疑回复后5个工作日内，在浙江政府采购网的“质疑回复公告”栏目公开质疑答复，答复内容应当完整。质疑函作为附件上传。</w:t>
      </w:r>
    </w:p>
    <w:p w14:paraId="502E0989">
      <w:pPr>
        <w:shd w:val="clear"/>
        <w:spacing w:line="360" w:lineRule="auto"/>
        <w:ind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.6询问或者质疑事项可能影响采购结果的，采购人应当暂停签订合同，已经签订合同的，应当中止履行合同。</w:t>
      </w:r>
    </w:p>
    <w:p w14:paraId="53FEA1E5">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4.4供应商投诉</w:t>
      </w:r>
    </w:p>
    <w:p w14:paraId="2AE204E6">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4.4.1质疑供应商对采购人、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的答复不满意或者采购人、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未在规定的时间内作出答复的，可以在答复期满后十五个工作日内向同级政府采购监督管理部门提出投诉。</w:t>
      </w:r>
    </w:p>
    <w:p w14:paraId="7F6412E0">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w:t>
      </w: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供应商投诉的事项不得超出已质疑事项的范围，基于质疑答复内容提出的投诉事项除外。</w:t>
      </w:r>
    </w:p>
    <w:p w14:paraId="11D2D791">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4.4.3供应商投诉应当有明确的请求和必要的证明材料。</w:t>
      </w:r>
    </w:p>
    <w:p w14:paraId="64FDEE10">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4.4.4以联合体形式参加政府采购活动的，其投诉应当由组成联合体的所有供应商共同提出。</w:t>
      </w:r>
    </w:p>
    <w:p w14:paraId="2F1201B3">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4.4.5</w:t>
      </w:r>
      <w:r>
        <w:rPr>
          <w:rFonts w:hint="eastAsia" w:ascii="宋体" w:hAnsi="宋体" w:cs="宋体"/>
          <w:color w:val="000000" w:themeColor="text1"/>
          <w:sz w:val="24"/>
          <w:highlight w:val="none"/>
          <w:lang w:val="zh-CN"/>
          <w14:textFill>
            <w14:solidFill>
              <w14:schemeClr w14:val="tx1"/>
            </w14:solidFill>
          </w14:textFill>
        </w:rPr>
        <w:t>投诉材料寄送相关信息详见《第一部分  招标公告》。</w:t>
      </w:r>
    </w:p>
    <w:p w14:paraId="340930AA">
      <w:pPr>
        <w:shd w:val="clear"/>
        <w:spacing w:line="360" w:lineRule="auto"/>
        <w:ind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投诉书范本及制作说明详见附件3。</w:t>
      </w:r>
    </w:p>
    <w:p w14:paraId="61E9AB41">
      <w:pPr>
        <w:pStyle w:val="130"/>
        <w:shd w:val="clear"/>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D3D4312">
      <w:pPr>
        <w:shd w:val="clea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610CFADE">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5．招标文件的构成</w:t>
      </w:r>
    </w:p>
    <w:p w14:paraId="49E6F153">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 招标文件包括下列文件及附件：</w:t>
      </w:r>
    </w:p>
    <w:p w14:paraId="51534780">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5.1.1招标公告；</w:t>
      </w:r>
    </w:p>
    <w:p w14:paraId="1F4DF4F5">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5.1.2投标人须知；</w:t>
      </w:r>
    </w:p>
    <w:p w14:paraId="757E95AE">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5.1.3采购需求；</w:t>
      </w:r>
    </w:p>
    <w:p w14:paraId="33B34034">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5.1.4评标办法；</w:t>
      </w:r>
    </w:p>
    <w:p w14:paraId="0017DF62">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5.1.5拟签订的合同文本；</w:t>
      </w:r>
    </w:p>
    <w:p w14:paraId="5FA156CF">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5.1.6应提交的有关格式范例。</w:t>
      </w:r>
    </w:p>
    <w:p w14:paraId="5D19D524">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5.2与本项目有关的澄清或者修改的内容为招标文件的组成部分。</w:t>
      </w:r>
    </w:p>
    <w:p w14:paraId="4145A993">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 招标文件的澄清、修改</w:t>
      </w:r>
    </w:p>
    <w:p w14:paraId="5A1661E6">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提出。</w:t>
      </w:r>
    </w:p>
    <w:p w14:paraId="5FC9C736">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6.2 </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7FD87D">
      <w:pPr>
        <w:pStyle w:val="2"/>
        <w:shd w:val="clear"/>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65C7E58A">
      <w:pPr>
        <w:shd w:val="clea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44FC5E9">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 招标文件的获取</w:t>
      </w:r>
    </w:p>
    <w:p w14:paraId="0999AE1F">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详见招标公告中获取招标文件的时间期限、地点、方式及招标文件售价。</w:t>
      </w:r>
    </w:p>
    <w:p w14:paraId="1E7AE72D">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8.开标前答疑会或现场考察</w:t>
      </w:r>
    </w:p>
    <w:p w14:paraId="73A964EF">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1262C94">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9.投标保证金</w:t>
      </w:r>
    </w:p>
    <w:p w14:paraId="7136DCDF">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本项目不需缴纳投标保证金。</w:t>
      </w:r>
    </w:p>
    <w:p w14:paraId="57AB2B92">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 投标文件的语言</w:t>
      </w:r>
    </w:p>
    <w:p w14:paraId="5246AF28">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投标文件及投标人与采购有关的来往通知、函件和文件均应使用中文。</w:t>
      </w:r>
    </w:p>
    <w:p w14:paraId="6ACC6E08">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 投标文件的组成</w:t>
      </w:r>
    </w:p>
    <w:p w14:paraId="19AAD0C4">
      <w:pPr>
        <w:shd w:val="clear"/>
        <w:snapToGrid w:val="0"/>
        <w:spacing w:line="360" w:lineRule="auto"/>
        <w:ind w:firstLine="482" w:firstLineChars="200"/>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11.1资格文件：</w:t>
      </w:r>
    </w:p>
    <w:p w14:paraId="6838AAA5">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11.1.1符合参加政府采购活动应当具备的一般条件的承诺函；</w:t>
      </w:r>
    </w:p>
    <w:p w14:paraId="0B052C3D">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11.1.2联合协议（如果有</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w:t>
      </w:r>
    </w:p>
    <w:p w14:paraId="7552C800">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11.1.3落实政府采购政策需满足的资格要求（如果有，</w:t>
      </w:r>
      <w:r>
        <w:rPr>
          <w:rFonts w:hint="eastAsia" w:ascii="宋体" w:hAnsi="宋体" w:cs="宋体"/>
          <w:color w:val="000000" w:themeColor="text1"/>
          <w:sz w:val="24"/>
          <w:highlight w:val="none"/>
          <w:lang w:val="en-US" w:eastAsia="zh-CN"/>
          <w14:textFill>
            <w14:solidFill>
              <w14:schemeClr w14:val="tx1"/>
            </w14:solidFill>
          </w14:textFill>
        </w:rPr>
        <w:t>提供中小企业声明函</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w:t>
      </w:r>
    </w:p>
    <w:p w14:paraId="4280A81E">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11.1.4本项目的特定资格要求（如果有</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w:t>
      </w:r>
    </w:p>
    <w:p w14:paraId="4EBAD28E">
      <w:pPr>
        <w:shd w:val="clear"/>
        <w:snapToGrid w:val="0"/>
        <w:spacing w:line="360" w:lineRule="auto"/>
        <w:ind w:firstLine="482" w:firstLineChars="200"/>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11.2 商务技术文件：</w:t>
      </w:r>
    </w:p>
    <w:p w14:paraId="5A8DE717">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11.2.1投标函； </w:t>
      </w:r>
    </w:p>
    <w:p w14:paraId="55F5336E">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11.2.2授权委托书或法定代表人（单位负责人、自然人本人）身份证明；</w:t>
      </w:r>
    </w:p>
    <w:p w14:paraId="129213E2">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11.2.3分包意向协议（如果有</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w:t>
      </w:r>
    </w:p>
    <w:p w14:paraId="12B7D57E">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11.2.4符合性审查资料；</w:t>
      </w:r>
    </w:p>
    <w:p w14:paraId="348274CA">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11.2.5评标标准相应的商务技术资料；</w:t>
      </w:r>
    </w:p>
    <w:p w14:paraId="097955E9">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11.2.6商务技术偏离表；</w:t>
      </w:r>
    </w:p>
    <w:p w14:paraId="6063189C">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C82B5C7">
      <w:pPr>
        <w:shd w:val="clear"/>
        <w:snapToGrid w:val="0"/>
        <w:spacing w:line="360" w:lineRule="auto"/>
        <w:ind w:firstLine="482" w:firstLineChars="200"/>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 xml:space="preserve">11.3报价文件： </w:t>
      </w:r>
    </w:p>
    <w:p w14:paraId="7B02C2BB">
      <w:pPr>
        <w:shd w:val="clear"/>
        <w:spacing w:line="360" w:lineRule="auto"/>
        <w:ind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11.3.1开标一览表（报价表）；</w:t>
      </w:r>
    </w:p>
    <w:p w14:paraId="082C1812">
      <w:pPr>
        <w:shd w:val="clear"/>
        <w:spacing w:line="360" w:lineRule="auto"/>
        <w:ind w:leftChars="100" w:firstLine="480" w:firstLineChars="200"/>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11.3.2中小企业声明函</w:t>
      </w:r>
      <w:r>
        <w:rPr>
          <w:rFonts w:hint="eastAsia" w:ascii="宋体" w:hAnsi="宋体" w:cs="宋体"/>
          <w:color w:val="000000" w:themeColor="text1"/>
          <w:sz w:val="24"/>
          <w:highlight w:val="none"/>
          <w:lang w:val="zh-CN" w:eastAsia="zh-CN"/>
          <w14:textFill>
            <w14:solidFill>
              <w14:schemeClr w14:val="tx1"/>
            </w14:solidFill>
          </w14:textFill>
        </w:rPr>
        <w:t>；</w:t>
      </w:r>
    </w:p>
    <w:p w14:paraId="41BE2DEE">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11.3.3报价情况说明(如供应商报价低于项目预算或最高限价50%的，应当提交本文档，详细阐述不影响产品质量或者诚信履约的具体原因）。</w:t>
      </w:r>
    </w:p>
    <w:p w14:paraId="24FD39D6">
      <w:pPr>
        <w:shd w:val="clea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4CB522E">
      <w:pPr>
        <w:shd w:val="clea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18977561">
      <w:pPr>
        <w:shd w:val="clea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注：投标人可事先在公开官网查询、核对相关证书和报告内容，确保投标(响应)文件资料准确无误。投标人应对投标文件中材料的真实性、合法性负责。</w:t>
      </w:r>
    </w:p>
    <w:p w14:paraId="499DE5AA">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投标文件的编制</w:t>
      </w:r>
    </w:p>
    <w:p w14:paraId="5E4045C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8210C7">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4005434">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B58AB87">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13.投标文件的签署、盖章</w:t>
      </w:r>
    </w:p>
    <w:p w14:paraId="091A2736">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13.1投标文件按照招标文件第六部分格式要求进行签署、盖章。</w:t>
      </w:r>
      <w:r>
        <w:rPr>
          <w:rFonts w:hint="eastAsia" w:ascii="宋体" w:hAnsi="宋体" w:cs="宋体"/>
          <w:b/>
          <w:bCs/>
          <w:color w:val="000000" w:themeColor="text1"/>
          <w:sz w:val="24"/>
          <w:highlight w:val="none"/>
          <w:lang w:val="zh-CN"/>
          <w14:textFill>
            <w14:solidFill>
              <w14:schemeClr w14:val="tx1"/>
            </w14:solidFill>
          </w14:textFill>
        </w:rPr>
        <w:t>▲投标人的投标文件未按照招标文件要求签署、盖章的，其投标无效。</w:t>
      </w:r>
    </w:p>
    <w:p w14:paraId="1FE0E4C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733CB519">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13.3招标文件对投标文件签署、盖章的要求适用于电子签名。</w:t>
      </w:r>
    </w:p>
    <w:p w14:paraId="6CC0574B">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 投标文件的提交、补充、修改、撤回</w:t>
      </w:r>
    </w:p>
    <w:p w14:paraId="497007E9">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1D42F7">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A30D0F4">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14.3采购人、</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可以视情况延长投标文件提交的截止时间。在上述情况下，</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与投标人以前在投标截止期方面的全部权利、责任和义务，将适用于延长至新的投标截止期。</w:t>
      </w:r>
    </w:p>
    <w:p w14:paraId="52824DA6">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15.备份投标文件</w:t>
      </w:r>
    </w:p>
    <w:p w14:paraId="30E94A1C">
      <w:pPr>
        <w:pStyle w:val="33"/>
        <w:shd w:val="clear"/>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6A8639DA">
      <w:pPr>
        <w:pStyle w:val="33"/>
        <w:shd w:val="clear"/>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15.2备份投标文件须在“政采云投标客户端”制作生成，并储存在</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U</w:t>
      </w:r>
      <w:r>
        <w:rPr>
          <w:rFonts w:hint="eastAsia" w:ascii="宋体" w:hAnsi="宋体" w:eastAsia="宋体" w:cs="宋体"/>
          <w:snapToGrid/>
          <w:color w:val="000000" w:themeColor="text1"/>
          <w:kern w:val="2"/>
          <w:sz w:val="24"/>
          <w:szCs w:val="24"/>
          <w:highlight w:val="none"/>
          <w:lang w:val="zh-CN" w:eastAsia="zh-CN" w:bidi="ar-SA"/>
          <w14:textFill>
            <w14:solidFill>
              <w14:schemeClr w14:val="tx1"/>
            </w14:solidFill>
          </w14:textFill>
        </w:rPr>
        <w:t>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3A0D4BF5">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15.3直接提交备份投标文件的，投标人应于投标截止时间前在招标文件第二部分投标人须知前附表规定的备份投标文件送达地点将备份投标文件提交给</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将拒绝接受逾期送达的备份投标文件。</w:t>
      </w:r>
    </w:p>
    <w:p w14:paraId="189503E3">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15.4以邮政快递方式递交备份投标文件的，投标人应先将备份投标文件按要求密封和标记，再进行邮政快递包装后邮寄。备份投标文件须在第二部分投标人须知前附表规定的备份投标文件送达截止时间之前送达招标文件第二部分投标人须知前附表规定的备份投标文件送达地点；送达时间以签收人签收时间为准。</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将拒绝接受逾期送达的备份投标文件。邮寄过程中，电子备份投标文件发生泄露、遗失、损坏或延期送达等情况的，由投标人自行负责。</w:t>
      </w:r>
    </w:p>
    <w:p w14:paraId="14EC6384">
      <w:pPr>
        <w:shd w:val="clear"/>
        <w:snapToGrid w:val="0"/>
        <w:spacing w:line="360" w:lineRule="auto"/>
        <w:ind w:firstLine="482" w:firstLineChars="200"/>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15.5投标人仅提交备份投标文件，未在电子交易平台传输递交投标文件的，投标无效。</w:t>
      </w:r>
    </w:p>
    <w:p w14:paraId="70204BC7">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16.投标文件的无效处理</w:t>
      </w:r>
    </w:p>
    <w:p w14:paraId="22DD6BF2">
      <w:pPr>
        <w:shd w:val="clear"/>
        <w:snapToGrid w:val="0"/>
        <w:spacing w:line="360" w:lineRule="auto"/>
        <w:ind w:firstLine="480" w:firstLineChars="200"/>
        <w:jc w:val="left"/>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有招标文件第四部分4.2规定的情形之一的，投标无效</w:t>
      </w:r>
      <w:r>
        <w:rPr>
          <w:rFonts w:hint="eastAsia" w:ascii="宋体" w:hAnsi="宋体" w:cs="宋体"/>
          <w:color w:val="000000" w:themeColor="text1"/>
          <w:sz w:val="24"/>
          <w:highlight w:val="none"/>
          <w:lang w:val="zh-CN" w:eastAsia="zh-CN"/>
          <w14:textFill>
            <w14:solidFill>
              <w14:schemeClr w14:val="tx1"/>
            </w14:solidFill>
          </w14:textFill>
        </w:rPr>
        <w:t>。</w:t>
      </w:r>
    </w:p>
    <w:p w14:paraId="041CEA90">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17.投标有效期</w:t>
      </w:r>
    </w:p>
    <w:p w14:paraId="1E00E312">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17.1投标有效期为从提交投标文件的截止之日起90天。</w:t>
      </w:r>
      <w:r>
        <w:rPr>
          <w:rFonts w:hint="eastAsia" w:ascii="宋体" w:hAnsi="宋体" w:cs="宋体"/>
          <w:b/>
          <w:bCs/>
          <w:color w:val="000000" w:themeColor="text1"/>
          <w:sz w:val="24"/>
          <w:highlight w:val="none"/>
          <w:lang w:val="zh-CN"/>
          <w14:textFill>
            <w14:solidFill>
              <w14:schemeClr w14:val="tx1"/>
            </w14:solidFill>
          </w14:textFill>
        </w:rPr>
        <w:t>▲投标人的投标文件中承诺的投标有效期少于招标文件中载明的投标有效期的，投标无效。</w:t>
      </w:r>
    </w:p>
    <w:p w14:paraId="06CC4A0D">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17.2投标文件合格投递后，自投标截止日期起，在投标有效期内有效。</w:t>
      </w:r>
    </w:p>
    <w:p w14:paraId="0657926E">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17.3在原定投标有效期满之前，如果出现特殊情况，</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可以以书面形式通知投标人延长投标有效期。投标人同意延长的，不得要求或被允许修改其投标文件，投标人拒绝延长的，其投标无效。</w:t>
      </w:r>
    </w:p>
    <w:p w14:paraId="13B66D0C">
      <w:pPr>
        <w:pStyle w:val="130"/>
        <w:shd w:val="clear"/>
        <w:spacing w:before="0"/>
        <w:ind w:firstLine="643"/>
        <w:rPr>
          <w:rFonts w:ascii="宋体" w:hAnsi="宋体" w:cs="宋体"/>
          <w:b/>
          <w:color w:val="000000" w:themeColor="text1"/>
          <w:sz w:val="32"/>
          <w:highlight w:val="none"/>
          <w14:textFill>
            <w14:solidFill>
              <w14:schemeClr w14:val="tx1"/>
            </w14:solidFill>
          </w14:textFill>
        </w:rPr>
      </w:pPr>
    </w:p>
    <w:p w14:paraId="75D9BDE8">
      <w:pPr>
        <w:pStyle w:val="130"/>
        <w:shd w:val="clear"/>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F9C33A8">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18.开标 </w:t>
      </w:r>
    </w:p>
    <w:p w14:paraId="26BA71D1">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18.1</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按照招标文件规定的时间通过电子交易平台组织开标，所有投标人均应当准时在线参加。投标人不足3家的，不得开标。</w:t>
      </w:r>
    </w:p>
    <w:p w14:paraId="23C0D5D4">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18.2开标时，电子交易平台按开标时间自动提取所有投标文件。</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依托电子交易平台发起开始解密指令，投标人按照平台提示和招标文件的规定在半小时内完成在线解密。</w:t>
      </w:r>
    </w:p>
    <w:p w14:paraId="4723508A">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18.2.1具体开标程序：</w:t>
      </w:r>
    </w:p>
    <w:p w14:paraId="274D26A6">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第一阶段：</w:t>
      </w:r>
    </w:p>
    <w:p w14:paraId="69068B84">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投标截止时间后，供应商登录政府采购云平台，用“项目采购－开标评标”功能对电子投标文件进行在线解密，在线解密电子投标文件时间为开标时间后30分钟内。</w:t>
      </w:r>
    </w:p>
    <w:p w14:paraId="34CD149C">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在政府采购云平台开启已解密供应商的“资格文件、商务技术文件”，并做开标记录；</w:t>
      </w:r>
    </w:p>
    <w:p w14:paraId="01BB1B48">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第二阶段：</w:t>
      </w:r>
    </w:p>
    <w:p w14:paraId="502667E1">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（1）在政府采购云平台宣告第一阶段评审无效供应商名单及理由；</w:t>
      </w:r>
    </w:p>
    <w:p w14:paraId="6F09A417">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（2）公布经第一阶段评审符合招标文件要求的供应商的商务技术得分情况；</w:t>
      </w:r>
    </w:p>
    <w:p w14:paraId="3B9D5838">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（3）在政府采购云平台开启除第一阶段无效标外的供应商的“报价文件”，并做开标记录；</w:t>
      </w:r>
    </w:p>
    <w:p w14:paraId="08DC336E">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（4）在政府采购云平台公布评审结果。</w:t>
      </w:r>
    </w:p>
    <w:p w14:paraId="7BE7D437">
      <w:pPr>
        <w:shd w:val="clear"/>
        <w:spacing w:line="360" w:lineRule="auto"/>
        <w:ind w:leftChars="10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（5）开标会议结束。</w:t>
      </w:r>
    </w:p>
    <w:p w14:paraId="1F3DD894">
      <w:pPr>
        <w:pStyle w:val="554"/>
        <w:shd w:val="clear"/>
        <w:spacing w:before="0" w:line="360" w:lineRule="auto"/>
        <w:ind w:left="0" w:firstLine="241" w:firstLineChars="100"/>
        <w:contextualSpacing/>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　18.3投标文件未按时解密，投标人提供了备份投标文件的，以备份投标文件作为依据，否则视为投标文件撤回。投标文件已按时解密的，备份投标文件自动失效。</w:t>
      </w:r>
    </w:p>
    <w:p w14:paraId="0727038E">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资格审查</w:t>
      </w:r>
    </w:p>
    <w:p w14:paraId="582CE651">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19.</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采购人或</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依据法律法规和招标文件的规定，对投标人的资格进行审查。</w:t>
      </w:r>
    </w:p>
    <w:p w14:paraId="6D683E1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19.</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投标人未按照招标文件要求提供与资格条件相应的有效资格证明材料的，视为投标人不具备招标文件中规定的资格要求，其投标无效。</w:t>
      </w:r>
    </w:p>
    <w:p w14:paraId="76A1D94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19.</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对未通过资格审查的投标人，采购人或</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告知其未通过的原因。</w:t>
      </w:r>
    </w:p>
    <w:p w14:paraId="4FC5E2A8">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19.</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合格投标人不足3家的，不再评标。</w:t>
      </w:r>
    </w:p>
    <w:p w14:paraId="14699EAA">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信用信息查询</w:t>
      </w:r>
    </w:p>
    <w:p w14:paraId="77A16045">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20.1信用信息查询渠道及截止时间：</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将在资格审查时通过“信用中国”网站</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www.creditchina.gov.cn</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、中国政府采购网</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www.ccgp.gov.cn</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渠道查询投标人接受资格时的信用记录。</w:t>
      </w:r>
    </w:p>
    <w:p w14:paraId="6D7B9C32">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20.2信用信息查询记录和证据留存的具体方式：现场查询的投标人的信用记录、查询结果经确认后将与采购文件一起存档。</w:t>
      </w:r>
    </w:p>
    <w:p w14:paraId="634D9A7B">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20.3信用信息的使用规则：经查询列入失信被执行人名单、重大税收违法案件当事人名单</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重大税收违法失信主体</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、政府采购严重违法失信行为记录名单的投标人将被拒绝参与政府采购活动。</w:t>
      </w:r>
    </w:p>
    <w:p w14:paraId="0D7F0F08">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7D2587">
      <w:pPr>
        <w:pStyle w:val="130"/>
        <w:shd w:val="clear"/>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3FE7B81">
      <w:pPr>
        <w:shd w:val="clea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32648EDD">
      <w:pPr>
        <w:shd w:val="clea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bCs/>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7006298">
      <w:pPr>
        <w:shd w:val="clear"/>
        <w:spacing w:line="360" w:lineRule="auto"/>
        <w:rPr>
          <w:rFonts w:ascii="宋体" w:hAnsi="宋体" w:cs="宋体"/>
          <w:b/>
          <w:color w:val="000000" w:themeColor="text1"/>
          <w:sz w:val="24"/>
          <w:highlight w:val="none"/>
          <w14:textFill>
            <w14:solidFill>
              <w14:schemeClr w14:val="tx1"/>
            </w14:solidFill>
          </w14:textFill>
        </w:rPr>
      </w:pPr>
    </w:p>
    <w:p w14:paraId="379F0424">
      <w:pPr>
        <w:shd w:val="clea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0D65B3D4">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22.确定中标供应商</w:t>
      </w:r>
    </w:p>
    <w:p w14:paraId="2C7C04F4">
      <w:pPr>
        <w:shd w:val="clear"/>
        <w:snapToGrid w:val="0"/>
        <w:spacing w:line="360" w:lineRule="auto"/>
        <w:ind w:firstLine="480" w:firstLineChars="200"/>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个工作日内在线确定中标或者成交供应商。中标、成交通知书和中标、成交结果公告应当在规定时间内同时发出。</w:t>
      </w:r>
      <w:r>
        <w:rPr>
          <w:rFonts w:hint="eastAsia" w:ascii="宋体" w:hAnsi="宋体" w:cs="宋体"/>
          <w:b/>
          <w:bCs/>
          <w:color w:val="000000" w:themeColor="text1"/>
          <w:sz w:val="24"/>
          <w:highlight w:val="none"/>
          <w:lang w:val="zh-CN" w:eastAsia="zh-CN"/>
          <w14:textFill>
            <w14:solidFill>
              <w14:schemeClr w14:val="tx1"/>
            </w14:solidFill>
          </w14:textFill>
        </w:rPr>
        <w:t>注：各标项各确认一名中标供应商。</w:t>
      </w:r>
    </w:p>
    <w:p w14:paraId="28693FBA">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23.中标通知与中标结果公告</w:t>
      </w:r>
    </w:p>
    <w:p w14:paraId="5A85069B">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23.1自中标人确定之日起2个工作日内，</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通过电子交易平台向中标人发出中标通知书，同时编制发布采购结果公告。</w:t>
      </w:r>
    </w:p>
    <w:p w14:paraId="33E7D019">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val="zh-CN" w:eastAsia="zh-CN"/>
          <w14:textFill>
            <w14:solidFill>
              <w14:schemeClr w14:val="tx1"/>
            </w14:solidFill>
          </w14:textFill>
        </w:rPr>
        <w:t>采购代理机构</w:t>
      </w:r>
      <w:r>
        <w:rPr>
          <w:rFonts w:hint="eastAsia" w:ascii="宋体" w:hAnsi="宋体" w:cs="宋体"/>
          <w:color w:val="000000" w:themeColor="text1"/>
          <w:sz w:val="24"/>
          <w:highlight w:val="none"/>
          <w:lang w:val="zh-CN"/>
          <w14:textFill>
            <w14:solidFill>
              <w14:schemeClr w14:val="tx1"/>
            </w14:solidFill>
          </w14:textFill>
        </w:rPr>
        <w:t>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color w:val="000000" w:themeColor="text1"/>
          <w:sz w:val="24"/>
          <w:highlight w:val="none"/>
          <w:lang w:val="zh-CN"/>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lang w:val="zh-CN"/>
          <w14:textFill>
            <w14:solidFill>
              <w14:schemeClr w14:val="tx1"/>
            </w14:solidFill>
          </w14:textFill>
        </w:rPr>
        <w:t>未中标情况说明、中标公告期限以及评审专家名单、评分汇总及明细。</w:t>
      </w:r>
    </w:p>
    <w:p w14:paraId="735EB4F3">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23.3公告期限为1个工作日。</w:t>
      </w:r>
    </w:p>
    <w:p w14:paraId="6B3373FD">
      <w:pPr>
        <w:shd w:val="clea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24242494">
      <w:pPr>
        <w:shd w:val="clea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C6B9DAC">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24.合同主要条款详见第五部分拟签订的合同文本。</w:t>
      </w:r>
    </w:p>
    <w:p w14:paraId="78F14E2C">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25.合同的签订</w:t>
      </w:r>
    </w:p>
    <w:p w14:paraId="77D461AF">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25.1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6182B5">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769FD355">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25.3如签订合同并生效后，供应商无故拒绝或延期，除按照合同条款处理外，列入不良行为记录一次，并给予通报。</w:t>
      </w:r>
    </w:p>
    <w:p w14:paraId="20343B01">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1FA3F53">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25.5采购合同由采购人与中标供应商根据招标文件、投标文件等内容签订。</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由采购人自行选择线上签订或线下签订</w:t>
      </w:r>
      <w:r>
        <w:rPr>
          <w:rFonts w:hint="eastAsia" w:ascii="宋体" w:hAnsi="宋体" w:cs="宋体"/>
          <w:color w:val="000000" w:themeColor="text1"/>
          <w:sz w:val="24"/>
          <w:highlight w:val="none"/>
          <w:lang w:val="zh-CN" w:eastAsia="zh-CN"/>
          <w14:textFill>
            <w14:solidFill>
              <w14:schemeClr w14:val="tx1"/>
            </w14:solidFill>
          </w14:textFill>
        </w:rPr>
        <w:t>）</w:t>
      </w:r>
    </w:p>
    <w:p w14:paraId="15237229">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26. 履约保证金</w:t>
      </w:r>
    </w:p>
    <w:p w14:paraId="224B0392">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D75169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w:t>
      </w:r>
      <w:r>
        <w:rPr>
          <w:rFonts w:hint="eastAsia" w:ascii="宋体" w:hAnsi="宋体" w:cs="宋体"/>
          <w:color w:val="000000" w:themeColor="text1"/>
          <w:sz w:val="24"/>
          <w:highlight w:val="none"/>
          <w:lang w:val="en-US"/>
          <w14:textFill>
            <w14:solidFill>
              <w14:schemeClr w14:val="tx1"/>
            </w14:solidFill>
          </w14:textFill>
        </w:rPr>
        <w:t>可</w:t>
      </w:r>
      <w:r>
        <w:rPr>
          <w:rFonts w:hint="eastAsia" w:ascii="宋体" w:hAnsi="宋体" w:cs="宋体"/>
          <w:color w:val="000000" w:themeColor="text1"/>
          <w:sz w:val="24"/>
          <w:highlight w:val="none"/>
          <w:lang w:val="zh-CN"/>
          <w14:textFill>
            <w14:solidFill>
              <w14:schemeClr w14:val="tx1"/>
            </w14:solidFill>
          </w14:textFill>
        </w:rPr>
        <w:t>登录政采云平台</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04B76C">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14:textFill>
            <w14:solidFill>
              <w14:schemeClr w14:val="tx1"/>
            </w14:solidFill>
          </w14:textFill>
        </w:rPr>
        <w:t>27.预付款</w:t>
      </w:r>
    </w:p>
    <w:p w14:paraId="435A51BD">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采购单位应当在政府采购合同中约定预付款，对中小企业合同预付款比例原则上不低于合同金额的40</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，不高于合同金额的70%；项目分年安排预算的，每年预付款比例不低于项目年度计划支付资金额的40</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973AE4F">
      <w:pPr>
        <w:shd w:val="clear"/>
        <w:rPr>
          <w:color w:val="000000" w:themeColor="text1"/>
          <w:highlight w:val="none"/>
          <w14:textFill>
            <w14:solidFill>
              <w14:schemeClr w14:val="tx1"/>
            </w14:solidFill>
          </w14:textFill>
        </w:rPr>
      </w:pPr>
    </w:p>
    <w:p w14:paraId="24A84A82">
      <w:pPr>
        <w:shd w:val="clea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47295447">
      <w:pPr>
        <w:shd w:val="clea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CFAA4EC">
      <w:pPr>
        <w:shd w:val="clear"/>
        <w:spacing w:line="360" w:lineRule="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28. 电子交易活动的中止。</w:t>
      </w:r>
      <w:r>
        <w:rPr>
          <w:rFonts w:hint="eastAsia" w:ascii="宋体" w:hAnsi="宋体" w:cs="宋体"/>
          <w:b w:val="0"/>
          <w:bCs w:val="0"/>
          <w:color w:val="000000" w:themeColor="text1"/>
          <w:sz w:val="24"/>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b w:val="0"/>
          <w:bCs w:val="0"/>
          <w:color w:val="000000" w:themeColor="text1"/>
          <w:sz w:val="24"/>
          <w:highlight w:val="none"/>
          <w:lang w:eastAsia="zh-CN"/>
          <w14:textFill>
            <w14:solidFill>
              <w14:schemeClr w14:val="tx1"/>
            </w14:solidFill>
          </w14:textFill>
        </w:rPr>
        <w:t>采购代理机构</w:t>
      </w:r>
      <w:r>
        <w:rPr>
          <w:rFonts w:hint="eastAsia" w:ascii="宋体" w:hAnsi="宋体" w:cs="宋体"/>
          <w:b w:val="0"/>
          <w:bCs w:val="0"/>
          <w:color w:val="000000" w:themeColor="text1"/>
          <w:sz w:val="24"/>
          <w:highlight w:val="none"/>
          <w14:textFill>
            <w14:solidFill>
              <w14:schemeClr w14:val="tx1"/>
            </w14:solidFill>
          </w14:textFill>
        </w:rPr>
        <w:t>可中止电子交易活动：</w:t>
      </w:r>
    </w:p>
    <w:p w14:paraId="5D07E80A">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28.1电子交易平台发生故障而无法登录访问的； </w:t>
      </w:r>
    </w:p>
    <w:p w14:paraId="3F4F112A">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28.2电子交易平台应用或数据库出现错误，不能进行正常操作的；</w:t>
      </w:r>
    </w:p>
    <w:p w14:paraId="5850E40E">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28.3电子交易平台发现严重安全漏洞，有潜在泄密危险的；</w:t>
      </w:r>
    </w:p>
    <w:p w14:paraId="583C5E5E">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28.4病毒发作导致不能进行正常操作的； </w:t>
      </w:r>
    </w:p>
    <w:p w14:paraId="0F0D56F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28.5其他无法保证电子交易的公平、公正和安全的情况。</w:t>
      </w:r>
    </w:p>
    <w:p w14:paraId="7CC8C339">
      <w:pPr>
        <w:shd w:val="clear"/>
        <w:spacing w:line="360" w:lineRule="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C961A6">
      <w:pPr>
        <w:shd w:val="clea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057A15B0">
      <w:pPr>
        <w:shd w:val="clea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5136A2F1">
      <w:pPr>
        <w:shd w:val="clea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30.验收</w:t>
      </w:r>
    </w:p>
    <w:p w14:paraId="727B76A0">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8D7D21">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4FD2001">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104B7F">
      <w:pPr>
        <w:shd w:val="clear"/>
        <w:snapToGrid w:val="0"/>
        <w:spacing w:line="360" w:lineRule="auto"/>
        <w:ind w:firstLine="480" w:firstLineChars="200"/>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FB5F0BB">
      <w:pPr>
        <w:shd w:val="clea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14665"/>
      <w:bookmarkEnd w:id="16"/>
      <w:bookmarkStart w:id="17" w:name="_Hlt75236011"/>
      <w:bookmarkEnd w:id="17"/>
      <w:bookmarkStart w:id="18" w:name="_Hlt75236290"/>
      <w:bookmarkEnd w:id="18"/>
      <w:bookmarkStart w:id="19" w:name="_Hlt68073093"/>
      <w:bookmarkEnd w:id="19"/>
      <w:bookmarkStart w:id="20" w:name="_Hlt68072990"/>
      <w:bookmarkEnd w:id="20"/>
      <w:bookmarkStart w:id="21" w:name="_Hlt74730295"/>
      <w:bookmarkEnd w:id="21"/>
      <w:bookmarkStart w:id="22" w:name="_Hlt68072998"/>
      <w:bookmarkEnd w:id="22"/>
      <w:bookmarkStart w:id="23" w:name="_Hlt75236101"/>
      <w:bookmarkEnd w:id="23"/>
      <w:bookmarkStart w:id="24" w:name="_Hlt74707468"/>
      <w:bookmarkEnd w:id="24"/>
      <w:bookmarkStart w:id="25" w:name="_Hlt74729768"/>
      <w:bookmarkEnd w:id="25"/>
      <w:bookmarkStart w:id="26" w:name="_Hlt68057669"/>
      <w:bookmarkEnd w:id="26"/>
    </w:p>
    <w:bookmarkEnd w:id="11"/>
    <w:bookmarkEnd w:id="12"/>
    <w:p w14:paraId="5B5453A6">
      <w:pPr>
        <w:shd w:val="clea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r>
        <w:rPr>
          <w:rFonts w:hint="eastAsia" w:ascii="宋体" w:hAnsi="宋体" w:cs="宋体"/>
          <w:b/>
          <w:color w:val="000000" w:themeColor="text1"/>
          <w:sz w:val="36"/>
          <w:szCs w:val="20"/>
          <w:highlight w:val="none"/>
          <w:lang w:eastAsia="zh-CN"/>
          <w14:textFill>
            <w14:solidFill>
              <w14:schemeClr w14:val="tx1"/>
            </w14:solidFill>
          </w14:textFill>
        </w:rPr>
        <w:t>（</w:t>
      </w:r>
      <w:r>
        <w:rPr>
          <w:rFonts w:hint="eastAsia" w:ascii="宋体" w:hAnsi="宋体" w:cs="宋体"/>
          <w:b/>
          <w:color w:val="000000" w:themeColor="text1"/>
          <w:sz w:val="36"/>
          <w:szCs w:val="20"/>
          <w:highlight w:val="none"/>
          <w:lang w:val="en-US" w:eastAsia="zh-CN"/>
          <w14:textFill>
            <w14:solidFill>
              <w14:schemeClr w14:val="tx1"/>
            </w14:solidFill>
          </w14:textFill>
        </w:rPr>
        <w:t>适用于所有标项</w:t>
      </w:r>
      <w:r>
        <w:rPr>
          <w:rFonts w:hint="eastAsia" w:ascii="宋体" w:hAnsi="宋体" w:cs="宋体"/>
          <w:b/>
          <w:color w:val="000000" w:themeColor="text1"/>
          <w:sz w:val="36"/>
          <w:szCs w:val="20"/>
          <w:highlight w:val="none"/>
          <w:lang w:eastAsia="zh-CN"/>
          <w14:textFill>
            <w14:solidFill>
              <w14:schemeClr w14:val="tx1"/>
            </w14:solidFill>
          </w14:textFill>
        </w:rPr>
        <w:t>）</w:t>
      </w:r>
    </w:p>
    <w:p w14:paraId="4DA20D8C">
      <w:pPr>
        <w:shd w:val="clea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4E23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14:paraId="73FB98E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318" w:type="dxa"/>
            <w:noWrap w:val="0"/>
            <w:vAlign w:val="center"/>
          </w:tcPr>
          <w:p w14:paraId="71D7BA5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w:t>
            </w:r>
          </w:p>
        </w:tc>
        <w:tc>
          <w:tcPr>
            <w:tcW w:w="5630" w:type="dxa"/>
            <w:noWrap w:val="0"/>
            <w:vAlign w:val="center"/>
          </w:tcPr>
          <w:p w14:paraId="1DE10EA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采购需求内容</w:t>
            </w:r>
          </w:p>
        </w:tc>
      </w:tr>
      <w:tr w14:paraId="3FCA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1FE449A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18" w:type="dxa"/>
            <w:noWrap w:val="0"/>
            <w:vAlign w:val="center"/>
          </w:tcPr>
          <w:p w14:paraId="5C529F8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w:t>
            </w:r>
          </w:p>
        </w:tc>
        <w:tc>
          <w:tcPr>
            <w:tcW w:w="5630" w:type="dxa"/>
            <w:noWrap w:val="0"/>
            <w:vAlign w:val="center"/>
          </w:tcPr>
          <w:p w14:paraId="56CBE92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详见</w:t>
            </w:r>
            <w:r>
              <w:rPr>
                <w:rFonts w:hint="eastAsia" w:ascii="宋体" w:hAnsi="宋体" w:cs="宋体"/>
                <w:color w:val="000000" w:themeColor="text1"/>
                <w:sz w:val="24"/>
                <w:szCs w:val="24"/>
                <w:highlight w:val="none"/>
                <w:lang w:val="en-US" w:eastAsia="zh-CN"/>
                <w14:textFill>
                  <w14:solidFill>
                    <w14:schemeClr w14:val="tx1"/>
                  </w14:solidFill>
                </w14:textFill>
              </w:rPr>
              <w:t>本部分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p>
        </w:tc>
      </w:tr>
      <w:tr w14:paraId="08A3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2AC5B3C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318" w:type="dxa"/>
            <w:noWrap w:val="0"/>
            <w:vAlign w:val="center"/>
          </w:tcPr>
          <w:p w14:paraId="2999AAD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单位及数量</w:t>
            </w:r>
          </w:p>
        </w:tc>
        <w:tc>
          <w:tcPr>
            <w:tcW w:w="5630" w:type="dxa"/>
            <w:noWrap w:val="0"/>
            <w:vAlign w:val="center"/>
          </w:tcPr>
          <w:p w14:paraId="4A9B953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详见第一部分 招标公告</w:t>
            </w:r>
          </w:p>
        </w:tc>
      </w:tr>
      <w:tr w14:paraId="152B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14:paraId="4F4348A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318" w:type="dxa"/>
            <w:noWrap w:val="0"/>
            <w:vAlign w:val="center"/>
          </w:tcPr>
          <w:p w14:paraId="742DA8D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交付或者实施的时间和地点</w:t>
            </w:r>
          </w:p>
        </w:tc>
        <w:tc>
          <w:tcPr>
            <w:tcW w:w="5630" w:type="dxa"/>
            <w:noWrap w:val="0"/>
            <w:vAlign w:val="center"/>
          </w:tcPr>
          <w:p w14:paraId="3958F5D3">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r>
              <w:rPr>
                <w:rFonts w:hint="eastAsia" w:ascii="宋体" w:hAnsi="宋体" w:eastAsia="宋体" w:cs="宋体"/>
                <w:b w:val="0"/>
                <w:bCs w:val="0"/>
                <w:color w:val="000000" w:themeColor="text1"/>
                <w:sz w:val="24"/>
                <w:szCs w:val="24"/>
                <w:highlight w:val="none"/>
                <w14:textFill>
                  <w14:solidFill>
                    <w14:schemeClr w14:val="tx1"/>
                  </w14:solidFill>
                </w14:textFill>
              </w:rPr>
              <w:t>：详见第一部分 招标公告</w:t>
            </w:r>
          </w:p>
          <w:p w14:paraId="6B276CB4">
            <w:pPr>
              <w:keepNext w:val="0"/>
              <w:keepLines w:val="0"/>
              <w:pageBreakBefore w:val="0"/>
              <w:widowControl w:val="0"/>
              <w:numPr>
                <w:ilvl w:val="0"/>
                <w:numId w:val="1"/>
              </w:numPr>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实施地点：详见</w:t>
            </w:r>
            <w:r>
              <w:rPr>
                <w:rFonts w:hint="eastAsia" w:ascii="宋体" w:hAnsi="宋体" w:cs="宋体"/>
                <w:b w:val="0"/>
                <w:bCs w:val="0"/>
                <w:color w:val="000000" w:themeColor="text1"/>
                <w:sz w:val="24"/>
                <w:szCs w:val="24"/>
                <w:highlight w:val="none"/>
                <w:lang w:eastAsia="zh-CN"/>
                <w14:textFill>
                  <w14:solidFill>
                    <w14:schemeClr w14:val="tx1"/>
                  </w14:solidFill>
                </w14:textFill>
              </w:rPr>
              <w:t>本部分</w:t>
            </w:r>
            <w:r>
              <w:rPr>
                <w:rFonts w:hint="eastAsia" w:ascii="宋体" w:hAnsi="宋体" w:eastAsia="宋体" w:cs="宋体"/>
                <w:b w:val="0"/>
                <w:bCs w:val="0"/>
                <w:color w:val="000000" w:themeColor="text1"/>
                <w:sz w:val="24"/>
                <w:szCs w:val="24"/>
                <w:highlight w:val="none"/>
                <w14:textFill>
                  <w14:solidFill>
                    <w14:schemeClr w14:val="tx1"/>
                  </w14:solidFill>
                </w14:textFill>
              </w:rPr>
              <w:t>内容</w:t>
            </w:r>
          </w:p>
        </w:tc>
      </w:tr>
      <w:tr w14:paraId="4872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14:paraId="5174F92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318" w:type="dxa"/>
            <w:noWrap w:val="0"/>
            <w:vAlign w:val="center"/>
          </w:tcPr>
          <w:p w14:paraId="153BBC9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需实现的功能或者目标</w:t>
            </w:r>
          </w:p>
        </w:tc>
        <w:tc>
          <w:tcPr>
            <w:tcW w:w="5630" w:type="dxa"/>
            <w:noWrap w:val="0"/>
            <w:vAlign w:val="center"/>
          </w:tcPr>
          <w:p w14:paraId="39B137E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确保食堂用料保质保量、价格合理。</w:t>
            </w:r>
          </w:p>
        </w:tc>
      </w:tr>
      <w:tr w14:paraId="4DAF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14:paraId="69978B7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318" w:type="dxa"/>
            <w:noWrap w:val="0"/>
            <w:vAlign w:val="center"/>
          </w:tcPr>
          <w:p w14:paraId="0B78D11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执行的国家相关标准、行业标准、地方标准或者</w:t>
            </w:r>
            <w:r>
              <w:rPr>
                <w:rFonts w:hint="eastAsia" w:ascii="宋体" w:hAnsi="宋体" w:cs="宋体"/>
                <w:color w:val="000000" w:themeColor="text1"/>
                <w:sz w:val="24"/>
                <w:szCs w:val="24"/>
                <w:highlight w:val="none"/>
                <w:lang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标准、规范</w:t>
            </w:r>
          </w:p>
        </w:tc>
        <w:tc>
          <w:tcPr>
            <w:tcW w:w="5630" w:type="dxa"/>
            <w:noWrap w:val="0"/>
            <w:vAlign w:val="center"/>
          </w:tcPr>
          <w:p w14:paraId="59C90C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国家相关标准、行业标准、地方标准或者其他标准规范。</w:t>
            </w:r>
          </w:p>
        </w:tc>
      </w:tr>
      <w:tr w14:paraId="0845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14:paraId="27F387A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318" w:type="dxa"/>
            <w:noWrap w:val="0"/>
            <w:vAlign w:val="center"/>
          </w:tcPr>
          <w:p w14:paraId="072B46C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技术规格要求</w:t>
            </w:r>
          </w:p>
        </w:tc>
        <w:tc>
          <w:tcPr>
            <w:tcW w:w="5630" w:type="dxa"/>
            <w:noWrap w:val="0"/>
            <w:vAlign w:val="center"/>
          </w:tcPr>
          <w:p w14:paraId="2811DF6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cs="宋体"/>
                <w:color w:val="000000" w:themeColor="text1"/>
                <w:sz w:val="24"/>
                <w:szCs w:val="24"/>
                <w:highlight w:val="none"/>
                <w:lang w:eastAsia="zh-CN"/>
                <w14:textFill>
                  <w14:solidFill>
                    <w14:schemeClr w14:val="tx1"/>
                  </w14:solidFill>
                </w14:textFill>
              </w:rPr>
              <w:t>本部分</w:t>
            </w:r>
            <w:r>
              <w:rPr>
                <w:rFonts w:hint="eastAsia" w:ascii="宋体" w:hAnsi="宋体" w:eastAsia="宋体" w:cs="宋体"/>
                <w:color w:val="000000" w:themeColor="text1"/>
                <w:sz w:val="24"/>
                <w:szCs w:val="24"/>
                <w:highlight w:val="none"/>
                <w14:textFill>
                  <w14:solidFill>
                    <w14:schemeClr w14:val="tx1"/>
                  </w14:solidFill>
                </w14:textFill>
              </w:rPr>
              <w:t>内容</w:t>
            </w:r>
          </w:p>
        </w:tc>
      </w:tr>
      <w:tr w14:paraId="46DE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6D8346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318" w:type="dxa"/>
            <w:noWrap w:val="0"/>
            <w:vAlign w:val="center"/>
          </w:tcPr>
          <w:p w14:paraId="55DF932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物理特性要求</w:t>
            </w:r>
          </w:p>
        </w:tc>
        <w:tc>
          <w:tcPr>
            <w:tcW w:w="5630" w:type="dxa"/>
            <w:noWrap w:val="0"/>
            <w:vAlign w:val="center"/>
          </w:tcPr>
          <w:p w14:paraId="4981955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cs="宋体"/>
                <w:color w:val="000000" w:themeColor="text1"/>
                <w:sz w:val="24"/>
                <w:szCs w:val="24"/>
                <w:highlight w:val="none"/>
                <w:lang w:eastAsia="zh-CN"/>
                <w14:textFill>
                  <w14:solidFill>
                    <w14:schemeClr w14:val="tx1"/>
                  </w14:solidFill>
                </w14:textFill>
              </w:rPr>
              <w:t>本部分</w:t>
            </w:r>
            <w:r>
              <w:rPr>
                <w:rFonts w:hint="eastAsia" w:ascii="宋体" w:hAnsi="宋体" w:eastAsia="宋体" w:cs="宋体"/>
                <w:color w:val="000000" w:themeColor="text1"/>
                <w:sz w:val="24"/>
                <w:szCs w:val="24"/>
                <w:highlight w:val="none"/>
                <w14:textFill>
                  <w14:solidFill>
                    <w14:schemeClr w14:val="tx1"/>
                  </w14:solidFill>
                </w14:textFill>
              </w:rPr>
              <w:t>内容</w:t>
            </w:r>
          </w:p>
        </w:tc>
      </w:tr>
      <w:tr w14:paraId="2228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14:paraId="04DB6A8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18" w:type="dxa"/>
            <w:noWrap w:val="0"/>
            <w:vAlign w:val="center"/>
          </w:tcPr>
          <w:p w14:paraId="3D93EF1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质量、安全要求</w:t>
            </w:r>
          </w:p>
        </w:tc>
        <w:tc>
          <w:tcPr>
            <w:tcW w:w="5630" w:type="dxa"/>
            <w:noWrap w:val="0"/>
            <w:vAlign w:val="center"/>
          </w:tcPr>
          <w:p w14:paraId="4F849DF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（1）质量要求：详见</w:t>
            </w:r>
            <w:r>
              <w:rPr>
                <w:rFonts w:hint="eastAsia" w:ascii="宋体" w:hAnsi="宋体" w:cs="宋体"/>
                <w:color w:val="000000" w:themeColor="text1"/>
                <w:sz w:val="24"/>
                <w:szCs w:val="24"/>
                <w:highlight w:val="none"/>
                <w:lang w:eastAsia="zh-CN"/>
                <w14:textFill>
                  <w14:solidFill>
                    <w14:schemeClr w14:val="tx1"/>
                  </w14:solidFill>
                </w14:textFill>
              </w:rPr>
              <w:t>本部分</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35A720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（2）安全要求：合格</w:t>
            </w:r>
          </w:p>
        </w:tc>
      </w:tr>
      <w:tr w14:paraId="438F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14:paraId="11C7D83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318" w:type="dxa"/>
            <w:noWrap w:val="0"/>
            <w:vAlign w:val="center"/>
          </w:tcPr>
          <w:p w14:paraId="62ACB5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验收标准</w:t>
            </w:r>
          </w:p>
        </w:tc>
        <w:tc>
          <w:tcPr>
            <w:tcW w:w="5630" w:type="dxa"/>
            <w:noWrap w:val="0"/>
            <w:vAlign w:val="center"/>
          </w:tcPr>
          <w:p w14:paraId="1F36A42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按照中标人提供的投标文件及中标人和采购人签订的政府采购合同为标准进行验收。</w:t>
            </w:r>
          </w:p>
        </w:tc>
      </w:tr>
      <w:tr w14:paraId="0274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14:paraId="0D9DB79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p>
        </w:tc>
        <w:tc>
          <w:tcPr>
            <w:tcW w:w="2318" w:type="dxa"/>
            <w:noWrap w:val="0"/>
            <w:vAlign w:val="center"/>
          </w:tcPr>
          <w:p w14:paraId="08143E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现场踏勘</w:t>
            </w:r>
          </w:p>
        </w:tc>
        <w:tc>
          <w:tcPr>
            <w:tcW w:w="5630" w:type="dxa"/>
            <w:noWrap w:val="0"/>
            <w:vAlign w:val="center"/>
          </w:tcPr>
          <w:p w14:paraId="23A98C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w:t>
            </w:r>
            <w:r>
              <w:rPr>
                <w:rFonts w:hint="eastAsia" w:ascii="宋体" w:hAnsi="宋体" w:cs="宋体"/>
                <w:color w:val="000000" w:themeColor="text1"/>
                <w:sz w:val="24"/>
                <w:szCs w:val="24"/>
                <w:highlight w:val="none"/>
                <w:lang w:eastAsia="zh-CN"/>
                <w14:textFill>
                  <w14:solidFill>
                    <w14:schemeClr w14:val="tx1"/>
                  </w14:solidFill>
                </w14:textFill>
              </w:rPr>
              <w:t>其他损失</w:t>
            </w:r>
            <w:r>
              <w:rPr>
                <w:rFonts w:hint="eastAsia" w:ascii="宋体" w:hAnsi="宋体" w:eastAsia="宋体" w:cs="宋体"/>
                <w:color w:val="000000" w:themeColor="text1"/>
                <w:sz w:val="24"/>
                <w:szCs w:val="24"/>
                <w:highlight w:val="none"/>
                <w:lang w:eastAsia="zh-CN"/>
                <w14:textFill>
                  <w14:solidFill>
                    <w14:schemeClr w14:val="tx1"/>
                  </w14:solidFill>
                </w14:textFill>
              </w:rPr>
              <w:t>、损害和引起的费用和开支承担责任。</w:t>
            </w:r>
          </w:p>
        </w:tc>
      </w:tr>
      <w:tr w14:paraId="277B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14:paraId="0CB7802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318" w:type="dxa"/>
            <w:noWrap w:val="0"/>
            <w:vAlign w:val="center"/>
          </w:tcPr>
          <w:p w14:paraId="31A6B43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演示时间及地点</w:t>
            </w:r>
          </w:p>
        </w:tc>
        <w:tc>
          <w:tcPr>
            <w:tcW w:w="5630" w:type="dxa"/>
            <w:noWrap w:val="0"/>
            <w:vAlign w:val="center"/>
          </w:tcPr>
          <w:p w14:paraId="2AED6C0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6C02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14:paraId="5CC22EA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318" w:type="dxa"/>
            <w:noWrap w:val="0"/>
            <w:vAlign w:val="center"/>
          </w:tcPr>
          <w:p w14:paraId="3E4B13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样品要求</w:t>
            </w:r>
          </w:p>
        </w:tc>
        <w:tc>
          <w:tcPr>
            <w:tcW w:w="5630" w:type="dxa"/>
            <w:noWrap w:val="0"/>
            <w:vAlign w:val="center"/>
          </w:tcPr>
          <w:p w14:paraId="2AF6DDA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6E0B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14:paraId="0EB26C5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318" w:type="dxa"/>
            <w:noWrap w:val="0"/>
            <w:vAlign w:val="center"/>
          </w:tcPr>
          <w:p w14:paraId="78D8AFB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本项目的核心产品</w:t>
            </w:r>
          </w:p>
        </w:tc>
        <w:tc>
          <w:tcPr>
            <w:tcW w:w="5630" w:type="dxa"/>
            <w:noWrap w:val="0"/>
            <w:vAlign w:val="center"/>
          </w:tcPr>
          <w:p w14:paraId="19F1626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bl>
    <w:p w14:paraId="55B3BE9B">
      <w:pPr>
        <w:widowControl/>
        <w:shd w:val="clear"/>
        <w:adjustRightInd/>
        <w:spacing w:line="360" w:lineRule="auto"/>
        <w:jc w:val="left"/>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r>
        <w:rPr>
          <w:rFonts w:hint="eastAsia" w:ascii="宋体" w:hAnsi="宋体" w:eastAsia="宋体" w:cs="宋体"/>
          <w:b/>
          <w:color w:val="000000" w:themeColor="text1"/>
          <w:kern w:val="0"/>
          <w:sz w:val="24"/>
          <w:szCs w:val="24"/>
          <w:highlight w:val="none"/>
          <w14:textFill>
            <w14:solidFill>
              <w14:schemeClr w14:val="tx1"/>
            </w14:solidFill>
          </w14:textFill>
        </w:rPr>
        <w:t>一、重要商务要求一览表</w:t>
      </w:r>
    </w:p>
    <w:tbl>
      <w:tblPr>
        <w:tblStyle w:val="62"/>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14:paraId="458D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59CADF2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bookmarkStart w:id="28" w:name="_Toc513103337"/>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707EE58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要 求 </w:t>
            </w:r>
          </w:p>
        </w:tc>
      </w:tr>
      <w:tr w14:paraId="2489C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6CAE545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合同履行期限</w:t>
            </w:r>
            <w:r>
              <w:rPr>
                <w:rFonts w:hint="eastAsia" w:ascii="宋体" w:hAnsi="宋体" w:eastAsia="宋体" w:cs="宋体"/>
                <w:color w:val="000000" w:themeColor="text1"/>
                <w:sz w:val="24"/>
                <w:szCs w:val="24"/>
                <w:highlight w:val="none"/>
                <w:lang w:eastAsia="zh-CN"/>
                <w14:textFill>
                  <w14:solidFill>
                    <w14:schemeClr w14:val="tx1"/>
                  </w14:solidFill>
                </w14:textFill>
              </w:rPr>
              <w:t>及地点</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4A4D72D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合同履行期限</w:t>
            </w:r>
            <w:r>
              <w:rPr>
                <w:rFonts w:hint="eastAsia" w:ascii="宋体" w:hAnsi="宋体" w:eastAsia="宋体" w:cs="宋体"/>
                <w:color w:val="000000" w:themeColor="text1"/>
                <w:sz w:val="24"/>
                <w:szCs w:val="24"/>
                <w:highlight w:val="none"/>
                <w:lang w:eastAsia="zh-CN"/>
                <w14:textFill>
                  <w14:solidFill>
                    <w14:schemeClr w14:val="tx1"/>
                  </w14:solidFill>
                </w14:textFill>
              </w:rPr>
              <w:t>：详见</w:t>
            </w:r>
            <w:r>
              <w:rPr>
                <w:rFonts w:hint="eastAsia" w:ascii="宋体" w:hAnsi="宋体" w:eastAsia="宋体" w:cs="宋体"/>
                <w:bCs/>
                <w:color w:val="000000" w:themeColor="text1"/>
                <w:sz w:val="24"/>
                <w:szCs w:val="24"/>
                <w:highlight w:val="none"/>
                <w14:textFill>
                  <w14:solidFill>
                    <w14:schemeClr w14:val="tx1"/>
                  </w14:solidFill>
                </w14:textFill>
              </w:rPr>
              <w:t>第一部分 招标公告</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6B94AE">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）实施地点：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采购人指定地点（隶属宁波市海曙区环境卫生服务中心的八个食堂）</w:t>
            </w:r>
          </w:p>
        </w:tc>
      </w:tr>
      <w:tr w14:paraId="53C0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1B44BF5B">
            <w:pPr>
              <w:keepNext w:val="0"/>
              <w:keepLines w:val="0"/>
              <w:suppressLineNumbers w:val="0"/>
              <w:shd w:val="clear"/>
              <w:adjustRightInd w:val="0"/>
              <w:spacing w:before="0" w:beforeAutospacing="0" w:after="0" w:afterAutospacing="0" w:line="360" w:lineRule="auto"/>
              <w:ind w:left="0" w:right="0"/>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2、配送时间</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5C08B7D4">
            <w:pPr>
              <w:keepNext w:val="0"/>
              <w:keepLines w:val="0"/>
              <w:suppressLineNumbers w:val="0"/>
              <w:shd w:val="clear"/>
              <w:kinsoku/>
              <w:wordWrap/>
              <w:overflowPunct/>
              <w:topLinePunct w:val="0"/>
              <w:bidi w:val="0"/>
              <w:adjustRightInd w:val="0"/>
              <w:spacing w:before="0" w:beforeAutospacing="0" w:after="0" w:afterAutospacing="0" w:line="360" w:lineRule="auto"/>
              <w:ind w:left="0" w:right="0"/>
              <w:textAlignment w:val="baseline"/>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自合同签订之日起按</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要求供货</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每日食材需在上午8点前送达至八个食堂</w:t>
            </w:r>
            <w:r>
              <w:rPr>
                <w:rFonts w:hint="eastAsia" w:ascii="宋体" w:hAnsi="宋体" w:eastAsia="宋体" w:cs="宋体"/>
                <w:color w:val="000000" w:themeColor="text1"/>
                <w:sz w:val="24"/>
                <w:szCs w:val="24"/>
                <w:highlight w:val="none"/>
                <w14:textFill>
                  <w14:solidFill>
                    <w14:schemeClr w14:val="tx1"/>
                  </w14:solidFill>
                </w14:textFill>
              </w:rPr>
              <w:t>。</w:t>
            </w:r>
          </w:p>
          <w:p w14:paraId="4EF19281">
            <w:pPr>
              <w:keepNext w:val="0"/>
              <w:keepLines w:val="0"/>
              <w:suppressLineNumbers w:val="0"/>
              <w:shd w:val="clear"/>
              <w:adjustRightInd w:val="0"/>
              <w:spacing w:before="0" w:beforeAutospacing="0" w:after="0" w:afterAutospacing="0" w:line="360" w:lineRule="auto"/>
              <w:ind w:left="0" w:right="0"/>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中标人在每周周五下午14时前（如遇节假日，需提前一个工作日）向采购人报送下周的菜品清单（至少三荤三素多样性方案供采购人选择），由采购人审核。</w:t>
            </w:r>
          </w:p>
        </w:tc>
      </w:tr>
      <w:tr w14:paraId="6308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581F0F2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、付款方式</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1F437E9A">
            <w:pPr>
              <w:keepNext w:val="0"/>
              <w:keepLines w:val="0"/>
              <w:widowControl w:val="0"/>
              <w:numPr>
                <w:ilvl w:val="0"/>
                <w:numId w:val="0"/>
              </w:numPr>
              <w:suppressLineNumbers w:val="0"/>
              <w:shd w:val="clear"/>
              <w:adjustRightInd/>
              <w:spacing w:before="120" w:beforeLines="50" w:beforeAutospacing="0" w:after="0" w:afterAutospacing="0" w:line="360" w:lineRule="auto"/>
              <w:ind w:left="0" w:right="0"/>
              <w:jc w:val="both"/>
              <w:outlineLvl w:val="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w:t>
            </w:r>
            <w:r>
              <w:rPr>
                <w:rFonts w:hint="eastAsia" w:ascii="宋体" w:hAnsi="宋体" w:cs="宋体"/>
                <w:color w:val="000000" w:themeColor="text1"/>
                <w:sz w:val="24"/>
                <w:szCs w:val="24"/>
                <w:highlight w:val="none"/>
                <w:lang w:eastAsia="zh-CN"/>
                <w14:textFill>
                  <w14:solidFill>
                    <w14:schemeClr w14:val="tx1"/>
                  </w14:solidFill>
                </w14:textFill>
              </w:rPr>
              <w:t>本部分</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货款结算及调价方式</w:t>
            </w:r>
          </w:p>
          <w:p w14:paraId="5142B7B1">
            <w:pPr>
              <w:pStyle w:val="2"/>
              <w:keepNext w:val="0"/>
              <w:keepLines w:val="0"/>
              <w:suppressLineNumbers w:val="0"/>
              <w:spacing w:before="0" w:beforeAutospacing="0" w:after="0" w:afterAutospacing="0"/>
              <w:ind w:left="0" w:right="0"/>
              <w:rPr>
                <w:rFonts w:hint="eastAsia" w:eastAsia="宋体"/>
                <w:color w:val="000000" w:themeColor="text1"/>
                <w:highlight w:val="none"/>
                <w:lang w:val="en-US" w:eastAsia="zh-CN"/>
                <w14:textFill>
                  <w14:solidFill>
                    <w14:schemeClr w14:val="tx1"/>
                  </w14:solidFill>
                </w14:textFill>
              </w:rPr>
            </w:pP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000000" w:themeColor="text1"/>
                <w:sz w:val="24"/>
                <w:szCs w:val="24"/>
                <w:highlight w:val="none"/>
                <w:lang w:val="en-US" w:eastAsia="zh-CN"/>
                <w14:textFill>
                  <w14:solidFill>
                    <w14:schemeClr w14:val="tx1"/>
                  </w14:solidFill>
                </w14:textFill>
              </w:rPr>
              <w:t>注：本项目以人工投入为主且实行按月定期结算支付，不设置预付款</w:t>
            </w:r>
            <w:r>
              <w:rPr>
                <w:rFonts w:hint="eastAsia" w:hAnsi="宋体" w:cs="宋体"/>
                <w:b/>
                <w:color w:val="000000" w:themeColor="text1"/>
                <w:sz w:val="24"/>
                <w:szCs w:val="24"/>
                <w:highlight w:val="none"/>
                <w:lang w:eastAsia="zh-CN"/>
                <w14:textFill>
                  <w14:solidFill>
                    <w14:schemeClr w14:val="tx1"/>
                  </w14:solidFill>
                </w14:textFill>
              </w:rPr>
              <w:t>）</w:t>
            </w:r>
          </w:p>
        </w:tc>
      </w:tr>
      <w:tr w14:paraId="3698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71ABEF7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1BF5BD9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履约保证金的收取及退还：</w:t>
            </w:r>
          </w:p>
          <w:p w14:paraId="15D70E33">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（1）履约保证金金额：</w:t>
            </w:r>
            <w:r>
              <w:rPr>
                <w:rFonts w:hint="eastAsia" w:ascii="宋体" w:hAnsi="宋体" w:cs="宋体"/>
                <w:color w:val="000000" w:themeColor="text1"/>
                <w:sz w:val="24"/>
                <w:szCs w:val="24"/>
                <w:highlight w:val="none"/>
                <w:lang w:val="en-US" w:eastAsia="zh-CN"/>
                <w14:textFill>
                  <w14:solidFill>
                    <w14:schemeClr w14:val="tx1"/>
                  </w14:solidFill>
                </w14:textFill>
              </w:rPr>
              <w:t>合同暂定金额的1%</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3D70C5D">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（2）履约保证金形式：银行汇票（电汇）、银行保函、保险</w:t>
            </w:r>
            <w:r>
              <w:rPr>
                <w:rFonts w:hint="eastAsia" w:ascii="宋体" w:hAnsi="宋体" w:eastAsia="宋体" w:cs="宋体"/>
                <w:color w:val="000000" w:themeColor="text1"/>
                <w:sz w:val="24"/>
                <w:szCs w:val="24"/>
                <w:highlight w:val="none"/>
                <w:lang w:val="en-US" w:eastAsia="zh-CN"/>
                <w14:textFill>
                  <w14:solidFill>
                    <w14:schemeClr w14:val="tx1"/>
                  </w14:solidFill>
                </w14:textFill>
              </w:rPr>
              <w:t>保单</w:t>
            </w:r>
            <w:r>
              <w:rPr>
                <w:rFonts w:hint="eastAsia" w:ascii="宋体" w:hAnsi="宋体" w:eastAsia="宋体" w:cs="宋体"/>
                <w:color w:val="000000" w:themeColor="text1"/>
                <w:sz w:val="24"/>
                <w:szCs w:val="24"/>
                <w:highlight w:val="none"/>
                <w:lang w:eastAsia="zh-CN"/>
                <w14:textFill>
                  <w14:solidFill>
                    <w14:schemeClr w14:val="tx1"/>
                  </w14:solidFill>
                </w14:textFill>
              </w:rPr>
              <w:t>或支票（仅限于使用宁波大市区范围内的银行开具的支票）</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CC6A3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履约保证金在定点采购合同期满后无息退还（但如定点采购单位未能履行合同规定的任何义务，采购人有权从履约保证金中得到补偿）。</w:t>
            </w:r>
          </w:p>
        </w:tc>
      </w:tr>
      <w:tr w14:paraId="1D920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2B4132D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5、标项轮换作业规则</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6E33DF7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两个标项中标人半个年度轮换服务地点（隶属宁波市海曙区环境卫生服务中心的八个食堂），前半年度标项1中标人负责</w:t>
            </w:r>
            <w:r>
              <w:rPr>
                <w:rFonts w:hint="eastAsia" w:ascii="宋体" w:hAnsi="宋体" w:eastAsia="宋体" w:cs="宋体"/>
                <w:color w:val="000000" w:themeColor="text1"/>
                <w:sz w:val="24"/>
                <w:szCs w:val="24"/>
                <w:highlight w:val="none"/>
                <w:lang w:eastAsia="zh-CN"/>
                <w14:textFill>
                  <w14:solidFill>
                    <w14:schemeClr w14:val="tx1"/>
                  </w14:solidFill>
                </w14:textFill>
              </w:rPr>
              <w:t>海曙区环境卫生服务中心环卫车队，海曙区生活垃圾分类转运站，海兴环卫所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海达环卫所食堂</w:t>
            </w:r>
            <w:r>
              <w:rPr>
                <w:rFonts w:hint="eastAsia" w:ascii="宋体" w:hAnsi="宋体" w:cs="宋体"/>
                <w:color w:val="000000" w:themeColor="text1"/>
                <w:sz w:val="24"/>
                <w:szCs w:val="24"/>
                <w:highlight w:val="none"/>
                <w:lang w:val="en-US" w:eastAsia="zh-CN"/>
                <w14:textFill>
                  <w14:solidFill>
                    <w14:schemeClr w14:val="tx1"/>
                  </w14:solidFill>
                </w14:textFill>
              </w:rPr>
              <w:t>的午餐原材料配送服务工作，标项2中标人负责海曙区环境卫生服务中心大楼，综合保洁所，海旺环卫所，海发环卫所食堂的午餐原材料配送服务工作。</w:t>
            </w:r>
          </w:p>
        </w:tc>
      </w:tr>
      <w:tr w14:paraId="08DE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359C0B9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、合同终止</w:t>
            </w:r>
          </w:p>
        </w:tc>
        <w:tc>
          <w:tcPr>
            <w:tcW w:w="6989" w:type="dxa"/>
            <w:tcBorders>
              <w:top w:val="single" w:color="auto" w:sz="4" w:space="0"/>
              <w:left w:val="single" w:color="auto" w:sz="4" w:space="0"/>
              <w:bottom w:val="single" w:color="auto" w:sz="4" w:space="0"/>
              <w:right w:val="single" w:color="auto" w:sz="4" w:space="0"/>
            </w:tcBorders>
            <w:noWrap w:val="0"/>
            <w:vAlign w:val="center"/>
          </w:tcPr>
          <w:p w14:paraId="5BACBF0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中标人在合同有效期内，不得</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理由终止合同，确有特殊情况的，须提前两个月向采购人提出书面申请，经采购人同意后，方可终止合同，同时酌情扣除履约保证金。因中标人不能保证工作质量，或发生重大差错事故的，采购人可有权终止协议并罚没中标人缴纳的全部履约保证金，中标人承担全部责任。</w:t>
            </w:r>
          </w:p>
        </w:tc>
      </w:tr>
      <w:tr w14:paraId="473B4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B830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7、其他要求</w:t>
            </w:r>
          </w:p>
        </w:tc>
        <w:tc>
          <w:tcPr>
            <w:tcW w:w="69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EEF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（1）中标人在合同履约过程中，须无条件接受招标人的考核，考核要求以招标人出具的考核条例为准。</w:t>
            </w:r>
          </w:p>
          <w:p w14:paraId="4809804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（2）中标人在合同履约过程中，若出现原材料配送不到位的情形，导致招标人食堂自行采购的，相关费用由中标人承担，投标人不得有异议。</w:t>
            </w:r>
          </w:p>
        </w:tc>
      </w:tr>
      <w:bookmarkEnd w:id="28"/>
    </w:tbl>
    <w:p w14:paraId="0A18A2AD">
      <w:pPr>
        <w:widowControl/>
        <w:shd w:val="clear"/>
        <w:adjustRightInd/>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二、定点采购内容</w:t>
      </w:r>
    </w:p>
    <w:p w14:paraId="79F7705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蔬菜类（土豆、西红柿、青椒、青菜、大白菜、包菜、茭白、芋艿、豆芽等）。质量要求：所提供的蔬菜必须保证新鲜、不腐烂变质，能提供蔬菜农药残留检测报告、产地合格证明，且符合《中华人民共和国农产品质量安全法》要求，经过初步处理，没有腐叶和泥土。</w:t>
      </w:r>
    </w:p>
    <w:p w14:paraId="03E9D85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r>
        <w:rPr>
          <w:rFonts w:hint="eastAsia" w:ascii="宋体" w:hAnsi="宋体" w:cs="Times New Roman"/>
          <w:bCs/>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豆制品（豆腐、千张、香干、素鸡、大油豆腐、小油豆腐等）类。质量要求：豆制品成品必须具有生产许可证编号，并提供产品合格证明文件。</w:t>
      </w:r>
    </w:p>
    <w:p w14:paraId="71897B0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2.3</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水产类冷冻品。质量要求：符合水产品定性检测要求。</w:t>
      </w:r>
    </w:p>
    <w:p w14:paraId="6E5753F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2.4</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猪肉类（排肉、精肉等，除冷冻品）。质量要求：排肉是指无骨腿肉和无骨夹心肉，其中腿肉要求剔除大股骨，夹心肉要求割除下懒肉，整方供应，并且每方肉上必须盖有屠宰场的检验检疫章。并于供货时提供《动物或动物产品分销信息凭证》或《动物检疫合格证》和《肉品品质检验合格证》。</w:t>
      </w:r>
    </w:p>
    <w:p w14:paraId="2D22463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2.5</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其他鲜肉食类（除猪肉）。质量要求：整方供应，并且每方肉上必须盖有屠宰场的检验检疫章。并于供货时提供《动物或动物产品分销信息凭证》或《动物检疫合格证》和《肉品品质检验合格证》。</w:t>
      </w:r>
    </w:p>
    <w:p w14:paraId="027982D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2.6</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蛋类。质量要求：禽蛋必须保证新鲜，且符合《中华人民共和国食品安全法》要求，并提供养殖基地有效证件。</w:t>
      </w:r>
    </w:p>
    <w:p w14:paraId="7F5940F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2.7</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鲜家禽类。质量要求：必须于供货时提供《动物或动物产品分销信息凭证》或《动物检疫合格证》，及养殖基地有效证件。</w:t>
      </w:r>
    </w:p>
    <w:p w14:paraId="2A68E773">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2.8</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肉类冷冻品（鸡腿、鸡翅、贡丸、香肠等）。质量要求：供应商须提供产品合格证明文件，动物产品于供货时提供《动物或动物产品分销信息凭证》或《动物检疫合格证》。</w:t>
      </w:r>
    </w:p>
    <w:p w14:paraId="00E54BD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2.9</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水产类（鱼、虾等非冷冻品）。质量要求：符合水产品定性检测要求。</w:t>
      </w:r>
    </w:p>
    <w:p w14:paraId="2B984CB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2.10</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调味品类（味精、酱油、干货、生粉、食品添加剂等）。质量要求：糖、味精、酱油、醋、生粉等必须具有生产许可证编号，并提供进货商有效证件和产品合格证明文件。</w:t>
      </w:r>
    </w:p>
    <w:p w14:paraId="59A2A57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11酱腌菜类。质量要求：亚硝酸盐定期抽检合格，且符合《中华人民共和国食品安全法》要求。</w:t>
      </w:r>
    </w:p>
    <w:p w14:paraId="316FAE4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12干货类。质量要求：所提供的食品必须保证质量合格。</w:t>
      </w:r>
    </w:p>
    <w:p w14:paraId="4D6888C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13米油类。大米：25kg/袋，非转基因，符合GB/T1354-2018标准，同时具备GB/T18824-2008或GB/T19266-20</w:t>
      </w:r>
      <w:r>
        <w:rPr>
          <w:rFonts w:hint="eastAsia" w:ascii="宋体" w:hAnsi="宋体" w:cs="Times New Roman"/>
          <w:bCs/>
          <w:color w:val="000000" w:themeColor="text1"/>
          <w:sz w:val="24"/>
          <w:szCs w:val="24"/>
          <w:highlight w:val="none"/>
          <w:lang w:val="en-US" w:eastAsia="zh-CN"/>
          <w14:textFill>
            <w14:solidFill>
              <w14:schemeClr w14:val="tx1"/>
            </w14:solidFill>
          </w14:textFill>
        </w:rPr>
        <w:t>24</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标准；食用油：5L/桶，压榨油、具有“SC”食品质量安全认证；糯米：25kg/袋；面粉：25kg/袋，符合GB 8607-1988标准。</w:t>
      </w:r>
    </w:p>
    <w:p w14:paraId="31B3790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cs="Times New Roman"/>
          <w:bCs/>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14其他速食类（面包牛奶方便面水饺等）</w:t>
      </w:r>
      <w:r>
        <w:rPr>
          <w:rFonts w:hint="eastAsia" w:ascii="宋体" w:hAnsi="宋体" w:cs="Times New Roman"/>
          <w:bCs/>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质量要求：具有“SC”食品质量安全认证，在质保期内，此部分为采购人周六日值班午餐用。</w:t>
      </w:r>
    </w:p>
    <w:p w14:paraId="049D474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以上所有定点采购原材料均须符合《中华人民共和国食品安全法》及属地相关法律法规要求。</w:t>
      </w:r>
    </w:p>
    <w:p w14:paraId="22BCBF3F">
      <w:pPr>
        <w:pStyle w:val="79"/>
        <w:rPr>
          <w:rFonts w:hint="eastAsia"/>
          <w:color w:val="000000" w:themeColor="text1"/>
          <w:highlight w:val="none"/>
          <w:lang w:val="en-US" w:eastAsia="zh-CN"/>
          <w14:textFill>
            <w14:solidFill>
              <w14:schemeClr w14:val="tx1"/>
            </w14:solidFill>
          </w14:textFill>
        </w:rPr>
      </w:pPr>
    </w:p>
    <w:p w14:paraId="46C1ED2B">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三、采购项目质量要求</w:t>
      </w:r>
    </w:p>
    <w:p w14:paraId="22FD5A1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.1供应商所提供的货物必须符合</w:t>
      </w:r>
      <w:r>
        <w:rPr>
          <w:rFonts w:hint="eastAsia" w:ascii="宋体" w:hAnsi="宋体" w:cs="Times New Roman"/>
          <w:bCs/>
          <w:color w:val="000000" w:themeColor="text1"/>
          <w:sz w:val="24"/>
          <w:szCs w:val="24"/>
          <w:highlight w:val="none"/>
          <w:lang w:eastAsia="zh-CN"/>
          <w14:textFill>
            <w14:solidFill>
              <w14:schemeClr w14:val="tx1"/>
            </w14:solidFill>
          </w14:textFill>
        </w:rPr>
        <w:t>宁波市海曙区环境卫生服务中心</w:t>
      </w:r>
      <w:r>
        <w:rPr>
          <w:rFonts w:hint="eastAsia" w:ascii="宋体" w:hAnsi="宋体" w:eastAsia="宋体" w:cs="Times New Roman"/>
          <w:bCs/>
          <w:color w:val="000000" w:themeColor="text1"/>
          <w:sz w:val="24"/>
          <w:szCs w:val="24"/>
          <w:highlight w:val="none"/>
          <w14:textFill>
            <w14:solidFill>
              <w14:schemeClr w14:val="tx1"/>
            </w14:solidFill>
          </w14:textFill>
        </w:rPr>
        <w:t>关于原材料规格、质量等方面要求和国家有关食品卫生、安全质量等方面的要求。所提供的货物数量、质量，必须经验收合格后才能进入食堂。如验收达不到招标文件要求，则应立刻退回，由此造成的一切损失由供应商承担。若供应商不听劝告，一再坚持错误继续供货，采购人有权拒付货款，并有权终止与供应商的采购合同，由此造成的卫生、安全质量后果，全部由供应商承担。</w:t>
      </w:r>
    </w:p>
    <w:p w14:paraId="534F12C8">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3.2</w:t>
      </w:r>
      <w:r>
        <w:rPr>
          <w:rFonts w:hint="eastAsia" w:ascii="宋体" w:hAnsi="宋体" w:eastAsia="宋体" w:cs="Times New Roman"/>
          <w:bCs/>
          <w:color w:val="000000" w:themeColor="text1"/>
          <w:sz w:val="24"/>
          <w:szCs w:val="24"/>
          <w:highlight w:val="none"/>
          <w14:textFill>
            <w14:solidFill>
              <w14:schemeClr w14:val="tx1"/>
            </w14:solidFill>
          </w14:textFill>
        </w:rPr>
        <w:t>本项目所有采购为非转基因食材，有正规包装的食材须有明确非转基因标记。</w:t>
      </w:r>
    </w:p>
    <w:p w14:paraId="3F3B1B59">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3.3</w:t>
      </w:r>
      <w:r>
        <w:rPr>
          <w:rFonts w:hint="eastAsia" w:ascii="宋体" w:hAnsi="宋体" w:eastAsia="宋体" w:cs="Times New Roman"/>
          <w:bCs/>
          <w:color w:val="000000" w:themeColor="text1"/>
          <w:sz w:val="24"/>
          <w:szCs w:val="24"/>
          <w:highlight w:val="none"/>
          <w14:textFill>
            <w14:solidFill>
              <w14:schemeClr w14:val="tx1"/>
            </w14:solidFill>
          </w14:textFill>
        </w:rPr>
        <w:t>供应商提供的各类原料、货物食品必须符合卫生防疫部门检测标准，优质足量，根据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bCs/>
          <w:color w:val="000000" w:themeColor="text1"/>
          <w:sz w:val="24"/>
          <w:szCs w:val="24"/>
          <w:highlight w:val="none"/>
          <w14:textFill>
            <w14:solidFill>
              <w14:schemeClr w14:val="tx1"/>
            </w14:solidFill>
          </w14:textFill>
        </w:rPr>
        <w:t>通知要求按规定时间送到</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各</w:t>
      </w:r>
      <w:r>
        <w:rPr>
          <w:rFonts w:hint="eastAsia" w:ascii="宋体" w:hAnsi="宋体" w:eastAsia="宋体" w:cs="Times New Roman"/>
          <w:bCs/>
          <w:color w:val="000000" w:themeColor="text1"/>
          <w:sz w:val="24"/>
          <w:szCs w:val="24"/>
          <w:highlight w:val="none"/>
          <w14:textFill>
            <w14:solidFill>
              <w14:schemeClr w14:val="tx1"/>
            </w14:solidFill>
          </w14:textFill>
        </w:rPr>
        <w:t>食堂并提供相应辅助服务，提供蔬</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菜</w:t>
      </w:r>
      <w:r>
        <w:rPr>
          <w:rFonts w:hint="eastAsia" w:ascii="宋体" w:hAnsi="宋体" w:eastAsia="宋体" w:cs="Times New Roman"/>
          <w:bCs/>
          <w:color w:val="000000" w:themeColor="text1"/>
          <w:sz w:val="24"/>
          <w:szCs w:val="24"/>
          <w:highlight w:val="none"/>
          <w14:textFill>
            <w14:solidFill>
              <w14:schemeClr w14:val="tx1"/>
            </w14:solidFill>
          </w14:textFill>
        </w:rPr>
        <w:t>类食品农药残留检测报告，由于货物质量问题或超过送货时间造成事故的</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bCs/>
          <w:color w:val="000000" w:themeColor="text1"/>
          <w:sz w:val="24"/>
          <w:szCs w:val="24"/>
          <w:highlight w:val="none"/>
          <w14:textFill>
            <w14:solidFill>
              <w14:schemeClr w14:val="tx1"/>
            </w14:solidFill>
          </w14:textFill>
        </w:rPr>
        <w:t>有权退货并追究责任，如不能提供要求的货物须提前向</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Times New Roman"/>
          <w:bCs/>
          <w:color w:val="000000" w:themeColor="text1"/>
          <w:sz w:val="24"/>
          <w:szCs w:val="24"/>
          <w:highlight w:val="none"/>
          <w14:textFill>
            <w14:solidFill>
              <w14:schemeClr w14:val="tx1"/>
            </w14:solidFill>
          </w14:textFill>
        </w:rPr>
        <w:t>通报。食品原料48小时留样备查。</w:t>
      </w:r>
    </w:p>
    <w:p w14:paraId="499BCC7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3.4</w:t>
      </w:r>
      <w:r>
        <w:rPr>
          <w:rFonts w:hint="eastAsia" w:ascii="宋体" w:hAnsi="宋体" w:eastAsia="宋体" w:cs="Times New Roman"/>
          <w:bCs/>
          <w:color w:val="000000" w:themeColor="text1"/>
          <w:sz w:val="24"/>
          <w:szCs w:val="24"/>
          <w:highlight w:val="none"/>
          <w14:textFill>
            <w14:solidFill>
              <w14:schemeClr w14:val="tx1"/>
            </w14:solidFill>
          </w14:textFill>
        </w:rPr>
        <w:t>供货服务提供保证的有关资料如货物来源证明（生产地、厂家销售授权证书）、物资储备条件、运输车辆、职工人数等。</w:t>
      </w:r>
    </w:p>
    <w:p w14:paraId="2353133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3.5</w:t>
      </w:r>
      <w:r>
        <w:rPr>
          <w:rFonts w:hint="eastAsia" w:ascii="宋体" w:hAnsi="宋体" w:eastAsia="宋体" w:cs="Times New Roman"/>
          <w:bCs/>
          <w:color w:val="000000" w:themeColor="text1"/>
          <w:sz w:val="24"/>
          <w:szCs w:val="24"/>
          <w:highlight w:val="none"/>
          <w14:textFill>
            <w14:solidFill>
              <w14:schemeClr w14:val="tx1"/>
            </w14:solidFill>
          </w14:textFill>
        </w:rPr>
        <w:t>供应商在签订</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定点采购合同</w:t>
      </w:r>
      <w:r>
        <w:rPr>
          <w:rFonts w:hint="eastAsia" w:ascii="宋体" w:hAnsi="宋体" w:eastAsia="宋体" w:cs="Times New Roman"/>
          <w:bCs/>
          <w:color w:val="000000" w:themeColor="text1"/>
          <w:sz w:val="24"/>
          <w:szCs w:val="24"/>
          <w:highlight w:val="none"/>
          <w14:textFill>
            <w14:solidFill>
              <w14:schemeClr w14:val="tx1"/>
            </w14:solidFill>
          </w14:textFill>
        </w:rPr>
        <w:t>前须提供有效的“食品安全责任险”保单复印件供采购人备案。</w:t>
      </w:r>
    </w:p>
    <w:p w14:paraId="4C6BD17C">
      <w:pPr>
        <w:pStyle w:val="79"/>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3.6</w:t>
      </w:r>
      <w:r>
        <w:rPr>
          <w:rFonts w:hint="eastAsia" w:ascii="宋体" w:hAnsi="宋体" w:eastAsia="宋体" w:cs="Times New Roman"/>
          <w:bCs/>
          <w:color w:val="000000" w:themeColor="text1"/>
          <w:sz w:val="24"/>
          <w:szCs w:val="24"/>
          <w:highlight w:val="none"/>
          <w14:textFill>
            <w14:solidFill>
              <w14:schemeClr w14:val="tx1"/>
            </w14:solidFill>
          </w14:textFill>
        </w:rPr>
        <w:t>禁止配送无市场实际零售商品或专供产品。</w:t>
      </w:r>
    </w:p>
    <w:p w14:paraId="3335532A">
      <w:pPr>
        <w:shd w:val="clear"/>
        <w:tabs>
          <w:tab w:val="left" w:pos="1470"/>
        </w:tabs>
        <w:adjustRightInd/>
        <w:spacing w:line="400" w:lineRule="exact"/>
        <w:rPr>
          <w:rFonts w:hint="eastAsia" w:ascii="宋体" w:hAnsi="宋体" w:eastAsia="宋体" w:cs="宋体"/>
          <w:bCs/>
          <w:color w:val="000000" w:themeColor="text1"/>
          <w:szCs w:val="21"/>
          <w:highlight w:val="none"/>
          <w14:textFill>
            <w14:solidFill>
              <w14:schemeClr w14:val="tx1"/>
            </w14:solidFill>
          </w14:textFill>
        </w:rPr>
      </w:pPr>
    </w:p>
    <w:p w14:paraId="2611FC0B">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四、承包方式</w:t>
      </w:r>
    </w:p>
    <w:p w14:paraId="39BF772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4.1</w:t>
      </w:r>
      <w:r>
        <w:rPr>
          <w:rFonts w:hint="eastAsia" w:ascii="宋体" w:hAnsi="宋体" w:eastAsia="宋体" w:cs="Times New Roman"/>
          <w:bCs/>
          <w:color w:val="000000" w:themeColor="text1"/>
          <w:sz w:val="24"/>
          <w:szCs w:val="24"/>
          <w:highlight w:val="none"/>
          <w14:textFill>
            <w14:solidFill>
              <w14:schemeClr w14:val="tx1"/>
            </w14:solidFill>
          </w14:textFill>
        </w:rPr>
        <w:t>包工包料、送货到指定地点。中标</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人</w:t>
      </w:r>
      <w:r>
        <w:rPr>
          <w:rFonts w:hint="eastAsia" w:ascii="宋体" w:hAnsi="宋体" w:eastAsia="宋体" w:cs="Times New Roman"/>
          <w:bCs/>
          <w:color w:val="000000" w:themeColor="text1"/>
          <w:sz w:val="24"/>
          <w:szCs w:val="24"/>
          <w:highlight w:val="none"/>
          <w14:textFill>
            <w14:solidFill>
              <w14:schemeClr w14:val="tx1"/>
            </w14:solidFill>
          </w14:textFill>
        </w:rPr>
        <w:t>必须与采购人在规定时间内签订定点采购合同，进行履约供货服务。</w:t>
      </w:r>
    </w:p>
    <w:p w14:paraId="1DF54228">
      <w:pPr>
        <w:shd w:val="clear"/>
        <w:adjustRightInd/>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p>
    <w:p w14:paraId="568CD74E">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五、货款结算及调价方式</w:t>
      </w:r>
    </w:p>
    <w:p w14:paraId="2DE3499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5.1产品价格的约定：</w:t>
      </w:r>
    </w:p>
    <w:p w14:paraId="3FF45DC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本次招标配送项目中所包含的食品原材料价格每</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Cs/>
          <w:color w:val="000000" w:themeColor="text1"/>
          <w:sz w:val="24"/>
          <w:szCs w:val="24"/>
          <w:highlight w:val="none"/>
          <w14:textFill>
            <w14:solidFill>
              <w14:schemeClr w14:val="tx1"/>
            </w14:solidFill>
          </w14:textFill>
        </w:rPr>
        <w:t>确定一次，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该月内的市场价格不论涨跌均按所确定的价格结算。</w:t>
      </w:r>
    </w:p>
    <w:p w14:paraId="2C7C492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产品所报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折扣系数</w:t>
      </w:r>
      <w:r>
        <w:rPr>
          <w:rFonts w:hint="eastAsia" w:ascii="宋体" w:hAnsi="宋体" w:eastAsia="宋体" w:cs="宋体"/>
          <w:bCs/>
          <w:color w:val="000000" w:themeColor="text1"/>
          <w:sz w:val="24"/>
          <w:szCs w:val="24"/>
          <w:highlight w:val="none"/>
          <w14:textFill>
            <w14:solidFill>
              <w14:schemeClr w14:val="tx1"/>
            </w14:solidFill>
          </w14:textFill>
        </w:rPr>
        <w:t>依据的基准价为：</w:t>
      </w:r>
    </w:p>
    <w:p w14:paraId="40242D7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bCs/>
          <w:color w:val="000000" w:themeColor="text1"/>
          <w:sz w:val="24"/>
          <w:szCs w:val="24"/>
          <w:highlight w:val="none"/>
          <w14:textFill>
            <w14:solidFill>
              <w14:schemeClr w14:val="tx1"/>
            </w14:solidFill>
          </w14:textFill>
        </w:rPr>
        <w:t>按照宁波市发展和改革委员会公布的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最新一期</w:t>
      </w:r>
      <w:r>
        <w:rPr>
          <w:rFonts w:hint="eastAsia" w:ascii="宋体" w:hAnsi="宋体" w:eastAsia="宋体" w:cs="宋体"/>
          <w:bCs/>
          <w:color w:val="000000" w:themeColor="text1"/>
          <w:sz w:val="24"/>
          <w:szCs w:val="24"/>
          <w:highlight w:val="none"/>
          <w14:textFill>
            <w14:solidFill>
              <w14:schemeClr w14:val="tx1"/>
            </w14:solidFill>
          </w14:textFill>
        </w:rPr>
        <w:t>“菜篮子民生商品价格监测”（宁波市发展和改革委员会网站http://fgw.ningbo.gov.cn/：首页-专项-经济运行-菜篮子）的宁波菜市场平均价作为基准价。</w:t>
      </w:r>
    </w:p>
    <w:p w14:paraId="6C1F160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bCs/>
          <w:color w:val="000000" w:themeColor="text1"/>
          <w:sz w:val="24"/>
          <w:szCs w:val="24"/>
          <w:highlight w:val="none"/>
          <w14:textFill>
            <w14:solidFill>
              <w14:schemeClr w14:val="tx1"/>
            </w14:solidFill>
          </w14:textFill>
        </w:rPr>
        <w:t>未在宁波市发展和改革委员会公布的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最新一期</w:t>
      </w:r>
      <w:r>
        <w:rPr>
          <w:rFonts w:hint="eastAsia" w:ascii="宋体" w:hAnsi="宋体" w:eastAsia="宋体" w:cs="宋体"/>
          <w:bCs/>
          <w:color w:val="000000" w:themeColor="text1"/>
          <w:sz w:val="24"/>
          <w:szCs w:val="24"/>
          <w:highlight w:val="none"/>
          <w14:textFill>
            <w14:solidFill>
              <w14:schemeClr w14:val="tx1"/>
            </w14:solidFill>
          </w14:textFill>
        </w:rPr>
        <w:t>“菜篮子民生商品价格监测”中列明的，按照宁波市发展和改革委员会公布的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最新一期</w:t>
      </w:r>
      <w:r>
        <w:rPr>
          <w:rFonts w:hint="eastAsia" w:ascii="宋体" w:hAnsi="宋体" w:eastAsia="宋体" w:cs="宋体"/>
          <w:bCs/>
          <w:color w:val="000000" w:themeColor="text1"/>
          <w:sz w:val="24"/>
          <w:szCs w:val="24"/>
          <w:highlight w:val="none"/>
          <w14:textFill>
            <w14:solidFill>
              <w14:schemeClr w14:val="tx1"/>
            </w14:solidFill>
          </w14:textFill>
        </w:rPr>
        <w:t>“超市民生商品价格监测”（宁波市发展和改革委员会网站http://fgw.ningbo.gov.cn/：首页-专项-经济运行-食品·日用品）的宁波超市平均价作为基准价。</w:t>
      </w:r>
    </w:p>
    <w:p w14:paraId="3D919F9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③</w:t>
      </w:r>
      <w:r>
        <w:rPr>
          <w:rFonts w:hint="eastAsia" w:ascii="宋体" w:hAnsi="宋体" w:eastAsia="宋体" w:cs="宋体"/>
          <w:bCs/>
          <w:color w:val="000000" w:themeColor="text1"/>
          <w:sz w:val="24"/>
          <w:szCs w:val="24"/>
          <w:highlight w:val="none"/>
          <w14:textFill>
            <w14:solidFill>
              <w14:schemeClr w14:val="tx1"/>
            </w14:solidFill>
          </w14:textFill>
        </w:rPr>
        <w:t>未在上述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①</w:t>
      </w:r>
      <w:r>
        <w:rPr>
          <w:rFonts w:hint="eastAsia" w:ascii="宋体" w:hAnsi="宋体" w:eastAsia="宋体" w:cs="宋体"/>
          <w:bCs/>
          <w:color w:val="000000" w:themeColor="text1"/>
          <w:sz w:val="24"/>
          <w:szCs w:val="24"/>
          <w:highlight w:val="none"/>
          <w14:textFill>
            <w14:solidFill>
              <w14:schemeClr w14:val="tx1"/>
            </w14:solidFill>
          </w14:textFill>
        </w:rPr>
        <w:t>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bCs/>
          <w:color w:val="000000" w:themeColor="text1"/>
          <w:sz w:val="24"/>
          <w:szCs w:val="24"/>
          <w:highlight w:val="none"/>
          <w14:textFill>
            <w14:solidFill>
              <w14:schemeClr w14:val="tx1"/>
            </w14:solidFill>
          </w14:textFill>
        </w:rPr>
        <w:t>列明的，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或中标人提出上述①和②列明的价格远偏离市场价的，</w:t>
      </w:r>
      <w:r>
        <w:rPr>
          <w:rFonts w:hint="eastAsia" w:ascii="宋体" w:hAnsi="宋体" w:eastAsia="宋体" w:cs="宋体"/>
          <w:bCs/>
          <w:color w:val="000000" w:themeColor="text1"/>
          <w:sz w:val="24"/>
          <w:szCs w:val="24"/>
          <w:highlight w:val="none"/>
          <w14:textFill>
            <w14:solidFill>
              <w14:schemeClr w14:val="tx1"/>
            </w14:solidFill>
          </w14:textFill>
        </w:rPr>
        <w:t>由采购人相关部门及中标人成立采价组，对食堂食品原材料的价格进行采集后确定基准价。基准价确定方法：以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海曙区三家以上中大型超市或市场</w:t>
      </w:r>
      <w:r>
        <w:rPr>
          <w:rFonts w:hint="eastAsia" w:ascii="宋体" w:hAnsi="宋体" w:eastAsia="宋体" w:cs="宋体"/>
          <w:bCs/>
          <w:color w:val="000000" w:themeColor="text1"/>
          <w:sz w:val="24"/>
          <w:szCs w:val="24"/>
          <w:highlight w:val="none"/>
          <w14:textFill>
            <w14:solidFill>
              <w14:schemeClr w14:val="tx1"/>
            </w14:solidFill>
          </w14:textFill>
        </w:rPr>
        <w:t>的平均零售价为准，如上述</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超市或市场</w:t>
      </w:r>
      <w:r>
        <w:rPr>
          <w:rFonts w:hint="eastAsia" w:ascii="宋体" w:hAnsi="宋体" w:eastAsia="宋体" w:cs="宋体"/>
          <w:bCs/>
          <w:color w:val="000000" w:themeColor="text1"/>
          <w:sz w:val="24"/>
          <w:szCs w:val="24"/>
          <w:highlight w:val="none"/>
          <w14:textFill>
            <w14:solidFill>
              <w14:schemeClr w14:val="tx1"/>
            </w14:solidFill>
          </w14:textFill>
        </w:rPr>
        <w:t>没有此种商品，则调查市场扩大为大市范围内。</w:t>
      </w:r>
    </w:p>
    <w:p w14:paraId="2B0A375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（3）各类食品合同结算价：合同结算价=基准价×合同折扣系数，其中合同折扣系数为：中标人该类别食品原材料的合同折扣系数。</w:t>
      </w:r>
    </w:p>
    <w:p w14:paraId="535D12C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5.2</w:t>
      </w:r>
      <w:r>
        <w:rPr>
          <w:rFonts w:hint="eastAsia" w:ascii="宋体" w:hAnsi="宋体" w:eastAsia="宋体" w:cs="宋体"/>
          <w:bCs/>
          <w:color w:val="000000" w:themeColor="text1"/>
          <w:sz w:val="24"/>
          <w:szCs w:val="24"/>
          <w:highlight w:val="none"/>
          <w14:textFill>
            <w14:solidFill>
              <w14:schemeClr w14:val="tx1"/>
            </w14:solidFill>
          </w14:textFill>
        </w:rPr>
        <w:t>货款结算方式：</w:t>
      </w:r>
    </w:p>
    <w:p w14:paraId="50DC016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（1）货款结算方式：中标人每月同采购人食堂结算货款一次，结算时中标人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须如实开具增值税发票</w:t>
      </w:r>
      <w:r>
        <w:rPr>
          <w:rFonts w:hint="eastAsia" w:ascii="宋体" w:hAnsi="宋体" w:eastAsia="宋体" w:cs="宋体"/>
          <w:bCs/>
          <w:color w:val="000000" w:themeColor="text1"/>
          <w:sz w:val="24"/>
          <w:szCs w:val="24"/>
          <w:highlight w:val="none"/>
          <w14:textFill>
            <w14:solidFill>
              <w14:schemeClr w14:val="tx1"/>
            </w14:solidFill>
          </w14:textFill>
        </w:rPr>
        <w:t>并提供汇总供货清单交食堂管理员，采购人审核后付款。具体如下：</w:t>
      </w:r>
    </w:p>
    <w:p w14:paraId="0C67DC4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①采购人每月支付中标人当月服务费的90%，在收到中标人发票并满足付款条件后的七个工作日内汇入中标人账户。</w:t>
      </w:r>
    </w:p>
    <w:p w14:paraId="7C3AE22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②当月服务费的10%作为考核款，分2次支付，每半年支付一次。考核款根据半年度考核扣款情况，按实支付。</w:t>
      </w:r>
    </w:p>
    <w:p w14:paraId="13B1CD1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货款结算总金额=各类食品的【（基准价×数量）×合同折扣系数】的总和。</w:t>
      </w:r>
    </w:p>
    <w:p w14:paraId="513F0E27">
      <w:pPr>
        <w:widowControl w:val="0"/>
        <w:shd w:val="clear"/>
        <w:spacing w:after="120" w:afterLines="0"/>
        <w:jc w:val="both"/>
        <w:rPr>
          <w:rFonts w:hint="eastAsia" w:ascii="Tahoma" w:hAnsi="Tahoma" w:eastAsia="宋体" w:cs="Times New Roman"/>
          <w:color w:val="000000" w:themeColor="text1"/>
          <w:kern w:val="2"/>
          <w:sz w:val="24"/>
          <w:szCs w:val="24"/>
          <w:highlight w:val="none"/>
          <w:lang w:val="en-US" w:eastAsia="zh-CN" w:bidi="ar-SA"/>
          <w14:textFill>
            <w14:solidFill>
              <w14:schemeClr w14:val="tx1"/>
            </w14:solidFill>
          </w14:textFill>
        </w:rPr>
      </w:pPr>
    </w:p>
    <w:p w14:paraId="7CF6EF7F">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六、履约保证</w:t>
      </w:r>
    </w:p>
    <w:p w14:paraId="2C96219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6.1中标人需</w:t>
      </w:r>
      <w:r>
        <w:rPr>
          <w:rFonts w:hint="eastAsia" w:ascii="宋体" w:hAnsi="宋体" w:eastAsia="宋体" w:cs="宋体"/>
          <w:bCs/>
          <w:color w:val="000000" w:themeColor="text1"/>
          <w:sz w:val="24"/>
          <w:szCs w:val="24"/>
          <w:highlight w:val="none"/>
          <w:lang w:eastAsia="zh-CN"/>
          <w14:textFill>
            <w14:solidFill>
              <w14:schemeClr w14:val="tx1"/>
            </w14:solidFill>
          </w14:textFill>
        </w:rPr>
        <w:t>在</w:t>
      </w:r>
      <w:r>
        <w:rPr>
          <w:rFonts w:hint="eastAsia" w:ascii="宋体" w:hAnsi="宋体" w:eastAsia="宋体" w:cs="宋体"/>
          <w:bCs/>
          <w:color w:val="000000" w:themeColor="text1"/>
          <w:sz w:val="24"/>
          <w:szCs w:val="24"/>
          <w:highlight w:val="none"/>
          <w14:textFill>
            <w14:solidFill>
              <w14:schemeClr w14:val="tx1"/>
            </w14:solidFill>
          </w14:textFill>
        </w:rPr>
        <w:t>配送商品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时，提供商品的</w:t>
      </w:r>
      <w:r>
        <w:rPr>
          <w:rFonts w:hint="eastAsia" w:ascii="宋体" w:hAnsi="宋体" w:eastAsia="宋体" w:cs="宋体"/>
          <w:bCs/>
          <w:color w:val="000000" w:themeColor="text1"/>
          <w:sz w:val="24"/>
          <w:szCs w:val="24"/>
          <w:highlight w:val="none"/>
          <w14:textFill>
            <w14:solidFill>
              <w14:schemeClr w14:val="tx1"/>
            </w14:solidFill>
          </w14:textFill>
        </w:rPr>
        <w:t>检测报告或产品合格证。</w:t>
      </w:r>
    </w:p>
    <w:p w14:paraId="6625979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6.2中标人需</w:t>
      </w:r>
      <w:r>
        <w:rPr>
          <w:rFonts w:hint="eastAsia" w:ascii="宋体" w:hAnsi="宋体" w:eastAsia="宋体" w:cs="宋体"/>
          <w:bCs/>
          <w:color w:val="000000" w:themeColor="text1"/>
          <w:sz w:val="24"/>
          <w:szCs w:val="24"/>
          <w:highlight w:val="none"/>
          <w14:textFill>
            <w14:solidFill>
              <w14:schemeClr w14:val="tx1"/>
            </w14:solidFill>
          </w14:textFill>
        </w:rPr>
        <w:t>严格遵守《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中华人民共和国食品安全法</w:t>
      </w:r>
      <w:r>
        <w:rPr>
          <w:rFonts w:hint="eastAsia" w:ascii="宋体" w:hAnsi="宋体" w:eastAsia="宋体" w:cs="宋体"/>
          <w:bCs/>
          <w:color w:val="000000" w:themeColor="text1"/>
          <w:sz w:val="24"/>
          <w:szCs w:val="24"/>
          <w:highlight w:val="none"/>
          <w14:textFill>
            <w14:solidFill>
              <w14:schemeClr w14:val="tx1"/>
            </w14:solidFill>
          </w14:textFill>
        </w:rPr>
        <w:t>》和《中华人民共和国动物防疫法》等相关规定，如发现供应以下食品，除全部退货外，将取消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的供货资格，将</w:t>
      </w:r>
      <w:r>
        <w:rPr>
          <w:rFonts w:hint="eastAsia" w:ascii="宋体" w:hAnsi="宋体" w:eastAsia="宋体" w:cs="宋体"/>
          <w:bCs/>
          <w:color w:val="000000" w:themeColor="text1"/>
          <w:sz w:val="24"/>
          <w:szCs w:val="24"/>
          <w:highlight w:val="none"/>
          <w:lang w:eastAsia="zh-CN"/>
          <w14:textFill>
            <w14:solidFill>
              <w14:schemeClr w14:val="tx1"/>
            </w14:solidFill>
          </w14:textFill>
        </w:rPr>
        <w:t>扣除</w:t>
      </w:r>
      <w:r>
        <w:rPr>
          <w:rFonts w:hint="eastAsia" w:ascii="宋体" w:hAnsi="宋体" w:eastAsia="宋体" w:cs="宋体"/>
          <w:bCs/>
          <w:color w:val="000000" w:themeColor="text1"/>
          <w:sz w:val="24"/>
          <w:szCs w:val="24"/>
          <w:highlight w:val="none"/>
          <w14:textFill>
            <w14:solidFill>
              <w14:schemeClr w14:val="tx1"/>
            </w14:solidFill>
          </w14:textFill>
        </w:rPr>
        <w:t>全部履约保证金，并承担由此造成的经济责任和法律责任：</w:t>
      </w:r>
    </w:p>
    <w:p w14:paraId="15374B09">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（1）腐败变质、油脂酸败、霉变、生虫、污秽不洁、混有异物或者其他感官性状异常，对人体健康有害的；</w:t>
      </w:r>
    </w:p>
    <w:p w14:paraId="247C3963">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（2）含有毒、有害物质或者被有害物质污染，对人体健康有害的；</w:t>
      </w:r>
    </w:p>
    <w:p w14:paraId="7E83E19A">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（3）含有致病性寄生虫、微生物或者微生物含量超过国家限定标准的；</w:t>
      </w:r>
    </w:p>
    <w:p w14:paraId="06AEB7D7">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（4）未经动物检疫部门检疫、检验或者检疫、检验不合格的肉类及其制品；</w:t>
      </w:r>
    </w:p>
    <w:p w14:paraId="41B44B76">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（5）病死、毒死或者死因不明的禽、</w:t>
      </w:r>
      <w:r>
        <w:rPr>
          <w:rFonts w:hint="eastAsia" w:ascii="宋体" w:hAnsi="宋体" w:cs="宋体"/>
          <w:bCs/>
          <w:color w:val="000000" w:themeColor="text1"/>
          <w:sz w:val="24"/>
          <w:szCs w:val="24"/>
          <w:highlight w:val="none"/>
          <w:lang w:eastAsia="zh-CN"/>
          <w14:textFill>
            <w14:solidFill>
              <w14:schemeClr w14:val="tx1"/>
            </w14:solidFill>
          </w14:textFill>
        </w:rPr>
        <w:t>畜</w:t>
      </w:r>
      <w:r>
        <w:rPr>
          <w:rFonts w:hint="eastAsia" w:ascii="宋体" w:hAnsi="宋体" w:eastAsia="宋体" w:cs="宋体"/>
          <w:bCs/>
          <w:color w:val="000000" w:themeColor="text1"/>
          <w:sz w:val="24"/>
          <w:szCs w:val="24"/>
          <w:highlight w:val="none"/>
          <w14:textFill>
            <w14:solidFill>
              <w14:schemeClr w14:val="tx1"/>
            </w14:solidFill>
          </w14:textFill>
        </w:rPr>
        <w:t>、兽、水产动物等及其制品；</w:t>
      </w:r>
    </w:p>
    <w:p w14:paraId="7408367F">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（6）掺假、掺杂、伪造，影响营养、卫生的；</w:t>
      </w:r>
    </w:p>
    <w:p w14:paraId="224024D7">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（7）用非食品原料加工的，加入非食品用化学物质或者将非食品当作食品的；</w:t>
      </w:r>
    </w:p>
    <w:p w14:paraId="3B556454">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（8）超过保质期限的。</w:t>
      </w:r>
    </w:p>
    <w:p w14:paraId="64D7997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6.3采购人</w:t>
      </w:r>
      <w:r>
        <w:rPr>
          <w:rFonts w:hint="eastAsia" w:ascii="宋体" w:hAnsi="宋体" w:eastAsia="宋体" w:cs="宋体"/>
          <w:bCs/>
          <w:color w:val="000000" w:themeColor="text1"/>
          <w:sz w:val="24"/>
          <w:szCs w:val="24"/>
          <w:highlight w:val="none"/>
          <w14:textFill>
            <w14:solidFill>
              <w14:schemeClr w14:val="tx1"/>
            </w14:solidFill>
          </w14:textFill>
        </w:rPr>
        <w:t>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在投标及履行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协议</w:t>
      </w:r>
      <w:r>
        <w:rPr>
          <w:rFonts w:hint="eastAsia" w:ascii="宋体" w:hAnsi="宋体" w:eastAsia="宋体" w:cs="宋体"/>
          <w:bCs/>
          <w:color w:val="000000" w:themeColor="text1"/>
          <w:sz w:val="24"/>
          <w:szCs w:val="24"/>
          <w:highlight w:val="none"/>
          <w14:textFill>
            <w14:solidFill>
              <w14:schemeClr w14:val="tx1"/>
            </w14:solidFill>
          </w14:textFill>
        </w:rPr>
        <w:t>过程中，必须遵守《中华人民共和国反不正当竞争法》、《中华人民共和国消费者权益保护法》、《中华人民共和国</w:t>
      </w:r>
      <w:r>
        <w:rPr>
          <w:rFonts w:hint="eastAsia" w:ascii="宋体" w:hAnsi="宋体" w:eastAsia="宋体" w:cs="宋体"/>
          <w:bCs/>
          <w:color w:val="000000" w:themeColor="text1"/>
          <w:sz w:val="24"/>
          <w:szCs w:val="24"/>
          <w:highlight w:val="none"/>
          <w:lang w:eastAsia="zh-CN"/>
          <w14:textFill>
            <w14:solidFill>
              <w14:schemeClr w14:val="tx1"/>
            </w14:solidFill>
          </w14:textFill>
        </w:rPr>
        <w:t>民法典</w:t>
      </w:r>
      <w:r>
        <w:rPr>
          <w:rFonts w:hint="eastAsia" w:ascii="宋体" w:hAnsi="宋体" w:eastAsia="宋体" w:cs="宋体"/>
          <w:bCs/>
          <w:color w:val="000000" w:themeColor="text1"/>
          <w:sz w:val="24"/>
          <w:szCs w:val="24"/>
          <w:highlight w:val="none"/>
          <w14:textFill>
            <w14:solidFill>
              <w14:schemeClr w14:val="tx1"/>
            </w14:solidFill>
          </w14:textFill>
        </w:rPr>
        <w:t>》及相关的国家法律、法规，如有违法行为，按法律法规相关规定予以处罚。</w:t>
      </w:r>
    </w:p>
    <w:p w14:paraId="3070C34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6.4中标人</w:t>
      </w:r>
      <w:r>
        <w:rPr>
          <w:rFonts w:hint="eastAsia" w:ascii="宋体" w:hAnsi="宋体" w:eastAsia="宋体" w:cs="宋体"/>
          <w:bCs/>
          <w:color w:val="000000" w:themeColor="text1"/>
          <w:sz w:val="24"/>
          <w:szCs w:val="24"/>
          <w:highlight w:val="none"/>
          <w14:textFill>
            <w14:solidFill>
              <w14:schemeClr w14:val="tx1"/>
            </w14:solidFill>
          </w14:textFill>
        </w:rPr>
        <w:t>须随时无条件接受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海曙区</w:t>
      </w:r>
      <w:r>
        <w:rPr>
          <w:rFonts w:hint="eastAsia" w:ascii="宋体" w:hAnsi="宋体" w:eastAsia="宋体" w:cs="宋体"/>
          <w:bCs/>
          <w:color w:val="000000" w:themeColor="text1"/>
          <w:sz w:val="24"/>
          <w:szCs w:val="24"/>
          <w:highlight w:val="none"/>
          <w14:textFill>
            <w14:solidFill>
              <w14:schemeClr w14:val="tx1"/>
            </w14:solidFill>
          </w14:textFill>
        </w:rPr>
        <w:t>有关监督部门对定点供货产品质量的抽查和检查。如违反承诺自愿接受处罚；情节严重的，将由</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eastAsia="zh-CN"/>
          <w14:textFill>
            <w14:solidFill>
              <w14:schemeClr w14:val="tx1"/>
            </w14:solidFill>
          </w14:textFill>
        </w:rPr>
        <w:t>扣除</w:t>
      </w:r>
      <w:r>
        <w:rPr>
          <w:rFonts w:hint="eastAsia" w:ascii="宋体" w:hAnsi="宋体" w:eastAsia="宋体" w:cs="宋体"/>
          <w:bCs/>
          <w:color w:val="000000" w:themeColor="text1"/>
          <w:sz w:val="24"/>
          <w:szCs w:val="24"/>
          <w:highlight w:val="none"/>
          <w14:textFill>
            <w14:solidFill>
              <w14:schemeClr w14:val="tx1"/>
            </w14:solidFill>
          </w14:textFill>
        </w:rPr>
        <w:t>履约保证金并取消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bCs/>
          <w:color w:val="000000" w:themeColor="text1"/>
          <w:sz w:val="24"/>
          <w:szCs w:val="24"/>
          <w:highlight w:val="none"/>
          <w14:textFill>
            <w14:solidFill>
              <w14:schemeClr w14:val="tx1"/>
            </w14:solidFill>
          </w14:textFill>
        </w:rPr>
        <w:t>资格。</w:t>
      </w:r>
    </w:p>
    <w:p w14:paraId="5C0F763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bCs/>
          <w:color w:val="000000" w:themeColor="text1"/>
          <w:sz w:val="24"/>
          <w:szCs w:val="24"/>
          <w:highlight w:val="none"/>
          <w14:textFill>
            <w14:solidFill>
              <w14:schemeClr w14:val="tx1"/>
            </w14:solidFill>
          </w14:textFill>
        </w:rPr>
        <w:t>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协议</w:t>
      </w:r>
      <w:r>
        <w:rPr>
          <w:rFonts w:hint="eastAsia" w:ascii="宋体" w:hAnsi="宋体" w:eastAsia="宋体" w:cs="宋体"/>
          <w:bCs/>
          <w:color w:val="000000" w:themeColor="text1"/>
          <w:sz w:val="24"/>
          <w:szCs w:val="24"/>
          <w:highlight w:val="none"/>
          <w14:textFill>
            <w14:solidFill>
              <w14:schemeClr w14:val="tx1"/>
            </w14:solidFill>
          </w14:textFill>
        </w:rPr>
        <w:t>履行过程中，如</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可以提供更优的服务解决方案，则以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的方案为准。</w:t>
      </w:r>
    </w:p>
    <w:p w14:paraId="770E4AB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6.6中标人</w:t>
      </w:r>
      <w:r>
        <w:rPr>
          <w:rFonts w:hint="eastAsia" w:ascii="宋体" w:hAnsi="宋体" w:eastAsia="宋体" w:cs="宋体"/>
          <w:bCs/>
          <w:color w:val="000000" w:themeColor="text1"/>
          <w:sz w:val="24"/>
          <w:szCs w:val="24"/>
          <w:highlight w:val="none"/>
          <w14:textFill>
            <w14:solidFill>
              <w14:schemeClr w14:val="tx1"/>
            </w14:solidFill>
          </w14:textFill>
        </w:rPr>
        <w:t>要有立足于为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服务的良好思想，对食品生产经营管理有总体设想和</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具体</w:t>
      </w:r>
      <w:r>
        <w:rPr>
          <w:rFonts w:hint="eastAsia" w:ascii="宋体" w:hAnsi="宋体" w:eastAsia="宋体" w:cs="宋体"/>
          <w:bCs/>
          <w:color w:val="000000" w:themeColor="text1"/>
          <w:sz w:val="24"/>
          <w:szCs w:val="24"/>
          <w:highlight w:val="none"/>
          <w14:textFill>
            <w14:solidFill>
              <w14:schemeClr w14:val="tx1"/>
            </w14:solidFill>
          </w14:textFill>
        </w:rPr>
        <w:t>措施，有健全的规章制度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如：人事管理工作、安全防患、卫生保障、文明服务、食品来源安全追溯等制度</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w:t>
      </w:r>
    </w:p>
    <w:p w14:paraId="6170229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6.7中标人</w:t>
      </w:r>
      <w:r>
        <w:rPr>
          <w:rFonts w:hint="eastAsia" w:ascii="宋体" w:hAnsi="宋体" w:eastAsia="宋体" w:cs="宋体"/>
          <w:bCs/>
          <w:color w:val="000000" w:themeColor="text1"/>
          <w:sz w:val="24"/>
          <w:szCs w:val="24"/>
          <w:highlight w:val="none"/>
          <w14:textFill>
            <w14:solidFill>
              <w14:schemeClr w14:val="tx1"/>
            </w14:solidFill>
          </w14:textFill>
        </w:rPr>
        <w:t>必须建立并严格执行各项食品安全管理制度，如食品卫生安全承诺、食品准入质量查验、食品进货检查验收、食品准入</w:t>
      </w:r>
      <w:r>
        <w:rPr>
          <w:rFonts w:hint="eastAsia" w:ascii="宋体" w:hAnsi="宋体" w:eastAsia="宋体" w:cs="宋体"/>
          <w:bCs/>
          <w:color w:val="000000" w:themeColor="text1"/>
          <w:sz w:val="24"/>
          <w:szCs w:val="24"/>
          <w:highlight w:val="none"/>
          <w:lang w:eastAsia="zh-CN"/>
          <w14:textFill>
            <w14:solidFill>
              <w14:schemeClr w14:val="tx1"/>
            </w14:solidFill>
          </w14:textFill>
        </w:rPr>
        <w:t>台账</w:t>
      </w:r>
      <w:r>
        <w:rPr>
          <w:rFonts w:hint="eastAsia" w:ascii="宋体" w:hAnsi="宋体" w:eastAsia="宋体" w:cs="宋体"/>
          <w:bCs/>
          <w:color w:val="000000" w:themeColor="text1"/>
          <w:sz w:val="24"/>
          <w:szCs w:val="24"/>
          <w:highlight w:val="none"/>
          <w14:textFill>
            <w14:solidFill>
              <w14:schemeClr w14:val="tx1"/>
            </w14:solidFill>
          </w14:textFill>
        </w:rPr>
        <w:t>登记、从业人员健康管理、消费投诉处理以及不合格食品下柜、召回、销毁等，参与食品配送的工作人员必须持健康证上岗。</w:t>
      </w:r>
    </w:p>
    <w:p w14:paraId="66AABDF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6.8中标人</w:t>
      </w:r>
      <w:r>
        <w:rPr>
          <w:rFonts w:hint="eastAsia" w:ascii="宋体" w:hAnsi="宋体" w:eastAsia="宋体" w:cs="宋体"/>
          <w:bCs/>
          <w:color w:val="000000" w:themeColor="text1"/>
          <w:sz w:val="24"/>
          <w:szCs w:val="24"/>
          <w:highlight w:val="none"/>
          <w14:textFill>
            <w14:solidFill>
              <w14:schemeClr w14:val="tx1"/>
            </w14:solidFill>
          </w14:textFill>
        </w:rPr>
        <w:t>必须按规定索取所经销食品的生产企业（或</w:t>
      </w:r>
      <w:r>
        <w:rPr>
          <w:rFonts w:hint="eastAsia" w:ascii="宋体" w:hAnsi="宋体" w:eastAsia="宋体" w:cs="宋体"/>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）的营业执照、食品经营许可证、食品质量安全有效检验报告、食品包装上所明示的各类荣誉证书等其他有效证明，索证率达100%，建立食品来源安全追溯制度。</w:t>
      </w:r>
    </w:p>
    <w:p w14:paraId="2BE2289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6.9中标人</w:t>
      </w:r>
      <w:r>
        <w:rPr>
          <w:rFonts w:hint="eastAsia" w:ascii="宋体" w:hAnsi="宋体" w:eastAsia="宋体" w:cs="宋体"/>
          <w:bCs/>
          <w:color w:val="000000" w:themeColor="text1"/>
          <w:sz w:val="24"/>
          <w:szCs w:val="24"/>
          <w:highlight w:val="none"/>
          <w14:textFill>
            <w14:solidFill>
              <w14:schemeClr w14:val="tx1"/>
            </w14:solidFill>
          </w14:textFill>
        </w:rPr>
        <w:t>必须保证配送的食品从正规渠道采购，具有工商、质监及卫生部门认可的检验合格证书或检测报告；所供肉类必须经农业检验部门检验检疫合格，并加盖检验印戳，做到肉色新鲜，无变质现象；所供蔬菜符合国家有关标准，并做到每批次均经检验，四十八小时留样备查；生熟食品必须按照食品卫生安全相关要求分类仓储保鲜，分类包装送货；严禁销售“三无”食品、有毒有害、过期变质、假冒伪劣等不合格食品。</w:t>
      </w:r>
    </w:p>
    <w:p w14:paraId="5E96A87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6.10中标人</w:t>
      </w:r>
      <w:r>
        <w:rPr>
          <w:rFonts w:hint="eastAsia" w:ascii="宋体" w:hAnsi="宋体" w:eastAsia="宋体" w:cs="宋体"/>
          <w:bCs/>
          <w:color w:val="000000" w:themeColor="text1"/>
          <w:sz w:val="24"/>
          <w:szCs w:val="24"/>
          <w:highlight w:val="none"/>
          <w14:textFill>
            <w14:solidFill>
              <w14:schemeClr w14:val="tx1"/>
            </w14:solidFill>
          </w14:textFill>
        </w:rPr>
        <w:t>必须按</w:t>
      </w:r>
      <w:r>
        <w:rPr>
          <w:rFonts w:hint="eastAsia" w:ascii="宋体" w:hAnsi="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下达的配送数量，及时保质、保量完成配送任务，并附本次食品安全检测报告及配送单据（使用单据格式、内容由</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统一指定，一式三联，验收签字后一张留食堂记</w:t>
      </w:r>
      <w:r>
        <w:rPr>
          <w:rFonts w:hint="eastAsia" w:ascii="宋体" w:hAnsi="宋体" w:eastAsia="宋体" w:cs="宋体"/>
          <w:bCs/>
          <w:color w:val="000000" w:themeColor="text1"/>
          <w:sz w:val="24"/>
          <w:szCs w:val="24"/>
          <w:highlight w:val="none"/>
          <w:lang w:eastAsia="zh-CN"/>
          <w14:textFill>
            <w14:solidFill>
              <w14:schemeClr w14:val="tx1"/>
            </w14:solidFill>
          </w14:textFill>
        </w:rPr>
        <w:t>台账</w:t>
      </w:r>
      <w:r>
        <w:rPr>
          <w:rFonts w:hint="eastAsia" w:ascii="宋体" w:hAnsi="宋体" w:eastAsia="宋体" w:cs="宋体"/>
          <w:bCs/>
          <w:color w:val="000000" w:themeColor="text1"/>
          <w:sz w:val="24"/>
          <w:szCs w:val="24"/>
          <w:highlight w:val="none"/>
          <w14:textFill>
            <w14:solidFill>
              <w14:schemeClr w14:val="tx1"/>
            </w14:solidFill>
          </w14:textFill>
        </w:rPr>
        <w:t>，一张作为月底</w:t>
      </w:r>
      <w:r>
        <w:rPr>
          <w:rFonts w:hint="eastAsia" w:ascii="宋体" w:hAnsi="宋体" w:eastAsia="宋体" w:cs="宋体"/>
          <w:bCs/>
          <w:color w:val="000000" w:themeColor="text1"/>
          <w:sz w:val="24"/>
          <w:szCs w:val="24"/>
          <w:highlight w:val="none"/>
          <w:lang w:eastAsia="zh-CN"/>
          <w14:textFill>
            <w14:solidFill>
              <w14:schemeClr w14:val="tx1"/>
            </w14:solidFill>
          </w14:textFill>
        </w:rPr>
        <w:t>结账</w:t>
      </w:r>
      <w:r>
        <w:rPr>
          <w:rFonts w:hint="eastAsia" w:ascii="宋体" w:hAnsi="宋体" w:eastAsia="宋体" w:cs="宋体"/>
          <w:bCs/>
          <w:color w:val="000000" w:themeColor="text1"/>
          <w:sz w:val="24"/>
          <w:szCs w:val="24"/>
          <w:highlight w:val="none"/>
          <w14:textFill>
            <w14:solidFill>
              <w14:schemeClr w14:val="tx1"/>
            </w14:solidFill>
          </w14:textFill>
        </w:rPr>
        <w:t>凭据），不无故推诿或缓送，确保</w:t>
      </w:r>
      <w:r>
        <w:rPr>
          <w:rFonts w:hint="eastAsia" w:ascii="宋体" w:hAnsi="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食堂正常运行。</w:t>
      </w:r>
    </w:p>
    <w:p w14:paraId="6A69249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6.11中标人</w:t>
      </w:r>
      <w:r>
        <w:rPr>
          <w:rFonts w:hint="eastAsia" w:ascii="宋体" w:hAnsi="宋体" w:eastAsia="宋体" w:cs="宋体"/>
          <w:bCs/>
          <w:color w:val="000000" w:themeColor="text1"/>
          <w:sz w:val="24"/>
          <w:szCs w:val="24"/>
          <w:highlight w:val="none"/>
          <w14:textFill>
            <w14:solidFill>
              <w14:schemeClr w14:val="tx1"/>
            </w14:solidFill>
          </w14:textFill>
        </w:rPr>
        <w:t>要加强自律、诚实守信、依法经营，并自觉接受各有关职能部门的监督检查。</w:t>
      </w:r>
    </w:p>
    <w:p w14:paraId="7211D483">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应当按照</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协议</w:t>
      </w:r>
      <w:r>
        <w:rPr>
          <w:rFonts w:hint="eastAsia" w:ascii="宋体" w:hAnsi="宋体" w:eastAsia="宋体" w:cs="宋体"/>
          <w:bCs/>
          <w:color w:val="000000" w:themeColor="text1"/>
          <w:sz w:val="24"/>
          <w:szCs w:val="24"/>
          <w:highlight w:val="none"/>
          <w14:textFill>
            <w14:solidFill>
              <w14:schemeClr w14:val="tx1"/>
            </w14:solidFill>
          </w14:textFill>
        </w:rPr>
        <w:t>约定履行义务，完成中标项目。</w:t>
      </w:r>
    </w:p>
    <w:p w14:paraId="77D66B1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6.13中标人</w:t>
      </w:r>
      <w:r>
        <w:rPr>
          <w:rFonts w:hint="eastAsia" w:ascii="宋体" w:hAnsi="宋体" w:eastAsia="宋体" w:cs="宋体"/>
          <w:bCs/>
          <w:color w:val="000000" w:themeColor="text1"/>
          <w:sz w:val="24"/>
          <w:szCs w:val="24"/>
          <w:highlight w:val="none"/>
          <w14:textFill>
            <w14:solidFill>
              <w14:schemeClr w14:val="tx1"/>
            </w14:solidFill>
          </w14:textFill>
        </w:rPr>
        <w:t>不得将部分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bCs/>
          <w:color w:val="000000" w:themeColor="text1"/>
          <w:sz w:val="24"/>
          <w:szCs w:val="24"/>
          <w:highlight w:val="none"/>
          <w14:textFill>
            <w14:solidFill>
              <w14:schemeClr w14:val="tx1"/>
            </w14:solidFill>
          </w14:textFill>
        </w:rPr>
        <w:t>或全部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bCs/>
          <w:color w:val="000000" w:themeColor="text1"/>
          <w:sz w:val="24"/>
          <w:szCs w:val="24"/>
          <w:highlight w:val="none"/>
          <w14:textFill>
            <w14:solidFill>
              <w14:schemeClr w14:val="tx1"/>
            </w14:solidFill>
          </w14:textFill>
        </w:rPr>
        <w:t>交由他人承担，一经发现有违规现象取消其</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bCs/>
          <w:color w:val="000000" w:themeColor="text1"/>
          <w:sz w:val="24"/>
          <w:szCs w:val="24"/>
          <w:highlight w:val="none"/>
          <w14:textFill>
            <w14:solidFill>
              <w14:schemeClr w14:val="tx1"/>
            </w14:solidFill>
          </w14:textFill>
        </w:rPr>
        <w:t>资格，</w:t>
      </w:r>
      <w:r>
        <w:rPr>
          <w:rFonts w:hint="eastAsia" w:ascii="宋体" w:hAnsi="宋体" w:eastAsia="宋体" w:cs="宋体"/>
          <w:bCs/>
          <w:color w:val="000000" w:themeColor="text1"/>
          <w:sz w:val="24"/>
          <w:szCs w:val="24"/>
          <w:highlight w:val="none"/>
          <w:lang w:eastAsia="zh-CN"/>
          <w14:textFill>
            <w14:solidFill>
              <w14:schemeClr w14:val="tx1"/>
            </w14:solidFill>
          </w14:textFill>
        </w:rPr>
        <w:t>扣除</w:t>
      </w:r>
      <w:r>
        <w:rPr>
          <w:rFonts w:hint="eastAsia" w:ascii="宋体" w:hAnsi="宋体" w:eastAsia="宋体" w:cs="宋体"/>
          <w:bCs/>
          <w:color w:val="000000" w:themeColor="text1"/>
          <w:sz w:val="24"/>
          <w:szCs w:val="24"/>
          <w:highlight w:val="none"/>
          <w14:textFill>
            <w14:solidFill>
              <w14:schemeClr w14:val="tx1"/>
            </w14:solidFill>
          </w14:textFill>
        </w:rPr>
        <w:t>其全部履约保证金。</w:t>
      </w:r>
    </w:p>
    <w:p w14:paraId="011DB29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6.14</w:t>
      </w:r>
      <w:r>
        <w:rPr>
          <w:rFonts w:hint="eastAsia" w:ascii="宋体" w:hAnsi="宋体" w:eastAsia="宋体" w:cs="宋体"/>
          <w:bCs/>
          <w:color w:val="000000" w:themeColor="text1"/>
          <w:sz w:val="24"/>
          <w:szCs w:val="24"/>
          <w:highlight w:val="none"/>
          <w14:textFill>
            <w14:solidFill>
              <w14:schemeClr w14:val="tx1"/>
            </w14:solidFill>
          </w14:textFill>
        </w:rPr>
        <w:t>实行配送单位退出制度。凡有下列情况之一的，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可无条件取消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食堂食品原材料统一配送资格</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扣除</w:t>
      </w:r>
      <w:r>
        <w:rPr>
          <w:rFonts w:hint="eastAsia" w:ascii="宋体" w:hAnsi="宋体" w:eastAsia="宋体" w:cs="宋体"/>
          <w:bCs/>
          <w:color w:val="000000" w:themeColor="text1"/>
          <w:sz w:val="24"/>
          <w:szCs w:val="24"/>
          <w:highlight w:val="none"/>
          <w14:textFill>
            <w14:solidFill>
              <w14:schemeClr w14:val="tx1"/>
            </w14:solidFill>
          </w14:textFill>
        </w:rPr>
        <w:t>全部履约保证金，并承担由此造成的经济责任和法律责任：</w:t>
      </w:r>
    </w:p>
    <w:p w14:paraId="3DF6EEB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出现较轻食品质量，但不影响采购单位正常运行的，两次（含）以上的；</w:t>
      </w:r>
    </w:p>
    <w:p w14:paraId="293CA06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 xml:space="preserve">因配送食品质量问题引发食品安全事故； </w:t>
      </w:r>
    </w:p>
    <w:p w14:paraId="7E444B5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）配送单位存在严重安全隐患整改不到位；</w:t>
      </w:r>
    </w:p>
    <w:p w14:paraId="17394F2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）在同一年度内因配送单位配送假冒伪劣食品行为两次</w:t>
      </w:r>
      <w:r>
        <w:rPr>
          <w:rFonts w:hint="eastAsia" w:ascii="宋体" w:hAnsi="宋体" w:cs="宋体"/>
          <w:bCs/>
          <w:color w:val="000000" w:themeColor="text1"/>
          <w:sz w:val="24"/>
          <w:szCs w:val="24"/>
          <w:highlight w:val="none"/>
          <w:lang w:val="en-US" w:eastAsia="zh-CN"/>
          <w14:textFill>
            <w14:solidFill>
              <w14:schemeClr w14:val="tx1"/>
            </w14:solidFill>
          </w14:textFill>
        </w:rPr>
        <w:t>（含）</w:t>
      </w:r>
      <w:r>
        <w:rPr>
          <w:rFonts w:hint="eastAsia" w:ascii="宋体" w:hAnsi="宋体" w:eastAsia="宋体" w:cs="宋体"/>
          <w:bCs/>
          <w:color w:val="000000" w:themeColor="text1"/>
          <w:sz w:val="24"/>
          <w:szCs w:val="24"/>
          <w:highlight w:val="none"/>
          <w14:textFill>
            <w14:solidFill>
              <w14:schemeClr w14:val="tx1"/>
            </w14:solidFill>
          </w14:textFill>
        </w:rPr>
        <w:t>以上的</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17813AB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）因存在不廉洁行为等造成不良社会影响的</w:t>
      </w:r>
      <w:r>
        <w:rPr>
          <w:rFonts w:hint="eastAsia" w:ascii="宋体" w:hAnsi="宋体" w:cs="宋体"/>
          <w:bCs/>
          <w:color w:val="000000" w:themeColor="text1"/>
          <w:sz w:val="24"/>
          <w:szCs w:val="24"/>
          <w:highlight w:val="none"/>
          <w:lang w:eastAsia="zh-CN"/>
          <w14:textFill>
            <w14:solidFill>
              <w14:schemeClr w14:val="tx1"/>
            </w14:solidFill>
          </w14:textFill>
        </w:rPr>
        <w:t>；</w:t>
      </w:r>
    </w:p>
    <w:p w14:paraId="4F28E39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不遵守定价规则两次（含）以上的；</w:t>
      </w:r>
    </w:p>
    <w:p w14:paraId="7B833F2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（7）未按采购单位要求及时配送到位，并影响到采购单位正常运行的，两次（含）以上的；</w:t>
      </w:r>
    </w:p>
    <w:p w14:paraId="53EC31C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14:textFill>
            <w14:solidFill>
              <w14:schemeClr w14:val="tx1"/>
            </w14:solidFill>
          </w14:textFill>
        </w:rPr>
        <w:t>每日上午</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14:textFill>
            <w14:solidFill>
              <w14:schemeClr w14:val="tx1"/>
            </w14:solidFill>
          </w14:textFill>
        </w:rPr>
        <w:t>时未完成送货，</w:t>
      </w:r>
      <w:r>
        <w:rPr>
          <w:rFonts w:hint="eastAsia" w:ascii="宋体" w:hAnsi="宋体" w:cs="宋体"/>
          <w:color w:val="000000" w:themeColor="text1"/>
          <w:sz w:val="24"/>
          <w:szCs w:val="32"/>
          <w:highlight w:val="none"/>
          <w:lang w:eastAsia="zh-CN"/>
          <w14:textFill>
            <w14:solidFill>
              <w14:schemeClr w14:val="tx1"/>
            </w14:solidFill>
          </w14:textFill>
        </w:rPr>
        <w:t>三</w:t>
      </w:r>
      <w:r>
        <w:rPr>
          <w:rFonts w:hint="eastAsia" w:ascii="宋体" w:hAnsi="宋体" w:eastAsia="宋体" w:cs="宋体"/>
          <w:color w:val="000000" w:themeColor="text1"/>
          <w:sz w:val="24"/>
          <w:szCs w:val="32"/>
          <w:highlight w:val="none"/>
          <w14:textFill>
            <w14:solidFill>
              <w14:schemeClr w14:val="tx1"/>
            </w14:solidFill>
          </w14:textFill>
        </w:rPr>
        <w:t>次（含）以上的</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14:paraId="16F1B64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9</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货品数量与订单不符的，未在1小时内完成补送货，两次（含）以上的。</w:t>
      </w:r>
    </w:p>
    <w:p w14:paraId="598EEA4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不保证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的销量</w:t>
      </w:r>
      <w:r>
        <w:rPr>
          <w:rFonts w:hint="eastAsia" w:ascii="宋体" w:hAnsi="宋体" w:cs="宋体"/>
          <w:bCs/>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bCs/>
          <w:color w:val="000000" w:themeColor="text1"/>
          <w:sz w:val="24"/>
          <w:szCs w:val="24"/>
          <w:highlight w:val="none"/>
          <w14:textFill>
            <w14:solidFill>
              <w14:schemeClr w14:val="tx1"/>
            </w14:solidFill>
          </w14:textFill>
        </w:rPr>
        <w:t>营业额。</w:t>
      </w:r>
    </w:p>
    <w:p w14:paraId="25AEC51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如采购人报送的订货清单中需要配送的原材料有中标人不能配送的，需于接到订货清单后1小时内回复采购人。如采购人发现该原材料在宁波大市范围内中大型超市或市场内出售的，采购人有权要求中标人去购买并进行配送，并</w:t>
      </w:r>
      <w:r>
        <w:rPr>
          <w:rFonts w:hint="eastAsia" w:ascii="宋体" w:hAnsi="宋体" w:cs="宋体"/>
          <w:bCs/>
          <w:color w:val="000000" w:themeColor="text1"/>
          <w:sz w:val="24"/>
          <w:szCs w:val="24"/>
          <w:highlight w:val="none"/>
          <w:lang w:val="en-US" w:eastAsia="zh-CN"/>
          <w14:textFill>
            <w14:solidFill>
              <w14:schemeClr w14:val="tx1"/>
            </w14:solidFill>
          </w14:textFill>
        </w:rPr>
        <w:t>对中标人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扣500元</w:t>
      </w:r>
      <w:r>
        <w:rPr>
          <w:rFonts w:hint="eastAsia" w:ascii="宋体" w:hAnsi="宋体" w:cs="宋体"/>
          <w:bCs/>
          <w:color w:val="000000" w:themeColor="text1"/>
          <w:sz w:val="24"/>
          <w:szCs w:val="24"/>
          <w:highlight w:val="none"/>
          <w:lang w:val="en-US" w:eastAsia="zh-CN"/>
          <w14:textFill>
            <w14:solidFill>
              <w14:schemeClr w14:val="tx1"/>
            </w14:solidFill>
          </w14:textFill>
        </w:rPr>
        <w:t>/次。中标人拒不配送的，或出现3次以上上述情况的，采购人有权取消定点采购合同。</w:t>
      </w:r>
    </w:p>
    <w:p w14:paraId="3E408D3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6.17</w:t>
      </w:r>
      <w:r>
        <w:rPr>
          <w:rFonts w:hint="eastAsia" w:ascii="宋体" w:hAnsi="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严格执行事故责任追究制度，如出现严重的食物中毒、违纪等重大责任事故、损害干部职工身体健康和影响声誉的现象，采购人有权单方面终止合同，</w:t>
      </w:r>
      <w:r>
        <w:rPr>
          <w:rFonts w:hint="eastAsia" w:ascii="宋体" w:hAnsi="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应支付</w:t>
      </w:r>
      <w:r>
        <w:rPr>
          <w:rFonts w:hint="eastAsia" w:ascii="宋体" w:hAnsi="宋体" w:cs="宋体"/>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壹拾万元的违约金，并承担由此造成的一切责任和经济损失。</w:t>
      </w:r>
    </w:p>
    <w:p w14:paraId="7D208427">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p>
    <w:p w14:paraId="3ECA49D2">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七、验收</w:t>
      </w:r>
    </w:p>
    <w:p w14:paraId="2E3D305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7.1</w:t>
      </w:r>
      <w:r>
        <w:rPr>
          <w:rFonts w:hint="eastAsia" w:ascii="宋体" w:hAnsi="宋体" w:eastAsia="宋体" w:cs="宋体"/>
          <w:bCs/>
          <w:color w:val="000000" w:themeColor="text1"/>
          <w:sz w:val="24"/>
          <w:szCs w:val="24"/>
          <w:highlight w:val="none"/>
          <w14:textFill>
            <w14:solidFill>
              <w14:schemeClr w14:val="tx1"/>
            </w14:solidFill>
          </w14:textFill>
        </w:rPr>
        <w:t>验收标准：按照国家及行业相关标准及招标文件规定验收，如验收达不到规定要求，造成一定的影响，定点供货商承担一切责任，并赔偿所造成的损失。</w:t>
      </w:r>
    </w:p>
    <w:p w14:paraId="0CB597AB">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7.2</w:t>
      </w:r>
      <w:r>
        <w:rPr>
          <w:rFonts w:hint="eastAsia" w:ascii="宋体" w:hAnsi="宋体" w:eastAsia="宋体" w:cs="Times New Roman"/>
          <w:bCs/>
          <w:color w:val="000000" w:themeColor="text1"/>
          <w:sz w:val="24"/>
          <w:szCs w:val="24"/>
          <w:highlight w:val="none"/>
          <w14:textFill>
            <w14:solidFill>
              <w14:schemeClr w14:val="tx1"/>
            </w14:solidFill>
          </w14:textFill>
        </w:rPr>
        <w:t>验收</w:t>
      </w:r>
      <w:r>
        <w:rPr>
          <w:rFonts w:hint="eastAsia" w:ascii="宋体" w:hAnsi="宋体" w:eastAsia="宋体" w:cs="宋体"/>
          <w:bCs/>
          <w:color w:val="000000" w:themeColor="text1"/>
          <w:sz w:val="24"/>
          <w:szCs w:val="24"/>
          <w:highlight w:val="none"/>
          <w14:textFill>
            <w14:solidFill>
              <w14:schemeClr w14:val="tx1"/>
            </w14:solidFill>
          </w14:textFill>
        </w:rPr>
        <w:t>解决：采购人对服务质量提出异议要求检验或检测的，结果为合格的，费用由采购人承担，结果为不合格或达不到本条标准的，其费用由定点供货商承担。</w:t>
      </w:r>
    </w:p>
    <w:p w14:paraId="26FEE2F8">
      <w:pPr>
        <w:shd w:val="clear"/>
        <w:adjustRightInd/>
        <w:spacing w:line="400" w:lineRule="exact"/>
        <w:rPr>
          <w:rFonts w:hint="eastAsia" w:ascii="宋体" w:hAnsi="宋体" w:eastAsia="宋体" w:cs="宋体"/>
          <w:bCs/>
          <w:color w:val="000000" w:themeColor="text1"/>
          <w:szCs w:val="21"/>
          <w:highlight w:val="none"/>
          <w14:textFill>
            <w14:solidFill>
              <w14:schemeClr w14:val="tx1"/>
            </w14:solidFill>
          </w14:textFill>
        </w:rPr>
      </w:pPr>
    </w:p>
    <w:p w14:paraId="3823A6AF">
      <w:pPr>
        <w:widowControl/>
        <w:shd w:val="clear"/>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八、不可抗力</w:t>
      </w:r>
    </w:p>
    <w:p w14:paraId="7AB8E0A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8.1</w:t>
      </w:r>
      <w:r>
        <w:rPr>
          <w:rFonts w:hint="eastAsia" w:ascii="宋体" w:hAnsi="宋体" w:eastAsia="宋体" w:cs="宋体"/>
          <w:bCs/>
          <w:color w:val="000000" w:themeColor="text1"/>
          <w:sz w:val="24"/>
          <w:szCs w:val="24"/>
          <w:highlight w:val="none"/>
          <w14:textFill>
            <w14:solidFill>
              <w14:schemeClr w14:val="tx1"/>
            </w14:solidFill>
          </w14:textFill>
        </w:rPr>
        <w:t>如一旦有构成不可抗力的事件发生，且签约被认为无力履行全部或部分合同中规定的职责，</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需以书面形式通知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14:textFill>
            <w14:solidFill>
              <w14:schemeClr w14:val="tx1"/>
            </w14:solidFill>
          </w14:textFill>
        </w:rPr>
        <w:t>人并告知有关细节。</w:t>
      </w:r>
    </w:p>
    <w:p w14:paraId="3B74A60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8.2</w:t>
      </w:r>
      <w:r>
        <w:rPr>
          <w:rFonts w:hint="eastAsia" w:ascii="宋体" w:hAnsi="宋体" w:eastAsia="宋体" w:cs="宋体"/>
          <w:bCs/>
          <w:color w:val="000000" w:themeColor="text1"/>
          <w:sz w:val="24"/>
          <w:szCs w:val="24"/>
          <w:highlight w:val="none"/>
          <w14:textFill>
            <w14:solidFill>
              <w14:schemeClr w14:val="tx1"/>
            </w14:solidFill>
          </w14:textFill>
        </w:rPr>
        <w:t>本条款中的不可抗力应解释为大自然、战争（无论是否公开宣战）、入侵、暴动、叛乱、国家政策，或其它具有相似性质的事件。</w:t>
      </w:r>
    </w:p>
    <w:p w14:paraId="482A174E">
      <w:pPr>
        <w:widowControl/>
        <w:adjustRightInd/>
        <w:spacing w:line="360" w:lineRule="auto"/>
        <w:jc w:val="left"/>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九、惩处</w:t>
      </w:r>
    </w:p>
    <w:p w14:paraId="355DC92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.1如中标人首次出现以下情况之一的，采购人有权扣除50%的履约保证金，</w:t>
      </w:r>
      <w:r>
        <w:rPr>
          <w:rFonts w:hint="eastAsia" w:ascii="宋体" w:hAnsi="宋体" w:cs="宋体"/>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须在五日内补足扣除款项：</w:t>
      </w:r>
    </w:p>
    <w:p w14:paraId="3392242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出现较轻食品质量，但不影响采购单位正常运行的</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0F8E441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不遵守定价规则的；</w:t>
      </w:r>
    </w:p>
    <w:p w14:paraId="257B798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（3）未按采购单位要求及时配送到位，并影响到采购单位正常运行的。</w:t>
      </w:r>
    </w:p>
    <w:p w14:paraId="289576F1">
      <w:pPr>
        <w:widowControl w:val="0"/>
        <w:autoSpaceDE w:val="0"/>
        <w:autoSpaceDN w:val="0"/>
        <w:adjustRightInd w:val="0"/>
        <w:spacing w:line="360" w:lineRule="auto"/>
        <w:jc w:val="both"/>
        <w:rPr>
          <w:rFonts w:hint="eastAsia" w:ascii="宋体" w:hAnsi="Arial" w:eastAsia="宋体" w:cs="Arial"/>
          <w:snapToGrid w:val="0"/>
          <w:color w:val="000000" w:themeColor="text1"/>
          <w:kern w:val="2"/>
          <w:sz w:val="24"/>
          <w:szCs w:val="21"/>
          <w:highlight w:val="none"/>
          <w:lang w:val="en-US" w:eastAsia="zh-CN" w:bidi="ar-SA"/>
          <w14:textFill>
            <w14:solidFill>
              <w14:schemeClr w14:val="tx1"/>
            </w14:solidFill>
          </w14:textFill>
        </w:rPr>
      </w:pPr>
    </w:p>
    <w:p w14:paraId="2BFB54A6">
      <w:pPr>
        <w:widowControl/>
        <w:shd w:val="clear"/>
        <w:adjustRightInd/>
        <w:spacing w:line="360" w:lineRule="auto"/>
        <w:jc w:val="left"/>
        <w:rPr>
          <w:rFonts w:hint="default"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十一、其他要求</w:t>
      </w:r>
    </w:p>
    <w:p w14:paraId="422753B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.1供应商应具有完善的管理体系，且具有丰富的食堂原材料配送业绩。</w:t>
      </w:r>
    </w:p>
    <w:p w14:paraId="4E9DF1A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.2针对本项目的实际情况，供应商应具备一定的配送能力及质量实际控制能力：需投入配送车辆、制定配送方案，并投入质检人员，同时制定合理的检测措施，提供一定数量的原材料质检报告、合格证。</w:t>
      </w:r>
    </w:p>
    <w:p w14:paraId="32B9CE92">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.3供应商应为本项目配备具体的服务人员，并制定详细的人员管理方案（包括人事管理、考核奖惩）。</w:t>
      </w:r>
    </w:p>
    <w:p w14:paraId="4A73D09D">
      <w:pPr>
        <w:keepNext w:val="0"/>
        <w:keepLines w:val="0"/>
        <w:pageBreakBefore w:val="0"/>
        <w:widowControl/>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.4供应商应具备自有或合作的农产品生产、种养殖基地，提供服务响应及服务便捷性方案。</w:t>
      </w:r>
    </w:p>
    <w:p w14:paraId="54DAC569">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供应商应为本项目提供售后服务保证（包括食品保障方案：食品送达时间、数量保证、食品安全保证、原材料供应体系）及质量问题处罚与改进措施。</w:t>
      </w:r>
    </w:p>
    <w:p w14:paraId="4855015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供应商需制定完善的规章制度（包括安全防范管理、卫生保障制度、文明服务制度、应急管理制度、企业内部考核制度）。</w:t>
      </w:r>
    </w:p>
    <w:p w14:paraId="42FB5B3F">
      <w:pPr>
        <w:widowControl/>
        <w:tabs>
          <w:tab w:val="left" w:pos="851"/>
        </w:tabs>
        <w:kinsoku/>
        <w:wordWrap/>
        <w:overflowPunct/>
        <w:topLinePunct w:val="0"/>
        <w:bidi w:val="0"/>
        <w:adjustRightInd/>
        <w:spacing w:line="360" w:lineRule="auto"/>
        <w:ind w:firstLine="480" w:firstLineChars="200"/>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为应对服务过程中可能出现的应急情况，供应商应制定科学可行的应急预案（食品质量保障、时限保障），配备应急团队及车辆。同时针对特殊时期（包括抗台防雪、停水、停电）制定有针对性的应急保障方案，并积极分析本项目配送过程中可能出现的突发情况提出有效的应对措施。</w:t>
      </w:r>
    </w:p>
    <w:p w14:paraId="0B54D556">
      <w:pPr>
        <w:widowControl/>
        <w:tabs>
          <w:tab w:val="left" w:pos="851"/>
        </w:tabs>
        <w:kinsoku/>
        <w:wordWrap/>
        <w:overflowPunct/>
        <w:topLinePunct w:val="0"/>
        <w:bidi w:val="0"/>
        <w:adjustRightInd/>
        <w:spacing w:line="360" w:lineRule="auto"/>
        <w:ind w:firstLine="480" w:firstLineChars="200"/>
        <w:jc w:val="left"/>
        <w:outlineLvl w:val="9"/>
        <w:rPr>
          <w:rFonts w:hint="eastAsia" w:ascii="宋体" w:hAnsi="宋体" w:eastAsia="宋体" w:cs="宋体"/>
          <w:bCs/>
          <w:color w:val="000000" w:themeColor="text1"/>
          <w:sz w:val="24"/>
          <w:szCs w:val="24"/>
          <w:highlight w:val="none"/>
          <w:lang w:val="en-US" w:eastAsia="zh-CN"/>
          <w14:textFill>
            <w14:solidFill>
              <w14:schemeClr w14:val="tx1"/>
            </w14:solidFill>
          </w14:textFill>
        </w:rPr>
        <w:sectPr>
          <w:pgSz w:w="11907" w:h="16840"/>
          <w:pgMar w:top="1474" w:right="1814" w:bottom="1474" w:left="1814" w:header="851" w:footer="851" w:gutter="0"/>
          <w:cols w:space="720" w:num="1"/>
        </w:sect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10.8供应商应针对服务区域提出</w:t>
      </w:r>
      <w:r>
        <w:rPr>
          <w:rFonts w:hint="default" w:ascii="宋体" w:hAnsi="宋体" w:eastAsia="宋体" w:cs="宋体"/>
          <w:bCs/>
          <w:color w:val="000000" w:themeColor="text1"/>
          <w:sz w:val="24"/>
          <w:szCs w:val="24"/>
          <w:highlight w:val="none"/>
          <w:lang w:val="en-US" w:eastAsia="zh-CN"/>
          <w14:textFill>
            <w14:solidFill>
              <w14:schemeClr w14:val="tx1"/>
            </w14:solidFill>
          </w14:textFill>
        </w:rPr>
        <w:t>优化配送方案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14:paraId="2A019A2A">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9" w:name="_Toc184312099"/>
      <w:bookmarkEnd w:id="29"/>
      <w:bookmarkStart w:id="30" w:name="_Toc184310288"/>
      <w:bookmarkEnd w:id="30"/>
      <w:bookmarkStart w:id="31" w:name="_Toc184312081"/>
      <w:bookmarkEnd w:id="31"/>
      <w:bookmarkStart w:id="32" w:name="_Toc184308038"/>
      <w:bookmarkEnd w:id="32"/>
      <w:bookmarkStart w:id="33" w:name="_Toc184313263"/>
      <w:bookmarkEnd w:id="33"/>
      <w:bookmarkStart w:id="34" w:name="_Toc184314411"/>
      <w:bookmarkEnd w:id="34"/>
      <w:bookmarkStart w:id="35" w:name="_Toc184314477"/>
      <w:bookmarkEnd w:id="35"/>
      <w:bookmarkStart w:id="36" w:name="_Toc184313291"/>
      <w:bookmarkEnd w:id="36"/>
      <w:bookmarkStart w:id="37" w:name="_Toc184308070"/>
      <w:bookmarkEnd w:id="37"/>
      <w:bookmarkStart w:id="38" w:name="_Toc184308044"/>
      <w:bookmarkEnd w:id="38"/>
      <w:bookmarkStart w:id="39" w:name="_Toc184313309"/>
      <w:bookmarkEnd w:id="39"/>
      <w:bookmarkStart w:id="40" w:name="_Toc184310295"/>
      <w:bookmarkEnd w:id="40"/>
      <w:bookmarkStart w:id="41" w:name="_Toc184314410"/>
      <w:bookmarkEnd w:id="41"/>
      <w:bookmarkStart w:id="42" w:name="_Toc184308037"/>
      <w:bookmarkEnd w:id="42"/>
      <w:bookmarkStart w:id="43" w:name="_Toc184312076"/>
      <w:bookmarkEnd w:id="43"/>
      <w:bookmarkStart w:id="44" w:name="_Toc184313302"/>
      <w:bookmarkEnd w:id="44"/>
      <w:bookmarkStart w:id="45" w:name="_Toc184312069"/>
      <w:bookmarkEnd w:id="45"/>
      <w:bookmarkStart w:id="46" w:name="_Toc184312103"/>
      <w:bookmarkEnd w:id="46"/>
      <w:bookmarkStart w:id="47" w:name="_Toc184313279"/>
      <w:bookmarkEnd w:id="47"/>
      <w:bookmarkStart w:id="48" w:name="_Toc184313258"/>
      <w:bookmarkEnd w:id="48"/>
      <w:bookmarkStart w:id="49" w:name="_Toc184312077"/>
      <w:bookmarkEnd w:id="49"/>
      <w:bookmarkStart w:id="50" w:name="_Toc184310321"/>
      <w:bookmarkEnd w:id="50"/>
      <w:bookmarkStart w:id="51" w:name="_Toc184310287"/>
      <w:bookmarkEnd w:id="51"/>
      <w:bookmarkStart w:id="52" w:name="_Toc184313275"/>
      <w:bookmarkEnd w:id="52"/>
      <w:bookmarkStart w:id="53" w:name="_Toc184308096"/>
      <w:bookmarkEnd w:id="53"/>
      <w:bookmarkStart w:id="54" w:name="_Toc184310274"/>
      <w:bookmarkEnd w:id="54"/>
      <w:bookmarkStart w:id="55" w:name="_Toc184314439"/>
      <w:bookmarkEnd w:id="55"/>
      <w:bookmarkStart w:id="56" w:name="_Toc184314418"/>
      <w:bookmarkEnd w:id="56"/>
      <w:bookmarkStart w:id="57" w:name="_Toc184310341"/>
      <w:bookmarkEnd w:id="57"/>
      <w:bookmarkStart w:id="58" w:name="_Toc184314471"/>
      <w:bookmarkEnd w:id="58"/>
      <w:bookmarkStart w:id="59" w:name="_Toc184313283"/>
      <w:bookmarkEnd w:id="59"/>
      <w:bookmarkStart w:id="60" w:name="_Toc184313295"/>
      <w:bookmarkEnd w:id="60"/>
      <w:bookmarkStart w:id="61" w:name="_Toc184310276"/>
      <w:bookmarkEnd w:id="61"/>
      <w:bookmarkStart w:id="62" w:name="_Toc184314465"/>
      <w:bookmarkEnd w:id="62"/>
      <w:bookmarkStart w:id="63" w:name="_Toc184312139"/>
      <w:bookmarkEnd w:id="63"/>
      <w:bookmarkStart w:id="64" w:name="_Toc184314468"/>
      <w:bookmarkEnd w:id="64"/>
      <w:bookmarkStart w:id="65" w:name="_Toc184313260"/>
      <w:bookmarkEnd w:id="65"/>
      <w:bookmarkStart w:id="66" w:name="_Toc184312131"/>
      <w:bookmarkEnd w:id="66"/>
      <w:bookmarkStart w:id="67" w:name="_Toc184310335"/>
      <w:bookmarkEnd w:id="67"/>
      <w:bookmarkStart w:id="68" w:name="_Toc184308084"/>
      <w:bookmarkEnd w:id="68"/>
      <w:bookmarkStart w:id="69" w:name="_Toc184312091"/>
      <w:bookmarkEnd w:id="69"/>
      <w:bookmarkStart w:id="70" w:name="_Toc184312124"/>
      <w:bookmarkEnd w:id="70"/>
      <w:bookmarkStart w:id="71" w:name="_Toc184308064"/>
      <w:bookmarkEnd w:id="71"/>
      <w:bookmarkStart w:id="72" w:name="_Toc184314417"/>
      <w:bookmarkEnd w:id="72"/>
      <w:bookmarkStart w:id="73" w:name="_Toc184308092"/>
      <w:bookmarkEnd w:id="73"/>
      <w:bookmarkStart w:id="74" w:name="_Toc184314446"/>
      <w:bookmarkEnd w:id="74"/>
      <w:bookmarkStart w:id="75" w:name="_Toc184314452"/>
      <w:bookmarkEnd w:id="75"/>
      <w:bookmarkStart w:id="76" w:name="_Toc184314447"/>
      <w:bookmarkEnd w:id="76"/>
      <w:bookmarkStart w:id="77" w:name="_Toc184313306"/>
      <w:bookmarkEnd w:id="77"/>
      <w:bookmarkStart w:id="78" w:name="_Toc184310283"/>
      <w:bookmarkEnd w:id="78"/>
      <w:bookmarkStart w:id="79" w:name="_Toc184313245"/>
      <w:bookmarkEnd w:id="79"/>
      <w:bookmarkStart w:id="80" w:name="_Toc184314441"/>
      <w:bookmarkEnd w:id="80"/>
      <w:bookmarkStart w:id="81" w:name="_Toc184313244"/>
      <w:bookmarkEnd w:id="81"/>
      <w:bookmarkStart w:id="82" w:name="_Toc184313299"/>
      <w:bookmarkEnd w:id="82"/>
      <w:bookmarkStart w:id="83" w:name="_Toc184312090"/>
      <w:bookmarkEnd w:id="83"/>
      <w:bookmarkStart w:id="84" w:name="_Toc184313307"/>
      <w:bookmarkEnd w:id="84"/>
      <w:bookmarkStart w:id="85" w:name="_Toc184310281"/>
      <w:bookmarkEnd w:id="85"/>
      <w:bookmarkStart w:id="86" w:name="_Toc184312130"/>
      <w:bookmarkEnd w:id="86"/>
      <w:bookmarkStart w:id="87" w:name="_Toc184313250"/>
      <w:bookmarkEnd w:id="87"/>
      <w:bookmarkStart w:id="88" w:name="_Toc184314478"/>
      <w:bookmarkEnd w:id="88"/>
      <w:bookmarkStart w:id="89" w:name="_Toc184314437"/>
      <w:bookmarkEnd w:id="89"/>
      <w:bookmarkStart w:id="90" w:name="_Toc184308039"/>
      <w:bookmarkEnd w:id="90"/>
      <w:bookmarkStart w:id="91" w:name="_Toc184308063"/>
      <w:bookmarkEnd w:id="91"/>
      <w:bookmarkStart w:id="92" w:name="_Toc184310305"/>
      <w:bookmarkEnd w:id="92"/>
      <w:bookmarkStart w:id="93" w:name="_Toc184314435"/>
      <w:bookmarkEnd w:id="93"/>
      <w:bookmarkStart w:id="94" w:name="_Toc184312114"/>
      <w:bookmarkEnd w:id="94"/>
      <w:bookmarkStart w:id="95" w:name="_Toc184308046"/>
      <w:bookmarkEnd w:id="95"/>
      <w:bookmarkStart w:id="96" w:name="_Toc184312120"/>
      <w:bookmarkEnd w:id="96"/>
      <w:bookmarkStart w:id="97" w:name="_Toc184308080"/>
      <w:bookmarkEnd w:id="97"/>
      <w:bookmarkStart w:id="98" w:name="_Toc184308091"/>
      <w:bookmarkEnd w:id="98"/>
      <w:bookmarkStart w:id="99" w:name="_Toc184313257"/>
      <w:bookmarkEnd w:id="99"/>
      <w:bookmarkStart w:id="100" w:name="_Toc184310298"/>
      <w:bookmarkEnd w:id="100"/>
      <w:bookmarkStart w:id="101" w:name="_Toc184310322"/>
      <w:bookmarkEnd w:id="101"/>
      <w:bookmarkStart w:id="102" w:name="_Toc184308098"/>
      <w:bookmarkEnd w:id="102"/>
      <w:bookmarkStart w:id="103" w:name="_Toc184312067"/>
      <w:bookmarkEnd w:id="103"/>
      <w:bookmarkStart w:id="104" w:name="_Toc184312127"/>
      <w:bookmarkEnd w:id="104"/>
      <w:bookmarkStart w:id="105" w:name="_Toc184312119"/>
      <w:bookmarkEnd w:id="105"/>
      <w:bookmarkStart w:id="106" w:name="_Toc184313259"/>
      <w:bookmarkEnd w:id="106"/>
      <w:bookmarkStart w:id="107" w:name="_Toc184313276"/>
      <w:bookmarkEnd w:id="107"/>
      <w:bookmarkStart w:id="108" w:name="_Toc184308077"/>
      <w:bookmarkEnd w:id="108"/>
      <w:bookmarkStart w:id="109" w:name="_Toc184313292"/>
      <w:bookmarkEnd w:id="109"/>
      <w:bookmarkStart w:id="110" w:name="_Toc184310327"/>
      <w:bookmarkEnd w:id="110"/>
      <w:bookmarkStart w:id="111" w:name="_Toc184310299"/>
      <w:bookmarkEnd w:id="111"/>
      <w:bookmarkStart w:id="112" w:name="_Toc184310278"/>
      <w:bookmarkEnd w:id="112"/>
      <w:bookmarkStart w:id="113" w:name="_Toc184312123"/>
      <w:bookmarkEnd w:id="113"/>
      <w:bookmarkStart w:id="114" w:name="_Toc184310285"/>
      <w:bookmarkEnd w:id="114"/>
      <w:bookmarkStart w:id="115" w:name="_Toc184310317"/>
      <w:bookmarkEnd w:id="115"/>
      <w:bookmarkStart w:id="116" w:name="_Toc184308088"/>
      <w:bookmarkEnd w:id="116"/>
      <w:bookmarkStart w:id="117" w:name="_Toc184312068"/>
      <w:bookmarkEnd w:id="117"/>
      <w:bookmarkStart w:id="118" w:name="_Toc184312101"/>
      <w:bookmarkEnd w:id="118"/>
      <w:bookmarkStart w:id="119" w:name="_Toc184310337"/>
      <w:bookmarkEnd w:id="119"/>
      <w:bookmarkStart w:id="120" w:name="_Toc184312106"/>
      <w:bookmarkEnd w:id="120"/>
      <w:bookmarkStart w:id="121" w:name="_Toc184313285"/>
      <w:bookmarkEnd w:id="121"/>
      <w:bookmarkStart w:id="122" w:name="_Toc184308083"/>
      <w:bookmarkEnd w:id="122"/>
      <w:bookmarkStart w:id="123" w:name="_Toc184314434"/>
      <w:bookmarkEnd w:id="123"/>
      <w:bookmarkStart w:id="124" w:name="_Toc184312122"/>
      <w:bookmarkEnd w:id="124"/>
      <w:bookmarkStart w:id="125" w:name="_Toc184314480"/>
      <w:bookmarkEnd w:id="125"/>
      <w:bookmarkStart w:id="126" w:name="_Toc184314416"/>
      <w:bookmarkEnd w:id="126"/>
      <w:bookmarkStart w:id="127" w:name="_Toc184310303"/>
      <w:bookmarkEnd w:id="127"/>
      <w:bookmarkStart w:id="128" w:name="_Toc184310297"/>
      <w:bookmarkEnd w:id="128"/>
      <w:bookmarkStart w:id="129" w:name="_Toc184314464"/>
      <w:bookmarkEnd w:id="129"/>
      <w:bookmarkStart w:id="130" w:name="_Toc184314424"/>
      <w:bookmarkEnd w:id="130"/>
      <w:bookmarkStart w:id="131" w:name="_Toc184312128"/>
      <w:bookmarkEnd w:id="131"/>
      <w:bookmarkStart w:id="132" w:name="_Toc184308051"/>
      <w:bookmarkEnd w:id="132"/>
      <w:bookmarkStart w:id="133" w:name="_Toc184312089"/>
      <w:bookmarkEnd w:id="133"/>
      <w:bookmarkStart w:id="134" w:name="_Toc184310343"/>
      <w:bookmarkEnd w:id="134"/>
      <w:bookmarkStart w:id="135" w:name="_Toc184308101"/>
      <w:bookmarkEnd w:id="135"/>
      <w:bookmarkStart w:id="136" w:name="_Toc184312133"/>
      <w:bookmarkEnd w:id="136"/>
      <w:bookmarkStart w:id="137" w:name="_Toc184310316"/>
      <w:bookmarkEnd w:id="137"/>
      <w:bookmarkStart w:id="138" w:name="_Toc184308078"/>
      <w:bookmarkEnd w:id="138"/>
      <w:bookmarkStart w:id="139" w:name="_Toc184313271"/>
      <w:bookmarkEnd w:id="139"/>
      <w:bookmarkStart w:id="140" w:name="_Toc184313288"/>
      <w:bookmarkEnd w:id="140"/>
      <w:bookmarkStart w:id="141" w:name="_Toc184308104"/>
      <w:bookmarkEnd w:id="141"/>
      <w:bookmarkStart w:id="142" w:name="_Toc184310338"/>
      <w:bookmarkEnd w:id="142"/>
      <w:bookmarkStart w:id="143" w:name="_Toc184312075"/>
      <w:bookmarkEnd w:id="143"/>
      <w:bookmarkStart w:id="144" w:name="_Toc184312116"/>
      <w:bookmarkEnd w:id="144"/>
      <w:bookmarkStart w:id="145" w:name="_Toc184312073"/>
      <w:bookmarkEnd w:id="145"/>
      <w:bookmarkStart w:id="146" w:name="_Toc184314473"/>
      <w:bookmarkEnd w:id="146"/>
      <w:bookmarkStart w:id="147" w:name="_Toc184310275"/>
      <w:bookmarkEnd w:id="147"/>
      <w:bookmarkStart w:id="148" w:name="_Toc184314414"/>
      <w:bookmarkEnd w:id="148"/>
      <w:bookmarkStart w:id="149" w:name="_Toc184308057"/>
      <w:bookmarkEnd w:id="149"/>
      <w:bookmarkStart w:id="150" w:name="_Toc184308055"/>
      <w:bookmarkEnd w:id="150"/>
      <w:bookmarkStart w:id="151" w:name="_Toc184308100"/>
      <w:bookmarkEnd w:id="151"/>
      <w:bookmarkStart w:id="152" w:name="_Toc184312092"/>
      <w:bookmarkEnd w:id="152"/>
      <w:bookmarkStart w:id="153" w:name="_Toc184310324"/>
      <w:bookmarkEnd w:id="153"/>
      <w:bookmarkStart w:id="154" w:name="_Toc184310308"/>
      <w:bookmarkEnd w:id="154"/>
      <w:bookmarkStart w:id="155" w:name="_Toc184313238"/>
      <w:bookmarkEnd w:id="155"/>
      <w:bookmarkStart w:id="156" w:name="_Toc184310326"/>
      <w:bookmarkEnd w:id="156"/>
      <w:bookmarkStart w:id="157" w:name="_Toc184313280"/>
      <w:bookmarkEnd w:id="157"/>
      <w:bookmarkStart w:id="158" w:name="_Toc184312111"/>
      <w:bookmarkEnd w:id="158"/>
      <w:bookmarkStart w:id="159" w:name="_Toc184313274"/>
      <w:bookmarkEnd w:id="159"/>
      <w:bookmarkStart w:id="160" w:name="_Toc184313248"/>
      <w:bookmarkEnd w:id="160"/>
      <w:bookmarkStart w:id="161" w:name="_Toc184313266"/>
      <w:bookmarkEnd w:id="161"/>
      <w:bookmarkStart w:id="162" w:name="_Toc184310291"/>
      <w:bookmarkEnd w:id="162"/>
      <w:bookmarkStart w:id="163" w:name="_Toc184314422"/>
      <w:bookmarkEnd w:id="163"/>
      <w:bookmarkStart w:id="164" w:name="_Toc184308082"/>
      <w:bookmarkEnd w:id="164"/>
      <w:bookmarkStart w:id="165" w:name="_Toc184313239"/>
      <w:bookmarkEnd w:id="165"/>
      <w:bookmarkStart w:id="166" w:name="_Toc184314443"/>
      <w:bookmarkEnd w:id="166"/>
      <w:bookmarkStart w:id="167" w:name="_Toc184312094"/>
      <w:bookmarkEnd w:id="167"/>
      <w:bookmarkStart w:id="168" w:name="_Toc184310328"/>
      <w:bookmarkEnd w:id="168"/>
      <w:bookmarkStart w:id="169" w:name="_Toc184312112"/>
      <w:bookmarkEnd w:id="169"/>
      <w:bookmarkStart w:id="170" w:name="_Toc184313278"/>
      <w:bookmarkEnd w:id="170"/>
      <w:bookmarkStart w:id="171" w:name="_Toc184313281"/>
      <w:bookmarkEnd w:id="171"/>
      <w:bookmarkStart w:id="172" w:name="_Toc184310315"/>
      <w:bookmarkEnd w:id="172"/>
      <w:bookmarkStart w:id="173" w:name="_Toc184312136"/>
      <w:bookmarkEnd w:id="173"/>
      <w:bookmarkStart w:id="174" w:name="_Toc184308072"/>
      <w:bookmarkEnd w:id="174"/>
      <w:bookmarkStart w:id="175" w:name="_Toc184313253"/>
      <w:bookmarkEnd w:id="175"/>
      <w:bookmarkStart w:id="176" w:name="_Toc184312135"/>
      <w:bookmarkEnd w:id="176"/>
      <w:bookmarkStart w:id="177" w:name="_Toc184310342"/>
      <w:bookmarkEnd w:id="177"/>
      <w:bookmarkStart w:id="178" w:name="_Toc184308099"/>
      <w:bookmarkEnd w:id="178"/>
      <w:bookmarkStart w:id="179" w:name="_Toc184313261"/>
      <w:bookmarkEnd w:id="179"/>
      <w:bookmarkStart w:id="180" w:name="_Toc184313249"/>
      <w:bookmarkEnd w:id="180"/>
      <w:bookmarkStart w:id="181" w:name="_Toc184312084"/>
      <w:bookmarkEnd w:id="181"/>
      <w:bookmarkStart w:id="182" w:name="_Toc184314462"/>
      <w:bookmarkEnd w:id="182"/>
      <w:bookmarkStart w:id="183" w:name="_Toc184308073"/>
      <w:bookmarkEnd w:id="183"/>
      <w:bookmarkStart w:id="184" w:name="_Toc184312110"/>
      <w:bookmarkEnd w:id="184"/>
      <w:bookmarkStart w:id="185" w:name="_Toc184312083"/>
      <w:bookmarkEnd w:id="185"/>
      <w:bookmarkStart w:id="186" w:name="_Toc184310311"/>
      <w:bookmarkEnd w:id="186"/>
      <w:bookmarkStart w:id="187" w:name="_Toc184313251"/>
      <w:bookmarkEnd w:id="187"/>
      <w:bookmarkStart w:id="188" w:name="_Toc184308107"/>
      <w:bookmarkEnd w:id="188"/>
      <w:bookmarkStart w:id="189" w:name="_Toc184314420"/>
      <w:bookmarkEnd w:id="189"/>
      <w:bookmarkStart w:id="190" w:name="_Toc184312098"/>
      <w:bookmarkEnd w:id="190"/>
      <w:bookmarkStart w:id="191" w:name="_Toc184314460"/>
      <w:bookmarkEnd w:id="191"/>
      <w:bookmarkStart w:id="192" w:name="_Toc184313241"/>
      <w:bookmarkEnd w:id="192"/>
      <w:bookmarkStart w:id="193" w:name="_Toc184310336"/>
      <w:bookmarkEnd w:id="193"/>
      <w:bookmarkStart w:id="194" w:name="_Toc184312088"/>
      <w:bookmarkEnd w:id="194"/>
      <w:bookmarkStart w:id="195" w:name="_Toc184313269"/>
      <w:bookmarkEnd w:id="195"/>
      <w:bookmarkStart w:id="196" w:name="_Toc184314458"/>
      <w:bookmarkEnd w:id="196"/>
      <w:bookmarkStart w:id="197" w:name="_Toc184312086"/>
      <w:bookmarkEnd w:id="197"/>
      <w:bookmarkStart w:id="198" w:name="_Toc184308071"/>
      <w:bookmarkEnd w:id="198"/>
      <w:bookmarkStart w:id="199" w:name="_Toc184314415"/>
      <w:bookmarkEnd w:id="199"/>
      <w:bookmarkStart w:id="200" w:name="_Toc184308045"/>
      <w:bookmarkEnd w:id="200"/>
      <w:bookmarkStart w:id="201" w:name="_Toc184308065"/>
      <w:bookmarkEnd w:id="201"/>
      <w:bookmarkStart w:id="202" w:name="_Toc184312113"/>
      <w:bookmarkEnd w:id="202"/>
      <w:bookmarkStart w:id="203" w:name="_Toc184314412"/>
      <w:bookmarkEnd w:id="203"/>
      <w:bookmarkStart w:id="204" w:name="_Toc184308069"/>
      <w:bookmarkEnd w:id="204"/>
      <w:bookmarkStart w:id="205" w:name="_Toc184313264"/>
      <w:bookmarkEnd w:id="205"/>
      <w:bookmarkStart w:id="206" w:name="_Toc184312087"/>
      <w:bookmarkEnd w:id="206"/>
      <w:bookmarkStart w:id="207" w:name="_Toc184308086"/>
      <w:bookmarkEnd w:id="207"/>
      <w:bookmarkStart w:id="208" w:name="_Toc184310272"/>
      <w:bookmarkEnd w:id="208"/>
      <w:bookmarkStart w:id="209" w:name="_Toc184314461"/>
      <w:bookmarkEnd w:id="209"/>
      <w:bookmarkStart w:id="210" w:name="_Toc184308108"/>
      <w:bookmarkEnd w:id="210"/>
      <w:bookmarkStart w:id="211" w:name="_Toc184308066"/>
      <w:bookmarkEnd w:id="211"/>
      <w:bookmarkStart w:id="212" w:name="_Toc184308056"/>
      <w:bookmarkEnd w:id="212"/>
      <w:bookmarkStart w:id="213" w:name="_Toc184308053"/>
      <w:bookmarkEnd w:id="213"/>
      <w:bookmarkStart w:id="214" w:name="_Toc184313294"/>
      <w:bookmarkEnd w:id="214"/>
      <w:bookmarkStart w:id="215" w:name="_Toc184308042"/>
      <w:bookmarkEnd w:id="215"/>
      <w:bookmarkStart w:id="216" w:name="_Toc184313277"/>
      <w:bookmarkEnd w:id="216"/>
      <w:bookmarkStart w:id="217" w:name="_Toc184310304"/>
      <w:bookmarkEnd w:id="217"/>
      <w:bookmarkStart w:id="218" w:name="_Toc184308050"/>
      <w:bookmarkEnd w:id="218"/>
      <w:bookmarkStart w:id="219" w:name="_Toc184310318"/>
      <w:bookmarkEnd w:id="219"/>
      <w:bookmarkStart w:id="220" w:name="_Toc184313301"/>
      <w:bookmarkEnd w:id="220"/>
      <w:bookmarkStart w:id="221" w:name="_Toc184310292"/>
      <w:bookmarkEnd w:id="221"/>
      <w:bookmarkStart w:id="222" w:name="_Toc184312096"/>
      <w:bookmarkEnd w:id="222"/>
      <w:bookmarkStart w:id="223" w:name="_Toc184312118"/>
      <w:bookmarkEnd w:id="223"/>
      <w:bookmarkStart w:id="224" w:name="_Toc184313262"/>
      <w:bookmarkEnd w:id="224"/>
      <w:bookmarkStart w:id="225" w:name="_Toc184310340"/>
      <w:bookmarkEnd w:id="225"/>
      <w:bookmarkStart w:id="226" w:name="_Toc184310344"/>
      <w:bookmarkEnd w:id="226"/>
      <w:bookmarkStart w:id="227" w:name="_Toc184314431"/>
      <w:bookmarkEnd w:id="227"/>
      <w:bookmarkStart w:id="228" w:name="_Toc184310313"/>
      <w:bookmarkEnd w:id="228"/>
      <w:bookmarkStart w:id="229" w:name="_Toc184308087"/>
      <w:bookmarkEnd w:id="229"/>
      <w:bookmarkStart w:id="230" w:name="_Toc184313293"/>
      <w:bookmarkEnd w:id="230"/>
      <w:bookmarkStart w:id="231" w:name="_Toc184310301"/>
      <w:bookmarkEnd w:id="231"/>
      <w:bookmarkStart w:id="232" w:name="_Toc184308102"/>
      <w:bookmarkEnd w:id="232"/>
      <w:bookmarkStart w:id="233" w:name="_Toc184313254"/>
      <w:bookmarkEnd w:id="233"/>
      <w:bookmarkStart w:id="234" w:name="_Toc184314432"/>
      <w:bookmarkEnd w:id="234"/>
      <w:bookmarkStart w:id="235" w:name="_Toc184308081"/>
      <w:bookmarkEnd w:id="235"/>
      <w:bookmarkStart w:id="236" w:name="_Toc184314474"/>
      <w:bookmarkEnd w:id="236"/>
      <w:bookmarkStart w:id="237" w:name="_Toc184314453"/>
      <w:bookmarkEnd w:id="237"/>
      <w:bookmarkStart w:id="238" w:name="_Toc184314457"/>
      <w:bookmarkEnd w:id="238"/>
      <w:bookmarkStart w:id="239" w:name="_Toc184310293"/>
      <w:bookmarkEnd w:id="239"/>
      <w:bookmarkStart w:id="240" w:name="_Toc184314469"/>
      <w:bookmarkEnd w:id="240"/>
      <w:bookmarkStart w:id="241" w:name="_Toc184310306"/>
      <w:bookmarkEnd w:id="241"/>
      <w:bookmarkStart w:id="242" w:name="_Toc184310290"/>
      <w:bookmarkEnd w:id="242"/>
      <w:bookmarkStart w:id="243" w:name="_Toc184308059"/>
      <w:bookmarkEnd w:id="243"/>
      <w:bookmarkStart w:id="244" w:name="_Toc184308089"/>
      <w:bookmarkEnd w:id="244"/>
      <w:bookmarkStart w:id="245" w:name="_Toc184313267"/>
      <w:bookmarkEnd w:id="245"/>
      <w:bookmarkStart w:id="246" w:name="_Toc184312102"/>
      <w:bookmarkEnd w:id="246"/>
      <w:bookmarkStart w:id="247" w:name="_Toc184313256"/>
      <w:bookmarkEnd w:id="247"/>
      <w:bookmarkStart w:id="248" w:name="_Toc184312132"/>
      <w:bookmarkEnd w:id="248"/>
      <w:bookmarkStart w:id="249" w:name="_Toc184312107"/>
      <w:bookmarkEnd w:id="249"/>
      <w:bookmarkStart w:id="250" w:name="_Toc184310284"/>
      <w:bookmarkEnd w:id="250"/>
      <w:bookmarkStart w:id="251" w:name="_Toc184308085"/>
      <w:bookmarkEnd w:id="251"/>
      <w:bookmarkStart w:id="252" w:name="_Toc184308043"/>
      <w:bookmarkEnd w:id="252"/>
      <w:bookmarkStart w:id="253" w:name="_Toc184308090"/>
      <w:bookmarkEnd w:id="253"/>
      <w:bookmarkStart w:id="254" w:name="_Toc184310289"/>
      <w:bookmarkEnd w:id="254"/>
      <w:bookmarkStart w:id="255" w:name="_Toc184312082"/>
      <w:bookmarkEnd w:id="255"/>
      <w:bookmarkStart w:id="256" w:name="_Toc184313298"/>
      <w:bookmarkEnd w:id="256"/>
      <w:bookmarkStart w:id="257" w:name="_Toc184313303"/>
      <w:bookmarkEnd w:id="257"/>
      <w:bookmarkStart w:id="258" w:name="_Toc184310331"/>
      <w:bookmarkEnd w:id="258"/>
      <w:bookmarkStart w:id="259" w:name="_Toc184310325"/>
      <w:bookmarkEnd w:id="259"/>
      <w:bookmarkStart w:id="260" w:name="_Toc184314454"/>
      <w:bookmarkEnd w:id="260"/>
      <w:bookmarkStart w:id="261" w:name="_Toc184313247"/>
      <w:bookmarkEnd w:id="261"/>
      <w:bookmarkStart w:id="262" w:name="_Toc184313287"/>
      <w:bookmarkEnd w:id="262"/>
      <w:bookmarkStart w:id="263" w:name="_Toc184313289"/>
      <w:bookmarkEnd w:id="263"/>
      <w:bookmarkStart w:id="264" w:name="_Toc184314421"/>
      <w:bookmarkEnd w:id="264"/>
      <w:bookmarkStart w:id="265" w:name="_Toc184312137"/>
      <w:bookmarkEnd w:id="265"/>
      <w:bookmarkStart w:id="266" w:name="_Toc184312125"/>
      <w:bookmarkEnd w:id="266"/>
      <w:bookmarkStart w:id="267" w:name="_Toc184312072"/>
      <w:bookmarkEnd w:id="267"/>
      <w:bookmarkStart w:id="268" w:name="_Toc184314470"/>
      <w:bookmarkEnd w:id="268"/>
      <w:bookmarkStart w:id="269" w:name="_Toc184314433"/>
      <w:bookmarkEnd w:id="269"/>
      <w:bookmarkStart w:id="270" w:name="_Toc184313305"/>
      <w:bookmarkEnd w:id="270"/>
      <w:bookmarkStart w:id="271" w:name="_Toc184308052"/>
      <w:bookmarkEnd w:id="271"/>
      <w:bookmarkStart w:id="272" w:name="_Toc184314425"/>
      <w:bookmarkEnd w:id="272"/>
      <w:bookmarkStart w:id="273" w:name="_Toc184312095"/>
      <w:bookmarkEnd w:id="273"/>
      <w:bookmarkStart w:id="274" w:name="_Toc184313240"/>
      <w:bookmarkEnd w:id="274"/>
      <w:bookmarkStart w:id="275" w:name="_Toc184314436"/>
      <w:bookmarkEnd w:id="275"/>
      <w:bookmarkStart w:id="276" w:name="_Toc184308058"/>
      <w:bookmarkEnd w:id="276"/>
      <w:bookmarkStart w:id="277" w:name="_Toc184314438"/>
      <w:bookmarkEnd w:id="277"/>
      <w:bookmarkStart w:id="278" w:name="_Toc184310302"/>
      <w:bookmarkEnd w:id="278"/>
      <w:bookmarkStart w:id="279" w:name="_Toc184312117"/>
      <w:bookmarkEnd w:id="279"/>
      <w:bookmarkStart w:id="280" w:name="_Toc184310280"/>
      <w:bookmarkEnd w:id="280"/>
      <w:bookmarkStart w:id="281" w:name="_Toc184310307"/>
      <w:bookmarkEnd w:id="281"/>
      <w:bookmarkStart w:id="282" w:name="_Toc184313242"/>
      <w:bookmarkEnd w:id="282"/>
      <w:bookmarkStart w:id="283" w:name="_Toc184314476"/>
      <w:bookmarkEnd w:id="283"/>
      <w:bookmarkStart w:id="284" w:name="_Toc184310323"/>
      <w:bookmarkEnd w:id="284"/>
      <w:bookmarkStart w:id="285" w:name="_Toc184308061"/>
      <w:bookmarkEnd w:id="285"/>
      <w:bookmarkStart w:id="286" w:name="_Toc184310330"/>
      <w:bookmarkEnd w:id="286"/>
      <w:bookmarkStart w:id="287" w:name="_Toc184310320"/>
      <w:bookmarkEnd w:id="287"/>
      <w:bookmarkStart w:id="288" w:name="_Toc184313272"/>
      <w:bookmarkEnd w:id="288"/>
      <w:bookmarkStart w:id="289" w:name="_Toc184310319"/>
      <w:bookmarkEnd w:id="289"/>
      <w:bookmarkStart w:id="290" w:name="_Toc184308095"/>
      <w:bookmarkEnd w:id="290"/>
      <w:bookmarkStart w:id="291" w:name="_Toc184313252"/>
      <w:bookmarkEnd w:id="291"/>
      <w:bookmarkStart w:id="292" w:name="_Toc184312105"/>
      <w:bookmarkEnd w:id="292"/>
      <w:bookmarkStart w:id="293" w:name="_Toc184312080"/>
      <w:bookmarkEnd w:id="293"/>
      <w:bookmarkStart w:id="294" w:name="_Toc184313255"/>
      <w:bookmarkEnd w:id="294"/>
      <w:bookmarkStart w:id="295" w:name="_Toc184308097"/>
      <w:bookmarkEnd w:id="295"/>
      <w:bookmarkStart w:id="296" w:name="_Toc184312079"/>
      <w:bookmarkEnd w:id="296"/>
      <w:bookmarkStart w:id="297" w:name="_Toc184314429"/>
      <w:bookmarkEnd w:id="297"/>
      <w:bookmarkStart w:id="298" w:name="_Toc184308068"/>
      <w:bookmarkEnd w:id="298"/>
      <w:bookmarkStart w:id="299" w:name="_Toc184314467"/>
      <w:bookmarkEnd w:id="299"/>
      <w:bookmarkStart w:id="300" w:name="_Toc184310277"/>
      <w:bookmarkEnd w:id="300"/>
      <w:bookmarkStart w:id="301" w:name="_Toc184310282"/>
      <w:bookmarkEnd w:id="301"/>
      <w:bookmarkStart w:id="302" w:name="_Toc184310309"/>
      <w:bookmarkEnd w:id="302"/>
      <w:bookmarkStart w:id="303" w:name="_Toc184312071"/>
      <w:bookmarkEnd w:id="303"/>
      <w:bookmarkStart w:id="304" w:name="_Toc184310329"/>
      <w:bookmarkEnd w:id="304"/>
      <w:bookmarkStart w:id="305" w:name="_Toc184308036"/>
      <w:bookmarkEnd w:id="305"/>
      <w:bookmarkStart w:id="306" w:name="_Toc184308048"/>
      <w:bookmarkEnd w:id="306"/>
      <w:bookmarkStart w:id="307" w:name="_Toc184314459"/>
      <w:bookmarkEnd w:id="307"/>
      <w:bookmarkStart w:id="308" w:name="_Toc184308105"/>
      <w:bookmarkEnd w:id="308"/>
      <w:bookmarkStart w:id="309" w:name="_Toc184308079"/>
      <w:bookmarkEnd w:id="309"/>
      <w:bookmarkStart w:id="310" w:name="_Toc184312126"/>
      <w:bookmarkEnd w:id="310"/>
      <w:bookmarkStart w:id="311" w:name="_Toc184314481"/>
      <w:bookmarkEnd w:id="311"/>
      <w:bookmarkStart w:id="312" w:name="_Toc184314448"/>
      <w:bookmarkEnd w:id="312"/>
      <w:bookmarkStart w:id="313" w:name="_Toc184313300"/>
      <w:bookmarkEnd w:id="313"/>
      <w:bookmarkStart w:id="314" w:name="_Toc184312138"/>
      <w:bookmarkEnd w:id="314"/>
      <w:bookmarkStart w:id="315" w:name="_Toc184313268"/>
      <w:bookmarkEnd w:id="315"/>
      <w:bookmarkStart w:id="316" w:name="_Toc184313296"/>
      <w:bookmarkEnd w:id="316"/>
      <w:bookmarkStart w:id="317" w:name="_Toc184313270"/>
      <w:bookmarkEnd w:id="317"/>
      <w:bookmarkStart w:id="318" w:name="_Toc184312104"/>
      <w:bookmarkEnd w:id="318"/>
      <w:bookmarkStart w:id="319" w:name="_Toc184312109"/>
      <w:bookmarkEnd w:id="319"/>
      <w:bookmarkStart w:id="320" w:name="_Toc184314449"/>
      <w:bookmarkEnd w:id="320"/>
      <w:bookmarkStart w:id="321" w:name="_Toc184313265"/>
      <w:bookmarkEnd w:id="321"/>
      <w:bookmarkStart w:id="322" w:name="_Toc184314445"/>
      <w:bookmarkEnd w:id="322"/>
      <w:bookmarkStart w:id="323" w:name="_Toc184310314"/>
      <w:bookmarkEnd w:id="323"/>
      <w:bookmarkStart w:id="324" w:name="_Toc184314451"/>
      <w:bookmarkEnd w:id="324"/>
      <w:bookmarkStart w:id="325" w:name="_Toc184314442"/>
      <w:bookmarkEnd w:id="325"/>
      <w:bookmarkStart w:id="326" w:name="_Toc184308041"/>
      <w:bookmarkEnd w:id="326"/>
      <w:bookmarkStart w:id="327" w:name="_Toc184313284"/>
      <w:bookmarkEnd w:id="327"/>
      <w:bookmarkStart w:id="328" w:name="_Toc184314423"/>
      <w:bookmarkEnd w:id="328"/>
      <w:bookmarkStart w:id="329" w:name="_Toc184314428"/>
      <w:bookmarkEnd w:id="329"/>
      <w:bookmarkStart w:id="330" w:name="_Toc184314413"/>
      <w:bookmarkEnd w:id="330"/>
      <w:bookmarkStart w:id="331" w:name="_Toc184310296"/>
      <w:bookmarkEnd w:id="331"/>
      <w:bookmarkStart w:id="332" w:name="_Toc184312134"/>
      <w:bookmarkEnd w:id="332"/>
      <w:bookmarkStart w:id="333" w:name="_Toc184314426"/>
      <w:bookmarkEnd w:id="333"/>
      <w:bookmarkStart w:id="334" w:name="_Toc184312097"/>
      <w:bookmarkEnd w:id="334"/>
      <w:bookmarkStart w:id="335" w:name="_Toc184312085"/>
      <w:bookmarkEnd w:id="335"/>
      <w:bookmarkStart w:id="336" w:name="_Toc184312078"/>
      <w:bookmarkEnd w:id="336"/>
      <w:bookmarkStart w:id="337" w:name="_Toc184312129"/>
      <w:bookmarkEnd w:id="337"/>
      <w:bookmarkStart w:id="338" w:name="_Toc184310273"/>
      <w:bookmarkEnd w:id="338"/>
      <w:bookmarkStart w:id="339" w:name="_Toc184308075"/>
      <w:bookmarkEnd w:id="339"/>
      <w:bookmarkStart w:id="340" w:name="_Toc184308049"/>
      <w:bookmarkEnd w:id="340"/>
      <w:bookmarkStart w:id="341" w:name="_Toc184310294"/>
      <w:bookmarkEnd w:id="341"/>
      <w:bookmarkStart w:id="342" w:name="_Toc184310310"/>
      <w:bookmarkEnd w:id="342"/>
      <w:bookmarkStart w:id="343" w:name="_Toc184313290"/>
      <w:bookmarkEnd w:id="343"/>
      <w:bookmarkStart w:id="344" w:name="_Toc184308093"/>
      <w:bookmarkEnd w:id="344"/>
      <w:bookmarkStart w:id="345" w:name="_Toc184312070"/>
      <w:bookmarkEnd w:id="345"/>
      <w:bookmarkStart w:id="346" w:name="_Toc184313243"/>
      <w:bookmarkEnd w:id="346"/>
      <w:bookmarkStart w:id="347" w:name="_Toc184313308"/>
      <w:bookmarkEnd w:id="347"/>
      <w:bookmarkStart w:id="348" w:name="_Toc184308094"/>
      <w:bookmarkEnd w:id="348"/>
      <w:bookmarkStart w:id="349" w:name="_Toc184310312"/>
      <w:bookmarkEnd w:id="349"/>
      <w:bookmarkStart w:id="350" w:name="_Toc184308040"/>
      <w:bookmarkEnd w:id="350"/>
      <w:bookmarkStart w:id="351" w:name="_Toc184310339"/>
      <w:bookmarkEnd w:id="351"/>
      <w:bookmarkStart w:id="352" w:name="_Toc184313282"/>
      <w:bookmarkEnd w:id="352"/>
      <w:bookmarkStart w:id="353" w:name="_Toc184312093"/>
      <w:bookmarkEnd w:id="353"/>
      <w:bookmarkStart w:id="354" w:name="_Toc184308054"/>
      <w:bookmarkEnd w:id="354"/>
      <w:bookmarkStart w:id="355" w:name="_Toc184314450"/>
      <w:bookmarkEnd w:id="355"/>
      <w:bookmarkStart w:id="356" w:name="_Toc184308103"/>
      <w:bookmarkEnd w:id="356"/>
      <w:bookmarkStart w:id="357" w:name="_Toc184312121"/>
      <w:bookmarkEnd w:id="357"/>
      <w:bookmarkStart w:id="358" w:name="_Toc184314440"/>
      <w:bookmarkEnd w:id="358"/>
      <w:bookmarkStart w:id="359" w:name="_Toc184313273"/>
      <w:bookmarkEnd w:id="359"/>
      <w:bookmarkStart w:id="360" w:name="_Toc184314455"/>
      <w:bookmarkEnd w:id="360"/>
      <w:bookmarkStart w:id="361" w:name="_Toc184308047"/>
      <w:bookmarkEnd w:id="361"/>
      <w:bookmarkStart w:id="362" w:name="_Toc184314472"/>
      <w:bookmarkEnd w:id="362"/>
      <w:bookmarkStart w:id="363" w:name="_Toc184314444"/>
      <w:bookmarkEnd w:id="363"/>
      <w:bookmarkStart w:id="364" w:name="_Toc184310300"/>
      <w:bookmarkEnd w:id="364"/>
      <w:bookmarkStart w:id="365" w:name="_Toc184314430"/>
      <w:bookmarkEnd w:id="365"/>
      <w:bookmarkStart w:id="366" w:name="_Toc184308076"/>
      <w:bookmarkEnd w:id="366"/>
      <w:bookmarkStart w:id="367" w:name="_Toc184308062"/>
      <w:bookmarkEnd w:id="367"/>
      <w:bookmarkStart w:id="368" w:name="_Toc184310286"/>
      <w:bookmarkEnd w:id="368"/>
      <w:bookmarkStart w:id="369" w:name="_Toc184314427"/>
      <w:bookmarkEnd w:id="369"/>
      <w:bookmarkStart w:id="370" w:name="_Toc184313286"/>
      <w:bookmarkEnd w:id="370"/>
      <w:bookmarkStart w:id="371" w:name="_Toc184314466"/>
      <w:bookmarkEnd w:id="371"/>
      <w:bookmarkStart w:id="372" w:name="_Toc184310332"/>
      <w:bookmarkEnd w:id="372"/>
      <w:bookmarkStart w:id="373" w:name="_Toc184310279"/>
      <w:bookmarkEnd w:id="373"/>
      <w:bookmarkStart w:id="374" w:name="_Toc184314475"/>
      <w:bookmarkEnd w:id="374"/>
      <w:bookmarkStart w:id="375" w:name="_Toc184308106"/>
      <w:bookmarkEnd w:id="375"/>
      <w:bookmarkStart w:id="376" w:name="_Toc184312100"/>
      <w:bookmarkEnd w:id="376"/>
      <w:bookmarkStart w:id="377" w:name="_Toc184310334"/>
      <w:bookmarkEnd w:id="377"/>
      <w:bookmarkStart w:id="378" w:name="_Toc184314419"/>
      <w:bookmarkEnd w:id="378"/>
      <w:bookmarkStart w:id="379" w:name="_Toc184314463"/>
      <w:bookmarkEnd w:id="379"/>
      <w:bookmarkStart w:id="380" w:name="_Toc184312108"/>
      <w:bookmarkEnd w:id="380"/>
      <w:bookmarkStart w:id="381" w:name="_Toc184312074"/>
      <w:bookmarkEnd w:id="381"/>
      <w:bookmarkStart w:id="382" w:name="_Toc184312115"/>
      <w:bookmarkEnd w:id="382"/>
      <w:bookmarkStart w:id="383" w:name="_Toc184308060"/>
      <w:bookmarkEnd w:id="383"/>
      <w:bookmarkStart w:id="384" w:name="_Toc184310333"/>
      <w:bookmarkEnd w:id="384"/>
      <w:bookmarkStart w:id="385" w:name="_Toc184314482"/>
      <w:bookmarkEnd w:id="385"/>
      <w:bookmarkStart w:id="386" w:name="_Toc184308067"/>
      <w:bookmarkEnd w:id="386"/>
      <w:bookmarkStart w:id="387" w:name="_Toc184314479"/>
      <w:bookmarkEnd w:id="387"/>
      <w:bookmarkStart w:id="388" w:name="_Toc184313304"/>
      <w:bookmarkEnd w:id="388"/>
      <w:bookmarkStart w:id="389" w:name="_Toc184308074"/>
      <w:bookmarkEnd w:id="389"/>
      <w:bookmarkStart w:id="390" w:name="_Toc184313310"/>
      <w:bookmarkEnd w:id="390"/>
      <w:bookmarkStart w:id="391" w:name="_Toc184313246"/>
      <w:bookmarkEnd w:id="391"/>
      <w:bookmarkStart w:id="392" w:name="_Toc184314456"/>
      <w:bookmarkEnd w:id="392"/>
      <w:bookmarkStart w:id="393" w:name="_Toc184313297"/>
      <w:bookmarkEnd w:id="393"/>
      <w:r>
        <w:rPr>
          <w:rFonts w:hint="eastAsia" w:ascii="宋体" w:hAnsi="宋体" w:cs="宋体"/>
          <w:b/>
          <w:color w:val="000000" w:themeColor="text1"/>
          <w:sz w:val="36"/>
          <w:szCs w:val="36"/>
          <w:highlight w:val="none"/>
          <w14:textFill>
            <w14:solidFill>
              <w14:schemeClr w14:val="tx1"/>
            </w14:solidFill>
          </w14:textFill>
        </w:rPr>
        <w:t>评标办法</w:t>
      </w:r>
    </w:p>
    <w:p w14:paraId="7D8EC571">
      <w:pPr>
        <w:shd w:val="clea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评标办法前附表（适用于所有标项）</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00"/>
        <w:gridCol w:w="944"/>
        <w:gridCol w:w="4203"/>
        <w:gridCol w:w="600"/>
        <w:gridCol w:w="692"/>
      </w:tblGrid>
      <w:tr w14:paraId="5124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9" w:type="dxa"/>
            <w:noWrap w:val="0"/>
            <w:vAlign w:val="center"/>
          </w:tcPr>
          <w:p w14:paraId="4128C3C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  别</w:t>
            </w:r>
          </w:p>
        </w:tc>
        <w:tc>
          <w:tcPr>
            <w:tcW w:w="6247" w:type="dxa"/>
            <w:gridSpan w:val="3"/>
            <w:noWrap w:val="0"/>
            <w:vAlign w:val="center"/>
          </w:tcPr>
          <w:p w14:paraId="028B5E3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评标内容</w:t>
            </w:r>
          </w:p>
        </w:tc>
        <w:tc>
          <w:tcPr>
            <w:tcW w:w="600" w:type="dxa"/>
            <w:noWrap w:val="0"/>
            <w:vAlign w:val="center"/>
          </w:tcPr>
          <w:p w14:paraId="6D3D3334">
            <w:pPr>
              <w:keepNext w:val="0"/>
              <w:keepLines w:val="0"/>
              <w:widowControl w:val="0"/>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14:textFill>
                  <w14:solidFill>
                    <w14:schemeClr w14:val="tx1"/>
                  </w14:solidFill>
                </w14:textFill>
              </w:rPr>
              <w:t>分值</w:t>
            </w:r>
          </w:p>
        </w:tc>
        <w:tc>
          <w:tcPr>
            <w:tcW w:w="692" w:type="dxa"/>
            <w:noWrap w:val="0"/>
            <w:vAlign w:val="center"/>
          </w:tcPr>
          <w:p w14:paraId="7DFAFCAE">
            <w:pPr>
              <w:keepNext w:val="0"/>
              <w:keepLines w:val="0"/>
              <w:widowControl w:val="0"/>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14:textFill>
                  <w14:solidFill>
                    <w14:schemeClr w14:val="tx1"/>
                  </w14:solidFill>
                </w14:textFill>
              </w:rPr>
              <w:t>分值类型</w:t>
            </w:r>
          </w:p>
        </w:tc>
      </w:tr>
      <w:tr w14:paraId="3549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noWrap w:val="0"/>
            <w:vAlign w:val="center"/>
          </w:tcPr>
          <w:p w14:paraId="32D3112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价格分</w:t>
            </w:r>
          </w:p>
          <w:p w14:paraId="54FE30A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247" w:type="dxa"/>
            <w:gridSpan w:val="3"/>
            <w:noWrap w:val="0"/>
            <w:vAlign w:val="center"/>
          </w:tcPr>
          <w:p w14:paraId="5D3EE4D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参与评审的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投标折扣系数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投标折扣系数</w:t>
            </w:r>
          </w:p>
          <w:p w14:paraId="74D4650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以满足招标要求的该副食品类别有效投标（初步评审合格且商务技术、报价部分评审合格）中的最低的参与评审的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投标折扣系数</w:t>
            </w:r>
            <w:r>
              <w:rPr>
                <w:rFonts w:hint="eastAsia" w:ascii="宋体" w:hAnsi="宋体" w:eastAsia="宋体" w:cs="宋体"/>
                <w:color w:val="000000" w:themeColor="text1"/>
                <w:sz w:val="24"/>
                <w:szCs w:val="24"/>
                <w:highlight w:val="none"/>
                <w14:textFill>
                  <w14:solidFill>
                    <w14:schemeClr w14:val="tx1"/>
                  </w14:solidFill>
                </w14:textFill>
              </w:rPr>
              <w:t>为评标基准价，得该类别满分；该类别投标报价得分计算公式如下：投标报价得分=最低的参与评审的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投标折扣系数</w:t>
            </w:r>
            <w:r>
              <w:rPr>
                <w:rFonts w:hint="eastAsia" w:ascii="宋体" w:hAnsi="宋体" w:eastAsia="宋体" w:cs="宋体"/>
                <w:color w:val="000000" w:themeColor="text1"/>
                <w:sz w:val="24"/>
                <w:szCs w:val="24"/>
                <w:highlight w:val="none"/>
                <w14:textFill>
                  <w14:solidFill>
                    <w14:schemeClr w14:val="tx1"/>
                  </w14:solidFill>
                </w14:textFill>
              </w:rPr>
              <w:t>/参与评审的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投标折扣系数</w:t>
            </w:r>
            <w:r>
              <w:rPr>
                <w:rFonts w:hint="eastAsia" w:ascii="宋体" w:hAnsi="宋体" w:eastAsia="宋体" w:cs="宋体"/>
                <w:color w:val="000000" w:themeColor="text1"/>
                <w:sz w:val="24"/>
                <w:szCs w:val="24"/>
                <w:highlight w:val="none"/>
                <w14:textFill>
                  <w14:solidFill>
                    <w14:schemeClr w14:val="tx1"/>
                  </w14:solidFill>
                </w14:textFill>
              </w:rPr>
              <w:t>×该类别价格分满分值占本评分标准总分值的百分比×100。供应商最终价格得分为供应商在各类别所得价格分之和。</w:t>
            </w:r>
          </w:p>
          <w:p w14:paraId="02E8F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各副食品类别价格分满分值：</w:t>
            </w:r>
          </w:p>
          <w:tbl>
            <w:tblPr>
              <w:tblStyle w:val="63"/>
              <w:tblW w:w="5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6"/>
              <w:gridCol w:w="1413"/>
            </w:tblGrid>
            <w:tr w14:paraId="5090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60E42ED1">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序号</w:t>
                  </w:r>
                </w:p>
              </w:tc>
              <w:tc>
                <w:tcPr>
                  <w:tcW w:w="3686" w:type="dxa"/>
                  <w:noWrap w:val="0"/>
                  <w:vAlign w:val="center"/>
                </w:tcPr>
                <w:p w14:paraId="2D68C901">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类别</w:t>
                  </w:r>
                </w:p>
              </w:tc>
              <w:tc>
                <w:tcPr>
                  <w:tcW w:w="1413" w:type="dxa"/>
                  <w:noWrap w:val="0"/>
                  <w:vAlign w:val="center"/>
                </w:tcPr>
                <w:p w14:paraId="373778E0">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比重分</w:t>
                  </w:r>
                </w:p>
              </w:tc>
            </w:tr>
            <w:tr w14:paraId="2EA5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1822B36E">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1</w:t>
                  </w:r>
                </w:p>
              </w:tc>
              <w:tc>
                <w:tcPr>
                  <w:tcW w:w="3686" w:type="dxa"/>
                  <w:noWrap w:val="0"/>
                  <w:vAlign w:val="center"/>
                </w:tcPr>
                <w:p w14:paraId="221D9AD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蔬菜类</w:t>
                  </w:r>
                </w:p>
              </w:tc>
              <w:tc>
                <w:tcPr>
                  <w:tcW w:w="1413" w:type="dxa"/>
                  <w:noWrap w:val="0"/>
                  <w:vAlign w:val="center"/>
                </w:tcPr>
                <w:p w14:paraId="46A0B5B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2</w:t>
                  </w:r>
                </w:p>
              </w:tc>
            </w:tr>
            <w:tr w14:paraId="6ECE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noWrap w:val="0"/>
                  <w:vAlign w:val="center"/>
                </w:tcPr>
                <w:p w14:paraId="035D636E">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2</w:t>
                  </w:r>
                </w:p>
              </w:tc>
              <w:tc>
                <w:tcPr>
                  <w:tcW w:w="3686" w:type="dxa"/>
                  <w:noWrap w:val="0"/>
                  <w:vAlign w:val="center"/>
                </w:tcPr>
                <w:p w14:paraId="5DA197E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豆制品</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类</w:t>
                  </w:r>
                </w:p>
              </w:tc>
              <w:tc>
                <w:tcPr>
                  <w:tcW w:w="1413" w:type="dxa"/>
                  <w:noWrap w:val="0"/>
                  <w:vAlign w:val="center"/>
                </w:tcPr>
                <w:p w14:paraId="75E60EB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1</w:t>
                  </w:r>
                </w:p>
              </w:tc>
            </w:tr>
            <w:tr w14:paraId="247C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56496FC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3</w:t>
                  </w:r>
                </w:p>
              </w:tc>
              <w:tc>
                <w:tcPr>
                  <w:tcW w:w="3686" w:type="dxa"/>
                  <w:noWrap w:val="0"/>
                  <w:vAlign w:val="center"/>
                </w:tcPr>
                <w:p w14:paraId="3841EDB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水产类冷冻品</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鲜家禽类</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肉类冷冻品</w:t>
                  </w:r>
                </w:p>
              </w:tc>
              <w:tc>
                <w:tcPr>
                  <w:tcW w:w="1413" w:type="dxa"/>
                  <w:noWrap w:val="0"/>
                  <w:vAlign w:val="center"/>
                </w:tcPr>
                <w:p w14:paraId="158E6A8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0.5</w:t>
                  </w:r>
                </w:p>
              </w:tc>
            </w:tr>
            <w:tr w14:paraId="15BE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5B2029E4">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4</w:t>
                  </w:r>
                </w:p>
              </w:tc>
              <w:tc>
                <w:tcPr>
                  <w:tcW w:w="3686" w:type="dxa"/>
                  <w:noWrap w:val="0"/>
                  <w:vAlign w:val="center"/>
                </w:tcPr>
                <w:p w14:paraId="39E8CAE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猪肉类</w:t>
                  </w:r>
                </w:p>
              </w:tc>
              <w:tc>
                <w:tcPr>
                  <w:tcW w:w="1413" w:type="dxa"/>
                  <w:noWrap w:val="0"/>
                  <w:vAlign w:val="center"/>
                </w:tcPr>
                <w:p w14:paraId="102D60F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2</w:t>
                  </w:r>
                </w:p>
              </w:tc>
            </w:tr>
            <w:tr w14:paraId="1E32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4E0FBB7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5</w:t>
                  </w:r>
                </w:p>
              </w:tc>
              <w:tc>
                <w:tcPr>
                  <w:tcW w:w="3686" w:type="dxa"/>
                  <w:noWrap w:val="0"/>
                  <w:vAlign w:val="center"/>
                </w:tcPr>
                <w:p w14:paraId="01DD765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其他鲜</w:t>
                  </w:r>
                  <w:r>
                    <w:rPr>
                      <w:rFonts w:hint="eastAsia" w:ascii="宋体" w:hAnsi="宋体" w:eastAsia="宋体" w:cs="宋体"/>
                      <w:b w:val="0"/>
                      <w:bCs/>
                      <w:color w:val="000000" w:themeColor="text1"/>
                      <w:sz w:val="21"/>
                      <w:szCs w:val="21"/>
                      <w:highlight w:val="none"/>
                      <w14:textFill>
                        <w14:solidFill>
                          <w14:schemeClr w14:val="tx1"/>
                        </w14:solidFill>
                      </w14:textFill>
                    </w:rPr>
                    <w:t>肉食类（</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除猪肉</w:t>
                  </w:r>
                  <w:r>
                    <w:rPr>
                      <w:rFonts w:hint="eastAsia" w:ascii="宋体" w:hAnsi="宋体" w:eastAsia="宋体" w:cs="宋体"/>
                      <w:b w:val="0"/>
                      <w:bCs/>
                      <w:color w:val="000000" w:themeColor="text1"/>
                      <w:sz w:val="21"/>
                      <w:szCs w:val="21"/>
                      <w:highlight w:val="none"/>
                      <w14:textFill>
                        <w14:solidFill>
                          <w14:schemeClr w14:val="tx1"/>
                        </w14:solidFill>
                      </w14:textFill>
                    </w:rPr>
                    <w:t>）</w:t>
                  </w:r>
                </w:p>
              </w:tc>
              <w:tc>
                <w:tcPr>
                  <w:tcW w:w="1413" w:type="dxa"/>
                  <w:noWrap w:val="0"/>
                  <w:vAlign w:val="center"/>
                </w:tcPr>
                <w:p w14:paraId="37B4DFAF">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1</w:t>
                  </w:r>
                </w:p>
              </w:tc>
            </w:tr>
            <w:tr w14:paraId="58E8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4C672F9D">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6</w:t>
                  </w:r>
                </w:p>
              </w:tc>
              <w:tc>
                <w:tcPr>
                  <w:tcW w:w="3686" w:type="dxa"/>
                  <w:noWrap w:val="0"/>
                  <w:vAlign w:val="center"/>
                </w:tcPr>
                <w:p w14:paraId="2B01A34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蛋类</w:t>
                  </w:r>
                </w:p>
              </w:tc>
              <w:tc>
                <w:tcPr>
                  <w:tcW w:w="1413" w:type="dxa"/>
                  <w:noWrap w:val="0"/>
                  <w:vAlign w:val="center"/>
                </w:tcPr>
                <w:p w14:paraId="1086A9C1">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1</w:t>
                  </w:r>
                </w:p>
              </w:tc>
            </w:tr>
            <w:tr w14:paraId="6B29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3416FC8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7</w:t>
                  </w:r>
                </w:p>
              </w:tc>
              <w:tc>
                <w:tcPr>
                  <w:tcW w:w="3686" w:type="dxa"/>
                  <w:noWrap w:val="0"/>
                  <w:vAlign w:val="center"/>
                </w:tcPr>
                <w:p w14:paraId="0FF7D4B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水产类</w:t>
                  </w:r>
                </w:p>
              </w:tc>
              <w:tc>
                <w:tcPr>
                  <w:tcW w:w="1413" w:type="dxa"/>
                  <w:noWrap w:val="0"/>
                  <w:vAlign w:val="center"/>
                </w:tcPr>
                <w:p w14:paraId="5C2067B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1</w:t>
                  </w:r>
                </w:p>
              </w:tc>
            </w:tr>
            <w:tr w14:paraId="0E49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1AD29C31">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8</w:t>
                  </w:r>
                </w:p>
              </w:tc>
              <w:tc>
                <w:tcPr>
                  <w:tcW w:w="3686" w:type="dxa"/>
                  <w:noWrap w:val="0"/>
                  <w:vAlign w:val="center"/>
                </w:tcPr>
                <w:p w14:paraId="7A2BCC4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调味品</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酱腌菜类</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干货类</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其他速食类（面包牛奶方便面水饺等）</w:t>
                  </w:r>
                </w:p>
              </w:tc>
              <w:tc>
                <w:tcPr>
                  <w:tcW w:w="1413" w:type="dxa"/>
                  <w:noWrap w:val="0"/>
                  <w:vAlign w:val="center"/>
                </w:tcPr>
                <w:p w14:paraId="6328C4CD">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0.5</w:t>
                  </w:r>
                </w:p>
              </w:tc>
            </w:tr>
            <w:tr w14:paraId="76EA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4" w:type="dxa"/>
                  <w:noWrap w:val="0"/>
                  <w:vAlign w:val="center"/>
                </w:tcPr>
                <w:p w14:paraId="0D10BBF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9</w:t>
                  </w:r>
                </w:p>
              </w:tc>
              <w:tc>
                <w:tcPr>
                  <w:tcW w:w="3686" w:type="dxa"/>
                  <w:noWrap w:val="0"/>
                  <w:vAlign w:val="center"/>
                </w:tcPr>
                <w:p w14:paraId="50D3200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米油类</w:t>
                  </w:r>
                </w:p>
              </w:tc>
              <w:tc>
                <w:tcPr>
                  <w:tcW w:w="1413" w:type="dxa"/>
                  <w:noWrap w:val="0"/>
                  <w:vAlign w:val="center"/>
                </w:tcPr>
                <w:p w14:paraId="35B42EB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000000" w:themeColor="text1"/>
                      <w:kern w:val="0"/>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kern w:val="0"/>
                      <w:sz w:val="21"/>
                      <w:szCs w:val="21"/>
                      <w:highlight w:val="none"/>
                      <w:vertAlign w:val="baseline"/>
                      <w:lang w:val="en-US" w:eastAsia="zh-CN"/>
                      <w14:textFill>
                        <w14:solidFill>
                          <w14:schemeClr w14:val="tx1"/>
                        </w14:solidFill>
                      </w14:textFill>
                    </w:rPr>
                    <w:t>1</w:t>
                  </w:r>
                </w:p>
              </w:tc>
            </w:tr>
          </w:tbl>
          <w:p w14:paraId="01941FA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600" w:type="dxa"/>
            <w:noWrap w:val="0"/>
            <w:vAlign w:val="center"/>
          </w:tcPr>
          <w:p w14:paraId="61A20750">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cs="宋体"/>
                <w:color w:val="000000" w:themeColor="text1"/>
                <w:kern w:val="2"/>
                <w:sz w:val="24"/>
                <w:szCs w:val="24"/>
                <w:highlight w:val="none"/>
                <w:lang w:val="en-US" w:eastAsia="zh-CN"/>
                <w14:textFill>
                  <w14:solidFill>
                    <w14:schemeClr w14:val="tx1"/>
                  </w14:solidFill>
                </w14:textFill>
              </w:rPr>
              <w:t>0</w:t>
            </w:r>
          </w:p>
        </w:tc>
        <w:tc>
          <w:tcPr>
            <w:tcW w:w="692" w:type="dxa"/>
            <w:noWrap w:val="0"/>
            <w:vAlign w:val="center"/>
          </w:tcPr>
          <w:p w14:paraId="273D1234">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客观评议</w:t>
            </w:r>
          </w:p>
        </w:tc>
      </w:tr>
      <w:tr w14:paraId="2E22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restart"/>
            <w:noWrap w:val="0"/>
            <w:vAlign w:val="center"/>
          </w:tcPr>
          <w:p w14:paraId="12FD981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商务技术分</w:t>
            </w:r>
            <w:r>
              <w:rPr>
                <w:rFonts w:hint="eastAsia" w:ascii="宋体" w:hAnsi="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100" w:type="dxa"/>
            <w:noWrap w:val="0"/>
            <w:vAlign w:val="center"/>
          </w:tcPr>
          <w:p w14:paraId="709836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履约能力</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147" w:type="dxa"/>
            <w:gridSpan w:val="2"/>
            <w:noWrap w:val="0"/>
            <w:vAlign w:val="center"/>
          </w:tcPr>
          <w:p w14:paraId="4B7D70D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具备有效的质量管理体系认证、环境管理体系认证、职业健康安全管理体系认证，任意一个认证得0.5分；具备有效的食品安全管理体系认证，得1分；最高得2.5分。（投标文件中须提供以上认证证书复印件加盖公章，未提供不得分。）</w:t>
            </w:r>
          </w:p>
        </w:tc>
        <w:tc>
          <w:tcPr>
            <w:tcW w:w="600" w:type="dxa"/>
            <w:noWrap w:val="0"/>
            <w:vAlign w:val="center"/>
          </w:tcPr>
          <w:p w14:paraId="7933D8BA">
            <w:pPr>
              <w:keepNext w:val="0"/>
              <w:keepLines w:val="0"/>
              <w:widowControl/>
              <w:suppressLineNumbers w:val="0"/>
              <w:shd w:val="clear"/>
              <w:adjustRightInd/>
              <w:spacing w:before="0" w:beforeAutospacing="0" w:after="0" w:afterAutospacing="0" w:line="240" w:lineRule="auto"/>
              <w:ind w:left="0" w:right="0"/>
              <w:jc w:val="center"/>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2.5</w:t>
            </w:r>
          </w:p>
        </w:tc>
        <w:tc>
          <w:tcPr>
            <w:tcW w:w="692" w:type="dxa"/>
            <w:noWrap w:val="0"/>
            <w:vAlign w:val="center"/>
          </w:tcPr>
          <w:p w14:paraId="0B9DD66E">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客观评议</w:t>
            </w:r>
          </w:p>
        </w:tc>
      </w:tr>
      <w:tr w14:paraId="7E22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59" w:type="dxa"/>
            <w:vMerge w:val="continue"/>
            <w:noWrap w:val="0"/>
            <w:vAlign w:val="center"/>
          </w:tcPr>
          <w:p w14:paraId="10D9F92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noWrap w:val="0"/>
            <w:vAlign w:val="center"/>
          </w:tcPr>
          <w:p w14:paraId="707E0BC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2、业绩（1分）</w:t>
            </w:r>
          </w:p>
          <w:p w14:paraId="469D014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147" w:type="dxa"/>
            <w:gridSpan w:val="2"/>
            <w:noWrap w:val="0"/>
            <w:vAlign w:val="center"/>
          </w:tcPr>
          <w:p w14:paraId="459DF67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 2023年1月1日以来（以合同签订时间为准），供应商完成过同类食堂原材料配送项目的。每一例业绩得0.5分；最多得1分。（投标文件中须提供供货合同复印件，未提供不得分。）</w:t>
            </w:r>
          </w:p>
        </w:tc>
        <w:tc>
          <w:tcPr>
            <w:tcW w:w="600" w:type="dxa"/>
            <w:noWrap w:val="0"/>
            <w:vAlign w:val="center"/>
          </w:tcPr>
          <w:p w14:paraId="285170FD">
            <w:pPr>
              <w:keepNext w:val="0"/>
              <w:keepLines w:val="0"/>
              <w:widowControl/>
              <w:suppressLineNumbers w:val="0"/>
              <w:shd w:val="clear"/>
              <w:adjustRightInd/>
              <w:spacing w:before="0" w:beforeAutospacing="0" w:after="0" w:afterAutospacing="0" w:line="240" w:lineRule="auto"/>
              <w:ind w:left="0" w:right="0"/>
              <w:jc w:val="center"/>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p>
        </w:tc>
        <w:tc>
          <w:tcPr>
            <w:tcW w:w="692" w:type="dxa"/>
            <w:noWrap w:val="0"/>
            <w:vAlign w:val="center"/>
          </w:tcPr>
          <w:p w14:paraId="34A8EE47">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客观评议</w:t>
            </w:r>
          </w:p>
        </w:tc>
      </w:tr>
      <w:tr w14:paraId="5BFD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9" w:type="dxa"/>
            <w:vMerge w:val="continue"/>
            <w:noWrap w:val="0"/>
            <w:vAlign w:val="center"/>
          </w:tcPr>
          <w:p w14:paraId="16BA6F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restart"/>
            <w:shd w:val="clear" w:color="auto" w:fill="auto"/>
            <w:noWrap w:val="0"/>
            <w:vAlign w:val="center"/>
          </w:tcPr>
          <w:p w14:paraId="2CCFBEB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、配送能力（9分）</w:t>
            </w:r>
          </w:p>
        </w:tc>
        <w:tc>
          <w:tcPr>
            <w:tcW w:w="5147" w:type="dxa"/>
            <w:gridSpan w:val="2"/>
            <w:shd w:val="clear" w:color="auto" w:fill="auto"/>
            <w:noWrap w:val="0"/>
            <w:vAlign w:val="center"/>
          </w:tcPr>
          <w:p w14:paraId="3797C85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.1各供应商为本项目拟投入的配送车辆：</w:t>
            </w:r>
          </w:p>
          <w:p w14:paraId="71BC9FA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自有的，每提供1辆得1分；租赁的，每提供1辆得0.5分；本项满分4分。</w:t>
            </w:r>
          </w:p>
          <w:p w14:paraId="65F1913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有的，投标文件中须提供车辆照片（能显示车牌）、行驶证、购买发票加盖公章；租赁的，投标文件中须提供车辆照片（能显示车牌）、行驶证、购买发票及租赁合同加盖公章。如提供的证明材料不全的，本项不得分】</w:t>
            </w:r>
          </w:p>
        </w:tc>
        <w:tc>
          <w:tcPr>
            <w:tcW w:w="600" w:type="dxa"/>
            <w:shd w:val="clear" w:color="auto" w:fill="auto"/>
            <w:noWrap w:val="0"/>
            <w:vAlign w:val="center"/>
          </w:tcPr>
          <w:p w14:paraId="104E3C13">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p>
        </w:tc>
        <w:tc>
          <w:tcPr>
            <w:tcW w:w="692" w:type="dxa"/>
            <w:shd w:val="clear" w:color="auto" w:fill="auto"/>
            <w:noWrap w:val="0"/>
            <w:vAlign w:val="center"/>
          </w:tcPr>
          <w:p w14:paraId="15BA765A">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客观评议</w:t>
            </w:r>
          </w:p>
        </w:tc>
      </w:tr>
      <w:tr w14:paraId="18C5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59" w:type="dxa"/>
            <w:vMerge w:val="continue"/>
            <w:noWrap w:val="0"/>
            <w:vAlign w:val="center"/>
          </w:tcPr>
          <w:p w14:paraId="2056A57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5A1E24B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147" w:type="dxa"/>
            <w:gridSpan w:val="2"/>
            <w:shd w:val="clear" w:color="auto" w:fill="auto"/>
            <w:noWrap w:val="0"/>
            <w:vAlign w:val="center"/>
          </w:tcPr>
          <w:p w14:paraId="3BC64CC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.2根据供应商制定的配送方案进行评议：</w:t>
            </w:r>
          </w:p>
          <w:p w14:paraId="0F4A772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①配送车辆保障方案可行，食品</w:t>
            </w:r>
            <w:r>
              <w:rPr>
                <w:rFonts w:hint="eastAsia" w:ascii="宋体" w:hAnsi="宋体" w:cs="宋体"/>
                <w:color w:val="000000" w:themeColor="text1"/>
                <w:sz w:val="24"/>
                <w:szCs w:val="24"/>
                <w:highlight w:val="none"/>
                <w:lang w:val="en-US" w:eastAsia="zh-CN"/>
                <w14:textFill>
                  <w14:solidFill>
                    <w14:schemeClr w14:val="tx1"/>
                  </w14:solidFill>
                </w14:textFill>
              </w:rPr>
              <w:t>（含冷冻冷藏食品）</w:t>
            </w:r>
            <w:r>
              <w:rPr>
                <w:rFonts w:hint="eastAsia" w:ascii="宋体" w:hAnsi="宋体" w:eastAsia="宋体" w:cs="宋体"/>
                <w:color w:val="000000" w:themeColor="text1"/>
                <w:sz w:val="24"/>
                <w:szCs w:val="24"/>
                <w:highlight w:val="none"/>
                <w:lang w:val="en-US" w:eastAsia="zh-CN"/>
                <w14:textFill>
                  <w14:solidFill>
                    <w14:schemeClr w14:val="tx1"/>
                  </w14:solidFill>
                </w14:textFill>
              </w:rPr>
              <w:t>配送方案科学，可以有效实施的得5分；</w:t>
            </w:r>
          </w:p>
          <w:p w14:paraId="2249BC5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②配送车辆保障方案基本可行，食品</w:t>
            </w:r>
            <w:r>
              <w:rPr>
                <w:rFonts w:hint="eastAsia" w:ascii="宋体" w:hAnsi="宋体" w:cs="宋体"/>
                <w:color w:val="000000" w:themeColor="text1"/>
                <w:sz w:val="24"/>
                <w:szCs w:val="24"/>
                <w:highlight w:val="none"/>
                <w:lang w:val="en-US" w:eastAsia="zh-CN"/>
                <w14:textFill>
                  <w14:solidFill>
                    <w14:schemeClr w14:val="tx1"/>
                  </w14:solidFill>
                </w14:textFill>
              </w:rPr>
              <w:t>（含冷冻冷藏食品）</w:t>
            </w:r>
            <w:r>
              <w:rPr>
                <w:rFonts w:hint="eastAsia" w:ascii="宋体" w:hAnsi="宋体" w:eastAsia="宋体" w:cs="宋体"/>
                <w:color w:val="000000" w:themeColor="text1"/>
                <w:sz w:val="24"/>
                <w:szCs w:val="24"/>
                <w:highlight w:val="none"/>
                <w:lang w:val="en-US" w:eastAsia="zh-CN"/>
                <w14:textFill>
                  <w14:solidFill>
                    <w14:schemeClr w14:val="tx1"/>
                  </w14:solidFill>
                </w14:textFill>
              </w:rPr>
              <w:t>配送方案基本能满足本项目实施要求的得3分；</w:t>
            </w:r>
          </w:p>
          <w:p w14:paraId="34AF369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③配送车辆保障方案不可行，食品</w:t>
            </w:r>
            <w:r>
              <w:rPr>
                <w:rFonts w:hint="eastAsia" w:ascii="宋体" w:hAnsi="宋体" w:cs="宋体"/>
                <w:color w:val="000000" w:themeColor="text1"/>
                <w:sz w:val="24"/>
                <w:szCs w:val="24"/>
                <w:highlight w:val="none"/>
                <w:lang w:val="en-US" w:eastAsia="zh-CN"/>
                <w14:textFill>
                  <w14:solidFill>
                    <w14:schemeClr w14:val="tx1"/>
                  </w14:solidFill>
                </w14:textFill>
              </w:rPr>
              <w:t>（含冷冻冷藏食品）</w:t>
            </w:r>
            <w:r>
              <w:rPr>
                <w:rFonts w:hint="eastAsia" w:ascii="宋体" w:hAnsi="宋体" w:eastAsia="宋体" w:cs="宋体"/>
                <w:color w:val="000000" w:themeColor="text1"/>
                <w:sz w:val="24"/>
                <w:szCs w:val="24"/>
                <w:highlight w:val="none"/>
                <w:lang w:val="en-US" w:eastAsia="zh-CN"/>
                <w14:textFill>
                  <w14:solidFill>
                    <w14:schemeClr w14:val="tx1"/>
                  </w14:solidFill>
                </w14:textFill>
              </w:rPr>
              <w:t>配送方案不科学的得1分。</w:t>
            </w:r>
          </w:p>
          <w:p w14:paraId="640C61B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p w14:paraId="52FE263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（投标文件中需提供相关证明材料）</w:t>
            </w:r>
          </w:p>
        </w:tc>
        <w:tc>
          <w:tcPr>
            <w:tcW w:w="600" w:type="dxa"/>
            <w:shd w:val="clear" w:color="auto" w:fill="auto"/>
            <w:noWrap w:val="0"/>
            <w:vAlign w:val="center"/>
          </w:tcPr>
          <w:p w14:paraId="50C66E2E">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shd w:val="clear" w:color="auto" w:fill="auto"/>
            <w:noWrap w:val="0"/>
            <w:vAlign w:val="center"/>
          </w:tcPr>
          <w:p w14:paraId="1C42AB37">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3413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14:paraId="3187761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noWrap w:val="0"/>
            <w:vAlign w:val="center"/>
          </w:tcPr>
          <w:p w14:paraId="5ABB223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、质量实际控制能力（5分）</w:t>
            </w:r>
          </w:p>
        </w:tc>
        <w:tc>
          <w:tcPr>
            <w:tcW w:w="5147" w:type="dxa"/>
            <w:gridSpan w:val="2"/>
            <w:shd w:val="clear" w:color="auto" w:fill="auto"/>
            <w:noWrap w:val="0"/>
            <w:vAlign w:val="center"/>
          </w:tcPr>
          <w:p w14:paraId="1A5DDD2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.1根据供应商提供的质检人员技术能力、经验及最能反映检测水平结果的质检报告、合格证进行评议：</w:t>
            </w:r>
          </w:p>
          <w:p w14:paraId="20C5DEF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①质检人员技术能力优异、质检经验丰富，质检报告或合格证的种类齐全且能反映检测水平的得5分；</w:t>
            </w:r>
          </w:p>
          <w:p w14:paraId="3FEC801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②质检人员技术能力略有欠缺、质检经验一般，质检报告或合格证的种类基本符合项目要求，但数量略有欠缺，仅能反映部分产品的检测水平的得3分；</w:t>
            </w:r>
          </w:p>
          <w:p w14:paraId="0095DC9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③质检人员技术能力差、质检经验少，质检报告或合格证的种类或数量少，不能反映大部分产品的检测水平的得1分。</w:t>
            </w:r>
          </w:p>
          <w:p w14:paraId="4CF5880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p w14:paraId="02CED70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（投标文件中需提供供应商质检人员情况的证明材料，离开标日最接近的且最能反映检测水平结果的各类品种质检报告、合格证）</w:t>
            </w:r>
          </w:p>
        </w:tc>
        <w:tc>
          <w:tcPr>
            <w:tcW w:w="600" w:type="dxa"/>
            <w:shd w:val="clear" w:color="auto" w:fill="auto"/>
            <w:noWrap w:val="0"/>
            <w:vAlign w:val="center"/>
          </w:tcPr>
          <w:p w14:paraId="07D97C93">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shd w:val="clear" w:color="auto" w:fill="auto"/>
            <w:noWrap w:val="0"/>
            <w:vAlign w:val="center"/>
          </w:tcPr>
          <w:p w14:paraId="6C84C676">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3E93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14:paraId="7B8F475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restart"/>
            <w:noWrap w:val="0"/>
            <w:vAlign w:val="center"/>
          </w:tcPr>
          <w:p w14:paraId="48CCD9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、本项目人员配备及人员管理方案（10分）</w:t>
            </w:r>
          </w:p>
        </w:tc>
        <w:tc>
          <w:tcPr>
            <w:tcW w:w="5147" w:type="dxa"/>
            <w:gridSpan w:val="2"/>
            <w:noWrap w:val="0"/>
            <w:vAlign w:val="center"/>
          </w:tcPr>
          <w:p w14:paraId="6EEE1DE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.1评委会根据投入本项目的人员配备方案进行评议：</w:t>
            </w:r>
          </w:p>
          <w:p w14:paraId="7DF156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①人员分工合理、组织架构科学完善，完全满足本项目对人员投入的要求得5分；</w:t>
            </w:r>
          </w:p>
          <w:p w14:paraId="1561336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②人员分工基本符合项目要求，有基础的组织架构，人员配置基本能满足项目的要求但略有欠缺的得3分；</w:t>
            </w:r>
          </w:p>
          <w:p w14:paraId="5A34ABA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③人员分工不合理、组织架构不科学，人员总体配置与项目的实际需求差距较大的得1分。</w:t>
            </w:r>
          </w:p>
          <w:p w14:paraId="597F2A1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p w14:paraId="25A396D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（投标文件中须提供人员清单及人员有效的健康证，并提供近开标日前三个月任意一个月供应商为其交纳的社保证明资料复印件加盖公章。如拟投入人员缺上述任意一样证明材料，本项不得分）</w:t>
            </w:r>
          </w:p>
        </w:tc>
        <w:tc>
          <w:tcPr>
            <w:tcW w:w="600" w:type="dxa"/>
            <w:noWrap w:val="0"/>
            <w:vAlign w:val="center"/>
          </w:tcPr>
          <w:p w14:paraId="3EA620D5">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61FD694D">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3F42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14:paraId="778A713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72AB4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147" w:type="dxa"/>
            <w:gridSpan w:val="2"/>
            <w:noWrap w:val="0"/>
            <w:vAlign w:val="center"/>
          </w:tcPr>
          <w:p w14:paraId="1C0D79E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.2根据供应商针对本项目制定的人员管理方案进行评议：</w:t>
            </w:r>
          </w:p>
          <w:p w14:paraId="1677DD3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①人事管理制度科学、奖惩制度规范、绩效考核制度健全，可以有效实施的得5分；</w:t>
            </w:r>
          </w:p>
          <w:p w14:paraId="108E29A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②人事管理制度、奖惩制度、绩效考核制度完整，有利管理但略有欠缺的得3分；</w:t>
            </w:r>
          </w:p>
          <w:p w14:paraId="01C027B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③人事管理制度、奖惩制度、考核制度存在缺陷，实行上有困难的得1分；</w:t>
            </w:r>
          </w:p>
          <w:p w14:paraId="4EF588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5CBD354D">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415FD72E">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2223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14:paraId="3638FA5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restart"/>
            <w:noWrap w:val="0"/>
            <w:vAlign w:val="center"/>
          </w:tcPr>
          <w:p w14:paraId="5FDD27A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、综合服务能力（10分）</w:t>
            </w:r>
          </w:p>
        </w:tc>
        <w:tc>
          <w:tcPr>
            <w:tcW w:w="5147" w:type="dxa"/>
            <w:gridSpan w:val="2"/>
            <w:noWrap w:val="0"/>
            <w:vAlign w:val="center"/>
          </w:tcPr>
          <w:p w14:paraId="16BCE56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.1根据供应商提供的生产或加工场地情况（包括场地布局合理、生产加工设备齐全）进行评议：①生产或加工场地布局合理，生产加工设备齐全，有针对本项目的生产或加工方案的得5分；</w:t>
            </w:r>
          </w:p>
          <w:p w14:paraId="162811F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②生产或加工场地布局基本合理，有一定数量的生产加工设备但种类略有欠缺，生产或加工方案基本能满足项目要求的得3分；</w:t>
            </w:r>
          </w:p>
          <w:p w14:paraId="12A445E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③生产或加工场地布局不合理，生产加工设备数量少，生产或加工方案不合理的得1分。</w:t>
            </w:r>
          </w:p>
          <w:p w14:paraId="554A1D1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0A5965EF">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0FF91216">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0BC3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14:paraId="7F325FB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35D41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147" w:type="dxa"/>
            <w:gridSpan w:val="2"/>
            <w:noWrap w:val="0"/>
            <w:vAlign w:val="center"/>
          </w:tcPr>
          <w:p w14:paraId="0E15132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.2根据各供应商提供的自有或合作的农副产品（或水产品）生产、种养殖基地的情况进行评议：</w:t>
            </w:r>
          </w:p>
          <w:p w14:paraId="34F717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①基地生产种植（养殖）种类多样，基地道路运输便捷的得5分；</w:t>
            </w:r>
          </w:p>
          <w:p w14:paraId="6E8EA4A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②基地生产种植（养殖）种类基本能满足项目要求，基地道路运输便捷性略有欠缺的得3分；</w:t>
            </w:r>
          </w:p>
          <w:p w14:paraId="10C2693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③基地生产种植（养殖）种类不能满足项目实际需求，基地道路运输不够便捷的得1分。</w:t>
            </w:r>
          </w:p>
          <w:p w14:paraId="5D0DF13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p w14:paraId="47805B8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（投标文件中需提供相关证明材料）</w:t>
            </w:r>
          </w:p>
        </w:tc>
        <w:tc>
          <w:tcPr>
            <w:tcW w:w="600" w:type="dxa"/>
            <w:noWrap w:val="0"/>
            <w:vAlign w:val="center"/>
          </w:tcPr>
          <w:p w14:paraId="1EFC9D81">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2B9EBBE2">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3F72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59" w:type="dxa"/>
            <w:vMerge w:val="continue"/>
            <w:noWrap w:val="0"/>
            <w:vAlign w:val="center"/>
          </w:tcPr>
          <w:p w14:paraId="1F26300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restart"/>
            <w:noWrap w:val="0"/>
            <w:vAlign w:val="center"/>
          </w:tcPr>
          <w:p w14:paraId="5645C2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、售后服务保证承诺及质量问题处罚措施（18分）</w:t>
            </w:r>
          </w:p>
        </w:tc>
        <w:tc>
          <w:tcPr>
            <w:tcW w:w="5147" w:type="dxa"/>
            <w:gridSpan w:val="2"/>
            <w:noWrap w:val="0"/>
            <w:vAlign w:val="center"/>
          </w:tcPr>
          <w:p w14:paraId="169DD2B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.1评委会根据供应商提供的“食品安全责任险”进行评议（3分）：</w:t>
            </w:r>
          </w:p>
          <w:p w14:paraId="4E7BB8A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1000万元≤保额，得3分；</w:t>
            </w:r>
          </w:p>
          <w:p w14:paraId="57F0476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700万元≤保额＜1000万元，得2分；</w:t>
            </w:r>
          </w:p>
          <w:p w14:paraId="5059EB9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400万元≤保额＜700万元，得1分；</w:t>
            </w:r>
          </w:p>
          <w:p w14:paraId="159140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保额＜400万元，得0分。</w:t>
            </w:r>
          </w:p>
          <w:p w14:paraId="0CAD9C3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（投标文件中须提供保险单复印件加盖公章）</w:t>
            </w:r>
          </w:p>
        </w:tc>
        <w:tc>
          <w:tcPr>
            <w:tcW w:w="600" w:type="dxa"/>
            <w:noWrap w:val="0"/>
            <w:vAlign w:val="center"/>
          </w:tcPr>
          <w:p w14:paraId="69A9FFA3">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692" w:type="dxa"/>
            <w:noWrap w:val="0"/>
            <w:vAlign w:val="center"/>
          </w:tcPr>
          <w:p w14:paraId="140E5180">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客观评议</w:t>
            </w:r>
          </w:p>
        </w:tc>
      </w:tr>
      <w:tr w14:paraId="6C6E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859" w:type="dxa"/>
            <w:vMerge w:val="continue"/>
            <w:noWrap w:val="0"/>
            <w:vAlign w:val="center"/>
          </w:tcPr>
          <w:p w14:paraId="3C27118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5B6E0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44" w:type="dxa"/>
            <w:vMerge w:val="restart"/>
            <w:noWrap w:val="0"/>
            <w:vAlign w:val="center"/>
          </w:tcPr>
          <w:p w14:paraId="02DE7BF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.2食品保障方案（10分）</w:t>
            </w:r>
          </w:p>
        </w:tc>
        <w:tc>
          <w:tcPr>
            <w:tcW w:w="4203" w:type="dxa"/>
            <w:noWrap w:val="0"/>
            <w:vAlign w:val="center"/>
          </w:tcPr>
          <w:p w14:paraId="0C850B5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.2.1根据供应商提供的食品送达时间保证方案、食品数量保证方案进行评议：</w:t>
            </w:r>
          </w:p>
          <w:p w14:paraId="4FCDF3D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①方案内容完全结合项目实际情况，便于实施，且对食品送达时间、数量保障有针对性措施的得5分；</w:t>
            </w:r>
          </w:p>
          <w:p w14:paraId="45B4CE0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②方案内容基本符合项目的要求，但存在一定缺陷有待改进的得3分；</w:t>
            </w:r>
          </w:p>
          <w:p w14:paraId="038A3C2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③方案内容不完整，内容不充分，与本项目实际需求有差距的得1分；</w:t>
            </w:r>
          </w:p>
          <w:p w14:paraId="0F3131B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48AB7F5A">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5F85AC4A">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4330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14:paraId="7EFEFBF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64351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44" w:type="dxa"/>
            <w:vMerge w:val="continue"/>
            <w:noWrap w:val="0"/>
            <w:vAlign w:val="center"/>
          </w:tcPr>
          <w:p w14:paraId="5D47339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4203" w:type="dxa"/>
            <w:noWrap w:val="0"/>
            <w:vAlign w:val="center"/>
          </w:tcPr>
          <w:p w14:paraId="7EB9996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.2.2根据供应商提供的食品安全保证方案、原材料供应体系进行评议：</w:t>
            </w:r>
          </w:p>
          <w:p w14:paraId="6905ED0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①方案内容完全结合项目实际情况，有利于方案实施，对食品安全保障和原材料供应有针对性措施的得5分；</w:t>
            </w:r>
          </w:p>
          <w:p w14:paraId="3185301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②方案内容基本符合项目的要求，但存在一定缺陷有待改进的得3分；</w:t>
            </w:r>
          </w:p>
          <w:p w14:paraId="33AF860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③方案内容不完整，内容不充分，与本项目实际需求有差距的得1分；</w:t>
            </w:r>
          </w:p>
          <w:p w14:paraId="313B20B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22603C96">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4F26418F">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66A0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59" w:type="dxa"/>
            <w:vMerge w:val="continue"/>
            <w:noWrap w:val="0"/>
            <w:vAlign w:val="center"/>
          </w:tcPr>
          <w:p w14:paraId="7C5A657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50AD4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147" w:type="dxa"/>
            <w:gridSpan w:val="2"/>
            <w:noWrap w:val="0"/>
            <w:vAlign w:val="center"/>
          </w:tcPr>
          <w:p w14:paraId="0BA0BFD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.3评委会根据供应商提供的质量问题处罚与改进措施进行评议：</w:t>
            </w:r>
          </w:p>
          <w:p w14:paraId="31AF706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①方案内容完全结合项目实际情况，处罚制度合理、改进措施完善的得5分；</w:t>
            </w:r>
          </w:p>
          <w:p w14:paraId="67FFF60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②方案内容基本符合项目的要求，但处罚制度或改进措施存在一定缺陷有待改进的得3分；</w:t>
            </w:r>
          </w:p>
          <w:p w14:paraId="17F4090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③措施内容不完整，不充分，与本项目实际需求有差距的得1分；</w:t>
            </w:r>
          </w:p>
          <w:p w14:paraId="764838B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23674297">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33CDE0E7">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7F73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59" w:type="dxa"/>
            <w:vMerge w:val="continue"/>
            <w:noWrap w:val="0"/>
            <w:vAlign w:val="center"/>
          </w:tcPr>
          <w:p w14:paraId="1265606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restart"/>
            <w:shd w:val="clear" w:color="auto" w:fill="auto"/>
            <w:noWrap w:val="0"/>
            <w:vAlign w:val="center"/>
          </w:tcPr>
          <w:p w14:paraId="200E824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、规章制度（10分）</w:t>
            </w:r>
          </w:p>
          <w:p w14:paraId="4F70C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147" w:type="dxa"/>
            <w:gridSpan w:val="2"/>
            <w:shd w:val="clear" w:color="auto" w:fill="auto"/>
            <w:noWrap w:val="0"/>
            <w:vAlign w:val="center"/>
          </w:tcPr>
          <w:p w14:paraId="34AAFD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.1评委会根据供应商为本项目提供的安全防范管理制度、卫生保障制度、文明服务制度进行评议：</w:t>
            </w:r>
          </w:p>
          <w:p w14:paraId="5611DD4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①安全防范管理制度科学、卫生保障制度规范、文明服务制度健全，可以有效实施的得5分；</w:t>
            </w:r>
          </w:p>
          <w:p w14:paraId="21776E8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②安全防范管理制度、卫生保障制度、文明服务制度完整，有利管理但略有欠缺的得3分；</w:t>
            </w:r>
          </w:p>
          <w:p w14:paraId="0C8FB30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③安全防范管理制度、卫生保障制度、文明服务制度存在缺陷，实行上有困难的得1分；</w:t>
            </w:r>
          </w:p>
          <w:p w14:paraId="5372BD5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shd w:val="clear" w:color="auto" w:fill="auto"/>
            <w:noWrap w:val="0"/>
            <w:vAlign w:val="center"/>
          </w:tcPr>
          <w:p w14:paraId="73A54251">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shd w:val="clear" w:color="auto" w:fill="auto"/>
            <w:noWrap w:val="0"/>
            <w:vAlign w:val="center"/>
          </w:tcPr>
          <w:p w14:paraId="2A5E8523">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73B7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59" w:type="dxa"/>
            <w:vMerge w:val="continue"/>
            <w:noWrap w:val="0"/>
            <w:vAlign w:val="center"/>
          </w:tcPr>
          <w:p w14:paraId="397BC9A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continue"/>
            <w:noWrap w:val="0"/>
            <w:vAlign w:val="center"/>
          </w:tcPr>
          <w:p w14:paraId="3603A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5147" w:type="dxa"/>
            <w:gridSpan w:val="2"/>
            <w:shd w:val="clear" w:color="auto" w:fill="auto"/>
            <w:noWrap w:val="0"/>
            <w:vAlign w:val="center"/>
          </w:tcPr>
          <w:p w14:paraId="34EA211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.2评委会根据供应商为本项目提供的应急管理制度、企业内部考核制度及记录进行评议：</w:t>
            </w:r>
          </w:p>
          <w:p w14:paraId="7D40688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①应急管理制度科学、企业内部考核制度及记录健全，可以有效实施的得5分；</w:t>
            </w:r>
          </w:p>
          <w:p w14:paraId="4C2124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②应急管理制度、企业内部考核制度及记录完整，有利管理但略有欠缺的得3分；</w:t>
            </w:r>
          </w:p>
          <w:p w14:paraId="09FC684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③应急管理制度、企业内部考核制度及记录存在缺陷，实行上有困难的得1分；</w:t>
            </w:r>
          </w:p>
          <w:p w14:paraId="079A40A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shd w:val="clear" w:color="auto" w:fill="auto"/>
            <w:noWrap w:val="0"/>
            <w:vAlign w:val="center"/>
          </w:tcPr>
          <w:p w14:paraId="24DCE597">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692" w:type="dxa"/>
            <w:shd w:val="clear" w:color="auto" w:fill="auto"/>
            <w:noWrap w:val="0"/>
            <w:vAlign w:val="center"/>
          </w:tcPr>
          <w:p w14:paraId="64EEBEB8">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6EF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Merge w:val="continue"/>
            <w:noWrap w:val="0"/>
            <w:vAlign w:val="center"/>
          </w:tcPr>
          <w:p w14:paraId="4B9D546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100" w:type="dxa"/>
            <w:vMerge w:val="restart"/>
            <w:noWrap w:val="0"/>
            <w:vAlign w:val="center"/>
          </w:tcPr>
          <w:p w14:paraId="2040953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、应急保障措施（1</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147" w:type="dxa"/>
            <w:gridSpan w:val="2"/>
            <w:noWrap w:val="0"/>
            <w:vAlign w:val="center"/>
          </w:tcPr>
          <w:p w14:paraId="60BA5AB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.1根据各供应商提供的应急预案进行评议：</w:t>
            </w:r>
          </w:p>
          <w:p w14:paraId="77D5C4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①方案内容完全结合项目实际情况，配送食品质量保障应急预案可行、配送食品时限保障应急预案科学的得4</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042FB8B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②方案内容基本符合项目的要求，但预案存在一定缺陷有待改进的得2</w:t>
            </w:r>
            <w:r>
              <w:rPr>
                <w:rFonts w:hint="eastAsia" w:ascii="宋体" w:hAnsi="宋体" w:cs="宋体"/>
                <w:color w:val="000000" w:themeColor="text1"/>
                <w:sz w:val="24"/>
                <w:szCs w:val="24"/>
                <w:highlight w:val="none"/>
                <w:lang w:val="en-US" w:eastAsia="zh-CN"/>
                <w14:textFill>
                  <w14:solidFill>
                    <w14:schemeClr w14:val="tx1"/>
                  </w14:solidFill>
                </w14:textFill>
              </w:rPr>
              <w:t>.5</w:t>
            </w:r>
            <w:bookmarkStart w:id="514" w:name="_GoBack"/>
            <w:bookmarkEnd w:id="514"/>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1D2769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③措施内容不完整，不充分，与本项目实际需求有差距的得1分；</w:t>
            </w:r>
          </w:p>
          <w:p w14:paraId="7BE85BE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549E37D3">
            <w:pPr>
              <w:keepNext w:val="0"/>
              <w:keepLines w:val="0"/>
              <w:widowControl/>
              <w:suppressLineNumbers w:val="0"/>
              <w:shd w:val="clear"/>
              <w:adjustRightInd/>
              <w:spacing w:before="0" w:beforeAutospacing="0" w:after="0" w:afterAutospacing="0" w:line="240" w:lineRule="auto"/>
              <w:ind w:left="0" w:right="0"/>
              <w:jc w:val="center"/>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183D0E6D">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5C05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859" w:type="dxa"/>
            <w:vMerge w:val="continue"/>
            <w:noWrap w:val="0"/>
            <w:vAlign w:val="center"/>
          </w:tcPr>
          <w:p w14:paraId="10306FC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00" w:type="dxa"/>
            <w:vMerge w:val="continue"/>
            <w:noWrap w:val="0"/>
            <w:vAlign w:val="center"/>
          </w:tcPr>
          <w:p w14:paraId="57469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147" w:type="dxa"/>
            <w:gridSpan w:val="2"/>
            <w:noWrap w:val="0"/>
            <w:vAlign w:val="center"/>
          </w:tcPr>
          <w:p w14:paraId="5220396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.2根据供应商针对本项目的应急团队及车辆配置（包括应急人员数量合理、车辆保障措施可行）进行评议：</w:t>
            </w:r>
          </w:p>
          <w:p w14:paraId="4583B19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①应急人员数量合理、车辆保障措施可行，配置能应对突发应急事件，能协助采购人及时处理突发事件的得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271041A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②应急人员数量欠合理、车辆保障措施欠可行，配置能应对大部分突发应急事件的得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2AB583F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③应急人员数量不合理、车辆保障措施不可行，配置应对措施不完整的得1分。</w:t>
            </w:r>
          </w:p>
          <w:p w14:paraId="5B04A2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6FEC9D64">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2C63C491">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6DF6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9" w:type="dxa"/>
            <w:vMerge w:val="continue"/>
            <w:noWrap w:val="0"/>
            <w:vAlign w:val="center"/>
          </w:tcPr>
          <w:p w14:paraId="5A9E0F3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00" w:type="dxa"/>
            <w:vMerge w:val="continue"/>
            <w:noWrap w:val="0"/>
            <w:vAlign w:val="center"/>
          </w:tcPr>
          <w:p w14:paraId="5AE42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147" w:type="dxa"/>
            <w:gridSpan w:val="2"/>
            <w:noWrap w:val="0"/>
            <w:vAlign w:val="center"/>
          </w:tcPr>
          <w:p w14:paraId="34D84EA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.3根据供应商针对本项目的特殊时期（包括抗台、防雪、停水、停电）应急保障预案进行评议：</w:t>
            </w:r>
          </w:p>
          <w:p w14:paraId="3DD0E6C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①抗台、防雪、停水、停电应急保障方案可行，能提供完善的解决措施得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2A67DC7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②抗台、防雪、停水、停电应急保障方案欠可行，解决措施基本符合项目要求但略有欠缺的得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372D315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③抗台、防雪、停水、停电应急保障方案不可行，解决措施不完整的得1分。</w:t>
            </w:r>
          </w:p>
          <w:p w14:paraId="4A3581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47F9051B">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3B5E94AA">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6DED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59" w:type="dxa"/>
            <w:vMerge w:val="continue"/>
            <w:noWrap w:val="0"/>
            <w:vAlign w:val="center"/>
          </w:tcPr>
          <w:p w14:paraId="6ED0067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00" w:type="dxa"/>
            <w:vMerge w:val="continue"/>
            <w:noWrap w:val="0"/>
            <w:vAlign w:val="center"/>
          </w:tcPr>
          <w:p w14:paraId="3450DB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147" w:type="dxa"/>
            <w:gridSpan w:val="2"/>
            <w:noWrap w:val="0"/>
            <w:vAlign w:val="center"/>
          </w:tcPr>
          <w:p w14:paraId="76217A0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.4根据供应商针对本项目的突发应急事件的分析及措施进行评议：</w:t>
            </w:r>
          </w:p>
          <w:p w14:paraId="136BDFF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①能针对本项目配送过程中可能发生的突发应急事件进行全面分析并提供完善的解决措施得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2B04372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②针对本项目配送过程中可能发生的突发应急事件分析欠全面，解决措施基本符合项目要求但略有欠缺的得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p w14:paraId="3FBCE29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③针对本项目配送过程中可能发生的突发应急事件分析不全面，解决措施不完整的得1分。</w:t>
            </w:r>
          </w:p>
          <w:p w14:paraId="228D56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④未提供相关内容的不得分。</w:t>
            </w:r>
          </w:p>
        </w:tc>
        <w:tc>
          <w:tcPr>
            <w:tcW w:w="600" w:type="dxa"/>
            <w:noWrap w:val="0"/>
            <w:vAlign w:val="center"/>
          </w:tcPr>
          <w:p w14:paraId="19D1A8C1">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5</w:t>
            </w:r>
          </w:p>
        </w:tc>
        <w:tc>
          <w:tcPr>
            <w:tcW w:w="692" w:type="dxa"/>
            <w:noWrap w:val="0"/>
            <w:vAlign w:val="center"/>
          </w:tcPr>
          <w:p w14:paraId="3697B837">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bidi="ar-SA"/>
                <w14:textFill>
                  <w14:solidFill>
                    <w14:schemeClr w14:val="tx1"/>
                  </w14:solidFill>
                </w14:textFill>
              </w:rPr>
              <w:t>主观评议</w:t>
            </w:r>
          </w:p>
        </w:tc>
      </w:tr>
      <w:tr w14:paraId="6E78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59" w:type="dxa"/>
            <w:vMerge w:val="continue"/>
            <w:noWrap w:val="0"/>
            <w:vAlign w:val="center"/>
          </w:tcPr>
          <w:p w14:paraId="30F1AC7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00" w:type="dxa"/>
            <w:noWrap w:val="0"/>
            <w:vAlign w:val="center"/>
          </w:tcPr>
          <w:p w14:paraId="24FC0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10</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、服务区域的优化配送方案（</w:t>
            </w:r>
            <w:r>
              <w:rPr>
                <w:rFonts w:hint="eastAsia" w:ascii="宋体" w:hAnsi="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5</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分）</w:t>
            </w:r>
          </w:p>
        </w:tc>
        <w:tc>
          <w:tcPr>
            <w:tcW w:w="5147" w:type="dxa"/>
            <w:gridSpan w:val="2"/>
            <w:shd w:val="clear" w:color="auto" w:fill="auto"/>
            <w:noWrap w:val="0"/>
            <w:vAlign w:val="center"/>
          </w:tcPr>
          <w:p w14:paraId="535A18E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.1根据</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针对本项目的服务区域的</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优化配送方案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进行评议：</w:t>
            </w:r>
          </w:p>
          <w:p w14:paraId="25D44C6D">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①能</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针对配送各区域特殊性</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提供完善的</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优化配送方案的，</w:t>
            </w:r>
            <w:r>
              <w:rPr>
                <w:rFonts w:hint="default"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default" w:ascii="宋体" w:hAnsi="宋体" w:eastAsia="宋体" w:cs="宋体"/>
                <w:color w:val="000000" w:themeColor="text1"/>
                <w:sz w:val="24"/>
                <w:szCs w:val="24"/>
                <w:highlight w:val="none"/>
                <w:lang w:val="en-US" w:eastAsia="zh-CN"/>
                <w14:textFill>
                  <w14:solidFill>
                    <w14:schemeClr w14:val="tx1"/>
                  </w14:solidFill>
                </w14:textFill>
              </w:rPr>
              <w:t>分；</w:t>
            </w:r>
          </w:p>
          <w:p w14:paraId="5166719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优化配送方案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基本符合项目</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配送各区域的情况，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但可行性略有欠缺</w:t>
            </w:r>
            <w:r>
              <w:rPr>
                <w:rFonts w:hint="default"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lang w:val="en-US" w:eastAsia="zh-CN"/>
                <w14:textFill>
                  <w14:solidFill>
                    <w14:schemeClr w14:val="tx1"/>
                  </w14:solidFill>
                </w14:textFill>
              </w:rPr>
              <w:t>分；</w:t>
            </w:r>
          </w:p>
          <w:p w14:paraId="7B7677C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w:t>
            </w:r>
            <w:r>
              <w:rPr>
                <w:rFonts w:hint="eastAsia" w:ascii="宋体" w:hAnsi="宋体" w:eastAsia="宋体" w:cs="宋体"/>
                <w:b w:val="0"/>
                <w:bCs/>
                <w:color w:val="000000" w:themeColor="text1"/>
                <w:spacing w:val="0"/>
                <w:w w:val="100"/>
                <w:kern w:val="2"/>
                <w:position w:val="0"/>
                <w:sz w:val="24"/>
                <w:szCs w:val="24"/>
                <w:highlight w:val="none"/>
                <w:shd w:val="clear" w:color="auto" w:fill="auto"/>
                <w:lang w:val="en-US" w:eastAsia="zh-CN" w:bidi="ar-SA"/>
                <w14:textFill>
                  <w14:solidFill>
                    <w14:schemeClr w14:val="tx1"/>
                  </w14:solidFill>
                </w14:textFill>
              </w:rPr>
              <w:t>优化配送方案未针对配送各区域情况，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或可行性差</w:t>
            </w:r>
            <w:r>
              <w:rPr>
                <w:rFonts w:hint="default" w:ascii="宋体" w:hAnsi="宋体" w:eastAsia="宋体" w:cs="宋体"/>
                <w:color w:val="000000" w:themeColor="text1"/>
                <w:sz w:val="24"/>
                <w:szCs w:val="24"/>
                <w:highlight w:val="none"/>
                <w:lang w:val="en-US" w:eastAsia="zh-CN"/>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default" w:ascii="宋体" w:hAnsi="宋体" w:eastAsia="宋体" w:cs="宋体"/>
                <w:color w:val="000000" w:themeColor="text1"/>
                <w:sz w:val="24"/>
                <w:szCs w:val="24"/>
                <w:highlight w:val="none"/>
                <w:lang w:val="en-US" w:eastAsia="zh-CN"/>
                <w14:textFill>
                  <w14:solidFill>
                    <w14:schemeClr w14:val="tx1"/>
                  </w14:solidFill>
                </w14:textFill>
              </w:rPr>
              <w:t>分。</w:t>
            </w:r>
          </w:p>
          <w:p w14:paraId="23ED951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w:t>
            </w:r>
            <w:r>
              <w:rPr>
                <w:rFonts w:hint="default" w:ascii="宋体" w:hAnsi="宋体" w:eastAsia="宋体" w:cs="宋体"/>
                <w:color w:val="000000" w:themeColor="text1"/>
                <w:sz w:val="24"/>
                <w:szCs w:val="24"/>
                <w:highlight w:val="none"/>
                <w:lang w:val="en-US" w:eastAsia="zh-CN"/>
                <w14:textFill>
                  <w14:solidFill>
                    <w14:schemeClr w14:val="tx1"/>
                  </w14:solidFill>
                </w14:textFill>
              </w:rPr>
              <w:t>未提供相关内容的不得分。</w:t>
            </w:r>
          </w:p>
        </w:tc>
        <w:tc>
          <w:tcPr>
            <w:tcW w:w="600" w:type="dxa"/>
            <w:shd w:val="clear" w:color="auto" w:fill="auto"/>
            <w:noWrap w:val="0"/>
            <w:vAlign w:val="center"/>
          </w:tcPr>
          <w:p w14:paraId="0F99DD6C">
            <w:pPr>
              <w:keepNext w:val="0"/>
              <w:keepLines w:val="0"/>
              <w:widowControl/>
              <w:suppressLineNumbers w:val="0"/>
              <w:shd w:val="clear"/>
              <w:adjustRightInd/>
              <w:spacing w:before="0" w:beforeAutospacing="0" w:after="0" w:afterAutospacing="0" w:line="240" w:lineRule="auto"/>
              <w:ind w:left="0" w:right="0"/>
              <w:jc w:val="center"/>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692" w:type="dxa"/>
            <w:shd w:val="clear" w:color="auto" w:fill="auto"/>
            <w:noWrap w:val="0"/>
            <w:vAlign w:val="center"/>
          </w:tcPr>
          <w:p w14:paraId="77DE7124">
            <w:pPr>
              <w:keepNext w:val="0"/>
              <w:keepLines w:val="0"/>
              <w:widowControl/>
              <w:suppressLineNumbers w:val="0"/>
              <w:shd w:val="clear" w:color="auto"/>
              <w:adjustRightInd/>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4"/>
                <w:kern w:val="2"/>
                <w:sz w:val="24"/>
                <w:szCs w:val="24"/>
                <w:highlight w:val="none"/>
                <w:lang w:val="en-US" w:eastAsia="zh-CN"/>
                <w14:textFill>
                  <w14:solidFill>
                    <w14:schemeClr w14:val="tx1"/>
                  </w14:solidFill>
                </w14:textFill>
              </w:rPr>
              <w:t>主观评议</w:t>
            </w:r>
          </w:p>
        </w:tc>
      </w:tr>
      <w:tr w14:paraId="4679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6" w:type="dxa"/>
            <w:gridSpan w:val="4"/>
            <w:noWrap w:val="0"/>
            <w:vAlign w:val="center"/>
          </w:tcPr>
          <w:p w14:paraId="06A4B7F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总分（100分）</w:t>
            </w:r>
          </w:p>
        </w:tc>
        <w:tc>
          <w:tcPr>
            <w:tcW w:w="600" w:type="dxa"/>
            <w:noWrap w:val="0"/>
            <w:vAlign w:val="center"/>
          </w:tcPr>
          <w:p w14:paraId="394F51E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92" w:type="dxa"/>
            <w:noWrap w:val="0"/>
            <w:vAlign w:val="center"/>
          </w:tcPr>
          <w:p w14:paraId="36D1FD6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 w:lineRule="atLeas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0B070964">
      <w:pPr>
        <w:shd w:val="clea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投标人编制投标文件（商务技术文件部分）时，建议按此目录（序号和内容）提供评标标准相应的商务技术资料。小数点后保留一位数。</w:t>
      </w:r>
    </w:p>
    <w:p w14:paraId="1A60071F">
      <w:pPr>
        <w:shd w:val="clea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FFBC22F">
      <w:pPr>
        <w:shd w:val="clea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482D1648">
      <w:pPr>
        <w:shd w:val="clea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4B7B5D5E">
      <w:pPr>
        <w:shd w:val="clea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4BC92241">
      <w:pPr>
        <w:shd w:val="clea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39C9FD11">
      <w:pPr>
        <w:shd w:val="clear"/>
        <w:kinsoku/>
        <w:wordWrap/>
        <w:overflowPunct/>
        <w:topLinePunct w:val="0"/>
        <w:bidi w:val="0"/>
        <w:spacing w:line="360" w:lineRule="auto"/>
        <w:ind w:firstLine="472" w:firstLineChars="196"/>
        <w:outlineLvl w:val="9"/>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投标人可同时参与二个标项的投标，但至多只能中标一个标项。评标时按标项顺序依次评审，已经在前面标项被确定为第一中标候选人的，不再进入后面标项的评审。</w:t>
      </w:r>
    </w:p>
    <w:p w14:paraId="265B1C38">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D2B75B6">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776B881">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219D6BB3">
      <w:pPr>
        <w:shd w:val="clea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6B9648D1">
      <w:pPr>
        <w:pStyle w:val="130"/>
        <w:shd w:val="clear"/>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26007FAE">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内容与投标文件中相应内容不一致的，以开标一览表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为准</w:t>
      </w:r>
      <w:r>
        <w:rPr>
          <w:rFonts w:hint="eastAsia" w:ascii="宋体" w:hAnsi="宋体" w:cs="宋体"/>
          <w:color w:val="000000" w:themeColor="text1"/>
          <w:kern w:val="0"/>
          <w:szCs w:val="24"/>
          <w:highlight w:val="none"/>
          <w:lang w:eastAsia="zh-CN"/>
          <w14:textFill>
            <w14:solidFill>
              <w14:schemeClr w14:val="tx1"/>
            </w14:solidFill>
          </w14:textFill>
        </w:rPr>
        <w:t>；</w:t>
      </w:r>
    </w:p>
    <w:p w14:paraId="68E8A036">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14:paraId="4B3E93D1">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14:paraId="498BB646">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C9F41B2">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FE37D19">
      <w:pPr>
        <w:shd w:val="clea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6012BF5B">
      <w:pPr>
        <w:shd w:val="clea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526431E">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14:paraId="304EAF19">
      <w:pPr>
        <w:pStyle w:val="130"/>
        <w:shd w:val="clear"/>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8536A99">
      <w:pPr>
        <w:shd w:val="clea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说明：因本项目各类食品均对应一个投标折扣系数，无法认定综合的投标报价，故得分相同时，按价格分由高到低顺序排列</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lang w:val="en-US" w:eastAsia="zh-CN"/>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b/>
          <w:bCs/>
          <w:color w:val="000000" w:themeColor="text1"/>
          <w:kern w:val="0"/>
          <w:sz w:val="24"/>
          <w:highlight w:val="none"/>
          <w14:textFill>
            <w14:solidFill>
              <w14:schemeClr w14:val="tx1"/>
            </w14:solidFill>
          </w14:textFill>
        </w:rPr>
        <w:t>。</w:t>
      </w:r>
    </w:p>
    <w:p w14:paraId="7E9269E2">
      <w:pPr>
        <w:shd w:val="clea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A3DDAF">
      <w:pPr>
        <w:shd w:val="clea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FCC9C8">
      <w:pPr>
        <w:widowControl/>
        <w:shd w:val="clear" w:color="auto"/>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321B0DD1">
      <w:pPr>
        <w:pStyle w:val="130"/>
        <w:shd w:val="clear"/>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2C5534">
      <w:pPr>
        <w:pStyle w:val="25"/>
        <w:shd w:val="clear"/>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DB5AF68">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8C2E93D">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1096BB5B">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A0BE8DB">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280CB6D9">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55E6E70">
      <w:pPr>
        <w:shd w:val="clea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14:paraId="78BAF9B1">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p>
    <w:p w14:paraId="1AA87054">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14:paraId="6E113633">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F18E932">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2A49CE43">
      <w:pPr>
        <w:shd w:val="clea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7B1990C5">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43F37603">
      <w:pPr>
        <w:pStyle w:val="5"/>
        <w:shd w:val="clear"/>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其他</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实质性要求的；</w:t>
      </w:r>
    </w:p>
    <w:p w14:paraId="45A2AB64">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w:t>
      </w:r>
      <w:r>
        <w:rPr>
          <w:rFonts w:hint="eastAsia" w:ascii="宋体" w:hAnsi="宋体" w:cs="宋体"/>
          <w:color w:val="000000" w:themeColor="text1"/>
          <w:kern w:val="0"/>
          <w:sz w:val="24"/>
          <w:highlight w:val="none"/>
          <w:lang w:eastAsia="zh-CN"/>
          <w14:textFill>
            <w14:solidFill>
              <w14:schemeClr w14:val="tx1"/>
            </w14:solidFill>
          </w14:textFill>
        </w:rPr>
        <w:t>法律法规</w:t>
      </w:r>
      <w:r>
        <w:rPr>
          <w:rFonts w:hint="eastAsia" w:ascii="宋体" w:hAnsi="宋体" w:eastAsia="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14:paraId="1CE78DCE">
      <w:pPr>
        <w:shd w:val="clea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4.2.15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0AE4E47">
      <w:pPr>
        <w:pStyle w:val="25"/>
        <w:shd w:val="clear"/>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D3B3249">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41864BFB">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F8BA75B">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6FC49EF0">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2118EA64">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1AB78762">
      <w:pPr>
        <w:pStyle w:val="25"/>
        <w:shd w:val="clear"/>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70915714">
      <w:pPr>
        <w:pStyle w:val="25"/>
        <w:shd w:val="clear"/>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7C8BF3F2">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1153DB45">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0926D10">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7CF06DC">
      <w:pPr>
        <w:pStyle w:val="25"/>
        <w:shd w:val="clear"/>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540AEE44">
      <w:pPr>
        <w:pStyle w:val="25"/>
        <w:shd w:val="clear"/>
        <w:snapToGrid w:val="0"/>
        <w:spacing w:line="360" w:lineRule="auto"/>
        <w:rPr>
          <w:rFonts w:ascii="宋体" w:hAnsi="宋体" w:cs="宋体"/>
          <w:b/>
          <w:color w:val="000000" w:themeColor="text1"/>
          <w:sz w:val="36"/>
          <w:szCs w:val="36"/>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宋体" w:hAnsi="宋体" w:cs="宋体"/>
          <w:b/>
          <w:color w:val="000000" w:themeColor="text1"/>
          <w:sz w:val="36"/>
          <w:szCs w:val="36"/>
          <w:highlight w:val="none"/>
          <w14:textFill>
            <w14:solidFill>
              <w14:schemeClr w14:val="tx1"/>
            </w14:solidFill>
          </w14:textFill>
        </w:rPr>
        <w:t xml:space="preserve">    </w:t>
      </w:r>
    </w:p>
    <w:p w14:paraId="5DB75994">
      <w:pPr>
        <w:widowControl/>
        <w:shd w:val="clear"/>
        <w:adjustRightInd/>
        <w:ind w:firstLine="2168" w:firstLineChars="600"/>
        <w:jc w:val="left"/>
        <w:rPr>
          <w:rFonts w:hint="eastAsia" w:ascii="宋体" w:hAnsi="宋体" w:cs="宋体"/>
          <w:b/>
          <w:color w:val="000000" w:themeColor="text1"/>
          <w:sz w:val="36"/>
          <w:szCs w:val="36"/>
          <w:highlight w:val="none"/>
          <w14:textFill>
            <w14:solidFill>
              <w14:schemeClr w14:val="tx1"/>
            </w14:solidFill>
          </w14:textFill>
        </w:rPr>
        <w:sectPr>
          <w:pgSz w:w="11907" w:h="16840"/>
          <w:pgMar w:top="1474" w:right="1814" w:bottom="1474" w:left="1814" w:header="851" w:footer="851" w:gutter="0"/>
          <w:cols w:space="720" w:num="1"/>
        </w:sectPr>
      </w:pPr>
    </w:p>
    <w:p w14:paraId="2A9A51B6">
      <w:pPr>
        <w:widowControl/>
        <w:shd w:val="clear"/>
        <w:adjustRightInd/>
        <w:ind w:firstLine="2168" w:firstLineChars="600"/>
        <w:jc w:val="left"/>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9299B8A">
      <w:pPr>
        <w:shd w:val="clea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7230CDF">
      <w:pPr>
        <w:shd w:val="clear"/>
        <w:spacing w:line="480" w:lineRule="auto"/>
        <w:jc w:val="center"/>
        <w:rPr>
          <w:rFonts w:ascii="宋体" w:hAnsi="宋体" w:cs="宋体"/>
          <w:b/>
          <w:color w:val="000000" w:themeColor="text1"/>
          <w:sz w:val="28"/>
          <w:szCs w:val="28"/>
          <w:highlight w:val="none"/>
          <w14:textFill>
            <w14:solidFill>
              <w14:schemeClr w14:val="tx1"/>
            </w14:solidFill>
          </w14:textFill>
        </w:rPr>
      </w:pPr>
    </w:p>
    <w:p w14:paraId="1AD42521">
      <w:pPr>
        <w:shd w:val="clear"/>
        <w:spacing w:line="480" w:lineRule="auto"/>
        <w:jc w:val="center"/>
        <w:rPr>
          <w:rFonts w:ascii="宋体" w:hAnsi="宋体" w:cs="宋体"/>
          <w:b/>
          <w:color w:val="000000" w:themeColor="text1"/>
          <w:sz w:val="24"/>
          <w:highlight w:val="none"/>
          <w14:textFill>
            <w14:solidFill>
              <w14:schemeClr w14:val="tx1"/>
            </w14:solidFill>
          </w14:textFill>
        </w:rPr>
      </w:pPr>
    </w:p>
    <w:p w14:paraId="06074FBD">
      <w:pPr>
        <w:shd w:val="clear"/>
        <w:spacing w:line="480" w:lineRule="auto"/>
        <w:jc w:val="center"/>
        <w:rPr>
          <w:rFonts w:ascii="宋体" w:hAnsi="宋体" w:cs="宋体"/>
          <w:b/>
          <w:color w:val="000000" w:themeColor="text1"/>
          <w:sz w:val="24"/>
          <w:highlight w:val="none"/>
          <w14:textFill>
            <w14:solidFill>
              <w14:schemeClr w14:val="tx1"/>
            </w14:solidFill>
          </w14:textFill>
        </w:rPr>
      </w:pPr>
    </w:p>
    <w:p w14:paraId="7DAD3897">
      <w:pPr>
        <w:shd w:val="clea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72F97A8E">
      <w:pPr>
        <w:shd w:val="clea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0ECAD54F">
      <w:pPr>
        <w:pStyle w:val="699"/>
        <w:shd w:val="clear"/>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04430BA1">
      <w:pPr>
        <w:shd w:val="clear"/>
        <w:spacing w:before="120" w:line="22" w:lineRule="atLeast"/>
        <w:rPr>
          <w:rFonts w:ascii="宋体" w:hAnsi="宋体" w:cs="宋体"/>
          <w:color w:val="000000" w:themeColor="text1"/>
          <w:sz w:val="24"/>
          <w:highlight w:val="none"/>
          <w14:textFill>
            <w14:solidFill>
              <w14:schemeClr w14:val="tx1"/>
            </w14:solidFill>
          </w14:textFill>
        </w:rPr>
      </w:pPr>
    </w:p>
    <w:p w14:paraId="433716F4">
      <w:pPr>
        <w:pStyle w:val="5"/>
        <w:shd w:val="clear"/>
        <w:rPr>
          <w:color w:val="000000" w:themeColor="text1"/>
          <w:highlight w:val="none"/>
          <w14:textFill>
            <w14:solidFill>
              <w14:schemeClr w14:val="tx1"/>
            </w14:solidFill>
          </w14:textFill>
        </w:rPr>
      </w:pPr>
    </w:p>
    <w:p w14:paraId="48A7538E">
      <w:pPr>
        <w:shd w:val="clea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u w:val="single"/>
          <w14:textFill>
            <w14:solidFill>
              <w14:schemeClr w14:val="tx1"/>
            </w14:solidFill>
          </w14:textFill>
        </w:rPr>
        <w:t xml:space="preserve">   </w:t>
      </w:r>
    </w:p>
    <w:p w14:paraId="7987C172">
      <w:pPr>
        <w:pStyle w:val="596"/>
        <w:shd w:val="clear"/>
        <w:spacing w:before="120" w:line="22" w:lineRule="atLeast"/>
        <w:rPr>
          <w:rFonts w:ascii="宋体" w:hAnsi="宋体" w:eastAsia="宋体" w:cs="宋体"/>
          <w:color w:val="000000" w:themeColor="text1"/>
          <w:szCs w:val="24"/>
          <w:highlight w:val="none"/>
          <w14:textFill>
            <w14:solidFill>
              <w14:schemeClr w14:val="tx1"/>
            </w14:solidFill>
          </w14:textFill>
        </w:rPr>
      </w:pPr>
    </w:p>
    <w:p w14:paraId="78F76407">
      <w:pPr>
        <w:pStyle w:val="596"/>
        <w:shd w:val="clear"/>
        <w:spacing w:before="120" w:line="22" w:lineRule="atLeast"/>
        <w:rPr>
          <w:rFonts w:ascii="宋体" w:hAnsi="宋体" w:eastAsia="宋体" w:cs="宋体"/>
          <w:color w:val="000000" w:themeColor="text1"/>
          <w:szCs w:val="24"/>
          <w:highlight w:val="none"/>
          <w14:textFill>
            <w14:solidFill>
              <w14:schemeClr w14:val="tx1"/>
            </w14:solidFill>
          </w14:textFill>
        </w:rPr>
      </w:pPr>
    </w:p>
    <w:p w14:paraId="203CB0F2">
      <w:pPr>
        <w:shd w:val="clear"/>
        <w:rPr>
          <w:rFonts w:ascii="宋体" w:hAnsi="宋体" w:cs="宋体"/>
          <w:color w:val="000000" w:themeColor="text1"/>
          <w:sz w:val="24"/>
          <w:highlight w:val="none"/>
          <w14:textFill>
            <w14:solidFill>
              <w14:schemeClr w14:val="tx1"/>
            </w14:solidFill>
          </w14:textFill>
        </w:rPr>
      </w:pPr>
    </w:p>
    <w:p w14:paraId="05FBC749">
      <w:pPr>
        <w:shd w:val="clea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u w:val="single"/>
          <w14:textFill>
            <w14:solidFill>
              <w14:schemeClr w14:val="tx1"/>
            </w14:solidFill>
          </w14:textFill>
        </w:rPr>
        <w:t xml:space="preserve">   </w:t>
      </w:r>
    </w:p>
    <w:p w14:paraId="067427E3">
      <w:pPr>
        <w:shd w:val="clear"/>
        <w:spacing w:before="120" w:line="22" w:lineRule="atLeast"/>
        <w:rPr>
          <w:rFonts w:ascii="宋体" w:hAnsi="宋体" w:cs="宋体"/>
          <w:color w:val="000000" w:themeColor="text1"/>
          <w:sz w:val="24"/>
          <w:highlight w:val="none"/>
          <w14:textFill>
            <w14:solidFill>
              <w14:schemeClr w14:val="tx1"/>
            </w14:solidFill>
          </w14:textFill>
        </w:rPr>
      </w:pPr>
    </w:p>
    <w:p w14:paraId="1E085667">
      <w:pPr>
        <w:shd w:val="clea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088ADD39">
      <w:pPr>
        <w:shd w:val="clear"/>
        <w:spacing w:before="120" w:line="22" w:lineRule="atLeast"/>
        <w:rPr>
          <w:rFonts w:ascii="宋体" w:hAnsi="宋体" w:cs="宋体"/>
          <w:color w:val="000000" w:themeColor="text1"/>
          <w:sz w:val="24"/>
          <w:highlight w:val="none"/>
          <w14:textFill>
            <w14:solidFill>
              <w14:schemeClr w14:val="tx1"/>
            </w14:solidFill>
          </w14:textFill>
        </w:rPr>
      </w:pPr>
    </w:p>
    <w:p w14:paraId="68771B13">
      <w:pPr>
        <w:shd w:val="clea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宁波市海曙区</w:t>
      </w:r>
      <w:r>
        <w:rPr>
          <w:rFonts w:hint="eastAsia" w:ascii="宋体" w:hAnsi="宋体" w:cs="宋体"/>
          <w:color w:val="000000" w:themeColor="text1"/>
          <w:sz w:val="24"/>
          <w:highlight w:val="none"/>
          <w:u w:val="single"/>
          <w14:textFill>
            <w14:solidFill>
              <w14:schemeClr w14:val="tx1"/>
            </w14:solidFill>
          </w14:textFill>
        </w:rPr>
        <w:t xml:space="preserve">              </w:t>
      </w:r>
    </w:p>
    <w:p w14:paraId="5B936C34">
      <w:pPr>
        <w:shd w:val="clear"/>
        <w:spacing w:before="120" w:line="22" w:lineRule="atLeast"/>
        <w:rPr>
          <w:rFonts w:ascii="宋体" w:hAnsi="宋体" w:cs="宋体"/>
          <w:color w:val="000000" w:themeColor="text1"/>
          <w:sz w:val="24"/>
          <w:highlight w:val="none"/>
          <w14:textFill>
            <w14:solidFill>
              <w14:schemeClr w14:val="tx1"/>
            </w14:solidFill>
          </w14:textFill>
        </w:rPr>
      </w:pPr>
    </w:p>
    <w:p w14:paraId="7E13B8BB">
      <w:pPr>
        <w:shd w:val="clea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AEA5BFC">
      <w:pPr>
        <w:widowControl/>
        <w:shd w:val="clear"/>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3376AB19">
      <w:pPr>
        <w:shd w:val="clear"/>
        <w:rPr>
          <w:rFonts w:ascii="宋体" w:hAnsi="宋体" w:cs="宋体"/>
          <w:b/>
          <w:color w:val="000000" w:themeColor="text1"/>
          <w:sz w:val="24"/>
          <w:highlight w:val="none"/>
          <w14:textFill>
            <w14:solidFill>
              <w14:schemeClr w14:val="tx1"/>
            </w14:solidFill>
          </w14:textFill>
        </w:rPr>
      </w:pPr>
    </w:p>
    <w:p w14:paraId="70D3866A">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2025</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宁波市海曙区环境卫生服务中心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2025-2026年度午餐原材料配送服务采购项目</w:t>
      </w:r>
      <w:r>
        <w:rPr>
          <w:rFonts w:hint="eastAsia" w:ascii="宋体" w:hAnsi="宋体"/>
          <w:color w:val="000000" w:themeColor="text1"/>
          <w:sz w:val="24"/>
          <w:highlight w:val="none"/>
          <w14:textFill>
            <w14:solidFill>
              <w14:schemeClr w14:val="tx1"/>
            </w14:solidFill>
          </w14:textFill>
        </w:rPr>
        <w:t>进行了采购。经</w:t>
      </w:r>
      <w:r>
        <w:rPr>
          <w:rFonts w:hint="eastAsia" w:ascii="宋体" w:hAnsi="宋体"/>
          <w:color w:val="000000" w:themeColor="text1"/>
          <w:sz w:val="24"/>
          <w:highlight w:val="none"/>
          <w:u w:val="single"/>
          <w:lang w:val="en-US" w:eastAsia="zh-CN"/>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w:t>
      </w:r>
    </w:p>
    <w:p w14:paraId="4259B629">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宁波市海曙区环境卫生服务中心</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以下简称：甲方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lang w:val="en-US" w:eastAsia="zh-CN"/>
          <w14:textFill>
            <w14:solidFill>
              <w14:schemeClr w14:val="tx1"/>
            </w14:solidFill>
          </w14:textFill>
        </w:rPr>
        <w:t>标</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u w:val="single"/>
          <w:lang w:eastAsia="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以下简称：乙方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082A1E61">
      <w:pPr>
        <w:shd w:val="clea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6" w:name="_Toc20421"/>
      <w:bookmarkStart w:id="397" w:name="_Toc22967"/>
      <w:bookmarkStart w:id="398" w:name="_Toc15367"/>
      <w:bookmarkStart w:id="399" w:name="_Toc19273"/>
      <w:bookmarkStart w:id="400" w:name="_Toc28855"/>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6"/>
      <w:bookmarkEnd w:id="397"/>
      <w:bookmarkEnd w:id="398"/>
      <w:bookmarkEnd w:id="399"/>
      <w:bookmarkEnd w:id="400"/>
    </w:p>
    <w:p w14:paraId="59A88D31">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37B792">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5299A25D">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4973CA4E">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4A1B8DE7">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2CBB62BA">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01D49745">
      <w:pPr>
        <w:shd w:val="clear"/>
        <w:spacing w:line="560" w:lineRule="exact"/>
        <w:ind w:firstLine="482" w:firstLineChars="200"/>
        <w:outlineLvl w:val="0"/>
        <w:rPr>
          <w:rFonts w:hint="eastAsia" w:ascii="宋体" w:hAnsi="宋体" w:eastAsia="宋体" w:cs="Times New Roman"/>
          <w:b/>
          <w:color w:val="000000" w:themeColor="text1"/>
          <w:sz w:val="24"/>
          <w:highlight w:val="none"/>
          <w14:textFill>
            <w14:solidFill>
              <w14:schemeClr w14:val="tx1"/>
            </w14:solidFill>
          </w14:textFill>
        </w:rPr>
      </w:pPr>
      <w:bookmarkStart w:id="401" w:name="_Toc6311"/>
      <w:bookmarkStart w:id="402" w:name="_Toc2918"/>
      <w:bookmarkStart w:id="403" w:name="_Toc6773"/>
      <w:bookmarkStart w:id="404" w:name="_Toc22185"/>
      <w:bookmarkStart w:id="405" w:name="_Toc18585"/>
      <w:r>
        <w:rPr>
          <w:rFonts w:hint="eastAsia" w:ascii="宋体" w:hAnsi="宋体" w:eastAsia="宋体" w:cs="Times New Roman"/>
          <w:b/>
          <w:color w:val="000000" w:themeColor="text1"/>
          <w:sz w:val="24"/>
          <w:highlight w:val="none"/>
          <w14:textFill>
            <w14:solidFill>
              <w14:schemeClr w14:val="tx1"/>
            </w14:solidFill>
          </w14:textFill>
        </w:rPr>
        <w:t>1.2 标的</w:t>
      </w:r>
      <w:bookmarkEnd w:id="401"/>
      <w:bookmarkEnd w:id="402"/>
      <w:bookmarkEnd w:id="403"/>
      <w:bookmarkEnd w:id="404"/>
      <w:bookmarkEnd w:id="405"/>
    </w:p>
    <w:p w14:paraId="2944D68C">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 标的内容：</w:t>
      </w:r>
    </w:p>
    <w:p w14:paraId="72D0EBD3">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1蔬菜类（土豆、西红柿、青椒、青菜、大白菜、包菜、茭白、芋艿、豆芽等）。质量要求：所提供的蔬菜必须保证新鲜、不腐烂变质，能提供蔬菜农药残留检测报告、产地合格证明，且符合《中华人民共和国农产品质量安全法》要求，经过初步处理，没有腐叶和泥土。</w:t>
      </w:r>
    </w:p>
    <w:p w14:paraId="20A284E7">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1.2.1.2豆制品（豆腐、千张、香干、素鸡、大油豆腐、小油豆腐等）类。质量要求：豆制品成品必须具有生产许可证编号，并提供产品合格证明文件。</w:t>
      </w:r>
    </w:p>
    <w:p w14:paraId="06AC16E5">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1.2.1.3水产类冷冻品。质量要求：符合水产品定性检测要求。</w:t>
      </w:r>
    </w:p>
    <w:p w14:paraId="4A97C77F">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1.2.1.4猪肉类（排肉、精肉等，除冷冻品）。质量要求：排肉是指无骨腿肉和无骨夹心肉，其中腿肉要求剔除大股骨，夹心肉要求割除下懒肉，整方供应，并且每方肉上必须盖有屠宰场的检验检疫章。并于供货时提供《动物或动物产品分销信息凭证》或《动物检疫合格证》和《肉品品质检验合格证》。</w:t>
      </w:r>
    </w:p>
    <w:p w14:paraId="7AE4168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1.2.1.5其他鲜肉食类（除猪肉）。质量要求：整方供应，并且每方肉上必须盖有屠宰场的检验检疫章。并于供货时提供《动物或动物产品分销信息凭证》或《动物检疫合格证》和《肉品品质检验合格证》。</w:t>
      </w:r>
    </w:p>
    <w:p w14:paraId="319B7541">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1.2.1.6蛋类。质量要求：禽蛋必须保证新鲜，且符合《中华人民共和国食品安全法》要求，并提供养殖基地有效证件。</w:t>
      </w:r>
    </w:p>
    <w:p w14:paraId="1F33E487">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1.2.1.7鲜家禽类。质量要求：必须于供货时提供《动物或动物产品分销信息凭证》或《动物检疫合格证》，及养殖基地有效证件。</w:t>
      </w:r>
    </w:p>
    <w:p w14:paraId="514DDF46">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1.2.1.8肉类冷冻品（鸡腿、鸡翅、贡丸、香肠等）。质量要求：</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须提供产品合格证明文件，动物产品于供货时提供《动物或动物产品分销信息凭证》或《动物检疫合格证》。</w:t>
      </w:r>
    </w:p>
    <w:p w14:paraId="763B6F5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1.2.1.9水产类（鱼、虾等非冷冻品）。质量要求：符合水产品定性检测要求。</w:t>
      </w:r>
    </w:p>
    <w:p w14:paraId="02BBFA7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1.2.1.10调味品类（味精、酱油、干货、生粉、食品添加剂等）。质量要求：糖、味精、酱油、醋、生粉等必须具有生产许可证编号，并提供进货商有效证件和产品合格证明文件。</w:t>
      </w:r>
    </w:p>
    <w:p w14:paraId="4E5682FB">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1.2.1.11酱腌菜类。质量要求：亚硝酸盐定期抽检合格，且符合《中华人民共和国食品安全法》要求。</w:t>
      </w:r>
    </w:p>
    <w:p w14:paraId="63D661DF">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1.2.1.12干货类。质量要求：所提供的食品必须保证质量合格。</w:t>
      </w:r>
    </w:p>
    <w:p w14:paraId="19BDC9D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1.2.1.13米油类。大米：25kg/袋，非转基因，符合GB/T1354-2018标准，同时具备GB/T18824-2008或GB/T19266-20</w:t>
      </w:r>
      <w:r>
        <w:rPr>
          <w:rFonts w:hint="eastAsia" w:ascii="宋体" w:hAnsi="宋体" w:eastAsia="宋体" w:cs="Times New Roman"/>
          <w:color w:val="000000" w:themeColor="text1"/>
          <w:sz w:val="24"/>
          <w:highlight w:val="none"/>
          <w:lang w:val="en-US" w:eastAsia="zh-CN"/>
          <w14:textFill>
            <w14:solidFill>
              <w14:schemeClr w14:val="tx1"/>
            </w14:solidFill>
          </w14:textFill>
        </w:rPr>
        <w:t>24</w:t>
      </w:r>
      <w:r>
        <w:rPr>
          <w:rFonts w:hint="eastAsia" w:ascii="宋体" w:hAnsi="宋体" w:eastAsia="宋体" w:cs="Times New Roman"/>
          <w:color w:val="000000" w:themeColor="text1"/>
          <w:sz w:val="24"/>
          <w:highlight w:val="none"/>
          <w14:textFill>
            <w14:solidFill>
              <w14:schemeClr w14:val="tx1"/>
            </w14:solidFill>
          </w14:textFill>
        </w:rPr>
        <w:t>标准；食用油：5L/桶，压榨油、具有“SC”食品质量安全认证；糯米：25kg/袋；面粉：25kg/袋，符合GB 8607-1988标准。</w:t>
      </w:r>
    </w:p>
    <w:p w14:paraId="4367B8CB">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1.2.1.14其他速食类（面包牛奶方便面水饺等）</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质量要求：具有“SC”食品质量安全认证，在质保期内，此部分为</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周六日值班午餐用。</w:t>
      </w:r>
    </w:p>
    <w:p w14:paraId="0DA66FED">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以上所有定点采购原材料均须符合《中华人民共和国食品安全法》及属地相关法律法规要求。</w:t>
      </w:r>
    </w:p>
    <w:p w14:paraId="3DD3D64B">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 质量要求：</w:t>
      </w:r>
    </w:p>
    <w:p w14:paraId="6B9D534E">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所提供的货物必须符合宁波市海曙区环境卫生服务中心关于原材料规格、质量等方面要求和国家有关食品卫生、安全质量等方面的要求。所提供的货物数量、质量，必须经验收合格后才能进入食堂。如验收达不到招标文件要求，则应立刻退回，由此造成的一切损失由</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承担。若</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不听劝告，一再坚持错误继续供货，</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有权拒付货款，并有权终止与</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的采购合同，由此造成的卫生、安全质量后果，全部由</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承担。</w:t>
      </w:r>
    </w:p>
    <w:p w14:paraId="650FE715">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1.2.2.2本项目所有采购为非转基因食材，有正规包装的食材须有明确非转基因标记。</w:t>
      </w:r>
    </w:p>
    <w:p w14:paraId="193D91D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1.2.2.3</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提供的各类原料、货物食品必须符合卫生防疫部门检测标准，优质足量，根据</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通知要求按规定时间送到各食堂并提供相应辅助服务，提供蔬菜类食品农药残留检测报告，由于货物质量问题或超过送货时间造成事故的</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有权退货并追究责任，如不能提供要求的货物须提前向</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通报。食品原料48小时留样备查。</w:t>
      </w:r>
    </w:p>
    <w:p w14:paraId="34F17591">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1.2.2.4供货服务提供保证的有关资料如货物来源证明（生产地、厂家销售授权证书）、物资储备条件、运输车辆、职工人数等。</w:t>
      </w:r>
    </w:p>
    <w:p w14:paraId="060A9A59">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1.2.2.5</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在签订定点采购合同前须提供有效的“食品安全责任险”保单复印件供</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备案。</w:t>
      </w:r>
    </w:p>
    <w:p w14:paraId="4D0B3C66">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1.2.2.6禁止配送无市场实际零售商品或专供产品。</w:t>
      </w:r>
    </w:p>
    <w:p w14:paraId="53D5933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1.2.3 承包方式：</w:t>
      </w:r>
    </w:p>
    <w:p w14:paraId="50D936C9">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包工包料、送货到指定地点。</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必须与</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在规定时间内签订定点采购合同，进行履约供货服务。</w:t>
      </w:r>
    </w:p>
    <w:p w14:paraId="08552F96">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w:t>
      </w:r>
      <w:r>
        <w:rPr>
          <w:rFonts w:hint="eastAsia" w:ascii="宋体" w:hAnsi="宋体" w:eastAsia="宋体" w:cs="Times New Roman"/>
          <w:color w:val="000000" w:themeColor="text1"/>
          <w:sz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highlight w:val="none"/>
          <w14:textFill>
            <w14:solidFill>
              <w14:schemeClr w14:val="tx1"/>
            </w14:solidFill>
          </w14:textFill>
        </w:rPr>
        <w:t xml:space="preserve"> 履约保证：</w:t>
      </w:r>
    </w:p>
    <w:p w14:paraId="60B43C4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w:t>
      </w:r>
      <w:r>
        <w:rPr>
          <w:rFonts w:hint="eastAsia" w:ascii="宋体" w:hAnsi="宋体" w:eastAsia="宋体" w:cs="Times New Roman"/>
          <w:color w:val="000000" w:themeColor="text1"/>
          <w:sz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1</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需在配送商品时，提供商品的检测报告或产品合格证。</w:t>
      </w:r>
    </w:p>
    <w:p w14:paraId="64D8A527">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1.2.4.2</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需严格遵守《中华人民共和国食品安全法》和《中华人民共和国动物防疫法》等相关规定，如发现供应以下食品，除全部退货外，将取消</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的供货资格，将扣除全部履约保证金，并承担由此造成的经济责任和法律责任：</w:t>
      </w:r>
    </w:p>
    <w:p w14:paraId="3E3F7293">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（1）腐败变质、油脂酸败、霉变、生虫、污秽不洁、混有异物或者其他感官性状异常，对人体健康有害的；</w:t>
      </w:r>
    </w:p>
    <w:p w14:paraId="4761FAAE">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（2）含有毒、有害物质或者被有害物质污染，对人体健康有害的；</w:t>
      </w:r>
    </w:p>
    <w:p w14:paraId="01A8DA1C">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（3）含有致病性寄生虫、微生物或者微生物含量超过国家限定标准的；</w:t>
      </w:r>
    </w:p>
    <w:p w14:paraId="0C51C3C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（4）未经动物检疫部门检疫、检验或者检疫、检验不合格的肉类及其制品；</w:t>
      </w:r>
    </w:p>
    <w:p w14:paraId="01F08C9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（5）病死、毒死或者死因不明的禽、畜、兽、水产动物等及其制品；</w:t>
      </w:r>
    </w:p>
    <w:p w14:paraId="5A29F867">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（6）掺假、掺杂、伪造，影响营养、卫生的；</w:t>
      </w:r>
    </w:p>
    <w:p w14:paraId="18B6FEB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（7）用非食品原料加工的，加入非食品用化学物质或者将非食品当作食品的；</w:t>
      </w:r>
    </w:p>
    <w:p w14:paraId="42427CD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（8）超过保质期限的。</w:t>
      </w:r>
    </w:p>
    <w:p w14:paraId="6879D0C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1.2.4.3</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与</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在投标及履行协议过程中，必须遵守《中华人民共和国反不正当竞争法》、《中华人民共和国消费者权益保护法》、《中华人民共和国民法典》及相关的国家法律、法规，如有违法行为，按法律法规相关规定予以处罚。</w:t>
      </w:r>
    </w:p>
    <w:p w14:paraId="68912AE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1.2.4.4</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须随时无条件接受海曙区有关监督部门对定点供货产品质量的抽查和检查。如违反承诺自愿接受处罚；情节严重的，将由</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扣除履约保证金并取消中标资格。</w:t>
      </w:r>
    </w:p>
    <w:p w14:paraId="4CB9EFF8">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1.2.4.5在协议履行过程中，如</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可以提供更优的服务解决方案，则以</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的方案为准。</w:t>
      </w:r>
    </w:p>
    <w:p w14:paraId="74822573">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1.2.4.6</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要有立足于为</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服务的良好思想，对食品生产经营管理有总体设想和具体措施，有健全的规章制度（如：人事管理工作、安全防患、卫生保障、文明服务、食品来源安全追溯等制度）。</w:t>
      </w:r>
    </w:p>
    <w:p w14:paraId="5083EB3F">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1.2.4.7</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必须建立并严格执行各项食品安全管理制度，如食品卫生安全承诺、食品准入质量查验、食品进货检查验收、食品准入台账登记、从业人员健康管理、消费投诉处理以及不合格食品下柜、召回、销毁等，参与食品配送的工作人员必须持健康证上岗。</w:t>
      </w:r>
    </w:p>
    <w:p w14:paraId="5C6CEE8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1.2.4.8</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必须按规定索取所经销食品的生产企业（或</w:t>
      </w:r>
      <w:r>
        <w:rPr>
          <w:rFonts w:hint="eastAsia" w:ascii="宋体" w:hAnsi="宋体" w:eastAsia="宋体" w:cs="Times New Roman"/>
          <w:color w:val="000000" w:themeColor="text1"/>
          <w:sz w:val="24"/>
          <w:highlight w:val="none"/>
          <w:lang w:val="en-US"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）的营业执照、食品经营许可证、食品质量安全有效检验报告、食品包装上所明示的各类荣誉证书等其他有效证明，索证率达100%，建立食品来源安全追溯制度。</w:t>
      </w:r>
    </w:p>
    <w:p w14:paraId="0CB67069">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1.2.4.9</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必须保证配送的食品从正规渠道采购，具有工商、质监及卫生部门认可的检验合格证书或检测报告；所供肉类必须经农业检验部门检验检疫合格，并加盖检验印戳，做到肉色新鲜，无变质现象；所供蔬菜符合国家有关标准，并做到每批次均经检验，四十八小时留样备查；生熟食品必须按照食品卫生安全相关要求分类仓储保鲜，分类包装送货；严禁销售“三无”食品、有毒有害、过期变质、假冒伪劣等不合格食品。</w:t>
      </w:r>
    </w:p>
    <w:p w14:paraId="42EBD055">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1.2.4.10</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必须按</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下达的配送数量，及时保质、保量完成配送任务，并附本次食品安全检测报告及配送单据（使用单据格式、内容由</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统一指定，一式三联，验收签字后一张留食堂记台账，一张作为月底结账凭据），不无故推诿或缓送，确保</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食堂正常运行。</w:t>
      </w:r>
    </w:p>
    <w:p w14:paraId="3D30C646">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1.2.4.11</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要加强自律、诚实守信、依法经营，并自觉接受各有关职能部门的监督检查。</w:t>
      </w:r>
    </w:p>
    <w:p w14:paraId="50739416">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1.2.4.12</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应当按照协议约定履行义务，完成中标项目。</w:t>
      </w:r>
    </w:p>
    <w:p w14:paraId="07AAB9B5">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1.2.4.13</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不得将部分产品或全部产品交由他人承担，一经发现有违规现象取消其中标资格，扣除其全部履约保证金。</w:t>
      </w:r>
    </w:p>
    <w:p w14:paraId="78F5003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1.2.4.14实行配送单位退出制度。凡有下列情况之一的，</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可无条件取消</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食堂食品原材料统一配送资格，将扣除全部履约保证金，并承担由此造成的经济责任和法律责任：</w:t>
      </w:r>
    </w:p>
    <w:p w14:paraId="47194DB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（1）出现较轻食品质量，但不影响采购单位正常运行的，两次（含）以上的；</w:t>
      </w:r>
    </w:p>
    <w:p w14:paraId="5DBB81B0">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（2）因配送食品质量问题引发食品安全事故； </w:t>
      </w:r>
    </w:p>
    <w:p w14:paraId="1F0D594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（3）配送单位存在严重安全隐患整改不到位；</w:t>
      </w:r>
    </w:p>
    <w:p w14:paraId="2C7A307E">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（4）在同一年度内因配送单位配送假冒伪劣食品行为两次（含）以上的；</w:t>
      </w:r>
    </w:p>
    <w:p w14:paraId="3469999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（5）因存在不廉洁行为等造成不良社会影响的；</w:t>
      </w:r>
    </w:p>
    <w:p w14:paraId="75B6C4D3">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（6）不遵守定价规则两次（含）以上的；</w:t>
      </w:r>
    </w:p>
    <w:p w14:paraId="4B155D2E">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（7）未按采购单位要求及时配送到位，并影响到采购单位正常运行的，两次（含）以上的；</w:t>
      </w:r>
    </w:p>
    <w:p w14:paraId="2A759FEC">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（8）每日上午8时未完成送货，三次（含）以上的；</w:t>
      </w:r>
    </w:p>
    <w:p w14:paraId="46DD7DDD">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（9）货品数量与订单不符的，未在1小时内完成补送货，两次（含）以上的。</w:t>
      </w:r>
    </w:p>
    <w:p w14:paraId="4DC43309">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1.2.4.15</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不保证</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的销量及营业额。</w:t>
      </w:r>
    </w:p>
    <w:p w14:paraId="49FA746B">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w:t>
      </w:r>
      <w:r>
        <w:rPr>
          <w:rFonts w:hint="eastAsia" w:ascii="宋体" w:hAnsi="宋体" w:eastAsia="宋体" w:cs="Times New Roman"/>
          <w:color w:val="000000" w:themeColor="text1"/>
          <w:sz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highlight w:val="none"/>
          <w14:textFill>
            <w14:solidFill>
              <w14:schemeClr w14:val="tx1"/>
            </w14:solidFill>
          </w14:textFill>
        </w:rPr>
        <w:t xml:space="preserve"> 其他要求：</w:t>
      </w:r>
    </w:p>
    <w:p w14:paraId="0A7EE86A">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1.2.5.</w:t>
      </w:r>
      <w:r>
        <w:rPr>
          <w:rFonts w:hint="eastAsia" w:ascii="宋体" w:hAnsi="宋体" w:eastAsia="宋体" w:cs="Times New Roman"/>
          <w:color w:val="000000" w:themeColor="text1"/>
          <w:sz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在合同履约过程中，须无条件接受</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的考核，考核要求以</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出具的考核条例为准。</w:t>
      </w:r>
    </w:p>
    <w:p w14:paraId="1D029B8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1.2.5.</w:t>
      </w:r>
      <w:r>
        <w:rPr>
          <w:rFonts w:hint="eastAsia" w:ascii="宋体" w:hAnsi="宋体" w:eastAsia="宋体" w:cs="Times New Roman"/>
          <w:color w:val="000000" w:themeColor="text1"/>
          <w:sz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在合同履约过程中，若出现原材料配送不到位的情形，导致</w:t>
      </w:r>
      <w:r>
        <w:rPr>
          <w:rFonts w:hint="eastAsia" w:ascii="宋体" w:hAnsi="宋体" w:eastAsia="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食堂自行采购的，相关费用由</w:t>
      </w:r>
      <w:r>
        <w:rPr>
          <w:rFonts w:hint="eastAsia" w:ascii="宋体" w:hAnsi="宋体" w:eastAsia="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承担，投标人不得有异议。</w:t>
      </w:r>
    </w:p>
    <w:p w14:paraId="35BE8217">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6" w:name="_Toc21124"/>
      <w:bookmarkStart w:id="407" w:name="_Toc4929"/>
      <w:bookmarkStart w:id="408" w:name="_Toc5635"/>
      <w:bookmarkStart w:id="409" w:name="_Toc1386"/>
      <w:bookmarkStart w:id="410" w:name="_Toc13918"/>
      <w:r>
        <w:rPr>
          <w:rFonts w:ascii="宋体" w:hAnsi="宋体"/>
          <w:b/>
          <w:color w:val="000000" w:themeColor="text1"/>
          <w:sz w:val="24"/>
          <w:highlight w:val="none"/>
          <w14:textFill>
            <w14:solidFill>
              <w14:schemeClr w14:val="tx1"/>
            </w14:solidFill>
          </w14:textFill>
        </w:rPr>
        <w:t>1.3 价款</w:t>
      </w:r>
      <w:bookmarkEnd w:id="406"/>
      <w:bookmarkEnd w:id="407"/>
      <w:bookmarkEnd w:id="408"/>
      <w:bookmarkEnd w:id="409"/>
      <w:bookmarkEnd w:id="410"/>
    </w:p>
    <w:p w14:paraId="05781C9D">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bookmarkStart w:id="411" w:name="_Toc22618"/>
      <w:bookmarkStart w:id="412" w:name="_Toc10340"/>
      <w:bookmarkStart w:id="413" w:name="_Toc1814"/>
      <w:bookmarkStart w:id="414" w:name="_Toc4760"/>
      <w:bookmarkStart w:id="415" w:name="_Toc11108"/>
      <w:bookmarkStart w:id="416" w:name="_Toc3625"/>
      <w:bookmarkStart w:id="417" w:name="_Toc31421"/>
      <w:bookmarkStart w:id="418" w:name="_Toc8772"/>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1.3.1产品价格的约定：</w:t>
      </w:r>
    </w:p>
    <w:p w14:paraId="6F3400A7">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（1）本次招标配送项目中所包含的食品原材料价格每月确定一次，该月内的市场价格不论涨跌均按所确定的价格结算。</w:t>
      </w:r>
    </w:p>
    <w:p w14:paraId="471E25BF">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（2）产品所报折扣系数依据的基准价为：</w:t>
      </w:r>
    </w:p>
    <w:p w14:paraId="07DF3406">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①按照宁波市发展和改革委员会公布的最新一期“菜篮子民生商品价格监测”（宁波市发展和改革委员会网站http://fgw.ningbo.gov.cn/：首页-专项-经济运行-菜篮子）的宁波菜市场平均价作为基准价。</w:t>
      </w:r>
    </w:p>
    <w:p w14:paraId="2B371414">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②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w:t>
      </w:r>
    </w:p>
    <w:p w14:paraId="6626C770">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③未在上述①和②列明的，或乙方提出上述①和②列明的价格远偏离市场价的，由甲方相关部门及乙方成立采价组，对食堂食品原材料的价格进行采集后确定基准价。基准价确定方法：以海曙区三家以上中大型超市或市场的平均零售价为准，如上述超市或市场没有此种商品，则调查市场扩大为大市范围内。</w:t>
      </w:r>
    </w:p>
    <w:p w14:paraId="40EF2967">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（3）各类食品合同结算价：合同结算价=基准价×合同折扣系数，其中合同折扣系数为：乙方该类别食品原材料的合同折扣系数。</w:t>
      </w:r>
    </w:p>
    <w:p w14:paraId="62548C31">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各类食品合同折扣系数：</w:t>
      </w:r>
    </w:p>
    <w:tbl>
      <w:tblPr>
        <w:tblStyle w:val="63"/>
        <w:tblW w:w="7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665"/>
        <w:gridCol w:w="2882"/>
      </w:tblGrid>
      <w:tr w14:paraId="5B81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C664880">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序号</w:t>
            </w:r>
          </w:p>
        </w:tc>
        <w:tc>
          <w:tcPr>
            <w:tcW w:w="3665" w:type="dxa"/>
            <w:noWrap w:val="0"/>
            <w:vAlign w:val="center"/>
          </w:tcPr>
          <w:p w14:paraId="3C6DB7B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类别</w:t>
            </w:r>
          </w:p>
        </w:tc>
        <w:tc>
          <w:tcPr>
            <w:tcW w:w="2882" w:type="dxa"/>
            <w:noWrap w:val="0"/>
            <w:vAlign w:val="center"/>
          </w:tcPr>
          <w:p w14:paraId="675A349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合同折扣系数（单位：%）</w:t>
            </w:r>
          </w:p>
        </w:tc>
      </w:tr>
      <w:tr w14:paraId="72ED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354A23B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w:t>
            </w:r>
          </w:p>
        </w:tc>
        <w:tc>
          <w:tcPr>
            <w:tcW w:w="3665" w:type="dxa"/>
            <w:shd w:val="clear" w:color="auto" w:fill="auto"/>
            <w:noWrap w:val="0"/>
            <w:vAlign w:val="center"/>
          </w:tcPr>
          <w:p w14:paraId="3DA3A97D">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蔬菜类</w:t>
            </w:r>
          </w:p>
        </w:tc>
        <w:tc>
          <w:tcPr>
            <w:tcW w:w="2882" w:type="dxa"/>
            <w:noWrap w:val="0"/>
            <w:vAlign w:val="center"/>
          </w:tcPr>
          <w:p w14:paraId="50ACE3E2">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49F7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2E512FB4">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2</w:t>
            </w:r>
          </w:p>
        </w:tc>
        <w:tc>
          <w:tcPr>
            <w:tcW w:w="3665" w:type="dxa"/>
            <w:shd w:val="clear" w:color="auto" w:fill="auto"/>
            <w:noWrap w:val="0"/>
            <w:vAlign w:val="center"/>
          </w:tcPr>
          <w:p w14:paraId="15883F2A">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豆制品类</w:t>
            </w:r>
          </w:p>
        </w:tc>
        <w:tc>
          <w:tcPr>
            <w:tcW w:w="2882" w:type="dxa"/>
            <w:noWrap w:val="0"/>
            <w:vAlign w:val="center"/>
          </w:tcPr>
          <w:p w14:paraId="2DC5697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6DA5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37BF50E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3</w:t>
            </w:r>
          </w:p>
        </w:tc>
        <w:tc>
          <w:tcPr>
            <w:tcW w:w="3665" w:type="dxa"/>
            <w:shd w:val="clear" w:color="auto" w:fill="auto"/>
            <w:noWrap w:val="0"/>
            <w:vAlign w:val="center"/>
          </w:tcPr>
          <w:p w14:paraId="32F677B5">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水产类冷冻品、鲜家禽类、肉类冷冻品</w:t>
            </w:r>
          </w:p>
        </w:tc>
        <w:tc>
          <w:tcPr>
            <w:tcW w:w="2882" w:type="dxa"/>
            <w:noWrap w:val="0"/>
            <w:vAlign w:val="center"/>
          </w:tcPr>
          <w:p w14:paraId="11962D7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3CDB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2B216F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4</w:t>
            </w:r>
          </w:p>
        </w:tc>
        <w:tc>
          <w:tcPr>
            <w:tcW w:w="3665" w:type="dxa"/>
            <w:shd w:val="clear" w:color="auto" w:fill="auto"/>
            <w:noWrap w:val="0"/>
            <w:vAlign w:val="center"/>
          </w:tcPr>
          <w:p w14:paraId="03840F80">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猪肉类</w:t>
            </w:r>
          </w:p>
        </w:tc>
        <w:tc>
          <w:tcPr>
            <w:tcW w:w="2882" w:type="dxa"/>
            <w:noWrap w:val="0"/>
            <w:vAlign w:val="center"/>
          </w:tcPr>
          <w:p w14:paraId="0999FDF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21F7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0A0BE54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5</w:t>
            </w:r>
          </w:p>
        </w:tc>
        <w:tc>
          <w:tcPr>
            <w:tcW w:w="3665" w:type="dxa"/>
            <w:shd w:val="clear" w:color="auto" w:fill="auto"/>
            <w:noWrap w:val="0"/>
            <w:vAlign w:val="center"/>
          </w:tcPr>
          <w:p w14:paraId="2A23FEC4">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其他鲜肉食类（除猪肉）</w:t>
            </w:r>
          </w:p>
        </w:tc>
        <w:tc>
          <w:tcPr>
            <w:tcW w:w="2882" w:type="dxa"/>
            <w:noWrap w:val="0"/>
            <w:vAlign w:val="center"/>
          </w:tcPr>
          <w:p w14:paraId="18D20188">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652A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246A03B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6</w:t>
            </w:r>
          </w:p>
        </w:tc>
        <w:tc>
          <w:tcPr>
            <w:tcW w:w="3665" w:type="dxa"/>
            <w:shd w:val="clear" w:color="auto" w:fill="auto"/>
            <w:noWrap w:val="0"/>
            <w:vAlign w:val="center"/>
          </w:tcPr>
          <w:p w14:paraId="529ECD25">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蛋类</w:t>
            </w:r>
          </w:p>
        </w:tc>
        <w:tc>
          <w:tcPr>
            <w:tcW w:w="2882" w:type="dxa"/>
            <w:noWrap w:val="0"/>
            <w:vAlign w:val="center"/>
          </w:tcPr>
          <w:p w14:paraId="05AD0254">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1088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3AC63BF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7</w:t>
            </w:r>
          </w:p>
        </w:tc>
        <w:tc>
          <w:tcPr>
            <w:tcW w:w="3665" w:type="dxa"/>
            <w:shd w:val="clear" w:color="auto" w:fill="auto"/>
            <w:noWrap w:val="0"/>
            <w:vAlign w:val="center"/>
          </w:tcPr>
          <w:p w14:paraId="081F443F">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水产类</w:t>
            </w:r>
          </w:p>
        </w:tc>
        <w:tc>
          <w:tcPr>
            <w:tcW w:w="2882" w:type="dxa"/>
            <w:noWrap w:val="0"/>
            <w:vAlign w:val="center"/>
          </w:tcPr>
          <w:p w14:paraId="40726A5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4378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0C6252B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8</w:t>
            </w:r>
          </w:p>
        </w:tc>
        <w:tc>
          <w:tcPr>
            <w:tcW w:w="3665" w:type="dxa"/>
            <w:shd w:val="clear" w:color="auto" w:fill="auto"/>
            <w:noWrap w:val="0"/>
            <w:vAlign w:val="center"/>
          </w:tcPr>
          <w:p w14:paraId="006603E5">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调味品、酱腌菜类、干货类、其他速食类（面包牛奶方便面水饺等）</w:t>
            </w:r>
          </w:p>
        </w:tc>
        <w:tc>
          <w:tcPr>
            <w:tcW w:w="2882" w:type="dxa"/>
            <w:noWrap w:val="0"/>
            <w:vAlign w:val="center"/>
          </w:tcPr>
          <w:p w14:paraId="3C58247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r w14:paraId="4CDC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dxa"/>
            <w:noWrap w:val="0"/>
            <w:vAlign w:val="center"/>
          </w:tcPr>
          <w:p w14:paraId="12FB9A1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9</w:t>
            </w:r>
          </w:p>
        </w:tc>
        <w:tc>
          <w:tcPr>
            <w:tcW w:w="3665" w:type="dxa"/>
            <w:shd w:val="clear" w:color="auto" w:fill="auto"/>
            <w:noWrap w:val="0"/>
            <w:vAlign w:val="center"/>
          </w:tcPr>
          <w:p w14:paraId="49E12AAA">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米油类</w:t>
            </w:r>
          </w:p>
        </w:tc>
        <w:tc>
          <w:tcPr>
            <w:tcW w:w="2882" w:type="dxa"/>
            <w:noWrap w:val="0"/>
            <w:vAlign w:val="center"/>
          </w:tcPr>
          <w:p w14:paraId="2380A79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p>
        </w:tc>
      </w:tr>
    </w:tbl>
    <w:p w14:paraId="198AA270">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1.3.2货款结算方式：</w:t>
      </w:r>
    </w:p>
    <w:p w14:paraId="28BC5AC9">
      <w:pPr>
        <w:shd w:val="clear"/>
        <w:spacing w:line="560" w:lineRule="exact"/>
        <w:ind w:firstLine="480" w:firstLineChars="200"/>
        <w:jc w:val="left"/>
        <w:rPr>
          <w:rFonts w:hint="default"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乙方每月同甲方食堂结算货款一次，结算时乙方须如实开具增值税发票并提供汇总供货清单交食堂管理员，甲方审核后付款。</w:t>
      </w:r>
      <w:r>
        <w:rPr>
          <w:rFonts w:hint="eastAsia" w:ascii="宋体" w:hAnsi="宋体" w:cs="Times New Roman"/>
          <w:b w:val="0"/>
          <w:bCs/>
          <w:color w:val="000000" w:themeColor="text1"/>
          <w:sz w:val="24"/>
          <w:highlight w:val="none"/>
          <w:lang w:val="en-US" w:eastAsia="zh-CN"/>
          <w14:textFill>
            <w14:solidFill>
              <w14:schemeClr w14:val="tx1"/>
            </w14:solidFill>
          </w14:textFill>
        </w:rPr>
        <w:t>具体如下：</w:t>
      </w:r>
    </w:p>
    <w:p w14:paraId="63547A10">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①</w:t>
      </w:r>
      <w:r>
        <w:rPr>
          <w:rFonts w:hint="eastAsia" w:ascii="宋体" w:hAnsi="宋体" w:cs="Times New Roman"/>
          <w:b w:val="0"/>
          <w:bCs/>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每月支付</w:t>
      </w:r>
      <w:r>
        <w:rPr>
          <w:rFonts w:hint="eastAsia" w:ascii="宋体" w:hAnsi="宋体" w:cs="Times New Roman"/>
          <w:b w:val="0"/>
          <w:bCs/>
          <w:color w:val="000000" w:themeColor="text1"/>
          <w:sz w:val="24"/>
          <w:highlight w:val="none"/>
          <w:lang w:val="en-US" w:eastAsia="zh-CN"/>
          <w14:textFill>
            <w14:solidFill>
              <w14:schemeClr w14:val="tx1"/>
            </w14:solidFill>
          </w14:textFill>
        </w:rPr>
        <w:t>乙方</w:t>
      </w: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当月服务费的90%，在收到乙方发票并满足付款条件后的七个工作日内汇入乙方账户。</w:t>
      </w:r>
    </w:p>
    <w:p w14:paraId="23A186E0">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②当月服务费的10%作为考核款，分2次支付，每半年支付一次。考核款根据半年度考核扣款情况，按实支付。</w:t>
      </w:r>
    </w:p>
    <w:p w14:paraId="047F483A">
      <w:pPr>
        <w:shd w:val="clear"/>
        <w:spacing w:line="560" w:lineRule="exact"/>
        <w:ind w:firstLine="480" w:firstLineChars="200"/>
        <w:jc w:val="left"/>
        <w:rPr>
          <w:rFonts w:hint="eastAsia" w:ascii="宋体" w:hAnsi="宋体" w:eastAsia="宋体" w:cs="Times New Roman"/>
          <w:b w:val="0"/>
          <w:bCs/>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4"/>
          <w:highlight w:val="none"/>
          <w:lang w:val="en-US" w:eastAsia="zh-CN"/>
          <w14:textFill>
            <w14:solidFill>
              <w14:schemeClr w14:val="tx1"/>
            </w14:solidFill>
          </w14:textFill>
        </w:rPr>
        <w:t>货款结算总金额=各类食品的【（基准价×数量）×合同折扣系数】的总和。</w:t>
      </w:r>
    </w:p>
    <w:p w14:paraId="37B2DF35">
      <w:pPr>
        <w:shd w:val="clear"/>
        <w:spacing w:line="560" w:lineRule="exact"/>
        <w:ind w:firstLine="482" w:firstLineChars="200"/>
        <w:outlineLvl w:val="0"/>
        <w:rPr>
          <w:rFonts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1.4履约保证金</w:t>
      </w:r>
    </w:p>
    <w:p w14:paraId="530C74C8">
      <w:pPr>
        <w:shd w:val="clear"/>
        <w:spacing w:line="560" w:lineRule="exact"/>
        <w:ind w:firstLine="480" w:firstLineChars="200"/>
        <w:rPr>
          <w:rFonts w:hint="eastAsia" w:ascii="宋体" w:hAnsi="宋体" w:eastAsia="宋体" w:cs="宋体"/>
          <w:b w:val="0"/>
          <w:bCs w:val="0"/>
          <w:color w:val="000000" w:themeColor="text1"/>
          <w:sz w:val="24"/>
          <w:highlight w:val="none"/>
          <w:lang w:val="en-US"/>
          <w14:textFill>
            <w14:solidFill>
              <w14:schemeClr w14:val="tx1"/>
            </w14:solidFill>
          </w14:textFill>
        </w:rPr>
      </w:pPr>
      <w:r>
        <w:rPr>
          <w:rFonts w:hint="eastAsia" w:ascii="宋体" w:hAnsi="宋体" w:eastAsia="宋体" w:cs="宋体"/>
          <w:b w:val="0"/>
          <w:bCs w:val="0"/>
          <w:color w:val="000000" w:themeColor="text1"/>
          <w:sz w:val="24"/>
          <w:highlight w:val="none"/>
          <w:lang w:val="en-US"/>
          <w14:textFill>
            <w14:solidFill>
              <w14:schemeClr w14:val="tx1"/>
            </w14:solidFill>
          </w14:textFill>
        </w:rPr>
        <w:t>乙方</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是</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需要支付履约保证金。若需要支付履约保证金的，则：</w:t>
      </w:r>
    </w:p>
    <w:p w14:paraId="21BB0805">
      <w:pPr>
        <w:shd w:val="clea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F6B8A1">
      <w:pPr>
        <w:shd w:val="clea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银行汇票（电汇）、银行保函、保险保单或支票（仅限于使用宁波大市区范围内的银行开具的支票）等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0B770A8">
      <w:pPr>
        <w:pStyle w:val="5"/>
        <w:shd w:val="clear"/>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31B1CD">
      <w:pPr>
        <w:shd w:val="clea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w:t>
      </w:r>
      <w:r>
        <w:rPr>
          <w:rFonts w:hint="eastAsia" w:ascii="宋体" w:hAnsi="宋体" w:eastAsia="宋体" w:cs="宋体"/>
          <w:color w:val="000000" w:themeColor="text1"/>
          <w:sz w:val="24"/>
          <w:szCs w:val="24"/>
          <w:highlight w:val="none"/>
          <w:lang w:val="en-US" w:eastAsia="zh-CN"/>
          <w14:textFill>
            <w14:solidFill>
              <w14:schemeClr w14:val="tx1"/>
            </w14:solidFill>
          </w14:textFill>
        </w:rPr>
        <w:t>履约保证金在定点采购合同期满后无息退还（但如乙方未能履行合同规定的任何义务，甲方有权从履约保证金中得到补偿）</w:t>
      </w:r>
      <w:r>
        <w:rPr>
          <w:rFonts w:hint="eastAsia" w:ascii="宋体" w:hAnsi="宋体" w:cs="宋体"/>
          <w:color w:val="000000" w:themeColor="text1"/>
          <w:kern w:val="0"/>
          <w:sz w:val="24"/>
          <w:highlight w:val="none"/>
          <w:lang w:val="en-US" w:eastAsia="zh-CN"/>
          <w14:textFill>
            <w14:solidFill>
              <w14:schemeClr w14:val="tx1"/>
            </w14:solidFill>
          </w14:textFill>
        </w:rPr>
        <w:t>。</w:t>
      </w:r>
    </w:p>
    <w:p w14:paraId="3635A378">
      <w:pPr>
        <w:shd w:val="clea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1"/>
      <w:bookmarkEnd w:id="412"/>
      <w:bookmarkEnd w:id="413"/>
      <w:r>
        <w:rPr>
          <w:rFonts w:hint="eastAsia" w:ascii="宋体" w:hAnsi="宋体" w:cs="宋体"/>
          <w:b/>
          <w:color w:val="000000" w:themeColor="text1"/>
          <w:sz w:val="24"/>
          <w:highlight w:val="none"/>
          <w14:textFill>
            <w14:solidFill>
              <w14:schemeClr w14:val="tx1"/>
            </w14:solidFill>
          </w14:textFill>
        </w:rPr>
        <w:t>预付款</w:t>
      </w:r>
    </w:p>
    <w:p w14:paraId="717D5991">
      <w:pPr>
        <w:shd w:val="clear"/>
        <w:spacing w:line="560" w:lineRule="exact"/>
        <w:ind w:firstLine="480" w:firstLineChars="200"/>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否 </w:t>
      </w:r>
      <w:r>
        <w:rPr>
          <w:rFonts w:hint="eastAsia" w:ascii="宋体" w:hAnsi="宋体" w:eastAsia="宋体" w:cs="宋体"/>
          <w:color w:val="000000" w:themeColor="text1"/>
          <w:sz w:val="24"/>
          <w:szCs w:val="24"/>
          <w:highlight w:val="none"/>
          <w:lang w:val="en-US" w:eastAsia="zh-CN"/>
          <w14:textFill>
            <w14:solidFill>
              <w14:schemeClr w14:val="tx1"/>
            </w14:solidFill>
          </w14:textFill>
        </w:rPr>
        <w:t>需要支付预付款。</w:t>
      </w:r>
    </w:p>
    <w:p w14:paraId="4539062B">
      <w:pPr>
        <w:shd w:val="clea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1.6资金支付</w:t>
      </w:r>
    </w:p>
    <w:p w14:paraId="6684BA96">
      <w:pPr>
        <w:shd w:val="clear"/>
        <w:spacing w:line="560" w:lineRule="exact"/>
        <w:ind w:firstLine="480" w:firstLineChars="200"/>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BB9133D">
      <w:pPr>
        <w:shd w:val="clea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lang w:val="en-US" w:eastAsia="zh-CN"/>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w:t>
      </w:r>
    </w:p>
    <w:p w14:paraId="5A42DFF0">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4"/>
      <w:bookmarkEnd w:id="415"/>
      <w:bookmarkEnd w:id="416"/>
      <w:bookmarkEnd w:id="417"/>
      <w:bookmarkEnd w:id="418"/>
    </w:p>
    <w:p w14:paraId="59919816">
      <w:pPr>
        <w:shd w:val="clea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eastAsia="宋体" w:cs="Times New Roman"/>
          <w:b w:val="0"/>
          <w:bCs w:val="0"/>
          <w:i w:val="0"/>
          <w:iCs/>
          <w:color w:val="000000" w:themeColor="text1"/>
          <w:sz w:val="24"/>
          <w:highlight w:val="none"/>
          <w:u w:val="single"/>
          <w14:textFill>
            <w14:solidFill>
              <w14:schemeClr w14:val="tx1"/>
            </w14:solidFill>
          </w14:textFill>
        </w:rPr>
        <w:t>自合同签订之日起一年。</w:t>
      </w:r>
      <w:r>
        <w:rPr>
          <w:rFonts w:hint="eastAsia" w:ascii="宋体" w:hAnsi="宋体" w:eastAsia="宋体" w:cs="Times New Roman"/>
          <w:b w:val="0"/>
          <w:bCs w:val="0"/>
          <w:i w:val="0"/>
          <w:iCs/>
          <w:color w:val="000000" w:themeColor="text1"/>
          <w:sz w:val="24"/>
          <w:highlight w:val="none"/>
          <w:u w:val="single"/>
          <w:lang w:eastAsia="zh-CN"/>
          <w14:textFill>
            <w14:solidFill>
              <w14:schemeClr w14:val="tx1"/>
            </w14:solidFill>
          </w14:textFill>
        </w:rPr>
        <w:t>乙方</w:t>
      </w:r>
      <w:r>
        <w:rPr>
          <w:rFonts w:hint="eastAsia" w:ascii="宋体" w:hAnsi="宋体" w:eastAsia="宋体" w:cs="Times New Roman"/>
          <w:b w:val="0"/>
          <w:bCs w:val="0"/>
          <w:i w:val="0"/>
          <w:iCs/>
          <w:color w:val="000000" w:themeColor="text1"/>
          <w:sz w:val="24"/>
          <w:highlight w:val="none"/>
          <w:u w:val="single"/>
          <w14:textFill>
            <w14:solidFill>
              <w14:schemeClr w14:val="tx1"/>
            </w14:solidFill>
          </w14:textFill>
        </w:rPr>
        <w:t>如不能按时、按质提供</w:t>
      </w:r>
      <w:r>
        <w:rPr>
          <w:rFonts w:hint="eastAsia" w:ascii="宋体" w:hAnsi="宋体" w:eastAsia="宋体" w:cs="Times New Roman"/>
          <w:b w:val="0"/>
          <w:bCs w:val="0"/>
          <w:i w:val="0"/>
          <w:iCs/>
          <w:color w:val="000000" w:themeColor="text1"/>
          <w:sz w:val="24"/>
          <w:highlight w:val="none"/>
          <w:u w:val="single"/>
          <w:lang w:eastAsia="zh-CN"/>
          <w14:textFill>
            <w14:solidFill>
              <w14:schemeClr w14:val="tx1"/>
            </w14:solidFill>
          </w14:textFill>
        </w:rPr>
        <w:t>甲方</w:t>
      </w:r>
      <w:r>
        <w:rPr>
          <w:rFonts w:hint="eastAsia" w:ascii="宋体" w:hAnsi="宋体" w:eastAsia="宋体" w:cs="Times New Roman"/>
          <w:b w:val="0"/>
          <w:bCs w:val="0"/>
          <w:i w:val="0"/>
          <w:iCs/>
          <w:color w:val="000000" w:themeColor="text1"/>
          <w:sz w:val="24"/>
          <w:highlight w:val="none"/>
          <w:u w:val="single"/>
          <w14:textFill>
            <w14:solidFill>
              <w14:schemeClr w14:val="tx1"/>
            </w14:solidFill>
          </w14:textFill>
        </w:rPr>
        <w:t>所需原材料，由此造成的一切相关损失全部由</w:t>
      </w:r>
      <w:r>
        <w:rPr>
          <w:rFonts w:hint="eastAsia" w:ascii="宋体" w:hAnsi="宋体" w:eastAsia="宋体" w:cs="Times New Roman"/>
          <w:b w:val="0"/>
          <w:bCs w:val="0"/>
          <w:i w:val="0"/>
          <w:iCs/>
          <w:color w:val="000000" w:themeColor="text1"/>
          <w:sz w:val="24"/>
          <w:highlight w:val="none"/>
          <w:u w:val="single"/>
          <w:lang w:eastAsia="zh-CN"/>
          <w14:textFill>
            <w14:solidFill>
              <w14:schemeClr w14:val="tx1"/>
            </w14:solidFill>
          </w14:textFill>
        </w:rPr>
        <w:t>乙方</w:t>
      </w:r>
      <w:r>
        <w:rPr>
          <w:rFonts w:hint="eastAsia" w:ascii="宋体" w:hAnsi="宋体" w:eastAsia="宋体" w:cs="Times New Roman"/>
          <w:b w:val="0"/>
          <w:bCs w:val="0"/>
          <w:i w:val="0"/>
          <w:iCs/>
          <w:color w:val="000000" w:themeColor="text1"/>
          <w:sz w:val="24"/>
          <w:highlight w:val="none"/>
          <w:u w:val="singl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p>
    <w:p w14:paraId="3223C2D8">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eastAsia="宋体" w:cs="Times New Roman"/>
          <w:b w:val="0"/>
          <w:bCs w:val="0"/>
          <w:i w:val="0"/>
          <w:iCs w:val="0"/>
          <w:color w:val="000000" w:themeColor="text1"/>
          <w:sz w:val="24"/>
          <w:highlight w:val="none"/>
          <w:u w:val="single"/>
          <w14:textFill>
            <w14:solidFill>
              <w14:schemeClr w14:val="tx1"/>
            </w14:solidFill>
          </w14:textFill>
        </w:rPr>
        <w:t>甲方指定地点</w:t>
      </w:r>
      <w:r>
        <w:rPr>
          <w:rFonts w:hint="eastAsia" w:ascii="宋体" w:hAnsi="宋体"/>
          <w:color w:val="000000" w:themeColor="text1"/>
          <w:sz w:val="24"/>
          <w:highlight w:val="none"/>
          <w14:textFill>
            <w14:solidFill>
              <w14:schemeClr w14:val="tx1"/>
            </w14:solidFill>
          </w14:textFill>
        </w:rPr>
        <w:t>；</w:t>
      </w:r>
    </w:p>
    <w:p w14:paraId="6665FAAF">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307FA0E0">
      <w:pPr>
        <w:shd w:val="clea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19" w:name="_Toc24662"/>
      <w:bookmarkStart w:id="420" w:name="_Toc5698"/>
      <w:bookmarkStart w:id="421" w:name="_Toc8586"/>
      <w:bookmarkStart w:id="422" w:name="_Toc3079"/>
      <w:bookmarkStart w:id="423" w:name="_Toc2375"/>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566C83BC">
      <w:pPr>
        <w:shd w:val="clea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eastAsia="宋体" w:cs="宋体"/>
          <w:color w:val="000000" w:themeColor="text1"/>
          <w:sz w:val="24"/>
          <w:szCs w:val="24"/>
          <w:highlight w:val="none"/>
          <w:u w:val="single"/>
          <w14:textFill>
            <w14:solidFill>
              <w14:schemeClr w14:val="tx1"/>
            </w14:solidFill>
          </w14:textFill>
        </w:rPr>
        <w:t>自合同签订之日起按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u w:val="single"/>
          <w14:textFill>
            <w14:solidFill>
              <w14:schemeClr w14:val="tx1"/>
            </w14:solidFill>
          </w14:textFill>
        </w:rPr>
        <w:t>要求供货</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每日食材需在上午8点前送达至八个食堂</w:t>
      </w:r>
      <w:r>
        <w:rPr>
          <w:rFonts w:hint="eastAsia" w:ascii="宋体" w:hAnsi="宋体" w:cs="宋体"/>
          <w:color w:val="000000" w:themeColor="text1"/>
          <w:sz w:val="24"/>
          <w:highlight w:val="none"/>
          <w14:textFill>
            <w14:solidFill>
              <w14:schemeClr w14:val="tx1"/>
            </w14:solidFill>
          </w14:textFill>
        </w:rPr>
        <w:t>；</w:t>
      </w:r>
    </w:p>
    <w:p w14:paraId="61708066">
      <w:pPr>
        <w:shd w:val="clea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eastAsia="宋体" w:cs="Times New Roman"/>
          <w:b w:val="0"/>
          <w:bCs w:val="0"/>
          <w:i w:val="0"/>
          <w:iCs w:val="0"/>
          <w:color w:val="000000" w:themeColor="text1"/>
          <w:sz w:val="24"/>
          <w:highlight w:val="none"/>
          <w:u w:val="single"/>
          <w14:textFill>
            <w14:solidFill>
              <w14:schemeClr w14:val="tx1"/>
            </w14:solidFill>
          </w14:textFill>
        </w:rPr>
        <w:t>甲方指定地点</w:t>
      </w:r>
      <w:r>
        <w:rPr>
          <w:rFonts w:hint="eastAsia" w:ascii="宋体" w:hAnsi="宋体" w:cs="宋体"/>
          <w:color w:val="000000" w:themeColor="text1"/>
          <w:sz w:val="24"/>
          <w:highlight w:val="none"/>
          <w14:textFill>
            <w14:solidFill>
              <w14:schemeClr w14:val="tx1"/>
            </w14:solidFill>
          </w14:textFill>
        </w:rPr>
        <w:t>；</w:t>
      </w:r>
    </w:p>
    <w:p w14:paraId="15D04AE2">
      <w:pPr>
        <w:shd w:val="clea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val="0"/>
          <w:bCs w:val="0"/>
          <w:i w:val="0"/>
          <w:iCs w:val="0"/>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6814E044">
      <w:pPr>
        <w:shd w:val="clea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1.7.5轮换规则：半个年度轮换服务地点（隶属宁波市海曙区环境卫生服务中心的八个食堂），前半年度负责</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14:textFill>
            <w14:solidFill>
              <w14:schemeClr w14:val="tx1"/>
            </w14:solidFill>
          </w14:textFill>
        </w:rPr>
        <w:t>的午餐原材料配送服务工作</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半年度负责</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14:textFill>
            <w14:solidFill>
              <w14:schemeClr w14:val="tx1"/>
            </w14:solidFill>
          </w14:textFill>
        </w:rPr>
        <w:t>的午餐原材料配送服务工作</w:t>
      </w:r>
      <w:r>
        <w:rPr>
          <w:rFonts w:hint="eastAsia" w:ascii="宋体" w:hAnsi="宋体" w:eastAsia="宋体" w:cs="宋体"/>
          <w:color w:val="000000" w:themeColor="text1"/>
          <w:sz w:val="24"/>
          <w:highlight w:val="none"/>
          <w14:textFill>
            <w14:solidFill>
              <w14:schemeClr w14:val="tx1"/>
            </w14:solidFill>
          </w14:textFill>
        </w:rPr>
        <w:t>。</w:t>
      </w:r>
    </w:p>
    <w:p w14:paraId="0012542A">
      <w:pPr>
        <w:shd w:val="clea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9"/>
      <w:bookmarkEnd w:id="420"/>
      <w:bookmarkEnd w:id="421"/>
      <w:bookmarkEnd w:id="422"/>
      <w:bookmarkEnd w:id="423"/>
    </w:p>
    <w:p w14:paraId="20E7CD49">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bookmarkStart w:id="424" w:name="_Toc28375"/>
      <w:bookmarkStart w:id="425" w:name="_Toc15583"/>
      <w:bookmarkStart w:id="426" w:name="_Toc16021"/>
      <w:r>
        <w:rPr>
          <w:rFonts w:hint="eastAsia" w:ascii="宋体" w:hAnsi="宋体" w:eastAsia="宋体" w:cs="Times New Roman"/>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1</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%计算，最高限额为本合同总价的</w:t>
      </w:r>
      <w:r>
        <w:rPr>
          <w:rFonts w:hint="eastAsia" w:ascii="宋体" w:hAnsi="宋体" w:eastAsia="宋体" w:cs="Times New Roman"/>
          <w:color w:val="000000" w:themeColor="text1"/>
          <w:sz w:val="24"/>
          <w:highlight w:val="none"/>
          <w:u w:val="single"/>
          <w14:textFill>
            <w14:solidFill>
              <w14:schemeClr w14:val="tx1"/>
            </w14:solidFill>
          </w14:textFill>
        </w:rPr>
        <w:t>20</w:t>
      </w:r>
      <w:r>
        <w:rPr>
          <w:rFonts w:hint="eastAsia" w:ascii="宋体" w:hAnsi="宋体" w:eastAsia="宋体" w:cs="Times New Roman"/>
          <w:color w:val="000000" w:themeColor="text1"/>
          <w:sz w:val="24"/>
          <w:highlight w:val="none"/>
          <w14:textFill>
            <w14:solidFill>
              <w14:schemeClr w14:val="tx1"/>
            </w14:solidFill>
          </w14:textFill>
        </w:rPr>
        <w:t xml:space="preserve"> %；迟延履行的违约金计算数额达到前述最高限额之日起，甲方有权在要求乙方支付违约金的同时，书面通知乙方解除本合同；</w:t>
      </w:r>
    </w:p>
    <w:p w14:paraId="132B0C0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1.8.</w:t>
      </w:r>
      <w:r>
        <w:rPr>
          <w:rFonts w:hint="eastAsia" w:ascii="宋体" w:hAnsi="宋体" w:eastAsia="宋体" w:cs="Times New Roman"/>
          <w:color w:val="000000" w:themeColor="text1"/>
          <w:sz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eastAsia="宋体" w:cs="Times New Roman"/>
          <w:color w:val="000000" w:themeColor="text1"/>
          <w:sz w:val="24"/>
          <w:highlight w:val="none"/>
          <w:u w:val="single"/>
          <w14:textFill>
            <w14:solidFill>
              <w14:schemeClr w14:val="tx1"/>
            </w14:solidFill>
          </w14:textFill>
        </w:rPr>
        <w:t>0.5</w:t>
      </w:r>
      <w:r>
        <w:rPr>
          <w:rFonts w:hint="eastAsia" w:ascii="宋体" w:hAnsi="宋体" w:eastAsia="宋体" w:cs="Times New Roman"/>
          <w:color w:val="000000" w:themeColor="text1"/>
          <w:sz w:val="24"/>
          <w:highlight w:val="none"/>
          <w14:textFill>
            <w14:solidFill>
              <w14:schemeClr w14:val="tx1"/>
            </w14:solidFill>
          </w14:textFill>
        </w:rPr>
        <w:t>%计算，最高限额为本合同总价的</w:t>
      </w:r>
      <w:r>
        <w:rPr>
          <w:rFonts w:hint="eastAsia" w:ascii="宋体" w:hAnsi="宋体" w:eastAsia="宋体" w:cs="Times New Roman"/>
          <w:color w:val="000000" w:themeColor="text1"/>
          <w:sz w:val="24"/>
          <w:highlight w:val="none"/>
          <w:u w:val="single"/>
          <w14:textFill>
            <w14:solidFill>
              <w14:schemeClr w14:val="tx1"/>
            </w14:solidFill>
          </w14:textFill>
        </w:rPr>
        <w:t>20</w:t>
      </w:r>
      <w:r>
        <w:rPr>
          <w:rFonts w:hint="eastAsia" w:ascii="宋体" w:hAnsi="宋体" w:eastAsia="宋体" w:cs="Times New Roman"/>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B208903">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bookmarkStart w:id="427" w:name="_Toc30329"/>
      <w:bookmarkStart w:id="428" w:name="_Toc26807"/>
      <w:bookmarkStart w:id="429" w:name="_Toc9497"/>
      <w:bookmarkStart w:id="430" w:name="_Toc32454"/>
      <w:bookmarkStart w:id="431" w:name="_Toc18683"/>
      <w:r>
        <w:rPr>
          <w:rFonts w:hint="eastAsia" w:ascii="宋体" w:hAnsi="宋体" w:eastAsia="宋体" w:cs="Times New Roman"/>
          <w:color w:val="000000" w:themeColor="text1"/>
          <w:sz w:val="24"/>
          <w:highlight w:val="none"/>
          <w14:textFill>
            <w14:solidFill>
              <w14:schemeClr w14:val="tx1"/>
            </w14:solidFill>
          </w14:textFill>
        </w:rPr>
        <w:t>1.8.</w:t>
      </w:r>
      <w:r>
        <w:rPr>
          <w:rFonts w:hint="eastAsia" w:ascii="宋体" w:hAnsi="宋体" w:eastAsia="宋体" w:cs="Times New Roman"/>
          <w:color w:val="000000" w:themeColor="text1"/>
          <w:sz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highlight w:val="none"/>
          <w14:textFill>
            <w14:solidFill>
              <w14:schemeClr w14:val="tx1"/>
            </w14:solidFill>
          </w14:textFill>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66EB82">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1.8.</w:t>
      </w:r>
      <w:r>
        <w:rPr>
          <w:rFonts w:hint="eastAsia" w:ascii="宋体" w:hAnsi="宋体" w:eastAsia="宋体" w:cs="Times New Roman"/>
          <w:color w:val="000000" w:themeColor="text1"/>
          <w:sz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highlight w:val="none"/>
          <w14:textFill>
            <w14:solidFill>
              <w14:schemeClr w14:val="tx1"/>
            </w14:solidFill>
          </w14:textFill>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680804">
      <w:pPr>
        <w:shd w:val="clear"/>
        <w:spacing w:line="56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1.8.</w:t>
      </w:r>
      <w:r>
        <w:rPr>
          <w:rFonts w:hint="eastAsia" w:ascii="宋体" w:hAnsi="宋体" w:eastAsia="宋体" w:cs="Times New Roman"/>
          <w:color w:val="000000" w:themeColor="text1"/>
          <w:sz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如果出现政府采购监督管理部门在处理投诉事项期间，书面通知甲方暂停采购活动的情形，或者询问或质疑事项可能影响中标或者成交结果的，导致甲方中止履行合同的情形，均不视为甲方违约。</w:t>
      </w:r>
    </w:p>
    <w:p w14:paraId="19F14D59">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1.8.</w:t>
      </w:r>
      <w:r>
        <w:rPr>
          <w:rFonts w:hint="eastAsia" w:ascii="宋体" w:hAnsi="宋体" w:eastAsia="宋体" w:cs="Times New Roman"/>
          <w:color w:val="000000" w:themeColor="text1"/>
          <w:sz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highlight w:val="none"/>
          <w14:textFill>
            <w14:solidFill>
              <w14:schemeClr w14:val="tx1"/>
            </w14:solidFill>
          </w14:textFill>
        </w:rPr>
        <w:t>违约责任</w:t>
      </w:r>
      <w:r>
        <w:rPr>
          <w:rFonts w:hint="eastAsia" w:ascii="宋体" w:hAnsi="宋体" w:eastAsia="宋体" w:cs="Times New Roman"/>
          <w:color w:val="000000" w:themeColor="text1"/>
          <w:sz w:val="24"/>
          <w:highlight w:val="none"/>
          <w:lang w:eastAsia="zh-CN"/>
          <w14:textFill>
            <w14:solidFill>
              <w14:schemeClr w14:val="tx1"/>
            </w14:solidFill>
          </w14:textFill>
        </w:rPr>
        <w:t>：</w:t>
      </w:r>
    </w:p>
    <w:p w14:paraId="7BD18545">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（1）如乙方首次出现以下情况之一的，甲方有权扣除50%的履约保证金，乙方须在五日内补足扣除款项：</w:t>
      </w:r>
    </w:p>
    <w:p w14:paraId="58307A4D">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 xml:space="preserve">①出现较轻食品质量，但不影响采购单位正常运行的； </w:t>
      </w:r>
    </w:p>
    <w:p w14:paraId="021EE3FD">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②不遵守定价规则的；</w:t>
      </w:r>
    </w:p>
    <w:p w14:paraId="0BC45F9A">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③未按采购单位要求及时配送到位，并影响到采购单位正常运行的。</w:t>
      </w:r>
    </w:p>
    <w:p w14:paraId="216EC08B">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2</w:t>
      </w: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lang w:eastAsia="zh-CN"/>
          <w14:textFill>
            <w14:solidFill>
              <w14:schemeClr w14:val="tx1"/>
            </w14:solidFill>
          </w14:textFill>
        </w:rPr>
        <w:t>如甲方报送的订货清单中需要配送的原材料有乙方不能配送的，需于接到订货清单后1小时内回复甲方。如甲方发现该原材料在宁波大市范围内中大型超市或市场内出售的，甲方有权要求乙方去购买并进行配送，并对乙方扣500元/次。乙方拒不配送的，或出现3次以上上述情况的，甲方有权取消定点采购合同。</w:t>
      </w:r>
    </w:p>
    <w:p w14:paraId="60B4E1E4">
      <w:pPr>
        <w:shd w:val="clear"/>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3</w:t>
      </w: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lang w:eastAsia="zh-CN"/>
          <w14:textFill>
            <w14:solidFill>
              <w14:schemeClr w14:val="tx1"/>
            </w14:solidFill>
          </w14:textFill>
        </w:rPr>
        <w:t>甲方严格执行事故责任追究制度，如出现严重的食物中毒、违纪等重大责任事故、损害干部职工身体健康和影响声誉的现象，甲方有权单方面终止合同，乙方应支付甲方壹拾万元的违约金，并承担由此造成的一切责任和经济损失。</w:t>
      </w:r>
    </w:p>
    <w:bookmarkEnd w:id="427"/>
    <w:bookmarkEnd w:id="428"/>
    <w:bookmarkEnd w:id="429"/>
    <w:bookmarkEnd w:id="430"/>
    <w:bookmarkEnd w:id="431"/>
    <w:p w14:paraId="77D3B208">
      <w:pPr>
        <w:shd w:val="clea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bookmarkEnd w:id="424"/>
      <w:bookmarkEnd w:id="425"/>
      <w:bookmarkEnd w:id="426"/>
    </w:p>
    <w:p w14:paraId="380D212E">
      <w:pPr>
        <w:shd w:val="clear"/>
        <w:spacing w:line="5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eastAsia="宋体" w:cs="宋体"/>
          <w:b/>
          <w:i w:val="0"/>
          <w:iCs/>
          <w:color w:val="000000" w:themeColor="text1"/>
          <w:sz w:val="24"/>
          <w:highlight w:val="none"/>
          <w:u w:val="single"/>
          <w14:textFill>
            <w14:solidFill>
              <w14:schemeClr w14:val="tx1"/>
            </w14:solidFill>
          </w14:textFill>
        </w:rPr>
        <w:t xml:space="preserve"> </w:t>
      </w:r>
      <w:r>
        <w:rPr>
          <w:rFonts w:hint="eastAsia" w:ascii="宋体" w:hAnsi="宋体" w:eastAsia="宋体" w:cs="宋体"/>
          <w:b/>
          <w:i w:val="0"/>
          <w:iCs/>
          <w:color w:val="000000" w:themeColor="text1"/>
          <w:sz w:val="24"/>
          <w:highlight w:val="none"/>
          <w:u w:val="single"/>
          <w:lang w:val="en-US" w:eastAsia="zh-CN"/>
          <w14:textFill>
            <w14:solidFill>
              <w14:schemeClr w14:val="tx1"/>
            </w14:solidFill>
          </w14:textFill>
        </w:rPr>
        <w:t>1.9.2</w:t>
      </w:r>
      <w:r>
        <w:rPr>
          <w:rFonts w:hint="eastAsia" w:ascii="宋体" w:hAnsi="宋体" w:eastAsia="宋体" w:cs="宋体"/>
          <w:b/>
          <w:i w:val="0"/>
          <w:i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58A26F8D">
      <w:pPr>
        <w:shd w:val="clear"/>
        <w:spacing w:line="5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将争议提交仲裁委员会依申请仲裁时其现行有效的仲裁规则裁决；</w:t>
      </w:r>
    </w:p>
    <w:p w14:paraId="3DA60B56">
      <w:pPr>
        <w:shd w:val="clear"/>
        <w:spacing w:line="56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val="0"/>
          <w:bCs/>
          <w:i w:val="0"/>
          <w:iCs/>
          <w:color w:val="000000" w:themeColor="text1"/>
          <w:sz w:val="24"/>
          <w:highlight w:val="none"/>
          <w:u w:val="none"/>
          <w14:textFill>
            <w14:solidFill>
              <w14:schemeClr w14:val="tx1"/>
            </w14:solidFill>
          </w14:textFill>
        </w:rPr>
        <w:t>宁波市海曙区</w:t>
      </w:r>
      <w:r>
        <w:rPr>
          <w:rFonts w:hint="eastAsia" w:ascii="宋体" w:hAnsi="宋体" w:eastAsia="宋体" w:cs="宋体"/>
          <w:color w:val="000000" w:themeColor="text1"/>
          <w:sz w:val="24"/>
          <w:highlight w:val="none"/>
          <w14:textFill>
            <w14:solidFill>
              <w14:schemeClr w14:val="tx1"/>
            </w14:solidFill>
          </w14:textFill>
        </w:rPr>
        <w:t>人民法院起诉。</w:t>
      </w:r>
    </w:p>
    <w:p w14:paraId="45E8D885">
      <w:pPr>
        <w:shd w:val="clea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p>
    <w:p w14:paraId="5787CBC4">
      <w:pPr>
        <w:shd w:val="clea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2" w:name="_Toc15322"/>
      <w:bookmarkStart w:id="433" w:name="_Toc11173"/>
      <w:bookmarkStart w:id="434" w:name="_Toc7245"/>
      <w:r>
        <w:rPr>
          <w:rFonts w:hint="eastAsia" w:ascii="宋体" w:hAnsi="宋体" w:cs="宋体"/>
          <w:b/>
          <w:color w:val="000000" w:themeColor="text1"/>
          <w:sz w:val="24"/>
          <w:highlight w:val="none"/>
          <w14:textFill>
            <w14:solidFill>
              <w14:schemeClr w14:val="tx1"/>
            </w14:solidFill>
          </w14:textFill>
        </w:rPr>
        <w:t>2.0 合同生效</w:t>
      </w:r>
      <w:bookmarkEnd w:id="432"/>
      <w:bookmarkEnd w:id="433"/>
      <w:bookmarkEnd w:id="434"/>
    </w:p>
    <w:p w14:paraId="621F1C99">
      <w:pPr>
        <w:shd w:val="clea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14A7290B">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362AEA5E">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05AD940F">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1C9747AA">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64286A5E">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76B20DF4">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14DEFAD6">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p>
    <w:p w14:paraId="1180710D">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07AC88CE">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7FA7EEFD">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35C1226C">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p>
    <w:p w14:paraId="519A48A7">
      <w:pPr>
        <w:shd w:val="clea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p>
    <w:p w14:paraId="4350F369">
      <w:pPr>
        <w:shd w:val="clea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66E10534">
      <w:pPr>
        <w:shd w:val="clea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129D43BC">
      <w:pPr>
        <w:shd w:val="clea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0C7B7ADB">
      <w:pPr>
        <w:shd w:val="clea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0A3EE56B">
      <w:pPr>
        <w:widowControl/>
        <w:shd w:val="clear"/>
        <w:spacing w:line="560" w:lineRule="exact"/>
        <w:jc w:val="left"/>
        <w:rPr>
          <w:rFonts w:ascii="宋体" w:hAnsi="宋体"/>
          <w:b/>
          <w:color w:val="000000" w:themeColor="text1"/>
          <w:sz w:val="24"/>
          <w:highlight w:val="none"/>
          <w14:textFill>
            <w14:solidFill>
              <w14:schemeClr w14:val="tx1"/>
            </w14:solidFill>
          </w14:textFill>
        </w:rPr>
      </w:pPr>
    </w:p>
    <w:p w14:paraId="37CF1121">
      <w:pPr>
        <w:widowControl/>
        <w:shd w:val="clear"/>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0A2B5E94">
      <w:pPr>
        <w:pStyle w:val="699"/>
        <w:shd w:val="clear"/>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6B39436C">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5" w:name="_Toc5228"/>
      <w:bookmarkStart w:id="436" w:name="_Toc14021"/>
      <w:bookmarkStart w:id="437" w:name="_Toc25079"/>
      <w:bookmarkStart w:id="438" w:name="_Toc31297"/>
      <w:bookmarkStart w:id="439" w:name="_Toc19680"/>
      <w:r>
        <w:rPr>
          <w:rFonts w:ascii="宋体" w:hAnsi="宋体"/>
          <w:b/>
          <w:color w:val="000000" w:themeColor="text1"/>
          <w:sz w:val="24"/>
          <w:highlight w:val="none"/>
          <w14:textFill>
            <w14:solidFill>
              <w14:schemeClr w14:val="tx1"/>
            </w14:solidFill>
          </w14:textFill>
        </w:rPr>
        <w:t>2.1 定义</w:t>
      </w:r>
      <w:bookmarkEnd w:id="435"/>
      <w:bookmarkEnd w:id="436"/>
      <w:bookmarkEnd w:id="437"/>
      <w:bookmarkEnd w:id="438"/>
      <w:bookmarkEnd w:id="439"/>
    </w:p>
    <w:p w14:paraId="2E9A53D2">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6E88727B">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51D37BEA">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59553F4B">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6E2DAC35">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89B16FA">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3996DEE">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7D6AFB3D">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0" w:name="_Toc31402"/>
      <w:bookmarkStart w:id="441" w:name="_Toc16752"/>
      <w:bookmarkStart w:id="442" w:name="_Toc3769"/>
      <w:bookmarkStart w:id="443" w:name="_Toc19539"/>
      <w:bookmarkStart w:id="444" w:name="_Toc23289"/>
      <w:r>
        <w:rPr>
          <w:rFonts w:ascii="宋体" w:hAnsi="宋体"/>
          <w:b/>
          <w:color w:val="000000" w:themeColor="text1"/>
          <w:sz w:val="24"/>
          <w:highlight w:val="none"/>
          <w14:textFill>
            <w14:solidFill>
              <w14:schemeClr w14:val="tx1"/>
            </w14:solidFill>
          </w14:textFill>
        </w:rPr>
        <w:t>2.2 技术规范</w:t>
      </w:r>
      <w:bookmarkEnd w:id="440"/>
      <w:bookmarkEnd w:id="441"/>
      <w:bookmarkEnd w:id="442"/>
      <w:bookmarkEnd w:id="443"/>
      <w:bookmarkEnd w:id="444"/>
    </w:p>
    <w:p w14:paraId="12E052AA">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如果有的话</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及其技术规范偏差表</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如果被甲方接受的话</w:t>
      </w:r>
      <w:r>
        <w:rPr>
          <w:rFonts w:hint="eastAsia" w:ascii="宋体" w:hAnsi="宋体"/>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38263356">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5" w:name="_Toc4133"/>
      <w:bookmarkStart w:id="446" w:name="_Toc27945"/>
      <w:bookmarkStart w:id="447" w:name="_Toc13673"/>
      <w:bookmarkStart w:id="448" w:name="_Toc12412"/>
      <w:bookmarkStart w:id="449" w:name="_Toc9161"/>
      <w:r>
        <w:rPr>
          <w:rFonts w:ascii="宋体" w:hAnsi="宋体"/>
          <w:b/>
          <w:color w:val="000000" w:themeColor="text1"/>
          <w:sz w:val="24"/>
          <w:highlight w:val="none"/>
          <w14:textFill>
            <w14:solidFill>
              <w14:schemeClr w14:val="tx1"/>
            </w14:solidFill>
          </w14:textFill>
        </w:rPr>
        <w:t>2.3 知识产权</w:t>
      </w:r>
      <w:bookmarkEnd w:id="445"/>
      <w:bookmarkEnd w:id="446"/>
      <w:bookmarkEnd w:id="447"/>
      <w:bookmarkEnd w:id="448"/>
      <w:bookmarkEnd w:id="449"/>
    </w:p>
    <w:p w14:paraId="307F32A1">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3EFF3808">
      <w:pPr>
        <w:shd w:val="clea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5ED37B35">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2FB1EF99">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16C5520C">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0" w:name="_Toc32670"/>
      <w:bookmarkStart w:id="451" w:name="_Toc31233"/>
      <w:bookmarkStart w:id="452" w:name="_Toc22011"/>
      <w:bookmarkStart w:id="453" w:name="_Toc26555"/>
      <w:bookmarkStart w:id="454" w:name="_Toc15447"/>
      <w:r>
        <w:rPr>
          <w:rFonts w:ascii="宋体" w:hAnsi="宋体"/>
          <w:b/>
          <w:color w:val="000000" w:themeColor="text1"/>
          <w:sz w:val="24"/>
          <w:highlight w:val="none"/>
          <w14:textFill>
            <w14:solidFill>
              <w14:schemeClr w14:val="tx1"/>
            </w14:solidFill>
          </w14:textFill>
        </w:rPr>
        <w:t>2.5 结算方式和付款条件</w:t>
      </w:r>
      <w:bookmarkEnd w:id="450"/>
      <w:bookmarkEnd w:id="451"/>
      <w:bookmarkEnd w:id="452"/>
      <w:bookmarkEnd w:id="453"/>
      <w:bookmarkEnd w:id="454"/>
    </w:p>
    <w:p w14:paraId="6D3345B2">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eastAsia="宋体" w:cs="Times New Roman"/>
          <w:b/>
          <w:i w:val="0"/>
          <w:iCs/>
          <w:color w:val="000000" w:themeColor="text1"/>
          <w:sz w:val="24"/>
          <w:highlight w:val="none"/>
          <w:u w:val="single"/>
          <w14:textFill>
            <w14:solidFill>
              <w14:schemeClr w14:val="tx1"/>
            </w14:solidFill>
          </w14:textFill>
        </w:rPr>
        <w:t>合同</w:t>
      </w:r>
      <w:r>
        <w:rPr>
          <w:rFonts w:hint="eastAsia" w:ascii="宋体" w:hAnsi="宋体" w:eastAsia="宋体" w:cs="Times New Roman"/>
          <w:b/>
          <w:i w:val="0"/>
          <w:iCs/>
          <w:color w:val="000000" w:themeColor="text1"/>
          <w:sz w:val="24"/>
          <w:highlight w:val="none"/>
          <w:u w:val="single"/>
          <w:lang w:val="en-US" w:eastAsia="zh-CN"/>
          <w14:textFill>
            <w14:solidFill>
              <w14:schemeClr w14:val="tx1"/>
            </w14:solidFill>
          </w14:textFill>
        </w:rPr>
        <w:t>1.3.2</w:t>
      </w:r>
      <w:r>
        <w:rPr>
          <w:rFonts w:ascii="宋体" w:hAnsi="宋体" w:eastAsia="宋体" w:cs="Times New Roman"/>
          <w:b/>
          <w:i w:val="0"/>
          <w:iCs/>
          <w:color w:val="000000" w:themeColor="text1"/>
          <w:sz w:val="24"/>
          <w:highlight w:val="none"/>
          <w:u w:val="single"/>
          <w14:textFill>
            <w14:solidFill>
              <w14:schemeClr w14:val="tx1"/>
            </w14:solidFill>
          </w14:textFill>
        </w:rPr>
        <w:t>条款</w:t>
      </w:r>
      <w:r>
        <w:rPr>
          <w:rFonts w:ascii="宋体" w:hAnsi="宋体"/>
          <w:color w:val="000000" w:themeColor="text1"/>
          <w:sz w:val="24"/>
          <w:highlight w:val="none"/>
          <w14:textFill>
            <w14:solidFill>
              <w14:schemeClr w14:val="tx1"/>
            </w14:solidFill>
          </w14:textFill>
        </w:rPr>
        <w:t>。</w:t>
      </w:r>
    </w:p>
    <w:p w14:paraId="4BCCA9DD">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5" w:name="_Toc13467"/>
      <w:bookmarkStart w:id="456" w:name="_Toc16163"/>
      <w:bookmarkStart w:id="457" w:name="_Toc30507"/>
      <w:bookmarkStart w:id="458" w:name="_Toc13154"/>
      <w:bookmarkStart w:id="459" w:name="_Toc18990"/>
      <w:r>
        <w:rPr>
          <w:rFonts w:ascii="宋体" w:hAnsi="宋体"/>
          <w:b/>
          <w:color w:val="000000" w:themeColor="text1"/>
          <w:sz w:val="24"/>
          <w:highlight w:val="none"/>
          <w14:textFill>
            <w14:solidFill>
              <w14:schemeClr w14:val="tx1"/>
            </w14:solidFill>
          </w14:textFill>
        </w:rPr>
        <w:t>2.6 技术资料和保密义务</w:t>
      </w:r>
      <w:bookmarkEnd w:id="455"/>
      <w:bookmarkEnd w:id="456"/>
      <w:bookmarkEnd w:id="457"/>
      <w:bookmarkEnd w:id="458"/>
      <w:bookmarkEnd w:id="459"/>
    </w:p>
    <w:p w14:paraId="7F92D364">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930AEF2">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21C873F5">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FE6D366">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0"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60"/>
    </w:p>
    <w:p w14:paraId="0AB9B577">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10F10162">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5D97BBC4">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1"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1"/>
    </w:p>
    <w:p w14:paraId="61133BBE">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1947A471">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2"/>
    </w:p>
    <w:p w14:paraId="6FE7472B">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0F152F7">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3" w:name="_Toc21830"/>
      <w:bookmarkStart w:id="464" w:name="_Toc10663"/>
      <w:bookmarkStart w:id="465" w:name="_Toc26689"/>
      <w:bookmarkStart w:id="466" w:name="_Toc42"/>
      <w:bookmarkStart w:id="467" w:name="_Toc23368"/>
      <w:r>
        <w:rPr>
          <w:rFonts w:ascii="宋体" w:hAnsi="宋体"/>
          <w:b/>
          <w:color w:val="000000" w:themeColor="text1"/>
          <w:sz w:val="24"/>
          <w:highlight w:val="none"/>
          <w14:textFill>
            <w14:solidFill>
              <w14:schemeClr w14:val="tx1"/>
            </w14:solidFill>
          </w14:textFill>
        </w:rPr>
        <w:t>2.10 合同转让和分包</w:t>
      </w:r>
      <w:bookmarkEnd w:id="463"/>
      <w:bookmarkEnd w:id="464"/>
      <w:bookmarkEnd w:id="465"/>
      <w:bookmarkEnd w:id="466"/>
      <w:bookmarkEnd w:id="467"/>
    </w:p>
    <w:p w14:paraId="7CAC82F0">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1E177177">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8" w:name="_Toc26633"/>
      <w:bookmarkStart w:id="469" w:name="_Toc14371"/>
      <w:bookmarkStart w:id="470" w:name="_Toc4720"/>
      <w:bookmarkStart w:id="471" w:name="_Toc25571"/>
      <w:bookmarkStart w:id="472" w:name="_Toc32494"/>
      <w:r>
        <w:rPr>
          <w:rFonts w:ascii="宋体" w:hAnsi="宋体"/>
          <w:b/>
          <w:color w:val="000000" w:themeColor="text1"/>
          <w:sz w:val="24"/>
          <w:highlight w:val="none"/>
          <w14:textFill>
            <w14:solidFill>
              <w14:schemeClr w14:val="tx1"/>
            </w14:solidFill>
          </w14:textFill>
        </w:rPr>
        <w:t>2.11 不可抗力</w:t>
      </w:r>
      <w:bookmarkEnd w:id="468"/>
      <w:bookmarkEnd w:id="469"/>
      <w:bookmarkEnd w:id="470"/>
      <w:bookmarkEnd w:id="471"/>
      <w:bookmarkEnd w:id="472"/>
    </w:p>
    <w:p w14:paraId="5CC28E05">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5A0C2B30">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63323894">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hint="eastAsia" w:ascii="宋体" w:hAnsi="宋体" w:eastAsia="宋体" w:cs="Times New Roman"/>
          <w:b/>
          <w:i w:val="0"/>
          <w:iCs/>
          <w:color w:val="000000" w:themeColor="text1"/>
          <w:sz w:val="24"/>
          <w:highlight w:val="none"/>
          <w:u w:val="single"/>
          <w14:textFill>
            <w14:solidFill>
              <w14:schemeClr w14:val="tx1"/>
            </w14:solidFill>
          </w14:textFill>
        </w:rPr>
        <w:t>10个工作日</w:t>
      </w:r>
      <w:r>
        <w:rPr>
          <w:rFonts w:ascii="宋体" w:hAnsi="宋体"/>
          <w:color w:val="000000" w:themeColor="text1"/>
          <w:sz w:val="24"/>
          <w:highlight w:val="none"/>
          <w14:textFill>
            <w14:solidFill>
              <w14:schemeClr w14:val="tx1"/>
            </w14:solidFill>
          </w14:textFill>
        </w:rPr>
        <w:t>内以书面形式变更合同</w:t>
      </w:r>
      <w:r>
        <w:rPr>
          <w:rFonts w:hint="eastAsia" w:ascii="宋体" w:hAnsi="宋体"/>
          <w:color w:val="000000" w:themeColor="text1"/>
          <w:sz w:val="24"/>
          <w:highlight w:val="none"/>
          <w14:textFill>
            <w14:solidFill>
              <w14:schemeClr w14:val="tx1"/>
            </w14:solidFill>
          </w14:textFill>
        </w:rPr>
        <w:t>；</w:t>
      </w:r>
    </w:p>
    <w:p w14:paraId="2BF6B4AB">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hint="eastAsia" w:ascii="宋体" w:hAnsi="宋体" w:eastAsia="宋体" w:cs="Times New Roman"/>
          <w:b/>
          <w:i w:val="0"/>
          <w:iCs/>
          <w:color w:val="000000" w:themeColor="text1"/>
          <w:sz w:val="24"/>
          <w:highlight w:val="none"/>
          <w:u w:val="single"/>
          <w14:textFill>
            <w14:solidFill>
              <w14:schemeClr w14:val="tx1"/>
            </w14:solidFill>
          </w14:textFill>
        </w:rPr>
        <w:t>10个工作日</w:t>
      </w:r>
      <w:r>
        <w:rPr>
          <w:rFonts w:ascii="宋体" w:hAnsi="宋体"/>
          <w:color w:val="000000" w:themeColor="text1"/>
          <w:sz w:val="24"/>
          <w:highlight w:val="none"/>
          <w14:textFill>
            <w14:solidFill>
              <w14:schemeClr w14:val="tx1"/>
            </w14:solidFill>
          </w14:textFill>
        </w:rPr>
        <w:t>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hint="eastAsia" w:ascii="宋体" w:hAnsi="宋体" w:eastAsia="宋体" w:cs="Times New Roman"/>
          <w:b/>
          <w:i w:val="0"/>
          <w:iCs/>
          <w:color w:val="000000" w:themeColor="text1"/>
          <w:sz w:val="24"/>
          <w:highlight w:val="none"/>
          <w:u w:val="single"/>
          <w14:textFill>
            <w14:solidFill>
              <w14:schemeClr w14:val="tx1"/>
            </w14:solidFill>
          </w14:textFill>
        </w:rPr>
        <w:t>10个工作日</w:t>
      </w:r>
      <w:r>
        <w:rPr>
          <w:rFonts w:ascii="宋体" w:hAnsi="宋体"/>
          <w:color w:val="000000" w:themeColor="text1"/>
          <w:sz w:val="24"/>
          <w:highlight w:val="none"/>
          <w14:textFill>
            <w14:solidFill>
              <w14:schemeClr w14:val="tx1"/>
            </w14:solidFill>
          </w14:textFill>
        </w:rPr>
        <w:t>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34CB11A8">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3" w:name="_Toc14115"/>
      <w:bookmarkStart w:id="474" w:name="_Toc24465"/>
      <w:bookmarkStart w:id="475" w:name="_Toc23854"/>
      <w:bookmarkStart w:id="476" w:name="_Toc3638"/>
      <w:bookmarkStart w:id="477" w:name="_Toc25783"/>
      <w:r>
        <w:rPr>
          <w:rFonts w:ascii="宋体" w:hAnsi="宋体"/>
          <w:b/>
          <w:color w:val="000000" w:themeColor="text1"/>
          <w:sz w:val="24"/>
          <w:highlight w:val="none"/>
          <w14:textFill>
            <w14:solidFill>
              <w14:schemeClr w14:val="tx1"/>
            </w14:solidFill>
          </w14:textFill>
        </w:rPr>
        <w:t>2.12 税费</w:t>
      </w:r>
      <w:bookmarkEnd w:id="473"/>
      <w:bookmarkEnd w:id="474"/>
      <w:bookmarkEnd w:id="475"/>
      <w:bookmarkEnd w:id="476"/>
      <w:bookmarkEnd w:id="477"/>
    </w:p>
    <w:p w14:paraId="4C5FCF6E">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62ED5782">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8" w:name="_Toc26883"/>
      <w:bookmarkStart w:id="479" w:name="_Toc14814"/>
      <w:bookmarkStart w:id="480" w:name="_Toc7315"/>
      <w:bookmarkStart w:id="481" w:name="_Toc25525"/>
      <w:bookmarkStart w:id="482" w:name="_Toc30105"/>
      <w:r>
        <w:rPr>
          <w:rFonts w:ascii="宋体" w:hAnsi="宋体"/>
          <w:b/>
          <w:color w:val="000000" w:themeColor="text1"/>
          <w:sz w:val="24"/>
          <w:highlight w:val="none"/>
          <w14:textFill>
            <w14:solidFill>
              <w14:schemeClr w14:val="tx1"/>
            </w14:solidFill>
          </w14:textFill>
        </w:rPr>
        <w:t>2.13 乙方破产</w:t>
      </w:r>
      <w:bookmarkEnd w:id="478"/>
      <w:bookmarkEnd w:id="479"/>
      <w:bookmarkEnd w:id="480"/>
      <w:bookmarkEnd w:id="481"/>
      <w:bookmarkEnd w:id="482"/>
    </w:p>
    <w:p w14:paraId="19EB4B23">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12704E7F">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3" w:name="_Toc23323"/>
      <w:bookmarkStart w:id="484" w:name="_Toc2016"/>
      <w:bookmarkStart w:id="485" w:name="_Toc1123"/>
      <w:r>
        <w:rPr>
          <w:rFonts w:ascii="宋体" w:hAnsi="宋体"/>
          <w:b/>
          <w:color w:val="000000" w:themeColor="text1"/>
          <w:sz w:val="24"/>
          <w:highlight w:val="none"/>
          <w14:textFill>
            <w14:solidFill>
              <w14:schemeClr w14:val="tx1"/>
            </w14:solidFill>
          </w14:textFill>
        </w:rPr>
        <w:t>2.14 合同中止、终止</w:t>
      </w:r>
      <w:bookmarkEnd w:id="483"/>
      <w:bookmarkEnd w:id="484"/>
      <w:bookmarkEnd w:id="485"/>
    </w:p>
    <w:p w14:paraId="04422256">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5B488128">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CA135D3">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6" w:name="_Toc1969"/>
      <w:bookmarkStart w:id="487" w:name="_Toc17363"/>
      <w:bookmarkStart w:id="488" w:name="_Toc14525"/>
      <w:r>
        <w:rPr>
          <w:rFonts w:ascii="宋体" w:hAnsi="宋体"/>
          <w:b/>
          <w:color w:val="000000" w:themeColor="text1"/>
          <w:sz w:val="24"/>
          <w:highlight w:val="none"/>
          <w14:textFill>
            <w14:solidFill>
              <w14:schemeClr w14:val="tx1"/>
            </w14:solidFill>
          </w14:textFill>
        </w:rPr>
        <w:t>2.15 检验和验收</w:t>
      </w:r>
      <w:bookmarkEnd w:id="486"/>
      <w:bookmarkEnd w:id="487"/>
      <w:bookmarkEnd w:id="488"/>
    </w:p>
    <w:p w14:paraId="227D58CD">
      <w:pPr>
        <w:shd w:val="clea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lang w:val="en-US" w:eastAsia="zh-CN"/>
          <w14:textFill>
            <w14:solidFill>
              <w14:schemeClr w14:val="tx1"/>
            </w14:solidFill>
          </w14:textFill>
        </w:rPr>
        <w:t>须</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hint="eastAsia" w:ascii="宋体" w:hAnsi="宋体"/>
          <w:color w:val="000000" w:themeColor="text1"/>
          <w:sz w:val="24"/>
          <w:highlight w:val="none"/>
          <w:lang w:val="en-US" w:eastAsia="zh-CN"/>
          <w14:textFill>
            <w14:solidFill>
              <w14:schemeClr w14:val="tx1"/>
            </w14:solidFill>
          </w14:textFill>
        </w:rPr>
        <w:t>相关规定</w:t>
      </w:r>
      <w:r>
        <w:rPr>
          <w:rFonts w:ascii="宋体" w:hAnsi="宋体"/>
          <w:color w:val="000000" w:themeColor="text1"/>
          <w:sz w:val="24"/>
          <w:highlight w:val="none"/>
          <w14:textFill>
            <w14:solidFill>
              <w14:schemeClr w14:val="tx1"/>
            </w14:solidFill>
          </w14:textFill>
        </w:rPr>
        <w:t>进行定期验收</w:t>
      </w:r>
      <w:r>
        <w:rPr>
          <w:rFonts w:hint="eastAsia" w:ascii="宋体" w:hAnsi="宋体"/>
          <w:color w:val="000000" w:themeColor="text1"/>
          <w:sz w:val="24"/>
          <w:highlight w:val="none"/>
          <w14:textFill>
            <w14:solidFill>
              <w14:schemeClr w14:val="tx1"/>
            </w14:solidFill>
          </w14:textFill>
        </w:rPr>
        <w:t>；</w:t>
      </w:r>
    </w:p>
    <w:p w14:paraId="051EEE15">
      <w:pPr>
        <w:shd w:val="clea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08D3FFD">
      <w:pPr>
        <w:shd w:val="clear"/>
        <w:tabs>
          <w:tab w:val="left" w:pos="360"/>
          <w:tab w:val="left" w:pos="540"/>
          <w:tab w:val="left" w:pos="1080"/>
        </w:tabs>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bookmarkStart w:id="489" w:name="_Toc25198"/>
      <w:bookmarkStart w:id="490" w:name="_Toc2308"/>
      <w:bookmarkStart w:id="491" w:name="_Toc31892"/>
      <w:bookmarkStart w:id="492" w:name="_Toc12666"/>
      <w:bookmarkStart w:id="493" w:name="_Toc9808"/>
      <w:r>
        <w:rPr>
          <w:rFonts w:hint="eastAsia" w:ascii="宋体" w:hAnsi="宋体" w:eastAsia="宋体" w:cs="Times New Roman"/>
          <w:color w:val="000000" w:themeColor="text1"/>
          <w:sz w:val="24"/>
          <w:highlight w:val="none"/>
          <w14:textFill>
            <w14:solidFill>
              <w14:schemeClr w14:val="tx1"/>
            </w14:solidFill>
          </w14:textFill>
        </w:rPr>
        <w:t>2.15.3 检验和验收标准、程序等具体内容以及前述验收书的效力</w:t>
      </w:r>
      <w:r>
        <w:rPr>
          <w:rFonts w:hint="eastAsia" w:ascii="宋体" w:hAnsi="宋体" w:eastAsia="宋体" w:cs="Times New Roman"/>
          <w:color w:val="000000" w:themeColor="text1"/>
          <w:sz w:val="24"/>
          <w:highlight w:val="none"/>
          <w:lang w:eastAsia="zh-CN"/>
          <w14:textFill>
            <w14:solidFill>
              <w14:schemeClr w14:val="tx1"/>
            </w14:solidFill>
          </w14:textFill>
        </w:rPr>
        <w:t>：</w:t>
      </w:r>
    </w:p>
    <w:p w14:paraId="7ADC3FE9">
      <w:pPr>
        <w:shd w:val="clear"/>
        <w:tabs>
          <w:tab w:val="left" w:pos="360"/>
          <w:tab w:val="left" w:pos="540"/>
          <w:tab w:val="left" w:pos="1080"/>
        </w:tabs>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（1）验收标准：按照国家及行业相关标准及招标文件规定验收，如验收达不到规定要求，造成一定的影响，乙方承担一切责任，并赔偿所造成的损失。</w:t>
      </w:r>
    </w:p>
    <w:p w14:paraId="7CFD057F">
      <w:pPr>
        <w:shd w:val="clear"/>
        <w:tabs>
          <w:tab w:val="left" w:pos="360"/>
          <w:tab w:val="left" w:pos="540"/>
          <w:tab w:val="left" w:pos="1080"/>
        </w:tabs>
        <w:spacing w:line="560" w:lineRule="exact"/>
        <w:ind w:firstLine="480" w:firstLineChars="200"/>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（2）验收解决：甲方对服务质量提出异议要求检验或检测的，结果为合格的，费用由甲方承担，结果为不合格或达不到本条标准的，其费用由乙方承担。</w:t>
      </w:r>
    </w:p>
    <w:p w14:paraId="25FA41EE">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2.16 通知和送达</w:t>
      </w:r>
      <w:bookmarkEnd w:id="489"/>
      <w:bookmarkEnd w:id="490"/>
      <w:bookmarkEnd w:id="491"/>
      <w:bookmarkEnd w:id="492"/>
      <w:bookmarkEnd w:id="493"/>
    </w:p>
    <w:p w14:paraId="691F5800">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4" w:name="_Toc18401"/>
      <w:bookmarkStart w:id="495"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4C1D7188">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4"/>
      <w:bookmarkEnd w:id="495"/>
    </w:p>
    <w:p w14:paraId="13946E78">
      <w:pPr>
        <w:shd w:val="clea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6" w:name="_Toc28906"/>
      <w:bookmarkStart w:id="497" w:name="_Toc5063"/>
      <w:bookmarkStart w:id="498" w:name="_Toc27644"/>
      <w:bookmarkStart w:id="499" w:name="_Toc12254"/>
      <w:bookmarkStart w:id="500" w:name="_Toc20808"/>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6"/>
      <w:bookmarkEnd w:id="497"/>
      <w:bookmarkEnd w:id="498"/>
      <w:bookmarkEnd w:id="499"/>
      <w:bookmarkEnd w:id="500"/>
    </w:p>
    <w:p w14:paraId="7FD2F25E">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3E759478">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44A33934">
      <w:pPr>
        <w:shd w:val="clea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1" w:name="_Toc18540"/>
      <w:bookmarkStart w:id="502" w:name="_Toc30599"/>
      <w:bookmarkStart w:id="503" w:name="_Toc4355"/>
      <w:r>
        <w:rPr>
          <w:rFonts w:hint="eastAsia" w:ascii="宋体" w:hAnsi="宋体" w:cs="宋体"/>
          <w:b/>
          <w:color w:val="000000" w:themeColor="text1"/>
          <w:sz w:val="24"/>
          <w:highlight w:val="none"/>
          <w14:textFill>
            <w14:solidFill>
              <w14:schemeClr w14:val="tx1"/>
            </w14:solidFill>
          </w14:textFill>
        </w:rPr>
        <w:t>2.18 计量单位</w:t>
      </w:r>
      <w:bookmarkEnd w:id="501"/>
      <w:bookmarkEnd w:id="502"/>
      <w:bookmarkEnd w:id="503"/>
    </w:p>
    <w:p w14:paraId="08191A12">
      <w:pPr>
        <w:shd w:val="clea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合同的计量单位均使用国家法定计量单位。</w:t>
      </w:r>
    </w:p>
    <w:p w14:paraId="5E247B43">
      <w:pPr>
        <w:shd w:val="clea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06902CF9">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一式</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份，双方各执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5F72216F">
      <w:pPr>
        <w:shd w:val="clear"/>
        <w:spacing w:line="560" w:lineRule="exact"/>
        <w:ind w:firstLine="480" w:firstLineChars="200"/>
        <w:rPr>
          <w:rFonts w:ascii="宋体" w:hAnsi="宋体"/>
          <w:color w:val="000000" w:themeColor="text1"/>
          <w:sz w:val="24"/>
          <w:highlight w:val="none"/>
          <w14:textFill>
            <w14:solidFill>
              <w14:schemeClr w14:val="tx1"/>
            </w14:solidFill>
          </w14:textFill>
        </w:rPr>
      </w:pPr>
    </w:p>
    <w:p w14:paraId="55E61582">
      <w:pPr>
        <w:shd w:val="clear"/>
        <w:spacing w:line="360" w:lineRule="auto"/>
        <w:ind w:left="-420" w:leftChars="-200" w:right="-420" w:rightChars="-200" w:firstLine="420" w:firstLineChars="200"/>
        <w:rPr>
          <w:rFonts w:hint="eastAsia" w:ascii="宋体" w:hAnsi="宋体" w:cs="宋体"/>
          <w:b/>
          <w:color w:val="000000" w:themeColor="text1"/>
          <w:sz w:val="36"/>
          <w:szCs w:val="20"/>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kern w:val="0"/>
          <w:highlight w:val="none"/>
          <w14:textFill>
            <w14:solidFill>
              <w14:schemeClr w14:val="tx1"/>
            </w14:solidFill>
          </w14:textFill>
        </w:rPr>
        <w:br w:type="page"/>
      </w:r>
    </w:p>
    <w:p w14:paraId="0D0C53F7">
      <w:pPr>
        <w:widowControl/>
        <w:shd w:val="clear"/>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4"/>
      <w:r>
        <w:rPr>
          <w:rFonts w:hint="eastAsia" w:ascii="宋体" w:hAnsi="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53663752">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600314D">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D960C5A">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5CD9D4C">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353F342F">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8422949">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6963869D">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66131846">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45808CEB">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72CC262">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2CF1D5">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858678D">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宁波中基国际招标有限公司</w:t>
      </w:r>
      <w:r>
        <w:rPr>
          <w:rFonts w:hint="eastAsia" w:ascii="宋体" w:hAnsi="宋体" w:cs="宋体"/>
          <w:color w:val="000000" w:themeColor="text1"/>
          <w:sz w:val="24"/>
          <w:highlight w:val="none"/>
          <w14:textFill>
            <w14:solidFill>
              <w14:schemeClr w14:val="tx1"/>
            </w14:solidFill>
          </w14:textFill>
        </w:rPr>
        <w:t>：</w:t>
      </w:r>
    </w:p>
    <w:p w14:paraId="02033205">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】政府采购活动，郑重承诺：</w:t>
      </w:r>
    </w:p>
    <w:p w14:paraId="06EA55E0">
      <w:pPr>
        <w:shd w:val="clea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2EEDFA1">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7F714B3">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2D10539F">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5F546EF3">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D047169">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DC8D7AD">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29368071">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、中国政府采购网（www.ccgp.gov.cn）列入失信被执行人、重大税收违法案件当事人名单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重大税收违法失信主体</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、政府采购严重违法失信行为记录名单。</w:t>
      </w:r>
    </w:p>
    <w:p w14:paraId="4F294449">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66A3944D">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690AD7DA">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E75E738">
      <w:pPr>
        <w:shd w:val="clea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7F90F216">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29AE0716">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4DE4E0F">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86DCDF2">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83AA898">
      <w:pPr>
        <w:shd w:val="clear"/>
        <w:rPr>
          <w:rFonts w:ascii="宋体" w:hAnsi="宋体" w:cs="宋体"/>
          <w:color w:val="000000" w:themeColor="text1"/>
          <w:highlight w:val="none"/>
          <w14:textFill>
            <w14:solidFill>
              <w14:schemeClr w14:val="tx1"/>
            </w14:solidFill>
          </w14:textFill>
        </w:rPr>
      </w:pPr>
    </w:p>
    <w:p w14:paraId="71749C49">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7070DB8">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8625E75">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55104B">
      <w:pPr>
        <w:widowControl/>
        <w:shd w:val="clear"/>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B4D314E">
      <w:pPr>
        <w:widowControl/>
        <w:shd w:val="clear"/>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7291E007">
      <w:pPr>
        <w:widowControl/>
        <w:shd w:val="clea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45DC844">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A101598">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6EF0035">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1366107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5DEE082">
      <w:pPr>
        <w:shd w:val="clea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2D846B1">
      <w:pPr>
        <w:widowControl/>
        <w:shd w:val="clear"/>
        <w:spacing w:line="360" w:lineRule="auto"/>
        <w:ind w:firstLine="480"/>
        <w:jc w:val="left"/>
        <w:rPr>
          <w:rFonts w:ascii="宋体" w:hAnsi="宋体" w:cs="宋体"/>
          <w:color w:val="000000" w:themeColor="text1"/>
          <w:sz w:val="24"/>
          <w:highlight w:val="none"/>
          <w14:textFill>
            <w14:solidFill>
              <w14:schemeClr w14:val="tx1"/>
            </w14:solidFill>
          </w14:textFill>
        </w:rPr>
      </w:pPr>
    </w:p>
    <w:p w14:paraId="1A168A23">
      <w:pPr>
        <w:widowControl/>
        <w:shd w:val="clear"/>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B7C2EAA">
      <w:pPr>
        <w:shd w:val="clea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0445FF0">
      <w:pPr>
        <w:shd w:val="clea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b/>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55549F9F">
      <w:pPr>
        <w:widowControl/>
        <w:shd w:val="clear"/>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05B80089">
      <w:pPr>
        <w:widowControl/>
        <w:shd w:val="clear"/>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7373E3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635180B1">
      <w:pPr>
        <w:shd w:val="clear"/>
        <w:rPr>
          <w:rFonts w:ascii="宋体" w:hAnsi="宋体" w:cs="宋体"/>
          <w:color w:val="000000" w:themeColor="text1"/>
          <w:highlight w:val="none"/>
          <w14:textFill>
            <w14:solidFill>
              <w14:schemeClr w14:val="tx1"/>
            </w14:solidFill>
          </w14:textFill>
        </w:rPr>
      </w:pPr>
    </w:p>
    <w:p w14:paraId="494479C4">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25F935">
      <w:pPr>
        <w:widowControl/>
        <w:shd w:val="clear"/>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0D1628A7">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084B25E2">
      <w:pPr>
        <w:shd w:val="clea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66B3136F">
      <w:pPr>
        <w:shd w:val="clea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5F40F961">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2EE05A09">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1DA5B445">
      <w:pPr>
        <w:shd w:val="clea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3CAC5CEA">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773A12EE">
      <w:pPr>
        <w:shd w:val="clea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8F8C72E">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3498AB1">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2EA5FB0">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90BEAE5">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1142A93">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FF5FB41">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3D989A4">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1F162ED">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243DAF3">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0A6D404">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0C9DB8B">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D885831">
      <w:pPr>
        <w:shd w:val="clea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FCF22DF">
      <w:pPr>
        <w:shd w:val="clear"/>
        <w:rPr>
          <w:rFonts w:ascii="宋体" w:hAnsi="宋体" w:cs="宋体"/>
          <w:b/>
          <w:color w:val="000000" w:themeColor="text1"/>
          <w:kern w:val="0"/>
          <w:sz w:val="32"/>
          <w:szCs w:val="32"/>
          <w:highlight w:val="none"/>
          <w:lang w:val="zh-CN"/>
          <w14:textFill>
            <w14:solidFill>
              <w14:schemeClr w14:val="tx1"/>
            </w14:solidFill>
          </w14:textFill>
        </w:rPr>
      </w:pPr>
    </w:p>
    <w:p w14:paraId="5633A730">
      <w:pPr>
        <w:widowControl/>
        <w:shd w:val="clear"/>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EC65396">
      <w:pPr>
        <w:shd w:val="clea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696982A">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宁波中基国际招标有限公司</w:t>
      </w:r>
      <w:r>
        <w:rPr>
          <w:rFonts w:hint="eastAsia" w:ascii="宋体" w:hAnsi="宋体" w:cs="宋体"/>
          <w:color w:val="000000" w:themeColor="text1"/>
          <w:sz w:val="24"/>
          <w:highlight w:val="none"/>
          <w14:textFill>
            <w14:solidFill>
              <w14:schemeClr w14:val="tx1"/>
            </w14:solidFill>
          </w14:textFill>
        </w:rPr>
        <w:t>：</w:t>
      </w:r>
    </w:p>
    <w:p w14:paraId="1BE80A0B">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2CDA1CF6">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7C0ACE83">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95514D">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E5B9368">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2.1.1符合参加政府采购活动应当具备的一般条件的承诺函；</w:t>
      </w:r>
    </w:p>
    <w:p w14:paraId="2F17FD56">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4" w:name="_Hlk101257010"/>
      <w:r>
        <w:rPr>
          <w:rFonts w:hint="eastAsia" w:ascii="宋体" w:hAnsi="宋体" w:cs="宋体"/>
          <w:color w:val="000000" w:themeColor="text1"/>
          <w:sz w:val="24"/>
          <w:highlight w:val="none"/>
          <w14:textFill>
            <w14:solidFill>
              <w14:schemeClr w14:val="tx1"/>
            </w14:solidFill>
          </w14:textFill>
        </w:rPr>
        <w:t>（如果有</w:t>
      </w:r>
      <w:r>
        <w:rPr>
          <w:rFonts w:hint="eastAsia" w:ascii="宋体" w:hAnsi="宋体" w:cs="宋体"/>
          <w:color w:val="000000" w:themeColor="text1"/>
          <w:sz w:val="24"/>
          <w:highlight w:val="none"/>
          <w:lang w:eastAsia="zh-CN"/>
          <w14:textFill>
            <w14:solidFill>
              <w14:schemeClr w14:val="tx1"/>
            </w14:solidFill>
          </w14:textFill>
        </w:rPr>
        <w:t>）</w:t>
      </w:r>
      <w:bookmarkEnd w:id="504"/>
      <w:r>
        <w:rPr>
          <w:rFonts w:hint="eastAsia" w:ascii="宋体" w:hAnsi="宋体" w:cs="宋体"/>
          <w:snapToGrid w:val="0"/>
          <w:color w:val="000000" w:themeColor="text1"/>
          <w:kern w:val="28"/>
          <w:sz w:val="24"/>
          <w:szCs w:val="20"/>
          <w:highlight w:val="none"/>
          <w14:textFill>
            <w14:solidFill>
              <w14:schemeClr w14:val="tx1"/>
            </w14:solidFill>
          </w14:textFill>
        </w:rPr>
        <w:t>；</w:t>
      </w:r>
    </w:p>
    <w:p w14:paraId="119974F3">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2E449CF9">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0E55399">
      <w:pPr>
        <w:shd w:val="clea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4162F93">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83B7C7">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w:t>
      </w:r>
      <w:r>
        <w:rPr>
          <w:rFonts w:hint="eastAsia" w:ascii="宋体" w:hAnsi="宋体" w:cs="宋体"/>
          <w:color w:val="000000" w:themeColor="text1"/>
          <w:sz w:val="24"/>
          <w:highlight w:val="none"/>
          <w:lang w:val="zh-CN"/>
          <w14:textFill>
            <w14:solidFill>
              <w14:schemeClr w14:val="tx1"/>
            </w14:solidFill>
          </w14:textFill>
        </w:rPr>
        <w:t>、自然人本人</w:t>
      </w:r>
      <w:r>
        <w:rPr>
          <w:rFonts w:hint="eastAsia" w:ascii="宋体" w:hAnsi="宋体" w:cs="宋体"/>
          <w:color w:val="000000" w:themeColor="text1"/>
          <w:sz w:val="24"/>
          <w:highlight w:val="none"/>
          <w14:textFill>
            <w14:solidFill>
              <w14:schemeClr w14:val="tx1"/>
            </w14:solidFill>
          </w14:textFill>
        </w:rPr>
        <w:t>）身份证明；</w:t>
      </w:r>
    </w:p>
    <w:p w14:paraId="69006F93">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572BB5D">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36B3A8D">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614658DF">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p>
    <w:p w14:paraId="29C71D62">
      <w:pPr>
        <w:shd w:val="clea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94CB093">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4E73D16A">
      <w:pPr>
        <w:shd w:val="clea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61F2976D">
      <w:pPr>
        <w:shd w:val="clear"/>
        <w:snapToGrid w:val="0"/>
        <w:spacing w:line="360" w:lineRule="auto"/>
        <w:ind w:left="420" w:leftChars="200"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r>
        <w:rPr>
          <w:rFonts w:hint="eastAsia" w:ascii="宋体" w:hAnsi="宋体" w:cs="宋体"/>
          <w:color w:val="000000" w:themeColor="text1"/>
          <w:sz w:val="24"/>
          <w:highlight w:val="none"/>
          <w:lang w:eastAsia="zh-CN"/>
          <w14:textFill>
            <w14:solidFill>
              <w14:schemeClr w14:val="tx1"/>
            </w14:solidFill>
          </w14:textFill>
        </w:rPr>
        <w:t>；</w:t>
      </w:r>
    </w:p>
    <w:p w14:paraId="6DF8B8EF">
      <w:pPr>
        <w:shd w:val="clea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2.3.3报价情况说明</w:t>
      </w:r>
      <w:r>
        <w:rPr>
          <w:rFonts w:hint="eastAsia" w:ascii="宋体" w:hAnsi="宋体" w:eastAsia="宋体" w:cs="宋体"/>
          <w:color w:val="000000" w:themeColor="text1"/>
          <w:sz w:val="24"/>
          <w:highlight w:val="none"/>
          <w14:textFill>
            <w14:solidFill>
              <w14:schemeClr w14:val="tx1"/>
            </w14:solidFill>
          </w14:textFill>
        </w:rPr>
        <w:t>（如果有）</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0E8868E0">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560500FF">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90505C">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7E6A3571">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F3EFA55">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3272F4E">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CEDA938">
      <w:pPr>
        <w:shd w:val="clea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CCE60B9">
      <w:pPr>
        <w:shd w:val="clea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30FD537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F6310F8">
      <w:pPr>
        <w:shd w:val="clea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919F80C">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9E07EAD">
      <w:pPr>
        <w:shd w:val="clea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356D8F7">
      <w:pPr>
        <w:shd w:val="clear"/>
        <w:snapToGrid w:val="0"/>
        <w:spacing w:line="360" w:lineRule="auto"/>
        <w:rPr>
          <w:rFonts w:ascii="宋体" w:hAnsi="宋体" w:cs="宋体"/>
          <w:color w:val="000000" w:themeColor="text1"/>
          <w:sz w:val="24"/>
          <w:highlight w:val="none"/>
          <w14:textFill>
            <w14:solidFill>
              <w14:schemeClr w14:val="tx1"/>
            </w14:solidFill>
          </w14:textFill>
        </w:rPr>
      </w:pPr>
    </w:p>
    <w:p w14:paraId="51C95C22">
      <w:pPr>
        <w:shd w:val="clear"/>
        <w:jc w:val="center"/>
        <w:rPr>
          <w:rFonts w:ascii="宋体" w:hAnsi="宋体" w:cs="宋体"/>
          <w:b/>
          <w:color w:val="000000" w:themeColor="text1"/>
          <w:kern w:val="0"/>
          <w:sz w:val="32"/>
          <w:szCs w:val="32"/>
          <w:highlight w:val="none"/>
          <w14:textFill>
            <w14:solidFill>
              <w14:schemeClr w14:val="tx1"/>
            </w14:solidFill>
          </w14:textFill>
        </w:rPr>
      </w:pPr>
    </w:p>
    <w:p w14:paraId="0DF8FF3B">
      <w:pPr>
        <w:shd w:val="clear"/>
        <w:jc w:val="center"/>
        <w:rPr>
          <w:rFonts w:ascii="宋体" w:hAnsi="宋体" w:cs="宋体"/>
          <w:b/>
          <w:color w:val="000000" w:themeColor="text1"/>
          <w:kern w:val="0"/>
          <w:sz w:val="32"/>
          <w:szCs w:val="32"/>
          <w:highlight w:val="none"/>
          <w14:textFill>
            <w14:solidFill>
              <w14:schemeClr w14:val="tx1"/>
            </w14:solidFill>
          </w14:textFill>
        </w:rPr>
      </w:pPr>
    </w:p>
    <w:p w14:paraId="1F45CB7F">
      <w:pPr>
        <w:shd w:val="clear"/>
        <w:jc w:val="center"/>
        <w:rPr>
          <w:rFonts w:ascii="宋体" w:hAnsi="宋体" w:cs="宋体"/>
          <w:b/>
          <w:color w:val="000000" w:themeColor="text1"/>
          <w:kern w:val="0"/>
          <w:sz w:val="32"/>
          <w:szCs w:val="32"/>
          <w:highlight w:val="none"/>
          <w14:textFill>
            <w14:solidFill>
              <w14:schemeClr w14:val="tx1"/>
            </w14:solidFill>
          </w14:textFill>
        </w:rPr>
      </w:pPr>
    </w:p>
    <w:p w14:paraId="3B0C2EC7">
      <w:pPr>
        <w:shd w:val="clear"/>
        <w:jc w:val="center"/>
        <w:rPr>
          <w:rFonts w:ascii="宋体" w:hAnsi="宋体" w:cs="宋体"/>
          <w:b/>
          <w:color w:val="000000" w:themeColor="text1"/>
          <w:kern w:val="0"/>
          <w:sz w:val="32"/>
          <w:szCs w:val="32"/>
          <w:highlight w:val="none"/>
          <w14:textFill>
            <w14:solidFill>
              <w14:schemeClr w14:val="tx1"/>
            </w14:solidFill>
          </w14:textFill>
        </w:rPr>
      </w:pPr>
    </w:p>
    <w:p w14:paraId="3EFC40EC">
      <w:pPr>
        <w:shd w:val="clear"/>
        <w:jc w:val="center"/>
        <w:rPr>
          <w:rFonts w:ascii="宋体" w:hAnsi="宋体" w:cs="宋体"/>
          <w:b/>
          <w:color w:val="000000" w:themeColor="text1"/>
          <w:kern w:val="0"/>
          <w:sz w:val="32"/>
          <w:szCs w:val="32"/>
          <w:highlight w:val="none"/>
          <w14:textFill>
            <w14:solidFill>
              <w14:schemeClr w14:val="tx1"/>
            </w14:solidFill>
          </w14:textFill>
        </w:rPr>
      </w:pPr>
    </w:p>
    <w:p w14:paraId="55F30D70">
      <w:pPr>
        <w:shd w:val="clear"/>
        <w:jc w:val="center"/>
        <w:rPr>
          <w:rFonts w:ascii="宋体" w:hAnsi="宋体" w:cs="宋体"/>
          <w:b/>
          <w:color w:val="000000" w:themeColor="text1"/>
          <w:kern w:val="0"/>
          <w:sz w:val="32"/>
          <w:szCs w:val="32"/>
          <w:highlight w:val="none"/>
          <w14:textFill>
            <w14:solidFill>
              <w14:schemeClr w14:val="tx1"/>
            </w14:solidFill>
          </w14:textFill>
        </w:rPr>
      </w:pPr>
    </w:p>
    <w:p w14:paraId="68B604E6">
      <w:pPr>
        <w:shd w:val="clear"/>
        <w:jc w:val="center"/>
        <w:rPr>
          <w:rFonts w:ascii="宋体" w:hAnsi="宋体" w:cs="宋体"/>
          <w:b/>
          <w:color w:val="000000" w:themeColor="text1"/>
          <w:kern w:val="0"/>
          <w:sz w:val="32"/>
          <w:szCs w:val="32"/>
          <w:highlight w:val="none"/>
          <w14:textFill>
            <w14:solidFill>
              <w14:schemeClr w14:val="tx1"/>
            </w14:solidFill>
          </w14:textFill>
        </w:rPr>
      </w:pPr>
    </w:p>
    <w:p w14:paraId="3E1704C1">
      <w:pPr>
        <w:shd w:val="clear"/>
        <w:jc w:val="center"/>
        <w:rPr>
          <w:rFonts w:ascii="宋体" w:hAnsi="宋体" w:cs="宋体"/>
          <w:b/>
          <w:color w:val="000000" w:themeColor="text1"/>
          <w:kern w:val="0"/>
          <w:sz w:val="32"/>
          <w:szCs w:val="32"/>
          <w:highlight w:val="none"/>
          <w14:textFill>
            <w14:solidFill>
              <w14:schemeClr w14:val="tx1"/>
            </w14:solidFill>
          </w14:textFill>
        </w:rPr>
      </w:pPr>
    </w:p>
    <w:p w14:paraId="753D22C2">
      <w:pPr>
        <w:shd w:val="clear"/>
        <w:jc w:val="center"/>
        <w:rPr>
          <w:rFonts w:ascii="宋体" w:hAnsi="宋体" w:cs="宋体"/>
          <w:b/>
          <w:color w:val="000000" w:themeColor="text1"/>
          <w:kern w:val="0"/>
          <w:sz w:val="32"/>
          <w:szCs w:val="32"/>
          <w:highlight w:val="none"/>
          <w14:textFill>
            <w14:solidFill>
              <w14:schemeClr w14:val="tx1"/>
            </w14:solidFill>
          </w14:textFill>
        </w:rPr>
      </w:pPr>
    </w:p>
    <w:p w14:paraId="44A9781A">
      <w:pPr>
        <w:shd w:val="clear"/>
        <w:jc w:val="center"/>
        <w:rPr>
          <w:rFonts w:ascii="宋体" w:hAnsi="宋体" w:cs="宋体"/>
          <w:b/>
          <w:color w:val="000000" w:themeColor="text1"/>
          <w:kern w:val="0"/>
          <w:sz w:val="32"/>
          <w:szCs w:val="32"/>
          <w:highlight w:val="none"/>
          <w14:textFill>
            <w14:solidFill>
              <w14:schemeClr w14:val="tx1"/>
            </w14:solidFill>
          </w14:textFill>
        </w:rPr>
      </w:pPr>
    </w:p>
    <w:p w14:paraId="4F07A982">
      <w:pPr>
        <w:shd w:val="clear"/>
        <w:jc w:val="center"/>
        <w:rPr>
          <w:rFonts w:ascii="宋体" w:hAnsi="宋体" w:cs="宋体"/>
          <w:b/>
          <w:color w:val="000000" w:themeColor="text1"/>
          <w:kern w:val="0"/>
          <w:sz w:val="32"/>
          <w:szCs w:val="32"/>
          <w:highlight w:val="none"/>
          <w14:textFill>
            <w14:solidFill>
              <w14:schemeClr w14:val="tx1"/>
            </w14:solidFill>
          </w14:textFill>
        </w:rPr>
      </w:pPr>
    </w:p>
    <w:p w14:paraId="7C5CE843">
      <w:pPr>
        <w:shd w:val="clear"/>
        <w:jc w:val="center"/>
        <w:rPr>
          <w:rFonts w:ascii="宋体" w:hAnsi="宋体" w:cs="宋体"/>
          <w:b/>
          <w:color w:val="000000" w:themeColor="text1"/>
          <w:kern w:val="0"/>
          <w:sz w:val="32"/>
          <w:szCs w:val="32"/>
          <w:highlight w:val="none"/>
          <w14:textFill>
            <w14:solidFill>
              <w14:schemeClr w14:val="tx1"/>
            </w14:solidFill>
          </w14:textFill>
        </w:rPr>
      </w:pPr>
    </w:p>
    <w:p w14:paraId="09D68653">
      <w:pPr>
        <w:shd w:val="clear"/>
        <w:jc w:val="center"/>
        <w:rPr>
          <w:rFonts w:ascii="宋体" w:hAnsi="宋体" w:cs="宋体"/>
          <w:b/>
          <w:color w:val="000000" w:themeColor="text1"/>
          <w:kern w:val="0"/>
          <w:sz w:val="32"/>
          <w:szCs w:val="32"/>
          <w:highlight w:val="none"/>
          <w14:textFill>
            <w14:solidFill>
              <w14:schemeClr w14:val="tx1"/>
            </w14:solidFill>
          </w14:textFill>
        </w:rPr>
      </w:pPr>
    </w:p>
    <w:p w14:paraId="378FE7B6">
      <w:pPr>
        <w:shd w:val="clear"/>
        <w:jc w:val="center"/>
        <w:rPr>
          <w:rFonts w:ascii="宋体" w:hAnsi="宋体" w:cs="宋体"/>
          <w:b/>
          <w:color w:val="000000" w:themeColor="text1"/>
          <w:kern w:val="0"/>
          <w:sz w:val="32"/>
          <w:szCs w:val="32"/>
          <w:highlight w:val="none"/>
          <w14:textFill>
            <w14:solidFill>
              <w14:schemeClr w14:val="tx1"/>
            </w14:solidFill>
          </w14:textFill>
        </w:rPr>
      </w:pPr>
    </w:p>
    <w:p w14:paraId="1A54F973">
      <w:pPr>
        <w:shd w:val="clear"/>
        <w:jc w:val="center"/>
        <w:rPr>
          <w:rFonts w:ascii="宋体" w:hAnsi="宋体" w:cs="宋体"/>
          <w:b/>
          <w:color w:val="000000" w:themeColor="text1"/>
          <w:kern w:val="0"/>
          <w:sz w:val="32"/>
          <w:szCs w:val="32"/>
          <w:highlight w:val="none"/>
          <w14:textFill>
            <w14:solidFill>
              <w14:schemeClr w14:val="tx1"/>
            </w14:solidFill>
          </w14:textFill>
        </w:rPr>
      </w:pPr>
    </w:p>
    <w:p w14:paraId="65917F5D">
      <w:pPr>
        <w:shd w:val="clear"/>
        <w:jc w:val="center"/>
        <w:rPr>
          <w:rFonts w:ascii="宋体" w:hAnsi="宋体" w:cs="宋体"/>
          <w:b/>
          <w:color w:val="000000" w:themeColor="text1"/>
          <w:kern w:val="0"/>
          <w:sz w:val="32"/>
          <w:szCs w:val="32"/>
          <w:highlight w:val="none"/>
          <w14:textFill>
            <w14:solidFill>
              <w14:schemeClr w14:val="tx1"/>
            </w14:solidFill>
          </w14:textFill>
        </w:rPr>
      </w:pPr>
    </w:p>
    <w:p w14:paraId="064D014D">
      <w:pPr>
        <w:shd w:val="clear"/>
        <w:jc w:val="center"/>
        <w:rPr>
          <w:rFonts w:ascii="宋体" w:hAnsi="宋体" w:cs="宋体"/>
          <w:b/>
          <w:color w:val="000000" w:themeColor="text1"/>
          <w:kern w:val="0"/>
          <w:sz w:val="32"/>
          <w:szCs w:val="32"/>
          <w:highlight w:val="none"/>
          <w14:textFill>
            <w14:solidFill>
              <w14:schemeClr w14:val="tx1"/>
            </w14:solidFill>
          </w14:textFill>
        </w:rPr>
      </w:pPr>
    </w:p>
    <w:p w14:paraId="400F32FE">
      <w:pPr>
        <w:shd w:val="clear"/>
        <w:jc w:val="center"/>
        <w:rPr>
          <w:rFonts w:ascii="宋体" w:hAnsi="宋体" w:cs="宋体"/>
          <w:b/>
          <w:color w:val="000000" w:themeColor="text1"/>
          <w:kern w:val="0"/>
          <w:sz w:val="32"/>
          <w:szCs w:val="32"/>
          <w:highlight w:val="none"/>
          <w14:textFill>
            <w14:solidFill>
              <w14:schemeClr w14:val="tx1"/>
            </w14:solidFill>
          </w14:textFill>
        </w:rPr>
      </w:pPr>
    </w:p>
    <w:p w14:paraId="60820671">
      <w:pPr>
        <w:shd w:val="clear"/>
        <w:jc w:val="center"/>
        <w:rPr>
          <w:rFonts w:ascii="宋体" w:hAnsi="宋体" w:cs="宋体"/>
          <w:b/>
          <w:color w:val="000000" w:themeColor="text1"/>
          <w:kern w:val="0"/>
          <w:sz w:val="32"/>
          <w:szCs w:val="32"/>
          <w:highlight w:val="none"/>
          <w14:textFill>
            <w14:solidFill>
              <w14:schemeClr w14:val="tx1"/>
            </w14:solidFill>
          </w14:textFill>
        </w:rPr>
      </w:pPr>
    </w:p>
    <w:p w14:paraId="53528391">
      <w:pPr>
        <w:shd w:val="clear"/>
        <w:jc w:val="center"/>
        <w:rPr>
          <w:rFonts w:ascii="宋体" w:hAnsi="宋体" w:cs="宋体"/>
          <w:b/>
          <w:color w:val="000000" w:themeColor="text1"/>
          <w:kern w:val="0"/>
          <w:sz w:val="32"/>
          <w:szCs w:val="32"/>
          <w:highlight w:val="none"/>
          <w14:textFill>
            <w14:solidFill>
              <w14:schemeClr w14:val="tx1"/>
            </w14:solidFill>
          </w14:textFill>
        </w:rPr>
      </w:pPr>
    </w:p>
    <w:p w14:paraId="05301784">
      <w:pPr>
        <w:pStyle w:val="5"/>
        <w:shd w:val="clear"/>
        <w:rPr>
          <w:color w:val="000000" w:themeColor="text1"/>
          <w:highlight w:val="none"/>
          <w:lang w:val="en-US"/>
          <w14:textFill>
            <w14:solidFill>
              <w14:schemeClr w14:val="tx1"/>
            </w14:solidFill>
          </w14:textFill>
        </w:rPr>
      </w:pPr>
    </w:p>
    <w:p w14:paraId="18C85E0F">
      <w:pPr>
        <w:shd w:val="clear"/>
        <w:jc w:val="center"/>
        <w:rPr>
          <w:rFonts w:ascii="宋体" w:hAnsi="宋体" w:cs="宋体"/>
          <w:b/>
          <w:color w:val="000000" w:themeColor="text1"/>
          <w:kern w:val="0"/>
          <w:sz w:val="32"/>
          <w:szCs w:val="32"/>
          <w:highlight w:val="none"/>
          <w14:textFill>
            <w14:solidFill>
              <w14:schemeClr w14:val="tx1"/>
            </w14:solidFill>
          </w14:textFill>
        </w:rPr>
      </w:pPr>
    </w:p>
    <w:p w14:paraId="1E5B31A5">
      <w:pPr>
        <w:shd w:val="clear"/>
        <w:jc w:val="center"/>
        <w:rPr>
          <w:rFonts w:ascii="宋体" w:hAnsi="宋体" w:cs="宋体"/>
          <w:b/>
          <w:color w:val="000000" w:themeColor="text1"/>
          <w:kern w:val="0"/>
          <w:sz w:val="32"/>
          <w:szCs w:val="32"/>
          <w:highlight w:val="none"/>
          <w14:textFill>
            <w14:solidFill>
              <w14:schemeClr w14:val="tx1"/>
            </w14:solidFill>
          </w14:textFill>
        </w:rPr>
      </w:pPr>
    </w:p>
    <w:p w14:paraId="696A4C41">
      <w:pPr>
        <w:shd w:val="clear"/>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2E793A4">
      <w:pPr>
        <w:shd w:val="clea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C04AF02">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7DB87ED">
      <w:pPr>
        <w:shd w:val="clea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62262991">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14:paraId="5D0EA732">
      <w:pPr>
        <w:shd w:val="clea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9DD3A7D">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C344C4A">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697A2F4">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1B0ED6B2">
      <w:pPr>
        <w:shd w:val="clea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A79741B">
      <w:pPr>
        <w:shd w:val="clear"/>
        <w:snapToGrid w:val="0"/>
        <w:spacing w:line="360" w:lineRule="auto"/>
        <w:rPr>
          <w:rFonts w:ascii="宋体" w:hAnsi="宋体" w:cs="宋体"/>
          <w:color w:val="000000" w:themeColor="text1"/>
          <w:sz w:val="24"/>
          <w:highlight w:val="none"/>
          <w14:textFill>
            <w14:solidFill>
              <w14:schemeClr w14:val="tx1"/>
            </w14:solidFill>
          </w14:textFill>
        </w:rPr>
      </w:pPr>
    </w:p>
    <w:p w14:paraId="1DC10C9F">
      <w:pPr>
        <w:shd w:val="clea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9A67915">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14:paraId="5BB91890">
      <w:pPr>
        <w:shd w:val="clea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51658074">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013F3D1">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BC79CD3">
      <w:pPr>
        <w:shd w:val="clear"/>
        <w:jc w:val="center"/>
        <w:rPr>
          <w:rFonts w:ascii="宋体" w:hAnsi="宋体" w:cs="宋体"/>
          <w:b/>
          <w:color w:val="000000" w:themeColor="text1"/>
          <w:kern w:val="0"/>
          <w:sz w:val="32"/>
          <w:szCs w:val="32"/>
          <w:highlight w:val="none"/>
          <w14:textFill>
            <w14:solidFill>
              <w14:schemeClr w14:val="tx1"/>
            </w14:solidFill>
          </w14:textFill>
        </w:rPr>
      </w:pPr>
    </w:p>
    <w:p w14:paraId="246F96B0">
      <w:pPr>
        <w:shd w:val="clear"/>
        <w:rPr>
          <w:rFonts w:ascii="宋体" w:hAnsi="宋体" w:cs="宋体"/>
          <w:color w:val="000000" w:themeColor="text1"/>
          <w:highlight w:val="none"/>
          <w14:textFill>
            <w14:solidFill>
              <w14:schemeClr w14:val="tx1"/>
            </w14:solidFill>
          </w14:textFill>
        </w:rPr>
      </w:pPr>
    </w:p>
    <w:p w14:paraId="488180B5">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565DD71">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8D7843F">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9BA1279">
      <w:pPr>
        <w:shd w:val="clea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C1CF938">
      <w:pPr>
        <w:shd w:val="clea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0A7A9DF">
      <w:pPr>
        <w:shd w:val="clea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2FA7AC2">
      <w:pPr>
        <w:shd w:val="clea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ADB69C8">
      <w:pPr>
        <w:shd w:val="clea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D60C866">
      <w:pPr>
        <w:pStyle w:val="148"/>
        <w:shd w:val="clear"/>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6A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20089A">
            <w:pPr>
              <w:pStyle w:val="148"/>
              <w:keepNext w:val="0"/>
              <w:keepLines w:val="0"/>
              <w:suppressLineNumbers w:val="0"/>
              <w:shd w:val="clear"/>
              <w:adjustRightInd w:val="0"/>
              <w:spacing w:before="0" w:beforeAutospacing="0" w:after="0" w:afterAutospacing="0" w:line="360" w:lineRule="auto"/>
              <w:ind w:left="0" w:right="0"/>
              <w:rPr>
                <w:rFonts w:hint="default"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4D10AAB8">
            <w:pPr>
              <w:pStyle w:val="148"/>
              <w:keepNext w:val="0"/>
              <w:keepLines w:val="0"/>
              <w:suppressLineNumbers w:val="0"/>
              <w:shd w:val="clear"/>
              <w:adjustRightInd w:val="0"/>
              <w:spacing w:before="0" w:beforeAutospacing="0" w:after="0" w:afterAutospacing="0" w:line="360" w:lineRule="auto"/>
              <w:ind w:left="0" w:right="0"/>
              <w:rPr>
                <w:rFonts w:hint="default" w:hAnsi="宋体" w:cs="宋体"/>
                <w:bCs/>
                <w:color w:val="000000" w:themeColor="text1"/>
                <w:sz w:val="24"/>
                <w:highlight w:val="none"/>
                <w14:textFill>
                  <w14:solidFill>
                    <w14:schemeClr w14:val="tx1"/>
                  </w14:solidFill>
                </w14:textFill>
              </w:rPr>
            </w:pPr>
          </w:p>
        </w:tc>
      </w:tr>
    </w:tbl>
    <w:p w14:paraId="5DB45633">
      <w:pPr>
        <w:shd w:val="clea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510052E">
      <w:pPr>
        <w:shd w:val="clea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75E78A78">
      <w:pPr>
        <w:shd w:val="clea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7464700">
      <w:pPr>
        <w:shd w:val="clear"/>
        <w:jc w:val="center"/>
        <w:rPr>
          <w:rFonts w:ascii="宋体" w:hAnsi="宋体" w:cs="宋体"/>
          <w:b/>
          <w:color w:val="000000" w:themeColor="text1"/>
          <w:kern w:val="0"/>
          <w:sz w:val="32"/>
          <w:szCs w:val="32"/>
          <w:highlight w:val="none"/>
          <w14:textFill>
            <w14:solidFill>
              <w14:schemeClr w14:val="tx1"/>
            </w14:solidFill>
          </w14:textFill>
        </w:rPr>
      </w:pPr>
    </w:p>
    <w:p w14:paraId="2C83F646">
      <w:pPr>
        <w:shd w:val="clear"/>
        <w:jc w:val="center"/>
        <w:rPr>
          <w:rFonts w:ascii="宋体" w:hAnsi="宋体" w:cs="宋体"/>
          <w:b/>
          <w:color w:val="000000" w:themeColor="text1"/>
          <w:kern w:val="0"/>
          <w:sz w:val="32"/>
          <w:szCs w:val="32"/>
          <w:highlight w:val="none"/>
          <w14:textFill>
            <w14:solidFill>
              <w14:schemeClr w14:val="tx1"/>
            </w14:solidFill>
          </w14:textFill>
        </w:rPr>
      </w:pPr>
    </w:p>
    <w:p w14:paraId="61253024">
      <w:pPr>
        <w:shd w:val="clear"/>
        <w:jc w:val="center"/>
        <w:rPr>
          <w:rFonts w:ascii="宋体" w:hAnsi="宋体" w:cs="宋体"/>
          <w:b/>
          <w:color w:val="000000" w:themeColor="text1"/>
          <w:kern w:val="0"/>
          <w:sz w:val="32"/>
          <w:szCs w:val="32"/>
          <w:highlight w:val="none"/>
          <w14:textFill>
            <w14:solidFill>
              <w14:schemeClr w14:val="tx1"/>
            </w14:solidFill>
          </w14:textFill>
        </w:rPr>
      </w:pPr>
    </w:p>
    <w:p w14:paraId="1732B93B">
      <w:pPr>
        <w:shd w:val="clear"/>
        <w:jc w:val="center"/>
        <w:rPr>
          <w:rFonts w:ascii="宋体" w:hAnsi="宋体" w:cs="宋体"/>
          <w:b/>
          <w:color w:val="000000" w:themeColor="text1"/>
          <w:kern w:val="0"/>
          <w:sz w:val="32"/>
          <w:szCs w:val="32"/>
          <w:highlight w:val="none"/>
          <w14:textFill>
            <w14:solidFill>
              <w14:schemeClr w14:val="tx1"/>
            </w14:solidFill>
          </w14:textFill>
        </w:rPr>
      </w:pPr>
    </w:p>
    <w:p w14:paraId="3D1090CC">
      <w:pPr>
        <w:shd w:val="clear"/>
        <w:jc w:val="center"/>
        <w:rPr>
          <w:rFonts w:ascii="宋体" w:hAnsi="宋体" w:cs="宋体"/>
          <w:b/>
          <w:color w:val="000000" w:themeColor="text1"/>
          <w:kern w:val="0"/>
          <w:sz w:val="32"/>
          <w:szCs w:val="32"/>
          <w:highlight w:val="none"/>
          <w14:textFill>
            <w14:solidFill>
              <w14:schemeClr w14:val="tx1"/>
            </w14:solidFill>
          </w14:textFill>
        </w:rPr>
      </w:pPr>
    </w:p>
    <w:p w14:paraId="615C6D3F">
      <w:pPr>
        <w:shd w:val="clear"/>
        <w:jc w:val="center"/>
        <w:rPr>
          <w:rFonts w:ascii="宋体" w:hAnsi="宋体" w:cs="宋体"/>
          <w:b/>
          <w:color w:val="000000" w:themeColor="text1"/>
          <w:kern w:val="0"/>
          <w:sz w:val="32"/>
          <w:szCs w:val="32"/>
          <w:highlight w:val="none"/>
          <w14:textFill>
            <w14:solidFill>
              <w14:schemeClr w14:val="tx1"/>
            </w14:solidFill>
          </w14:textFill>
        </w:rPr>
      </w:pPr>
    </w:p>
    <w:p w14:paraId="6B07A3B0">
      <w:pPr>
        <w:shd w:val="clear"/>
        <w:jc w:val="center"/>
        <w:rPr>
          <w:rFonts w:ascii="宋体" w:hAnsi="宋体" w:cs="宋体"/>
          <w:b/>
          <w:color w:val="000000" w:themeColor="text1"/>
          <w:kern w:val="0"/>
          <w:sz w:val="32"/>
          <w:szCs w:val="32"/>
          <w:highlight w:val="none"/>
          <w14:textFill>
            <w14:solidFill>
              <w14:schemeClr w14:val="tx1"/>
            </w14:solidFill>
          </w14:textFill>
        </w:rPr>
      </w:pPr>
    </w:p>
    <w:p w14:paraId="29CB70F8">
      <w:pPr>
        <w:shd w:val="clear"/>
        <w:jc w:val="center"/>
        <w:rPr>
          <w:rFonts w:ascii="宋体" w:hAnsi="宋体" w:cs="宋体"/>
          <w:b/>
          <w:color w:val="000000" w:themeColor="text1"/>
          <w:kern w:val="0"/>
          <w:sz w:val="32"/>
          <w:szCs w:val="32"/>
          <w:highlight w:val="none"/>
          <w14:textFill>
            <w14:solidFill>
              <w14:schemeClr w14:val="tx1"/>
            </w14:solidFill>
          </w14:textFill>
        </w:rPr>
      </w:pPr>
    </w:p>
    <w:p w14:paraId="57BE2846">
      <w:pPr>
        <w:shd w:val="clear"/>
        <w:jc w:val="center"/>
        <w:rPr>
          <w:rFonts w:ascii="宋体" w:hAnsi="宋体" w:cs="宋体"/>
          <w:b/>
          <w:color w:val="000000" w:themeColor="text1"/>
          <w:kern w:val="0"/>
          <w:sz w:val="32"/>
          <w:szCs w:val="32"/>
          <w:highlight w:val="none"/>
          <w14:textFill>
            <w14:solidFill>
              <w14:schemeClr w14:val="tx1"/>
            </w14:solidFill>
          </w14:textFill>
        </w:rPr>
      </w:pPr>
    </w:p>
    <w:p w14:paraId="0418484F">
      <w:pPr>
        <w:shd w:val="clear"/>
        <w:jc w:val="center"/>
        <w:rPr>
          <w:rFonts w:ascii="宋体" w:hAnsi="宋体" w:cs="宋体"/>
          <w:b/>
          <w:color w:val="000000" w:themeColor="text1"/>
          <w:kern w:val="0"/>
          <w:sz w:val="32"/>
          <w:szCs w:val="32"/>
          <w:highlight w:val="none"/>
          <w14:textFill>
            <w14:solidFill>
              <w14:schemeClr w14:val="tx1"/>
            </w14:solidFill>
          </w14:textFill>
        </w:rPr>
      </w:pPr>
    </w:p>
    <w:p w14:paraId="28AFA94C">
      <w:pPr>
        <w:shd w:val="clea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11461AB">
      <w:pPr>
        <w:shd w:val="clea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B3406D5">
      <w:pPr>
        <w:widowControl/>
        <w:shd w:val="clear"/>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附件6</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2431B74">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p>
    <w:p w14:paraId="2AF0903C">
      <w:pPr>
        <w:shd w:val="clea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066D86C5">
      <w:pPr>
        <w:shd w:val="clea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69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9740A">
            <w:pPr>
              <w:keepNext w:val="0"/>
              <w:keepLines w:val="0"/>
              <w:suppressLineNumbers w:val="0"/>
              <w:shd w:val="clear"/>
              <w:snapToGrid w:val="0"/>
              <w:spacing w:before="0" w:beforeAutospacing="0" w:after="0" w:afterAutospacing="0" w:line="240" w:lineRule="atLeast"/>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2F920BA3">
            <w:pPr>
              <w:keepNext w:val="0"/>
              <w:keepLines w:val="0"/>
              <w:suppressLineNumbers w:val="0"/>
              <w:shd w:val="clear"/>
              <w:snapToGrid w:val="0"/>
              <w:spacing w:before="0" w:beforeAutospacing="0" w:after="0" w:afterAutospacing="0" w:line="240" w:lineRule="atLeast"/>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26F88742">
            <w:pPr>
              <w:keepNext w:val="0"/>
              <w:keepLines w:val="0"/>
              <w:suppressLineNumbers w:val="0"/>
              <w:shd w:val="clear"/>
              <w:snapToGrid w:val="0"/>
              <w:spacing w:before="0" w:beforeAutospacing="0" w:after="0" w:afterAutospacing="0" w:line="240" w:lineRule="atLeast"/>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20E7B38A">
            <w:pPr>
              <w:keepNext w:val="0"/>
              <w:keepLines w:val="0"/>
              <w:suppressLineNumbers w:val="0"/>
              <w:shd w:val="clear"/>
              <w:snapToGrid w:val="0"/>
              <w:spacing w:before="0" w:beforeAutospacing="0" w:after="0" w:afterAutospacing="0" w:line="240" w:lineRule="atLeast"/>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EE17F26">
            <w:pPr>
              <w:keepNext w:val="0"/>
              <w:keepLines w:val="0"/>
              <w:suppressLineNumbers w:val="0"/>
              <w:shd w:val="clear"/>
              <w:snapToGrid w:val="0"/>
              <w:spacing w:before="0" w:beforeAutospacing="0" w:after="0" w:afterAutospacing="0" w:line="240" w:lineRule="atLeast"/>
              <w:ind w:left="0" w:right="0"/>
              <w:jc w:val="center"/>
              <w:rPr>
                <w:rFonts w:hint="default"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5FD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5FA243">
            <w:pPr>
              <w:keepNext w:val="0"/>
              <w:keepLines w:val="0"/>
              <w:suppressLineNumbers w:val="0"/>
              <w:shd w:val="clear"/>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2D55B6AB">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0525E609">
            <w:pPr>
              <w:keepNext w:val="0"/>
              <w:keepLines w:val="0"/>
              <w:suppressLineNumbers w:val="0"/>
              <w:shd w:val="clear"/>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43EA1EF7">
            <w:pPr>
              <w:keepNext w:val="0"/>
              <w:keepLines w:val="0"/>
              <w:suppressLineNumbers w:val="0"/>
              <w:shd w:val="clear"/>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p>
          <w:p w14:paraId="1C729942">
            <w:pPr>
              <w:keepNext w:val="0"/>
              <w:keepLines w:val="0"/>
              <w:suppressLineNumbers w:val="0"/>
              <w:shd w:val="clear"/>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9F9B0FF">
            <w:pPr>
              <w:keepNext w:val="0"/>
              <w:keepLines w:val="0"/>
              <w:suppressLineNumbers w:val="0"/>
              <w:shd w:val="clear"/>
              <w:spacing w:before="0" w:beforeAutospacing="0" w:after="0" w:afterAutospacing="0"/>
              <w:ind w:left="0" w:right="0"/>
              <w:rPr>
                <w:rFonts w:hint="default"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89E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1EBDD9">
            <w:pPr>
              <w:keepNext w:val="0"/>
              <w:keepLines w:val="0"/>
              <w:suppressLineNumbers w:val="0"/>
              <w:shd w:val="clear"/>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442909A">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B716A07">
            <w:pPr>
              <w:keepNext w:val="0"/>
              <w:keepLines w:val="0"/>
              <w:suppressLineNumbers w:val="0"/>
              <w:shd w:val="clear"/>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B5A75">
            <w:pPr>
              <w:keepNext w:val="0"/>
              <w:keepLines w:val="0"/>
              <w:suppressLineNumbers w:val="0"/>
              <w:shd w:val="clear"/>
              <w:spacing w:before="0" w:beforeAutospacing="0" w:after="0" w:afterAutospacing="0"/>
              <w:ind w:left="0" w:right="0"/>
              <w:rPr>
                <w:rFonts w:hint="default"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387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8B1D48">
            <w:pPr>
              <w:keepNext w:val="0"/>
              <w:keepLines w:val="0"/>
              <w:suppressLineNumbers w:val="0"/>
              <w:shd w:val="clear"/>
              <w:spacing w:before="0" w:beforeAutospacing="0" w:after="0" w:afterAutospacing="0"/>
              <w:ind w:left="0" w:right="0"/>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6A68EC86">
            <w:pPr>
              <w:keepNext w:val="0"/>
              <w:keepLines w:val="0"/>
              <w:suppressLineNumbers w:val="0"/>
              <w:shd w:val="clear"/>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w:t>
            </w:r>
            <w:r>
              <w:rPr>
                <w:rFonts w:hint="eastAsia" w:ascii="宋体" w:hAnsi="宋体" w:cs="宋体"/>
                <w:color w:val="000000" w:themeColor="text1"/>
                <w:sz w:val="24"/>
                <w:highlight w:val="none"/>
                <w:lang w:eastAsia="zh-CN"/>
                <w14:textFill>
                  <w14:solidFill>
                    <w14:schemeClr w14:val="tx1"/>
                  </w14:solidFill>
                </w14:textFill>
              </w:rPr>
              <w:t>其他</w:t>
            </w:r>
            <w:r>
              <w:rPr>
                <w:rFonts w:hint="eastAsia" w:ascii="宋体" w:hAnsi="宋体" w:cs="宋体"/>
                <w:color w:val="000000" w:themeColor="text1"/>
                <w:sz w:val="24"/>
                <w:highlight w:val="none"/>
                <w14:textFill>
                  <w14:solidFill>
                    <w14:schemeClr w14:val="tx1"/>
                  </w14:solidFill>
                </w14:textFill>
              </w:rPr>
              <w:t>实质性要求。</w:t>
            </w:r>
          </w:p>
        </w:tc>
        <w:tc>
          <w:tcPr>
            <w:tcW w:w="2551" w:type="dxa"/>
            <w:vAlign w:val="center"/>
          </w:tcPr>
          <w:p w14:paraId="337485BD">
            <w:pPr>
              <w:keepNext w:val="0"/>
              <w:keepLines w:val="0"/>
              <w:suppressLineNumbers w:val="0"/>
              <w:shd w:val="clear"/>
              <w:spacing w:before="0" w:beforeAutospacing="0" w:after="0" w:afterAutospacing="0"/>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w:t>
            </w:r>
            <w:r>
              <w:rPr>
                <w:rFonts w:hint="eastAsia" w:ascii="宋体" w:hAnsi="宋体" w:cs="宋体"/>
                <w:color w:val="000000" w:themeColor="text1"/>
                <w:kern w:val="0"/>
                <w:sz w:val="24"/>
                <w:highlight w:val="none"/>
                <w:lang w:eastAsia="zh-CN"/>
                <w14:textFill>
                  <w14:solidFill>
                    <w14:schemeClr w14:val="tx1"/>
                  </w14:solidFill>
                </w14:textFill>
              </w:rPr>
              <w:t>其他</w:t>
            </w:r>
            <w:r>
              <w:rPr>
                <w:rFonts w:hint="eastAsia" w:ascii="宋体" w:hAnsi="宋体" w:cs="宋体"/>
                <w:color w:val="000000" w:themeColor="text1"/>
                <w:kern w:val="0"/>
                <w:sz w:val="24"/>
                <w:highlight w:val="none"/>
                <w14:textFill>
                  <w14:solidFill>
                    <w14:schemeClr w14:val="tx1"/>
                  </w14:solidFill>
                </w14:textFill>
              </w:rPr>
              <w:t>实质性要求相应的材料（“▲” 系指实质性要求条款，招标文件</w:t>
            </w:r>
            <w:r>
              <w:rPr>
                <w:rFonts w:hint="eastAsia" w:ascii="宋体" w:hAnsi="宋体" w:cs="宋体"/>
                <w:color w:val="000000" w:themeColor="text1"/>
                <w:kern w:val="0"/>
                <w:sz w:val="24"/>
                <w:highlight w:val="none"/>
                <w:lang w:eastAsia="zh-CN"/>
                <w14:textFill>
                  <w14:solidFill>
                    <w14:schemeClr w14:val="tx1"/>
                  </w14:solidFill>
                </w14:textFill>
              </w:rPr>
              <w:t>无其他</w:t>
            </w:r>
            <w:r>
              <w:rPr>
                <w:rFonts w:hint="eastAsia" w:ascii="宋体" w:hAnsi="宋体" w:cs="宋体"/>
                <w:color w:val="000000" w:themeColor="text1"/>
                <w:kern w:val="0"/>
                <w:sz w:val="24"/>
                <w:highlight w:val="none"/>
                <w14:textFill>
                  <w14:solidFill>
                    <w14:schemeClr w14:val="tx1"/>
                  </w14:solidFill>
                </w14:textFill>
              </w:rPr>
              <w:t>实质性要求的，无需提供）</w:t>
            </w:r>
          </w:p>
        </w:tc>
        <w:tc>
          <w:tcPr>
            <w:tcW w:w="1418" w:type="dxa"/>
          </w:tcPr>
          <w:p w14:paraId="05607050">
            <w:pPr>
              <w:keepNext w:val="0"/>
              <w:keepLines w:val="0"/>
              <w:suppressLineNumbers w:val="0"/>
              <w:shd w:val="clear"/>
              <w:spacing w:before="0" w:beforeAutospacing="0" w:after="0" w:afterAutospacing="0"/>
              <w:ind w:left="0" w:right="0"/>
              <w:rPr>
                <w:rFonts w:hint="default"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3C38423D">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99DDB3F">
      <w:pPr>
        <w:shd w:val="clear"/>
        <w:jc w:val="center"/>
        <w:rPr>
          <w:rFonts w:ascii="宋体" w:hAnsi="宋体" w:cs="宋体"/>
          <w:b/>
          <w:color w:val="000000" w:themeColor="text1"/>
          <w:kern w:val="0"/>
          <w:sz w:val="32"/>
          <w:szCs w:val="32"/>
          <w:highlight w:val="none"/>
          <w14:textFill>
            <w14:solidFill>
              <w14:schemeClr w14:val="tx1"/>
            </w14:solidFill>
          </w14:textFill>
        </w:rPr>
      </w:pPr>
    </w:p>
    <w:p w14:paraId="0727253A">
      <w:pPr>
        <w:shd w:val="clea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0C0B568E">
      <w:pPr>
        <w:shd w:val="clear"/>
        <w:jc w:val="center"/>
        <w:rPr>
          <w:rFonts w:ascii="宋体" w:hAnsi="宋体" w:cs="宋体"/>
          <w:b/>
          <w:color w:val="000000" w:themeColor="text1"/>
          <w:kern w:val="0"/>
          <w:sz w:val="32"/>
          <w:szCs w:val="32"/>
          <w:highlight w:val="none"/>
          <w14:textFill>
            <w14:solidFill>
              <w14:schemeClr w14:val="tx1"/>
            </w14:solidFill>
          </w14:textFill>
        </w:rPr>
      </w:pPr>
    </w:p>
    <w:p w14:paraId="094E9B9F">
      <w:pPr>
        <w:shd w:val="clear"/>
        <w:jc w:val="center"/>
        <w:rPr>
          <w:rFonts w:ascii="宋体" w:hAnsi="宋体" w:cs="宋体"/>
          <w:b/>
          <w:color w:val="000000" w:themeColor="text1"/>
          <w:kern w:val="0"/>
          <w:sz w:val="32"/>
          <w:szCs w:val="32"/>
          <w:highlight w:val="none"/>
          <w14:textFill>
            <w14:solidFill>
              <w14:schemeClr w14:val="tx1"/>
            </w14:solidFill>
          </w14:textFill>
        </w:rPr>
      </w:pPr>
    </w:p>
    <w:p w14:paraId="3038D403">
      <w:pPr>
        <w:shd w:val="clear"/>
        <w:jc w:val="center"/>
        <w:rPr>
          <w:rFonts w:ascii="宋体" w:hAnsi="宋体" w:cs="宋体"/>
          <w:b/>
          <w:color w:val="000000" w:themeColor="text1"/>
          <w:kern w:val="0"/>
          <w:sz w:val="32"/>
          <w:szCs w:val="32"/>
          <w:highlight w:val="none"/>
          <w14:textFill>
            <w14:solidFill>
              <w14:schemeClr w14:val="tx1"/>
            </w14:solidFill>
          </w14:textFill>
        </w:rPr>
      </w:pPr>
    </w:p>
    <w:p w14:paraId="7D58C511">
      <w:pPr>
        <w:shd w:val="clear"/>
        <w:jc w:val="center"/>
        <w:rPr>
          <w:rFonts w:ascii="宋体" w:hAnsi="宋体" w:cs="宋体"/>
          <w:b/>
          <w:color w:val="000000" w:themeColor="text1"/>
          <w:kern w:val="0"/>
          <w:sz w:val="32"/>
          <w:szCs w:val="32"/>
          <w:highlight w:val="none"/>
          <w14:textFill>
            <w14:solidFill>
              <w14:schemeClr w14:val="tx1"/>
            </w14:solidFill>
          </w14:textFill>
        </w:rPr>
      </w:pPr>
    </w:p>
    <w:p w14:paraId="387B8DB6">
      <w:pPr>
        <w:shd w:val="clear"/>
        <w:jc w:val="center"/>
        <w:rPr>
          <w:rFonts w:ascii="宋体" w:hAnsi="宋体" w:cs="宋体"/>
          <w:b/>
          <w:color w:val="000000" w:themeColor="text1"/>
          <w:kern w:val="0"/>
          <w:sz w:val="32"/>
          <w:szCs w:val="32"/>
          <w:highlight w:val="none"/>
          <w14:textFill>
            <w14:solidFill>
              <w14:schemeClr w14:val="tx1"/>
            </w14:solidFill>
          </w14:textFill>
        </w:rPr>
      </w:pPr>
    </w:p>
    <w:p w14:paraId="2F8984F7">
      <w:pPr>
        <w:shd w:val="clear"/>
        <w:jc w:val="center"/>
        <w:rPr>
          <w:rFonts w:ascii="宋体" w:hAnsi="宋体" w:cs="宋体"/>
          <w:b/>
          <w:color w:val="000000" w:themeColor="text1"/>
          <w:kern w:val="0"/>
          <w:sz w:val="32"/>
          <w:szCs w:val="32"/>
          <w:highlight w:val="none"/>
          <w14:textFill>
            <w14:solidFill>
              <w14:schemeClr w14:val="tx1"/>
            </w14:solidFill>
          </w14:textFill>
        </w:rPr>
      </w:pPr>
    </w:p>
    <w:p w14:paraId="7E90D3B6">
      <w:pPr>
        <w:shd w:val="clear"/>
        <w:jc w:val="center"/>
        <w:rPr>
          <w:rFonts w:ascii="宋体" w:hAnsi="宋体" w:cs="宋体"/>
          <w:b/>
          <w:color w:val="000000" w:themeColor="text1"/>
          <w:kern w:val="0"/>
          <w:sz w:val="32"/>
          <w:szCs w:val="32"/>
          <w:highlight w:val="none"/>
          <w14:textFill>
            <w14:solidFill>
              <w14:schemeClr w14:val="tx1"/>
            </w14:solidFill>
          </w14:textFill>
        </w:rPr>
      </w:pPr>
    </w:p>
    <w:p w14:paraId="6D794DA0">
      <w:pPr>
        <w:shd w:val="clear"/>
        <w:jc w:val="center"/>
        <w:rPr>
          <w:rFonts w:ascii="宋体" w:hAnsi="宋体" w:cs="宋体"/>
          <w:b/>
          <w:color w:val="000000" w:themeColor="text1"/>
          <w:kern w:val="0"/>
          <w:sz w:val="32"/>
          <w:szCs w:val="32"/>
          <w:highlight w:val="none"/>
          <w14:textFill>
            <w14:solidFill>
              <w14:schemeClr w14:val="tx1"/>
            </w14:solidFill>
          </w14:textFill>
        </w:rPr>
      </w:pPr>
    </w:p>
    <w:p w14:paraId="5501583A">
      <w:pPr>
        <w:shd w:val="clear"/>
        <w:jc w:val="center"/>
        <w:rPr>
          <w:rFonts w:ascii="宋体" w:hAnsi="宋体" w:cs="宋体"/>
          <w:b/>
          <w:color w:val="000000" w:themeColor="text1"/>
          <w:kern w:val="0"/>
          <w:sz w:val="32"/>
          <w:szCs w:val="32"/>
          <w:highlight w:val="none"/>
          <w14:textFill>
            <w14:solidFill>
              <w14:schemeClr w14:val="tx1"/>
            </w14:solidFill>
          </w14:textFill>
        </w:rPr>
      </w:pPr>
    </w:p>
    <w:p w14:paraId="2A6C9D1E">
      <w:pPr>
        <w:shd w:val="clear"/>
        <w:jc w:val="center"/>
        <w:rPr>
          <w:rFonts w:ascii="宋体" w:hAnsi="宋体" w:cs="宋体"/>
          <w:b/>
          <w:color w:val="000000" w:themeColor="text1"/>
          <w:kern w:val="0"/>
          <w:sz w:val="32"/>
          <w:szCs w:val="32"/>
          <w:highlight w:val="none"/>
          <w14:textFill>
            <w14:solidFill>
              <w14:schemeClr w14:val="tx1"/>
            </w14:solidFill>
          </w14:textFill>
        </w:rPr>
      </w:pPr>
    </w:p>
    <w:p w14:paraId="2645BF29">
      <w:pPr>
        <w:shd w:val="clear"/>
        <w:jc w:val="center"/>
        <w:rPr>
          <w:rFonts w:ascii="宋体" w:hAnsi="宋体" w:cs="宋体"/>
          <w:b/>
          <w:color w:val="000000" w:themeColor="text1"/>
          <w:kern w:val="0"/>
          <w:sz w:val="32"/>
          <w:szCs w:val="32"/>
          <w:highlight w:val="none"/>
          <w14:textFill>
            <w14:solidFill>
              <w14:schemeClr w14:val="tx1"/>
            </w14:solidFill>
          </w14:textFill>
        </w:rPr>
      </w:pPr>
    </w:p>
    <w:p w14:paraId="344893E3">
      <w:pPr>
        <w:shd w:val="clear"/>
        <w:jc w:val="center"/>
        <w:rPr>
          <w:rFonts w:ascii="宋体" w:hAnsi="宋体" w:cs="宋体"/>
          <w:b/>
          <w:color w:val="000000" w:themeColor="text1"/>
          <w:kern w:val="0"/>
          <w:sz w:val="32"/>
          <w:szCs w:val="32"/>
          <w:highlight w:val="none"/>
          <w14:textFill>
            <w14:solidFill>
              <w14:schemeClr w14:val="tx1"/>
            </w14:solidFill>
          </w14:textFill>
        </w:rPr>
      </w:pPr>
    </w:p>
    <w:p w14:paraId="595BD566">
      <w:pPr>
        <w:shd w:val="clea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128ADFE">
      <w:pPr>
        <w:shd w:val="clea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4D4BB911">
      <w:pPr>
        <w:shd w:val="clear"/>
        <w:jc w:val="center"/>
        <w:rPr>
          <w:rFonts w:ascii="宋体" w:hAnsi="宋体" w:cs="宋体"/>
          <w:b/>
          <w:color w:val="000000" w:themeColor="text1"/>
          <w:kern w:val="0"/>
          <w:sz w:val="32"/>
          <w:szCs w:val="32"/>
          <w:highlight w:val="none"/>
          <w14:textFill>
            <w14:solidFill>
              <w14:schemeClr w14:val="tx1"/>
            </w14:solidFill>
          </w14:textFill>
        </w:rPr>
      </w:pPr>
    </w:p>
    <w:p w14:paraId="23A5582C">
      <w:pPr>
        <w:shd w:val="clear"/>
        <w:jc w:val="center"/>
        <w:rPr>
          <w:rFonts w:ascii="宋体" w:hAnsi="宋体" w:cs="宋体"/>
          <w:b/>
          <w:color w:val="000000" w:themeColor="text1"/>
          <w:kern w:val="0"/>
          <w:sz w:val="32"/>
          <w:szCs w:val="32"/>
          <w:highlight w:val="none"/>
          <w14:textFill>
            <w14:solidFill>
              <w14:schemeClr w14:val="tx1"/>
            </w14:solidFill>
          </w14:textFill>
        </w:rPr>
      </w:pPr>
    </w:p>
    <w:p w14:paraId="7FF432DB">
      <w:pPr>
        <w:shd w:val="clear"/>
        <w:jc w:val="center"/>
        <w:rPr>
          <w:rFonts w:ascii="宋体" w:hAnsi="宋体" w:cs="宋体"/>
          <w:b/>
          <w:color w:val="000000" w:themeColor="text1"/>
          <w:kern w:val="0"/>
          <w:sz w:val="32"/>
          <w:szCs w:val="32"/>
          <w:highlight w:val="none"/>
          <w14:textFill>
            <w14:solidFill>
              <w14:schemeClr w14:val="tx1"/>
            </w14:solidFill>
          </w14:textFill>
        </w:rPr>
      </w:pPr>
    </w:p>
    <w:p w14:paraId="5F69C452">
      <w:pPr>
        <w:shd w:val="clea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9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D5B38">
            <w:pPr>
              <w:keepNext w:val="0"/>
              <w:keepLines w:val="0"/>
              <w:suppressLineNumbers w:val="0"/>
              <w:shd w:val="clear"/>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56A85361">
            <w:pPr>
              <w:keepNext w:val="0"/>
              <w:keepLines w:val="0"/>
              <w:suppressLineNumbers w:val="0"/>
              <w:shd w:val="clear"/>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2BEFEBA6">
            <w:pPr>
              <w:keepNext w:val="0"/>
              <w:keepLines w:val="0"/>
              <w:suppressLineNumbers w:val="0"/>
              <w:shd w:val="clear"/>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81750FE">
            <w:pPr>
              <w:keepNext w:val="0"/>
              <w:keepLines w:val="0"/>
              <w:suppressLineNumbers w:val="0"/>
              <w:shd w:val="clear"/>
              <w:spacing w:before="0" w:beforeAutospacing="0" w:after="0" w:afterAutospacing="0"/>
              <w:ind w:left="0" w:right="0"/>
              <w:jc w:val="center"/>
              <w:rPr>
                <w:rFonts w:hint="default"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5963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CC29F4">
            <w:pPr>
              <w:keepNext w:val="0"/>
              <w:keepLines w:val="0"/>
              <w:suppressLineNumbers w:val="0"/>
              <w:shd w:val="clear"/>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45AD9582">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3546" w:type="dxa"/>
          </w:tcPr>
          <w:p w14:paraId="344C6C86">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1276" w:type="dxa"/>
          </w:tcPr>
          <w:p w14:paraId="6487AF07">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r>
      <w:tr w14:paraId="0127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3B00D0">
            <w:pPr>
              <w:keepNext w:val="0"/>
              <w:keepLines w:val="0"/>
              <w:suppressLineNumbers w:val="0"/>
              <w:shd w:val="clear"/>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06F83BFD">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3546" w:type="dxa"/>
          </w:tcPr>
          <w:p w14:paraId="4A7D2EDB">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1276" w:type="dxa"/>
          </w:tcPr>
          <w:p w14:paraId="3A3BBF35">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r>
      <w:tr w14:paraId="645A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3AFE3E">
            <w:pPr>
              <w:keepNext w:val="0"/>
              <w:keepLines w:val="0"/>
              <w:suppressLineNumbers w:val="0"/>
              <w:shd w:val="clear"/>
              <w:spacing w:before="0" w:beforeAutospacing="0" w:after="0" w:afterAutospacing="0"/>
              <w:ind w:left="0" w:right="0"/>
              <w:jc w:val="center"/>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84176B1">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3546" w:type="dxa"/>
          </w:tcPr>
          <w:p w14:paraId="5E62BEDB">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c>
          <w:tcPr>
            <w:tcW w:w="1276" w:type="dxa"/>
          </w:tcPr>
          <w:p w14:paraId="672CED56">
            <w:pPr>
              <w:keepNext w:val="0"/>
              <w:keepLines w:val="0"/>
              <w:suppressLineNumbers w:val="0"/>
              <w:shd w:val="clear"/>
              <w:spacing w:before="0" w:beforeAutospacing="0" w:after="0" w:afterAutospacing="0"/>
              <w:ind w:left="0" w:right="0"/>
              <w:jc w:val="center"/>
              <w:rPr>
                <w:rFonts w:hint="default" w:ascii="宋体" w:hAnsi="宋体" w:cs="宋体"/>
                <w:b/>
                <w:color w:val="000000" w:themeColor="text1"/>
                <w:kern w:val="0"/>
                <w:sz w:val="32"/>
                <w:szCs w:val="32"/>
                <w:highlight w:val="none"/>
                <w14:textFill>
                  <w14:solidFill>
                    <w14:schemeClr w14:val="tx1"/>
                  </w14:solidFill>
                </w14:textFill>
              </w:rPr>
            </w:pPr>
          </w:p>
        </w:tc>
      </w:tr>
    </w:tbl>
    <w:p w14:paraId="32B14AAC">
      <w:pPr>
        <w:shd w:val="clea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A2B5D75">
      <w:pPr>
        <w:shd w:val="clear"/>
        <w:jc w:val="center"/>
        <w:rPr>
          <w:rFonts w:ascii="宋体" w:hAnsi="宋体" w:cs="宋体"/>
          <w:b/>
          <w:color w:val="000000" w:themeColor="text1"/>
          <w:kern w:val="0"/>
          <w:sz w:val="32"/>
          <w:szCs w:val="32"/>
          <w:highlight w:val="none"/>
          <w14:textFill>
            <w14:solidFill>
              <w14:schemeClr w14:val="tx1"/>
            </w14:solidFill>
          </w14:textFill>
        </w:rPr>
      </w:pPr>
    </w:p>
    <w:p w14:paraId="30D994A4">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AEAAE8E">
      <w:pPr>
        <w:shd w:val="clear"/>
        <w:ind w:firstLine="1911" w:firstLineChars="595"/>
        <w:rPr>
          <w:rFonts w:ascii="宋体" w:hAnsi="宋体" w:cs="宋体"/>
          <w:b/>
          <w:bCs/>
          <w:color w:val="000000" w:themeColor="text1"/>
          <w:sz w:val="32"/>
          <w:szCs w:val="32"/>
          <w:highlight w:val="none"/>
          <w14:textFill>
            <w14:solidFill>
              <w14:schemeClr w14:val="tx1"/>
            </w14:solidFill>
          </w14:textFill>
        </w:rPr>
      </w:pPr>
    </w:p>
    <w:p w14:paraId="2DDAE522">
      <w:pPr>
        <w:shd w:val="clear"/>
        <w:ind w:firstLine="1911" w:firstLineChars="595"/>
        <w:rPr>
          <w:rFonts w:ascii="宋体" w:hAnsi="宋体" w:cs="宋体"/>
          <w:b/>
          <w:bCs/>
          <w:color w:val="000000" w:themeColor="text1"/>
          <w:sz w:val="32"/>
          <w:szCs w:val="32"/>
          <w:highlight w:val="none"/>
          <w14:textFill>
            <w14:solidFill>
              <w14:schemeClr w14:val="tx1"/>
            </w14:solidFill>
          </w14:textFill>
        </w:rPr>
      </w:pPr>
    </w:p>
    <w:p w14:paraId="282971A1">
      <w:pPr>
        <w:shd w:val="clear"/>
        <w:ind w:firstLine="1911" w:firstLineChars="595"/>
        <w:rPr>
          <w:rFonts w:ascii="宋体" w:hAnsi="宋体" w:cs="宋体"/>
          <w:b/>
          <w:bCs/>
          <w:color w:val="000000" w:themeColor="text1"/>
          <w:sz w:val="32"/>
          <w:szCs w:val="32"/>
          <w:highlight w:val="none"/>
          <w14:textFill>
            <w14:solidFill>
              <w14:schemeClr w14:val="tx1"/>
            </w14:solidFill>
          </w14:textFill>
        </w:rPr>
      </w:pPr>
    </w:p>
    <w:p w14:paraId="608083B6">
      <w:pPr>
        <w:widowControl/>
        <w:shd w:val="clear"/>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5FD0C75C">
      <w:pPr>
        <w:shd w:val="clea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306498C5">
      <w:pPr>
        <w:shd w:val="clear"/>
        <w:snapToGrid w:val="0"/>
        <w:spacing w:line="360" w:lineRule="auto"/>
        <w:rPr>
          <w:rFonts w:ascii="宋体" w:hAnsi="宋体" w:cs="宋体"/>
          <w:color w:val="000000" w:themeColor="text1"/>
          <w:sz w:val="24"/>
          <w:highlight w:val="none"/>
          <w14:textFill>
            <w14:solidFill>
              <w14:schemeClr w14:val="tx1"/>
            </w14:solidFill>
          </w14:textFill>
        </w:rPr>
      </w:pPr>
    </w:p>
    <w:p w14:paraId="00E99070">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14:paraId="62692CD4">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FA9BC88">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36F885A">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5BA4534">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1F91FB5">
      <w:pPr>
        <w:shd w:val="clea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C805F40">
      <w:pPr>
        <w:shd w:val="clea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9A6C4F4">
      <w:pPr>
        <w:shd w:val="clea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41821283">
      <w:pPr>
        <w:shd w:val="clear"/>
        <w:autoSpaceDE w:val="0"/>
        <w:autoSpaceDN w:val="0"/>
        <w:spacing w:line="360" w:lineRule="auto"/>
        <w:ind w:left="220" w:leftChars="105" w:firstLine="259" w:firstLineChars="108"/>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B1FDAD5">
      <w:pPr>
        <w:shd w:val="clea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w:t>
      </w:r>
      <w:r>
        <w:rPr>
          <w:rFonts w:hint="eastAsia" w:ascii="宋体" w:hAnsi="宋体" w:cs="宋体"/>
          <w:color w:val="000000" w:themeColor="text1"/>
          <w:kern w:val="0"/>
          <w:sz w:val="24"/>
          <w:highlight w:val="none"/>
          <w:lang w:val="en-US" w:eastAsia="zh-CN"/>
          <w14:textFill>
            <w14:solidFill>
              <w14:schemeClr w14:val="tx1"/>
            </w14:solidFill>
          </w14:textFill>
        </w:rPr>
        <w:t>区</w:t>
      </w:r>
      <w:r>
        <w:rPr>
          <w:rFonts w:hint="eastAsia" w:ascii="宋体" w:hAnsi="宋体" w:cs="宋体"/>
          <w:color w:val="000000" w:themeColor="text1"/>
          <w:kern w:val="0"/>
          <w:sz w:val="24"/>
          <w:highlight w:val="none"/>
          <w:lang w:val="zh-CN"/>
          <w14:textFill>
            <w14:solidFill>
              <w14:schemeClr w14:val="tx1"/>
            </w14:solidFill>
          </w14:textFill>
        </w:rPr>
        <w:t>财政局。由此引起的相应损失均由我单位承担。</w:t>
      </w:r>
    </w:p>
    <w:p w14:paraId="5E092A66">
      <w:pPr>
        <w:shd w:val="clea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81E86A2">
      <w:pPr>
        <w:shd w:val="clea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E74B71E">
      <w:pPr>
        <w:shd w:val="clea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F8F89C3">
      <w:pPr>
        <w:shd w:val="clea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233C77C">
      <w:pPr>
        <w:shd w:val="clea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7E09E2B0">
      <w:pPr>
        <w:shd w:val="clear"/>
        <w:spacing w:line="360" w:lineRule="auto"/>
        <w:jc w:val="center"/>
        <w:rPr>
          <w:rFonts w:ascii="宋体" w:hAnsi="宋体" w:cs="宋体"/>
          <w:b/>
          <w:bCs/>
          <w:color w:val="000000" w:themeColor="text1"/>
          <w:sz w:val="24"/>
          <w:highlight w:val="none"/>
          <w14:textFill>
            <w14:solidFill>
              <w14:schemeClr w14:val="tx1"/>
            </w14:solidFill>
          </w14:textFill>
        </w:rPr>
      </w:pPr>
    </w:p>
    <w:p w14:paraId="3655EED7">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1AF788A">
      <w:pPr>
        <w:shd w:val="clea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2F87DF3">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0A3E42A">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416BFD55">
      <w:pPr>
        <w:shd w:val="clea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B25F9AE">
      <w:pPr>
        <w:shd w:val="clea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61ED9FEC">
      <w:pPr>
        <w:shd w:val="clea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62F12DE9">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…………………………………………………………………（页码）</w:t>
      </w:r>
    </w:p>
    <w:p w14:paraId="3DC19934">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6D35045">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91A664">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2CC6428">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4057CC">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B55BF8C">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3FBDAD0">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F112FB4">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568023">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6C8DB53">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6C6A3C9">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B340D81">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CD490AA">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9FC9CB">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2782BAC">
      <w:pPr>
        <w:shd w:val="clea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E60AAF0">
      <w:pPr>
        <w:pStyle w:val="690"/>
        <w:keepNext w:val="0"/>
        <w:pageBreakBefore w:val="0"/>
        <w:shd w:val="clear"/>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6D86617">
      <w:pPr>
        <w:pStyle w:val="690"/>
        <w:keepNext w:val="0"/>
        <w:pageBreakBefore w:val="0"/>
        <w:shd w:val="clear"/>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06C404D">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宁波中基国际招标有限公司</w:t>
      </w:r>
      <w:r>
        <w:rPr>
          <w:rFonts w:hint="eastAsia" w:ascii="宋体" w:hAnsi="宋体" w:cs="宋体"/>
          <w:color w:val="000000" w:themeColor="text1"/>
          <w:kern w:val="0"/>
          <w:sz w:val="24"/>
          <w:highlight w:val="none"/>
          <w:lang w:val="zh-CN"/>
          <w14:textFill>
            <w14:solidFill>
              <w14:schemeClr w14:val="tx1"/>
            </w14:solidFill>
          </w14:textFill>
        </w:rPr>
        <w:t>：</w:t>
      </w:r>
    </w:p>
    <w:p w14:paraId="539C0A14">
      <w:pPr>
        <w:shd w:val="clea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08C95EF2">
      <w:pPr>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w:t>
      </w:r>
    </w:p>
    <w:tbl>
      <w:tblPr>
        <w:tblStyle w:val="62"/>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3"/>
        <w:gridCol w:w="3021"/>
        <w:gridCol w:w="2305"/>
        <w:gridCol w:w="2533"/>
      </w:tblGrid>
      <w:tr w14:paraId="620B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6C076E40">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ascii="宋体" w:hAnsi="宋体" w:eastAsia="宋体"/>
                <w:b/>
                <w:bCs w:val="0"/>
                <w:color w:val="000000" w:themeColor="text1"/>
                <w:szCs w:val="21"/>
                <w:highlight w:val="none"/>
                <w:lang w:val="en-US" w:eastAsia="zh-CN"/>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序号</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62F4A4D8">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食品类别</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3BE78165">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r>
              <w:rPr>
                <w:rFonts w:hint="eastAsia" w:ascii="宋体" w:hAnsi="宋体"/>
                <w:b/>
                <w:bCs w:val="0"/>
                <w:color w:val="000000" w:themeColor="text1"/>
                <w:szCs w:val="21"/>
                <w:highlight w:val="none"/>
                <w14:textFill>
                  <w14:solidFill>
                    <w14:schemeClr w14:val="tx1"/>
                  </w14:solidFill>
                </w14:textFill>
              </w:rPr>
              <w:t>投标</w:t>
            </w:r>
            <w:r>
              <w:rPr>
                <w:rFonts w:hint="eastAsia" w:ascii="宋体" w:hAnsi="宋体"/>
                <w:b/>
                <w:bCs w:val="0"/>
                <w:color w:val="000000" w:themeColor="text1"/>
                <w:szCs w:val="21"/>
                <w:highlight w:val="none"/>
                <w:lang w:val="en-US" w:eastAsia="zh-CN"/>
                <w14:textFill>
                  <w14:solidFill>
                    <w14:schemeClr w14:val="tx1"/>
                  </w14:solidFill>
                </w14:textFill>
              </w:rPr>
              <w:t>折扣系数</w:t>
            </w:r>
            <w:r>
              <w:rPr>
                <w:rFonts w:hint="eastAsia" w:ascii="宋体" w:hAnsi="宋体"/>
                <w:b/>
                <w:bCs w:val="0"/>
                <w:color w:val="000000" w:themeColor="text1"/>
                <w:szCs w:val="21"/>
                <w:highlight w:val="none"/>
                <w14:textFill>
                  <w14:solidFill>
                    <w14:schemeClr w14:val="tx1"/>
                  </w14:solidFill>
                </w14:textFill>
              </w:rPr>
              <w:t>（%）</w:t>
            </w:r>
          </w:p>
        </w:tc>
        <w:tc>
          <w:tcPr>
            <w:tcW w:w="2533" w:type="dxa"/>
            <w:tcBorders>
              <w:top w:val="single" w:color="auto" w:sz="4" w:space="0"/>
              <w:left w:val="single" w:color="auto" w:sz="4" w:space="0"/>
              <w:bottom w:val="single" w:color="auto" w:sz="4" w:space="0"/>
              <w:right w:val="single" w:color="auto" w:sz="4" w:space="0"/>
            </w:tcBorders>
            <w:noWrap w:val="0"/>
            <w:vAlign w:val="center"/>
          </w:tcPr>
          <w:p w14:paraId="074C11BC">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eastAsia="宋体"/>
                <w:b/>
                <w:bCs w:val="0"/>
                <w:color w:val="000000" w:themeColor="text1"/>
                <w:szCs w:val="21"/>
                <w:highlight w:val="none"/>
                <w:lang w:val="en-US" w:eastAsia="zh-CN"/>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合同履约期限</w:t>
            </w:r>
          </w:p>
        </w:tc>
      </w:tr>
      <w:tr w14:paraId="48B2C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659008B5">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1</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64387D66">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蔬菜类</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01D73D4A">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both"/>
              <w:outlineLvl w:val="9"/>
              <w:rPr>
                <w:rFonts w:hint="default" w:ascii="宋体" w:hAnsi="宋体"/>
                <w:b/>
                <w:bCs w:val="0"/>
                <w:color w:val="000000" w:themeColor="text1"/>
                <w:kern w:val="2"/>
                <w:sz w:val="21"/>
                <w:szCs w:val="21"/>
                <w:highlight w:val="none"/>
                <w:lang w:val="en-US" w:eastAsia="zh-CN" w:bidi="ar-SA"/>
                <w14:textFill>
                  <w14:solidFill>
                    <w14:schemeClr w14:val="tx1"/>
                  </w14:solidFill>
                </w14:textFill>
              </w:rPr>
            </w:pPr>
          </w:p>
        </w:tc>
        <w:tc>
          <w:tcPr>
            <w:tcW w:w="2533" w:type="dxa"/>
            <w:vMerge w:val="restart"/>
            <w:tcBorders>
              <w:left w:val="single" w:color="auto" w:sz="4" w:space="0"/>
              <w:right w:val="single" w:color="auto" w:sz="4" w:space="0"/>
            </w:tcBorders>
            <w:noWrap w:val="0"/>
            <w:vAlign w:val="center"/>
          </w:tcPr>
          <w:p w14:paraId="26148D45">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ascii="宋体" w:hAnsi="宋体"/>
                <w:b/>
                <w:bCs w:val="0"/>
                <w:color w:val="000000" w:themeColor="text1"/>
                <w:kern w:val="2"/>
                <w:sz w:val="21"/>
                <w:szCs w:val="21"/>
                <w:highlight w:val="none"/>
                <w:lang w:val="en-US" w:eastAsia="zh-CN" w:bidi="ar-SA"/>
                <w14:textFill>
                  <w14:solidFill>
                    <w14:schemeClr w14:val="tx1"/>
                  </w14:solidFill>
                </w14:textFill>
              </w:rPr>
            </w:pPr>
          </w:p>
        </w:tc>
      </w:tr>
      <w:tr w14:paraId="43E47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008818A2">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2</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3769DCB3">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豆制品类</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192D5B38">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533A3A2C">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3C312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0CA65C02">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3</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3FDEEA91">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水产类冷冻品、鲜家禽类、肉类冷冻品</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5C1F91D6">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0159D09E">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50326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093B8D9E">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4</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759573E2">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猪肉类</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2CFCEAB5">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60441D47">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7ECA0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48165718">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5</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02732B70">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其他鲜肉食类（除猪肉）</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76B59090">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49FC971E">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5EFEA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7E3F51D4">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6</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1E920A21">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蛋类</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BEA7263">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72CC1927">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75998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77C6BBB2">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7</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3C9F62EC">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
                <w14:textFill>
                  <w14:solidFill>
                    <w14:schemeClr w14:val="tx1"/>
                  </w14:solidFill>
                </w14:textFill>
              </w:rPr>
              <w:t>水产类</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582CB0BC">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491C8CD5">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58079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20690A97">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8</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7D5F26CC">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调味品、酱腌菜类、干货类、其他速食类（面包牛奶方便面水饺等）</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40ECE879">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1D301C43">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6556F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14:paraId="285130C7">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t>9</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2EDF7488">
            <w:pPr>
              <w:keepNext w:val="0"/>
              <w:keepLines w:val="0"/>
              <w:widowControl w:val="0"/>
              <w:suppressLineNumbers w:val="0"/>
              <w:tabs>
                <w:tab w:val="left" w:pos="0"/>
              </w:tabs>
              <w:autoSpaceDE w:val="0"/>
              <w:autoSpaceDN/>
              <w:adjustRightInd w:val="0"/>
              <w:snapToGrid w:val="0"/>
              <w:spacing w:before="0" w:beforeAutospacing="0" w:after="0" w:afterAutospacing="0"/>
              <w:ind w:left="0" w:leftChars="0" w:right="0" w:rightChars="0"/>
              <w:jc w:val="center"/>
              <w:rPr>
                <w:rFonts w:hint="eastAsia" w:ascii="宋体" w:hAnsi="宋体" w:eastAsia="宋体" w:cs="Times New Roman"/>
                <w:b/>
                <w:bCs w:val="0"/>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
                <w14:textFill>
                  <w14:solidFill>
                    <w14:schemeClr w14:val="tx1"/>
                  </w14:solidFill>
                </w14:textFill>
              </w:rPr>
              <w:t>米油类</w:t>
            </w:r>
          </w:p>
        </w:tc>
        <w:tc>
          <w:tcPr>
            <w:tcW w:w="2305" w:type="dxa"/>
            <w:tcBorders>
              <w:top w:val="single" w:color="auto" w:sz="4" w:space="0"/>
              <w:left w:val="single" w:color="auto" w:sz="4" w:space="0"/>
              <w:bottom w:val="single" w:color="auto" w:sz="4" w:space="0"/>
              <w:right w:val="single" w:color="auto" w:sz="4" w:space="0"/>
            </w:tcBorders>
            <w:noWrap w:val="0"/>
            <w:vAlign w:val="center"/>
          </w:tcPr>
          <w:p w14:paraId="66060FB7">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Cs w:val="21"/>
                <w:highlight w:val="none"/>
                <w14:textFill>
                  <w14:solidFill>
                    <w14:schemeClr w14:val="tx1"/>
                  </w14:solidFill>
                </w14:textFill>
              </w:rPr>
            </w:pPr>
          </w:p>
        </w:tc>
        <w:tc>
          <w:tcPr>
            <w:tcW w:w="2533" w:type="dxa"/>
            <w:vMerge w:val="continue"/>
            <w:tcBorders>
              <w:left w:val="single" w:color="auto" w:sz="4" w:space="0"/>
              <w:right w:val="single" w:color="auto" w:sz="4" w:space="0"/>
            </w:tcBorders>
            <w:noWrap w:val="0"/>
            <w:vAlign w:val="center"/>
          </w:tcPr>
          <w:p w14:paraId="0885F720">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eastAsia"/>
                <w:b/>
                <w:bCs w:val="0"/>
                <w:color w:val="000000" w:themeColor="text1"/>
                <w:szCs w:val="21"/>
                <w:highlight w:val="none"/>
                <w14:textFill>
                  <w14:solidFill>
                    <w14:schemeClr w14:val="tx1"/>
                  </w14:solidFill>
                </w14:textFill>
              </w:rPr>
            </w:pPr>
          </w:p>
        </w:tc>
      </w:tr>
      <w:tr w14:paraId="09E54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3944" w:type="dxa"/>
            <w:gridSpan w:val="2"/>
            <w:tcBorders>
              <w:top w:val="single" w:color="auto" w:sz="4" w:space="0"/>
              <w:left w:val="single" w:color="auto" w:sz="4" w:space="0"/>
              <w:bottom w:val="single" w:color="auto" w:sz="4" w:space="0"/>
              <w:right w:val="single" w:color="auto" w:sz="4" w:space="0"/>
            </w:tcBorders>
            <w:noWrap w:val="0"/>
            <w:vAlign w:val="center"/>
          </w:tcPr>
          <w:p w14:paraId="0286A542">
            <w:pPr>
              <w:keepNext w:val="0"/>
              <w:keepLines w:val="0"/>
              <w:suppressLineNumbers w:val="0"/>
              <w:kinsoku/>
              <w:wordWrap/>
              <w:overflowPunct/>
              <w:topLinePunct w:val="0"/>
              <w:bidi w:val="0"/>
              <w:adjustRightInd/>
              <w:snapToGrid w:val="0"/>
              <w:spacing w:before="50" w:beforeAutospacing="0" w:after="50" w:afterAutospacing="0" w:line="360" w:lineRule="auto"/>
              <w:ind w:left="0" w:right="0"/>
              <w:jc w:val="center"/>
              <w:outlineLvl w:val="9"/>
              <w:rPr>
                <w:rFonts w:hint="default" w:ascii="宋体" w:hAnsi="宋体"/>
                <w:b/>
                <w:bCs w:val="0"/>
                <w:color w:val="000000" w:themeColor="text1"/>
                <w:sz w:val="24"/>
                <w:highlight w:val="none"/>
                <w14:textFill>
                  <w14:solidFill>
                    <w14:schemeClr w14:val="tx1"/>
                  </w14:solidFill>
                </w14:textFill>
              </w:rPr>
            </w:pPr>
            <w:r>
              <w:rPr>
                <w:rFonts w:hint="eastAsia" w:ascii="宋体" w:hAnsi="宋体" w:eastAsia="宋体" w:cs="Times New Roman"/>
                <w:b/>
                <w:bCs w:val="0"/>
                <w:color w:val="000000" w:themeColor="text1"/>
                <w:szCs w:val="21"/>
                <w:highlight w:val="none"/>
                <w14:textFill>
                  <w14:solidFill>
                    <w14:schemeClr w14:val="tx1"/>
                  </w14:solidFill>
                </w14:textFill>
              </w:rPr>
              <w:t>投标声明</w:t>
            </w:r>
          </w:p>
        </w:tc>
        <w:tc>
          <w:tcPr>
            <w:tcW w:w="4838" w:type="dxa"/>
            <w:gridSpan w:val="2"/>
            <w:tcBorders>
              <w:top w:val="single" w:color="auto" w:sz="4" w:space="0"/>
              <w:left w:val="single" w:color="auto" w:sz="4" w:space="0"/>
              <w:bottom w:val="single" w:color="auto" w:sz="4" w:space="0"/>
              <w:right w:val="single" w:color="auto" w:sz="4" w:space="0"/>
            </w:tcBorders>
            <w:noWrap w:val="0"/>
            <w:vAlign w:val="center"/>
          </w:tcPr>
          <w:p w14:paraId="2551607D">
            <w:pPr>
              <w:keepNext w:val="0"/>
              <w:keepLines w:val="0"/>
              <w:suppressLineNumbers w:val="0"/>
              <w:kinsoku/>
              <w:wordWrap/>
              <w:overflowPunct/>
              <w:topLinePunct w:val="0"/>
              <w:bidi w:val="0"/>
              <w:adjustRightInd/>
              <w:snapToGrid w:val="0"/>
              <w:spacing w:before="50" w:beforeAutospacing="0" w:after="50" w:afterAutospacing="0" w:line="360" w:lineRule="auto"/>
              <w:ind w:left="0" w:right="0"/>
              <w:outlineLvl w:val="9"/>
              <w:rPr>
                <w:rFonts w:hint="default" w:ascii="宋体" w:hAnsi="宋体"/>
                <w:b/>
                <w:bCs w:val="0"/>
                <w:color w:val="000000" w:themeColor="text1"/>
                <w:sz w:val="24"/>
                <w:highlight w:val="none"/>
                <w14:textFill>
                  <w14:solidFill>
                    <w14:schemeClr w14:val="tx1"/>
                  </w14:solidFill>
                </w14:textFill>
              </w:rPr>
            </w:pPr>
          </w:p>
        </w:tc>
      </w:tr>
    </w:tbl>
    <w:p w14:paraId="65EE2417">
      <w:pPr>
        <w:shd w:val="clea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125DEEA1">
      <w:pPr>
        <w:shd w:val="clea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1DE1E992">
      <w:pPr>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6E79192F">
      <w:pPr>
        <w:shd w:val="clea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C9DA9C7">
      <w:pPr>
        <w:shd w:val="clear"/>
        <w:snapToGrid w:val="0"/>
        <w:spacing w:line="360" w:lineRule="auto"/>
        <w:ind w:firstLine="480" w:firstLineChars="200"/>
        <w:jc w:val="left"/>
        <w:rPr>
          <w:rFonts w:ascii="宋体" w:hAnsi="宋体" w:eastAsia="宋体" w:cs="宋体"/>
          <w:color w:val="000000" w:themeColor="text1"/>
          <w:kern w:val="2"/>
          <w:sz w:val="32"/>
          <w:szCs w:val="32"/>
          <w:highlight w:val="none"/>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215A28">
      <w:pPr>
        <w:pStyle w:val="690"/>
        <w:keepNext w:val="0"/>
        <w:pageBreakBefore w:val="0"/>
        <w:shd w:val="clear"/>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1906" w:h="16838"/>
          <w:pgMar w:top="1247" w:right="1418" w:bottom="1276" w:left="1418" w:header="851" w:footer="992" w:gutter="0"/>
          <w:cols w:space="720" w:num="1"/>
          <w:titlePg/>
          <w:docGrid w:linePitch="312" w:charSpace="0"/>
        </w:sectPr>
      </w:pPr>
    </w:p>
    <w:p w14:paraId="1575949D">
      <w:pPr>
        <w:pStyle w:val="690"/>
        <w:keepNext w:val="0"/>
        <w:pageBreakBefore w:val="0"/>
        <w:shd w:val="clear"/>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7BAC1EF">
      <w:pPr>
        <w:widowControl/>
        <w:shd w:val="clear"/>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535DA28C">
      <w:pPr>
        <w:pStyle w:val="690"/>
        <w:keepNext w:val="0"/>
        <w:pageBreakBefore w:val="0"/>
        <w:shd w:val="clear"/>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10C07BE4">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ED98E4F">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B54968E">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9BDECB8">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DB45FD6">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3B0183F">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1BA3FDB">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C8C7834">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6EFD65A">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73EFF4F">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15F755D">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B668B0F">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ACD7D6F">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AFACAC2">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BCA5F39">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48983D6">
      <w:pPr>
        <w:shd w:val="clea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A31DF3F">
      <w:pPr>
        <w:pStyle w:val="4"/>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56378AD8">
      <w:pPr>
        <w:shd w:val="clea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ADC3728">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05" w:name="OLE_LINK13"/>
      <w:bookmarkStart w:id="50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5"/>
    <w:bookmarkEnd w:id="506"/>
    <w:p w14:paraId="2809CCC3">
      <w:pPr>
        <w:shd w:val="clear"/>
        <w:spacing w:line="360" w:lineRule="auto"/>
        <w:rPr>
          <w:rFonts w:ascii="宋体" w:hAnsi="宋体" w:cs="宋体"/>
          <w:b/>
          <w:color w:val="000000" w:themeColor="text1"/>
          <w:spacing w:val="6"/>
          <w:sz w:val="30"/>
          <w:szCs w:val="30"/>
          <w:highlight w:val="none"/>
          <w14:textFill>
            <w14:solidFill>
              <w14:schemeClr w14:val="tx1"/>
            </w14:solidFill>
          </w14:textFill>
        </w:rPr>
      </w:pPr>
    </w:p>
    <w:p w14:paraId="3359841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7202F1C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1732EF0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C581A0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DA76913">
      <w:pPr>
        <w:shd w:val="clea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DB7F2C4">
      <w:pPr>
        <w:shd w:val="clea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26E32D1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E7F59E4">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47F4EC0F">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6C796FAB">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70456A83">
      <w:pPr>
        <w:shd w:val="clear"/>
        <w:spacing w:line="360" w:lineRule="auto"/>
        <w:ind w:firstLine="420" w:firstLineChars="200"/>
        <w:rPr>
          <w:rFonts w:ascii="宋体" w:hAnsi="宋体" w:cs="宋体"/>
          <w:color w:val="000000" w:themeColor="text1"/>
          <w:highlight w:val="none"/>
          <w14:textFill>
            <w14:solidFill>
              <w14:schemeClr w14:val="tx1"/>
            </w14:solidFill>
          </w14:textFill>
        </w:rPr>
      </w:pPr>
    </w:p>
    <w:p w14:paraId="57944223">
      <w:pPr>
        <w:shd w:val="clear"/>
        <w:spacing w:line="360" w:lineRule="auto"/>
        <w:rPr>
          <w:rFonts w:ascii="宋体" w:hAnsi="宋体" w:cs="宋体"/>
          <w:b/>
          <w:color w:val="000000" w:themeColor="text1"/>
          <w:sz w:val="24"/>
          <w:highlight w:val="none"/>
          <w14:textFill>
            <w14:solidFill>
              <w14:schemeClr w14:val="tx1"/>
            </w14:solidFill>
          </w14:textFill>
        </w:rPr>
      </w:pPr>
    </w:p>
    <w:p w14:paraId="5118E205">
      <w:pPr>
        <w:shd w:val="clear"/>
        <w:spacing w:line="360" w:lineRule="auto"/>
        <w:rPr>
          <w:rFonts w:ascii="宋体" w:hAnsi="宋体" w:cs="宋体"/>
          <w:b/>
          <w:color w:val="000000" w:themeColor="text1"/>
          <w:sz w:val="24"/>
          <w:highlight w:val="none"/>
          <w14:textFill>
            <w14:solidFill>
              <w14:schemeClr w14:val="tx1"/>
            </w14:solidFill>
          </w14:textFill>
        </w:rPr>
      </w:pPr>
    </w:p>
    <w:p w14:paraId="69DE7EAD">
      <w:pPr>
        <w:shd w:val="clear"/>
        <w:spacing w:line="360" w:lineRule="auto"/>
        <w:rPr>
          <w:rFonts w:ascii="宋体" w:hAnsi="宋体" w:cs="宋体"/>
          <w:b/>
          <w:color w:val="000000" w:themeColor="text1"/>
          <w:sz w:val="24"/>
          <w:highlight w:val="none"/>
          <w14:textFill>
            <w14:solidFill>
              <w14:schemeClr w14:val="tx1"/>
            </w14:solidFill>
          </w14:textFill>
        </w:rPr>
      </w:pPr>
    </w:p>
    <w:p w14:paraId="74218AC3">
      <w:pPr>
        <w:shd w:val="clear"/>
        <w:spacing w:line="360" w:lineRule="auto"/>
        <w:rPr>
          <w:rFonts w:ascii="宋体" w:hAnsi="宋体" w:cs="宋体"/>
          <w:b/>
          <w:color w:val="000000" w:themeColor="text1"/>
          <w:sz w:val="24"/>
          <w:highlight w:val="none"/>
          <w14:textFill>
            <w14:solidFill>
              <w14:schemeClr w14:val="tx1"/>
            </w14:solidFill>
          </w14:textFill>
        </w:rPr>
      </w:pPr>
    </w:p>
    <w:p w14:paraId="4F9A7D0C">
      <w:pPr>
        <w:shd w:val="clear"/>
        <w:spacing w:line="360" w:lineRule="auto"/>
        <w:rPr>
          <w:rFonts w:ascii="宋体" w:hAnsi="宋体" w:cs="宋体"/>
          <w:b/>
          <w:color w:val="000000" w:themeColor="text1"/>
          <w:sz w:val="24"/>
          <w:highlight w:val="none"/>
          <w14:textFill>
            <w14:solidFill>
              <w14:schemeClr w14:val="tx1"/>
            </w14:solidFill>
          </w14:textFill>
        </w:rPr>
      </w:pPr>
    </w:p>
    <w:p w14:paraId="476962C9">
      <w:pPr>
        <w:shd w:val="clear"/>
        <w:spacing w:line="360" w:lineRule="auto"/>
        <w:rPr>
          <w:rFonts w:ascii="宋体" w:hAnsi="宋体" w:cs="宋体"/>
          <w:b/>
          <w:color w:val="000000" w:themeColor="text1"/>
          <w:sz w:val="24"/>
          <w:highlight w:val="none"/>
          <w14:textFill>
            <w14:solidFill>
              <w14:schemeClr w14:val="tx1"/>
            </w14:solidFill>
          </w14:textFill>
        </w:rPr>
      </w:pPr>
    </w:p>
    <w:p w14:paraId="3608F4A5">
      <w:pPr>
        <w:shd w:val="clear"/>
        <w:spacing w:line="360" w:lineRule="auto"/>
        <w:rPr>
          <w:rFonts w:ascii="宋体" w:hAnsi="宋体" w:cs="宋体"/>
          <w:b/>
          <w:color w:val="000000" w:themeColor="text1"/>
          <w:sz w:val="24"/>
          <w:highlight w:val="none"/>
          <w14:textFill>
            <w14:solidFill>
              <w14:schemeClr w14:val="tx1"/>
            </w14:solidFill>
          </w14:textFill>
        </w:rPr>
      </w:pPr>
    </w:p>
    <w:p w14:paraId="5A5C6EE7">
      <w:pPr>
        <w:shd w:val="clear"/>
        <w:spacing w:line="360" w:lineRule="auto"/>
        <w:rPr>
          <w:rFonts w:ascii="宋体" w:hAnsi="宋体" w:cs="宋体"/>
          <w:b/>
          <w:color w:val="000000" w:themeColor="text1"/>
          <w:sz w:val="24"/>
          <w:highlight w:val="none"/>
          <w14:textFill>
            <w14:solidFill>
              <w14:schemeClr w14:val="tx1"/>
            </w14:solidFill>
          </w14:textFill>
        </w:rPr>
      </w:pPr>
    </w:p>
    <w:p w14:paraId="79506C6D">
      <w:pPr>
        <w:shd w:val="clear"/>
        <w:spacing w:line="360" w:lineRule="auto"/>
        <w:rPr>
          <w:rFonts w:ascii="宋体" w:hAnsi="宋体" w:cs="宋体"/>
          <w:b/>
          <w:color w:val="000000" w:themeColor="text1"/>
          <w:sz w:val="24"/>
          <w:highlight w:val="none"/>
          <w14:textFill>
            <w14:solidFill>
              <w14:schemeClr w14:val="tx1"/>
            </w14:solidFill>
          </w14:textFill>
        </w:rPr>
      </w:pPr>
    </w:p>
    <w:p w14:paraId="3574B7AF">
      <w:pPr>
        <w:shd w:val="clea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135AE18">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1015758">
      <w:pPr>
        <w:shd w:val="clea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1E0138B4">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7A6A356">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B88F3F4">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D703C51">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0D46688">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76C69BD">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2D2AC39">
      <w:pPr>
        <w:shd w:val="clea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DAC45C1">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7D7A113">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8B95DC1">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558E7DC4">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1A45F446">
      <w:pPr>
        <w:shd w:val="clea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91F03D1">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6FE1F48A">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09BAE4D">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C579D0B">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17A624E">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E1824C3">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5EF9137">
      <w:pPr>
        <w:shd w:val="clea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D70BE4B">
      <w:pPr>
        <w:shd w:val="clea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0D4C2C0A">
      <w:pPr>
        <w:shd w:val="clea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2659EC9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14:paraId="4DF94857">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3660DD2">
      <w:pPr>
        <w:shd w:val="clear"/>
        <w:spacing w:line="360" w:lineRule="auto"/>
        <w:jc w:val="center"/>
        <w:rPr>
          <w:rFonts w:ascii="宋体" w:hAnsi="宋体" w:cs="宋体"/>
          <w:b/>
          <w:bCs/>
          <w:color w:val="000000" w:themeColor="text1"/>
          <w:sz w:val="24"/>
          <w:highlight w:val="none"/>
          <w14:textFill>
            <w14:solidFill>
              <w14:schemeClr w14:val="tx1"/>
            </w14:solidFill>
          </w14:textFill>
        </w:rPr>
      </w:pPr>
    </w:p>
    <w:p w14:paraId="4803770C">
      <w:pPr>
        <w:shd w:val="clear"/>
        <w:spacing w:line="360" w:lineRule="auto"/>
        <w:rPr>
          <w:rFonts w:ascii="宋体" w:hAnsi="宋体" w:cs="宋体"/>
          <w:b/>
          <w:color w:val="000000" w:themeColor="text1"/>
          <w:sz w:val="24"/>
          <w:highlight w:val="none"/>
          <w14:textFill>
            <w14:solidFill>
              <w14:schemeClr w14:val="tx1"/>
            </w14:solidFill>
          </w14:textFill>
        </w:rPr>
      </w:pPr>
    </w:p>
    <w:p w14:paraId="6CC51CEF">
      <w:pPr>
        <w:shd w:val="clear"/>
        <w:spacing w:line="360" w:lineRule="auto"/>
        <w:rPr>
          <w:rFonts w:ascii="宋体" w:hAnsi="宋体" w:cs="宋体"/>
          <w:b/>
          <w:color w:val="000000" w:themeColor="text1"/>
          <w:sz w:val="24"/>
          <w:highlight w:val="none"/>
          <w14:textFill>
            <w14:solidFill>
              <w14:schemeClr w14:val="tx1"/>
            </w14:solidFill>
          </w14:textFill>
        </w:rPr>
      </w:pPr>
    </w:p>
    <w:p w14:paraId="7875EBCB">
      <w:pPr>
        <w:shd w:val="clear"/>
        <w:spacing w:line="360" w:lineRule="auto"/>
        <w:rPr>
          <w:rFonts w:ascii="宋体" w:hAnsi="宋体" w:cs="宋体"/>
          <w:b/>
          <w:color w:val="000000" w:themeColor="text1"/>
          <w:sz w:val="24"/>
          <w:highlight w:val="none"/>
          <w14:textFill>
            <w14:solidFill>
              <w14:schemeClr w14:val="tx1"/>
            </w14:solidFill>
          </w14:textFill>
        </w:rPr>
      </w:pPr>
    </w:p>
    <w:p w14:paraId="13C76A86">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D450073">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6A98B912">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7454B30">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4D5E0CB">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4EA7FF2">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D8117E1">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0B90077">
      <w:pPr>
        <w:widowControl/>
        <w:shd w:val="clear"/>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20848629">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B835E14">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F09882">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3D7B6EC">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69D8029">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11DECE">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668B116">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811A8F0">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2695244">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F0E4B9A">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3735CBF">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6E46016">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3F74ACC">
      <w:pPr>
        <w:shd w:val="clea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3DD31352">
      <w:pPr>
        <w:shd w:val="clea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1E8CFA61">
      <w:pPr>
        <w:shd w:val="clea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2D4BE690">
      <w:pPr>
        <w:shd w:val="clear"/>
        <w:spacing w:line="360" w:lineRule="auto"/>
        <w:jc w:val="center"/>
        <w:rPr>
          <w:rFonts w:ascii="宋体" w:hAnsi="宋体" w:cs="宋体"/>
          <w:b/>
          <w:color w:val="000000" w:themeColor="text1"/>
          <w:sz w:val="24"/>
          <w:highlight w:val="none"/>
          <w14:textFill>
            <w14:solidFill>
              <w14:schemeClr w14:val="tx1"/>
            </w14:solidFill>
          </w14:textFill>
        </w:rPr>
      </w:pPr>
    </w:p>
    <w:p w14:paraId="1EC15EF6">
      <w:pPr>
        <w:shd w:val="clea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CE06056">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5D518A92">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1FABBD69">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83E8279">
      <w:pPr>
        <w:shd w:val="clea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CB47F80">
      <w:pPr>
        <w:shd w:val="clea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ED313D3">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B028927">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2A82D0F7">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3FE24A9">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FD54EC5">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2C3529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24A13E4">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88BFF74">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10AACD2">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FAB7C1">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4819210">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FA35B1C">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16C89E57">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4BBD00A">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A418F9F">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5119A1EA">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37EB567">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266F0B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7EFEA050">
      <w:pPr>
        <w:shd w:val="clea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55CF494A">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22C1C3D">
      <w:pPr>
        <w:shd w:val="clea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就质疑事项作出了答复/没有在法定期限内作出答复。</w:t>
      </w:r>
    </w:p>
    <w:p w14:paraId="6E2005C8">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04E5FCE6">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9FDB28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D4466FF">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8CFB867">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5A6B682">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C3BA1D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03BE017C">
      <w:pPr>
        <w:shd w:val="clea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173FC5C">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080206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A49C667">
      <w:pPr>
        <w:shd w:val="clea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02170DA">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公章：                      </w:t>
      </w:r>
    </w:p>
    <w:p w14:paraId="307E76D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547C006">
      <w:pPr>
        <w:shd w:val="clear"/>
        <w:spacing w:line="360" w:lineRule="auto"/>
        <w:rPr>
          <w:rFonts w:ascii="宋体" w:hAnsi="宋体" w:cs="宋体"/>
          <w:b/>
          <w:color w:val="000000" w:themeColor="text1"/>
          <w:sz w:val="24"/>
          <w:highlight w:val="none"/>
          <w14:textFill>
            <w14:solidFill>
              <w14:schemeClr w14:val="tx1"/>
            </w14:solidFill>
          </w14:textFill>
        </w:rPr>
      </w:pPr>
    </w:p>
    <w:p w14:paraId="0B28F3D3">
      <w:pPr>
        <w:shd w:val="clear"/>
        <w:spacing w:line="360" w:lineRule="auto"/>
        <w:rPr>
          <w:rFonts w:ascii="宋体" w:hAnsi="宋体" w:cs="宋体"/>
          <w:b/>
          <w:color w:val="000000" w:themeColor="text1"/>
          <w:sz w:val="24"/>
          <w:highlight w:val="none"/>
          <w14:textFill>
            <w14:solidFill>
              <w14:schemeClr w14:val="tx1"/>
            </w14:solidFill>
          </w14:textFill>
        </w:rPr>
      </w:pPr>
    </w:p>
    <w:p w14:paraId="5335C4FF">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042B1FA">
      <w:pPr>
        <w:widowControl/>
        <w:shd w:val="clea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2305243">
      <w:pPr>
        <w:widowControl/>
        <w:shd w:val="clea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93A8E0C">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69BE06BB">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9AE6012">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7933BC3B">
      <w:pPr>
        <w:widowControl/>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3C314DB">
      <w:pPr>
        <w:widowControl/>
        <w:shd w:val="clear"/>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71D2551">
      <w:pPr>
        <w:shd w:val="clear"/>
        <w:spacing w:line="360" w:lineRule="auto"/>
        <w:rPr>
          <w:rFonts w:ascii="宋体" w:hAnsi="宋体" w:cs="宋体"/>
          <w:b/>
          <w:color w:val="000000" w:themeColor="text1"/>
          <w:sz w:val="24"/>
          <w:highlight w:val="none"/>
          <w14:textFill>
            <w14:solidFill>
              <w14:schemeClr w14:val="tx1"/>
            </w14:solidFill>
          </w14:textFill>
        </w:rPr>
      </w:pPr>
    </w:p>
    <w:p w14:paraId="49CA1E5F">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6F24D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6D3529">
      <w:pPr>
        <w:shd w:val="clea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6BB05BCE">
      <w:pPr>
        <w:shd w:val="clear"/>
        <w:spacing w:line="360" w:lineRule="auto"/>
        <w:rPr>
          <w:rFonts w:ascii="宋体" w:hAnsi="宋体" w:cs="宋体"/>
          <w:color w:val="000000" w:themeColor="text1"/>
          <w:sz w:val="24"/>
          <w:highlight w:val="none"/>
          <w:u w:val="single"/>
          <w14:textFill>
            <w14:solidFill>
              <w14:schemeClr w14:val="tx1"/>
            </w14:solidFill>
          </w14:textFill>
        </w:rPr>
      </w:pPr>
    </w:p>
    <w:p w14:paraId="2476A8F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宁波中基国际招标有限公司</w:t>
      </w:r>
      <w:r>
        <w:rPr>
          <w:rFonts w:hint="eastAsia" w:ascii="宋体" w:hAnsi="宋体" w:cs="宋体"/>
          <w:color w:val="000000" w:themeColor="text1"/>
          <w:sz w:val="24"/>
          <w:highlight w:val="none"/>
          <w:u w:val="single"/>
          <w14:textFill>
            <w14:solidFill>
              <w14:schemeClr w14:val="tx1"/>
            </w14:solidFill>
          </w14:textFill>
        </w:rPr>
        <w:t>：</w:t>
      </w:r>
    </w:p>
    <w:p w14:paraId="2820BED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83F575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08F8BDA4">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7047DCEC">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60ACA3B7">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40730103">
      <w:pPr>
        <w:shd w:val="clear"/>
        <w:spacing w:line="360" w:lineRule="auto"/>
        <w:ind w:firstLine="494"/>
        <w:rPr>
          <w:rFonts w:ascii="宋体" w:hAnsi="宋体" w:cs="宋体"/>
          <w:color w:val="000000" w:themeColor="text1"/>
          <w:sz w:val="24"/>
          <w:highlight w:val="none"/>
          <w14:textFill>
            <w14:solidFill>
              <w14:schemeClr w14:val="tx1"/>
            </w14:solidFill>
          </w14:textFill>
        </w:rPr>
      </w:pPr>
    </w:p>
    <w:p w14:paraId="32773479">
      <w:pPr>
        <w:shd w:val="clea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65152A0F">
      <w:pPr>
        <w:shd w:val="clea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BB67126">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FB94BA5">
      <w:pPr>
        <w:shd w:val="clea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767FA7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767FA73">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846DD0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846DD03">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E82DB5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AE6694">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8BBE10">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9A18B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26CA4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25C95F">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CED0074">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A664E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0266C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2906D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795F6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6CED5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D97916">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A2AA5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AD3E3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E4AC11">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C68EF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C3E959">
      <w:pPr>
        <w:shd w:val="clea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4A020C70">
      <w:pPr>
        <w:widowControl/>
        <w:shd w:val="clea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94BF9C0">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5F1EA19A">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8FAEAC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w:t>
      </w:r>
      <w:r>
        <w:rPr>
          <w:rFonts w:hint="eastAsia" w:ascii="宋体" w:hAnsi="宋体" w:cs="宋体"/>
          <w:color w:val="000000" w:themeColor="text1"/>
          <w:kern w:val="0"/>
          <w:sz w:val="24"/>
          <w:highlight w:val="none"/>
          <w:lang w:val="en-US" w:eastAsia="zh-CN"/>
          <w14:textFill>
            <w14:solidFill>
              <w14:schemeClr w14:val="tx1"/>
            </w14:solidFill>
          </w14:textFill>
        </w:rPr>
        <w:t>响应</w:t>
      </w:r>
      <w:r>
        <w:rPr>
          <w:rFonts w:hint="eastAsia" w:ascii="宋体" w:hAnsi="宋体" w:cs="宋体"/>
          <w:color w:val="000000" w:themeColor="text1"/>
          <w:kern w:val="0"/>
          <w:sz w:val="24"/>
          <w:highlight w:val="none"/>
          <w:lang w:val="zh-CN"/>
          <w14:textFill>
            <w14:solidFill>
              <w14:schemeClr w14:val="tx1"/>
            </w14:solidFill>
          </w14:textFill>
        </w:rPr>
        <w:t>等均对联合投标各方产生约束力。</w:t>
      </w:r>
    </w:p>
    <w:p w14:paraId="0A1A81CC">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0FEF498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DFCA700">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B7ACA0C">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81801D8">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1C8CD386">
      <w:pPr>
        <w:shd w:val="clea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0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0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0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08"/>
      <w:r>
        <w:rPr>
          <w:rFonts w:hint="eastAsia" w:ascii="宋体" w:hAnsi="宋体" w:cs="宋体"/>
          <w:b/>
          <w:color w:val="000000" w:themeColor="text1"/>
          <w:kern w:val="0"/>
          <w:sz w:val="24"/>
          <w:highlight w:val="none"/>
          <w:lang w:val="zh-CN"/>
          <w14:textFill>
            <w14:solidFill>
              <w14:schemeClr w14:val="tx1"/>
            </w14:solidFill>
          </w14:textFill>
        </w:rPr>
        <w:t>）</w:t>
      </w:r>
    </w:p>
    <w:p w14:paraId="7A05990A">
      <w:pPr>
        <w:shd w:val="clea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0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09"/>
    </w:p>
    <w:p w14:paraId="76113441">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2BC149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33CDF98">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261A9C8">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21E535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9BC886A">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BC4D829">
      <w:pPr>
        <w:shd w:val="clea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83336F2">
      <w:pPr>
        <w:shd w:val="clea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C6B609A">
      <w:pPr>
        <w:shd w:val="clea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28CDCDA">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CFB088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097B3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23B06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DCC65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3AD2B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F4A17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E7F2D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88AB4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1615D4">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331D0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54C4C3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E6A03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FE7C9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A3B38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BC792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8992E6">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640DE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161A23">
      <w:pPr>
        <w:widowControl/>
        <w:shd w:val="clear"/>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06298308">
      <w:pPr>
        <w:shd w:val="clea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63916DDA">
      <w:pPr>
        <w:widowControl/>
        <w:shd w:val="clear"/>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DFBA9F5">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2025NBHSWT359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A577EF0">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40953027">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78CCBBD">
      <w:pPr>
        <w:pStyle w:val="5"/>
        <w:shd w:val="clear"/>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DA9DB99">
      <w:pPr>
        <w:shd w:val="clea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784B9FD3">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0CFDE08A">
      <w:pPr>
        <w:shd w:val="clea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7C25D35">
      <w:pPr>
        <w:shd w:val="clea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5EFAE5C">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FD0C62B">
      <w:pPr>
        <w:shd w:val="clea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60CEB2F">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05B757B">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43B404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C9272DB">
      <w:pPr>
        <w:shd w:val="clea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2815AAE">
      <w:pPr>
        <w:shd w:val="clea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06632A57">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9D177D">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4548F18">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BB0E3B3">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634341DA">
      <w:pPr>
        <w:shd w:val="clea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22402A6A">
      <w:pPr>
        <w:shd w:val="clea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7F7DEC8C">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77536B9">
      <w:pPr>
        <w:shd w:val="clea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31C0540">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6303FE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4B28C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2EA1A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2F180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731231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6712D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880687">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BAEBC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283EA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2D70F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7DCA3E">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A61E0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3EAB7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F90C39">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750E7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2AF1AB">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77E148">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7F4A7C">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87B9D">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F4FA9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1CCB7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101B7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CB65875">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432E82">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8C827A">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41E64AF">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C54ACA3">
      <w:pPr>
        <w:shd w:val="clea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90A9FC">
      <w:pPr>
        <w:shd w:val="clea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7CBD4D9C">
      <w:pPr>
        <w:shd w:val="clear"/>
        <w:spacing w:line="360" w:lineRule="auto"/>
        <w:jc w:val="center"/>
        <w:rPr>
          <w:rFonts w:ascii="宋体" w:hAnsi="宋体" w:cs="宋体"/>
          <w:color w:val="000000" w:themeColor="text1"/>
          <w:sz w:val="24"/>
          <w:highlight w:val="none"/>
          <w:u w:val="single"/>
          <w14:textFill>
            <w14:solidFill>
              <w14:schemeClr w14:val="tx1"/>
            </w14:solidFill>
          </w14:textFill>
        </w:rPr>
      </w:pPr>
    </w:p>
    <w:p w14:paraId="769AFC07">
      <w:pPr>
        <w:shd w:val="clea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54461B4E">
      <w:pPr>
        <w:shd w:val="clea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宁波市海曙区环境卫生服务中心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2025-2026年度午餐原材料配送服务采购项目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D42C061">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sz w:val="24"/>
          <w:highlight w:val="none"/>
          <w:u w:val="single"/>
          <w14:textFill>
            <w14:solidFill>
              <w14:schemeClr w14:val="tx1"/>
            </w14:solidFill>
          </w14:textFill>
        </w:rPr>
        <w:t>标的名称：</w:t>
      </w:r>
      <w:r>
        <w:rPr>
          <w:rFonts w:hint="eastAsia" w:ascii="宋体" w:hAnsi="宋体" w:cs="宋体"/>
          <w:b/>
          <w:bCs/>
          <w:color w:val="000000" w:themeColor="text1"/>
          <w:sz w:val="24"/>
          <w:highlight w:val="none"/>
          <w:u w:val="single"/>
          <w:lang w:eastAsia="zh-CN"/>
          <w14:textFill>
            <w14:solidFill>
              <w14:schemeClr w14:val="tx1"/>
            </w14:solidFill>
          </w14:textFill>
        </w:rPr>
        <w:t>2025-2026年度午餐原材料配送服务标项1</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u w:val="single"/>
          <w:lang w:eastAsia="zh-CN"/>
          <w14:textFill>
            <w14:solidFill>
              <w14:schemeClr w14:val="tx1"/>
            </w14:solidFill>
          </w14:textFill>
        </w:rPr>
        <w:t>：批发业</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5FC10B9C">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标的名称：</w:t>
      </w:r>
      <w:r>
        <w:rPr>
          <w:rFonts w:hint="eastAsia" w:ascii="宋体" w:hAnsi="宋体" w:cs="宋体"/>
          <w:b/>
          <w:bCs/>
          <w:color w:val="000000" w:themeColor="text1"/>
          <w:sz w:val="24"/>
          <w:highlight w:val="none"/>
          <w:u w:val="single"/>
          <w:lang w:eastAsia="zh-CN"/>
          <w14:textFill>
            <w14:solidFill>
              <w14:schemeClr w14:val="tx1"/>
            </w14:solidFill>
          </w14:textFill>
        </w:rPr>
        <w:t>2025-2026年度午餐原材料配送服务标项</w:t>
      </w:r>
      <w:r>
        <w:rPr>
          <w:rFonts w:hint="eastAsia" w:ascii="宋体" w:hAnsi="宋体" w:cs="宋体"/>
          <w:b/>
          <w:bCs/>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u w:val="single"/>
          <w:lang w:eastAsia="zh-CN"/>
          <w14:textFill>
            <w14:solidFill>
              <w14:schemeClr w14:val="tx1"/>
            </w14:solidFill>
          </w14:textFill>
        </w:rPr>
        <w:t>：批发业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6C6B7C29">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0ACBFAC">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1B9EAD6">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5BFA8E9">
      <w:pPr>
        <w:shd w:val="clea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2F697060">
      <w:pPr>
        <w:shd w:val="clea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CC11638">
      <w:pPr>
        <w:shd w:val="clea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07D3DBB">
      <w:pPr>
        <w:shd w:val="clear"/>
        <w:spacing w:line="360" w:lineRule="auto"/>
        <w:ind w:right="420"/>
        <w:rPr>
          <w:rFonts w:ascii="宋体" w:hAnsi="宋体" w:cs="宋体"/>
          <w:color w:val="000000" w:themeColor="text1"/>
          <w:sz w:val="24"/>
          <w:highlight w:val="none"/>
          <w14:textFill>
            <w14:solidFill>
              <w14:schemeClr w14:val="tx1"/>
            </w14:solidFill>
          </w14:textFill>
        </w:rPr>
      </w:pPr>
    </w:p>
    <w:p w14:paraId="38A69EDA">
      <w:pPr>
        <w:shd w:val="clea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2F7A7B5A">
      <w:pPr>
        <w:shd w:val="clea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声明内容不实的，属于提供虚假材料谋取中标、成交的，依法承担法律责任。</w:t>
      </w:r>
    </w:p>
    <w:p w14:paraId="67160D59">
      <w:pPr>
        <w:shd w:val="clear"/>
        <w:spacing w:line="360" w:lineRule="auto"/>
        <w:ind w:right="420"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BAE2EF">
      <w:pPr>
        <w:shd w:val="clear"/>
        <w:spacing w:line="360" w:lineRule="auto"/>
        <w:ind w:right="420" w:firstLine="720" w:firstLineChars="3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本采购文件中明确的所属行业为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4E6BB6">
      <w:pPr>
        <w:pStyle w:val="2"/>
        <w:shd w:val="clear"/>
        <w:rPr>
          <w:color w:val="000000" w:themeColor="text1"/>
          <w:highlight w:val="none"/>
          <w14:textFill>
            <w14:solidFill>
              <w14:schemeClr w14:val="tx1"/>
            </w14:solidFill>
          </w14:textFill>
        </w:rPr>
      </w:pPr>
    </w:p>
    <w:p w14:paraId="6C9C251B">
      <w:pPr>
        <w:pStyle w:val="5"/>
        <w:shd w:val="clear"/>
        <w:rPr>
          <w:rFonts w:ascii="宋体" w:hAnsi="宋体" w:eastAsia="宋体" w:cs="宋体"/>
          <w:color w:val="000000" w:themeColor="text1"/>
          <w:highlight w:val="none"/>
          <w:lang w:val="en-US"/>
          <w14:textFill>
            <w14:solidFill>
              <w14:schemeClr w14:val="tx1"/>
            </w14:solidFill>
          </w14:textFill>
        </w:rPr>
      </w:pPr>
    </w:p>
    <w:p w14:paraId="4F01AC2D">
      <w:pPr>
        <w:shd w:val="clear"/>
        <w:spacing w:line="360" w:lineRule="auto"/>
        <w:ind w:right="420"/>
        <w:rPr>
          <w:rFonts w:ascii="宋体" w:hAnsi="宋体" w:cs="宋体"/>
          <w:color w:val="000000" w:themeColor="text1"/>
          <w:highlight w:val="none"/>
          <w14:textFill>
            <w14:solidFill>
              <w14:schemeClr w14:val="tx1"/>
            </w14:solidFill>
          </w14:textFill>
        </w:rPr>
      </w:pPr>
    </w:p>
    <w:p w14:paraId="6F55103B">
      <w:pPr>
        <w:shd w:val="clear"/>
        <w:spacing w:line="360" w:lineRule="auto"/>
        <w:rPr>
          <w:rFonts w:ascii="宋体" w:hAnsi="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93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752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7A56">
    <w:pPr>
      <w:pStyle w:val="40"/>
      <w:framePr w:wrap="around" w:vAnchor="text" w:hAnchor="margin" w:xAlign="right" w:y="1"/>
      <w:rPr>
        <w:rStyle w:val="72"/>
      </w:rPr>
    </w:pPr>
    <w:r>
      <w:fldChar w:fldCharType="begin"/>
    </w:r>
    <w:r>
      <w:rPr>
        <w:rStyle w:val="72"/>
      </w:rPr>
      <w:instrText xml:space="preserve">PAGE  </w:instrText>
    </w:r>
    <w:r>
      <w:fldChar w:fldCharType="end"/>
    </w:r>
  </w:p>
  <w:p w14:paraId="57DD98D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06D7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164085800"/>
    <w:bookmarkStart w:id="511" w:name="_Toc36110187"/>
    <w:bookmarkStart w:id="512" w:name="_Toc131845147"/>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40EE">
    <w:pPr>
      <w:pStyle w:val="40"/>
      <w:framePr w:wrap="around" w:vAnchor="text" w:hAnchor="margin" w:xAlign="right" w:y="1"/>
      <w:rPr>
        <w:rStyle w:val="72"/>
      </w:rPr>
    </w:pPr>
    <w:r>
      <w:fldChar w:fldCharType="begin"/>
    </w:r>
    <w:r>
      <w:rPr>
        <w:rStyle w:val="72"/>
      </w:rPr>
      <w:instrText xml:space="preserve">PAGE  </w:instrText>
    </w:r>
    <w:r>
      <w:fldChar w:fldCharType="end"/>
    </w:r>
  </w:p>
  <w:p w14:paraId="409514C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A0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6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98A3A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F1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8685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FA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E4F7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D0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BC4F9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9B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4B7396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A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4523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0699">
    <w:pPr>
      <w:pStyle w:val="41"/>
      <w:pBdr>
        <w:bottom w:val="single" w:color="auto" w:sz="6" w:space="4"/>
      </w:pBdr>
      <w:jc w:val="right"/>
    </w:pPr>
    <w:r>
      <w:t></w:t>
    </w:r>
    <w:r>
      <w:rPr>
        <w:rFonts w:hint="eastAsia"/>
      </w:rPr>
      <w:t xml:space="preserve">             </w:t>
    </w:r>
    <w:r>
      <w:t>政府采购公开招标文件</w:t>
    </w:r>
  </w:p>
  <w:p w14:paraId="775623A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92C1">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7DD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522F">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68D3957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1CE6">
    <w:pPr>
      <w:pStyle w:val="41"/>
    </w:pPr>
    <w:r>
      <w:t></w:t>
    </w:r>
    <w:r>
      <w:rPr>
        <w:rFonts w:hint="eastAsia"/>
      </w:rPr>
      <w:t xml:space="preserve">         </w:t>
    </w:r>
  </w:p>
  <w:p w14:paraId="20C6A50B">
    <w:pPr>
      <w:pStyle w:val="41"/>
      <w:rPr>
        <w:rFonts w:hint="eastAsia" w:eastAsia="宋体"/>
        <w:lang w:eastAsia="zh-CN"/>
      </w:rPr>
    </w:pPr>
    <w:r>
      <w:rPr>
        <w:rFonts w:hint="eastAsia"/>
      </w:rPr>
      <w:t xml:space="preserve">                                                                  </w:t>
    </w:r>
    <w:r>
      <w:rPr>
        <w:rFonts w:hint="eastAsia"/>
        <w:lang w:eastAsia="zh-CN"/>
      </w:rPr>
      <w:t>宁波市政府采购公开招标文件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37A2">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480B86F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50D5">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宁波市政府采购公开招标文件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30F">
    <w:pPr>
      <w:pStyle w:val="41"/>
      <w:jc w:val="right"/>
      <w:rPr>
        <w:rFonts w:hint="eastAsia" w:ascii="仿宋_GB2312" w:eastAsia="宋体"/>
        <w:b/>
        <w:i/>
        <w:u w:val="single"/>
        <w:lang w:eastAsia="zh-CN"/>
      </w:rPr>
    </w:pPr>
    <w:r>
      <w:rPr>
        <w:rFonts w:hint="eastAsia"/>
      </w:rPr>
      <w:t xml:space="preserve">                                  </w:t>
    </w:r>
    <w:r>
      <w:rPr>
        <w:rFonts w:hint="eastAsia"/>
        <w:lang w:eastAsia="zh-CN"/>
      </w:rPr>
      <w:t>宁波市政府采购公开招标文件</w:t>
    </w:r>
  </w:p>
  <w:p w14:paraId="107A625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0AC0">
    <w:pPr>
      <w:pStyle w:val="41"/>
      <w:jc w:val="right"/>
    </w:pPr>
    <w:r>
      <w:rPr>
        <w:rFonts w:hint="eastAsia"/>
      </w:rPr>
      <w:t xml:space="preserve">                                                                                                        </w:t>
    </w:r>
    <w:r>
      <w:rPr>
        <w:rFonts w:hint="eastAsia"/>
        <w:lang w:val="en-US" w:eastAsia="zh-CN"/>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D81F">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F6ED0"/>
    <w:rsid w:val="02361CE9"/>
    <w:rsid w:val="025F0711"/>
    <w:rsid w:val="026B2E25"/>
    <w:rsid w:val="0277301A"/>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8820D2"/>
    <w:rsid w:val="05A16594"/>
    <w:rsid w:val="05A7762D"/>
    <w:rsid w:val="060B66D9"/>
    <w:rsid w:val="060E5941"/>
    <w:rsid w:val="06110FAF"/>
    <w:rsid w:val="06493CA7"/>
    <w:rsid w:val="065A6178"/>
    <w:rsid w:val="066F1CF3"/>
    <w:rsid w:val="06930BB8"/>
    <w:rsid w:val="06F723B4"/>
    <w:rsid w:val="07245D42"/>
    <w:rsid w:val="07264C62"/>
    <w:rsid w:val="0779354C"/>
    <w:rsid w:val="08061376"/>
    <w:rsid w:val="08370E67"/>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7015B"/>
    <w:rsid w:val="0A2F2F7D"/>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A2ADC"/>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E7A56"/>
    <w:rsid w:val="129E45B4"/>
    <w:rsid w:val="12D81596"/>
    <w:rsid w:val="13072A44"/>
    <w:rsid w:val="135F4BE2"/>
    <w:rsid w:val="139B1A0A"/>
    <w:rsid w:val="139D25C7"/>
    <w:rsid w:val="13BF3CE4"/>
    <w:rsid w:val="141008D8"/>
    <w:rsid w:val="14125FE6"/>
    <w:rsid w:val="14636234"/>
    <w:rsid w:val="146D271E"/>
    <w:rsid w:val="14982588"/>
    <w:rsid w:val="149A5AD9"/>
    <w:rsid w:val="14A7619D"/>
    <w:rsid w:val="150536C3"/>
    <w:rsid w:val="150C1963"/>
    <w:rsid w:val="151447A0"/>
    <w:rsid w:val="154A6454"/>
    <w:rsid w:val="15762120"/>
    <w:rsid w:val="157B6F93"/>
    <w:rsid w:val="16A8729C"/>
    <w:rsid w:val="16B33777"/>
    <w:rsid w:val="16BC70A7"/>
    <w:rsid w:val="16C6339E"/>
    <w:rsid w:val="172F2D79"/>
    <w:rsid w:val="17557BEF"/>
    <w:rsid w:val="17D349C1"/>
    <w:rsid w:val="1830729E"/>
    <w:rsid w:val="1870062C"/>
    <w:rsid w:val="18817102"/>
    <w:rsid w:val="18830A15"/>
    <w:rsid w:val="18852B28"/>
    <w:rsid w:val="188B5321"/>
    <w:rsid w:val="193C619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EA2066"/>
    <w:rsid w:val="20EC0722"/>
    <w:rsid w:val="211116EB"/>
    <w:rsid w:val="216133FC"/>
    <w:rsid w:val="21D24F42"/>
    <w:rsid w:val="21D56769"/>
    <w:rsid w:val="21E52EF3"/>
    <w:rsid w:val="21FB5D7B"/>
    <w:rsid w:val="22015E94"/>
    <w:rsid w:val="220B1C3D"/>
    <w:rsid w:val="221D1D20"/>
    <w:rsid w:val="22334A87"/>
    <w:rsid w:val="22496CD1"/>
    <w:rsid w:val="2293267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1E2337"/>
    <w:rsid w:val="28333E1D"/>
    <w:rsid w:val="28432A8E"/>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D3E2E"/>
    <w:rsid w:val="2AE412F9"/>
    <w:rsid w:val="2B437463"/>
    <w:rsid w:val="2B7807EE"/>
    <w:rsid w:val="2BA50BF7"/>
    <w:rsid w:val="2BBF00EC"/>
    <w:rsid w:val="2BC37CFD"/>
    <w:rsid w:val="2BD5237F"/>
    <w:rsid w:val="2BE536CE"/>
    <w:rsid w:val="2BE758D9"/>
    <w:rsid w:val="2C09049E"/>
    <w:rsid w:val="2C0A653C"/>
    <w:rsid w:val="2C107FEF"/>
    <w:rsid w:val="2C191F85"/>
    <w:rsid w:val="2C2D7517"/>
    <w:rsid w:val="2C4832B1"/>
    <w:rsid w:val="2CE82D6F"/>
    <w:rsid w:val="2D343236"/>
    <w:rsid w:val="2D432A0E"/>
    <w:rsid w:val="2D5C23F2"/>
    <w:rsid w:val="2DD15014"/>
    <w:rsid w:val="2DF72DE4"/>
    <w:rsid w:val="2E0220AF"/>
    <w:rsid w:val="2E4B082A"/>
    <w:rsid w:val="2E5D4E86"/>
    <w:rsid w:val="2E5D790B"/>
    <w:rsid w:val="2E9A3C18"/>
    <w:rsid w:val="2EBB0FEE"/>
    <w:rsid w:val="2EC63002"/>
    <w:rsid w:val="2ECE4FDA"/>
    <w:rsid w:val="2F0A6B38"/>
    <w:rsid w:val="2F946CCB"/>
    <w:rsid w:val="2FD25781"/>
    <w:rsid w:val="2FDC745C"/>
    <w:rsid w:val="2FFD7934"/>
    <w:rsid w:val="30733ACD"/>
    <w:rsid w:val="308C3862"/>
    <w:rsid w:val="309379D8"/>
    <w:rsid w:val="309D5D66"/>
    <w:rsid w:val="30A270F7"/>
    <w:rsid w:val="30BB54AF"/>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57E70"/>
    <w:rsid w:val="354D7158"/>
    <w:rsid w:val="357839D6"/>
    <w:rsid w:val="358D5588"/>
    <w:rsid w:val="363A3B40"/>
    <w:rsid w:val="365302AE"/>
    <w:rsid w:val="36607A0A"/>
    <w:rsid w:val="366E227C"/>
    <w:rsid w:val="366F2E0D"/>
    <w:rsid w:val="367B6A5C"/>
    <w:rsid w:val="36A74ADA"/>
    <w:rsid w:val="36AD60D5"/>
    <w:rsid w:val="36B224F9"/>
    <w:rsid w:val="36EC0CC9"/>
    <w:rsid w:val="36F6277F"/>
    <w:rsid w:val="373F410B"/>
    <w:rsid w:val="37EE7094"/>
    <w:rsid w:val="38296C89"/>
    <w:rsid w:val="383002EB"/>
    <w:rsid w:val="38586797"/>
    <w:rsid w:val="38BC0149"/>
    <w:rsid w:val="38D87D1C"/>
    <w:rsid w:val="39636459"/>
    <w:rsid w:val="396B7F6C"/>
    <w:rsid w:val="39B417A9"/>
    <w:rsid w:val="39EE4B69"/>
    <w:rsid w:val="39FC5695"/>
    <w:rsid w:val="3A006D8E"/>
    <w:rsid w:val="3A3651E5"/>
    <w:rsid w:val="3A744481"/>
    <w:rsid w:val="3A8C7BEF"/>
    <w:rsid w:val="3A906246"/>
    <w:rsid w:val="3AEF1D0C"/>
    <w:rsid w:val="3B2349B7"/>
    <w:rsid w:val="3B616CFF"/>
    <w:rsid w:val="3B6259F6"/>
    <w:rsid w:val="3B976654"/>
    <w:rsid w:val="3BC01EFC"/>
    <w:rsid w:val="3BCA786A"/>
    <w:rsid w:val="3BD31E2F"/>
    <w:rsid w:val="3BF15831"/>
    <w:rsid w:val="3C105946"/>
    <w:rsid w:val="3C471448"/>
    <w:rsid w:val="3C5F759A"/>
    <w:rsid w:val="3C6C525A"/>
    <w:rsid w:val="3C7E7C4F"/>
    <w:rsid w:val="3C8861EC"/>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C52E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B1A4F"/>
    <w:rsid w:val="44002FAD"/>
    <w:rsid w:val="448805EC"/>
    <w:rsid w:val="449101DD"/>
    <w:rsid w:val="44DE1391"/>
    <w:rsid w:val="451B225C"/>
    <w:rsid w:val="452410C9"/>
    <w:rsid w:val="45310312"/>
    <w:rsid w:val="45317DFB"/>
    <w:rsid w:val="456D3CE4"/>
    <w:rsid w:val="4579042C"/>
    <w:rsid w:val="457F0571"/>
    <w:rsid w:val="45851176"/>
    <w:rsid w:val="45C63B94"/>
    <w:rsid w:val="460E7DA5"/>
    <w:rsid w:val="46395C97"/>
    <w:rsid w:val="46422483"/>
    <w:rsid w:val="4659254A"/>
    <w:rsid w:val="465B0637"/>
    <w:rsid w:val="465E3F0D"/>
    <w:rsid w:val="466754AF"/>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783806"/>
    <w:rsid w:val="4AB82D0F"/>
    <w:rsid w:val="4AEB7664"/>
    <w:rsid w:val="4AFD7C19"/>
    <w:rsid w:val="4B0567D1"/>
    <w:rsid w:val="4B236AAE"/>
    <w:rsid w:val="4B707271"/>
    <w:rsid w:val="4B874640"/>
    <w:rsid w:val="4B9739F7"/>
    <w:rsid w:val="4BCA1FA1"/>
    <w:rsid w:val="4BD44D46"/>
    <w:rsid w:val="4BEE2503"/>
    <w:rsid w:val="4C245A30"/>
    <w:rsid w:val="4CB6685F"/>
    <w:rsid w:val="4CC367FE"/>
    <w:rsid w:val="4CE67C4A"/>
    <w:rsid w:val="4D077F3C"/>
    <w:rsid w:val="4D123355"/>
    <w:rsid w:val="4D2A3B31"/>
    <w:rsid w:val="4D312C52"/>
    <w:rsid w:val="4D621973"/>
    <w:rsid w:val="4D905305"/>
    <w:rsid w:val="4D964A72"/>
    <w:rsid w:val="4D9C1254"/>
    <w:rsid w:val="4E793892"/>
    <w:rsid w:val="4E800872"/>
    <w:rsid w:val="4EC569ED"/>
    <w:rsid w:val="4ED50EA1"/>
    <w:rsid w:val="4EEC050C"/>
    <w:rsid w:val="4F104EC3"/>
    <w:rsid w:val="4F47354A"/>
    <w:rsid w:val="4F911C54"/>
    <w:rsid w:val="4FC24352"/>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763B0"/>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1646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469E7"/>
    <w:rsid w:val="5A792B1F"/>
    <w:rsid w:val="5A874767"/>
    <w:rsid w:val="5AA85BE2"/>
    <w:rsid w:val="5AAD6F28"/>
    <w:rsid w:val="5AD63A24"/>
    <w:rsid w:val="5B2E1A1D"/>
    <w:rsid w:val="5B843A1C"/>
    <w:rsid w:val="5B873E3F"/>
    <w:rsid w:val="5BA83AF9"/>
    <w:rsid w:val="5C02690E"/>
    <w:rsid w:val="5C196DA7"/>
    <w:rsid w:val="5C2A048C"/>
    <w:rsid w:val="5C757E7F"/>
    <w:rsid w:val="5C80234E"/>
    <w:rsid w:val="5C8A680C"/>
    <w:rsid w:val="5D0C4701"/>
    <w:rsid w:val="5D0F0395"/>
    <w:rsid w:val="5D221076"/>
    <w:rsid w:val="5D397964"/>
    <w:rsid w:val="5D5A391C"/>
    <w:rsid w:val="5D5F10C0"/>
    <w:rsid w:val="5D891B7B"/>
    <w:rsid w:val="5D89425A"/>
    <w:rsid w:val="5DAD38EE"/>
    <w:rsid w:val="5E006862"/>
    <w:rsid w:val="5E0207B9"/>
    <w:rsid w:val="5E1834A1"/>
    <w:rsid w:val="5E261785"/>
    <w:rsid w:val="5E4A7017"/>
    <w:rsid w:val="5E552BBA"/>
    <w:rsid w:val="5E611C10"/>
    <w:rsid w:val="5E7A0F3F"/>
    <w:rsid w:val="5E7A6BA0"/>
    <w:rsid w:val="5EFC7377"/>
    <w:rsid w:val="5F06174D"/>
    <w:rsid w:val="5F2579DE"/>
    <w:rsid w:val="5F356694"/>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7C38CC"/>
    <w:rsid w:val="65854376"/>
    <w:rsid w:val="658767BE"/>
    <w:rsid w:val="65892531"/>
    <w:rsid w:val="66195831"/>
    <w:rsid w:val="662E75B1"/>
    <w:rsid w:val="66342C2E"/>
    <w:rsid w:val="663E784C"/>
    <w:rsid w:val="668B6A45"/>
    <w:rsid w:val="66F45E44"/>
    <w:rsid w:val="67011F07"/>
    <w:rsid w:val="672F3F24"/>
    <w:rsid w:val="673E055F"/>
    <w:rsid w:val="67551CE3"/>
    <w:rsid w:val="67A22552"/>
    <w:rsid w:val="67B22DCC"/>
    <w:rsid w:val="67BE71AA"/>
    <w:rsid w:val="67CA6B60"/>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01BCD"/>
    <w:rsid w:val="6ADE0BD1"/>
    <w:rsid w:val="6AE96859"/>
    <w:rsid w:val="6B147746"/>
    <w:rsid w:val="6B24787C"/>
    <w:rsid w:val="6B573233"/>
    <w:rsid w:val="6B5B6274"/>
    <w:rsid w:val="6B935D53"/>
    <w:rsid w:val="6C196F71"/>
    <w:rsid w:val="6C226FCB"/>
    <w:rsid w:val="6C31226F"/>
    <w:rsid w:val="6C53684F"/>
    <w:rsid w:val="6C552F0B"/>
    <w:rsid w:val="6C8C67B7"/>
    <w:rsid w:val="6C9D744C"/>
    <w:rsid w:val="6D167928"/>
    <w:rsid w:val="6D26299B"/>
    <w:rsid w:val="6D3C2A7C"/>
    <w:rsid w:val="6D4772EC"/>
    <w:rsid w:val="6D9078AF"/>
    <w:rsid w:val="6DAA3FEF"/>
    <w:rsid w:val="6DC0172B"/>
    <w:rsid w:val="6DCB690C"/>
    <w:rsid w:val="6DCC4136"/>
    <w:rsid w:val="6DD41A5B"/>
    <w:rsid w:val="6DF43C2E"/>
    <w:rsid w:val="6DF51CA3"/>
    <w:rsid w:val="6E8335BD"/>
    <w:rsid w:val="6E8E12EF"/>
    <w:rsid w:val="6E972936"/>
    <w:rsid w:val="6ED446C5"/>
    <w:rsid w:val="6F2A7D94"/>
    <w:rsid w:val="6F8331F1"/>
    <w:rsid w:val="6FAE1A09"/>
    <w:rsid w:val="6FD75BF8"/>
    <w:rsid w:val="707723D0"/>
    <w:rsid w:val="70B65A89"/>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C3A55"/>
    <w:rsid w:val="74476126"/>
    <w:rsid w:val="74706664"/>
    <w:rsid w:val="747F3682"/>
    <w:rsid w:val="749C4185"/>
    <w:rsid w:val="75067759"/>
    <w:rsid w:val="752E6DCD"/>
    <w:rsid w:val="7551380D"/>
    <w:rsid w:val="75600BE5"/>
    <w:rsid w:val="7564475C"/>
    <w:rsid w:val="7583797F"/>
    <w:rsid w:val="75B42CBB"/>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97BC1"/>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2133"/>
    <w:rsid w:val="7ABA4368"/>
    <w:rsid w:val="7AD05746"/>
    <w:rsid w:val="7B257FFD"/>
    <w:rsid w:val="7B273D20"/>
    <w:rsid w:val="7B343476"/>
    <w:rsid w:val="7B5A2978"/>
    <w:rsid w:val="7B5A7E4C"/>
    <w:rsid w:val="7B667AF9"/>
    <w:rsid w:val="7B7468F8"/>
    <w:rsid w:val="7B74701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81D20"/>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autoRedefine/>
    <w:qFormat/>
    <w:uiPriority w:val="0"/>
    <w:pPr>
      <w:ind w:firstLine="420"/>
    </w:pPr>
    <w:rPr>
      <w:rFonts w:hAnsi="Calibri" w:cs="Times New Roman"/>
      <w:snapToGrid/>
      <w:szCs w:val="20"/>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3"/>
    <w:basedOn w:val="1"/>
    <w:autoRedefine/>
    <w:qFormat/>
    <w:uiPriority w:val="0"/>
    <w:pPr>
      <w:adjustRightInd/>
      <w:ind w:firstLine="420" w:firstLineChars="200"/>
    </w:pPr>
    <w:rPr>
      <w:rFonts w:eastAsia="仿宋_GB2312"/>
      <w:sz w:val="28"/>
    </w:rPr>
  </w:style>
  <w:style w:type="paragraph" w:customStyle="1" w:styleId="80">
    <w:name w:val="样式3"/>
    <w:basedOn w:val="33"/>
    <w:next w:val="1"/>
    <w:autoRedefine/>
    <w:qFormat/>
    <w:uiPriority w:val="0"/>
    <w:pPr>
      <w:tabs>
        <w:tab w:val="left" w:pos="2790"/>
        <w:tab w:val="left" w:pos="4230"/>
      </w:tabs>
      <w:spacing w:before="312" w:beforeLines="100"/>
      <w:jc w:val="left"/>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4"/>
    <w:next w:val="234"/>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4"/>
    <w:next w:val="234"/>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2"/>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7"/>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35467</Words>
  <Characters>38075</Characters>
  <Lines>1</Lines>
  <Paragraphs>1</Paragraphs>
  <TotalTime>52</TotalTime>
  <ScaleCrop>false</ScaleCrop>
  <LinksUpToDate>false</LinksUpToDate>
  <CharactersWithSpaces>39182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Jnkun</cp:lastModifiedBy>
  <cp:lastPrinted>2025-06-12T05:56:00Z</cp:lastPrinted>
  <dcterms:modified xsi:type="dcterms:W3CDTF">2025-07-17T08:38:25Z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DF05F73579B94BD6821B9BEA86EE26CF_13</vt:lpwstr>
  </property>
  <property fmtid="{D5CDD505-2E9C-101B-9397-08002B2CF9AE}" pid="5" name="KSOTemplateDocerSaveRecord">
    <vt:lpwstr>eyJoZGlkIjoiYjQ0YmM1ZTJhMmZkNjg5YTNjMWY2YzVjMWJkMzkxYzEiLCJ1c2VySWQiOiIxNzg2MzQ1MCJ9</vt:lpwstr>
  </property>
</Properties>
</file>