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D113A">
      <w:pPr>
        <w:spacing w:line="360" w:lineRule="auto"/>
        <w:jc w:val="center"/>
        <w:rPr>
          <w:rFonts w:hint="eastAsia" w:ascii="宋体" w:hAnsi="宋体" w:cs="宋体"/>
          <w:b/>
          <w:sz w:val="24"/>
        </w:rPr>
      </w:pPr>
    </w:p>
    <w:p w14:paraId="4D2D113B">
      <w:pPr>
        <w:spacing w:line="360" w:lineRule="auto"/>
        <w:jc w:val="center"/>
        <w:rPr>
          <w:rFonts w:hint="eastAsia" w:ascii="宋体" w:hAnsi="宋体" w:cs="宋体"/>
          <w:b/>
          <w:sz w:val="24"/>
        </w:rPr>
      </w:pPr>
    </w:p>
    <w:p w14:paraId="4D2D113C">
      <w:pPr>
        <w:adjustRightInd/>
        <w:spacing w:line="360" w:lineRule="auto"/>
        <w:jc w:val="center"/>
        <w:rPr>
          <w:rFonts w:hint="eastAsia" w:ascii="宋体" w:hAnsi="宋体" w:cs="宋体"/>
          <w:sz w:val="48"/>
          <w:szCs w:val="48"/>
        </w:rPr>
      </w:pPr>
    </w:p>
    <w:p w14:paraId="4D2D113D">
      <w:pPr>
        <w:adjustRightInd/>
        <w:spacing w:line="360" w:lineRule="auto"/>
        <w:jc w:val="center"/>
        <w:rPr>
          <w:rFonts w:hint="eastAsia" w:ascii="宋体" w:hAnsi="宋体" w:cs="宋体"/>
          <w:sz w:val="48"/>
          <w:szCs w:val="48"/>
        </w:rPr>
      </w:pPr>
      <w:r>
        <w:rPr>
          <w:rFonts w:hint="eastAsia" w:ascii="宋体" w:hAnsi="宋体" w:cs="宋体"/>
          <w:sz w:val="48"/>
          <w:szCs w:val="48"/>
        </w:rPr>
        <w:t>招标文件（服务）</w:t>
      </w:r>
    </w:p>
    <w:p w14:paraId="4D2D113E">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14:paraId="4D2D113F">
      <w:pPr>
        <w:snapToGrid w:val="0"/>
        <w:spacing w:line="360" w:lineRule="auto"/>
        <w:jc w:val="left"/>
        <w:rPr>
          <w:rFonts w:hint="eastAsia" w:ascii="宋体" w:hAnsi="宋体" w:cs="宋体"/>
          <w:sz w:val="30"/>
          <w:szCs w:val="30"/>
        </w:rPr>
      </w:pPr>
    </w:p>
    <w:p w14:paraId="4D2D1140">
      <w:pPr>
        <w:snapToGrid w:val="0"/>
        <w:spacing w:line="360" w:lineRule="auto"/>
        <w:jc w:val="left"/>
        <w:rPr>
          <w:rFonts w:hint="eastAsia" w:ascii="宋体" w:hAnsi="宋体" w:cs="宋体"/>
          <w:sz w:val="32"/>
          <w:szCs w:val="32"/>
        </w:rPr>
      </w:pPr>
    </w:p>
    <w:p w14:paraId="4D2D1141">
      <w:pPr>
        <w:snapToGrid w:val="0"/>
        <w:spacing w:line="360" w:lineRule="auto"/>
        <w:jc w:val="left"/>
        <w:rPr>
          <w:rFonts w:hint="eastAsia" w:ascii="宋体" w:hAnsi="宋体" w:cs="宋体"/>
          <w:sz w:val="32"/>
          <w:szCs w:val="32"/>
        </w:rPr>
      </w:pPr>
      <w:r>
        <w:rPr>
          <w:rFonts w:hint="eastAsia" w:ascii="宋体" w:hAnsi="宋体" w:cs="宋体"/>
          <w:sz w:val="32"/>
          <w:szCs w:val="32"/>
        </w:rPr>
        <w:t>项目编号：330282202505004074</w:t>
      </w:r>
    </w:p>
    <w:p w14:paraId="4D2D1142">
      <w:pPr>
        <w:snapToGrid w:val="0"/>
        <w:spacing w:line="360" w:lineRule="auto"/>
        <w:jc w:val="left"/>
        <w:rPr>
          <w:rFonts w:hint="eastAsia" w:ascii="宋体" w:hAnsi="宋体" w:cs="宋体"/>
          <w:sz w:val="32"/>
          <w:szCs w:val="32"/>
        </w:rPr>
      </w:pPr>
      <w:r>
        <w:rPr>
          <w:rFonts w:hint="eastAsia" w:ascii="宋体" w:hAnsi="宋体" w:cs="宋体"/>
          <w:sz w:val="32"/>
          <w:szCs w:val="32"/>
        </w:rPr>
        <w:t>项目名称：慈溪市人民医院医疗健康集团（慈溪市人民医院）飞利浦1.5T磁共振维保、岛津X线机打包维保服务采购项目</w:t>
      </w:r>
    </w:p>
    <w:p w14:paraId="4D2D1143">
      <w:pPr>
        <w:spacing w:line="360" w:lineRule="auto"/>
        <w:jc w:val="center"/>
        <w:rPr>
          <w:rFonts w:hint="eastAsia" w:ascii="宋体" w:hAnsi="宋体" w:cs="宋体"/>
          <w:b/>
          <w:sz w:val="44"/>
          <w:szCs w:val="44"/>
        </w:rPr>
      </w:pPr>
    </w:p>
    <w:p w14:paraId="4D2D1144">
      <w:pPr>
        <w:spacing w:line="360" w:lineRule="auto"/>
        <w:jc w:val="center"/>
        <w:rPr>
          <w:rFonts w:hint="eastAsia" w:ascii="宋体" w:hAnsi="宋体" w:cs="宋体"/>
          <w:b/>
          <w:sz w:val="44"/>
          <w:szCs w:val="44"/>
        </w:rPr>
      </w:pPr>
    </w:p>
    <w:p w14:paraId="4D2D1145">
      <w:pPr>
        <w:spacing w:line="360" w:lineRule="auto"/>
        <w:jc w:val="center"/>
        <w:rPr>
          <w:rFonts w:hint="eastAsia" w:ascii="宋体" w:hAnsi="宋体" w:cs="宋体"/>
          <w:sz w:val="24"/>
        </w:rPr>
      </w:pPr>
    </w:p>
    <w:p w14:paraId="4D2D1146">
      <w:pPr>
        <w:spacing w:line="360" w:lineRule="auto"/>
        <w:rPr>
          <w:rFonts w:hint="eastAsia" w:ascii="宋体" w:hAnsi="宋体" w:cs="宋体"/>
          <w:sz w:val="32"/>
          <w:szCs w:val="32"/>
        </w:rPr>
      </w:pPr>
    </w:p>
    <w:p w14:paraId="4D2D1147">
      <w:pPr>
        <w:spacing w:line="360" w:lineRule="auto"/>
        <w:jc w:val="center"/>
        <w:rPr>
          <w:rFonts w:hint="eastAsia" w:ascii="宋体" w:hAnsi="宋体" w:cs="宋体"/>
          <w:bCs/>
          <w:sz w:val="32"/>
          <w:szCs w:val="32"/>
        </w:rPr>
      </w:pPr>
    </w:p>
    <w:p w14:paraId="4D2D1148">
      <w:pPr>
        <w:spacing w:line="360" w:lineRule="auto"/>
        <w:jc w:val="center"/>
        <w:rPr>
          <w:rFonts w:hint="eastAsia" w:ascii="宋体" w:hAnsi="宋体" w:cs="宋体"/>
          <w:bCs/>
          <w:sz w:val="32"/>
          <w:szCs w:val="32"/>
        </w:rPr>
      </w:pPr>
      <w:r>
        <w:rPr>
          <w:rFonts w:hint="eastAsia" w:ascii="宋体" w:hAnsi="宋体" w:cs="宋体"/>
          <w:bCs/>
          <w:sz w:val="32"/>
          <w:szCs w:val="32"/>
        </w:rPr>
        <w:t>采购人：慈溪市人民医院医疗健康集团（慈溪市人民医院）</w:t>
      </w:r>
    </w:p>
    <w:p w14:paraId="4D2D1149">
      <w:pPr>
        <w:spacing w:line="360" w:lineRule="auto"/>
        <w:jc w:val="center"/>
        <w:rPr>
          <w:rFonts w:hint="eastAsia" w:ascii="宋体" w:hAnsi="宋体" w:cs="宋体"/>
          <w:bCs/>
          <w:sz w:val="32"/>
          <w:szCs w:val="32"/>
        </w:rPr>
      </w:pPr>
      <w:r>
        <w:rPr>
          <w:rFonts w:hint="eastAsia" w:ascii="宋体" w:hAnsi="宋体" w:cs="宋体"/>
          <w:bCs/>
          <w:sz w:val="32"/>
          <w:szCs w:val="32"/>
        </w:rPr>
        <w:t>采购代理机构：宁波中基国际招标有限公司</w:t>
      </w:r>
    </w:p>
    <w:p w14:paraId="4D2D114A">
      <w:pPr>
        <w:snapToGrid w:val="0"/>
        <w:spacing w:line="360" w:lineRule="auto"/>
        <w:jc w:val="center"/>
        <w:rPr>
          <w:rFonts w:hint="eastAsia" w:ascii="宋体" w:hAnsi="宋体" w:cs="宋体"/>
          <w:bCs/>
          <w:color w:val="FF0000"/>
          <w:sz w:val="32"/>
          <w:szCs w:val="32"/>
        </w:rPr>
      </w:pPr>
    </w:p>
    <w:p w14:paraId="4D2D114B">
      <w:pPr>
        <w:snapToGrid w:val="0"/>
        <w:spacing w:line="360" w:lineRule="auto"/>
        <w:jc w:val="center"/>
        <w:rPr>
          <w:rFonts w:hint="eastAsia" w:ascii="宋体" w:hAnsi="宋体" w:cs="宋体"/>
          <w:bCs/>
          <w:color w:val="FF0000"/>
          <w:sz w:val="32"/>
          <w:szCs w:val="32"/>
        </w:rPr>
      </w:pPr>
      <w:r>
        <w:rPr>
          <w:rFonts w:hint="eastAsia" w:ascii="宋体" w:hAnsi="宋体" w:cs="宋体"/>
          <w:bCs/>
          <w:sz w:val="32"/>
          <w:szCs w:val="32"/>
        </w:rPr>
        <w:t>二〇二五年六月</w:t>
      </w:r>
    </w:p>
    <w:p w14:paraId="4D2D114C">
      <w:pPr>
        <w:rPr>
          <w:rFonts w:hint="eastAsia" w:ascii="宋体" w:hAnsi="宋体" w:cs="宋体"/>
          <w:sz w:val="24"/>
        </w:rPr>
      </w:pPr>
      <w:r>
        <w:rPr>
          <w:rFonts w:hint="eastAsia" w:ascii="宋体" w:hAnsi="宋体" w:cs="宋体"/>
          <w:sz w:val="24"/>
        </w:rPr>
        <w:br w:type="page"/>
      </w:r>
    </w:p>
    <w:p w14:paraId="4D2D114D">
      <w:pPr>
        <w:rPr>
          <w:rFonts w:hint="eastAsia" w:ascii="宋体" w:hAnsi="宋体" w:cs="宋体"/>
          <w:sz w:val="24"/>
        </w:rPr>
      </w:pPr>
      <w:r>
        <w:rPr>
          <w:rFonts w:hint="eastAsia" w:ascii="宋体" w:hAnsi="宋体" w:cs="宋体"/>
          <w:sz w:val="24"/>
        </w:rPr>
        <w:br w:type="page"/>
      </w:r>
    </w:p>
    <w:p w14:paraId="4D2D114E">
      <w:pPr>
        <w:rPr>
          <w:rFonts w:hint="eastAsia" w:ascii="宋体" w:hAnsi="宋体" w:cs="宋体"/>
          <w:sz w:val="24"/>
        </w:rPr>
      </w:pPr>
    </w:p>
    <w:p w14:paraId="4D2D114F">
      <w:pPr>
        <w:spacing w:line="360" w:lineRule="auto"/>
        <w:jc w:val="center"/>
        <w:rPr>
          <w:rFonts w:hint="eastAsia" w:ascii="宋体" w:hAnsi="宋体" w:cs="宋体"/>
          <w:sz w:val="24"/>
        </w:rPr>
      </w:pPr>
      <w:bookmarkStart w:id="0" w:name="_Hlt67893495"/>
      <w:bookmarkEnd w:id="0"/>
    </w:p>
    <w:p w14:paraId="4D2D1150">
      <w:pPr>
        <w:jc w:val="center"/>
        <w:rPr>
          <w:rFonts w:hint="eastAsia" w:ascii="宋体" w:hAnsi="宋体"/>
        </w:rPr>
      </w:pPr>
      <w:bookmarkStart w:id="1" w:name="_Toc91899869"/>
    </w:p>
    <w:p w14:paraId="4D2D1151">
      <w:pPr>
        <w:jc w:val="center"/>
        <w:rPr>
          <w:rFonts w:hint="eastAsia" w:ascii="宋体" w:hAnsi="宋体"/>
        </w:rPr>
      </w:pPr>
    </w:p>
    <w:p w14:paraId="4D2D1152">
      <w:pPr>
        <w:jc w:val="center"/>
        <w:rPr>
          <w:rFonts w:hint="eastAsia" w:ascii="宋体" w:hAnsi="宋体"/>
        </w:rPr>
      </w:pPr>
    </w:p>
    <w:p w14:paraId="4D2D1153">
      <w:pPr>
        <w:jc w:val="center"/>
        <w:rPr>
          <w:rFonts w:hint="eastAsia" w:ascii="宋体" w:hAnsi="宋体"/>
        </w:rPr>
      </w:pPr>
    </w:p>
    <w:p w14:paraId="4D2D1154">
      <w:pPr>
        <w:spacing w:line="480" w:lineRule="auto"/>
        <w:jc w:val="center"/>
        <w:rPr>
          <w:b/>
          <w:bCs/>
          <w:sz w:val="48"/>
          <w:szCs w:val="56"/>
        </w:rPr>
      </w:pPr>
      <w:r>
        <w:rPr>
          <w:rFonts w:ascii="宋体" w:hAnsi="宋体"/>
          <w:b/>
          <w:bCs/>
          <w:sz w:val="48"/>
          <w:szCs w:val="56"/>
        </w:rPr>
        <w:t>目</w:t>
      </w:r>
      <w:r>
        <w:rPr>
          <w:rFonts w:hint="eastAsia" w:ascii="宋体" w:hAnsi="宋体"/>
          <w:b/>
          <w:bCs/>
          <w:sz w:val="48"/>
          <w:szCs w:val="56"/>
        </w:rPr>
        <w:t xml:space="preserve">  </w:t>
      </w:r>
      <w:r>
        <w:rPr>
          <w:rFonts w:ascii="宋体" w:hAnsi="宋体"/>
          <w:b/>
          <w:bCs/>
          <w:sz w:val="48"/>
          <w:szCs w:val="56"/>
        </w:rPr>
        <w:t>录</w:t>
      </w:r>
    </w:p>
    <w:p w14:paraId="4D2D1155">
      <w:pPr>
        <w:pStyle w:val="42"/>
        <w:tabs>
          <w:tab w:val="right" w:leader="dot" w:pos="9070"/>
        </w:tabs>
        <w:spacing w:line="480" w:lineRule="auto"/>
        <w:rPr>
          <w:b/>
          <w:bCs/>
          <w:sz w:val="36"/>
          <w:szCs w:val="44"/>
        </w:rPr>
      </w:pPr>
      <w:r>
        <w:rPr>
          <w:rFonts w:ascii="宋体" w:hAnsi="宋体" w:cs="宋体"/>
          <w:b/>
          <w:bCs/>
          <w:sz w:val="44"/>
          <w:szCs w:val="44"/>
        </w:rPr>
        <w:fldChar w:fldCharType="begin"/>
      </w:r>
      <w:r>
        <w:rPr>
          <w:rFonts w:ascii="宋体" w:hAnsi="宋体" w:cs="宋体"/>
          <w:b/>
          <w:bCs/>
          <w:sz w:val="44"/>
          <w:szCs w:val="44"/>
        </w:rPr>
        <w:instrText xml:space="preserve">TOC \o "1-1" \h \u </w:instrText>
      </w:r>
      <w:r>
        <w:rPr>
          <w:rFonts w:ascii="宋体" w:hAnsi="宋体" w:cs="宋体"/>
          <w:b/>
          <w:bCs/>
          <w:sz w:val="44"/>
          <w:szCs w:val="44"/>
        </w:rPr>
        <w:fldChar w:fldCharType="separate"/>
      </w:r>
      <w:r>
        <w:fldChar w:fldCharType="begin"/>
      </w:r>
      <w:r>
        <w:instrText xml:space="preserve"> HYPERLINK \l "_Toc16013" </w:instrText>
      </w:r>
      <w:r>
        <w:fldChar w:fldCharType="separate"/>
      </w:r>
      <w:r>
        <w:rPr>
          <w:rFonts w:hint="eastAsia" w:ascii="宋体" w:hAnsi="宋体" w:cs="宋体"/>
          <w:b/>
          <w:bCs/>
          <w:sz w:val="36"/>
          <w:szCs w:val="32"/>
        </w:rPr>
        <w:t>第一部分  招标公告</w:t>
      </w:r>
      <w:r>
        <w:rPr>
          <w:b/>
          <w:bCs/>
          <w:sz w:val="36"/>
          <w:szCs w:val="44"/>
        </w:rPr>
        <w:tab/>
      </w:r>
      <w:r>
        <w:rPr>
          <w:b/>
          <w:bCs/>
          <w:sz w:val="36"/>
          <w:szCs w:val="44"/>
        </w:rPr>
        <w:fldChar w:fldCharType="begin"/>
      </w:r>
      <w:r>
        <w:rPr>
          <w:b/>
          <w:bCs/>
          <w:sz w:val="36"/>
          <w:szCs w:val="44"/>
        </w:rPr>
        <w:instrText xml:space="preserve"> PAGEREF _Toc16013 \h </w:instrText>
      </w:r>
      <w:r>
        <w:rPr>
          <w:b/>
          <w:bCs/>
          <w:sz w:val="36"/>
          <w:szCs w:val="44"/>
        </w:rPr>
        <w:fldChar w:fldCharType="separate"/>
      </w:r>
      <w:r>
        <w:rPr>
          <w:b/>
          <w:bCs/>
          <w:sz w:val="36"/>
          <w:szCs w:val="44"/>
        </w:rPr>
        <w:t>1</w:t>
      </w:r>
      <w:r>
        <w:rPr>
          <w:b/>
          <w:bCs/>
          <w:sz w:val="36"/>
          <w:szCs w:val="44"/>
        </w:rPr>
        <w:fldChar w:fldCharType="end"/>
      </w:r>
      <w:r>
        <w:rPr>
          <w:b/>
          <w:bCs/>
          <w:sz w:val="36"/>
          <w:szCs w:val="44"/>
        </w:rPr>
        <w:fldChar w:fldCharType="end"/>
      </w:r>
    </w:p>
    <w:p w14:paraId="4D2D1156">
      <w:pPr>
        <w:pStyle w:val="42"/>
        <w:tabs>
          <w:tab w:val="right" w:leader="dot" w:pos="9070"/>
        </w:tabs>
        <w:spacing w:line="480" w:lineRule="auto"/>
        <w:rPr>
          <w:b/>
          <w:bCs/>
          <w:sz w:val="36"/>
          <w:szCs w:val="44"/>
        </w:rPr>
      </w:pPr>
      <w:r>
        <w:fldChar w:fldCharType="begin"/>
      </w:r>
      <w:r>
        <w:instrText xml:space="preserve"> HYPERLINK \l "_Toc26310" </w:instrText>
      </w:r>
      <w:r>
        <w:fldChar w:fldCharType="separate"/>
      </w:r>
      <w:r>
        <w:rPr>
          <w:rFonts w:hint="eastAsia" w:ascii="宋体" w:hAnsi="宋体" w:cs="宋体"/>
          <w:b/>
          <w:bCs/>
          <w:sz w:val="36"/>
          <w:szCs w:val="32"/>
        </w:rPr>
        <w:t>第二部分  投标人须知</w:t>
      </w:r>
      <w:r>
        <w:rPr>
          <w:b/>
          <w:bCs/>
          <w:sz w:val="36"/>
          <w:szCs w:val="44"/>
        </w:rPr>
        <w:tab/>
      </w:r>
      <w:r>
        <w:rPr>
          <w:b/>
          <w:bCs/>
          <w:sz w:val="36"/>
          <w:szCs w:val="44"/>
        </w:rPr>
        <w:fldChar w:fldCharType="begin"/>
      </w:r>
      <w:r>
        <w:rPr>
          <w:b/>
          <w:bCs/>
          <w:sz w:val="36"/>
          <w:szCs w:val="44"/>
        </w:rPr>
        <w:instrText xml:space="preserve"> PAGEREF _Toc26310 \h </w:instrText>
      </w:r>
      <w:r>
        <w:rPr>
          <w:b/>
          <w:bCs/>
          <w:sz w:val="36"/>
          <w:szCs w:val="44"/>
        </w:rPr>
        <w:fldChar w:fldCharType="separate"/>
      </w:r>
      <w:r>
        <w:rPr>
          <w:b/>
          <w:bCs/>
          <w:sz w:val="36"/>
          <w:szCs w:val="44"/>
        </w:rPr>
        <w:t>6</w:t>
      </w:r>
      <w:r>
        <w:rPr>
          <w:b/>
          <w:bCs/>
          <w:sz w:val="36"/>
          <w:szCs w:val="44"/>
        </w:rPr>
        <w:fldChar w:fldCharType="end"/>
      </w:r>
      <w:r>
        <w:rPr>
          <w:b/>
          <w:bCs/>
          <w:sz w:val="36"/>
          <w:szCs w:val="44"/>
        </w:rPr>
        <w:fldChar w:fldCharType="end"/>
      </w:r>
    </w:p>
    <w:p w14:paraId="4D2D1157">
      <w:pPr>
        <w:pStyle w:val="42"/>
        <w:tabs>
          <w:tab w:val="right" w:leader="dot" w:pos="9070"/>
        </w:tabs>
        <w:spacing w:line="480" w:lineRule="auto"/>
        <w:rPr>
          <w:b/>
          <w:bCs/>
          <w:sz w:val="36"/>
          <w:szCs w:val="44"/>
        </w:rPr>
      </w:pPr>
      <w:r>
        <w:fldChar w:fldCharType="begin"/>
      </w:r>
      <w:r>
        <w:instrText xml:space="preserve"> HYPERLINK \l "_Toc15772" </w:instrText>
      </w:r>
      <w:r>
        <w:fldChar w:fldCharType="separate"/>
      </w:r>
      <w:r>
        <w:rPr>
          <w:rFonts w:hint="eastAsia" w:ascii="宋体" w:hAnsi="宋体" w:cs="宋体"/>
          <w:b/>
          <w:bCs/>
          <w:sz w:val="36"/>
          <w:szCs w:val="56"/>
        </w:rPr>
        <w:t>第三部分  采购需求</w:t>
      </w:r>
      <w:r>
        <w:rPr>
          <w:b/>
          <w:bCs/>
          <w:sz w:val="36"/>
          <w:szCs w:val="44"/>
        </w:rPr>
        <w:tab/>
      </w:r>
      <w:r>
        <w:rPr>
          <w:b/>
          <w:bCs/>
          <w:sz w:val="36"/>
          <w:szCs w:val="44"/>
        </w:rPr>
        <w:fldChar w:fldCharType="begin"/>
      </w:r>
      <w:r>
        <w:rPr>
          <w:b/>
          <w:bCs/>
          <w:sz w:val="36"/>
          <w:szCs w:val="44"/>
        </w:rPr>
        <w:instrText xml:space="preserve"> PAGEREF _Toc15772 \h </w:instrText>
      </w:r>
      <w:r>
        <w:rPr>
          <w:b/>
          <w:bCs/>
          <w:sz w:val="36"/>
          <w:szCs w:val="44"/>
        </w:rPr>
        <w:fldChar w:fldCharType="separate"/>
      </w:r>
      <w:r>
        <w:rPr>
          <w:b/>
          <w:bCs/>
          <w:sz w:val="36"/>
          <w:szCs w:val="44"/>
        </w:rPr>
        <w:t>21</w:t>
      </w:r>
      <w:r>
        <w:rPr>
          <w:b/>
          <w:bCs/>
          <w:sz w:val="36"/>
          <w:szCs w:val="44"/>
        </w:rPr>
        <w:fldChar w:fldCharType="end"/>
      </w:r>
      <w:r>
        <w:rPr>
          <w:b/>
          <w:bCs/>
          <w:sz w:val="36"/>
          <w:szCs w:val="44"/>
        </w:rPr>
        <w:fldChar w:fldCharType="end"/>
      </w:r>
    </w:p>
    <w:p w14:paraId="4D2D1158">
      <w:pPr>
        <w:pStyle w:val="42"/>
        <w:tabs>
          <w:tab w:val="right" w:leader="dot" w:pos="9070"/>
        </w:tabs>
        <w:spacing w:line="480" w:lineRule="auto"/>
        <w:rPr>
          <w:b/>
          <w:bCs/>
          <w:sz w:val="36"/>
          <w:szCs w:val="44"/>
        </w:rPr>
      </w:pPr>
      <w:r>
        <w:fldChar w:fldCharType="begin"/>
      </w:r>
      <w:r>
        <w:instrText xml:space="preserve"> HYPERLINK \l "_Toc3078" </w:instrText>
      </w:r>
      <w:r>
        <w:fldChar w:fldCharType="separate"/>
      </w:r>
      <w:r>
        <w:rPr>
          <w:rFonts w:hint="eastAsia" w:ascii="宋体" w:hAnsi="宋体" w:cs="宋体"/>
          <w:b/>
          <w:bCs/>
          <w:sz w:val="36"/>
          <w:szCs w:val="56"/>
        </w:rPr>
        <w:t>第四部分  评标办法</w:t>
      </w:r>
      <w:r>
        <w:rPr>
          <w:b/>
          <w:bCs/>
          <w:sz w:val="36"/>
          <w:szCs w:val="44"/>
        </w:rPr>
        <w:tab/>
      </w:r>
      <w:r>
        <w:rPr>
          <w:b/>
          <w:bCs/>
          <w:sz w:val="36"/>
          <w:szCs w:val="44"/>
        </w:rPr>
        <w:fldChar w:fldCharType="begin"/>
      </w:r>
      <w:r>
        <w:rPr>
          <w:b/>
          <w:bCs/>
          <w:sz w:val="36"/>
          <w:szCs w:val="44"/>
        </w:rPr>
        <w:instrText xml:space="preserve"> PAGEREF _Toc3078 \h </w:instrText>
      </w:r>
      <w:r>
        <w:rPr>
          <w:b/>
          <w:bCs/>
          <w:sz w:val="36"/>
          <w:szCs w:val="44"/>
        </w:rPr>
        <w:fldChar w:fldCharType="separate"/>
      </w:r>
      <w:r>
        <w:rPr>
          <w:b/>
          <w:bCs/>
          <w:sz w:val="36"/>
          <w:szCs w:val="44"/>
        </w:rPr>
        <w:t>28</w:t>
      </w:r>
      <w:r>
        <w:rPr>
          <w:b/>
          <w:bCs/>
          <w:sz w:val="36"/>
          <w:szCs w:val="44"/>
        </w:rPr>
        <w:fldChar w:fldCharType="end"/>
      </w:r>
      <w:r>
        <w:rPr>
          <w:b/>
          <w:bCs/>
          <w:sz w:val="36"/>
          <w:szCs w:val="44"/>
        </w:rPr>
        <w:fldChar w:fldCharType="end"/>
      </w:r>
    </w:p>
    <w:p w14:paraId="4D2D1159">
      <w:pPr>
        <w:pStyle w:val="42"/>
        <w:tabs>
          <w:tab w:val="right" w:leader="dot" w:pos="9070"/>
        </w:tabs>
        <w:spacing w:line="480" w:lineRule="auto"/>
        <w:rPr>
          <w:b/>
          <w:bCs/>
          <w:sz w:val="36"/>
          <w:szCs w:val="44"/>
        </w:rPr>
      </w:pPr>
      <w:r>
        <w:fldChar w:fldCharType="begin"/>
      </w:r>
      <w:r>
        <w:instrText xml:space="preserve"> HYPERLINK \l "_Toc9141" </w:instrText>
      </w:r>
      <w:r>
        <w:fldChar w:fldCharType="separate"/>
      </w:r>
      <w:r>
        <w:rPr>
          <w:rFonts w:hint="eastAsia" w:ascii="宋体" w:hAnsi="宋体" w:cs="宋体"/>
          <w:b/>
          <w:bCs/>
          <w:sz w:val="36"/>
          <w:szCs w:val="56"/>
        </w:rPr>
        <w:t>第五部分  拟签订的合同文本</w:t>
      </w:r>
      <w:r>
        <w:rPr>
          <w:b/>
          <w:bCs/>
          <w:sz w:val="36"/>
          <w:szCs w:val="44"/>
        </w:rPr>
        <w:tab/>
      </w:r>
      <w:r>
        <w:rPr>
          <w:b/>
          <w:bCs/>
          <w:sz w:val="36"/>
          <w:szCs w:val="44"/>
        </w:rPr>
        <w:fldChar w:fldCharType="begin"/>
      </w:r>
      <w:r>
        <w:rPr>
          <w:b/>
          <w:bCs/>
          <w:sz w:val="36"/>
          <w:szCs w:val="44"/>
        </w:rPr>
        <w:instrText xml:space="preserve"> PAGEREF _Toc9141 \h </w:instrText>
      </w:r>
      <w:r>
        <w:rPr>
          <w:b/>
          <w:bCs/>
          <w:sz w:val="36"/>
          <w:szCs w:val="44"/>
        </w:rPr>
        <w:fldChar w:fldCharType="separate"/>
      </w:r>
      <w:r>
        <w:rPr>
          <w:b/>
          <w:bCs/>
          <w:sz w:val="36"/>
          <w:szCs w:val="44"/>
        </w:rPr>
        <w:t>36</w:t>
      </w:r>
      <w:r>
        <w:rPr>
          <w:b/>
          <w:bCs/>
          <w:sz w:val="36"/>
          <w:szCs w:val="44"/>
        </w:rPr>
        <w:fldChar w:fldCharType="end"/>
      </w:r>
      <w:r>
        <w:rPr>
          <w:b/>
          <w:bCs/>
          <w:sz w:val="36"/>
          <w:szCs w:val="44"/>
        </w:rPr>
        <w:fldChar w:fldCharType="end"/>
      </w:r>
    </w:p>
    <w:p w14:paraId="4D2D115A">
      <w:pPr>
        <w:pStyle w:val="42"/>
        <w:tabs>
          <w:tab w:val="right" w:leader="dot" w:pos="9070"/>
        </w:tabs>
        <w:spacing w:line="480" w:lineRule="auto"/>
        <w:rPr>
          <w:b/>
          <w:bCs/>
          <w:sz w:val="36"/>
          <w:szCs w:val="44"/>
        </w:rPr>
      </w:pPr>
      <w:r>
        <w:fldChar w:fldCharType="begin"/>
      </w:r>
      <w:r>
        <w:instrText xml:space="preserve"> HYPERLINK \l "_Toc8397" </w:instrText>
      </w:r>
      <w:r>
        <w:fldChar w:fldCharType="separate"/>
      </w:r>
      <w:r>
        <w:rPr>
          <w:rFonts w:hint="eastAsia" w:ascii="宋体" w:hAnsi="宋体" w:cs="宋体"/>
          <w:b/>
          <w:bCs/>
          <w:sz w:val="36"/>
          <w:szCs w:val="32"/>
        </w:rPr>
        <w:t>第六部分  应提交的有关格式范例</w:t>
      </w:r>
      <w:r>
        <w:rPr>
          <w:b/>
          <w:bCs/>
          <w:sz w:val="36"/>
          <w:szCs w:val="44"/>
        </w:rPr>
        <w:tab/>
      </w:r>
      <w:r>
        <w:rPr>
          <w:b/>
          <w:bCs/>
          <w:sz w:val="36"/>
          <w:szCs w:val="44"/>
        </w:rPr>
        <w:fldChar w:fldCharType="begin"/>
      </w:r>
      <w:r>
        <w:rPr>
          <w:b/>
          <w:bCs/>
          <w:sz w:val="36"/>
          <w:szCs w:val="44"/>
        </w:rPr>
        <w:instrText xml:space="preserve"> PAGEREF _Toc8397 \h </w:instrText>
      </w:r>
      <w:r>
        <w:rPr>
          <w:b/>
          <w:bCs/>
          <w:sz w:val="36"/>
          <w:szCs w:val="44"/>
        </w:rPr>
        <w:fldChar w:fldCharType="separate"/>
      </w:r>
      <w:r>
        <w:rPr>
          <w:b/>
          <w:bCs/>
          <w:sz w:val="36"/>
          <w:szCs w:val="44"/>
        </w:rPr>
        <w:t>40</w:t>
      </w:r>
      <w:r>
        <w:rPr>
          <w:b/>
          <w:bCs/>
          <w:sz w:val="36"/>
          <w:szCs w:val="44"/>
        </w:rPr>
        <w:fldChar w:fldCharType="end"/>
      </w:r>
      <w:r>
        <w:rPr>
          <w:b/>
          <w:bCs/>
          <w:sz w:val="36"/>
          <w:szCs w:val="44"/>
        </w:rPr>
        <w:fldChar w:fldCharType="end"/>
      </w:r>
    </w:p>
    <w:p w14:paraId="4D2D115B">
      <w:pPr>
        <w:spacing w:line="480" w:lineRule="auto"/>
        <w:rPr>
          <w:rFonts w:hint="eastAsia" w:ascii="宋体" w:hAnsi="宋体" w:cs="宋体"/>
          <w:sz w:val="24"/>
        </w:rPr>
      </w:pPr>
      <w:r>
        <w:rPr>
          <w:rFonts w:ascii="宋体" w:hAnsi="宋体" w:cs="宋体"/>
          <w:b/>
          <w:bCs/>
          <w:sz w:val="36"/>
          <w:szCs w:val="44"/>
        </w:rPr>
        <w:fldChar w:fldCharType="end"/>
      </w:r>
    </w:p>
    <w:p w14:paraId="4D2D115C">
      <w:pPr>
        <w:spacing w:line="360" w:lineRule="auto"/>
        <w:rPr>
          <w:rFonts w:hint="eastAsia" w:ascii="宋体" w:hAnsi="宋体" w:cs="宋体"/>
          <w:sz w:val="24"/>
        </w:rPr>
      </w:pPr>
    </w:p>
    <w:p w14:paraId="4D2D115D">
      <w:pPr>
        <w:rPr>
          <w:rFonts w:hint="eastAsia" w:ascii="宋体" w:hAnsi="宋体" w:cs="宋体"/>
          <w:sz w:val="24"/>
        </w:rPr>
      </w:pPr>
      <w:r>
        <w:rPr>
          <w:rFonts w:ascii="宋体" w:hAnsi="宋体" w:cs="宋体"/>
          <w:sz w:val="24"/>
        </w:rPr>
        <w:br w:type="page"/>
      </w:r>
    </w:p>
    <w:p w14:paraId="4D2D115E">
      <w:pPr>
        <w:spacing w:line="360" w:lineRule="auto"/>
        <w:ind w:firstLine="549" w:firstLineChars="229"/>
        <w:rPr>
          <w:rFonts w:hint="eastAsia" w:ascii="宋体" w:hAnsi="宋体" w:cs="宋体"/>
          <w:sz w:val="24"/>
        </w:rPr>
      </w:pPr>
    </w:p>
    <w:p w14:paraId="4D2D115F">
      <w:pPr>
        <w:spacing w:line="360" w:lineRule="auto"/>
        <w:ind w:firstLine="549" w:firstLineChars="229"/>
        <w:rPr>
          <w:rFonts w:hint="eastAsia" w:ascii="宋体" w:hAnsi="宋体" w:cs="宋体"/>
          <w:sz w:val="24"/>
        </w:rPr>
      </w:pPr>
    </w:p>
    <w:p w14:paraId="4D2D1160">
      <w:pPr>
        <w:spacing w:line="360" w:lineRule="auto"/>
        <w:ind w:firstLine="549" w:firstLineChars="229"/>
        <w:rPr>
          <w:rFonts w:hint="eastAsia" w:ascii="宋体" w:hAnsi="宋体" w:cs="宋体"/>
          <w:sz w:val="24"/>
        </w:rPr>
      </w:pPr>
    </w:p>
    <w:p w14:paraId="4D2D1161">
      <w:pPr>
        <w:spacing w:line="360" w:lineRule="auto"/>
        <w:ind w:firstLine="549" w:firstLineChars="229"/>
        <w:rPr>
          <w:rFonts w:hint="eastAsia" w:ascii="宋体" w:hAnsi="宋体" w:cs="宋体"/>
          <w:sz w:val="24"/>
        </w:rPr>
      </w:pPr>
    </w:p>
    <w:p w14:paraId="4D2D1162">
      <w:pPr>
        <w:spacing w:line="360" w:lineRule="auto"/>
        <w:ind w:firstLine="549" w:firstLineChars="229"/>
        <w:rPr>
          <w:rFonts w:hint="eastAsia" w:ascii="宋体" w:hAnsi="宋体" w:cs="宋体"/>
          <w:sz w:val="24"/>
        </w:rPr>
      </w:pPr>
    </w:p>
    <w:p w14:paraId="4D2D1163">
      <w:pPr>
        <w:rPr>
          <w:rFonts w:hint="eastAsia" w:ascii="宋体" w:hAnsi="宋体" w:cs="宋体"/>
          <w:sz w:val="24"/>
        </w:rPr>
      </w:pPr>
    </w:p>
    <w:p w14:paraId="4D2D1164">
      <w:pPr>
        <w:pStyle w:val="23"/>
      </w:pPr>
    </w:p>
    <w:bookmarkEnd w:id="1"/>
    <w:p w14:paraId="4D2D1165">
      <w:pPr>
        <w:adjustRightInd/>
        <w:spacing w:line="360" w:lineRule="auto"/>
        <w:jc w:val="center"/>
        <w:rPr>
          <w:rFonts w:hint="eastAsia" w:ascii="宋体" w:hAnsi="宋体" w:cs="宋体"/>
          <w:b/>
          <w:sz w:val="36"/>
          <w:szCs w:val="20"/>
        </w:rPr>
        <w:sectPr>
          <w:headerReference r:id="rId3" w:type="default"/>
          <w:footerReference r:id="rId4" w:type="even"/>
          <w:pgSz w:w="11906" w:h="16838"/>
          <w:pgMar w:top="680" w:right="1418" w:bottom="468" w:left="1418" w:header="851" w:footer="992" w:gutter="0"/>
          <w:cols w:space="720" w:num="1"/>
          <w:titlePg/>
          <w:docGrid w:linePitch="312" w:charSpace="0"/>
        </w:sectPr>
      </w:pPr>
      <w:bookmarkStart w:id="2" w:name="_Hlt74707423"/>
      <w:bookmarkEnd w:id="2"/>
      <w:bookmarkStart w:id="3" w:name="_Hlt74649545"/>
      <w:bookmarkEnd w:id="3"/>
      <w:bookmarkStart w:id="4" w:name="_Hlt74729822"/>
      <w:bookmarkEnd w:id="4"/>
      <w:bookmarkStart w:id="5" w:name="_Hlt74728647"/>
      <w:bookmarkEnd w:id="5"/>
      <w:bookmarkStart w:id="6" w:name="第二部分"/>
      <w:bookmarkStart w:id="7" w:name="_Toc91899870"/>
      <w:bookmarkStart w:id="8" w:name="_Toc91899871"/>
    </w:p>
    <w:p w14:paraId="4D2D1166">
      <w:pPr>
        <w:adjustRightInd/>
        <w:spacing w:line="360" w:lineRule="auto"/>
        <w:jc w:val="center"/>
        <w:outlineLvl w:val="0"/>
        <w:rPr>
          <w:rFonts w:hint="eastAsia" w:ascii="宋体" w:hAnsi="宋体" w:cs="宋体"/>
          <w:b/>
          <w:sz w:val="36"/>
          <w:szCs w:val="20"/>
        </w:rPr>
      </w:pPr>
      <w:bookmarkStart w:id="9" w:name="_Toc16013"/>
      <w:r>
        <w:rPr>
          <w:rFonts w:hint="eastAsia" w:ascii="宋体" w:hAnsi="宋体" w:cs="宋体"/>
          <w:b/>
          <w:sz w:val="36"/>
          <w:szCs w:val="20"/>
        </w:rPr>
        <w:t>第一部分 招标公告</w:t>
      </w:r>
      <w:bookmarkEnd w:id="9"/>
    </w:p>
    <w:p w14:paraId="4D2D116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项目概况</w:t>
      </w:r>
    </w:p>
    <w:p w14:paraId="4D2D116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u w:val="single"/>
        </w:rPr>
      </w:pPr>
      <w:r>
        <w:rPr>
          <w:rFonts w:hint="eastAsia" w:ascii="宋体" w:hAnsi="宋体" w:cs="宋体"/>
          <w:sz w:val="24"/>
          <w:u w:val="single"/>
        </w:rPr>
        <w:t>（慈溪市人民医院医疗健康集团（慈溪市人民医院）飞利浦1.5T磁共振维保、岛津X线机打包维保服务采购项目）</w:t>
      </w:r>
      <w:r>
        <w:rPr>
          <w:rFonts w:hint="eastAsia" w:ascii="宋体" w:hAnsi="宋体" w:cs="宋体"/>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7"/>
          <w:rFonts w:hint="eastAsia" w:ascii="宋体" w:hAnsi="宋体" w:eastAsia="宋体" w:cs="宋体"/>
          <w:snapToGrid/>
          <w:color w:val="auto"/>
          <w:kern w:val="2"/>
          <w:sz w:val="24"/>
          <w:szCs w:val="24"/>
        </w:rPr>
        <w:t>https://www.zcygov.cn/）获取（下载）招标文件，并于</w:t>
      </w:r>
      <w:r>
        <w:rPr>
          <w:rStyle w:val="77"/>
          <w:rFonts w:hint="eastAsia" w:ascii="宋体" w:hAnsi="宋体" w:cs="宋体"/>
          <w:snapToGrid/>
          <w:color w:val="auto"/>
          <w:kern w:val="2"/>
          <w:sz w:val="24"/>
          <w:szCs w:val="24"/>
        </w:rPr>
        <w:t>2025</w:t>
      </w:r>
      <w:r>
        <w:rPr>
          <w:rStyle w:val="77"/>
          <w:rFonts w:hint="eastAsia" w:ascii="宋体" w:hAnsi="宋体" w:eastAsia="宋体" w:cs="宋体"/>
          <w:snapToGrid/>
          <w:color w:val="auto"/>
          <w:kern w:val="2"/>
          <w:sz w:val="24"/>
          <w:szCs w:val="24"/>
        </w:rPr>
        <w:t>年</w:t>
      </w:r>
      <w:r>
        <w:rPr>
          <w:rStyle w:val="77"/>
          <w:rFonts w:hint="eastAsia" w:ascii="宋体" w:hAnsi="宋体" w:cs="宋体"/>
          <w:snapToGrid/>
          <w:color w:val="auto"/>
          <w:kern w:val="2"/>
          <w:sz w:val="24"/>
          <w:szCs w:val="24"/>
          <w:lang w:val="en-US" w:eastAsia="zh-CN"/>
        </w:rPr>
        <w:t>07</w:t>
      </w:r>
      <w:r>
        <w:rPr>
          <w:rStyle w:val="77"/>
          <w:rFonts w:hint="eastAsia" w:ascii="宋体" w:hAnsi="宋体" w:eastAsia="宋体" w:cs="宋体"/>
          <w:snapToGrid/>
          <w:color w:val="auto"/>
          <w:kern w:val="2"/>
          <w:sz w:val="24"/>
          <w:szCs w:val="24"/>
        </w:rPr>
        <w:t>月</w:t>
      </w:r>
      <w:r>
        <w:rPr>
          <w:rStyle w:val="77"/>
          <w:rFonts w:hint="eastAsia" w:ascii="宋体" w:hAnsi="宋体" w:cs="宋体"/>
          <w:snapToGrid/>
          <w:color w:val="auto"/>
          <w:kern w:val="2"/>
          <w:sz w:val="24"/>
          <w:szCs w:val="24"/>
          <w:lang w:val="en-US" w:eastAsia="zh-CN"/>
        </w:rPr>
        <w:t>14</w:t>
      </w:r>
      <w:r>
        <w:rPr>
          <w:rStyle w:val="77"/>
          <w:rFonts w:hint="eastAsia" w:ascii="宋体" w:hAnsi="宋体" w:eastAsia="宋体" w:cs="宋体"/>
          <w:snapToGrid/>
          <w:color w:val="auto"/>
          <w:kern w:val="2"/>
          <w:sz w:val="24"/>
          <w:szCs w:val="24"/>
        </w:rPr>
        <w:t>日</w:t>
      </w:r>
      <w:r>
        <w:rPr>
          <w:rStyle w:val="77"/>
          <w:rFonts w:hint="eastAsia" w:ascii="宋体" w:hAnsi="宋体" w:cs="宋体"/>
          <w:snapToGrid/>
          <w:color w:val="auto"/>
          <w:kern w:val="2"/>
          <w:sz w:val="24"/>
          <w:szCs w:val="24"/>
        </w:rPr>
        <w:t>14</w:t>
      </w:r>
      <w:r>
        <w:rPr>
          <w:rStyle w:val="77"/>
          <w:rFonts w:hint="eastAsia" w:ascii="宋体" w:hAnsi="宋体" w:eastAsia="宋体" w:cs="宋体"/>
          <w:snapToGrid/>
          <w:color w:val="auto"/>
          <w:kern w:val="2"/>
          <w:sz w:val="24"/>
          <w:szCs w:val="24"/>
        </w:rPr>
        <w:t>点</w:t>
      </w:r>
      <w:r>
        <w:rPr>
          <w:rStyle w:val="77"/>
          <w:rFonts w:hint="eastAsia" w:ascii="宋体" w:hAnsi="宋体" w:cs="宋体"/>
          <w:snapToGrid/>
          <w:color w:val="auto"/>
          <w:kern w:val="2"/>
          <w:sz w:val="24"/>
          <w:szCs w:val="24"/>
        </w:rPr>
        <w:t>30</w:t>
      </w:r>
      <w:r>
        <w:rPr>
          <w:rStyle w:val="77"/>
          <w:rFonts w:hint="eastAsia" w:ascii="宋体" w:hAnsi="宋体" w:eastAsia="宋体" w:cs="宋体"/>
          <w:snapToGrid/>
          <w:color w:val="auto"/>
          <w:kern w:val="2"/>
          <w:sz w:val="24"/>
          <w:szCs w:val="24"/>
        </w:rPr>
        <w:t>分</w:t>
      </w:r>
      <w:r>
        <w:rPr>
          <w:rStyle w:val="77"/>
          <w:rFonts w:hint="eastAsia" w:ascii="宋体" w:hAnsi="宋体" w:eastAsia="宋体" w:cs="宋体"/>
          <w:bCs/>
          <w:snapToGrid/>
          <w:color w:val="auto"/>
          <w:kern w:val="2"/>
          <w:sz w:val="24"/>
          <w:szCs w:val="24"/>
        </w:rPr>
        <w:t>00秒</w:t>
      </w:r>
      <w:r>
        <w:rPr>
          <w:rStyle w:val="77"/>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4D2D1169">
      <w:pPr>
        <w:spacing w:line="348" w:lineRule="auto"/>
        <w:rPr>
          <w:rFonts w:hint="eastAsia" w:ascii="宋体" w:hAnsi="宋体" w:cs="宋体"/>
          <w:b/>
          <w:sz w:val="24"/>
        </w:rPr>
      </w:pPr>
      <w:r>
        <w:rPr>
          <w:rFonts w:hint="eastAsia" w:ascii="宋体" w:hAnsi="宋体" w:cs="宋体"/>
          <w:b/>
          <w:sz w:val="24"/>
        </w:rPr>
        <w:t>一、项目基本情况</w:t>
      </w:r>
    </w:p>
    <w:p w14:paraId="4D2D116A">
      <w:pPr>
        <w:spacing w:line="348" w:lineRule="auto"/>
        <w:ind w:firstLine="480"/>
        <w:rPr>
          <w:rFonts w:hint="eastAsia" w:ascii="宋体" w:hAnsi="宋体" w:cs="宋体"/>
          <w:sz w:val="24"/>
        </w:rPr>
      </w:pPr>
      <w:r>
        <w:rPr>
          <w:rFonts w:hint="eastAsia" w:ascii="宋体" w:hAnsi="宋体" w:cs="宋体"/>
          <w:b/>
          <w:sz w:val="24"/>
        </w:rPr>
        <w:t>项目编号：</w:t>
      </w:r>
      <w:r>
        <w:rPr>
          <w:rFonts w:hint="eastAsia" w:ascii="宋体" w:hAnsi="宋体" w:cs="宋体"/>
          <w:b w:val="0"/>
          <w:bCs/>
          <w:sz w:val="24"/>
        </w:rPr>
        <w:t>330282202505004074</w:t>
      </w:r>
    </w:p>
    <w:p w14:paraId="4D2D116B">
      <w:pPr>
        <w:spacing w:line="348" w:lineRule="auto"/>
        <w:ind w:firstLine="480"/>
        <w:rPr>
          <w:rFonts w:hint="eastAsia" w:ascii="宋体" w:hAnsi="宋体" w:cs="宋体"/>
          <w:sz w:val="24"/>
          <w:highlight w:val="none"/>
        </w:rPr>
      </w:pPr>
      <w:r>
        <w:rPr>
          <w:rFonts w:hint="eastAsia" w:ascii="宋体" w:hAnsi="宋体" w:cs="宋体"/>
          <w:b/>
          <w:sz w:val="24"/>
          <w:highlight w:val="none"/>
        </w:rPr>
        <w:t>项目名称：</w:t>
      </w:r>
      <w:r>
        <w:rPr>
          <w:rFonts w:hint="eastAsia" w:ascii="宋体" w:hAnsi="宋体" w:cs="宋体"/>
          <w:sz w:val="24"/>
          <w:highlight w:val="none"/>
        </w:rPr>
        <w:t>慈溪市人民医院医疗健康集团（慈溪市人民医院）飞利浦1.5T磁共振维保、岛津X线机打包维保服务采购项目</w:t>
      </w:r>
    </w:p>
    <w:p w14:paraId="4D2D116C">
      <w:pPr>
        <w:spacing w:line="348" w:lineRule="auto"/>
        <w:ind w:firstLine="480"/>
        <w:rPr>
          <w:rFonts w:hint="eastAsia" w:ascii="宋体" w:hAnsi="宋体" w:cs="宋体"/>
          <w:sz w:val="24"/>
        </w:rPr>
      </w:pPr>
      <w:r>
        <w:rPr>
          <w:rFonts w:hint="eastAsia" w:ascii="宋体" w:hAnsi="宋体" w:cs="宋体"/>
          <w:b/>
          <w:sz w:val="24"/>
        </w:rPr>
        <w:t>预算金额（元）：</w:t>
      </w:r>
      <w:r>
        <w:rPr>
          <w:rFonts w:hint="eastAsia" w:ascii="宋体" w:hAnsi="宋体" w:cs="宋体"/>
          <w:bCs/>
          <w:sz w:val="24"/>
        </w:rPr>
        <w:t>1500000.00</w:t>
      </w:r>
    </w:p>
    <w:p w14:paraId="4D2D116D">
      <w:pPr>
        <w:spacing w:line="348" w:lineRule="auto"/>
        <w:ind w:firstLine="480"/>
        <w:rPr>
          <w:rFonts w:hint="eastAsia" w:ascii="宋体" w:hAnsi="宋体" w:cs="宋体"/>
          <w:sz w:val="24"/>
          <w:highlight w:val="none"/>
        </w:rPr>
      </w:pPr>
      <w:r>
        <w:rPr>
          <w:rFonts w:hint="eastAsia" w:ascii="宋体" w:hAnsi="宋体" w:cs="宋体"/>
          <w:b/>
          <w:sz w:val="24"/>
          <w:highlight w:val="none"/>
        </w:rPr>
        <w:t>最高限价（元）：</w:t>
      </w:r>
      <w:r>
        <w:rPr>
          <w:rFonts w:hint="eastAsia" w:ascii="宋体" w:hAnsi="宋体" w:cs="宋体"/>
          <w:bCs/>
          <w:sz w:val="24"/>
          <w:highlight w:val="none"/>
          <w:lang w:val="en-US" w:eastAsia="zh-CN"/>
        </w:rPr>
        <w:t>6</w:t>
      </w:r>
      <w:r>
        <w:rPr>
          <w:rFonts w:hint="eastAsia" w:ascii="宋体" w:hAnsi="宋体" w:cs="宋体"/>
          <w:bCs/>
          <w:sz w:val="24"/>
          <w:highlight w:val="none"/>
        </w:rPr>
        <w:t>00000.00，800000.00</w:t>
      </w:r>
    </w:p>
    <w:p w14:paraId="4D2D116E">
      <w:pPr>
        <w:spacing w:line="348" w:lineRule="auto"/>
        <w:ind w:firstLine="480"/>
        <w:rPr>
          <w:rFonts w:hint="eastAsia" w:ascii="宋体" w:hAnsi="宋体" w:cs="宋体"/>
          <w:b/>
          <w:sz w:val="24"/>
        </w:rPr>
      </w:pPr>
      <w:r>
        <w:rPr>
          <w:rFonts w:hint="eastAsia" w:ascii="宋体" w:hAnsi="宋体" w:cs="宋体"/>
          <w:b/>
          <w:sz w:val="24"/>
        </w:rPr>
        <w:t>采购需求：</w:t>
      </w:r>
    </w:p>
    <w:p w14:paraId="4D2D116F">
      <w:pPr>
        <w:spacing w:line="348" w:lineRule="auto"/>
        <w:ind w:firstLine="482"/>
        <w:rPr>
          <w:rFonts w:hint="eastAsia" w:ascii="宋体" w:hAnsi="宋体" w:cs="宋体"/>
          <w:snapToGrid w:val="0"/>
          <w:kern w:val="28"/>
          <w:sz w:val="24"/>
        </w:rPr>
      </w:pPr>
      <w:r>
        <w:rPr>
          <w:rFonts w:hint="eastAsia" w:ascii="宋体" w:hAnsi="宋体" w:cs="宋体"/>
          <w:b/>
          <w:bCs/>
          <w:snapToGrid w:val="0"/>
          <w:kern w:val="28"/>
          <w:sz w:val="24"/>
        </w:rPr>
        <w:t>标项一：</w:t>
      </w:r>
    </w:p>
    <w:p w14:paraId="4D2D1170">
      <w:pPr>
        <w:spacing w:line="348" w:lineRule="auto"/>
        <w:ind w:left="210" w:leftChars="100" w:firstLine="480"/>
        <w:rPr>
          <w:rFonts w:hint="eastAsia" w:ascii="宋体" w:hAnsi="宋体" w:cs="宋体"/>
          <w:snapToGrid w:val="0"/>
          <w:kern w:val="28"/>
          <w:sz w:val="24"/>
          <w:highlight w:val="none"/>
        </w:rPr>
      </w:pPr>
      <w:r>
        <w:rPr>
          <w:rFonts w:hint="eastAsia" w:ascii="宋体" w:hAnsi="宋体" w:cs="宋体"/>
          <w:snapToGrid w:val="0"/>
          <w:kern w:val="28"/>
          <w:sz w:val="24"/>
          <w:highlight w:val="none"/>
        </w:rPr>
        <w:t>标项名称：飞利浦1.5T磁共振维保</w:t>
      </w:r>
    </w:p>
    <w:p w14:paraId="4D2D1171">
      <w:pPr>
        <w:spacing w:line="348" w:lineRule="auto"/>
        <w:ind w:left="210" w:leftChars="100" w:firstLine="480"/>
        <w:rPr>
          <w:rFonts w:hint="eastAsia" w:ascii="宋体" w:hAnsi="宋体" w:cs="宋体"/>
          <w:snapToGrid w:val="0"/>
          <w:kern w:val="28"/>
          <w:sz w:val="24"/>
          <w:highlight w:val="none"/>
        </w:rPr>
      </w:pPr>
      <w:r>
        <w:rPr>
          <w:rFonts w:hint="eastAsia" w:ascii="宋体" w:hAnsi="宋体" w:cs="宋体"/>
          <w:snapToGrid w:val="0"/>
          <w:kern w:val="28"/>
          <w:sz w:val="24"/>
          <w:highlight w:val="none"/>
        </w:rPr>
        <w:t>数量：1项</w:t>
      </w:r>
    </w:p>
    <w:p w14:paraId="4D2D1172">
      <w:pPr>
        <w:spacing w:line="348" w:lineRule="auto"/>
        <w:ind w:left="210" w:leftChars="100" w:firstLine="480"/>
        <w:rPr>
          <w:rFonts w:hint="eastAsia" w:ascii="宋体" w:hAnsi="宋体" w:cs="宋体"/>
          <w:snapToGrid w:val="0"/>
          <w:kern w:val="28"/>
          <w:sz w:val="24"/>
          <w:highlight w:val="none"/>
        </w:rPr>
      </w:pPr>
      <w:r>
        <w:rPr>
          <w:rFonts w:hint="eastAsia" w:ascii="宋体" w:hAnsi="宋体" w:cs="宋体"/>
          <w:snapToGrid w:val="0"/>
          <w:kern w:val="28"/>
          <w:sz w:val="24"/>
          <w:highlight w:val="none"/>
        </w:rPr>
        <w:t>预算金额（元）：</w:t>
      </w:r>
      <w:r>
        <w:rPr>
          <w:rFonts w:hint="eastAsia" w:ascii="宋体" w:hAnsi="宋体" w:cs="宋体"/>
          <w:bCs/>
          <w:sz w:val="24"/>
          <w:highlight w:val="none"/>
        </w:rPr>
        <w:t>700000.00</w:t>
      </w:r>
    </w:p>
    <w:p w14:paraId="4D2D1173">
      <w:pPr>
        <w:widowControl/>
        <w:snapToGrid w:val="0"/>
        <w:spacing w:line="348" w:lineRule="auto"/>
        <w:ind w:left="210" w:leftChars="100" w:firstLine="480"/>
        <w:rPr>
          <w:rFonts w:hint="eastAsia" w:ascii="宋体" w:hAnsi="宋体" w:cs="宋体"/>
          <w:snapToGrid w:val="0"/>
          <w:kern w:val="28"/>
          <w:sz w:val="24"/>
          <w:highlight w:val="none"/>
        </w:rPr>
      </w:pPr>
      <w:r>
        <w:rPr>
          <w:rFonts w:hint="eastAsia" w:ascii="宋体" w:hAnsi="宋体" w:cs="宋体"/>
          <w:snapToGrid w:val="0"/>
          <w:kern w:val="28"/>
          <w:sz w:val="24"/>
          <w:highlight w:val="none"/>
        </w:rPr>
        <w:t>简要规格描述或项目基本概况介绍、用途：</w:t>
      </w:r>
      <w:r>
        <w:rPr>
          <w:rFonts w:hint="eastAsia" w:ascii="宋体" w:hAnsi="宋体" w:cs="宋体"/>
          <w:sz w:val="24"/>
          <w:highlight w:val="none"/>
        </w:rPr>
        <w:t>具体以招标文件第三部分采购需求为准，供应商可点击本公告下方“浏览采购文件”查看采购需求。</w:t>
      </w:r>
    </w:p>
    <w:p w14:paraId="4D2D1174">
      <w:pPr>
        <w:spacing w:line="348" w:lineRule="auto"/>
        <w:ind w:left="210" w:leftChars="100" w:firstLine="480"/>
        <w:rPr>
          <w:rFonts w:hint="eastAsia" w:ascii="宋体" w:hAnsi="宋体" w:cs="宋体"/>
          <w:b/>
          <w:bCs/>
          <w:snapToGrid w:val="0"/>
          <w:kern w:val="28"/>
          <w:sz w:val="24"/>
          <w:highlight w:val="none"/>
        </w:rPr>
      </w:pPr>
      <w:r>
        <w:rPr>
          <w:rFonts w:hint="eastAsia" w:ascii="宋体" w:hAnsi="宋体" w:cs="宋体"/>
          <w:snapToGrid w:val="0"/>
          <w:kern w:val="28"/>
          <w:sz w:val="24"/>
          <w:highlight w:val="none"/>
        </w:rPr>
        <w:t>备注：年度</w:t>
      </w:r>
      <w:r>
        <w:rPr>
          <w:rFonts w:hint="eastAsia" w:ascii="宋体" w:hAnsi="宋体" w:cs="宋体"/>
          <w:b/>
          <w:sz w:val="24"/>
          <w:highlight w:val="none"/>
        </w:rPr>
        <w:t>最高限价</w:t>
      </w:r>
      <w:r>
        <w:rPr>
          <w:rFonts w:hint="eastAsia" w:ascii="宋体" w:hAnsi="宋体" w:cs="宋体"/>
          <w:snapToGrid w:val="0"/>
          <w:kern w:val="28"/>
          <w:sz w:val="24"/>
          <w:highlight w:val="none"/>
        </w:rPr>
        <w:t>为</w:t>
      </w:r>
      <w:r>
        <w:rPr>
          <w:rFonts w:hint="eastAsia" w:ascii="宋体" w:hAnsi="宋体" w:cs="宋体"/>
          <w:bCs/>
          <w:sz w:val="24"/>
          <w:highlight w:val="none"/>
          <w:lang w:val="en-US" w:eastAsia="zh-CN"/>
        </w:rPr>
        <w:t>6</w:t>
      </w:r>
      <w:r>
        <w:rPr>
          <w:rFonts w:hint="eastAsia" w:ascii="宋体" w:hAnsi="宋体" w:cs="宋体"/>
          <w:bCs/>
          <w:sz w:val="24"/>
          <w:highlight w:val="none"/>
        </w:rPr>
        <w:t>00000.00元。</w:t>
      </w:r>
    </w:p>
    <w:p w14:paraId="4D2D1175">
      <w:pPr>
        <w:spacing w:line="348" w:lineRule="auto"/>
        <w:ind w:firstLine="482"/>
        <w:rPr>
          <w:rFonts w:hint="eastAsia" w:ascii="宋体" w:hAnsi="宋体" w:cs="宋体"/>
          <w:snapToGrid w:val="0"/>
          <w:kern w:val="28"/>
          <w:sz w:val="24"/>
          <w:highlight w:val="none"/>
        </w:rPr>
      </w:pPr>
      <w:r>
        <w:rPr>
          <w:rFonts w:hint="eastAsia" w:ascii="宋体" w:hAnsi="宋体" w:cs="宋体"/>
          <w:b/>
          <w:bCs/>
          <w:snapToGrid w:val="0"/>
          <w:kern w:val="28"/>
          <w:sz w:val="24"/>
          <w:highlight w:val="none"/>
        </w:rPr>
        <w:t>标项二：</w:t>
      </w:r>
    </w:p>
    <w:p w14:paraId="4D2D1176">
      <w:pPr>
        <w:spacing w:line="348" w:lineRule="auto"/>
        <w:ind w:left="210" w:leftChars="100" w:firstLine="480"/>
        <w:rPr>
          <w:rFonts w:hint="eastAsia" w:ascii="宋体" w:hAnsi="宋体" w:cs="宋体"/>
          <w:snapToGrid w:val="0"/>
          <w:kern w:val="28"/>
          <w:sz w:val="24"/>
          <w:highlight w:val="none"/>
        </w:rPr>
      </w:pPr>
      <w:r>
        <w:rPr>
          <w:rFonts w:hint="eastAsia" w:ascii="宋体" w:hAnsi="宋体" w:cs="宋体"/>
          <w:snapToGrid w:val="0"/>
          <w:kern w:val="28"/>
          <w:sz w:val="24"/>
          <w:highlight w:val="none"/>
        </w:rPr>
        <w:t>标项名称：岛津X线机打包维保</w:t>
      </w:r>
    </w:p>
    <w:p w14:paraId="4D2D1177">
      <w:pPr>
        <w:spacing w:line="348" w:lineRule="auto"/>
        <w:ind w:left="210" w:leftChars="100" w:firstLine="480"/>
        <w:rPr>
          <w:rFonts w:hint="eastAsia" w:ascii="宋体" w:hAnsi="宋体" w:cs="宋体"/>
          <w:snapToGrid w:val="0"/>
          <w:kern w:val="28"/>
          <w:sz w:val="24"/>
          <w:highlight w:val="none"/>
        </w:rPr>
      </w:pPr>
      <w:r>
        <w:rPr>
          <w:rFonts w:hint="eastAsia" w:ascii="宋体" w:hAnsi="宋体" w:cs="宋体"/>
          <w:snapToGrid w:val="0"/>
          <w:kern w:val="28"/>
          <w:sz w:val="24"/>
          <w:highlight w:val="none"/>
        </w:rPr>
        <w:t>数量：1项</w:t>
      </w:r>
    </w:p>
    <w:p w14:paraId="4D2D1178">
      <w:pPr>
        <w:spacing w:line="348" w:lineRule="auto"/>
        <w:ind w:left="210" w:leftChars="100" w:firstLine="480"/>
        <w:rPr>
          <w:rFonts w:hint="eastAsia" w:ascii="宋体" w:hAnsi="宋体" w:cs="宋体"/>
          <w:snapToGrid w:val="0"/>
          <w:kern w:val="28"/>
          <w:sz w:val="24"/>
          <w:highlight w:val="none"/>
        </w:rPr>
      </w:pPr>
      <w:r>
        <w:rPr>
          <w:rFonts w:hint="eastAsia" w:ascii="宋体" w:hAnsi="宋体" w:cs="宋体"/>
          <w:snapToGrid w:val="0"/>
          <w:kern w:val="28"/>
          <w:sz w:val="24"/>
          <w:highlight w:val="none"/>
        </w:rPr>
        <w:t>预算金额（元）：</w:t>
      </w:r>
      <w:r>
        <w:rPr>
          <w:rFonts w:hint="eastAsia" w:ascii="宋体" w:hAnsi="宋体" w:cs="宋体"/>
          <w:bCs/>
          <w:sz w:val="24"/>
          <w:highlight w:val="none"/>
        </w:rPr>
        <w:t>800000.00</w:t>
      </w:r>
    </w:p>
    <w:p w14:paraId="4D2D1179">
      <w:pPr>
        <w:widowControl/>
        <w:snapToGrid w:val="0"/>
        <w:spacing w:line="348" w:lineRule="auto"/>
        <w:ind w:left="210" w:leftChars="100" w:firstLine="480"/>
        <w:rPr>
          <w:rFonts w:hint="eastAsia" w:ascii="宋体" w:hAnsi="宋体" w:cs="宋体"/>
          <w:bCs/>
          <w:sz w:val="24"/>
          <w:highlight w:val="none"/>
        </w:rPr>
      </w:pPr>
      <w:r>
        <w:rPr>
          <w:rFonts w:hint="eastAsia" w:ascii="宋体" w:hAnsi="宋体" w:cs="宋体"/>
          <w:snapToGrid w:val="0"/>
          <w:kern w:val="28"/>
          <w:sz w:val="24"/>
          <w:highlight w:val="none"/>
        </w:rPr>
        <w:t>简要规格描述或项目基本概况介绍、用途：</w:t>
      </w:r>
      <w:r>
        <w:rPr>
          <w:rFonts w:hint="eastAsia" w:ascii="宋体" w:hAnsi="宋体" w:cs="宋体"/>
          <w:sz w:val="24"/>
          <w:highlight w:val="none"/>
        </w:rPr>
        <w:t>具体以招标文件第三部分采购需求为准，供应商可点击本公告下方“浏览采购文件”查看采购需求。</w:t>
      </w:r>
    </w:p>
    <w:p w14:paraId="4D2D117A">
      <w:pPr>
        <w:spacing w:line="348" w:lineRule="auto"/>
        <w:ind w:left="210" w:leftChars="100" w:firstLine="480"/>
        <w:rPr>
          <w:rFonts w:hint="eastAsia" w:ascii="宋体" w:hAnsi="宋体" w:cs="宋体"/>
          <w:snapToGrid w:val="0"/>
          <w:kern w:val="28"/>
          <w:sz w:val="24"/>
          <w:highlight w:val="none"/>
        </w:rPr>
      </w:pPr>
      <w:r>
        <w:rPr>
          <w:rFonts w:hint="eastAsia" w:ascii="宋体" w:hAnsi="宋体" w:cs="宋体"/>
          <w:snapToGrid w:val="0"/>
          <w:kern w:val="28"/>
          <w:sz w:val="24"/>
          <w:highlight w:val="none"/>
        </w:rPr>
        <w:t>备注：年度</w:t>
      </w:r>
      <w:r>
        <w:rPr>
          <w:rFonts w:hint="eastAsia" w:ascii="宋体" w:hAnsi="宋体" w:cs="宋体"/>
          <w:b/>
          <w:sz w:val="24"/>
          <w:highlight w:val="none"/>
        </w:rPr>
        <w:t>最高限价</w:t>
      </w:r>
      <w:r>
        <w:rPr>
          <w:rFonts w:hint="eastAsia" w:ascii="宋体" w:hAnsi="宋体" w:cs="宋体"/>
          <w:snapToGrid w:val="0"/>
          <w:kern w:val="28"/>
          <w:sz w:val="24"/>
          <w:highlight w:val="none"/>
        </w:rPr>
        <w:t>为</w:t>
      </w:r>
      <w:r>
        <w:rPr>
          <w:rFonts w:hint="eastAsia" w:ascii="宋体" w:hAnsi="宋体" w:cs="宋体"/>
          <w:bCs/>
          <w:sz w:val="24"/>
          <w:highlight w:val="none"/>
        </w:rPr>
        <w:t>800000.00元。</w:t>
      </w:r>
    </w:p>
    <w:p w14:paraId="4D2D117B">
      <w:pPr>
        <w:pStyle w:val="129"/>
        <w:spacing w:before="0" w:line="348" w:lineRule="auto"/>
        <w:ind w:firstLine="482"/>
        <w:rPr>
          <w:rFonts w:hint="eastAsia" w:ascii="宋体" w:hAnsi="宋体" w:cs="宋体"/>
          <w:highlight w:val="none"/>
        </w:rPr>
      </w:pPr>
      <w:r>
        <w:rPr>
          <w:rFonts w:hint="eastAsia" w:ascii="宋体" w:hAnsi="宋体" w:cs="宋体"/>
          <w:b/>
          <w:highlight w:val="none"/>
        </w:rPr>
        <w:t>合同履约期限：</w:t>
      </w:r>
      <w:r>
        <w:rPr>
          <w:rFonts w:hint="eastAsia" w:ascii="宋体" w:hAnsi="宋体" w:cs="宋体"/>
          <w:bCs/>
          <w:highlight w:val="none"/>
        </w:rPr>
        <w:t>标项一、二，服务期限三年，每年考核合格，经采购人确认服务满意后可续订下一年合同，最多可续签二年（合同采用一年一签形式）。</w:t>
      </w:r>
    </w:p>
    <w:p w14:paraId="4D2D117C">
      <w:pPr>
        <w:pStyle w:val="5"/>
        <w:snapToGrid/>
        <w:spacing w:line="348" w:lineRule="auto"/>
        <w:ind w:firstLine="480"/>
        <w:rPr>
          <w:rFonts w:hint="eastAsia" w:hAnsi="宋体" w:cs="宋体"/>
          <w:b/>
          <w:color w:val="auto"/>
        </w:rPr>
      </w:pPr>
      <w:r>
        <w:rPr>
          <w:rFonts w:hint="eastAsia" w:hAnsi="宋体" w:cs="宋体"/>
          <w:b/>
          <w:color w:val="auto"/>
          <w:sz w:val="24"/>
        </w:rPr>
        <w:t>本项目接受联合体投标：</w:t>
      </w:r>
      <w:sdt>
        <w:sdtPr>
          <w:rPr>
            <w:rFonts w:hAnsi="宋体" w:cs="宋体"/>
            <w:color w:val="auto"/>
            <w:kern w:val="0"/>
            <w:sz w:val="24"/>
          </w:rPr>
          <w:id w:val="-441836950"/>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cs="宋体"/>
              <w:color w:val="auto"/>
              <w:kern w:val="0"/>
              <w:sz w:val="24"/>
            </w:rPr>
            <w:t>☐</w:t>
          </w:r>
        </w:sdtContent>
      </w:sdt>
      <w:r>
        <w:rPr>
          <w:rFonts w:hint="eastAsia" w:hAnsi="宋体" w:cs="宋体"/>
          <w:b/>
          <w:color w:val="auto"/>
          <w:sz w:val="24"/>
        </w:rPr>
        <w:t>是；</w:t>
      </w:r>
      <w:sdt>
        <w:sdtPr>
          <w:rPr>
            <w:rFonts w:hAnsi="宋体" w:cs="宋体"/>
            <w:color w:val="auto"/>
            <w:kern w:val="0"/>
            <w:sz w:val="24"/>
          </w:rPr>
          <w:id w:val="-1591624199"/>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cs="Segoe UI Symbol"/>
              <w:color w:val="auto"/>
              <w:kern w:val="0"/>
              <w:sz w:val="24"/>
            </w:rPr>
            <w:t>þ</w:t>
          </w:r>
        </w:sdtContent>
      </w:sdt>
      <w:r>
        <w:rPr>
          <w:rFonts w:hint="eastAsia" w:hAnsi="宋体" w:cs="宋体"/>
          <w:b/>
          <w:color w:val="auto"/>
          <w:sz w:val="24"/>
        </w:rPr>
        <w:t>否</w:t>
      </w:r>
      <w:r>
        <w:rPr>
          <w:rFonts w:hint="eastAsia" w:hAnsi="宋体" w:cs="宋体"/>
          <w:color w:val="auto"/>
          <w:kern w:val="0"/>
          <w:sz w:val="24"/>
        </w:rPr>
        <w:t>。</w:t>
      </w:r>
    </w:p>
    <w:p w14:paraId="4D2D117D">
      <w:pPr>
        <w:spacing w:line="348" w:lineRule="auto"/>
        <w:rPr>
          <w:rFonts w:hint="eastAsia" w:ascii="宋体" w:hAnsi="宋体" w:cs="宋体"/>
          <w:b/>
          <w:sz w:val="24"/>
        </w:rPr>
      </w:pPr>
      <w:r>
        <w:rPr>
          <w:rFonts w:hint="eastAsia" w:ascii="宋体" w:hAnsi="宋体" w:cs="宋体"/>
          <w:b/>
          <w:sz w:val="24"/>
        </w:rPr>
        <w:t>二、申请人的资格要求：</w:t>
      </w:r>
    </w:p>
    <w:p w14:paraId="4D2D117E">
      <w:pPr>
        <w:spacing w:line="348"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满足《中华人民共和国政府采购法》第二十二条规定；未被“信用中国”（www.creditchina.gov.cn)、中国政府采购网（www.ccgp.gov.cn）列入失信被执行人、重大税收违法案件当事人名单（重大税收违法失信主体）、政府采购严重违法失信行为记录名单（严重失信主体名单）；</w:t>
      </w:r>
    </w:p>
    <w:p w14:paraId="4D2D117F">
      <w:pPr>
        <w:spacing w:line="348" w:lineRule="auto"/>
        <w:ind w:firstLine="480"/>
        <w:rPr>
          <w:rFonts w:hint="eastAsia"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4D2D1180">
      <w:pPr>
        <w:spacing w:line="348" w:lineRule="auto"/>
        <w:ind w:firstLine="480" w:firstLineChars="200"/>
        <w:rPr>
          <w:rFonts w:hint="eastAsia"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4D2D1181">
      <w:pPr>
        <w:spacing w:line="348" w:lineRule="auto"/>
        <w:ind w:firstLine="482" w:firstLineChars="200"/>
        <w:rPr>
          <w:rFonts w:hint="eastAsia" w:ascii="宋体" w:hAnsi="宋体" w:cs="宋体"/>
          <w:snapToGrid w:val="0"/>
          <w:kern w:val="28"/>
          <w:sz w:val="24"/>
          <w:szCs w:val="20"/>
        </w:rPr>
      </w:pPr>
      <w:r>
        <w:rPr>
          <w:rFonts w:hint="eastAsia" w:ascii="宋体" w:hAnsi="宋体" w:cs="宋体"/>
          <w:b/>
          <w:bCs/>
          <w:snapToGrid w:val="0"/>
          <w:kern w:val="28"/>
          <w:sz w:val="24"/>
        </w:rPr>
        <w:t>标项一：</w:t>
      </w:r>
    </w:p>
    <w:p w14:paraId="4D2D1182">
      <w:pPr>
        <w:spacing w:line="348" w:lineRule="auto"/>
        <w:ind w:firstLine="480" w:firstLineChars="200"/>
        <w:rPr>
          <w:rFonts w:hint="eastAsia" w:ascii="宋体" w:hAnsi="宋体" w:cs="宋体"/>
          <w:sz w:val="24"/>
          <w:highlight w:val="none"/>
        </w:rPr>
      </w:pPr>
      <w:sdt>
        <w:sdtPr>
          <w:rPr>
            <w:rFonts w:hint="eastAsia" w:ascii="宋体" w:hAnsi="宋体" w:cs="宋体"/>
            <w:color w:val="0000FF"/>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ascii="宋体" w:hAnsi="宋体" w:cs="宋体"/>
          <w:sz w:val="24"/>
          <w:highlight w:val="none"/>
        </w:rPr>
        <w:t>无（注：不得限制大中型企业与小微企业组成联合体参与投标）</w:t>
      </w:r>
      <w:r>
        <w:rPr>
          <w:rFonts w:hint="eastAsia" w:ascii="宋体" w:hAnsi="宋体" w:cs="宋体"/>
          <w:snapToGrid w:val="0"/>
          <w:kern w:val="28"/>
          <w:sz w:val="24"/>
          <w:szCs w:val="20"/>
          <w:highlight w:val="none"/>
        </w:rPr>
        <w:t>；</w:t>
      </w:r>
    </w:p>
    <w:p w14:paraId="4D2D1183">
      <w:pPr>
        <w:spacing w:line="348" w:lineRule="auto"/>
        <w:ind w:firstLine="480" w:firstLineChars="200"/>
        <w:rPr>
          <w:rFonts w:hint="eastAsia" w:ascii="宋体" w:hAnsi="宋体" w:cs="宋体"/>
          <w:sz w:val="24"/>
          <w:highlight w:val="none"/>
        </w:rPr>
      </w:pPr>
      <w:sdt>
        <w:sdtPr>
          <w:rPr>
            <w:rFonts w:hint="eastAsia" w:ascii="宋体" w:hAnsi="宋体" w:cs="宋体"/>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4D2D1184">
      <w:pPr>
        <w:spacing w:line="348" w:lineRule="auto"/>
        <w:ind w:firstLine="897" w:firstLineChars="374"/>
        <w:rPr>
          <w:rFonts w:hint="eastAsia" w:ascii="宋体" w:hAnsi="宋体" w:cs="宋体"/>
          <w:sz w:val="24"/>
          <w:highlight w:val="none"/>
        </w:rPr>
      </w:pPr>
      <w:sdt>
        <w:sdtPr>
          <w:rPr>
            <w:rFonts w:hint="eastAsia" w:ascii="宋体" w:hAnsi="宋体" w:cs="宋体"/>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sz w:val="24"/>
          <w:highlight w:val="none"/>
        </w:rPr>
        <w:t>服务全部由符合政策要求的中小企业承接，提供中小企业声明函；</w:t>
      </w:r>
    </w:p>
    <w:p w14:paraId="4D2D1185">
      <w:pPr>
        <w:spacing w:line="348" w:lineRule="auto"/>
        <w:ind w:firstLine="897" w:firstLineChars="374"/>
        <w:rPr>
          <w:rFonts w:hint="eastAsia" w:ascii="宋体" w:hAnsi="宋体" w:cs="宋体"/>
          <w:sz w:val="24"/>
        </w:rPr>
      </w:pPr>
      <w:sdt>
        <w:sdtPr>
          <w:rPr>
            <w:rFonts w:hint="eastAsia" w:ascii="宋体" w:hAnsi="宋体" w:cs="宋体"/>
            <w:kern w:val="0"/>
            <w:sz w:val="24"/>
          </w:rPr>
          <w:id w:val="-214102535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14:paraId="4D2D1186">
      <w:pPr>
        <w:spacing w:line="348" w:lineRule="auto"/>
        <w:ind w:firstLine="480" w:firstLineChars="200"/>
        <w:rPr>
          <w:rFonts w:hint="eastAsia"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4D2D1187">
      <w:pPr>
        <w:spacing w:line="348" w:lineRule="auto"/>
        <w:ind w:firstLine="480" w:firstLineChars="200"/>
        <w:rPr>
          <w:rFonts w:hint="eastAsia"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4D2D1188">
      <w:pPr>
        <w:spacing w:line="348" w:lineRule="auto"/>
        <w:ind w:firstLine="482" w:firstLineChars="200"/>
        <w:rPr>
          <w:rFonts w:hint="eastAsia" w:ascii="宋体" w:hAnsi="宋体" w:cs="宋体"/>
          <w:snapToGrid w:val="0"/>
          <w:kern w:val="28"/>
          <w:sz w:val="24"/>
          <w:szCs w:val="20"/>
        </w:rPr>
      </w:pPr>
      <w:r>
        <w:rPr>
          <w:rFonts w:hint="eastAsia" w:ascii="宋体" w:hAnsi="宋体" w:cs="宋体"/>
          <w:b/>
          <w:bCs/>
          <w:snapToGrid w:val="0"/>
          <w:kern w:val="28"/>
          <w:sz w:val="24"/>
        </w:rPr>
        <w:t>标项二：</w:t>
      </w:r>
    </w:p>
    <w:p w14:paraId="4D2D1189">
      <w:pPr>
        <w:spacing w:line="348" w:lineRule="auto"/>
        <w:ind w:firstLine="480" w:firstLineChars="200"/>
        <w:rPr>
          <w:rFonts w:hint="eastAsia" w:ascii="宋体" w:hAnsi="宋体" w:cs="宋体"/>
          <w:sz w:val="24"/>
        </w:rPr>
      </w:pPr>
      <w:sdt>
        <w:sdtPr>
          <w:rPr>
            <w:rFonts w:hint="eastAsia" w:ascii="宋体" w:hAnsi="宋体" w:cs="宋体"/>
            <w:color w:val="0000FF"/>
            <w:kern w:val="0"/>
            <w:sz w:val="24"/>
          </w:rPr>
          <w:id w:val="14746218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sz w:val="24"/>
        </w:rPr>
        <w:t>无（注：不得限制大中型企业与小微企业组成联合体参与投标）</w:t>
      </w:r>
      <w:r>
        <w:rPr>
          <w:rFonts w:hint="eastAsia" w:ascii="宋体" w:hAnsi="宋体" w:cs="宋体"/>
          <w:snapToGrid w:val="0"/>
          <w:kern w:val="28"/>
          <w:sz w:val="24"/>
          <w:szCs w:val="20"/>
        </w:rPr>
        <w:t>；</w:t>
      </w:r>
    </w:p>
    <w:p w14:paraId="4D2D118A">
      <w:pPr>
        <w:spacing w:line="348" w:lineRule="auto"/>
        <w:ind w:firstLine="480" w:firstLineChars="200"/>
        <w:rPr>
          <w:rFonts w:hint="eastAsia" w:ascii="宋体" w:hAnsi="宋体" w:cs="宋体"/>
          <w:sz w:val="24"/>
          <w:highlight w:val="none"/>
        </w:rPr>
      </w:pPr>
      <w:sdt>
        <w:sdtPr>
          <w:rPr>
            <w:rFonts w:hint="eastAsia" w:ascii="宋体" w:hAnsi="宋体" w:cs="宋体"/>
            <w:kern w:val="0"/>
            <w:sz w:val="24"/>
            <w:highlight w:val="none"/>
          </w:rPr>
          <w:id w:val="147480998"/>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4D2D118B">
      <w:pPr>
        <w:spacing w:line="348" w:lineRule="auto"/>
        <w:ind w:firstLine="897" w:firstLineChars="374"/>
        <w:rPr>
          <w:rFonts w:hint="eastAsia" w:ascii="宋体" w:hAnsi="宋体" w:cs="宋体"/>
          <w:sz w:val="24"/>
          <w:highlight w:val="none"/>
        </w:rPr>
      </w:pPr>
      <w:sdt>
        <w:sdtPr>
          <w:rPr>
            <w:rFonts w:hint="eastAsia" w:ascii="宋体" w:hAnsi="宋体" w:cs="宋体"/>
            <w:kern w:val="0"/>
            <w:sz w:val="24"/>
            <w:highlight w:val="none"/>
          </w:rPr>
          <w:id w:val="147455095"/>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sz w:val="24"/>
          <w:highlight w:val="none"/>
        </w:rPr>
        <w:t>服务全部由符合政策要求的中小企业承接，提供中小企业声明函；</w:t>
      </w:r>
    </w:p>
    <w:p w14:paraId="4D2D118C">
      <w:pPr>
        <w:spacing w:line="348" w:lineRule="auto"/>
        <w:ind w:firstLine="897" w:firstLineChars="374"/>
        <w:rPr>
          <w:rFonts w:hint="eastAsia" w:ascii="宋体" w:hAnsi="宋体" w:cs="宋体"/>
          <w:sz w:val="24"/>
        </w:rPr>
      </w:pPr>
      <w:sdt>
        <w:sdtPr>
          <w:rPr>
            <w:rFonts w:hint="eastAsia" w:ascii="宋体" w:hAnsi="宋体" w:cs="宋体"/>
            <w:kern w:val="0"/>
            <w:sz w:val="24"/>
          </w:rPr>
          <w:id w:val="14748060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14:paraId="4D2D118D">
      <w:pPr>
        <w:spacing w:line="348" w:lineRule="auto"/>
        <w:ind w:firstLine="480" w:firstLineChars="200"/>
        <w:rPr>
          <w:rFonts w:hint="eastAsia" w:ascii="宋体" w:hAnsi="宋体" w:cs="宋体"/>
          <w:sz w:val="24"/>
        </w:rPr>
      </w:pPr>
      <w:sdt>
        <w:sdtPr>
          <w:rPr>
            <w:rFonts w:hint="eastAsia" w:ascii="宋体" w:hAnsi="宋体" w:cs="宋体"/>
            <w:kern w:val="0"/>
            <w:sz w:val="24"/>
          </w:rPr>
          <w:id w:val="14745891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4D2D118E">
      <w:pPr>
        <w:spacing w:line="348" w:lineRule="auto"/>
        <w:ind w:firstLine="480" w:firstLineChars="200"/>
        <w:rPr>
          <w:rFonts w:hint="eastAsia" w:ascii="宋体" w:hAnsi="宋体" w:cs="宋体"/>
          <w:sz w:val="24"/>
        </w:rPr>
      </w:pPr>
      <w:sdt>
        <w:sdtPr>
          <w:rPr>
            <w:rFonts w:hint="eastAsia" w:ascii="宋体" w:hAnsi="宋体" w:cs="宋体"/>
            <w:kern w:val="0"/>
            <w:sz w:val="24"/>
          </w:rPr>
          <w:id w:val="14745169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4D2D118F">
      <w:pPr>
        <w:spacing w:line="348" w:lineRule="auto"/>
        <w:ind w:firstLine="480" w:firstLineChars="200"/>
        <w:rPr>
          <w:rFonts w:hint="eastAsia" w:ascii="宋体" w:hAnsi="宋体" w:cs="宋体"/>
          <w:sz w:val="24"/>
        </w:rPr>
      </w:pPr>
      <w:r>
        <w:rPr>
          <w:rFonts w:ascii="宋体" w:hAnsi="宋体" w:cs="宋体"/>
          <w:sz w:val="24"/>
        </w:rPr>
        <w:t>4</w:t>
      </w:r>
      <w:r>
        <w:rPr>
          <w:rFonts w:hint="eastAsia" w:ascii="宋体" w:hAnsi="宋体" w:cs="宋体"/>
          <w:sz w:val="24"/>
        </w:rPr>
        <w:t>.本项目的特定资格要求：无；</w:t>
      </w:r>
    </w:p>
    <w:p w14:paraId="4D2D1190">
      <w:pPr>
        <w:spacing w:line="348" w:lineRule="auto"/>
        <w:ind w:firstLine="480" w:firstLineChars="200"/>
        <w:rPr>
          <w:rFonts w:hint="eastAsia" w:ascii="宋体" w:hAnsi="宋体" w:cs="宋体"/>
          <w:sz w:val="24"/>
        </w:rPr>
      </w:pPr>
      <w:r>
        <w:rPr>
          <w:rFonts w:hint="eastAsia" w:ascii="宋体" w:hAnsi="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D2D1191">
      <w:pPr>
        <w:spacing w:line="348" w:lineRule="auto"/>
        <w:rPr>
          <w:rFonts w:hint="eastAsia" w:ascii="宋体" w:hAnsi="宋体" w:cs="宋体"/>
          <w:b/>
          <w:sz w:val="24"/>
        </w:rPr>
      </w:pPr>
      <w:r>
        <w:rPr>
          <w:rFonts w:hint="eastAsia" w:ascii="宋体" w:hAnsi="宋体" w:cs="宋体"/>
          <w:b/>
          <w:sz w:val="24"/>
        </w:rPr>
        <w:t xml:space="preserve">三、获取招标文件 </w:t>
      </w:r>
    </w:p>
    <w:p w14:paraId="4D2D1192">
      <w:pPr>
        <w:spacing w:line="348" w:lineRule="auto"/>
        <w:ind w:firstLine="482" w:firstLineChars="200"/>
        <w:rPr>
          <w:rFonts w:hint="eastAsia" w:ascii="宋体" w:hAnsi="宋体" w:cs="宋体"/>
          <w:sz w:val="24"/>
        </w:rPr>
      </w:pPr>
      <w:r>
        <w:rPr>
          <w:rFonts w:hint="eastAsia" w:ascii="宋体" w:hAnsi="宋体" w:cs="宋体"/>
          <w:b/>
          <w:sz w:val="24"/>
        </w:rPr>
        <w:t>时间：</w:t>
      </w:r>
      <w:r>
        <w:rPr>
          <w:rFonts w:hint="eastAsia" w:ascii="宋体" w:hAnsi="宋体" w:cs="宋体"/>
          <w:color w:val="auto"/>
          <w:sz w:val="24"/>
        </w:rPr>
        <w:t>2025年</w:t>
      </w:r>
      <w:r>
        <w:rPr>
          <w:rFonts w:hint="eastAsia" w:ascii="宋体" w:hAnsi="宋体" w:cs="宋体"/>
          <w:color w:val="auto"/>
          <w:sz w:val="24"/>
          <w:lang w:val="en-US" w:eastAsia="zh-CN"/>
        </w:rPr>
        <w:t>06</w:t>
      </w:r>
      <w:r>
        <w:rPr>
          <w:rFonts w:hint="eastAsia" w:ascii="宋体" w:hAnsi="宋体" w:cs="宋体"/>
          <w:color w:val="auto"/>
          <w:sz w:val="24"/>
        </w:rPr>
        <w:t>月</w:t>
      </w:r>
      <w:r>
        <w:rPr>
          <w:rFonts w:hint="eastAsia" w:ascii="宋体" w:hAnsi="宋体" w:cs="宋体"/>
          <w:color w:val="auto"/>
          <w:sz w:val="24"/>
          <w:lang w:val="en-US" w:eastAsia="zh-CN"/>
        </w:rPr>
        <w:t>23</w:t>
      </w:r>
      <w:r>
        <w:rPr>
          <w:rFonts w:hint="eastAsia" w:ascii="宋体" w:hAnsi="宋体" w:cs="宋体"/>
          <w:color w:val="auto"/>
          <w:sz w:val="24"/>
        </w:rPr>
        <w:t>日至2025年</w:t>
      </w:r>
      <w:r>
        <w:rPr>
          <w:rFonts w:hint="eastAsia" w:ascii="宋体" w:hAnsi="宋体" w:cs="宋体"/>
          <w:color w:val="auto"/>
          <w:sz w:val="24"/>
          <w:lang w:val="en-US" w:eastAsia="zh-CN"/>
        </w:rPr>
        <w:t>07</w:t>
      </w:r>
      <w:r>
        <w:rPr>
          <w:rFonts w:hint="eastAsia" w:ascii="宋体" w:hAnsi="宋体" w:cs="宋体"/>
          <w:color w:val="auto"/>
          <w:sz w:val="24"/>
        </w:rPr>
        <w:t>月</w:t>
      </w:r>
      <w:r>
        <w:rPr>
          <w:rFonts w:hint="eastAsia" w:ascii="宋体" w:hAnsi="宋体" w:cs="宋体"/>
          <w:color w:val="auto"/>
          <w:sz w:val="24"/>
          <w:lang w:val="en-US" w:eastAsia="zh-CN"/>
        </w:rPr>
        <w:t>01</w:t>
      </w:r>
      <w:r>
        <w:rPr>
          <w:rFonts w:hint="eastAsia" w:ascii="宋体" w:hAnsi="宋体" w:cs="宋体"/>
          <w:color w:val="auto"/>
          <w:sz w:val="24"/>
        </w:rPr>
        <w:t>日，每</w:t>
      </w:r>
      <w:r>
        <w:rPr>
          <w:rFonts w:hint="eastAsia" w:ascii="宋体" w:hAnsi="宋体" w:cs="宋体"/>
          <w:sz w:val="24"/>
        </w:rPr>
        <w:t>天上午00:00至12:00，下午12:00至23:59（北京时间，线上获取法定节假日均可，线下获取文件法定节假日除外）</w:t>
      </w:r>
    </w:p>
    <w:p w14:paraId="4D2D1193">
      <w:pPr>
        <w:spacing w:line="348"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rPr>
        <w:t>政采云平台（https://www.zcygov.cn/）</w:t>
      </w:r>
    </w:p>
    <w:p w14:paraId="4D2D1194">
      <w:pPr>
        <w:spacing w:line="348"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供应商登录政采云平台https://www.zcygov.cn/在线申请获取采购文件（进入“项目采购”应用，在获取采购文件菜单中选择项目，申请获取采购文件）。</w:t>
      </w:r>
    </w:p>
    <w:p w14:paraId="4D2D1195">
      <w:pPr>
        <w:spacing w:line="348"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0</w:t>
      </w:r>
    </w:p>
    <w:p w14:paraId="4D2D1196">
      <w:pPr>
        <w:spacing w:line="348" w:lineRule="auto"/>
        <w:rPr>
          <w:rFonts w:hint="eastAsia" w:ascii="宋体" w:hAnsi="宋体" w:cs="宋体"/>
          <w:b/>
          <w:sz w:val="24"/>
        </w:rPr>
      </w:pPr>
      <w:r>
        <w:rPr>
          <w:rFonts w:hint="eastAsia" w:ascii="宋体" w:hAnsi="宋体" w:cs="宋体"/>
          <w:b/>
          <w:sz w:val="24"/>
        </w:rPr>
        <w:t>四、提交投标文件截止时间、开标时间和地点</w:t>
      </w:r>
    </w:p>
    <w:p w14:paraId="4D2D1197">
      <w:pPr>
        <w:spacing w:line="348" w:lineRule="auto"/>
        <w:ind w:firstLine="482" w:firstLineChars="200"/>
        <w:rPr>
          <w:rFonts w:hint="eastAsia" w:ascii="宋体" w:hAnsi="宋体" w:cs="宋体"/>
          <w:color w:val="auto"/>
          <w:sz w:val="24"/>
        </w:rPr>
      </w:pPr>
      <w:r>
        <w:rPr>
          <w:rFonts w:hint="eastAsia" w:ascii="宋体" w:hAnsi="宋体" w:cs="宋体"/>
          <w:b/>
          <w:sz w:val="24"/>
        </w:rPr>
        <w:t>提交投标文件截止</w:t>
      </w:r>
      <w:bookmarkStart w:id="406" w:name="_GoBack"/>
      <w:r>
        <w:rPr>
          <w:rFonts w:hint="eastAsia" w:ascii="宋体" w:hAnsi="宋体" w:cs="宋体"/>
          <w:b/>
          <w:color w:val="auto"/>
          <w:sz w:val="24"/>
        </w:rPr>
        <w:t>时间：</w:t>
      </w:r>
      <w:r>
        <w:rPr>
          <w:rFonts w:hint="eastAsia" w:ascii="宋体" w:hAnsi="宋体" w:cs="宋体"/>
          <w:color w:val="auto"/>
          <w:sz w:val="24"/>
        </w:rPr>
        <w:t>2025年</w:t>
      </w:r>
      <w:r>
        <w:rPr>
          <w:rFonts w:hint="eastAsia" w:ascii="宋体" w:hAnsi="宋体" w:cs="宋体"/>
          <w:color w:val="auto"/>
          <w:sz w:val="24"/>
          <w:lang w:val="en-US" w:eastAsia="zh-CN"/>
        </w:rPr>
        <w:t>07</w:t>
      </w:r>
      <w:r>
        <w:rPr>
          <w:rFonts w:hint="eastAsia" w:ascii="宋体" w:hAnsi="宋体" w:cs="宋体"/>
          <w:color w:val="auto"/>
          <w:sz w:val="24"/>
        </w:rPr>
        <w:t>月</w:t>
      </w:r>
      <w:r>
        <w:rPr>
          <w:rFonts w:hint="eastAsia" w:ascii="宋体" w:hAnsi="宋体" w:cs="宋体"/>
          <w:color w:val="auto"/>
          <w:sz w:val="24"/>
          <w:lang w:val="en-US" w:eastAsia="zh-CN"/>
        </w:rPr>
        <w:t>14</w:t>
      </w:r>
      <w:r>
        <w:rPr>
          <w:rFonts w:hint="eastAsia" w:ascii="宋体" w:hAnsi="宋体" w:cs="宋体"/>
          <w:color w:val="auto"/>
          <w:sz w:val="24"/>
        </w:rPr>
        <w:t>日14点30分00秒（北京时间）</w:t>
      </w:r>
    </w:p>
    <w:p w14:paraId="4D2D1198">
      <w:pPr>
        <w:spacing w:line="348" w:lineRule="auto"/>
        <w:ind w:firstLine="482" w:firstLineChars="200"/>
        <w:rPr>
          <w:rFonts w:hint="eastAsia" w:ascii="宋体" w:hAnsi="宋体" w:cs="宋体"/>
          <w:b/>
          <w:color w:val="auto"/>
          <w:sz w:val="24"/>
        </w:rPr>
      </w:pPr>
      <w:r>
        <w:rPr>
          <w:rFonts w:hint="eastAsia" w:ascii="宋体" w:hAnsi="宋体" w:cs="宋体"/>
          <w:b/>
          <w:color w:val="auto"/>
          <w:sz w:val="24"/>
        </w:rPr>
        <w:t>投标地点（网址）：</w:t>
      </w:r>
      <w:r>
        <w:rPr>
          <w:rFonts w:hint="eastAsia" w:asciiTheme="minorEastAsia" w:hAnsiTheme="minorEastAsia" w:eastAsiaTheme="minorEastAsia"/>
          <w:color w:val="auto"/>
          <w:sz w:val="24"/>
        </w:rPr>
        <w:t>政府采购云平台（http://www.zcygov.cn/）。</w:t>
      </w:r>
    </w:p>
    <w:p w14:paraId="4D2D1199">
      <w:pPr>
        <w:spacing w:line="348" w:lineRule="auto"/>
        <w:ind w:firstLine="482" w:firstLineChars="200"/>
        <w:rPr>
          <w:rFonts w:hint="eastAsia" w:ascii="宋体" w:hAnsi="宋体" w:cs="宋体"/>
          <w:bCs/>
          <w:sz w:val="24"/>
          <w:u w:val="single"/>
        </w:rPr>
      </w:pPr>
      <w:r>
        <w:rPr>
          <w:rFonts w:hint="eastAsia" w:ascii="宋体" w:hAnsi="宋体" w:cs="宋体"/>
          <w:b/>
          <w:color w:val="auto"/>
          <w:sz w:val="24"/>
        </w:rPr>
        <w:t>开标时间：</w:t>
      </w:r>
      <w:r>
        <w:rPr>
          <w:rFonts w:hint="eastAsia" w:ascii="宋体" w:hAnsi="宋体" w:cs="宋体"/>
          <w:color w:val="auto"/>
          <w:sz w:val="24"/>
        </w:rPr>
        <w:t>2025年</w:t>
      </w:r>
      <w:r>
        <w:rPr>
          <w:rFonts w:hint="eastAsia" w:ascii="宋体" w:hAnsi="宋体" w:cs="宋体"/>
          <w:color w:val="auto"/>
          <w:sz w:val="24"/>
          <w:lang w:val="en-US" w:eastAsia="zh-CN"/>
        </w:rPr>
        <w:t>07</w:t>
      </w:r>
      <w:r>
        <w:rPr>
          <w:rFonts w:hint="eastAsia" w:ascii="宋体" w:hAnsi="宋体" w:cs="宋体"/>
          <w:color w:val="auto"/>
          <w:sz w:val="24"/>
        </w:rPr>
        <w:t>月</w:t>
      </w:r>
      <w:r>
        <w:rPr>
          <w:rFonts w:hint="eastAsia" w:ascii="宋体" w:hAnsi="宋体" w:cs="宋体"/>
          <w:color w:val="auto"/>
          <w:sz w:val="24"/>
          <w:lang w:val="en-US" w:eastAsia="zh-CN"/>
        </w:rPr>
        <w:t>14</w:t>
      </w:r>
      <w:r>
        <w:rPr>
          <w:rFonts w:hint="eastAsia" w:ascii="宋体" w:hAnsi="宋体" w:cs="宋体"/>
          <w:color w:val="auto"/>
          <w:sz w:val="24"/>
        </w:rPr>
        <w:t>日14点30分00秒（北京</w:t>
      </w:r>
      <w:bookmarkEnd w:id="406"/>
      <w:r>
        <w:rPr>
          <w:rFonts w:hint="eastAsia" w:ascii="宋体" w:hAnsi="宋体" w:cs="宋体"/>
          <w:sz w:val="24"/>
        </w:rPr>
        <w:t>时间）</w:t>
      </w:r>
    </w:p>
    <w:p w14:paraId="4D2D119A">
      <w:pPr>
        <w:spacing w:line="348" w:lineRule="auto"/>
        <w:ind w:firstLine="482" w:firstLineChars="200"/>
        <w:rPr>
          <w:rFonts w:hint="eastAsia" w:ascii="宋体" w:hAnsi="宋体" w:cs="宋体"/>
          <w:sz w:val="24"/>
        </w:rPr>
      </w:pPr>
      <w:r>
        <w:rPr>
          <w:rFonts w:hint="eastAsia" w:ascii="宋体" w:hAnsi="宋体" w:cs="宋体"/>
          <w:b/>
          <w:sz w:val="24"/>
        </w:rPr>
        <w:t>开标地点（网址）：</w:t>
      </w:r>
      <w:r>
        <w:rPr>
          <w:rFonts w:hint="eastAsia" w:asciiTheme="minorEastAsia" w:hAnsiTheme="minorEastAsia" w:eastAsiaTheme="minorEastAsia"/>
          <w:sz w:val="24"/>
        </w:rPr>
        <w:t>政府采购云平台（http://www.zcygov.cn/）。</w:t>
      </w:r>
    </w:p>
    <w:p w14:paraId="4D2D119B">
      <w:pPr>
        <w:spacing w:line="348" w:lineRule="auto"/>
        <w:rPr>
          <w:rFonts w:hint="eastAsia" w:ascii="宋体" w:hAnsi="宋体" w:cs="宋体"/>
          <w:sz w:val="24"/>
        </w:rPr>
      </w:pPr>
      <w:r>
        <w:rPr>
          <w:rFonts w:hint="eastAsia" w:ascii="宋体" w:hAnsi="宋体" w:cs="宋体"/>
          <w:b/>
          <w:sz w:val="24"/>
        </w:rPr>
        <w:t xml:space="preserve">五、公告期限 </w:t>
      </w:r>
    </w:p>
    <w:p w14:paraId="4D2D119C">
      <w:pPr>
        <w:spacing w:line="348" w:lineRule="auto"/>
        <w:ind w:firstLine="480" w:firstLineChars="200"/>
        <w:rPr>
          <w:rFonts w:hint="eastAsia" w:ascii="宋体" w:hAnsi="宋体" w:cs="宋体"/>
          <w:sz w:val="24"/>
        </w:rPr>
      </w:pPr>
      <w:r>
        <w:rPr>
          <w:rFonts w:hint="eastAsia" w:ascii="宋体" w:hAnsi="宋体" w:cs="宋体"/>
          <w:sz w:val="24"/>
        </w:rPr>
        <w:t>自本公告发布之日起5个工作日。</w:t>
      </w:r>
    </w:p>
    <w:p w14:paraId="4D2D119D">
      <w:pPr>
        <w:spacing w:line="348" w:lineRule="auto"/>
        <w:rPr>
          <w:rFonts w:hint="eastAsia" w:ascii="宋体" w:hAnsi="宋体" w:cs="宋体"/>
          <w:b/>
          <w:sz w:val="24"/>
        </w:rPr>
      </w:pPr>
      <w:r>
        <w:rPr>
          <w:rFonts w:hint="eastAsia" w:ascii="宋体" w:hAnsi="宋体" w:cs="宋体"/>
          <w:b/>
          <w:sz w:val="24"/>
        </w:rPr>
        <w:t>六、其他补充事宜</w:t>
      </w:r>
    </w:p>
    <w:p w14:paraId="4D2D119E">
      <w:pPr>
        <w:spacing w:line="348" w:lineRule="auto"/>
        <w:ind w:firstLine="480" w:firstLineChars="200"/>
        <w:rPr>
          <w:rFonts w:hint="eastAsia"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4D2D119F">
      <w:pPr>
        <w:spacing w:line="348" w:lineRule="auto"/>
        <w:ind w:firstLine="480" w:firstLineChars="200"/>
        <w:rPr>
          <w:rFonts w:hint="eastAsia"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D2D11A0">
      <w:pPr>
        <w:spacing w:line="348"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D2D11A1">
      <w:pPr>
        <w:spacing w:line="348" w:lineRule="auto"/>
        <w:ind w:firstLine="480" w:firstLineChars="200"/>
        <w:rPr>
          <w:rFonts w:hint="eastAsia" w:ascii="宋体" w:hAnsi="宋体" w:cs="宋体"/>
          <w:sz w:val="24"/>
        </w:rPr>
      </w:pPr>
      <w:r>
        <w:rPr>
          <w:rFonts w:hint="eastAsia" w:ascii="宋体" w:hAnsi="宋体" w:cs="宋体"/>
          <w:sz w:val="24"/>
        </w:rPr>
        <w:t>4.其他事项：</w:t>
      </w:r>
    </w:p>
    <w:p w14:paraId="4D2D11A2">
      <w:pPr>
        <w:spacing w:line="348" w:lineRule="auto"/>
        <w:ind w:firstLine="480" w:firstLineChars="200"/>
        <w:rPr>
          <w:rFonts w:hint="eastAsia" w:ascii="宋体" w:hAnsi="宋体" w:cs="宋体"/>
          <w:sz w:val="24"/>
        </w:rPr>
      </w:pPr>
      <w:r>
        <w:rPr>
          <w:rFonts w:hint="eastAsia" w:ascii="宋体" w:hAnsi="宋体" w:cs="宋体"/>
          <w:sz w:val="24"/>
        </w:rPr>
        <w:t>（1）需要落实的政府采购政策：包括节约资源、保护环境、支持创新、促进中小企业发展等。见招标文件的第二部分总则。</w:t>
      </w:r>
    </w:p>
    <w:p w14:paraId="4D2D11A3">
      <w:pPr>
        <w:spacing w:line="348" w:lineRule="auto"/>
        <w:ind w:firstLine="480" w:firstLineChars="200"/>
        <w:rPr>
          <w:rFonts w:hint="eastAsia" w:ascii="宋体" w:hAnsi="宋体" w:cs="宋体"/>
          <w:sz w:val="24"/>
        </w:rPr>
      </w:pPr>
      <w:r>
        <w:rPr>
          <w:rFonts w:hint="eastAsia" w:ascii="宋体" w:hAnsi="宋体" w:cs="宋体"/>
          <w:sz w:val="24"/>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w:t>
      </w:r>
      <w:r>
        <w:rPr>
          <w:rFonts w:hint="eastAsia" w:cs="仿宋_GB2312" w:asciiTheme="minorEastAsia" w:hAnsiTheme="minorEastAsia" w:eastAsiaTheme="minorEastAsia"/>
          <w:sz w:val="24"/>
        </w:rPr>
        <w:t>（文件后缀为：jmbs）</w:t>
      </w:r>
      <w:r>
        <w:rPr>
          <w:rFonts w:hint="eastAsia" w:ascii="宋体" w:hAnsi="宋体" w:cs="宋体"/>
          <w:sz w:val="24"/>
        </w:rPr>
        <w:t>：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备份投标文件（文件后缀为：bfbs）的制作、存储、密封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见政采云平台“服务中心-帮助文档-项目采购-操作流程-电子招投标-政府采购项目电子交易管理操作指南-供应商”。</w:t>
      </w:r>
    </w:p>
    <w:p w14:paraId="4D2D11A4">
      <w:pPr>
        <w:spacing w:line="348" w:lineRule="auto"/>
        <w:ind w:firstLine="480" w:firstLineChars="200"/>
        <w:rPr>
          <w:rFonts w:hint="eastAsia" w:ascii="宋体" w:hAnsi="宋体" w:cs="宋体"/>
          <w:sz w:val="24"/>
        </w:rPr>
      </w:pPr>
      <w:r>
        <w:rPr>
          <w:rFonts w:hint="eastAsia" w:ascii="宋体" w:hAnsi="宋体" w:cs="宋体"/>
          <w:sz w:val="24"/>
        </w:rPr>
        <w:t>（3）招标文件公告期限与招标公告的公告期限一致。</w:t>
      </w:r>
    </w:p>
    <w:p w14:paraId="4D2D11A5">
      <w:pPr>
        <w:spacing w:line="348"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（4）本《第一部分  招标公告》中二、申请人的资格要求：第一条中的“重大税收违法案件当事人名单”即为“重大税收违法失信主体”，“</w:t>
      </w:r>
      <w:r>
        <w:rPr>
          <w:rFonts w:hint="eastAsia" w:ascii="宋体" w:hAnsi="宋体" w:cs="宋体"/>
          <w:snapToGrid w:val="0"/>
          <w:kern w:val="28"/>
          <w:sz w:val="24"/>
          <w:szCs w:val="20"/>
        </w:rPr>
        <w:t>政府采购严重违法失信行为记录名单</w:t>
      </w:r>
      <w:r>
        <w:rPr>
          <w:rFonts w:hint="eastAsia" w:cs="宋体" w:asciiTheme="minorEastAsia" w:hAnsiTheme="minorEastAsia" w:eastAsiaTheme="minorEastAsia"/>
          <w:sz w:val="24"/>
        </w:rPr>
        <w:t>”即为“</w:t>
      </w:r>
      <w:r>
        <w:rPr>
          <w:rFonts w:hint="eastAsia" w:ascii="宋体" w:hAnsi="宋体" w:cs="宋体"/>
          <w:snapToGrid w:val="0"/>
          <w:kern w:val="28"/>
          <w:sz w:val="24"/>
          <w:szCs w:val="20"/>
        </w:rPr>
        <w:t>严重失信主体名单</w:t>
      </w:r>
      <w:r>
        <w:rPr>
          <w:rFonts w:hint="eastAsia" w:cs="宋体" w:asciiTheme="minorEastAsia" w:hAnsiTheme="minorEastAsia" w:eastAsiaTheme="minorEastAsia"/>
          <w:sz w:val="24"/>
        </w:rPr>
        <w:t>”。</w:t>
      </w:r>
    </w:p>
    <w:p w14:paraId="4D2D11A6">
      <w:pPr>
        <w:spacing w:line="348" w:lineRule="auto"/>
        <w:rPr>
          <w:rFonts w:hint="eastAsia" w:ascii="宋体" w:hAnsi="宋体" w:cs="宋体"/>
          <w:b/>
          <w:sz w:val="24"/>
        </w:rPr>
      </w:pPr>
      <w:r>
        <w:rPr>
          <w:rFonts w:hint="eastAsia" w:ascii="宋体" w:hAnsi="宋体" w:cs="宋体"/>
          <w:b/>
          <w:sz w:val="24"/>
        </w:rPr>
        <w:t>七、对本次采购提出询问、质疑、投诉，请按以下方式联系</w:t>
      </w:r>
    </w:p>
    <w:p w14:paraId="4D2D11A7">
      <w:pPr>
        <w:spacing w:line="348" w:lineRule="auto"/>
        <w:ind w:firstLine="480" w:firstLineChars="200"/>
        <w:rPr>
          <w:rFonts w:hint="eastAsia" w:ascii="宋体" w:hAnsi="宋体" w:cs="宋体"/>
          <w:sz w:val="24"/>
        </w:rPr>
      </w:pPr>
      <w:r>
        <w:rPr>
          <w:rFonts w:ascii="宋体" w:hAnsi="宋体" w:cs="宋体"/>
          <w:sz w:val="24"/>
        </w:rPr>
        <w:t>1.采购人信息</w:t>
      </w:r>
    </w:p>
    <w:p w14:paraId="4D2D11A8">
      <w:pPr>
        <w:spacing w:line="348" w:lineRule="auto"/>
        <w:ind w:firstLine="480"/>
        <w:rPr>
          <w:rFonts w:hint="eastAsia" w:ascii="宋体" w:hAnsi="宋体" w:cs="宋体"/>
          <w:sz w:val="24"/>
        </w:rPr>
      </w:pPr>
      <w:r>
        <w:rPr>
          <w:rFonts w:ascii="宋体" w:hAnsi="宋体" w:cs="宋体"/>
          <w:sz w:val="24"/>
        </w:rPr>
        <w:t>名    称：</w:t>
      </w:r>
      <w:r>
        <w:rPr>
          <w:rFonts w:hint="eastAsia" w:ascii="宋体" w:hAnsi="宋体" w:cs="宋体"/>
          <w:sz w:val="24"/>
        </w:rPr>
        <w:t>慈溪市人民医院医疗健康集团（慈溪市人民医院）</w:t>
      </w:r>
    </w:p>
    <w:p w14:paraId="4D2D11A9">
      <w:pPr>
        <w:spacing w:line="348" w:lineRule="auto"/>
        <w:ind w:firstLine="480"/>
        <w:rPr>
          <w:rFonts w:hint="eastAsia" w:ascii="宋体" w:hAnsi="宋体" w:cs="宋体"/>
          <w:sz w:val="24"/>
        </w:rPr>
      </w:pPr>
      <w:r>
        <w:rPr>
          <w:rFonts w:ascii="宋体" w:hAnsi="宋体" w:cs="宋体"/>
          <w:sz w:val="24"/>
        </w:rPr>
        <w:t>地    址：慈溪市浒山街道南二环东路999号</w:t>
      </w:r>
    </w:p>
    <w:p w14:paraId="4D2D11AA">
      <w:pPr>
        <w:spacing w:line="348" w:lineRule="auto"/>
        <w:ind w:firstLine="480"/>
        <w:rPr>
          <w:rFonts w:hint="eastAsia" w:ascii="宋体" w:hAnsi="宋体" w:cs="宋体"/>
          <w:sz w:val="24"/>
        </w:rPr>
      </w:pPr>
      <w:r>
        <w:rPr>
          <w:rFonts w:ascii="宋体" w:hAnsi="宋体" w:cs="宋体"/>
          <w:sz w:val="24"/>
        </w:rPr>
        <w:t>传    真：/</w:t>
      </w:r>
    </w:p>
    <w:p w14:paraId="4D2D11AB">
      <w:pPr>
        <w:spacing w:line="348" w:lineRule="auto"/>
        <w:ind w:firstLine="480"/>
        <w:rPr>
          <w:rFonts w:hint="eastAsia" w:ascii="宋体" w:hAnsi="宋体" w:cs="宋体"/>
          <w:sz w:val="24"/>
        </w:rPr>
      </w:pPr>
      <w:r>
        <w:rPr>
          <w:rFonts w:ascii="宋体" w:hAnsi="宋体" w:cs="宋体"/>
          <w:sz w:val="24"/>
        </w:rPr>
        <w:t>项目联系人（询问）：</w:t>
      </w:r>
      <w:r>
        <w:rPr>
          <w:rFonts w:hint="eastAsia" w:ascii="宋体" w:hAnsi="宋体" w:cs="宋体"/>
          <w:sz w:val="24"/>
        </w:rPr>
        <w:t>韩</w:t>
      </w:r>
      <w:r>
        <w:rPr>
          <w:rFonts w:ascii="宋体" w:hAnsi="宋体" w:cs="宋体"/>
          <w:sz w:val="24"/>
        </w:rPr>
        <w:t>老师</w:t>
      </w:r>
    </w:p>
    <w:p w14:paraId="4D2D11AC">
      <w:pPr>
        <w:spacing w:line="348" w:lineRule="auto"/>
        <w:ind w:firstLine="480"/>
        <w:rPr>
          <w:rFonts w:hint="eastAsia" w:ascii="宋体" w:hAnsi="宋体" w:cs="宋体"/>
          <w:sz w:val="24"/>
        </w:rPr>
      </w:pPr>
      <w:r>
        <w:rPr>
          <w:rFonts w:ascii="宋体" w:hAnsi="宋体" w:cs="宋体"/>
          <w:sz w:val="24"/>
        </w:rPr>
        <w:t>项目联系方式（询问）：0574-</w:t>
      </w:r>
      <w:r>
        <w:rPr>
          <w:rFonts w:hint="eastAsia" w:ascii="宋体" w:hAnsi="宋体" w:cs="宋体"/>
          <w:sz w:val="24"/>
        </w:rPr>
        <w:t>63929027</w:t>
      </w:r>
    </w:p>
    <w:p w14:paraId="4D2D11AD">
      <w:pPr>
        <w:spacing w:line="348" w:lineRule="auto"/>
        <w:ind w:firstLine="480"/>
        <w:rPr>
          <w:rFonts w:hint="eastAsia" w:ascii="宋体" w:hAnsi="宋体" w:cs="宋体"/>
          <w:sz w:val="24"/>
        </w:rPr>
      </w:pPr>
      <w:r>
        <w:rPr>
          <w:rFonts w:ascii="宋体" w:hAnsi="宋体" w:cs="宋体"/>
          <w:sz w:val="24"/>
        </w:rPr>
        <w:t>质疑联系人：周老师</w:t>
      </w:r>
    </w:p>
    <w:p w14:paraId="4D2D11AE">
      <w:pPr>
        <w:spacing w:line="348" w:lineRule="auto"/>
        <w:ind w:firstLine="480"/>
        <w:rPr>
          <w:rFonts w:hint="eastAsia" w:ascii="宋体" w:hAnsi="宋体" w:cs="宋体"/>
          <w:sz w:val="24"/>
        </w:rPr>
      </w:pPr>
      <w:r>
        <w:rPr>
          <w:rFonts w:ascii="宋体" w:hAnsi="宋体" w:cs="宋体"/>
          <w:sz w:val="24"/>
        </w:rPr>
        <w:t>质疑联系方式：0574-</w:t>
      </w:r>
      <w:r>
        <w:rPr>
          <w:rFonts w:hint="eastAsia" w:ascii="宋体" w:hAnsi="宋体" w:cs="宋体"/>
          <w:sz w:val="24"/>
        </w:rPr>
        <w:t>63929664</w:t>
      </w:r>
    </w:p>
    <w:p w14:paraId="4D2D11AF">
      <w:pPr>
        <w:spacing w:line="348" w:lineRule="auto"/>
        <w:ind w:firstLine="480"/>
        <w:rPr>
          <w:rFonts w:hint="eastAsia" w:ascii="宋体" w:hAnsi="宋体" w:cs="宋体"/>
          <w:sz w:val="24"/>
        </w:rPr>
      </w:pPr>
      <w:r>
        <w:rPr>
          <w:rFonts w:ascii="宋体" w:hAnsi="宋体" w:cs="宋体"/>
          <w:sz w:val="24"/>
        </w:rPr>
        <w:t>2.采购代理机构信息</w:t>
      </w:r>
    </w:p>
    <w:p w14:paraId="4D2D11B0">
      <w:pPr>
        <w:spacing w:line="348" w:lineRule="auto"/>
        <w:ind w:firstLine="480"/>
        <w:rPr>
          <w:rFonts w:hint="eastAsia" w:ascii="宋体" w:hAnsi="宋体" w:cs="宋体"/>
          <w:sz w:val="24"/>
        </w:rPr>
      </w:pPr>
      <w:r>
        <w:rPr>
          <w:rFonts w:ascii="宋体" w:hAnsi="宋体" w:cs="宋体"/>
          <w:sz w:val="24"/>
        </w:rPr>
        <w:t>名    称：宁波中基国际招标有限公司</w:t>
      </w:r>
    </w:p>
    <w:p w14:paraId="4D2D11B1">
      <w:pPr>
        <w:spacing w:line="348" w:lineRule="auto"/>
        <w:ind w:firstLine="480"/>
        <w:rPr>
          <w:rFonts w:hint="eastAsia" w:ascii="宋体" w:hAnsi="宋体" w:cs="宋体"/>
          <w:sz w:val="24"/>
        </w:rPr>
      </w:pPr>
      <w:r>
        <w:rPr>
          <w:rFonts w:ascii="宋体" w:hAnsi="宋体" w:cs="宋体"/>
          <w:sz w:val="24"/>
        </w:rPr>
        <w:t>地    址：宁波市鄞州区天童南路666号中基大厦19楼</w:t>
      </w:r>
    </w:p>
    <w:p w14:paraId="4D2D11B2">
      <w:pPr>
        <w:spacing w:line="348" w:lineRule="auto"/>
        <w:ind w:firstLine="480"/>
        <w:rPr>
          <w:rFonts w:hint="eastAsia" w:ascii="宋体" w:hAnsi="宋体" w:cs="宋体"/>
          <w:sz w:val="24"/>
        </w:rPr>
      </w:pPr>
      <w:r>
        <w:rPr>
          <w:rFonts w:ascii="宋体" w:hAnsi="宋体" w:cs="宋体"/>
          <w:sz w:val="24"/>
        </w:rPr>
        <w:t>传    真：</w:t>
      </w:r>
      <w:r>
        <w:rPr>
          <w:rFonts w:hint="eastAsia" w:ascii="宋体" w:hAnsi="宋体" w:cs="宋体"/>
          <w:sz w:val="24"/>
        </w:rPr>
        <w:t>/</w:t>
      </w:r>
    </w:p>
    <w:p w14:paraId="4D2D11B3">
      <w:pPr>
        <w:spacing w:line="348" w:lineRule="auto"/>
        <w:ind w:firstLine="480"/>
        <w:rPr>
          <w:rFonts w:hint="eastAsia" w:ascii="宋体" w:hAnsi="宋体" w:cs="宋体"/>
          <w:sz w:val="24"/>
        </w:rPr>
      </w:pPr>
      <w:r>
        <w:rPr>
          <w:rFonts w:ascii="宋体" w:hAnsi="宋体" w:cs="宋体"/>
          <w:sz w:val="24"/>
        </w:rPr>
        <w:t>项目联系人（询问）：周旭坤</w:t>
      </w:r>
      <w:r>
        <w:rPr>
          <w:rFonts w:hint="eastAsia" w:ascii="宋体" w:hAnsi="宋体" w:cs="宋体"/>
          <w:sz w:val="24"/>
        </w:rPr>
        <w:t>、葛思颂、孔晖、谢铸坡</w:t>
      </w:r>
    </w:p>
    <w:p w14:paraId="4D2D11B4">
      <w:pPr>
        <w:spacing w:line="348" w:lineRule="auto"/>
        <w:ind w:firstLine="480"/>
        <w:rPr>
          <w:rFonts w:hint="eastAsia" w:ascii="宋体" w:hAnsi="宋体" w:cs="宋体"/>
          <w:sz w:val="24"/>
        </w:rPr>
      </w:pPr>
      <w:r>
        <w:rPr>
          <w:rFonts w:ascii="宋体" w:hAnsi="宋体" w:cs="宋体"/>
          <w:sz w:val="24"/>
        </w:rPr>
        <w:t>项目联系方式（询问）：0574-87426203</w:t>
      </w:r>
    </w:p>
    <w:p w14:paraId="4D2D11B5">
      <w:pPr>
        <w:spacing w:line="348" w:lineRule="auto"/>
        <w:ind w:firstLine="480"/>
        <w:rPr>
          <w:rFonts w:hint="eastAsia" w:ascii="宋体" w:hAnsi="宋体" w:cs="宋体"/>
          <w:sz w:val="24"/>
        </w:rPr>
      </w:pPr>
      <w:r>
        <w:rPr>
          <w:rFonts w:ascii="宋体" w:hAnsi="宋体" w:cs="宋体"/>
          <w:sz w:val="24"/>
        </w:rPr>
        <w:t>质疑联系人：王莹巧</w:t>
      </w:r>
    </w:p>
    <w:p w14:paraId="4D2D11B6">
      <w:pPr>
        <w:spacing w:line="348" w:lineRule="auto"/>
        <w:ind w:firstLine="480"/>
        <w:rPr>
          <w:rFonts w:hint="eastAsia" w:ascii="宋体" w:hAnsi="宋体" w:cs="宋体"/>
          <w:sz w:val="24"/>
        </w:rPr>
      </w:pPr>
      <w:r>
        <w:rPr>
          <w:rFonts w:ascii="宋体" w:hAnsi="宋体" w:cs="宋体"/>
          <w:sz w:val="24"/>
        </w:rPr>
        <w:t>质疑联系方式：0574-87425583</w:t>
      </w:r>
    </w:p>
    <w:p w14:paraId="4D2D11B7">
      <w:pPr>
        <w:spacing w:line="348" w:lineRule="auto"/>
        <w:ind w:firstLine="480"/>
        <w:rPr>
          <w:rFonts w:hint="eastAsia" w:ascii="宋体" w:hAnsi="宋体" w:cs="宋体"/>
          <w:sz w:val="24"/>
        </w:rPr>
      </w:pPr>
      <w:r>
        <w:rPr>
          <w:rFonts w:ascii="宋体" w:hAnsi="宋体" w:cs="宋体"/>
          <w:sz w:val="24"/>
        </w:rPr>
        <w:t>3.同级政府采购监督管理部门：</w:t>
      </w:r>
    </w:p>
    <w:p w14:paraId="4D2D11B8">
      <w:pPr>
        <w:spacing w:line="348" w:lineRule="auto"/>
        <w:ind w:firstLine="480"/>
        <w:rPr>
          <w:rFonts w:hint="eastAsia" w:ascii="宋体" w:hAnsi="宋体" w:cs="宋体"/>
          <w:sz w:val="24"/>
        </w:rPr>
      </w:pPr>
      <w:r>
        <w:rPr>
          <w:rFonts w:ascii="宋体" w:hAnsi="宋体" w:cs="宋体"/>
          <w:sz w:val="24"/>
        </w:rPr>
        <w:t>名    称：慈溪市财政局</w:t>
      </w:r>
    </w:p>
    <w:p w14:paraId="4D2D11B9">
      <w:pPr>
        <w:spacing w:line="348" w:lineRule="auto"/>
        <w:ind w:firstLine="480"/>
        <w:rPr>
          <w:rFonts w:hint="eastAsia" w:ascii="宋体" w:hAnsi="宋体" w:cs="宋体"/>
          <w:sz w:val="24"/>
        </w:rPr>
      </w:pPr>
      <w:r>
        <w:rPr>
          <w:rFonts w:ascii="宋体" w:hAnsi="宋体" w:cs="宋体"/>
          <w:sz w:val="24"/>
        </w:rPr>
        <w:t>地    址：</w:t>
      </w:r>
      <w:r>
        <w:rPr>
          <w:rFonts w:hint="eastAsia" w:ascii="宋体" w:hAnsi="宋体" w:cs="宋体"/>
          <w:sz w:val="24"/>
        </w:rPr>
        <w:t>慈溪市南二环东路1158号6楼</w:t>
      </w:r>
      <w:r>
        <w:rPr>
          <w:rFonts w:hint="eastAsia" w:ascii="宋体" w:hAnsi="宋体" w:cs="宋体"/>
          <w:sz w:val="24"/>
          <w:lang w:val="en-US" w:eastAsia="zh-CN"/>
        </w:rPr>
        <w:t>619</w:t>
      </w:r>
      <w:r>
        <w:rPr>
          <w:rFonts w:hint="eastAsia" w:ascii="宋体" w:hAnsi="宋体" w:cs="宋体"/>
          <w:sz w:val="24"/>
        </w:rPr>
        <w:t>室</w:t>
      </w:r>
    </w:p>
    <w:p w14:paraId="4D2D11BA">
      <w:pPr>
        <w:spacing w:line="348" w:lineRule="auto"/>
        <w:ind w:firstLine="480"/>
        <w:rPr>
          <w:rFonts w:hint="eastAsia" w:ascii="宋体" w:hAnsi="宋体" w:cs="宋体"/>
          <w:sz w:val="24"/>
        </w:rPr>
      </w:pPr>
      <w:r>
        <w:rPr>
          <w:rFonts w:ascii="宋体" w:hAnsi="宋体" w:cs="宋体"/>
          <w:sz w:val="24"/>
        </w:rPr>
        <w:t>传    真：/</w:t>
      </w:r>
    </w:p>
    <w:p w14:paraId="4D2D11BB">
      <w:pPr>
        <w:spacing w:line="348" w:lineRule="auto"/>
        <w:ind w:firstLine="480"/>
        <w:rPr>
          <w:rFonts w:hint="eastAsia" w:ascii="宋体" w:hAnsi="宋体" w:cs="宋体"/>
          <w:sz w:val="24"/>
        </w:rPr>
      </w:pPr>
      <w:r>
        <w:rPr>
          <w:rFonts w:ascii="宋体" w:hAnsi="宋体" w:cs="宋体"/>
          <w:sz w:val="24"/>
        </w:rPr>
        <w:t>联</w:t>
      </w:r>
      <w:r>
        <w:rPr>
          <w:rFonts w:hint="eastAsia" w:ascii="宋体" w:hAnsi="宋体" w:cs="宋体"/>
          <w:sz w:val="24"/>
        </w:rPr>
        <w:t xml:space="preserve"> </w:t>
      </w:r>
      <w:r>
        <w:rPr>
          <w:rFonts w:ascii="宋体" w:hAnsi="宋体" w:cs="宋体"/>
          <w:sz w:val="24"/>
        </w:rPr>
        <w:t>系</w:t>
      </w:r>
      <w:r>
        <w:rPr>
          <w:rFonts w:hint="eastAsia" w:ascii="宋体" w:hAnsi="宋体" w:cs="宋体"/>
          <w:sz w:val="24"/>
        </w:rPr>
        <w:t xml:space="preserve"> </w:t>
      </w:r>
      <w:r>
        <w:rPr>
          <w:rFonts w:ascii="宋体" w:hAnsi="宋体" w:cs="宋体"/>
          <w:sz w:val="24"/>
        </w:rPr>
        <w:t>人：</w:t>
      </w:r>
      <w:r>
        <w:rPr>
          <w:rFonts w:hint="eastAsia" w:ascii="宋体" w:hAnsi="宋体" w:cs="宋体"/>
          <w:sz w:val="24"/>
        </w:rPr>
        <w:t>胡老师</w:t>
      </w:r>
    </w:p>
    <w:p w14:paraId="4D2D11BC">
      <w:pPr>
        <w:spacing w:line="348" w:lineRule="auto"/>
        <w:ind w:firstLine="480"/>
        <w:rPr>
          <w:rFonts w:hint="eastAsia" w:ascii="宋体" w:hAnsi="宋体" w:cs="宋体"/>
          <w:sz w:val="24"/>
        </w:rPr>
      </w:pPr>
      <w:r>
        <w:rPr>
          <w:rFonts w:ascii="宋体" w:hAnsi="宋体" w:cs="宋体"/>
          <w:sz w:val="24"/>
        </w:rPr>
        <w:t>投诉电话：0574-</w:t>
      </w:r>
      <w:r>
        <w:rPr>
          <w:rFonts w:hint="eastAsia" w:ascii="宋体" w:hAnsi="宋体" w:cs="宋体"/>
          <w:sz w:val="24"/>
        </w:rPr>
        <w:t>63912958</w:t>
      </w:r>
    </w:p>
    <w:p w14:paraId="4D2D11BD">
      <w:pPr>
        <w:spacing w:line="348" w:lineRule="auto"/>
        <w:ind w:firstLine="480" w:firstLineChars="200"/>
        <w:rPr>
          <w:rFonts w:hint="eastAsia" w:ascii="宋体" w:hAnsi="宋体" w:cs="宋体"/>
          <w:sz w:val="24"/>
        </w:rPr>
      </w:pPr>
    </w:p>
    <w:p w14:paraId="4D2D11BE">
      <w:pPr>
        <w:spacing w:line="348" w:lineRule="auto"/>
        <w:ind w:firstLine="480" w:firstLineChars="200"/>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4D2D11BF">
      <w:pPr>
        <w:spacing w:line="348"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14:paraId="4D2D11C0">
      <w:pPr>
        <w:widowControl/>
        <w:adjustRightInd/>
        <w:jc w:val="left"/>
        <w:rPr>
          <w:rFonts w:hint="eastAsia" w:ascii="宋体" w:hAnsi="宋体" w:cs="宋体"/>
          <w:b/>
          <w:sz w:val="36"/>
          <w:szCs w:val="20"/>
        </w:rPr>
      </w:pPr>
      <w:r>
        <w:rPr>
          <w:rFonts w:ascii="宋体" w:hAnsi="宋体" w:cs="宋体"/>
          <w:b/>
          <w:sz w:val="36"/>
          <w:szCs w:val="20"/>
        </w:rPr>
        <w:br w:type="page"/>
      </w:r>
    </w:p>
    <w:p w14:paraId="4D2D11C1">
      <w:pPr>
        <w:adjustRightInd/>
        <w:spacing w:line="360" w:lineRule="auto"/>
        <w:jc w:val="center"/>
        <w:outlineLvl w:val="0"/>
        <w:rPr>
          <w:rFonts w:hint="eastAsia" w:ascii="宋体" w:hAnsi="宋体" w:cs="宋体"/>
          <w:b/>
          <w:sz w:val="36"/>
          <w:szCs w:val="20"/>
        </w:rPr>
      </w:pPr>
      <w:bookmarkStart w:id="10" w:name="_Toc26310"/>
      <w:r>
        <w:rPr>
          <w:rFonts w:hint="eastAsia" w:ascii="宋体" w:hAnsi="宋体" w:cs="宋体"/>
          <w:b/>
          <w:sz w:val="36"/>
          <w:szCs w:val="20"/>
        </w:rPr>
        <w:t>第二部分</w:t>
      </w:r>
      <w:bookmarkEnd w:id="6"/>
      <w:r>
        <w:rPr>
          <w:rFonts w:hint="eastAsia" w:ascii="宋体" w:hAnsi="宋体" w:cs="宋体"/>
          <w:b/>
          <w:sz w:val="36"/>
          <w:szCs w:val="20"/>
        </w:rPr>
        <w:t xml:space="preserve"> 投标人须知</w:t>
      </w:r>
      <w:bookmarkEnd w:id="7"/>
      <w:bookmarkEnd w:id="10"/>
    </w:p>
    <w:p w14:paraId="4D2D11C2">
      <w:pPr>
        <w:adjustRightInd/>
        <w:spacing w:line="360" w:lineRule="auto"/>
        <w:ind w:firstLine="3845" w:firstLineChars="1197"/>
        <w:rPr>
          <w:rFonts w:hint="eastAsia" w:ascii="宋体" w:hAnsi="宋体" w:cs="宋体"/>
          <w:b/>
          <w:sz w:val="32"/>
          <w:szCs w:val="20"/>
        </w:rPr>
      </w:pPr>
      <w:r>
        <w:rPr>
          <w:rFonts w:hint="eastAsia" w:ascii="宋体" w:hAnsi="宋体" w:cs="宋体"/>
          <w:b/>
          <w:sz w:val="32"/>
          <w:szCs w:val="20"/>
        </w:rPr>
        <w:t>前附表</w:t>
      </w:r>
    </w:p>
    <w:tbl>
      <w:tblPr>
        <w:tblStyle w:val="63"/>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888"/>
      </w:tblGrid>
      <w:tr w14:paraId="4D2D1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4D2D11C3">
            <w:pPr>
              <w:snapToGrid w:val="0"/>
              <w:jc w:val="center"/>
              <w:rPr>
                <w:rFonts w:hint="eastAsia"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D2D11C4">
            <w:pPr>
              <w:snapToGrid w:val="0"/>
              <w:jc w:val="center"/>
              <w:rPr>
                <w:rFonts w:hint="eastAsia" w:ascii="宋体" w:hAnsi="宋体" w:cs="宋体"/>
                <w:b/>
                <w:sz w:val="24"/>
              </w:rPr>
            </w:pPr>
            <w:r>
              <w:rPr>
                <w:rFonts w:hint="eastAsia" w:ascii="宋体" w:hAnsi="宋体" w:cs="宋体"/>
                <w:b/>
                <w:sz w:val="24"/>
              </w:rPr>
              <w:t>事项</w:t>
            </w:r>
          </w:p>
        </w:tc>
        <w:tc>
          <w:tcPr>
            <w:tcW w:w="6888" w:type="dxa"/>
            <w:tcBorders>
              <w:top w:val="single" w:color="000000" w:sz="8" w:space="0"/>
              <w:left w:val="single" w:color="000000" w:sz="2" w:space="0"/>
              <w:bottom w:val="single" w:color="000000" w:sz="8" w:space="0"/>
              <w:right w:val="single" w:color="000000" w:sz="8" w:space="0"/>
            </w:tcBorders>
            <w:vAlign w:val="center"/>
          </w:tcPr>
          <w:p w14:paraId="4D2D11C5">
            <w:pPr>
              <w:snapToGrid w:val="0"/>
              <w:jc w:val="center"/>
              <w:rPr>
                <w:rFonts w:hint="eastAsia" w:ascii="宋体" w:hAnsi="宋体" w:cs="宋体"/>
                <w:b/>
                <w:sz w:val="24"/>
              </w:rPr>
            </w:pPr>
            <w:r>
              <w:rPr>
                <w:rFonts w:hint="eastAsia" w:ascii="宋体" w:hAnsi="宋体" w:cs="宋体"/>
                <w:b/>
                <w:sz w:val="24"/>
              </w:rPr>
              <w:t>本项目的特别规定</w:t>
            </w:r>
          </w:p>
        </w:tc>
      </w:tr>
      <w:tr w14:paraId="4D2D11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D2D11C7">
            <w:pPr>
              <w:snapToGrid w:val="0"/>
              <w:jc w:val="center"/>
              <w:rPr>
                <w:rFonts w:hint="eastAsia"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D2D11C8">
            <w:pPr>
              <w:snapToGrid w:val="0"/>
              <w:jc w:val="center"/>
              <w:rPr>
                <w:rFonts w:hint="eastAsia" w:ascii="宋体" w:hAnsi="宋体" w:cs="宋体"/>
                <w:b/>
                <w:sz w:val="24"/>
              </w:rPr>
            </w:pPr>
            <w:r>
              <w:rPr>
                <w:rFonts w:hint="eastAsia" w:ascii="宋体" w:hAnsi="宋体" w:cs="宋体"/>
                <w:b/>
                <w:sz w:val="24"/>
              </w:rPr>
              <w:t>项目属性</w:t>
            </w:r>
          </w:p>
        </w:tc>
        <w:tc>
          <w:tcPr>
            <w:tcW w:w="6888" w:type="dxa"/>
            <w:tcBorders>
              <w:top w:val="single" w:color="000000" w:sz="8" w:space="0"/>
              <w:left w:val="single" w:color="000000" w:sz="2" w:space="0"/>
              <w:bottom w:val="single" w:color="000000" w:sz="8" w:space="0"/>
              <w:right w:val="single" w:color="000000" w:sz="8" w:space="0"/>
            </w:tcBorders>
            <w:vAlign w:val="center"/>
          </w:tcPr>
          <w:p w14:paraId="4D2D11C9">
            <w:pPr>
              <w:rPr>
                <w:rFonts w:hint="eastAsia" w:ascii="宋体" w:hAnsi="宋体" w:cs="宋体"/>
                <w:sz w:val="24"/>
              </w:rPr>
            </w:pPr>
            <w:r>
              <w:rPr>
                <w:rFonts w:hint="eastAsia" w:ascii="宋体" w:hAnsi="宋体" w:cs="宋体"/>
                <w:sz w:val="24"/>
              </w:rPr>
              <w:t>服务类。</w:t>
            </w:r>
          </w:p>
        </w:tc>
      </w:tr>
      <w:tr w14:paraId="4D2D1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D2D11CB">
            <w:pPr>
              <w:snapToGrid w:val="0"/>
              <w:jc w:val="center"/>
              <w:rPr>
                <w:rFonts w:hint="eastAsia"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D2D11CC">
            <w:pPr>
              <w:snapToGrid w:val="0"/>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6888" w:type="dxa"/>
            <w:tcBorders>
              <w:top w:val="single" w:color="000000" w:sz="8" w:space="0"/>
              <w:left w:val="single" w:color="000000" w:sz="2" w:space="0"/>
              <w:bottom w:val="single" w:color="000000" w:sz="8" w:space="0"/>
              <w:right w:val="single" w:color="000000" w:sz="8" w:space="0"/>
            </w:tcBorders>
            <w:vAlign w:val="center"/>
          </w:tcPr>
          <w:p w14:paraId="4D2D11CD">
            <w:pPr>
              <w:snapToGrid w:val="0"/>
              <w:rPr>
                <w:rFonts w:hint="eastAsia" w:ascii="宋体" w:hAnsi="宋体" w:cs="宋体"/>
                <w:kern w:val="0"/>
                <w:sz w:val="24"/>
                <w:highlight w:val="none"/>
              </w:rPr>
            </w:pPr>
            <w:r>
              <w:rPr>
                <w:rFonts w:hint="eastAsia" w:ascii="宋体" w:hAnsi="宋体" w:cs="宋体"/>
                <w:kern w:val="0"/>
                <w:sz w:val="24"/>
                <w:highlight w:val="none"/>
              </w:rPr>
              <w:t>（1）本项目是否专门面向中小企业：</w:t>
            </w:r>
          </w:p>
          <w:p w14:paraId="4D2D11CE">
            <w:pPr>
              <w:snapToGrid w:val="0"/>
              <w:rPr>
                <w:rFonts w:hint="eastAsia" w:ascii="宋体" w:hAnsi="宋体" w:cs="宋体"/>
                <w:kern w:val="0"/>
                <w:sz w:val="24"/>
                <w:highlight w:val="none"/>
              </w:rPr>
            </w:pPr>
            <w:r>
              <w:rPr>
                <w:rFonts w:hint="eastAsia" w:ascii="宋体" w:hAnsi="宋体" w:cs="宋体"/>
                <w:b/>
                <w:bCs/>
                <w:kern w:val="0"/>
                <w:sz w:val="24"/>
                <w:highlight w:val="none"/>
              </w:rPr>
              <w:t>标项一：</w:t>
            </w:r>
            <w:r>
              <w:rPr>
                <w:rFonts w:hint="eastAsia" w:ascii="宋体" w:hAnsi="宋体" w:cs="宋体"/>
                <w:kern w:val="0"/>
                <w:sz w:val="24"/>
                <w:highlight w:val="none"/>
                <w:lang w:eastAsia="zh-CN"/>
              </w:rPr>
              <w:t>是</w:t>
            </w:r>
            <w:r>
              <w:rPr>
                <w:rFonts w:hint="eastAsia" w:ascii="宋体" w:hAnsi="宋体" w:cs="宋体"/>
                <w:kern w:val="0"/>
                <w:sz w:val="24"/>
                <w:highlight w:val="none"/>
              </w:rPr>
              <w:t>；</w:t>
            </w:r>
          </w:p>
          <w:p w14:paraId="4D2D11CF">
            <w:pPr>
              <w:snapToGrid w:val="0"/>
              <w:rPr>
                <w:rFonts w:hint="eastAsia" w:ascii="宋体" w:hAnsi="宋体" w:cs="宋体"/>
                <w:kern w:val="0"/>
                <w:sz w:val="24"/>
                <w:highlight w:val="none"/>
              </w:rPr>
            </w:pPr>
            <w:r>
              <w:rPr>
                <w:rFonts w:hint="eastAsia" w:ascii="宋体" w:hAnsi="宋体" w:cs="宋体"/>
                <w:b/>
                <w:bCs/>
                <w:kern w:val="0"/>
                <w:sz w:val="24"/>
                <w:highlight w:val="none"/>
              </w:rPr>
              <w:t>标项二：</w:t>
            </w:r>
            <w:r>
              <w:rPr>
                <w:rFonts w:hint="eastAsia" w:ascii="宋体" w:hAnsi="宋体" w:cs="宋体"/>
                <w:kern w:val="0"/>
                <w:sz w:val="24"/>
                <w:highlight w:val="none"/>
                <w:lang w:eastAsia="zh-CN"/>
              </w:rPr>
              <w:t>是</w:t>
            </w:r>
            <w:r>
              <w:rPr>
                <w:rFonts w:hint="eastAsia" w:ascii="宋体" w:hAnsi="宋体" w:cs="宋体"/>
                <w:kern w:val="0"/>
                <w:sz w:val="24"/>
                <w:highlight w:val="none"/>
              </w:rPr>
              <w:t>。</w:t>
            </w:r>
          </w:p>
          <w:p w14:paraId="4D2D11D0">
            <w:pPr>
              <w:snapToGrid w:val="0"/>
              <w:rPr>
                <w:rFonts w:hint="eastAsia" w:ascii="宋体" w:hAnsi="宋体" w:cs="宋体"/>
                <w:kern w:val="0"/>
                <w:sz w:val="24"/>
              </w:rPr>
            </w:pPr>
            <w:r>
              <w:rPr>
                <w:rFonts w:hint="eastAsia" w:ascii="宋体" w:hAnsi="宋体" w:cs="宋体"/>
                <w:kern w:val="0"/>
                <w:sz w:val="24"/>
              </w:rPr>
              <w:t>（2）标的名称：</w:t>
            </w:r>
          </w:p>
          <w:p w14:paraId="4D2D11D1">
            <w:pPr>
              <w:snapToGrid w:val="0"/>
              <w:rPr>
                <w:rFonts w:hint="eastAsia" w:ascii="宋体" w:hAnsi="宋体" w:cs="宋体"/>
                <w:kern w:val="0"/>
                <w:sz w:val="24"/>
              </w:rPr>
            </w:pPr>
            <w:r>
              <w:rPr>
                <w:rFonts w:hint="eastAsia" w:ascii="宋体" w:hAnsi="宋体" w:cs="宋体"/>
                <w:b/>
                <w:bCs/>
                <w:kern w:val="0"/>
                <w:sz w:val="24"/>
              </w:rPr>
              <w:t>标项一：</w:t>
            </w:r>
            <w:r>
              <w:rPr>
                <w:rFonts w:hint="eastAsia" w:ascii="宋体" w:hAnsi="宋体" w:cs="宋体"/>
                <w:kern w:val="0"/>
                <w:sz w:val="24"/>
              </w:rPr>
              <w:t>标的名称：</w:t>
            </w:r>
            <w:r>
              <w:rPr>
                <w:rFonts w:hint="eastAsia" w:ascii="宋体" w:hAnsi="宋体" w:cs="宋体"/>
                <w:sz w:val="24"/>
                <w:u w:val="single"/>
              </w:rPr>
              <w:t>飞利浦1.5T磁共振维保</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w:t>
            </w:r>
          </w:p>
          <w:p w14:paraId="4D2D11D2">
            <w:pPr>
              <w:snapToGrid w:val="0"/>
              <w:rPr>
                <w:rFonts w:hint="eastAsia" w:ascii="宋体" w:hAnsi="宋体" w:cs="宋体"/>
              </w:rPr>
            </w:pPr>
            <w:r>
              <w:rPr>
                <w:rFonts w:hint="eastAsia" w:ascii="宋体" w:hAnsi="宋体" w:cs="宋体"/>
                <w:b/>
                <w:bCs/>
                <w:kern w:val="0"/>
                <w:sz w:val="24"/>
              </w:rPr>
              <w:t>标项二：</w:t>
            </w:r>
            <w:r>
              <w:rPr>
                <w:rFonts w:hint="eastAsia" w:ascii="宋体" w:hAnsi="宋体" w:cs="宋体"/>
                <w:kern w:val="0"/>
                <w:sz w:val="24"/>
              </w:rPr>
              <w:t>标的名称：</w:t>
            </w:r>
            <w:r>
              <w:rPr>
                <w:rFonts w:hint="eastAsia" w:ascii="宋体" w:hAnsi="宋体" w:cs="宋体"/>
                <w:sz w:val="24"/>
                <w:u w:val="single"/>
              </w:rPr>
              <w:t>岛津X线机打包维保</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w:t>
            </w:r>
          </w:p>
        </w:tc>
      </w:tr>
      <w:tr w14:paraId="4D2D11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D2D11D4">
            <w:pPr>
              <w:snapToGrid w:val="0"/>
              <w:jc w:val="center"/>
              <w:rPr>
                <w:rFonts w:hint="eastAsia"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D2D11D5">
            <w:pPr>
              <w:snapToGrid w:val="0"/>
              <w:jc w:val="center"/>
              <w:rPr>
                <w:rFonts w:hint="eastAsia" w:ascii="宋体" w:hAnsi="宋体" w:cs="宋体"/>
                <w:b/>
                <w:sz w:val="24"/>
              </w:rPr>
            </w:pPr>
            <w:r>
              <w:rPr>
                <w:rFonts w:hint="eastAsia" w:ascii="宋体" w:hAnsi="宋体" w:cs="宋体"/>
                <w:b/>
                <w:sz w:val="24"/>
              </w:rPr>
              <w:t>是否允许采购进口产品</w:t>
            </w:r>
          </w:p>
        </w:tc>
        <w:tc>
          <w:tcPr>
            <w:tcW w:w="6888" w:type="dxa"/>
            <w:tcBorders>
              <w:top w:val="single" w:color="000000" w:sz="8" w:space="0"/>
              <w:left w:val="single" w:color="000000" w:sz="2" w:space="0"/>
              <w:bottom w:val="single" w:color="000000" w:sz="8" w:space="0"/>
              <w:right w:val="single" w:color="000000" w:sz="8" w:space="0"/>
            </w:tcBorders>
            <w:vAlign w:val="center"/>
          </w:tcPr>
          <w:p w14:paraId="4D2D11D6">
            <w:pPr>
              <w:rPr>
                <w:rFonts w:hint="eastAsia"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4D2D11D7">
            <w:pPr>
              <w:rPr>
                <w:rFonts w:hint="eastAsia"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4D2D1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D2D11D9">
            <w:pPr>
              <w:snapToGrid w:val="0"/>
              <w:jc w:val="center"/>
              <w:rPr>
                <w:rFonts w:hint="eastAsia"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D2D11DA">
            <w:pPr>
              <w:snapToGrid w:val="0"/>
              <w:jc w:val="center"/>
              <w:rPr>
                <w:rFonts w:hint="eastAsia" w:ascii="宋体" w:hAnsi="宋体" w:cs="宋体"/>
                <w:b/>
                <w:sz w:val="24"/>
              </w:rPr>
            </w:pPr>
            <w:r>
              <w:rPr>
                <w:rFonts w:hint="eastAsia" w:ascii="宋体" w:hAnsi="宋体" w:cs="宋体"/>
                <w:b/>
                <w:sz w:val="24"/>
              </w:rPr>
              <w:t>分包</w:t>
            </w:r>
          </w:p>
        </w:tc>
        <w:tc>
          <w:tcPr>
            <w:tcW w:w="6888" w:type="dxa"/>
            <w:tcBorders>
              <w:top w:val="single" w:color="000000" w:sz="8" w:space="0"/>
              <w:left w:val="single" w:color="000000" w:sz="2" w:space="0"/>
              <w:bottom w:val="single" w:color="000000" w:sz="8" w:space="0"/>
              <w:right w:val="single" w:color="000000" w:sz="8" w:space="0"/>
            </w:tcBorders>
            <w:vAlign w:val="center"/>
          </w:tcPr>
          <w:p w14:paraId="4D2D11DB">
            <w:pPr>
              <w:rPr>
                <w:rFonts w:hint="eastAsia"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配套服务 </w:t>
            </w:r>
            <w:r>
              <w:rPr>
                <w:rFonts w:hint="eastAsia" w:ascii="宋体" w:hAnsi="宋体" w:cs="宋体"/>
                <w:sz w:val="24"/>
              </w:rPr>
              <w:t>工作分包。</w:t>
            </w:r>
          </w:p>
          <w:p w14:paraId="4D2D11DC">
            <w:pPr>
              <w:rPr>
                <w:rFonts w:hint="eastAsia" w:ascii="宋体" w:hAnsi="宋体" w:cs="宋体"/>
                <w:sz w:val="24"/>
              </w:rPr>
            </w:pP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 xml:space="preserve"> B</w:t>
            </w:r>
            <w:r>
              <w:rPr>
                <w:rFonts w:hint="eastAsia" w:ascii="宋体" w:hAnsi="宋体" w:cs="宋体"/>
                <w:sz w:val="24"/>
              </w:rPr>
              <w:t>不同意分包。</w:t>
            </w:r>
          </w:p>
        </w:tc>
      </w:tr>
      <w:tr w14:paraId="4D2D1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D2D11DE">
            <w:pPr>
              <w:snapToGrid w:val="0"/>
              <w:jc w:val="center"/>
              <w:rPr>
                <w:rFonts w:hint="eastAsia"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D2D11DF">
            <w:pPr>
              <w:snapToGrid w:val="0"/>
              <w:jc w:val="center"/>
              <w:rPr>
                <w:rFonts w:hint="eastAsia" w:ascii="宋体" w:hAnsi="宋体" w:cs="宋体"/>
                <w:b/>
                <w:sz w:val="24"/>
              </w:rPr>
            </w:pPr>
            <w:r>
              <w:rPr>
                <w:rFonts w:hint="eastAsia" w:ascii="宋体" w:hAnsi="宋体" w:cs="宋体"/>
                <w:b/>
                <w:sz w:val="24"/>
              </w:rPr>
              <w:t>开标前答疑会或现场考察</w:t>
            </w:r>
          </w:p>
        </w:tc>
        <w:tc>
          <w:tcPr>
            <w:tcW w:w="6888" w:type="dxa"/>
            <w:tcBorders>
              <w:top w:val="single" w:color="000000" w:sz="8" w:space="0"/>
              <w:left w:val="single" w:color="000000" w:sz="2" w:space="0"/>
              <w:bottom w:val="single" w:color="000000" w:sz="8" w:space="0"/>
              <w:right w:val="single" w:color="000000" w:sz="8" w:space="0"/>
            </w:tcBorders>
            <w:vAlign w:val="center"/>
          </w:tcPr>
          <w:p w14:paraId="4D2D11E0">
            <w:pPr>
              <w:rPr>
                <w:rFonts w:hint="eastAsia"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4D2D11E1">
            <w:pPr>
              <w:rPr>
                <w:rFonts w:hint="eastAsia"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4D2D11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D2D11E3">
            <w:pPr>
              <w:snapToGrid w:val="0"/>
              <w:jc w:val="center"/>
              <w:rPr>
                <w:rFonts w:hint="eastAsia"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D2D11E4">
            <w:pPr>
              <w:snapToGrid w:val="0"/>
              <w:jc w:val="center"/>
              <w:rPr>
                <w:rFonts w:hint="eastAsia" w:ascii="宋体" w:hAnsi="宋体" w:cs="宋体"/>
                <w:b/>
                <w:sz w:val="24"/>
              </w:rPr>
            </w:pPr>
            <w:r>
              <w:rPr>
                <w:rFonts w:hint="eastAsia" w:ascii="宋体" w:hAnsi="宋体" w:cs="宋体"/>
                <w:b/>
                <w:sz w:val="24"/>
              </w:rPr>
              <w:t>样品提供</w:t>
            </w:r>
          </w:p>
        </w:tc>
        <w:tc>
          <w:tcPr>
            <w:tcW w:w="6888" w:type="dxa"/>
            <w:tcBorders>
              <w:top w:val="single" w:color="000000" w:sz="8" w:space="0"/>
              <w:left w:val="single" w:color="000000" w:sz="2" w:space="0"/>
              <w:bottom w:val="single" w:color="000000" w:sz="8" w:space="0"/>
              <w:right w:val="single" w:color="000000" w:sz="8" w:space="0"/>
            </w:tcBorders>
            <w:vAlign w:val="center"/>
          </w:tcPr>
          <w:p w14:paraId="4D2D11E5">
            <w:pPr>
              <w:rPr>
                <w:rFonts w:hint="eastAsia"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不要求提供。</w:t>
            </w:r>
          </w:p>
          <w:p w14:paraId="4D2D11E6">
            <w:pPr>
              <w:rPr>
                <w:rFonts w:hint="eastAsia"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4D2D11E7">
            <w:pPr>
              <w:rPr>
                <w:rFonts w:hint="eastAsia"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4D2D11E8">
            <w:pPr>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4D2D11E9">
            <w:pPr>
              <w:rPr>
                <w:rFonts w:hint="eastAsia"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：见</w:t>
            </w:r>
            <w:r>
              <w:rPr>
                <w:rFonts w:hint="eastAsia" w:ascii="宋体" w:hAnsi="宋体" w:cs="宋体"/>
                <w:sz w:val="24"/>
                <w:u w:val="single"/>
              </w:rPr>
              <w:t>评标办法</w:t>
            </w:r>
            <w:r>
              <w:rPr>
                <w:rFonts w:hint="eastAsia" w:ascii="宋体" w:hAnsi="宋体" w:cs="宋体"/>
                <w:kern w:val="0"/>
                <w:sz w:val="24"/>
              </w:rPr>
              <w:t>；</w:t>
            </w:r>
          </w:p>
          <w:p w14:paraId="4D2D11EA">
            <w:pPr>
              <w:rPr>
                <w:rFonts w:hint="eastAsia"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4D2D11EB">
            <w:pPr>
              <w:rPr>
                <w:rFonts w:hint="eastAsia"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4D2D11EC">
            <w:pPr>
              <w:rPr>
                <w:rFonts w:hint="eastAsia"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D2D11ED">
            <w:pPr>
              <w:rPr>
                <w:rFonts w:hint="eastAsia" w:ascii="宋体" w:hAnsi="宋体" w:cs="宋体"/>
                <w:b/>
                <w:sz w:val="24"/>
              </w:rPr>
            </w:pPr>
            <w:r>
              <w:rPr>
                <w:rFonts w:hint="eastAsia" w:ascii="宋体" w:hAnsi="宋体" w:cs="宋体"/>
                <w:sz w:val="24"/>
              </w:rPr>
              <w:t>（7）制作、运输、安装和保管样品所发生的一切费用由投标人自理。</w:t>
            </w:r>
          </w:p>
        </w:tc>
      </w:tr>
      <w:tr w14:paraId="4D2D1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D2D11EF">
            <w:pPr>
              <w:snapToGrid w:val="0"/>
              <w:jc w:val="center"/>
              <w:rPr>
                <w:rFonts w:hint="eastAsia"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D2D11F0">
            <w:pPr>
              <w:snapToGrid w:val="0"/>
              <w:jc w:val="center"/>
              <w:rPr>
                <w:rFonts w:hint="eastAsia" w:ascii="宋体" w:hAnsi="宋体" w:cs="宋体"/>
                <w:bCs/>
                <w:sz w:val="24"/>
              </w:rPr>
            </w:pPr>
            <w:r>
              <w:rPr>
                <w:rFonts w:hint="eastAsia" w:ascii="宋体" w:hAnsi="宋体" w:cs="宋体"/>
                <w:b/>
                <w:sz w:val="24"/>
              </w:rPr>
              <w:t>方案讲解演示</w:t>
            </w:r>
          </w:p>
        </w:tc>
        <w:tc>
          <w:tcPr>
            <w:tcW w:w="6888" w:type="dxa"/>
            <w:tcBorders>
              <w:top w:val="single" w:color="000000" w:sz="8" w:space="0"/>
              <w:left w:val="single" w:color="000000" w:sz="2" w:space="0"/>
              <w:bottom w:val="single" w:color="000000" w:sz="8" w:space="0"/>
              <w:right w:val="single" w:color="000000" w:sz="8" w:space="0"/>
            </w:tcBorders>
            <w:vAlign w:val="center"/>
          </w:tcPr>
          <w:p w14:paraId="4D2D11F1">
            <w:pPr>
              <w:rPr>
                <w:rFonts w:hint="eastAsia"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4D2D11F2">
            <w:pPr>
              <w:rPr>
                <w:rFonts w:hint="eastAsia"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4D2D11F3">
            <w:pPr>
              <w:snapToGrid w:val="0"/>
              <w:rPr>
                <w:rFonts w:hint="eastAsia"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4D2D11F4">
            <w:pPr>
              <w:snapToGrid w:val="0"/>
              <w:rPr>
                <w:rFonts w:hint="eastAsia" w:ascii="宋体" w:hAnsi="宋体" w:cs="宋体"/>
                <w:kern w:val="0"/>
                <w:sz w:val="24"/>
              </w:rPr>
            </w:pPr>
            <w:r>
              <w:rPr>
                <w:rFonts w:hint="eastAsia" w:ascii="宋体" w:hAnsi="宋体" w:cs="宋体"/>
                <w:kern w:val="0"/>
                <w:sz w:val="24"/>
              </w:rPr>
              <w:t>（2）方案讲解演示可选择以下其中一种方式：</w:t>
            </w:r>
          </w:p>
          <w:p w14:paraId="4D2D11F5">
            <w:pPr>
              <w:snapToGrid w:val="0"/>
              <w:rPr>
                <w:rFonts w:hint="eastAsia"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4D2D11F6">
            <w:pPr>
              <w:snapToGrid w:val="0"/>
              <w:rPr>
                <w:rFonts w:hint="eastAsia"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4D2D11F7">
            <w:pPr>
              <w:snapToGrid w:val="0"/>
              <w:rPr>
                <w:rFonts w:hint="eastAsia"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D2D1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restart"/>
            <w:tcBorders>
              <w:top w:val="single" w:color="auto" w:sz="4" w:space="0"/>
              <w:left w:val="single" w:color="auto" w:sz="4" w:space="0"/>
              <w:right w:val="single" w:color="auto" w:sz="4" w:space="0"/>
            </w:tcBorders>
            <w:vAlign w:val="center"/>
          </w:tcPr>
          <w:p w14:paraId="4D2D11F9">
            <w:pPr>
              <w:snapToGrid w:val="0"/>
              <w:jc w:val="center"/>
              <w:rPr>
                <w:rFonts w:hint="eastAsia"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4D2D11FA">
            <w:pPr>
              <w:snapToGrid w:val="0"/>
              <w:jc w:val="center"/>
              <w:rPr>
                <w:rFonts w:hint="eastAsia" w:ascii="宋体" w:hAnsi="宋体" w:cs="宋体"/>
                <w:b/>
                <w:sz w:val="24"/>
              </w:rPr>
            </w:pPr>
            <w:r>
              <w:rPr>
                <w:rFonts w:hint="eastAsia" w:ascii="宋体" w:hAnsi="宋体" w:cs="宋体"/>
                <w:b/>
                <w:sz w:val="24"/>
              </w:rPr>
              <w:t>投标人应当提供的资格、资信证明文件</w:t>
            </w:r>
          </w:p>
        </w:tc>
        <w:tc>
          <w:tcPr>
            <w:tcW w:w="6888" w:type="dxa"/>
            <w:tcBorders>
              <w:top w:val="single" w:color="000000" w:sz="8" w:space="0"/>
              <w:left w:val="single" w:color="000000" w:sz="2" w:space="0"/>
              <w:bottom w:val="single" w:color="auto" w:sz="4" w:space="0"/>
              <w:right w:val="single" w:color="000000" w:sz="8" w:space="0"/>
            </w:tcBorders>
            <w:vAlign w:val="center"/>
          </w:tcPr>
          <w:p w14:paraId="4D2D11FB">
            <w:pPr>
              <w:rPr>
                <w:rFonts w:hint="eastAsia" w:ascii="宋体" w:hAnsi="宋体" w:cs="宋体"/>
                <w:sz w:val="24"/>
              </w:rPr>
            </w:pPr>
            <w:r>
              <w:rPr>
                <w:rFonts w:hint="eastAsia" w:ascii="宋体" w:hAnsi="宋体" w:cs="宋体"/>
                <w:sz w:val="24"/>
              </w:rPr>
              <w:t>（1）资格证明文件：见招标文件第二部分11.1。</w:t>
            </w:r>
          </w:p>
          <w:p w14:paraId="4D2D11FC">
            <w:pPr>
              <w:rPr>
                <w:rFonts w:hint="eastAsia"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4D2D12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continue"/>
            <w:tcBorders>
              <w:left w:val="single" w:color="auto" w:sz="4" w:space="0"/>
              <w:bottom w:val="single" w:color="auto" w:sz="4" w:space="0"/>
              <w:right w:val="single" w:color="auto" w:sz="4" w:space="0"/>
            </w:tcBorders>
            <w:vAlign w:val="center"/>
          </w:tcPr>
          <w:p w14:paraId="4D2D11FE">
            <w:pPr>
              <w:snapToGrid w:val="0"/>
              <w:jc w:val="center"/>
              <w:rPr>
                <w:rFonts w:hint="eastAsia"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4D2D11FF">
            <w:pPr>
              <w:snapToGrid w:val="0"/>
              <w:jc w:val="center"/>
              <w:rPr>
                <w:rFonts w:hint="eastAsia" w:ascii="宋体" w:hAnsi="宋体" w:cs="宋体"/>
                <w:b/>
                <w:sz w:val="24"/>
              </w:rPr>
            </w:pPr>
          </w:p>
        </w:tc>
        <w:tc>
          <w:tcPr>
            <w:tcW w:w="6888" w:type="dxa"/>
            <w:tcBorders>
              <w:top w:val="single" w:color="auto" w:sz="4" w:space="0"/>
              <w:left w:val="single" w:color="000000" w:sz="2" w:space="0"/>
              <w:bottom w:val="single" w:color="000000" w:sz="8" w:space="0"/>
              <w:right w:val="single" w:color="000000" w:sz="8" w:space="0"/>
            </w:tcBorders>
            <w:vAlign w:val="center"/>
          </w:tcPr>
          <w:p w14:paraId="4D2D1200">
            <w:pPr>
              <w:rPr>
                <w:rFonts w:hint="eastAsia" w:ascii="宋体" w:hAnsi="宋体" w:cs="宋体"/>
                <w:sz w:val="24"/>
              </w:rPr>
            </w:pPr>
            <w:r>
              <w:rPr>
                <w:rFonts w:hint="eastAsia" w:ascii="宋体" w:hAnsi="宋体" w:cs="宋体"/>
                <w:sz w:val="24"/>
              </w:rPr>
              <w:t>（2）资信证明文件：根据招标文件第四部分评标标准提供。</w:t>
            </w:r>
          </w:p>
        </w:tc>
      </w:tr>
      <w:tr w14:paraId="4D2D1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D2D1202">
            <w:pPr>
              <w:snapToGrid w:val="0"/>
              <w:jc w:val="center"/>
              <w:rPr>
                <w:rFonts w:hint="eastAsia"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D2D1203">
            <w:pPr>
              <w:snapToGrid w:val="0"/>
              <w:jc w:val="center"/>
              <w:rPr>
                <w:rFonts w:hint="eastAsia" w:ascii="宋体" w:hAnsi="宋体" w:cs="宋体"/>
                <w:b/>
                <w:sz w:val="24"/>
              </w:rPr>
            </w:pPr>
            <w:r>
              <w:rPr>
                <w:rFonts w:hint="eastAsia" w:ascii="宋体" w:hAnsi="宋体" w:cs="宋体"/>
                <w:b/>
                <w:sz w:val="24"/>
              </w:rPr>
              <w:t>节能产品、环境标志产品</w:t>
            </w:r>
          </w:p>
        </w:tc>
        <w:tc>
          <w:tcPr>
            <w:tcW w:w="6888" w:type="dxa"/>
            <w:tcBorders>
              <w:top w:val="single" w:color="000000" w:sz="8" w:space="0"/>
              <w:left w:val="single" w:color="000000" w:sz="2" w:space="0"/>
              <w:bottom w:val="single" w:color="000000" w:sz="8" w:space="0"/>
              <w:right w:val="single" w:color="000000" w:sz="8" w:space="0"/>
            </w:tcBorders>
            <w:vAlign w:val="center"/>
          </w:tcPr>
          <w:p w14:paraId="4D2D1204">
            <w:pPr>
              <w:snapToGrid w:val="0"/>
              <w:rPr>
                <w:rFonts w:hint="eastAsia"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D2D12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D2D1206">
            <w:pPr>
              <w:snapToGrid w:val="0"/>
              <w:jc w:val="center"/>
              <w:rPr>
                <w:rFonts w:hint="eastAsia"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D2D1207">
            <w:pPr>
              <w:snapToGrid w:val="0"/>
              <w:jc w:val="center"/>
              <w:rPr>
                <w:rFonts w:hint="eastAsia" w:ascii="宋体" w:hAnsi="宋体" w:cs="宋体"/>
                <w:b/>
                <w:sz w:val="24"/>
              </w:rPr>
            </w:pPr>
            <w:r>
              <w:rPr>
                <w:rFonts w:hint="eastAsia" w:ascii="宋体" w:hAnsi="宋体" w:cs="宋体"/>
                <w:b/>
                <w:sz w:val="24"/>
              </w:rPr>
              <w:t>报价要求</w:t>
            </w:r>
          </w:p>
        </w:tc>
        <w:tc>
          <w:tcPr>
            <w:tcW w:w="6888" w:type="dxa"/>
            <w:tcBorders>
              <w:top w:val="single" w:color="000000" w:sz="8" w:space="0"/>
              <w:left w:val="single" w:color="000000" w:sz="2" w:space="0"/>
              <w:bottom w:val="single" w:color="000000" w:sz="8" w:space="0"/>
              <w:right w:val="single" w:color="000000" w:sz="8" w:space="0"/>
            </w:tcBorders>
            <w:vAlign w:val="center"/>
          </w:tcPr>
          <w:p w14:paraId="4D2D1208">
            <w:pPr>
              <w:snapToGrid w:val="0"/>
              <w:jc w:val="left"/>
              <w:rPr>
                <w:rFonts w:hint="eastAsia" w:ascii="宋体" w:hAnsi="宋体" w:cs="宋体"/>
                <w:b/>
                <w:bCs/>
                <w:sz w:val="24"/>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p>
          <w:p w14:paraId="4D2D1209">
            <w:pPr>
              <w:snapToGrid w:val="0"/>
              <w:jc w:val="left"/>
              <w:rPr>
                <w:rFonts w:hint="eastAsia" w:ascii="宋体" w:hAnsi="宋体" w:cs="宋体"/>
                <w:b/>
                <w:kern w:val="0"/>
                <w:sz w:val="24"/>
                <w:lang w:val="zh-CN"/>
              </w:rPr>
            </w:pPr>
            <w:r>
              <w:rPr>
                <w:rFonts w:hint="eastAsia" w:ascii="宋体" w:hAnsi="宋体" w:cs="宋体"/>
                <w:kern w:val="0"/>
                <w:sz w:val="24"/>
                <w:lang w:val="zh-CN"/>
              </w:rPr>
              <w:t>投标文件中价格全部采用人民币报价。招标文件未列明，而投标人认为必需的费用也需列入报价。</w:t>
            </w:r>
          </w:p>
          <w:p w14:paraId="4D2D120A">
            <w:pPr>
              <w:snapToGrid w:val="0"/>
              <w:jc w:val="left"/>
              <w:rPr>
                <w:rFonts w:hint="eastAsia" w:ascii="宋体" w:hAnsi="宋体" w:cs="宋体"/>
                <w:bCs/>
                <w:kern w:val="0"/>
                <w:sz w:val="24"/>
                <w:highlight w:val="yellow"/>
                <w:lang w:val="zh-CN"/>
              </w:rPr>
            </w:pPr>
            <w:r>
              <w:rPr>
                <w:rFonts w:hint="eastAsia" w:ascii="宋体" w:hAnsi="宋体" w:cs="宋体"/>
                <w:bCs/>
                <w:kern w:val="0"/>
                <w:sz w:val="24"/>
                <w:lang w:val="zh-CN"/>
              </w:rPr>
              <w:t>本项目投标报价须是完成本项目的所有费用，应包括设备保修、设备保养服务及所有配件费、维修人工费及差旅费等费用、利润、税金等一切与本次采购相关的费用。</w:t>
            </w:r>
          </w:p>
          <w:p w14:paraId="4D2D120B">
            <w:pPr>
              <w:snapToGrid w:val="0"/>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14:paraId="4D2D120C">
            <w:pPr>
              <w:snapToGrid w:val="0"/>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4D2D120D">
            <w:pPr>
              <w:snapToGrid w:val="0"/>
              <w:ind w:firstLine="241" w:firstLineChars="100"/>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4D2D120E">
            <w:pPr>
              <w:ind w:firstLine="241" w:firstLineChars="100"/>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D2D120F">
            <w:pPr>
              <w:ind w:firstLine="241" w:firstLineChars="100"/>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4D2D1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right w:val="single" w:color="000000" w:sz="2" w:space="0"/>
            </w:tcBorders>
            <w:vAlign w:val="center"/>
          </w:tcPr>
          <w:p w14:paraId="4D2D1211">
            <w:pPr>
              <w:snapToGrid w:val="0"/>
              <w:jc w:val="center"/>
              <w:rPr>
                <w:rFonts w:hint="eastAsia"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4D2D1212">
            <w:pPr>
              <w:snapToGrid w:val="0"/>
              <w:jc w:val="center"/>
              <w:rPr>
                <w:rFonts w:hint="eastAsia" w:ascii="宋体" w:hAnsi="宋体" w:cs="宋体"/>
                <w:b/>
                <w:sz w:val="24"/>
              </w:rPr>
            </w:pPr>
            <w:r>
              <w:rPr>
                <w:rFonts w:hint="eastAsia" w:ascii="宋体" w:hAnsi="宋体" w:cs="宋体"/>
                <w:b/>
                <w:sz w:val="24"/>
              </w:rPr>
              <w:t>中小企业信用融资</w:t>
            </w:r>
          </w:p>
        </w:tc>
        <w:tc>
          <w:tcPr>
            <w:tcW w:w="6888" w:type="dxa"/>
            <w:tcBorders>
              <w:top w:val="single" w:color="000000" w:sz="8" w:space="0"/>
              <w:left w:val="single" w:color="000000" w:sz="2" w:space="0"/>
              <w:right w:val="single" w:color="000000" w:sz="8" w:space="0"/>
            </w:tcBorders>
            <w:vAlign w:val="center"/>
          </w:tcPr>
          <w:p w14:paraId="4D2D1213">
            <w:pPr>
              <w:ind w:firstLine="480" w:firstLineChars="200"/>
              <w:rPr>
                <w:rFonts w:hint="eastAsia"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D2D1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D2D1215">
            <w:pPr>
              <w:snapToGrid w:val="0"/>
              <w:jc w:val="center"/>
              <w:rPr>
                <w:rFonts w:hint="eastAsia"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D2D1216">
            <w:pPr>
              <w:snapToGrid w:val="0"/>
              <w:jc w:val="center"/>
              <w:rPr>
                <w:rFonts w:hint="eastAsia" w:ascii="宋体" w:hAnsi="宋体" w:cs="宋体"/>
                <w:b/>
                <w:sz w:val="24"/>
              </w:rPr>
            </w:pPr>
            <w:r>
              <w:rPr>
                <w:rFonts w:hint="eastAsia" w:ascii="宋体" w:hAnsi="宋体" w:cs="宋体"/>
                <w:b/>
                <w:sz w:val="24"/>
              </w:rPr>
              <w:t>备份投标文件送达时间、地点和签收人员</w:t>
            </w:r>
          </w:p>
        </w:tc>
        <w:tc>
          <w:tcPr>
            <w:tcW w:w="6888" w:type="dxa"/>
            <w:tcBorders>
              <w:top w:val="single" w:color="000000" w:sz="8" w:space="0"/>
              <w:left w:val="single" w:color="000000" w:sz="2" w:space="0"/>
              <w:bottom w:val="single" w:color="000000" w:sz="8" w:space="0"/>
              <w:right w:val="single" w:color="000000" w:sz="8" w:space="0"/>
            </w:tcBorders>
            <w:vAlign w:val="center"/>
          </w:tcPr>
          <w:p w14:paraId="4D2D1217">
            <w:pPr>
              <w:pStyle w:val="32"/>
              <w:rPr>
                <w:rFonts w:hint="eastAsia"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供应商可以准备U盘存储的电子备份投标文件1份，按政府采购云平台要求制作的电子备份投标文件，以用于异常情况处理。</w:t>
            </w:r>
          </w:p>
          <w:p w14:paraId="4D2D1218">
            <w:pPr>
              <w:pStyle w:val="32"/>
              <w:rPr>
                <w:rFonts w:hint="eastAsia"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如提供备份投标文件的，应于投标文件提交（上传）截止时间前，将以U盘存储的电子备份投标文件密封，递交至</w:t>
            </w:r>
            <w:r>
              <w:rPr>
                <w:rFonts w:hint="eastAsia" w:hAnsi="宋体" w:cs="宋体"/>
                <w:kern w:val="28"/>
                <w:sz w:val="24"/>
                <w:szCs w:val="24"/>
                <w:u w:val="single"/>
              </w:rPr>
              <w:t>慈溪市公共资源交易中心二楼开标室（慈溪市南二环东路1355号，具体开标室见现场电子显示屏）</w:t>
            </w:r>
            <w:r>
              <w:rPr>
                <w:rFonts w:hint="eastAsia" w:cs="宋体" w:asciiTheme="minorEastAsia" w:hAnsiTheme="minorEastAsia" w:eastAsiaTheme="minorEastAsia"/>
                <w:kern w:val="28"/>
                <w:sz w:val="24"/>
                <w:szCs w:val="24"/>
              </w:rPr>
              <w:t>，逾期送达或未密封将予以拒收。</w:t>
            </w:r>
          </w:p>
          <w:p w14:paraId="4D2D1219">
            <w:pPr>
              <w:pStyle w:val="32"/>
              <w:rPr>
                <w:rFonts w:hint="eastAsia" w:cs="宋体" w:asciiTheme="minorEastAsia" w:hAnsiTheme="minorEastAsia" w:eastAsiaTheme="minorEastAsia"/>
                <w:b/>
                <w:bCs/>
                <w:kern w:val="28"/>
                <w:sz w:val="24"/>
                <w:szCs w:val="24"/>
              </w:rPr>
            </w:pPr>
            <w:r>
              <w:rPr>
                <w:rFonts w:hint="eastAsia" w:cs="宋体" w:asciiTheme="minorEastAsia" w:hAnsiTheme="minorEastAsia" w:eastAsiaTheme="minorEastAsia"/>
                <w:b/>
                <w:bCs/>
                <w:kern w:val="28"/>
                <w:sz w:val="24"/>
                <w:szCs w:val="24"/>
              </w:rPr>
              <w:t>供应商可采用邮寄（含快递）方式递交备份投标文件。</w:t>
            </w:r>
          </w:p>
          <w:p w14:paraId="4D2D121A">
            <w:pPr>
              <w:pStyle w:val="32"/>
              <w:rPr>
                <w:rFonts w:hint="eastAsia"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4D2D121B">
            <w:pPr>
              <w:pStyle w:val="32"/>
              <w:rPr>
                <w:rFonts w:hint="eastAsia"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拟在开标前一个工作日16:00前到件的邮寄地址为：</w:t>
            </w:r>
            <w:r>
              <w:rPr>
                <w:rFonts w:hint="eastAsia" w:cs="宋体" w:asciiTheme="minorEastAsia" w:hAnsiTheme="minorEastAsia" w:eastAsiaTheme="minorEastAsia"/>
                <w:kern w:val="28"/>
                <w:sz w:val="24"/>
                <w:szCs w:val="24"/>
                <w:u w:val="single"/>
              </w:rPr>
              <w:t>宁波市鄞州区天童南路666号中基大厦19楼业务六部</w:t>
            </w:r>
            <w:r>
              <w:rPr>
                <w:rFonts w:hint="eastAsia" w:cs="宋体" w:asciiTheme="minorEastAsia" w:hAnsiTheme="minorEastAsia" w:eastAsiaTheme="minorEastAsia"/>
                <w:kern w:val="28"/>
                <w:sz w:val="24"/>
                <w:szCs w:val="24"/>
              </w:rPr>
              <w:t>；</w:t>
            </w:r>
          </w:p>
          <w:p w14:paraId="4D2D121C">
            <w:pPr>
              <w:pStyle w:val="32"/>
              <w:rPr>
                <w:rFonts w:hint="eastAsia"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收件人：</w:t>
            </w:r>
            <w:r>
              <w:rPr>
                <w:rFonts w:hint="eastAsia" w:cs="宋体" w:asciiTheme="minorEastAsia" w:hAnsiTheme="minorEastAsia" w:eastAsiaTheme="minorEastAsia"/>
                <w:kern w:val="28"/>
                <w:sz w:val="24"/>
                <w:szCs w:val="24"/>
                <w:u w:val="single"/>
              </w:rPr>
              <w:t>周旭坤</w:t>
            </w:r>
            <w:r>
              <w:rPr>
                <w:rFonts w:hint="eastAsia" w:cs="宋体" w:asciiTheme="minorEastAsia" w:hAnsiTheme="minorEastAsia" w:eastAsiaTheme="minorEastAsia"/>
                <w:kern w:val="28"/>
                <w:sz w:val="24"/>
                <w:szCs w:val="24"/>
              </w:rPr>
              <w:t xml:space="preserve">   联系方式：</w:t>
            </w:r>
            <w:r>
              <w:rPr>
                <w:rFonts w:hint="eastAsia" w:cs="宋体" w:asciiTheme="minorEastAsia" w:hAnsiTheme="minorEastAsia" w:eastAsiaTheme="minorEastAsia"/>
                <w:kern w:val="28"/>
                <w:sz w:val="24"/>
                <w:szCs w:val="24"/>
                <w:u w:val="single"/>
              </w:rPr>
              <w:t>0574-87426203</w:t>
            </w:r>
          </w:p>
          <w:p w14:paraId="4D2D121D">
            <w:pPr>
              <w:pStyle w:val="32"/>
              <w:rPr>
                <w:rFonts w:hint="eastAsia" w:hAnsi="宋体" w:cs="宋体"/>
                <w:kern w:val="28"/>
                <w:sz w:val="24"/>
              </w:rPr>
            </w:pPr>
            <w:r>
              <w:rPr>
                <w:rFonts w:hint="eastAsia" w:cs="宋体" w:asciiTheme="minorEastAsia" w:hAnsiTheme="minorEastAsia" w:eastAsiaTheme="minorEastAsia"/>
                <w:kern w:val="28"/>
                <w:sz w:val="24"/>
                <w:szCs w:val="24"/>
              </w:rPr>
              <w:t>请各供应商确保密封包装在邮寄过程密封包装完好，因邮寄过程的密封破损造成不符合开标要求的，本采购代理及采购人概不负责。</w:t>
            </w:r>
          </w:p>
        </w:tc>
      </w:tr>
      <w:tr w14:paraId="4D2D1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restart"/>
            <w:tcBorders>
              <w:top w:val="single" w:color="auto" w:sz="4" w:space="0"/>
              <w:left w:val="single" w:color="000000" w:sz="8" w:space="0"/>
              <w:right w:val="single" w:color="000000" w:sz="2" w:space="0"/>
            </w:tcBorders>
            <w:vAlign w:val="center"/>
          </w:tcPr>
          <w:p w14:paraId="4D2D121F">
            <w:pPr>
              <w:snapToGrid w:val="0"/>
              <w:jc w:val="center"/>
              <w:rPr>
                <w:rFonts w:hint="eastAsia"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4D2D1220">
            <w:pPr>
              <w:snapToGrid w:val="0"/>
              <w:jc w:val="center"/>
              <w:rPr>
                <w:rFonts w:hint="eastAsia" w:ascii="宋体" w:hAnsi="宋体" w:cs="宋体"/>
                <w:b/>
                <w:sz w:val="24"/>
              </w:rPr>
            </w:pPr>
            <w:r>
              <w:rPr>
                <w:rFonts w:hint="eastAsia" w:cs="仿宋_GB2312" w:asciiTheme="minorEastAsia" w:hAnsiTheme="minorEastAsia" w:eastAsiaTheme="minorEastAsia"/>
                <w:b/>
                <w:sz w:val="24"/>
              </w:rPr>
              <w:t>特别说明</w:t>
            </w:r>
          </w:p>
        </w:tc>
        <w:tc>
          <w:tcPr>
            <w:tcW w:w="6888" w:type="dxa"/>
            <w:tcBorders>
              <w:top w:val="single" w:color="000000" w:sz="8" w:space="0"/>
              <w:left w:val="single" w:color="000000" w:sz="2" w:space="0"/>
              <w:bottom w:val="single" w:color="000000" w:sz="8" w:space="0"/>
              <w:right w:val="single" w:color="000000" w:sz="8" w:space="0"/>
            </w:tcBorders>
            <w:vAlign w:val="center"/>
          </w:tcPr>
          <w:p w14:paraId="4D2D1221">
            <w:pPr>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4D2D1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continue"/>
            <w:tcBorders>
              <w:left w:val="single" w:color="000000" w:sz="8" w:space="0"/>
              <w:bottom w:val="single" w:color="auto" w:sz="4" w:space="0"/>
              <w:right w:val="single" w:color="000000" w:sz="2" w:space="0"/>
            </w:tcBorders>
          </w:tcPr>
          <w:p w14:paraId="4D2D1223">
            <w:pPr>
              <w:snapToGrid w:val="0"/>
              <w:jc w:val="center"/>
              <w:rPr>
                <w:rFonts w:hint="eastAsia"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4D2D1224">
            <w:pPr>
              <w:snapToGrid w:val="0"/>
              <w:jc w:val="center"/>
              <w:rPr>
                <w:rFonts w:hint="eastAsia" w:ascii="宋体" w:hAnsi="宋体" w:cs="宋体"/>
                <w:b/>
                <w:sz w:val="24"/>
              </w:rPr>
            </w:pPr>
          </w:p>
        </w:tc>
        <w:tc>
          <w:tcPr>
            <w:tcW w:w="6888" w:type="dxa"/>
            <w:tcBorders>
              <w:top w:val="single" w:color="000000" w:sz="8" w:space="0"/>
              <w:left w:val="single" w:color="000000" w:sz="2" w:space="0"/>
              <w:bottom w:val="single" w:color="auto" w:sz="4" w:space="0"/>
              <w:right w:val="single" w:color="000000" w:sz="8" w:space="0"/>
            </w:tcBorders>
            <w:vAlign w:val="center"/>
          </w:tcPr>
          <w:p w14:paraId="4D2D1225">
            <w:pPr>
              <w:rPr>
                <w:rFonts w:hint="eastAsia"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4D2D1226">
            <w:pPr>
              <w:rPr>
                <w:rFonts w:hint="eastAsia"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4D2D12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D2D1228">
            <w:pPr>
              <w:snapToGrid w:val="0"/>
              <w:jc w:val="center"/>
              <w:rPr>
                <w:rFonts w:hint="eastAsia" w:ascii="宋体" w:hAnsi="宋体" w:cs="宋体"/>
                <w:sz w:val="24"/>
              </w:rPr>
            </w:pPr>
            <w:r>
              <w:rPr>
                <w:rFonts w:hint="eastAsia" w:ascii="宋体" w:hAnsi="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14:paraId="4D2D1229">
            <w:pPr>
              <w:snapToGrid w:val="0"/>
              <w:jc w:val="center"/>
              <w:rPr>
                <w:rFonts w:hint="eastAsia" w:ascii="宋体" w:hAnsi="宋体" w:cs="宋体"/>
                <w:b/>
                <w:sz w:val="24"/>
              </w:rPr>
            </w:pPr>
            <w:r>
              <w:rPr>
                <w:rFonts w:hint="eastAsia" w:cs="Arial" w:asciiTheme="minorEastAsia" w:hAnsiTheme="minorEastAsia" w:eastAsiaTheme="minorEastAsia"/>
                <w:b/>
                <w:bCs/>
                <w:kern w:val="0"/>
                <w:sz w:val="24"/>
              </w:rPr>
              <w:t>招标代理服务费</w:t>
            </w:r>
          </w:p>
        </w:tc>
        <w:tc>
          <w:tcPr>
            <w:tcW w:w="6888" w:type="dxa"/>
            <w:tcBorders>
              <w:top w:val="single" w:color="auto" w:sz="4" w:space="0"/>
              <w:left w:val="single" w:color="auto" w:sz="4" w:space="0"/>
              <w:bottom w:val="single" w:color="auto" w:sz="4" w:space="0"/>
              <w:right w:val="single" w:color="auto" w:sz="4" w:space="0"/>
            </w:tcBorders>
            <w:vAlign w:val="center"/>
          </w:tcPr>
          <w:p w14:paraId="4D2D122A">
            <w:pPr>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招标代理服务费的收取标准：代理机构按下表中服务招标的标准（按差额定率累进法计算），根据各标项的中标金额，向中标人收取招标代理服务费。</w:t>
            </w:r>
          </w:p>
          <w:tbl>
            <w:tblPr>
              <w:tblStyle w:val="63"/>
              <w:tblW w:w="6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811"/>
              <w:gridCol w:w="956"/>
              <w:gridCol w:w="956"/>
              <w:gridCol w:w="957"/>
            </w:tblGrid>
            <w:tr w14:paraId="4D2D1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811" w:type="dxa"/>
                  <w:tcBorders>
                    <w:tl2br w:val="single" w:color="auto" w:sz="4" w:space="0"/>
                  </w:tcBorders>
                  <w:tcMar>
                    <w:top w:w="30" w:type="dxa"/>
                    <w:left w:w="150" w:type="dxa"/>
                    <w:bottom w:w="30" w:type="dxa"/>
                    <w:right w:w="150" w:type="dxa"/>
                  </w:tcMar>
                  <w:vAlign w:val="center"/>
                </w:tcPr>
                <w:p w14:paraId="4D2D122B">
                  <w:pPr>
                    <w:pStyle w:val="19"/>
                    <w:adjustRightInd/>
                    <w:rPr>
                      <w:rFonts w:hint="eastAsia" w:ascii="宋体" w:hAnsi="宋体" w:cs="宋体"/>
                      <w:sz w:val="24"/>
                      <w:lang w:bidi="ar"/>
                    </w:rPr>
                  </w:pPr>
                </w:p>
                <w:p w14:paraId="4D2D122C">
                  <w:pPr>
                    <w:pStyle w:val="19"/>
                    <w:adjustRightInd/>
                    <w:rPr>
                      <w:rFonts w:hint="eastAsia" w:ascii="宋体" w:hAnsi="宋体" w:cs="宋体"/>
                      <w:sz w:val="24"/>
                      <w:lang w:bidi="ar"/>
                    </w:rPr>
                  </w:pPr>
                  <w:r>
                    <w:rPr>
                      <w:rFonts w:hint="eastAsia" w:ascii="宋体" w:hAnsi="宋体" w:cs="宋体"/>
                      <w:sz w:val="24"/>
                      <w:lang w:bidi="ar"/>
                    </w:rPr>
                    <w:t>金额（万元）</w:t>
                  </w:r>
                </w:p>
                <w:p w14:paraId="4D2D122D">
                  <w:pPr>
                    <w:pStyle w:val="19"/>
                    <w:adjustRightInd/>
                    <w:rPr>
                      <w:rFonts w:hint="eastAsia" w:ascii="宋体" w:hAnsi="宋体" w:cs="宋体"/>
                      <w:sz w:val="24"/>
                      <w:lang w:bidi="ar"/>
                    </w:rPr>
                  </w:pPr>
                  <w:r>
                    <w:rPr>
                      <w:rFonts w:hint="eastAsia" w:ascii="宋体" w:hAnsi="宋体" w:cs="宋体"/>
                      <w:sz w:val="24"/>
                      <w:lang w:bidi="ar"/>
                    </w:rPr>
                    <w:t>费率</w:t>
                  </w:r>
                </w:p>
                <w:p w14:paraId="4D2D122E">
                  <w:pPr>
                    <w:pStyle w:val="19"/>
                    <w:adjustRightInd/>
                    <w:rPr>
                      <w:rFonts w:hint="eastAsia" w:ascii="宋体" w:hAnsi="宋体" w:cs="宋体"/>
                      <w:sz w:val="24"/>
                      <w:lang w:bidi="ar"/>
                    </w:rPr>
                  </w:pPr>
                  <w:r>
                    <w:rPr>
                      <w:rFonts w:hint="eastAsia" w:ascii="宋体" w:hAnsi="宋体" w:cs="宋体"/>
                      <w:sz w:val="24"/>
                      <w:lang w:bidi="ar"/>
                    </w:rPr>
                    <w:t>服务类型</w:t>
                  </w:r>
                </w:p>
              </w:tc>
              <w:tc>
                <w:tcPr>
                  <w:tcW w:w="956" w:type="dxa"/>
                  <w:tcMar>
                    <w:top w:w="30" w:type="dxa"/>
                    <w:left w:w="150" w:type="dxa"/>
                    <w:bottom w:w="30" w:type="dxa"/>
                    <w:right w:w="150" w:type="dxa"/>
                  </w:tcMar>
                  <w:vAlign w:val="center"/>
                </w:tcPr>
                <w:p w14:paraId="4D2D122F">
                  <w:pPr>
                    <w:pStyle w:val="19"/>
                    <w:adjustRightInd/>
                    <w:jc w:val="center"/>
                    <w:rPr>
                      <w:rFonts w:hint="eastAsia" w:ascii="宋体" w:hAnsi="宋体" w:cs="宋体"/>
                      <w:sz w:val="24"/>
                      <w:lang w:bidi="ar"/>
                    </w:rPr>
                  </w:pPr>
                  <w:r>
                    <w:rPr>
                      <w:rFonts w:hint="eastAsia" w:ascii="宋体" w:hAnsi="宋体" w:cs="宋体"/>
                      <w:sz w:val="24"/>
                      <w:lang w:bidi="ar"/>
                    </w:rPr>
                    <w:t>货物招标</w:t>
                  </w:r>
                </w:p>
              </w:tc>
              <w:tc>
                <w:tcPr>
                  <w:tcW w:w="956" w:type="dxa"/>
                  <w:tcMar>
                    <w:top w:w="30" w:type="dxa"/>
                    <w:left w:w="150" w:type="dxa"/>
                    <w:bottom w:w="30" w:type="dxa"/>
                    <w:right w:w="150" w:type="dxa"/>
                  </w:tcMar>
                  <w:vAlign w:val="center"/>
                </w:tcPr>
                <w:p w14:paraId="4D2D1230">
                  <w:pPr>
                    <w:pStyle w:val="19"/>
                    <w:adjustRightInd/>
                    <w:jc w:val="center"/>
                    <w:rPr>
                      <w:rFonts w:hint="eastAsia" w:ascii="宋体" w:hAnsi="宋体" w:cs="宋体"/>
                      <w:sz w:val="24"/>
                      <w:lang w:bidi="ar"/>
                    </w:rPr>
                  </w:pPr>
                  <w:r>
                    <w:rPr>
                      <w:rFonts w:hint="eastAsia" w:ascii="宋体" w:hAnsi="宋体" w:cs="宋体"/>
                      <w:sz w:val="24"/>
                      <w:lang w:bidi="ar"/>
                    </w:rPr>
                    <w:t>服务招标</w:t>
                  </w:r>
                </w:p>
              </w:tc>
              <w:tc>
                <w:tcPr>
                  <w:tcW w:w="957" w:type="dxa"/>
                  <w:tcMar>
                    <w:top w:w="30" w:type="dxa"/>
                    <w:left w:w="150" w:type="dxa"/>
                    <w:bottom w:w="30" w:type="dxa"/>
                    <w:right w:w="150" w:type="dxa"/>
                  </w:tcMar>
                  <w:vAlign w:val="center"/>
                </w:tcPr>
                <w:p w14:paraId="4D2D1231">
                  <w:pPr>
                    <w:pStyle w:val="19"/>
                    <w:adjustRightInd/>
                    <w:jc w:val="center"/>
                    <w:rPr>
                      <w:rFonts w:hint="eastAsia" w:ascii="宋体" w:hAnsi="宋体" w:cs="宋体"/>
                      <w:sz w:val="24"/>
                      <w:lang w:bidi="ar"/>
                    </w:rPr>
                  </w:pPr>
                  <w:r>
                    <w:rPr>
                      <w:rFonts w:hint="eastAsia" w:ascii="宋体" w:hAnsi="宋体" w:cs="宋体"/>
                      <w:sz w:val="24"/>
                      <w:lang w:bidi="ar"/>
                    </w:rPr>
                    <w:t>工程招标</w:t>
                  </w:r>
                </w:p>
              </w:tc>
            </w:tr>
            <w:tr w14:paraId="4D2D1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811" w:type="dxa"/>
                  <w:tcMar>
                    <w:top w:w="30" w:type="dxa"/>
                    <w:left w:w="150" w:type="dxa"/>
                    <w:bottom w:w="30" w:type="dxa"/>
                    <w:right w:w="150" w:type="dxa"/>
                  </w:tcMar>
                  <w:vAlign w:val="center"/>
                </w:tcPr>
                <w:p w14:paraId="4D2D1233">
                  <w:pPr>
                    <w:pStyle w:val="19"/>
                    <w:adjustRightInd/>
                    <w:jc w:val="center"/>
                    <w:rPr>
                      <w:rFonts w:hint="eastAsia" w:ascii="宋体" w:hAnsi="宋体" w:cs="宋体"/>
                      <w:sz w:val="24"/>
                      <w:lang w:bidi="ar"/>
                    </w:rPr>
                  </w:pPr>
                  <w:r>
                    <w:rPr>
                      <w:rFonts w:hint="eastAsia" w:ascii="宋体" w:hAnsi="宋体" w:cs="宋体"/>
                      <w:sz w:val="24"/>
                      <w:lang w:bidi="ar"/>
                    </w:rPr>
                    <w:t>100以下</w:t>
                  </w:r>
                </w:p>
              </w:tc>
              <w:tc>
                <w:tcPr>
                  <w:tcW w:w="956" w:type="dxa"/>
                  <w:tcMar>
                    <w:top w:w="30" w:type="dxa"/>
                    <w:left w:w="150" w:type="dxa"/>
                    <w:bottom w:w="30" w:type="dxa"/>
                    <w:right w:w="150" w:type="dxa"/>
                  </w:tcMar>
                  <w:vAlign w:val="center"/>
                </w:tcPr>
                <w:p w14:paraId="4D2D1234">
                  <w:pPr>
                    <w:pStyle w:val="19"/>
                    <w:adjustRightInd/>
                    <w:jc w:val="center"/>
                    <w:rPr>
                      <w:rFonts w:hint="eastAsia" w:ascii="宋体" w:hAnsi="宋体" w:cs="宋体"/>
                      <w:sz w:val="24"/>
                      <w:lang w:bidi="ar"/>
                    </w:rPr>
                  </w:pPr>
                  <w:r>
                    <w:rPr>
                      <w:rFonts w:hint="eastAsia" w:ascii="宋体" w:hAnsi="宋体" w:cs="宋体"/>
                      <w:sz w:val="24"/>
                      <w:lang w:bidi="ar"/>
                    </w:rPr>
                    <w:t>1.5%</w:t>
                  </w:r>
                </w:p>
              </w:tc>
              <w:tc>
                <w:tcPr>
                  <w:tcW w:w="956" w:type="dxa"/>
                  <w:tcMar>
                    <w:top w:w="30" w:type="dxa"/>
                    <w:left w:w="150" w:type="dxa"/>
                    <w:bottom w:w="30" w:type="dxa"/>
                    <w:right w:w="150" w:type="dxa"/>
                  </w:tcMar>
                  <w:vAlign w:val="center"/>
                </w:tcPr>
                <w:p w14:paraId="4D2D1235">
                  <w:pPr>
                    <w:pStyle w:val="19"/>
                    <w:adjustRightInd/>
                    <w:jc w:val="center"/>
                    <w:rPr>
                      <w:rFonts w:hint="eastAsia" w:ascii="宋体" w:hAnsi="宋体" w:cs="宋体"/>
                      <w:sz w:val="24"/>
                      <w:lang w:bidi="ar"/>
                    </w:rPr>
                  </w:pPr>
                  <w:r>
                    <w:rPr>
                      <w:rFonts w:hint="eastAsia" w:ascii="宋体" w:hAnsi="宋体" w:cs="宋体"/>
                      <w:sz w:val="24"/>
                      <w:lang w:bidi="ar"/>
                    </w:rPr>
                    <w:t>1.5%</w:t>
                  </w:r>
                </w:p>
              </w:tc>
              <w:tc>
                <w:tcPr>
                  <w:tcW w:w="957" w:type="dxa"/>
                  <w:tcMar>
                    <w:top w:w="30" w:type="dxa"/>
                    <w:left w:w="150" w:type="dxa"/>
                    <w:bottom w:w="30" w:type="dxa"/>
                    <w:right w:w="150" w:type="dxa"/>
                  </w:tcMar>
                  <w:vAlign w:val="center"/>
                </w:tcPr>
                <w:p w14:paraId="4D2D1236">
                  <w:pPr>
                    <w:pStyle w:val="19"/>
                    <w:adjustRightInd/>
                    <w:jc w:val="center"/>
                    <w:rPr>
                      <w:rFonts w:hint="eastAsia" w:ascii="宋体" w:hAnsi="宋体" w:cs="宋体"/>
                      <w:sz w:val="24"/>
                      <w:lang w:bidi="ar"/>
                    </w:rPr>
                  </w:pPr>
                  <w:r>
                    <w:rPr>
                      <w:rFonts w:hint="eastAsia" w:ascii="宋体" w:hAnsi="宋体" w:cs="宋体"/>
                      <w:sz w:val="24"/>
                      <w:lang w:bidi="ar"/>
                    </w:rPr>
                    <w:t>1.0%</w:t>
                  </w:r>
                </w:p>
              </w:tc>
            </w:tr>
            <w:tr w14:paraId="4D2D1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811" w:type="dxa"/>
                  <w:tcMar>
                    <w:top w:w="30" w:type="dxa"/>
                    <w:left w:w="150" w:type="dxa"/>
                    <w:bottom w:w="30" w:type="dxa"/>
                    <w:right w:w="150" w:type="dxa"/>
                  </w:tcMar>
                  <w:vAlign w:val="center"/>
                </w:tcPr>
                <w:p w14:paraId="4D2D1238">
                  <w:pPr>
                    <w:pStyle w:val="19"/>
                    <w:adjustRightInd/>
                    <w:jc w:val="center"/>
                    <w:rPr>
                      <w:rFonts w:hint="eastAsia" w:ascii="宋体" w:hAnsi="宋体" w:cs="宋体"/>
                      <w:sz w:val="24"/>
                      <w:lang w:bidi="ar"/>
                    </w:rPr>
                  </w:pPr>
                  <w:r>
                    <w:rPr>
                      <w:rFonts w:hint="eastAsia" w:ascii="宋体" w:hAnsi="宋体" w:cs="宋体"/>
                      <w:sz w:val="24"/>
                      <w:lang w:bidi="ar"/>
                    </w:rPr>
                    <w:t>100-500</w:t>
                  </w:r>
                </w:p>
              </w:tc>
              <w:tc>
                <w:tcPr>
                  <w:tcW w:w="956" w:type="dxa"/>
                  <w:tcMar>
                    <w:top w:w="30" w:type="dxa"/>
                    <w:left w:w="150" w:type="dxa"/>
                    <w:bottom w:w="30" w:type="dxa"/>
                    <w:right w:w="150" w:type="dxa"/>
                  </w:tcMar>
                  <w:vAlign w:val="center"/>
                </w:tcPr>
                <w:p w14:paraId="4D2D1239">
                  <w:pPr>
                    <w:pStyle w:val="19"/>
                    <w:adjustRightInd/>
                    <w:jc w:val="center"/>
                    <w:rPr>
                      <w:rFonts w:hint="eastAsia" w:ascii="宋体" w:hAnsi="宋体" w:cs="宋体"/>
                      <w:sz w:val="24"/>
                      <w:lang w:bidi="ar"/>
                    </w:rPr>
                  </w:pPr>
                  <w:r>
                    <w:rPr>
                      <w:rFonts w:hint="eastAsia" w:ascii="宋体" w:hAnsi="宋体" w:cs="宋体"/>
                      <w:sz w:val="24"/>
                      <w:lang w:bidi="ar"/>
                    </w:rPr>
                    <w:t>1.1%</w:t>
                  </w:r>
                </w:p>
              </w:tc>
              <w:tc>
                <w:tcPr>
                  <w:tcW w:w="956" w:type="dxa"/>
                  <w:tcMar>
                    <w:top w:w="30" w:type="dxa"/>
                    <w:left w:w="150" w:type="dxa"/>
                    <w:bottom w:w="30" w:type="dxa"/>
                    <w:right w:w="150" w:type="dxa"/>
                  </w:tcMar>
                  <w:vAlign w:val="center"/>
                </w:tcPr>
                <w:p w14:paraId="4D2D123A">
                  <w:pPr>
                    <w:pStyle w:val="19"/>
                    <w:adjustRightInd/>
                    <w:jc w:val="center"/>
                    <w:rPr>
                      <w:rFonts w:hint="eastAsia" w:ascii="宋体" w:hAnsi="宋体" w:cs="宋体"/>
                      <w:sz w:val="24"/>
                      <w:lang w:bidi="ar"/>
                    </w:rPr>
                  </w:pPr>
                  <w:r>
                    <w:rPr>
                      <w:rFonts w:hint="eastAsia" w:ascii="宋体" w:hAnsi="宋体" w:cs="宋体"/>
                      <w:sz w:val="24"/>
                      <w:lang w:bidi="ar"/>
                    </w:rPr>
                    <w:t>0.8%</w:t>
                  </w:r>
                </w:p>
              </w:tc>
              <w:tc>
                <w:tcPr>
                  <w:tcW w:w="957" w:type="dxa"/>
                  <w:tcMar>
                    <w:top w:w="30" w:type="dxa"/>
                    <w:left w:w="150" w:type="dxa"/>
                    <w:bottom w:w="30" w:type="dxa"/>
                    <w:right w:w="150" w:type="dxa"/>
                  </w:tcMar>
                  <w:vAlign w:val="center"/>
                </w:tcPr>
                <w:p w14:paraId="4D2D123B">
                  <w:pPr>
                    <w:pStyle w:val="19"/>
                    <w:adjustRightInd/>
                    <w:jc w:val="center"/>
                    <w:rPr>
                      <w:rFonts w:hint="eastAsia" w:ascii="宋体" w:hAnsi="宋体" w:cs="宋体"/>
                      <w:sz w:val="24"/>
                      <w:lang w:bidi="ar"/>
                    </w:rPr>
                  </w:pPr>
                  <w:r>
                    <w:rPr>
                      <w:rFonts w:hint="eastAsia" w:ascii="宋体" w:hAnsi="宋体" w:cs="宋体"/>
                      <w:sz w:val="24"/>
                      <w:lang w:bidi="ar"/>
                    </w:rPr>
                    <w:t>0.7%</w:t>
                  </w:r>
                </w:p>
              </w:tc>
            </w:tr>
          </w:tbl>
          <w:p w14:paraId="4D2D123D">
            <w:pPr>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关于本次采购的服务费汇入以下账户：</w:t>
            </w:r>
          </w:p>
          <w:p w14:paraId="4D2D123E">
            <w:pPr>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开户银行： 宁波银行科技支行</w:t>
            </w:r>
          </w:p>
          <w:p w14:paraId="4D2D123F">
            <w:pPr>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账    号： 31010122000005488</w:t>
            </w:r>
          </w:p>
          <w:p w14:paraId="4D2D1240">
            <w:pPr>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户    名： 宁波中基国际招标有限公司</w:t>
            </w:r>
          </w:p>
        </w:tc>
      </w:tr>
      <w:bookmarkEnd w:id="8"/>
    </w:tbl>
    <w:p w14:paraId="4D2D1242">
      <w:pPr>
        <w:rPr>
          <w:rFonts w:hint="eastAsia" w:ascii="宋体" w:hAnsi="宋体" w:cs="宋体"/>
          <w:b/>
          <w:sz w:val="32"/>
          <w:szCs w:val="20"/>
        </w:rPr>
      </w:pPr>
      <w:bookmarkStart w:id="11" w:name="_Toc164416483"/>
      <w:bookmarkStart w:id="12" w:name="第三部分"/>
      <w:r>
        <w:rPr>
          <w:rFonts w:hint="eastAsia" w:ascii="宋体" w:hAnsi="宋体" w:cs="宋体"/>
          <w:b/>
          <w:sz w:val="32"/>
          <w:szCs w:val="20"/>
        </w:rPr>
        <w:br w:type="page"/>
      </w:r>
    </w:p>
    <w:p w14:paraId="4D2D1243">
      <w:pPr>
        <w:adjustRightInd/>
        <w:spacing w:line="360" w:lineRule="auto"/>
        <w:ind w:firstLine="3845" w:firstLineChars="1197"/>
        <w:rPr>
          <w:rFonts w:hint="eastAsia" w:ascii="宋体" w:hAnsi="宋体" w:cs="宋体"/>
          <w:b/>
          <w:sz w:val="32"/>
          <w:szCs w:val="20"/>
        </w:rPr>
      </w:pPr>
      <w:r>
        <w:rPr>
          <w:rFonts w:hint="eastAsia" w:ascii="宋体" w:hAnsi="宋体" w:cs="宋体"/>
          <w:b/>
          <w:sz w:val="32"/>
          <w:szCs w:val="20"/>
        </w:rPr>
        <w:t>一、总则</w:t>
      </w:r>
    </w:p>
    <w:p w14:paraId="4D2D1244">
      <w:pPr>
        <w:snapToGrid w:val="0"/>
        <w:spacing w:line="360" w:lineRule="auto"/>
        <w:ind w:firstLine="361" w:firstLineChars="150"/>
        <w:jc w:val="left"/>
        <w:rPr>
          <w:rFonts w:hint="eastAsia" w:ascii="宋体" w:hAnsi="宋体" w:cs="宋体"/>
          <w:b/>
          <w:sz w:val="24"/>
        </w:rPr>
      </w:pPr>
      <w:r>
        <w:rPr>
          <w:rFonts w:hint="eastAsia" w:ascii="宋体" w:hAnsi="宋体" w:cs="宋体"/>
          <w:b/>
          <w:sz w:val="24"/>
        </w:rPr>
        <w:t>1. 适用范围</w:t>
      </w:r>
    </w:p>
    <w:p w14:paraId="4D2D1245">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4D2D1246">
      <w:pPr>
        <w:adjustRightInd/>
        <w:spacing w:line="360" w:lineRule="auto"/>
        <w:rPr>
          <w:rFonts w:hint="eastAsia" w:ascii="宋体" w:hAnsi="宋体" w:cs="宋体"/>
          <w:b/>
          <w:sz w:val="24"/>
        </w:rPr>
      </w:pPr>
      <w:r>
        <w:rPr>
          <w:rFonts w:hint="eastAsia" w:ascii="宋体" w:hAnsi="宋体" w:cs="宋体"/>
          <w:b/>
          <w:sz w:val="24"/>
        </w:rPr>
        <w:t xml:space="preserve">   2.定义</w:t>
      </w:r>
    </w:p>
    <w:p w14:paraId="4D2D1247">
      <w:pPr>
        <w:spacing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14:paraId="4D2D1248">
      <w:pPr>
        <w:spacing w:line="360" w:lineRule="auto"/>
        <w:ind w:firstLine="480" w:firstLineChars="200"/>
        <w:rPr>
          <w:rFonts w:hint="eastAsia" w:ascii="宋体" w:hAnsi="宋体" w:cs="宋体"/>
          <w:sz w:val="24"/>
        </w:rPr>
      </w:pPr>
      <w:r>
        <w:rPr>
          <w:rFonts w:hint="eastAsia" w:ascii="宋体" w:hAnsi="宋体" w:cs="宋体"/>
          <w:sz w:val="24"/>
        </w:rPr>
        <w:t>2.2 “采购代理机构”系指招标公告中载明的本项目的采购代理机构。</w:t>
      </w:r>
    </w:p>
    <w:p w14:paraId="4D2D1249">
      <w:pPr>
        <w:spacing w:line="360" w:lineRule="auto"/>
        <w:ind w:firstLine="480" w:firstLineChars="200"/>
        <w:rPr>
          <w:rFonts w:hint="eastAsia" w:ascii="宋体" w:hAnsi="宋体" w:cs="宋体"/>
          <w:sz w:val="24"/>
        </w:rPr>
      </w:pPr>
      <w:r>
        <w:rPr>
          <w:rFonts w:hint="eastAsia" w:ascii="宋体" w:hAnsi="宋体" w:cs="宋体"/>
          <w:sz w:val="24"/>
        </w:rPr>
        <w:t>2.3 “投标人”系指是指响应招标、参加投标竞争的法人、其他组织或者自然人。</w:t>
      </w:r>
    </w:p>
    <w:p w14:paraId="4D2D124A">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4D2D124B">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D2D124C">
      <w:pPr>
        <w:spacing w:line="360" w:lineRule="auto"/>
        <w:ind w:firstLine="480" w:firstLineChars="200"/>
        <w:rPr>
          <w:rFonts w:hint="eastAsia" w:ascii="宋体" w:hAnsi="宋体" w:cs="宋体"/>
          <w:sz w:val="24"/>
        </w:rPr>
      </w:pPr>
      <w:r>
        <w:rPr>
          <w:rFonts w:hint="eastAsia" w:ascii="宋体" w:hAnsi="宋体" w:cs="宋体"/>
          <w:sz w:val="24"/>
        </w:rPr>
        <w:t>2.6“电子交易平台”系指本项目政府采购活动所依托的政府采购云平台（https://www.zcygov.cn/）。</w:t>
      </w:r>
    </w:p>
    <w:p w14:paraId="4D2D124D">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4D2D124E">
      <w:pPr>
        <w:spacing w:line="360" w:lineRule="auto"/>
        <w:ind w:firstLine="241" w:firstLineChars="100"/>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4D2D124F">
      <w:pPr>
        <w:spacing w:line="360" w:lineRule="auto"/>
        <w:ind w:firstLine="240" w:firstLineChars="1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4D2D1250">
      <w:pPr>
        <w:spacing w:line="360" w:lineRule="auto"/>
        <w:ind w:firstLine="240" w:firstLineChars="100"/>
        <w:rPr>
          <w:rFonts w:hint="eastAsia" w:ascii="宋体" w:hAnsi="宋体" w:cs="宋体"/>
          <w:sz w:val="24"/>
        </w:rPr>
      </w:pPr>
      <w:r>
        <w:rPr>
          <w:rFonts w:hint="eastAsia" w:ascii="宋体" w:hAnsi="宋体" w:cs="宋体"/>
          <w:sz w:val="24"/>
        </w:rPr>
        <w:t>3.2 支持绿色发展</w:t>
      </w:r>
    </w:p>
    <w:p w14:paraId="4D2D1251">
      <w:pPr>
        <w:spacing w:line="360" w:lineRule="auto"/>
        <w:ind w:firstLine="480" w:firstLineChars="200"/>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4D2D1252">
      <w:pPr>
        <w:spacing w:line="360" w:lineRule="auto"/>
        <w:ind w:firstLine="480" w:firstLineChars="200"/>
        <w:rPr>
          <w:rFonts w:hint="eastAsia"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4D2D1253">
      <w:pPr>
        <w:spacing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D2D1254">
      <w:pPr>
        <w:spacing w:line="360" w:lineRule="auto"/>
        <w:ind w:firstLine="480" w:firstLineChars="200"/>
        <w:rPr>
          <w:rFonts w:hint="eastAsia"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D2D1255">
      <w:pPr>
        <w:spacing w:line="360" w:lineRule="auto"/>
        <w:ind w:firstLine="240" w:firstLineChars="100"/>
        <w:rPr>
          <w:rFonts w:hint="eastAsia" w:ascii="宋体" w:hAnsi="宋体" w:cs="宋体"/>
          <w:sz w:val="24"/>
        </w:rPr>
      </w:pPr>
      <w:r>
        <w:rPr>
          <w:rFonts w:hint="eastAsia" w:ascii="宋体" w:hAnsi="宋体" w:cs="宋体"/>
          <w:sz w:val="24"/>
        </w:rPr>
        <w:t>3.3支持中小企业发展</w:t>
      </w:r>
    </w:p>
    <w:p w14:paraId="4D2D1256">
      <w:pPr>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D2D1257">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4D2D1258">
      <w:pPr>
        <w:widowControl/>
        <w:spacing w:line="360" w:lineRule="auto"/>
        <w:ind w:firstLine="480" w:firstLineChars="200"/>
        <w:jc w:val="left"/>
        <w:rPr>
          <w:rFonts w:hint="eastAsia"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D2D1259">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4D2D125A">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D2D125B">
      <w:pPr>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D2D125C">
      <w:pPr>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D2D125D">
      <w:pPr>
        <w:spacing w:line="360" w:lineRule="auto"/>
        <w:ind w:firstLine="480" w:firstLineChars="200"/>
        <w:rPr>
          <w:rFonts w:hint="eastAsia"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D2D125E">
      <w:pPr>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4D2D125F">
      <w:pPr>
        <w:spacing w:line="360" w:lineRule="auto"/>
        <w:ind w:firstLine="240" w:firstLineChars="1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14:paraId="4D2D1260">
      <w:pPr>
        <w:spacing w:line="360" w:lineRule="auto"/>
        <w:ind w:firstLine="480" w:firstLineChars="200"/>
        <w:rPr>
          <w:rFonts w:hint="eastAsia" w:ascii="宋体" w:hAnsi="宋体" w:cs="宋体"/>
          <w:sz w:val="24"/>
        </w:rPr>
      </w:pPr>
      <w:r>
        <w:rPr>
          <w:rFonts w:hint="eastAsia" w:ascii="宋体" w:hAnsi="宋体" w:cs="宋体"/>
          <w:sz w:val="24"/>
        </w:rPr>
        <w:t>3.4.1 采购人优先采购被认定为首台套产品和“制造精品”的自主创新产品。</w:t>
      </w:r>
    </w:p>
    <w:p w14:paraId="4D2D1261">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4D2D1262">
      <w:pPr>
        <w:spacing w:line="360" w:lineRule="auto"/>
        <w:rPr>
          <w:rFonts w:hint="eastAsia" w:ascii="宋体" w:hAnsi="宋体" w:cs="宋体"/>
          <w:sz w:val="24"/>
        </w:rPr>
      </w:pPr>
      <w:r>
        <w:rPr>
          <w:rFonts w:hint="eastAsia" w:ascii="宋体" w:hAnsi="宋体" w:cs="宋体"/>
          <w:sz w:val="24"/>
        </w:rPr>
        <w:t>3.5平等对待内外资企业和符合条件的破产重整企业</w:t>
      </w:r>
    </w:p>
    <w:p w14:paraId="4D2D1263">
      <w:pPr>
        <w:spacing w:line="360" w:lineRule="auto"/>
        <w:ind w:firstLine="240" w:firstLineChars="100"/>
        <w:rPr>
          <w:rFonts w:hint="eastAsia"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4D2D1264">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D2D1265">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4.2供应商询问</w:t>
      </w:r>
    </w:p>
    <w:p w14:paraId="4D2D1266">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D2D1267">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4.3供应商质疑</w:t>
      </w:r>
    </w:p>
    <w:p w14:paraId="4D2D1268">
      <w:pPr>
        <w:pStyle w:val="32"/>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4D2D1269">
      <w:pPr>
        <w:pStyle w:val="32"/>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D2D126A">
      <w:pPr>
        <w:pStyle w:val="5"/>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4D2D126B">
      <w:pPr>
        <w:pStyle w:val="32"/>
        <w:spacing w:line="360" w:lineRule="auto"/>
        <w:ind w:left="479" w:leftChars="228"/>
        <w:rPr>
          <w:rFonts w:hint="eastAsia"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4D2D126C">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4D2D126D">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　　4.3.3.1供应商的姓名或者名称、地址、邮编、联系人及联系电话；</w:t>
      </w:r>
    </w:p>
    <w:p w14:paraId="4D2D126E">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　　4.3.3.2质疑项目的名称、编号；</w:t>
      </w:r>
    </w:p>
    <w:p w14:paraId="4D2D126F">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　　4.3.3.3具体、明确的质疑事项和与质疑事项相关的请求；</w:t>
      </w:r>
    </w:p>
    <w:p w14:paraId="4D2D1270">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　　4.3.3.4事实依据；</w:t>
      </w:r>
    </w:p>
    <w:p w14:paraId="4D2D1271">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　　4.3.3.5必要的法律依据；</w:t>
      </w:r>
    </w:p>
    <w:p w14:paraId="4D2D1272">
      <w:pPr>
        <w:pStyle w:val="32"/>
        <w:spacing w:line="360" w:lineRule="auto"/>
        <w:ind w:firstLine="960" w:firstLineChars="400"/>
        <w:rPr>
          <w:rFonts w:hint="eastAsia" w:hAnsi="宋体" w:cs="宋体"/>
          <w:kern w:val="0"/>
          <w:sz w:val="24"/>
          <w:lang w:val="zh-CN"/>
        </w:rPr>
      </w:pPr>
      <w:r>
        <w:rPr>
          <w:rFonts w:hint="eastAsia" w:hAnsi="宋体" w:cs="宋体"/>
          <w:kern w:val="0"/>
          <w:sz w:val="24"/>
          <w:lang w:val="zh-CN"/>
        </w:rPr>
        <w:t>4.3.3.6提出质疑的日期。</w:t>
      </w:r>
    </w:p>
    <w:p w14:paraId="4D2D1273">
      <w:pPr>
        <w:pStyle w:val="887"/>
        <w:snapToGrid w:val="0"/>
        <w:spacing w:before="0" w:beforeAutospacing="0" w:after="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D2D1274">
      <w:pPr>
        <w:pStyle w:val="887"/>
        <w:snapToGrid w:val="0"/>
        <w:spacing w:before="0" w:beforeAutospacing="0" w:after="0" w:afterAutospacing="0" w:line="360" w:lineRule="auto"/>
        <w:ind w:firstLine="400"/>
        <w:contextualSpacing/>
        <w:rPr>
          <w:rFonts w:hint="eastAsia"/>
        </w:rPr>
      </w:pPr>
      <w:r>
        <w:rPr>
          <w:rFonts w:hint="eastAsia"/>
        </w:rPr>
        <w:t>质疑函范本及制作说明见附件2。</w:t>
      </w:r>
    </w:p>
    <w:p w14:paraId="4D2D1275">
      <w:pPr>
        <w:pStyle w:val="887"/>
        <w:snapToGrid w:val="0"/>
        <w:spacing w:before="0" w:beforeAutospacing="0" w:after="0" w:afterAutospacing="0" w:line="360" w:lineRule="auto"/>
        <w:ind w:firstLine="400"/>
        <w:contextualSpacing/>
        <w:rPr>
          <w:rFonts w:hint="eastAsia"/>
        </w:rPr>
      </w:pPr>
      <w:r>
        <w:rPr>
          <w:rFonts w:hint="eastAsia"/>
        </w:rPr>
        <w:t>4.3.4对同一采购程序环节的质疑，供应商须在法定质疑期内一次性提出。</w:t>
      </w:r>
    </w:p>
    <w:p w14:paraId="4D2D1276">
      <w:pPr>
        <w:pStyle w:val="887"/>
        <w:snapToGrid w:val="0"/>
        <w:spacing w:before="0" w:beforeAutospacing="0" w:after="0" w:afterAutospacing="0" w:line="360"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rPr>
        <w:t>根据《浙江省财政厅关于进一步加强政府采购公平竞争打造最优营商环境的通知》（浙财采监〔</w:t>
      </w:r>
      <w:r>
        <w:rPr>
          <w:rFonts w:asciiTheme="minorEastAsia" w:hAnsiTheme="minorEastAsia" w:eastAsiaTheme="minorEastAsia"/>
        </w:rPr>
        <w:t>2021〕</w:t>
      </w:r>
      <w:r>
        <w:rPr>
          <w:rFonts w:hint="eastAsia" w:asciiTheme="minorEastAsia" w:hAnsiTheme="minorEastAsia" w:eastAsiaTheme="minorEastAsia"/>
        </w:rPr>
        <w:t>22</w:t>
      </w:r>
      <w:r>
        <w:rPr>
          <w:rFonts w:asciiTheme="minorEastAsia" w:hAnsiTheme="minorEastAsia" w:eastAsiaTheme="minorEastAsia"/>
        </w:rPr>
        <w:t>号）</w:t>
      </w:r>
      <w:r>
        <w:rPr>
          <w:rFonts w:hint="eastAsia"/>
        </w:rPr>
        <w:t>,采购人或者采购代理机构在质疑回复后5个工作日内，在浙江政府采购网的“其他公告”栏目公开质疑答复，答复内容应当完整。质疑函作为附件上传。</w:t>
      </w:r>
    </w:p>
    <w:p w14:paraId="4D2D1277">
      <w:pPr>
        <w:pStyle w:val="887"/>
        <w:snapToGrid w:val="0"/>
        <w:spacing w:before="0" w:beforeAutospacing="0" w:after="0" w:afterAutospacing="0" w:line="360" w:lineRule="auto"/>
        <w:ind w:firstLine="4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4D2D1278">
      <w:pPr>
        <w:pStyle w:val="887"/>
        <w:snapToGrid w:val="0"/>
        <w:spacing w:before="0" w:beforeAutospacing="0" w:after="0" w:afterAutospacing="0" w:line="360" w:lineRule="auto"/>
        <w:ind w:firstLine="480" w:firstLineChars="200"/>
        <w:contextualSpacing/>
        <w:rPr>
          <w:rFonts w:hint="eastAsia"/>
          <w:lang w:val="zh-CN"/>
        </w:rPr>
      </w:pPr>
      <w:r>
        <w:rPr>
          <w:rFonts w:hint="eastAsia"/>
          <w:lang w:val="zh-CN"/>
        </w:rPr>
        <w:t>4.4供应商投诉</w:t>
      </w:r>
    </w:p>
    <w:p w14:paraId="4D2D1279">
      <w:pPr>
        <w:pStyle w:val="887"/>
        <w:snapToGrid w:val="0"/>
        <w:spacing w:before="0" w:beforeAutospacing="0" w:after="0" w:afterAutospacing="0" w:line="360" w:lineRule="auto"/>
        <w:ind w:firstLine="400"/>
        <w:contextualSpacing/>
        <w:rPr>
          <w:rFonts w:hint="eastAsia"/>
        </w:rPr>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4D2D127A">
      <w:pPr>
        <w:pStyle w:val="887"/>
        <w:snapToGrid w:val="0"/>
        <w:spacing w:before="0" w:beforeAutospacing="0" w:after="0" w:afterAutospacing="0" w:line="360" w:lineRule="auto"/>
        <w:ind w:firstLine="4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4D2D127B">
      <w:pPr>
        <w:pStyle w:val="887"/>
        <w:snapToGrid w:val="0"/>
        <w:spacing w:before="0" w:beforeAutospacing="0" w:after="0" w:afterAutospacing="0" w:line="360" w:lineRule="auto"/>
        <w:ind w:firstLine="400"/>
        <w:contextualSpacing/>
        <w:rPr>
          <w:rFonts w:hint="eastAsia"/>
        </w:rPr>
      </w:pPr>
      <w:r>
        <w:rPr>
          <w:rFonts w:hint="eastAsia"/>
        </w:rPr>
        <w:t>4.4.3供应商投诉应当有明确的请求和必要的证明材料。</w:t>
      </w:r>
    </w:p>
    <w:p w14:paraId="4D2D127C">
      <w:pPr>
        <w:pStyle w:val="887"/>
        <w:snapToGrid w:val="0"/>
        <w:spacing w:before="0" w:beforeAutospacing="0" w:after="0" w:afterAutospacing="0" w:line="360" w:lineRule="auto"/>
        <w:ind w:firstLine="400"/>
        <w:contextualSpacing/>
        <w:rPr>
          <w:rFonts w:hint="eastAsia"/>
        </w:rPr>
      </w:pPr>
      <w:r>
        <w:rPr>
          <w:rFonts w:hint="eastAsia"/>
        </w:rPr>
        <w:t>4.4.4以联合体形式参加政府采购活动的，其投诉应当由组成联合体的所有供应商共同提出。</w:t>
      </w:r>
    </w:p>
    <w:p w14:paraId="4D2D127D">
      <w:pPr>
        <w:pStyle w:val="887"/>
        <w:snapToGrid w:val="0"/>
        <w:spacing w:before="0" w:beforeAutospacing="0" w:after="0" w:afterAutospacing="0" w:line="360" w:lineRule="auto"/>
        <w:ind w:firstLine="400"/>
        <w:contextualSpacing/>
        <w:rPr>
          <w:rFonts w:hint="eastAsia"/>
        </w:rPr>
      </w:pPr>
      <w:r>
        <w:rPr>
          <w:rFonts w:hint="eastAsia"/>
        </w:rPr>
        <w:t>4.4.5投诉材料寄送相关信息见《第一部分  招标公告》。</w:t>
      </w:r>
    </w:p>
    <w:p w14:paraId="4D2D127E">
      <w:pPr>
        <w:pStyle w:val="887"/>
        <w:snapToGrid w:val="0"/>
        <w:spacing w:before="0" w:beforeAutospacing="0" w:after="0" w:afterAutospacing="0" w:line="360" w:lineRule="auto"/>
        <w:ind w:firstLine="400"/>
        <w:contextualSpacing/>
        <w:rPr>
          <w:rFonts w:hint="eastAsia"/>
        </w:rPr>
      </w:pPr>
      <w:r>
        <w:rPr>
          <w:rFonts w:hint="eastAsia"/>
        </w:rPr>
        <w:t>投诉书范本及制作说明见附件3。</w:t>
      </w:r>
    </w:p>
    <w:p w14:paraId="4D2D127F">
      <w:pPr>
        <w:pStyle w:val="129"/>
        <w:snapToGrid w:val="0"/>
        <w:spacing w:before="0"/>
        <w:ind w:firstLine="360"/>
        <w:rPr>
          <w:rFonts w:hint="eastAsia" w:ascii="宋体" w:hAnsi="宋体" w:cs="宋体"/>
          <w:sz w:val="18"/>
          <w:szCs w:val="18"/>
        </w:rPr>
      </w:pPr>
    </w:p>
    <w:p w14:paraId="4D2D1280">
      <w:pPr>
        <w:adjustRightInd/>
        <w:spacing w:line="360" w:lineRule="auto"/>
        <w:jc w:val="center"/>
        <w:rPr>
          <w:rFonts w:hint="eastAsia" w:ascii="宋体" w:hAnsi="宋体" w:cs="宋体"/>
          <w:b/>
          <w:sz w:val="32"/>
          <w:szCs w:val="20"/>
        </w:rPr>
      </w:pPr>
      <w:r>
        <w:rPr>
          <w:rFonts w:hint="eastAsia" w:ascii="宋体" w:hAnsi="宋体" w:cs="宋体"/>
          <w:b/>
          <w:sz w:val="32"/>
          <w:szCs w:val="20"/>
        </w:rPr>
        <w:t>二、招标文件的构成、澄清、修改</w:t>
      </w:r>
    </w:p>
    <w:p w14:paraId="4D2D1281">
      <w:pPr>
        <w:pStyle w:val="32"/>
        <w:spacing w:line="360" w:lineRule="auto"/>
        <w:rPr>
          <w:rFonts w:hint="eastAsia" w:hAnsi="宋体" w:cs="宋体"/>
          <w:b/>
          <w:sz w:val="24"/>
          <w:szCs w:val="24"/>
        </w:rPr>
      </w:pPr>
      <w:r>
        <w:rPr>
          <w:rFonts w:hint="eastAsia" w:hAnsi="宋体" w:cs="宋体"/>
          <w:b/>
          <w:sz w:val="24"/>
          <w:szCs w:val="24"/>
        </w:rPr>
        <w:t>5．招标文件的构成</w:t>
      </w:r>
    </w:p>
    <w:p w14:paraId="4D2D1282">
      <w:pPr>
        <w:pStyle w:val="32"/>
        <w:spacing w:line="360" w:lineRule="auto"/>
        <w:ind w:firstLine="480" w:firstLineChars="200"/>
        <w:rPr>
          <w:rFonts w:hint="eastAsia" w:hAnsi="宋体" w:cs="宋体"/>
          <w:sz w:val="24"/>
          <w:szCs w:val="24"/>
        </w:rPr>
      </w:pPr>
      <w:r>
        <w:rPr>
          <w:rFonts w:hint="eastAsia" w:hAnsi="宋体" w:cs="宋体"/>
          <w:sz w:val="24"/>
          <w:szCs w:val="24"/>
        </w:rPr>
        <w:t>5.1 招标文件包括下列文件及附件：</w:t>
      </w:r>
    </w:p>
    <w:p w14:paraId="4D2D1283">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5.1.1招标公告；</w:t>
      </w:r>
    </w:p>
    <w:p w14:paraId="4D2D1284">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5.1.2投标人须知；</w:t>
      </w:r>
    </w:p>
    <w:p w14:paraId="4D2D1285">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14:paraId="4D2D1286">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5.1.4评标办法；</w:t>
      </w:r>
    </w:p>
    <w:p w14:paraId="4D2D1287">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14:paraId="4D2D1288">
      <w:pPr>
        <w:pStyle w:val="32"/>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4D2D1289">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4D2D128A">
      <w:pPr>
        <w:pStyle w:val="32"/>
        <w:spacing w:line="360" w:lineRule="auto"/>
        <w:rPr>
          <w:rFonts w:hint="eastAsia" w:hAnsi="宋体" w:cs="宋体"/>
          <w:b/>
          <w:sz w:val="24"/>
          <w:szCs w:val="24"/>
        </w:rPr>
      </w:pPr>
      <w:r>
        <w:rPr>
          <w:rFonts w:hint="eastAsia" w:hAnsi="宋体" w:cs="宋体"/>
          <w:b/>
          <w:sz w:val="24"/>
          <w:szCs w:val="24"/>
        </w:rPr>
        <w:t>6. 招标文件的澄清、修改</w:t>
      </w:r>
    </w:p>
    <w:p w14:paraId="4D2D128B">
      <w:pPr>
        <w:pStyle w:val="129"/>
        <w:snapToGrid w:val="0"/>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4D2D128C">
      <w:pPr>
        <w:pStyle w:val="129"/>
        <w:snapToGrid w:val="0"/>
        <w:spacing w:before="0"/>
        <w:ind w:firstLine="480"/>
        <w:rPr>
          <w:rFonts w:hint="eastAsia"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D2D128D">
      <w:pPr>
        <w:adjustRightInd/>
        <w:spacing w:line="360" w:lineRule="auto"/>
        <w:jc w:val="center"/>
        <w:rPr>
          <w:rFonts w:hint="eastAsia" w:ascii="宋体" w:hAnsi="宋体" w:cs="宋体"/>
          <w:b/>
          <w:sz w:val="30"/>
          <w:szCs w:val="20"/>
        </w:rPr>
      </w:pPr>
      <w:r>
        <w:rPr>
          <w:rFonts w:hint="eastAsia" w:ascii="宋体" w:hAnsi="宋体" w:cs="宋体"/>
          <w:b/>
          <w:sz w:val="30"/>
          <w:szCs w:val="20"/>
        </w:rPr>
        <w:t>三、投标</w:t>
      </w:r>
    </w:p>
    <w:p w14:paraId="4D2D128E">
      <w:pPr>
        <w:pStyle w:val="32"/>
        <w:spacing w:line="360" w:lineRule="auto"/>
        <w:rPr>
          <w:rFonts w:hint="eastAsia" w:hAnsi="宋体" w:cs="宋体"/>
          <w:b/>
          <w:sz w:val="24"/>
          <w:szCs w:val="24"/>
        </w:rPr>
      </w:pPr>
      <w:r>
        <w:rPr>
          <w:rFonts w:hint="eastAsia" w:hAnsi="宋体" w:cs="宋体"/>
          <w:b/>
          <w:sz w:val="24"/>
          <w:szCs w:val="24"/>
        </w:rPr>
        <w:t>7. 招标文件的获取</w:t>
      </w:r>
    </w:p>
    <w:p w14:paraId="4D2D128F">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见招标公告中获取招标文件的时间期限、地点、方式及招标文件售价。</w:t>
      </w:r>
    </w:p>
    <w:p w14:paraId="4D2D1290">
      <w:pPr>
        <w:pStyle w:val="32"/>
        <w:spacing w:line="360" w:lineRule="auto"/>
        <w:rPr>
          <w:rFonts w:hint="eastAsia" w:hAnsi="宋体" w:cs="宋体"/>
          <w:b/>
          <w:sz w:val="24"/>
          <w:szCs w:val="24"/>
        </w:rPr>
      </w:pPr>
      <w:r>
        <w:rPr>
          <w:rFonts w:hint="eastAsia" w:hAnsi="宋体" w:cs="宋体"/>
          <w:b/>
          <w:sz w:val="24"/>
          <w:szCs w:val="24"/>
        </w:rPr>
        <w:t>8.开标前答疑会或现场考察</w:t>
      </w:r>
    </w:p>
    <w:p w14:paraId="4D2D1291">
      <w:pPr>
        <w:pStyle w:val="32"/>
        <w:spacing w:line="360" w:lineRule="auto"/>
        <w:ind w:firstLine="480" w:firstLineChars="200"/>
        <w:rPr>
          <w:rFonts w:hint="eastAsia"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4D2D1292">
      <w:pPr>
        <w:pStyle w:val="32"/>
        <w:spacing w:line="360" w:lineRule="auto"/>
        <w:rPr>
          <w:rFonts w:hint="eastAsia" w:hAnsi="宋体" w:cs="宋体"/>
          <w:b/>
          <w:szCs w:val="24"/>
        </w:rPr>
      </w:pPr>
      <w:r>
        <w:rPr>
          <w:rFonts w:hint="eastAsia" w:hAnsi="宋体" w:cs="宋体"/>
          <w:b/>
          <w:kern w:val="28"/>
          <w:sz w:val="24"/>
          <w:szCs w:val="24"/>
        </w:rPr>
        <w:t>9.投标保证金</w:t>
      </w:r>
    </w:p>
    <w:p w14:paraId="4D2D1293">
      <w:pPr>
        <w:pStyle w:val="5"/>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4D2D1294">
      <w:pPr>
        <w:pStyle w:val="32"/>
        <w:spacing w:line="360" w:lineRule="auto"/>
        <w:rPr>
          <w:rFonts w:hint="eastAsia" w:hAnsi="宋体" w:cs="宋体"/>
          <w:b/>
          <w:sz w:val="24"/>
          <w:szCs w:val="24"/>
        </w:rPr>
      </w:pPr>
      <w:r>
        <w:rPr>
          <w:rFonts w:hint="eastAsia" w:hAnsi="宋体" w:cs="宋体"/>
          <w:b/>
          <w:sz w:val="24"/>
          <w:szCs w:val="24"/>
        </w:rPr>
        <w:t>10. 投标文件的语言</w:t>
      </w:r>
    </w:p>
    <w:p w14:paraId="4D2D1295">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14:paraId="4D2D1296">
      <w:pPr>
        <w:pStyle w:val="32"/>
        <w:spacing w:line="360" w:lineRule="auto"/>
        <w:rPr>
          <w:rFonts w:hint="eastAsia" w:hAnsi="宋体" w:cs="宋体"/>
          <w:b/>
          <w:sz w:val="24"/>
          <w:szCs w:val="24"/>
        </w:rPr>
      </w:pPr>
      <w:r>
        <w:rPr>
          <w:rFonts w:hint="eastAsia" w:hAnsi="宋体" w:cs="宋体"/>
          <w:b/>
          <w:sz w:val="24"/>
          <w:szCs w:val="24"/>
        </w:rPr>
        <w:t>11. 投标文件的组成</w:t>
      </w:r>
    </w:p>
    <w:p w14:paraId="4D2D1297">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D2D1298">
      <w:pPr>
        <w:snapToGrid w:val="0"/>
        <w:spacing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14:paraId="4D2D1299">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4D2D129A">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D2D129B">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4D2D129C">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D2D129D">
      <w:pPr>
        <w:snapToGrid w:val="0"/>
        <w:spacing w:line="360" w:lineRule="auto"/>
        <w:ind w:firstLine="960" w:firstLineChars="400"/>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4D2D129E">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4D2D129F">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4D2D12A0">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4D2D12A1">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4D2D12A2">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商务技术偏离表；</w:t>
      </w:r>
    </w:p>
    <w:p w14:paraId="4D2D12A3">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4D2D12A4">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4D2D12A5">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11.3.1开标一览表（报价表）、投标分项报价表；</w:t>
      </w:r>
    </w:p>
    <w:p w14:paraId="4D2D12A6">
      <w:pPr>
        <w:snapToGrid w:val="0"/>
        <w:spacing w:line="360" w:lineRule="auto"/>
        <w:ind w:firstLine="960" w:firstLineChars="400"/>
        <w:rPr>
          <w:rFonts w:hint="eastAsia" w:ascii="宋体" w:hAnsi="宋体" w:cs="宋体"/>
          <w:sz w:val="24"/>
        </w:rPr>
      </w:pPr>
      <w:r>
        <w:rPr>
          <w:rFonts w:hint="eastAsia" w:ascii="宋体" w:hAnsi="宋体" w:cs="宋体"/>
          <w:sz w:val="24"/>
        </w:rPr>
        <w:t>11.3.2报价情况说明(如供应商报价低于项目预算50%的，应当提交本文档，详细阐述不影响产品质量或者诚信履约的具体原因。</w:t>
      </w:r>
    </w:p>
    <w:p w14:paraId="4D2D12A7">
      <w:pPr>
        <w:spacing w:line="360" w:lineRule="auto"/>
        <w:ind w:firstLine="723" w:firstLineChars="300"/>
        <w:rPr>
          <w:rFonts w:hint="eastAsia" w:ascii="宋体" w:hAnsi="宋体" w:cs="宋体"/>
          <w:b/>
          <w:sz w:val="24"/>
        </w:rPr>
      </w:pPr>
      <w:r>
        <w:rPr>
          <w:rFonts w:hint="eastAsia" w:ascii="宋体" w:hAnsi="宋体" w:cs="宋体"/>
          <w:b/>
          <w:sz w:val="24"/>
        </w:rPr>
        <w:t>投标文件含有采购人不能接受的附加条件的，投标无效；</w:t>
      </w:r>
    </w:p>
    <w:p w14:paraId="4D2D12A8">
      <w:pPr>
        <w:spacing w:line="360" w:lineRule="auto"/>
        <w:ind w:firstLine="723" w:firstLineChars="300"/>
        <w:rPr>
          <w:rFonts w:hint="eastAsia" w:ascii="宋体" w:hAnsi="宋体" w:cs="宋体"/>
          <w:b/>
          <w:sz w:val="24"/>
          <w:szCs w:val="21"/>
        </w:rPr>
      </w:pPr>
      <w:r>
        <w:rPr>
          <w:rFonts w:hint="eastAsia" w:ascii="宋体" w:hAnsi="宋体" w:cs="宋体"/>
          <w:b/>
          <w:sz w:val="24"/>
        </w:rPr>
        <w:t>投标人提供虚假材料投标的，投标无效。注：投标人可事先在公开官网查询、核对相关证书和报告内容，确保投标（响应）文件资料准确无误。投标人应对投标文件中材料的真实性、合法性负责。</w:t>
      </w:r>
    </w:p>
    <w:p w14:paraId="4D2D12A9">
      <w:pPr>
        <w:pStyle w:val="129"/>
        <w:snapToGrid w:val="0"/>
        <w:spacing w:before="0"/>
        <w:ind w:firstLine="0" w:firstLineChars="0"/>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4D2D12AA">
      <w:pPr>
        <w:spacing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D2D12AB">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D2D12AC">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D2D12AD">
      <w:pPr>
        <w:snapToGrid w:val="0"/>
        <w:spacing w:line="360" w:lineRule="auto"/>
        <w:rPr>
          <w:rFonts w:hint="eastAsia" w:ascii="宋体" w:hAnsi="宋体" w:cs="宋体"/>
          <w:b/>
          <w:sz w:val="24"/>
        </w:rPr>
      </w:pPr>
      <w:r>
        <w:rPr>
          <w:rFonts w:hint="eastAsia" w:ascii="宋体" w:hAnsi="宋体" w:cs="宋体"/>
          <w:b/>
          <w:sz w:val="24"/>
        </w:rPr>
        <w:t>13.投标文件的签署、盖章</w:t>
      </w:r>
    </w:p>
    <w:p w14:paraId="4D2D12AE">
      <w:pPr>
        <w:pStyle w:val="129"/>
        <w:snapToGrid w:val="0"/>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D2D12AF">
      <w:pPr>
        <w:pStyle w:val="129"/>
        <w:snapToGrid w:val="0"/>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4D2D12B0">
      <w:pPr>
        <w:pStyle w:val="129"/>
        <w:snapToGrid w:val="0"/>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4D2D12B1">
      <w:pPr>
        <w:pStyle w:val="129"/>
        <w:spacing w:before="0"/>
        <w:ind w:firstLine="0" w:firstLineChars="0"/>
        <w:rPr>
          <w:rFonts w:hint="eastAsia" w:ascii="宋体" w:hAnsi="宋体" w:cs="宋体"/>
          <w:b/>
          <w:szCs w:val="24"/>
        </w:rPr>
      </w:pPr>
      <w:r>
        <w:rPr>
          <w:rFonts w:hint="eastAsia" w:ascii="宋体" w:hAnsi="宋体" w:cs="宋体"/>
          <w:b/>
          <w:szCs w:val="24"/>
        </w:rPr>
        <w:t>14. 投标文件的提交、补充、修改、撤回</w:t>
      </w:r>
    </w:p>
    <w:p w14:paraId="4D2D12B2">
      <w:pPr>
        <w:pStyle w:val="129"/>
        <w:spacing w:before="0"/>
        <w:ind w:firstLine="480"/>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D2D12B3">
      <w:pPr>
        <w:pStyle w:val="129"/>
        <w:spacing w:before="0"/>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D2D12B4">
      <w:pPr>
        <w:pStyle w:val="129"/>
        <w:spacing w:before="0"/>
        <w:ind w:firstLine="480"/>
        <w:rPr>
          <w:rFonts w:hint="eastAsia"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4D2D12B5">
      <w:pPr>
        <w:pStyle w:val="32"/>
        <w:spacing w:line="360" w:lineRule="auto"/>
        <w:rPr>
          <w:rFonts w:hint="eastAsia" w:hAnsi="宋体" w:cs="宋体"/>
          <w:b/>
          <w:sz w:val="24"/>
          <w:szCs w:val="24"/>
        </w:rPr>
      </w:pPr>
      <w:r>
        <w:rPr>
          <w:rFonts w:hint="eastAsia" w:hAnsi="宋体" w:cs="宋体"/>
          <w:b/>
          <w:sz w:val="24"/>
          <w:szCs w:val="24"/>
        </w:rPr>
        <w:t>15.备份投标文件（文件后缀为：bfbs）</w:t>
      </w:r>
    </w:p>
    <w:p w14:paraId="4D2D12B6">
      <w:pPr>
        <w:pStyle w:val="32"/>
        <w:spacing w:line="360" w:lineRule="auto"/>
        <w:ind w:firstLine="360" w:firstLineChars="150"/>
        <w:rPr>
          <w:rFonts w:hint="eastAsia" w:hAnsi="宋体" w:cs="宋体"/>
          <w:b/>
          <w:sz w:val="24"/>
          <w:szCs w:val="24"/>
        </w:rPr>
      </w:pPr>
      <w:r>
        <w:rPr>
          <w:rFonts w:hint="eastAsia" w:hAnsi="宋体" w:cs="宋体"/>
          <w:sz w:val="24"/>
          <w:szCs w:val="24"/>
        </w:rPr>
        <w:t>15.1投标人在电子交易平台传输递交投标文件后，还可以在投标截止时间前直接提交或者以快递方式递交备份投标文件1份，</w:t>
      </w:r>
      <w:r>
        <w:rPr>
          <w:rFonts w:hint="eastAsia" w:hAnsi="宋体" w:cs="宋体"/>
          <w:b/>
          <w:sz w:val="24"/>
          <w:szCs w:val="24"/>
        </w:rPr>
        <w:t>但采购人、采购代理机构不强制或变相强制投标人提交备份投标文件。</w:t>
      </w:r>
    </w:p>
    <w:p w14:paraId="4D2D12B7">
      <w:pPr>
        <w:pStyle w:val="32"/>
        <w:spacing w:line="360" w:lineRule="auto"/>
        <w:ind w:firstLine="480" w:firstLineChars="200"/>
        <w:rPr>
          <w:rFonts w:hint="eastAsia"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U盘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4D2D12B8">
      <w:pPr>
        <w:pStyle w:val="32"/>
        <w:spacing w:line="360" w:lineRule="auto"/>
        <w:ind w:firstLine="480" w:firstLineChars="200"/>
        <w:rPr>
          <w:rFonts w:hint="eastAsia" w:hAnsi="宋体" w:cs="宋体"/>
          <w:sz w:val="24"/>
          <w:szCs w:val="24"/>
        </w:rPr>
      </w:pPr>
      <w:r>
        <w:rPr>
          <w:rFonts w:hint="eastAsia" w:hAnsi="宋体" w:cs="宋体"/>
          <w:sz w:val="24"/>
          <w:szCs w:val="24"/>
        </w:rPr>
        <w:t>15.3直接提交备份投标文件的，投标人应于投标截止时间前在</w:t>
      </w:r>
      <w:r>
        <w:rPr>
          <w:rFonts w:hint="eastAsia" w:hAnsi="宋体" w:cs="宋体"/>
          <w:snapToGrid/>
          <w:sz w:val="24"/>
          <w:szCs w:val="24"/>
        </w:rPr>
        <w:t>招标文件第二部分投标人须知前附表规定的备份投标文件送达地点</w:t>
      </w:r>
      <w:r>
        <w:rPr>
          <w:rFonts w:hint="eastAsia" w:hAnsi="宋体" w:cs="宋体"/>
          <w:sz w:val="24"/>
          <w:szCs w:val="24"/>
        </w:rPr>
        <w:t>将备份投标文件提交给采购代理机构，采购代理机构将拒绝接受逾期送达的备份投标文件。</w:t>
      </w:r>
    </w:p>
    <w:p w14:paraId="4D2D12B9">
      <w:pPr>
        <w:pStyle w:val="32"/>
        <w:spacing w:line="360" w:lineRule="auto"/>
        <w:ind w:firstLine="480" w:firstLineChars="200"/>
        <w:rPr>
          <w:rFonts w:hint="eastAsia" w:hAnsi="宋体" w:cs="宋体"/>
          <w:sz w:val="24"/>
          <w:szCs w:val="24"/>
        </w:rPr>
      </w:pPr>
      <w:r>
        <w:rPr>
          <w:rFonts w:hint="eastAsia" w:hAnsi="宋体" w:cs="宋体"/>
          <w:sz w:val="24"/>
          <w:szCs w:val="24"/>
        </w:rPr>
        <w:t>15.4以快递方式递交备份投标文件的，投标人应先将备份投标文件按要求密封和标记，再进行快递包装后邮寄。备份投标文件须在</w:t>
      </w:r>
      <w:r>
        <w:rPr>
          <w:rFonts w:hint="eastAsia" w:hAnsi="宋体" w:cs="宋体"/>
          <w:snapToGrid/>
          <w:sz w:val="24"/>
          <w:szCs w:val="24"/>
        </w:rPr>
        <w:t>第二部分投标人须知前附表规定的备份投标文件送达</w:t>
      </w:r>
      <w:r>
        <w:rPr>
          <w:rFonts w:hint="eastAsia" w:hAnsi="宋体" w:cs="宋体"/>
          <w:sz w:val="24"/>
          <w:szCs w:val="24"/>
        </w:rPr>
        <w:t>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4D2D12BA">
      <w:pPr>
        <w:pStyle w:val="32"/>
        <w:spacing w:line="360" w:lineRule="auto"/>
        <w:ind w:firstLine="479" w:firstLineChars="199"/>
        <w:rPr>
          <w:rFonts w:hint="eastAsia" w:hAnsi="宋体" w:cs="宋体"/>
          <w:b/>
          <w:sz w:val="24"/>
          <w:szCs w:val="24"/>
        </w:rPr>
      </w:pPr>
      <w:r>
        <w:rPr>
          <w:rFonts w:hint="eastAsia" w:hAnsi="宋体" w:cs="宋体"/>
          <w:b/>
          <w:sz w:val="24"/>
          <w:szCs w:val="24"/>
        </w:rPr>
        <w:t>15.5投标人仅提交备份投标文件，未在电子交易平台传输递交投标文件的，投标无效。</w:t>
      </w:r>
    </w:p>
    <w:p w14:paraId="4D2D12BB">
      <w:pPr>
        <w:pStyle w:val="129"/>
        <w:spacing w:before="0"/>
        <w:ind w:firstLine="0" w:firstLineChars="0"/>
        <w:rPr>
          <w:rFonts w:hint="eastAsia" w:ascii="宋体" w:hAnsi="宋体" w:cs="宋体"/>
          <w:b/>
          <w:szCs w:val="24"/>
        </w:rPr>
      </w:pPr>
      <w:r>
        <w:rPr>
          <w:rFonts w:hint="eastAsia" w:ascii="宋体" w:hAnsi="宋体" w:cs="宋体"/>
          <w:b/>
          <w:szCs w:val="24"/>
        </w:rPr>
        <w:t>16.投标文件的无效处理</w:t>
      </w:r>
    </w:p>
    <w:p w14:paraId="4D2D12BC">
      <w:pPr>
        <w:pStyle w:val="24"/>
        <w:spacing w:line="360" w:lineRule="auto"/>
        <w:ind w:firstLine="360" w:firstLineChars="150"/>
        <w:rPr>
          <w:rFonts w:hint="eastAsia"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4D2D12BD">
      <w:pPr>
        <w:pStyle w:val="129"/>
        <w:spacing w:before="0"/>
        <w:ind w:firstLine="0" w:firstLineChars="0"/>
        <w:rPr>
          <w:rFonts w:hint="eastAsia" w:ascii="宋体" w:hAnsi="宋体" w:cs="宋体"/>
          <w:b/>
          <w:szCs w:val="24"/>
        </w:rPr>
      </w:pPr>
      <w:r>
        <w:rPr>
          <w:rFonts w:hint="eastAsia" w:ascii="宋体" w:hAnsi="宋体" w:cs="宋体"/>
          <w:b/>
          <w:szCs w:val="24"/>
        </w:rPr>
        <w:t>17.投标有效期</w:t>
      </w:r>
    </w:p>
    <w:p w14:paraId="4D2D12BE">
      <w:pPr>
        <w:spacing w:line="360" w:lineRule="auto"/>
        <w:ind w:firstLine="480" w:firstLineChars="200"/>
        <w:rPr>
          <w:rFonts w:hint="eastAsia"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4D2D12BF">
      <w:pPr>
        <w:pStyle w:val="129"/>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4D2D12C0">
      <w:pPr>
        <w:pStyle w:val="129"/>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4D2D12C1">
      <w:pPr>
        <w:pStyle w:val="129"/>
        <w:spacing w:before="0"/>
        <w:ind w:firstLine="1928" w:firstLineChars="600"/>
        <w:rPr>
          <w:rFonts w:hint="eastAsia" w:ascii="宋体" w:hAnsi="宋体" w:cs="宋体"/>
          <w:b/>
          <w:sz w:val="32"/>
        </w:rPr>
      </w:pPr>
      <w:r>
        <w:rPr>
          <w:rFonts w:hint="eastAsia" w:ascii="宋体" w:hAnsi="宋体" w:cs="宋体"/>
          <w:b/>
          <w:sz w:val="32"/>
        </w:rPr>
        <w:t>四、开标、资格审查与信用信息查询</w:t>
      </w:r>
    </w:p>
    <w:p w14:paraId="4D2D12C2">
      <w:pPr>
        <w:pStyle w:val="555"/>
        <w:spacing w:before="0" w:line="360" w:lineRule="auto"/>
        <w:ind w:left="0" w:firstLine="241" w:firstLineChars="100"/>
        <w:contextualSpacing/>
        <w:rPr>
          <w:rFonts w:hint="eastAsia"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4D2D12C3">
      <w:pPr>
        <w:pStyle w:val="555"/>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4D2D12C4">
      <w:pPr>
        <w:pStyle w:val="555"/>
        <w:spacing w:before="0" w:line="360" w:lineRule="auto"/>
        <w:ind w:left="0" w:firstLine="480" w:firstLineChars="200"/>
        <w:contextualSpacing/>
        <w:rPr>
          <w:rFonts w:hint="eastAsia" w:ascii="宋体" w:hAnsi="宋体" w:cs="宋体"/>
          <w:sz w:val="24"/>
        </w:rPr>
      </w:pPr>
      <w:r>
        <w:rPr>
          <w:rFonts w:hint="eastAsia" w:ascii="宋体" w:hAnsi="宋体" w:cs="宋体"/>
          <w:sz w:val="24"/>
        </w:rPr>
        <w:t>18.2开标时，电子交易平台按开标时间自动提取所有投标文件。采购代理机构依托电子交易平台发起开始解密指令，投标人按照平台提示和招标文件的规定在半小时内完成在线解密。</w:t>
      </w:r>
    </w:p>
    <w:p w14:paraId="4D2D12C5">
      <w:pPr>
        <w:pStyle w:val="555"/>
        <w:spacing w:before="0" w:line="360" w:lineRule="auto"/>
        <w:ind w:left="0" w:firstLine="480" w:firstLineChars="200"/>
        <w:contextualSpacing/>
        <w:rPr>
          <w:rFonts w:hint="eastAsia" w:ascii="宋体" w:hAnsi="宋体" w:cs="宋体"/>
          <w:sz w:val="24"/>
        </w:rPr>
      </w:pPr>
      <w:r>
        <w:rPr>
          <w:rFonts w:hint="eastAsia" w:ascii="宋体" w:hAnsi="宋体" w:cs="宋体"/>
          <w:sz w:val="24"/>
        </w:rPr>
        <w:t>18.2.1具体开标程序：</w:t>
      </w:r>
    </w:p>
    <w:p w14:paraId="4D2D12C6">
      <w:pPr>
        <w:pStyle w:val="555"/>
        <w:spacing w:before="0" w:line="360" w:lineRule="auto"/>
        <w:ind w:left="0" w:firstLine="480" w:firstLineChars="200"/>
        <w:contextualSpacing/>
        <w:rPr>
          <w:rFonts w:hint="eastAsia" w:ascii="宋体" w:hAnsi="宋体" w:cs="宋体"/>
          <w:sz w:val="24"/>
        </w:rPr>
      </w:pPr>
      <w:r>
        <w:rPr>
          <w:rFonts w:hint="eastAsia" w:ascii="宋体" w:hAnsi="宋体" w:cs="宋体"/>
          <w:sz w:val="24"/>
        </w:rPr>
        <w:t>第一阶段：</w:t>
      </w:r>
    </w:p>
    <w:p w14:paraId="4D2D12C7">
      <w:pPr>
        <w:pStyle w:val="555"/>
        <w:spacing w:before="0" w:line="360" w:lineRule="auto"/>
        <w:ind w:left="0" w:firstLine="480" w:firstLineChars="200"/>
        <w:contextualSpacing/>
        <w:rPr>
          <w:rFonts w:hint="eastAsia" w:ascii="宋体" w:hAnsi="宋体" w:cs="宋体"/>
          <w:sz w:val="24"/>
        </w:rPr>
      </w:pPr>
      <w:r>
        <w:rPr>
          <w:rFonts w:hint="eastAsia" w:ascii="宋体" w:hAnsi="宋体" w:cs="宋体"/>
          <w:sz w:val="24"/>
        </w:rPr>
        <w:t>（1）投标截止时间后，供应商登录政府采购云平台，用“项目采购-开标评标”功能对电子投标文件进行在线解密，在线解密电子投标文件时间为开标时间后30分钟内。</w:t>
      </w:r>
    </w:p>
    <w:p w14:paraId="4D2D12C8">
      <w:pPr>
        <w:pStyle w:val="555"/>
        <w:spacing w:before="0" w:line="360" w:lineRule="auto"/>
        <w:ind w:left="0" w:firstLine="480" w:firstLineChars="200"/>
        <w:contextualSpacing/>
        <w:rPr>
          <w:rFonts w:hint="eastAsia" w:ascii="宋体" w:hAnsi="宋体" w:cs="宋体"/>
          <w:sz w:val="24"/>
        </w:rPr>
      </w:pPr>
      <w:r>
        <w:rPr>
          <w:rFonts w:hint="eastAsia" w:ascii="宋体" w:hAnsi="宋体" w:cs="宋体"/>
          <w:sz w:val="24"/>
        </w:rPr>
        <w:t>（2）在政府采购云平台开启已解密供应商的“资格文件、商务技术文件”，并做开标记录；</w:t>
      </w:r>
    </w:p>
    <w:p w14:paraId="4D2D12C9">
      <w:pPr>
        <w:pStyle w:val="555"/>
        <w:spacing w:before="0" w:line="360" w:lineRule="auto"/>
        <w:ind w:left="0" w:firstLine="480" w:firstLineChars="200"/>
        <w:contextualSpacing/>
        <w:rPr>
          <w:rFonts w:hint="eastAsia" w:ascii="宋体" w:hAnsi="宋体" w:cs="宋体"/>
          <w:sz w:val="24"/>
        </w:rPr>
      </w:pPr>
      <w:r>
        <w:rPr>
          <w:rFonts w:hint="eastAsia" w:ascii="宋体" w:hAnsi="宋体" w:cs="宋体"/>
          <w:sz w:val="24"/>
        </w:rPr>
        <w:t>第二阶段：</w:t>
      </w:r>
    </w:p>
    <w:p w14:paraId="4D2D12CA">
      <w:pPr>
        <w:pStyle w:val="555"/>
        <w:spacing w:before="0" w:line="360" w:lineRule="auto"/>
        <w:ind w:left="0" w:firstLine="480" w:firstLineChars="200"/>
        <w:contextualSpacing/>
        <w:rPr>
          <w:rFonts w:hint="eastAsia" w:ascii="宋体" w:hAnsi="宋体" w:cs="宋体"/>
          <w:sz w:val="24"/>
        </w:rPr>
      </w:pPr>
      <w:r>
        <w:rPr>
          <w:rFonts w:hint="eastAsia" w:ascii="宋体" w:hAnsi="宋体" w:cs="宋体"/>
          <w:sz w:val="24"/>
        </w:rPr>
        <w:t>（1）在政府采购云平台宣告第一阶段评审无效供应商名单及理由；</w:t>
      </w:r>
    </w:p>
    <w:p w14:paraId="4D2D12CB">
      <w:pPr>
        <w:pStyle w:val="555"/>
        <w:spacing w:before="0" w:line="360" w:lineRule="auto"/>
        <w:ind w:left="0" w:firstLine="480" w:firstLineChars="200"/>
        <w:contextualSpacing/>
        <w:rPr>
          <w:rFonts w:hint="eastAsia" w:ascii="宋体" w:hAnsi="宋体" w:cs="宋体"/>
          <w:sz w:val="24"/>
        </w:rPr>
      </w:pPr>
      <w:r>
        <w:rPr>
          <w:rFonts w:hint="eastAsia" w:ascii="宋体" w:hAnsi="宋体" w:cs="宋体"/>
          <w:sz w:val="24"/>
        </w:rPr>
        <w:t>（2）公布经第一阶段评审符合招标文件要求的供应商的商务技术得分情况；</w:t>
      </w:r>
    </w:p>
    <w:p w14:paraId="4D2D12CC">
      <w:pPr>
        <w:pStyle w:val="555"/>
        <w:spacing w:before="0" w:line="360" w:lineRule="auto"/>
        <w:ind w:left="0" w:firstLine="480" w:firstLineChars="200"/>
        <w:contextualSpacing/>
        <w:rPr>
          <w:rFonts w:hint="eastAsia" w:ascii="宋体" w:hAnsi="宋体" w:cs="宋体"/>
          <w:sz w:val="24"/>
        </w:rPr>
      </w:pPr>
      <w:r>
        <w:rPr>
          <w:rFonts w:hint="eastAsia" w:ascii="宋体" w:hAnsi="宋体" w:cs="宋体"/>
          <w:sz w:val="24"/>
        </w:rPr>
        <w:t>（3）在政府采购云平台开启除第一阶段无效标外的供应商的“报价文件”，并做开标记录；</w:t>
      </w:r>
    </w:p>
    <w:p w14:paraId="4D2D12CD">
      <w:pPr>
        <w:pStyle w:val="555"/>
        <w:spacing w:before="0" w:line="360" w:lineRule="auto"/>
        <w:ind w:left="0" w:firstLine="480" w:firstLineChars="200"/>
        <w:contextualSpacing/>
        <w:rPr>
          <w:rFonts w:hint="eastAsia" w:ascii="宋体" w:hAnsi="宋体" w:cs="宋体"/>
          <w:sz w:val="24"/>
        </w:rPr>
      </w:pPr>
      <w:r>
        <w:rPr>
          <w:rFonts w:hint="eastAsia" w:ascii="宋体" w:hAnsi="宋体" w:cs="宋体"/>
          <w:sz w:val="24"/>
        </w:rPr>
        <w:t>（4）在政府采购云平台公布评审结果。</w:t>
      </w:r>
    </w:p>
    <w:p w14:paraId="4D2D12CE">
      <w:pPr>
        <w:pStyle w:val="555"/>
        <w:spacing w:before="0" w:line="360" w:lineRule="auto"/>
        <w:ind w:left="0" w:firstLine="480" w:firstLineChars="200"/>
        <w:contextualSpacing/>
        <w:rPr>
          <w:rFonts w:hint="eastAsia" w:ascii="宋体" w:hAnsi="宋体" w:cs="宋体"/>
          <w:sz w:val="24"/>
        </w:rPr>
      </w:pPr>
      <w:r>
        <w:rPr>
          <w:rFonts w:hint="eastAsia" w:ascii="宋体" w:hAnsi="宋体" w:cs="宋体"/>
          <w:sz w:val="24"/>
        </w:rPr>
        <w:t>（5）开标会议结束。</w:t>
      </w:r>
    </w:p>
    <w:p w14:paraId="4D2D12CF">
      <w:pPr>
        <w:pStyle w:val="555"/>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4D2D12D0">
      <w:pPr>
        <w:widowControl/>
        <w:spacing w:line="360" w:lineRule="auto"/>
        <w:jc w:val="left"/>
        <w:rPr>
          <w:rFonts w:hint="eastAsia" w:ascii="宋体" w:hAnsi="宋体" w:cs="宋体"/>
          <w:b/>
          <w:sz w:val="24"/>
          <w:szCs w:val="20"/>
        </w:rPr>
      </w:pPr>
      <w:r>
        <w:rPr>
          <w:rFonts w:hint="eastAsia" w:ascii="宋体" w:hAnsi="宋体" w:cs="宋体"/>
          <w:b/>
          <w:sz w:val="24"/>
          <w:szCs w:val="20"/>
        </w:rPr>
        <w:t>　19、资格审查</w:t>
      </w:r>
    </w:p>
    <w:p w14:paraId="4D2D12D1">
      <w:pPr>
        <w:snapToGrid w:val="0"/>
        <w:spacing w:line="360" w:lineRule="auto"/>
        <w:ind w:firstLine="480" w:firstLineChars="200"/>
        <w:rPr>
          <w:rFonts w:hint="eastAsia"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4D2D12D2">
      <w:pPr>
        <w:pStyle w:val="129"/>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4D2D12D3">
      <w:pPr>
        <w:pStyle w:val="129"/>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4D2D12D4">
      <w:pPr>
        <w:pStyle w:val="129"/>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4D2D12D5">
      <w:pPr>
        <w:pStyle w:val="129"/>
        <w:spacing w:before="0"/>
        <w:ind w:firstLine="0" w:firstLineChars="0"/>
        <w:rPr>
          <w:rFonts w:hint="eastAsia" w:ascii="宋体" w:hAnsi="宋体" w:cs="宋体"/>
          <w:b/>
          <w:szCs w:val="24"/>
        </w:rPr>
      </w:pPr>
      <w:r>
        <w:rPr>
          <w:rFonts w:hint="eastAsia" w:ascii="宋体" w:hAnsi="宋体" w:cs="宋体"/>
          <w:b/>
          <w:szCs w:val="24"/>
        </w:rPr>
        <w:t>20、信用信息查询</w:t>
      </w:r>
    </w:p>
    <w:p w14:paraId="4D2D12D6">
      <w:pPr>
        <w:pStyle w:val="129"/>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4D2D12D7">
      <w:pPr>
        <w:pStyle w:val="129"/>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4D2D12D8">
      <w:pPr>
        <w:pStyle w:val="129"/>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w:t>
      </w:r>
      <w:r>
        <w:rPr>
          <w:rFonts w:hint="eastAsia" w:ascii="宋体" w:hAnsi="宋体" w:cs="宋体"/>
        </w:rPr>
        <w:t>重大税收违法失信主体</w:t>
      </w:r>
      <w:r>
        <w:rPr>
          <w:rFonts w:hint="eastAsia" w:ascii="宋体" w:hAnsi="宋体" w:cs="宋体"/>
          <w:kern w:val="0"/>
          <w:szCs w:val="24"/>
        </w:rPr>
        <w:t>）、政府采购严重违法失信行为记录名单的投标人将被拒绝参与政府采购活动。</w:t>
      </w:r>
    </w:p>
    <w:p w14:paraId="4D2D12D9">
      <w:pPr>
        <w:pStyle w:val="129"/>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4D2D12DA">
      <w:pPr>
        <w:snapToGrid w:val="0"/>
        <w:spacing w:line="360" w:lineRule="auto"/>
        <w:jc w:val="center"/>
        <w:rPr>
          <w:rFonts w:hint="eastAsia" w:ascii="宋体" w:hAnsi="宋体" w:cs="宋体"/>
          <w:b/>
          <w:sz w:val="36"/>
          <w:szCs w:val="36"/>
        </w:rPr>
      </w:pPr>
      <w:r>
        <w:rPr>
          <w:rFonts w:hint="eastAsia" w:ascii="宋体" w:hAnsi="宋体" w:cs="宋体"/>
          <w:b/>
          <w:sz w:val="36"/>
          <w:szCs w:val="36"/>
        </w:rPr>
        <w:t>五、评标</w:t>
      </w:r>
    </w:p>
    <w:p w14:paraId="4D2D12DB">
      <w:pPr>
        <w:spacing w:line="360" w:lineRule="auto"/>
        <w:rPr>
          <w:rFonts w:hint="eastAsia"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见招标文件第四部分评标办法。</w:t>
      </w:r>
    </w:p>
    <w:p w14:paraId="4D2D12DC">
      <w:pPr>
        <w:snapToGrid w:val="0"/>
        <w:spacing w:line="360" w:lineRule="auto"/>
        <w:jc w:val="center"/>
        <w:rPr>
          <w:rFonts w:hint="eastAsia" w:ascii="宋体" w:hAnsi="宋体" w:cs="宋体"/>
          <w:b/>
          <w:sz w:val="36"/>
          <w:szCs w:val="36"/>
        </w:rPr>
      </w:pPr>
      <w:r>
        <w:rPr>
          <w:rFonts w:hint="eastAsia" w:ascii="宋体" w:hAnsi="宋体" w:cs="宋体"/>
          <w:b/>
          <w:sz w:val="36"/>
          <w:szCs w:val="36"/>
        </w:rPr>
        <w:t>六、定 标</w:t>
      </w:r>
    </w:p>
    <w:p w14:paraId="4D2D12DD">
      <w:pPr>
        <w:pStyle w:val="24"/>
        <w:spacing w:line="360" w:lineRule="auto"/>
        <w:ind w:left="479" w:hanging="479" w:hangingChars="199"/>
        <w:rPr>
          <w:rFonts w:hint="eastAsia" w:cs="宋体"/>
          <w:b/>
        </w:rPr>
      </w:pPr>
      <w:r>
        <w:rPr>
          <w:rFonts w:hint="eastAsia" w:cs="宋体"/>
          <w:b/>
        </w:rPr>
        <w:t>22. 确定中标供应商</w:t>
      </w:r>
    </w:p>
    <w:p w14:paraId="4D2D12DE">
      <w:pPr>
        <w:pStyle w:val="129"/>
        <w:snapToGrid w:val="0"/>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r>
        <w:rPr>
          <w:rFonts w:hint="eastAsia" w:ascii="宋体" w:hAnsi="宋体" w:cs="宋体"/>
          <w:b/>
          <w:bCs/>
          <w:szCs w:val="24"/>
        </w:rPr>
        <w:t>注：</w:t>
      </w:r>
      <w:r>
        <w:rPr>
          <w:rFonts w:hint="eastAsia" w:ascii="宋体" w:hAnsi="宋体" w:cs="宋体"/>
          <w:b/>
          <w:bCs/>
          <w:szCs w:val="21"/>
        </w:rPr>
        <w:t>按评审后得分由高到低顺序确定1名中标人。</w:t>
      </w:r>
    </w:p>
    <w:p w14:paraId="4D2D12DF">
      <w:pPr>
        <w:pStyle w:val="129"/>
        <w:snapToGrid w:val="0"/>
        <w:spacing w:before="0"/>
        <w:ind w:firstLine="0" w:firstLineChars="0"/>
        <w:rPr>
          <w:rFonts w:hint="eastAsia" w:ascii="宋体" w:hAnsi="宋体" w:cs="宋体"/>
          <w:b/>
          <w:szCs w:val="24"/>
        </w:rPr>
      </w:pPr>
      <w:r>
        <w:rPr>
          <w:rFonts w:hint="eastAsia" w:ascii="宋体" w:hAnsi="宋体" w:cs="宋体"/>
          <w:b/>
          <w:szCs w:val="24"/>
        </w:rPr>
        <w:t>23. 中标通知与中标结果公告</w:t>
      </w:r>
    </w:p>
    <w:p w14:paraId="4D2D12E0">
      <w:pPr>
        <w:widowControl/>
        <w:spacing w:line="360" w:lineRule="auto"/>
        <w:ind w:firstLine="480"/>
        <w:jc w:val="left"/>
        <w:rPr>
          <w:rFonts w:hint="eastAsia"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4D2D12E1">
      <w:pPr>
        <w:widowControl/>
        <w:spacing w:line="360" w:lineRule="auto"/>
        <w:ind w:firstLine="480"/>
        <w:jc w:val="left"/>
        <w:rPr>
          <w:rFonts w:hint="eastAsia"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4D2D12E2">
      <w:pPr>
        <w:widowControl/>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4D2D12E3">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七、合同授予</w:t>
      </w:r>
    </w:p>
    <w:p w14:paraId="4D2D12E4">
      <w:pPr>
        <w:pStyle w:val="24"/>
        <w:spacing w:line="360" w:lineRule="auto"/>
        <w:ind w:left="479" w:hanging="479" w:hangingChars="199"/>
        <w:rPr>
          <w:rFonts w:hint="eastAsia" w:cs="宋体"/>
          <w:b/>
        </w:rPr>
      </w:pPr>
      <w:r>
        <w:rPr>
          <w:rFonts w:hint="eastAsia" w:cs="宋体"/>
          <w:b/>
        </w:rPr>
        <w:t xml:space="preserve">24. </w:t>
      </w:r>
      <w:r>
        <w:rPr>
          <w:rFonts w:hint="eastAsia" w:cs="宋体"/>
        </w:rPr>
        <w:t>合同主要条款见第五部分拟签订的合同文本。</w:t>
      </w:r>
    </w:p>
    <w:p w14:paraId="4D2D12E5">
      <w:pPr>
        <w:pStyle w:val="24"/>
        <w:spacing w:line="360" w:lineRule="auto"/>
        <w:ind w:left="479" w:hanging="479" w:hangingChars="199"/>
        <w:rPr>
          <w:rFonts w:hint="eastAsia" w:cs="宋体"/>
          <w:b/>
        </w:rPr>
      </w:pPr>
      <w:r>
        <w:rPr>
          <w:rFonts w:hint="eastAsia" w:cs="宋体"/>
          <w:b/>
        </w:rPr>
        <w:t>25. 合同的签订</w:t>
      </w:r>
    </w:p>
    <w:p w14:paraId="4D2D12E6">
      <w:pPr>
        <w:widowControl/>
        <w:spacing w:line="360" w:lineRule="auto"/>
        <w:ind w:firstLine="480"/>
        <w:jc w:val="left"/>
        <w:rPr>
          <w:rFonts w:hint="eastAsia"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4D2D12E7">
      <w:pPr>
        <w:pStyle w:val="129"/>
        <w:snapToGrid w:val="0"/>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D2D12E8">
      <w:pPr>
        <w:pStyle w:val="129"/>
        <w:snapToGrid w:val="0"/>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4D2D12E9">
      <w:pPr>
        <w:pStyle w:val="129"/>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4D2D12EA">
      <w:pPr>
        <w:pStyle w:val="129"/>
        <w:snapToGrid w:val="0"/>
        <w:spacing w:before="0"/>
        <w:ind w:firstLine="480"/>
        <w:rPr>
          <w:rFonts w:hint="eastAsia"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4D2D12EB">
      <w:pPr>
        <w:pStyle w:val="24"/>
        <w:spacing w:line="360" w:lineRule="auto"/>
        <w:ind w:left="479" w:hanging="479" w:hangingChars="199"/>
        <w:rPr>
          <w:rFonts w:hint="eastAsia" w:cs="宋体"/>
          <w:b/>
        </w:rPr>
      </w:pPr>
      <w:r>
        <w:rPr>
          <w:rFonts w:hint="eastAsia" w:cs="宋体"/>
          <w:b/>
        </w:rPr>
        <w:t>26. 履约保证金</w:t>
      </w:r>
    </w:p>
    <w:p w14:paraId="4D2D12EC">
      <w:pPr>
        <w:tabs>
          <w:tab w:val="left" w:pos="0"/>
        </w:tabs>
        <w:spacing w:line="360" w:lineRule="auto"/>
        <w:ind w:firstLine="482"/>
        <w:rPr>
          <w:rFonts w:hint="eastAsia"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D2D12ED">
      <w:pPr>
        <w:tabs>
          <w:tab w:val="left" w:pos="0"/>
        </w:tabs>
        <w:spacing w:line="360" w:lineRule="auto"/>
        <w:ind w:firstLine="482"/>
        <w:rPr>
          <w:rFonts w:hint="eastAsia" w:ascii="宋体" w:hAnsi="宋体" w:cs="宋体"/>
          <w:snapToGrid w:val="0"/>
          <w:kern w:val="28"/>
          <w:sz w:val="24"/>
        </w:rPr>
      </w:pPr>
      <w:r>
        <w:rPr>
          <w:rFonts w:hint="eastAsia" w:ascii="宋体" w:hAnsi="宋体" w:cs="宋体"/>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w:t>
      </w:r>
      <w:r>
        <w:rPr>
          <w:rFonts w:hint="eastAsia" w:ascii="宋体" w:hAnsi="宋体" w:cs="宋体"/>
          <w:kern w:val="0"/>
          <w:sz w:val="24"/>
        </w:rPr>
        <w:t>步骤</w:t>
      </w:r>
      <w:r>
        <w:rPr>
          <w:rFonts w:hint="eastAsia" w:ascii="宋体" w:hAnsi="宋体" w:cs="宋体"/>
          <w:snapToGrid w:val="0"/>
          <w:kern w:val="28"/>
          <w:sz w:val="24"/>
        </w:rPr>
        <w:t>：选择产品—填写供应商信息—选择中标项目—确认信息—等待保险/保函受理—确认保单—支付保费—成功出单。政采云金融专线400-903-9583。</w:t>
      </w:r>
    </w:p>
    <w:p w14:paraId="4D2D12EE">
      <w:pPr>
        <w:tabs>
          <w:tab w:val="left" w:pos="432"/>
        </w:tabs>
        <w:spacing w:line="360" w:lineRule="auto"/>
      </w:pPr>
      <w:r>
        <w:rPr>
          <w:rFonts w:ascii="宋体" w:hAnsi="宋体"/>
          <w:b/>
          <w:bCs/>
          <w:sz w:val="24"/>
          <w:szCs w:val="32"/>
        </w:rPr>
        <w:t>27.预付款</w:t>
      </w:r>
    </w:p>
    <w:p w14:paraId="4D2D12EF">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w:t>
      </w:r>
      <w:r>
        <w:rPr>
          <w:rFonts w:hint="eastAsia" w:ascii="宋体" w:hAnsi="宋体"/>
          <w:sz w:val="24"/>
        </w:rPr>
        <w:t>7</w:t>
      </w:r>
      <w:r>
        <w:rPr>
          <w:rFonts w:ascii="宋体" w:hAnsi="宋体"/>
          <w:sz w:val="24"/>
        </w:rPr>
        <w:t>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4D2D12F0">
      <w:pPr>
        <w:snapToGrid w:val="0"/>
        <w:spacing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14:paraId="4D2D12F1">
      <w:pPr>
        <w:pStyle w:val="129"/>
        <w:snapToGrid w:val="0"/>
        <w:spacing w:before="0"/>
        <w:ind w:firstLine="0" w:firstLineChars="0"/>
        <w:rPr>
          <w:rFonts w:hint="eastAsia"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4D2D12F2">
      <w:pPr>
        <w:pStyle w:val="129"/>
        <w:snapToGrid w:val="0"/>
        <w:spacing w:before="0"/>
        <w:ind w:firstLine="480"/>
        <w:rPr>
          <w:rFonts w:hint="eastAsia" w:ascii="宋体" w:hAnsi="宋体" w:cs="宋体"/>
        </w:rPr>
      </w:pPr>
      <w:r>
        <w:rPr>
          <w:rFonts w:hint="eastAsia" w:ascii="宋体" w:hAnsi="宋体" w:cs="宋体"/>
        </w:rPr>
        <w:t xml:space="preserve">28.1电子交易平台发生故障而无法登录访问的； </w:t>
      </w:r>
    </w:p>
    <w:p w14:paraId="4D2D12F3">
      <w:pPr>
        <w:pStyle w:val="129"/>
        <w:snapToGrid w:val="0"/>
        <w:spacing w:before="0"/>
        <w:ind w:firstLine="480"/>
        <w:rPr>
          <w:rFonts w:hint="eastAsia" w:ascii="宋体" w:hAnsi="宋体" w:cs="宋体"/>
        </w:rPr>
      </w:pPr>
      <w:r>
        <w:rPr>
          <w:rFonts w:hint="eastAsia" w:ascii="宋体" w:hAnsi="宋体" w:cs="宋体"/>
        </w:rPr>
        <w:t>28.2电子交易平台应用或数据库出现错误，不能进行正常操作的；</w:t>
      </w:r>
    </w:p>
    <w:p w14:paraId="4D2D12F4">
      <w:pPr>
        <w:pStyle w:val="129"/>
        <w:snapToGrid w:val="0"/>
        <w:spacing w:before="0"/>
        <w:ind w:firstLine="480"/>
        <w:rPr>
          <w:rFonts w:hint="eastAsia" w:ascii="宋体" w:hAnsi="宋体" w:cs="宋体"/>
        </w:rPr>
      </w:pPr>
      <w:r>
        <w:rPr>
          <w:rFonts w:hint="eastAsia" w:ascii="宋体" w:hAnsi="宋体" w:cs="宋体"/>
        </w:rPr>
        <w:t>28.3电子交易平台发现严重安全漏洞，有潜在泄密危险的；</w:t>
      </w:r>
    </w:p>
    <w:p w14:paraId="4D2D12F5">
      <w:pPr>
        <w:pStyle w:val="129"/>
        <w:snapToGrid w:val="0"/>
        <w:spacing w:before="0"/>
        <w:ind w:firstLine="480"/>
        <w:rPr>
          <w:rFonts w:hint="eastAsia" w:ascii="宋体" w:hAnsi="宋体" w:cs="宋体"/>
        </w:rPr>
      </w:pPr>
      <w:r>
        <w:rPr>
          <w:rFonts w:hint="eastAsia" w:ascii="宋体" w:hAnsi="宋体" w:cs="宋体"/>
        </w:rPr>
        <w:t xml:space="preserve">28.4病毒发作导致不能进行正常操作的； </w:t>
      </w:r>
    </w:p>
    <w:p w14:paraId="4D2D12F6">
      <w:pPr>
        <w:pStyle w:val="129"/>
        <w:snapToGrid w:val="0"/>
        <w:spacing w:before="0"/>
        <w:ind w:firstLine="480"/>
        <w:rPr>
          <w:rFonts w:hint="eastAsia" w:ascii="宋体" w:hAnsi="宋体" w:cs="宋体"/>
        </w:rPr>
      </w:pPr>
      <w:r>
        <w:rPr>
          <w:rFonts w:hint="eastAsia" w:ascii="宋体" w:hAnsi="宋体" w:cs="宋体"/>
        </w:rPr>
        <w:t>28.5其他无法保证电子交易的公平、公正和安全的情况。</w:t>
      </w:r>
    </w:p>
    <w:p w14:paraId="4D2D12F7">
      <w:pPr>
        <w:pStyle w:val="129"/>
        <w:snapToGrid w:val="0"/>
        <w:spacing w:before="0"/>
        <w:ind w:firstLine="0" w:firstLineChars="0"/>
        <w:rPr>
          <w:rFonts w:hint="eastAsia" w:ascii="宋体" w:hAnsi="宋体" w:cs="宋体"/>
        </w:rPr>
      </w:pPr>
      <w:r>
        <w:rPr>
          <w:rFonts w:hint="eastAsia" w:ascii="宋体" w:hAnsi="宋体" w:cs="宋体"/>
        </w:rPr>
        <w:t xml:space="preserve"> 29.出现以上情形，不影响采购公平、公正性的，采购组织机构可以待上述情形消除后继续组织电子交易活动；影响或可能影响采购公平、公正性的，应当重新采购。</w:t>
      </w:r>
    </w:p>
    <w:p w14:paraId="4D2D12F8">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九、验收</w:t>
      </w:r>
    </w:p>
    <w:p w14:paraId="4D2D12F9">
      <w:pPr>
        <w:pStyle w:val="24"/>
        <w:spacing w:line="360" w:lineRule="auto"/>
        <w:ind w:firstLine="0" w:firstLineChars="0"/>
        <w:rPr>
          <w:rFonts w:hint="eastAsia" w:cs="宋体"/>
          <w:b/>
        </w:rPr>
      </w:pPr>
      <w:r>
        <w:rPr>
          <w:rFonts w:hint="eastAsia" w:cs="宋体"/>
          <w:b/>
        </w:rPr>
        <w:t>30.验收</w:t>
      </w:r>
    </w:p>
    <w:p w14:paraId="4D2D12FA">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D2D12FB">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4D2D12FC">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2D12FD">
      <w:pPr>
        <w:tabs>
          <w:tab w:val="left" w:pos="0"/>
        </w:tabs>
        <w:spacing w:line="360" w:lineRule="auto"/>
        <w:ind w:firstLine="480"/>
        <w:rPr>
          <w:rFonts w:hint="eastAsia"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D2D12FE">
      <w:pPr>
        <w:tabs>
          <w:tab w:val="left" w:pos="0"/>
        </w:tabs>
        <w:spacing w:line="360" w:lineRule="auto"/>
        <w:ind w:firstLine="480"/>
        <w:rPr>
          <w:rFonts w:hint="eastAsia" w:ascii="宋体" w:hAnsi="宋体" w:cs="宋体"/>
          <w:kern w:val="0"/>
          <w:sz w:val="24"/>
        </w:rPr>
      </w:pPr>
      <w:bookmarkStart w:id="15" w:name="_Hlt74714665"/>
      <w:bookmarkEnd w:id="15"/>
      <w:bookmarkStart w:id="16" w:name="_Hlt68057669"/>
      <w:bookmarkEnd w:id="16"/>
      <w:bookmarkStart w:id="17" w:name="_Hlt74707468"/>
      <w:bookmarkEnd w:id="17"/>
      <w:bookmarkStart w:id="18" w:name="_Hlt75236290"/>
      <w:bookmarkEnd w:id="18"/>
      <w:bookmarkStart w:id="19" w:name="_Hlt68073093"/>
      <w:bookmarkEnd w:id="19"/>
      <w:bookmarkStart w:id="20" w:name="_Hlt68072998"/>
      <w:bookmarkEnd w:id="20"/>
      <w:bookmarkStart w:id="21" w:name="_Hlt68072990"/>
      <w:bookmarkEnd w:id="21"/>
      <w:bookmarkStart w:id="22" w:name="_Hlt75236101"/>
      <w:bookmarkEnd w:id="22"/>
      <w:bookmarkStart w:id="23" w:name="_Hlt74729768"/>
      <w:bookmarkEnd w:id="23"/>
      <w:bookmarkStart w:id="24" w:name="_Hlt74730295"/>
      <w:bookmarkEnd w:id="24"/>
      <w:bookmarkStart w:id="25" w:name="_Hlt68403820"/>
      <w:bookmarkEnd w:id="25"/>
      <w:bookmarkStart w:id="26" w:name="_Hlt75236011"/>
      <w:bookmarkEnd w:id="26"/>
    </w:p>
    <w:p w14:paraId="4D2D12FF">
      <w:pPr>
        <w:tabs>
          <w:tab w:val="left" w:pos="432"/>
        </w:tabs>
        <w:sectPr>
          <w:footerReference r:id="rId6" w:type="first"/>
          <w:footerReference r:id="rId5" w:type="default"/>
          <w:pgSz w:w="11906" w:h="16838"/>
          <w:pgMar w:top="680" w:right="1418" w:bottom="468" w:left="1418" w:header="851" w:footer="992" w:gutter="0"/>
          <w:pgNumType w:start="1"/>
          <w:cols w:space="720" w:num="1"/>
          <w:titlePg/>
          <w:docGrid w:linePitch="312" w:charSpace="0"/>
        </w:sectPr>
      </w:pPr>
    </w:p>
    <w:bookmarkEnd w:id="11"/>
    <w:bookmarkEnd w:id="12"/>
    <w:p w14:paraId="4D2D1300">
      <w:pPr>
        <w:spacing w:line="360" w:lineRule="auto"/>
        <w:jc w:val="center"/>
        <w:outlineLvl w:val="0"/>
        <w:rPr>
          <w:rFonts w:hint="eastAsia" w:ascii="宋体" w:hAnsi="宋体" w:cs="宋体"/>
          <w:b/>
          <w:sz w:val="36"/>
          <w:szCs w:val="36"/>
        </w:rPr>
      </w:pPr>
      <w:bookmarkStart w:id="27" w:name="_Toc15772"/>
      <w:bookmarkStart w:id="28" w:name="第四部分"/>
      <w:r>
        <w:rPr>
          <w:rFonts w:hint="eastAsia" w:ascii="宋体" w:hAnsi="宋体" w:cs="宋体"/>
          <w:b/>
          <w:sz w:val="36"/>
          <w:szCs w:val="36"/>
        </w:rPr>
        <w:t>第三部分   采购需求</w:t>
      </w:r>
      <w:bookmarkEnd w:id="27"/>
    </w:p>
    <w:p w14:paraId="4D2D1301">
      <w:pPr>
        <w:widowControl/>
        <w:adjustRightInd/>
        <w:jc w:val="left"/>
        <w:rPr>
          <w:rFonts w:hint="eastAsia" w:ascii="宋体" w:hAnsi="宋体" w:cs="宋体"/>
          <w:b/>
          <w:kern w:val="0"/>
          <w:szCs w:val="21"/>
        </w:rPr>
      </w:pPr>
      <w:r>
        <w:rPr>
          <w:rFonts w:hint="eastAsia" w:ascii="宋体" w:hAnsi="宋体" w:cs="宋体"/>
          <w:b/>
          <w:kern w:val="0"/>
          <w:sz w:val="24"/>
        </w:rPr>
        <w:t>▲一、重要商务要求一览表（适用于各标项）</w:t>
      </w:r>
    </w:p>
    <w:tbl>
      <w:tblPr>
        <w:tblStyle w:val="63"/>
        <w:tblW w:w="88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65"/>
        <w:gridCol w:w="6902"/>
      </w:tblGrid>
      <w:tr w14:paraId="4D2D1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65" w:type="dxa"/>
            <w:tcBorders>
              <w:top w:val="single" w:color="auto" w:sz="4" w:space="0"/>
              <w:left w:val="single" w:color="auto" w:sz="4" w:space="0"/>
              <w:bottom w:val="single" w:color="auto" w:sz="4" w:space="0"/>
              <w:right w:val="single" w:color="auto" w:sz="4" w:space="0"/>
            </w:tcBorders>
            <w:vAlign w:val="center"/>
          </w:tcPr>
          <w:p w14:paraId="4D2D1302">
            <w:pPr>
              <w:widowControl/>
              <w:adjustRightInd/>
              <w:spacing w:line="360" w:lineRule="auto"/>
              <w:jc w:val="center"/>
              <w:rPr>
                <w:rFonts w:hint="eastAsia" w:ascii="宋体" w:hAnsi="宋体" w:cs="宋体"/>
                <w:b/>
                <w:bCs/>
                <w:kern w:val="0"/>
                <w:sz w:val="24"/>
              </w:rPr>
            </w:pPr>
            <w:bookmarkStart w:id="29" w:name="_Toc513103337"/>
            <w:r>
              <w:rPr>
                <w:rFonts w:hint="eastAsia" w:ascii="宋体" w:hAnsi="宋体" w:cs="宋体"/>
                <w:b/>
                <w:bCs/>
                <w:kern w:val="0"/>
                <w:sz w:val="24"/>
              </w:rPr>
              <w:t>项目</w:t>
            </w:r>
          </w:p>
        </w:tc>
        <w:tc>
          <w:tcPr>
            <w:tcW w:w="6902" w:type="dxa"/>
            <w:tcBorders>
              <w:top w:val="single" w:color="auto" w:sz="4" w:space="0"/>
              <w:left w:val="single" w:color="auto" w:sz="4" w:space="0"/>
              <w:bottom w:val="single" w:color="auto" w:sz="4" w:space="0"/>
              <w:right w:val="single" w:color="auto" w:sz="4" w:space="0"/>
            </w:tcBorders>
            <w:vAlign w:val="center"/>
          </w:tcPr>
          <w:p w14:paraId="4D2D1303">
            <w:pPr>
              <w:widowControl/>
              <w:adjustRightInd/>
              <w:spacing w:line="360" w:lineRule="auto"/>
              <w:jc w:val="center"/>
              <w:rPr>
                <w:rFonts w:hint="eastAsia" w:ascii="宋体" w:hAnsi="宋体" w:cs="宋体"/>
                <w:b/>
                <w:bCs/>
                <w:kern w:val="0"/>
                <w:sz w:val="24"/>
              </w:rPr>
            </w:pPr>
            <w:r>
              <w:rPr>
                <w:rFonts w:hint="eastAsia" w:ascii="宋体" w:hAnsi="宋体" w:cs="宋体"/>
                <w:b/>
                <w:bCs/>
                <w:kern w:val="0"/>
                <w:sz w:val="24"/>
              </w:rPr>
              <w:t xml:space="preserve">要 求 </w:t>
            </w:r>
          </w:p>
        </w:tc>
      </w:tr>
      <w:tr w14:paraId="4D2D1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65" w:type="dxa"/>
            <w:tcBorders>
              <w:top w:val="single" w:color="auto" w:sz="4" w:space="0"/>
              <w:left w:val="single" w:color="auto" w:sz="4" w:space="0"/>
              <w:bottom w:val="single" w:color="auto" w:sz="4" w:space="0"/>
              <w:right w:val="single" w:color="auto" w:sz="4" w:space="0"/>
            </w:tcBorders>
            <w:vAlign w:val="center"/>
          </w:tcPr>
          <w:p w14:paraId="4D2D1305">
            <w:pPr>
              <w:widowControl/>
              <w:adjustRightInd/>
              <w:spacing w:line="360" w:lineRule="auto"/>
              <w:jc w:val="left"/>
              <w:rPr>
                <w:rFonts w:hint="eastAsia" w:ascii="宋体" w:hAnsi="宋体" w:cs="宋体"/>
                <w:kern w:val="0"/>
                <w:sz w:val="24"/>
              </w:rPr>
            </w:pPr>
            <w:r>
              <w:rPr>
                <w:rFonts w:hint="eastAsia" w:ascii="宋体" w:hAnsi="宋体" w:cs="宋体"/>
                <w:kern w:val="0"/>
                <w:sz w:val="24"/>
              </w:rPr>
              <w:t>1、合同履约期限（服务期限）</w:t>
            </w:r>
          </w:p>
        </w:tc>
        <w:tc>
          <w:tcPr>
            <w:tcW w:w="6902" w:type="dxa"/>
            <w:tcBorders>
              <w:top w:val="single" w:color="auto" w:sz="4" w:space="0"/>
              <w:left w:val="single" w:color="auto" w:sz="4" w:space="0"/>
              <w:bottom w:val="single" w:color="auto" w:sz="4" w:space="0"/>
              <w:right w:val="single" w:color="auto" w:sz="4" w:space="0"/>
            </w:tcBorders>
            <w:vAlign w:val="center"/>
          </w:tcPr>
          <w:p w14:paraId="4D2D1306">
            <w:pPr>
              <w:widowControl/>
              <w:adjustRightInd/>
              <w:spacing w:line="360" w:lineRule="auto"/>
              <w:jc w:val="left"/>
              <w:rPr>
                <w:rFonts w:hint="eastAsia" w:ascii="宋体" w:hAnsi="宋体" w:cs="宋体"/>
                <w:kern w:val="0"/>
                <w:sz w:val="24"/>
              </w:rPr>
            </w:pPr>
            <w:r>
              <w:rPr>
                <w:rFonts w:hint="eastAsia" w:ascii="宋体" w:hAnsi="宋体" w:cs="宋体"/>
                <w:kern w:val="0"/>
                <w:sz w:val="24"/>
              </w:rPr>
              <w:t>服务期限三年，每年考核合格，经采购人确认服务满意后可续订下一年合同，最多可续签二年（合同采用一年一签形式）。</w:t>
            </w:r>
          </w:p>
        </w:tc>
      </w:tr>
      <w:tr w14:paraId="4D2D1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65" w:type="dxa"/>
            <w:tcBorders>
              <w:top w:val="single" w:color="auto" w:sz="4" w:space="0"/>
              <w:left w:val="single" w:color="auto" w:sz="4" w:space="0"/>
              <w:bottom w:val="single" w:color="auto" w:sz="4" w:space="0"/>
              <w:right w:val="single" w:color="auto" w:sz="4" w:space="0"/>
            </w:tcBorders>
            <w:vAlign w:val="center"/>
          </w:tcPr>
          <w:p w14:paraId="4D2D1308">
            <w:pPr>
              <w:widowControl/>
              <w:adjustRightInd/>
              <w:spacing w:line="360" w:lineRule="auto"/>
              <w:jc w:val="left"/>
              <w:rPr>
                <w:rFonts w:hint="eastAsia" w:ascii="宋体" w:hAnsi="宋体" w:cs="宋体"/>
                <w:kern w:val="0"/>
                <w:sz w:val="24"/>
              </w:rPr>
            </w:pPr>
            <w:r>
              <w:rPr>
                <w:rFonts w:hint="eastAsia" w:ascii="宋体" w:hAnsi="宋体" w:cs="宋体"/>
                <w:kern w:val="0"/>
                <w:sz w:val="24"/>
              </w:rPr>
              <w:t>2、服务地点</w:t>
            </w:r>
          </w:p>
        </w:tc>
        <w:tc>
          <w:tcPr>
            <w:tcW w:w="6902" w:type="dxa"/>
            <w:tcBorders>
              <w:top w:val="single" w:color="auto" w:sz="4" w:space="0"/>
              <w:left w:val="single" w:color="auto" w:sz="4" w:space="0"/>
              <w:bottom w:val="single" w:color="auto" w:sz="4" w:space="0"/>
              <w:right w:val="single" w:color="auto" w:sz="4" w:space="0"/>
            </w:tcBorders>
            <w:vAlign w:val="center"/>
          </w:tcPr>
          <w:p w14:paraId="4D2D1309">
            <w:pPr>
              <w:widowControl/>
              <w:adjustRightInd/>
              <w:spacing w:line="360" w:lineRule="auto"/>
              <w:jc w:val="left"/>
              <w:rPr>
                <w:rFonts w:hint="eastAsia" w:ascii="宋体" w:hAnsi="宋体" w:cs="宋体"/>
                <w:kern w:val="0"/>
                <w:sz w:val="24"/>
              </w:rPr>
            </w:pPr>
            <w:r>
              <w:rPr>
                <w:rFonts w:hint="eastAsia" w:ascii="宋体" w:hAnsi="宋体" w:cs="宋体"/>
                <w:kern w:val="0"/>
                <w:sz w:val="24"/>
              </w:rPr>
              <w:t>采购人指定地点，慈溪市人民医院。</w:t>
            </w:r>
          </w:p>
        </w:tc>
      </w:tr>
      <w:tr w14:paraId="4D2D1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65" w:type="dxa"/>
            <w:tcBorders>
              <w:top w:val="single" w:color="auto" w:sz="4" w:space="0"/>
              <w:left w:val="single" w:color="auto" w:sz="4" w:space="0"/>
              <w:bottom w:val="single" w:color="auto" w:sz="4" w:space="0"/>
              <w:right w:val="single" w:color="auto" w:sz="4" w:space="0"/>
            </w:tcBorders>
            <w:vAlign w:val="center"/>
          </w:tcPr>
          <w:p w14:paraId="4D2D130B">
            <w:pPr>
              <w:widowControl/>
              <w:adjustRightInd/>
              <w:spacing w:line="360" w:lineRule="auto"/>
              <w:jc w:val="left"/>
              <w:rPr>
                <w:rFonts w:hint="eastAsia" w:ascii="宋体" w:hAnsi="宋体" w:cs="宋体"/>
                <w:kern w:val="0"/>
                <w:sz w:val="24"/>
              </w:rPr>
            </w:pPr>
            <w:r>
              <w:rPr>
                <w:rFonts w:hint="eastAsia" w:ascii="宋体" w:hAnsi="宋体" w:cs="宋体"/>
                <w:kern w:val="0"/>
                <w:sz w:val="24"/>
              </w:rPr>
              <w:t>3、付款方式</w:t>
            </w:r>
          </w:p>
        </w:tc>
        <w:tc>
          <w:tcPr>
            <w:tcW w:w="6902" w:type="dxa"/>
            <w:tcBorders>
              <w:top w:val="single" w:color="auto" w:sz="4" w:space="0"/>
              <w:left w:val="single" w:color="auto" w:sz="4" w:space="0"/>
              <w:bottom w:val="single" w:color="auto" w:sz="4" w:space="0"/>
              <w:right w:val="single" w:color="auto" w:sz="4" w:space="0"/>
            </w:tcBorders>
            <w:vAlign w:val="center"/>
          </w:tcPr>
          <w:p w14:paraId="4D2D130C">
            <w:pPr>
              <w:widowControl/>
              <w:adjustRightInd/>
              <w:spacing w:line="360" w:lineRule="auto"/>
              <w:jc w:val="left"/>
              <w:textAlignment w:val="baseline"/>
              <w:rPr>
                <w:rFonts w:hint="eastAsia" w:ascii="宋体" w:hAnsi="宋体" w:cs="宋体"/>
                <w:kern w:val="0"/>
                <w:sz w:val="24"/>
              </w:rPr>
            </w:pPr>
            <w:r>
              <w:rPr>
                <w:rFonts w:ascii="宋体" w:hAnsi="宋体" w:cs="宋体"/>
                <w:kern w:val="0"/>
                <w:sz w:val="24"/>
              </w:rPr>
              <w:t>（1）合同生效以及具备实施条件后7个工作日内，采购人预付给供应商合同总价50%的预付款（供应商需提交银行、保险公司等金融机构出具的预付款保函或其他担保措施。供应商在签订合同时，表示无需预付款或主动要求降低预付款比例的，可不适用本条款）。</w:t>
            </w:r>
          </w:p>
          <w:p w14:paraId="4D2D130D">
            <w:pPr>
              <w:widowControl/>
              <w:adjustRightInd/>
              <w:spacing w:line="360" w:lineRule="auto"/>
              <w:jc w:val="left"/>
              <w:textAlignment w:val="baseline"/>
              <w:rPr>
                <w:rFonts w:hint="eastAsia" w:ascii="宋体" w:hAnsi="宋体" w:cs="宋体"/>
                <w:kern w:val="0"/>
                <w:sz w:val="24"/>
              </w:rPr>
            </w:pPr>
            <w:r>
              <w:rPr>
                <w:rFonts w:ascii="宋体" w:hAnsi="宋体" w:cs="宋体"/>
                <w:kern w:val="0"/>
                <w:sz w:val="24"/>
              </w:rPr>
              <w:t>（2）全年度工作完成后根据考核结果支付合同余款（考核办法详见附件1）。</w:t>
            </w:r>
          </w:p>
          <w:p w14:paraId="4D2D130E">
            <w:pPr>
              <w:widowControl/>
              <w:adjustRightInd/>
              <w:spacing w:line="360" w:lineRule="auto"/>
              <w:jc w:val="left"/>
              <w:textAlignment w:val="baseline"/>
              <w:rPr>
                <w:rFonts w:hint="eastAsia" w:ascii="宋体" w:hAnsi="宋体" w:cs="宋体"/>
                <w:kern w:val="0"/>
                <w:sz w:val="24"/>
              </w:rPr>
            </w:pPr>
            <w:r>
              <w:rPr>
                <w:rFonts w:ascii="宋体" w:hAnsi="宋体" w:cs="宋体"/>
                <w:kern w:val="0"/>
                <w:sz w:val="24"/>
              </w:rPr>
              <w:t>（3）采购人对于满足合同约定支付条件的，自收到发票后7个工作日内支付至供应商账户。供应商不提供发票的，采购人有权不予支付。</w:t>
            </w:r>
          </w:p>
        </w:tc>
      </w:tr>
      <w:tr w14:paraId="4D2D13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65" w:type="dxa"/>
            <w:tcBorders>
              <w:top w:val="single" w:color="auto" w:sz="4" w:space="0"/>
              <w:left w:val="single" w:color="auto" w:sz="4" w:space="0"/>
              <w:bottom w:val="single" w:color="auto" w:sz="4" w:space="0"/>
              <w:right w:val="single" w:color="auto" w:sz="4" w:space="0"/>
            </w:tcBorders>
            <w:vAlign w:val="center"/>
          </w:tcPr>
          <w:p w14:paraId="4D2D1310">
            <w:pPr>
              <w:widowControl/>
              <w:adjustRightInd/>
              <w:spacing w:line="360" w:lineRule="auto"/>
              <w:jc w:val="left"/>
              <w:rPr>
                <w:rFonts w:hint="eastAsia" w:ascii="宋体" w:hAnsi="宋体" w:cs="宋体"/>
                <w:kern w:val="0"/>
                <w:sz w:val="24"/>
              </w:rPr>
            </w:pPr>
            <w:r>
              <w:rPr>
                <w:rFonts w:hint="eastAsia" w:ascii="宋体" w:hAnsi="宋体" w:cs="宋体"/>
                <w:kern w:val="0"/>
                <w:sz w:val="24"/>
              </w:rPr>
              <w:t>4、履约保证金</w:t>
            </w:r>
          </w:p>
        </w:tc>
        <w:tc>
          <w:tcPr>
            <w:tcW w:w="6902" w:type="dxa"/>
            <w:tcBorders>
              <w:top w:val="single" w:color="auto" w:sz="4" w:space="0"/>
              <w:left w:val="single" w:color="auto" w:sz="4" w:space="0"/>
              <w:bottom w:val="single" w:color="auto" w:sz="4" w:space="0"/>
              <w:right w:val="single" w:color="auto" w:sz="4" w:space="0"/>
            </w:tcBorders>
            <w:vAlign w:val="center"/>
          </w:tcPr>
          <w:p w14:paraId="4D2D1311">
            <w:pPr>
              <w:widowControl/>
              <w:adjustRightInd/>
              <w:spacing w:line="360" w:lineRule="auto"/>
              <w:jc w:val="left"/>
              <w:textAlignment w:val="baseline"/>
              <w:rPr>
                <w:rFonts w:hint="eastAsia" w:ascii="宋体" w:hAnsi="宋体" w:cs="宋体"/>
                <w:kern w:val="0"/>
                <w:sz w:val="24"/>
              </w:rPr>
            </w:pPr>
            <w:r>
              <w:rPr>
                <w:rFonts w:hint="eastAsia" w:ascii="宋体" w:hAnsi="宋体" w:cs="宋体"/>
                <w:kern w:val="0"/>
                <w:sz w:val="24"/>
              </w:rPr>
              <w:t>本项目不收取履约保证金。</w:t>
            </w:r>
          </w:p>
        </w:tc>
      </w:tr>
      <w:tr w14:paraId="4D2D1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65" w:type="dxa"/>
            <w:tcBorders>
              <w:top w:val="single" w:color="auto" w:sz="4" w:space="0"/>
              <w:left w:val="single" w:color="auto" w:sz="4" w:space="0"/>
              <w:bottom w:val="single" w:color="auto" w:sz="4" w:space="0"/>
              <w:right w:val="single" w:color="auto" w:sz="4" w:space="0"/>
            </w:tcBorders>
            <w:vAlign w:val="center"/>
          </w:tcPr>
          <w:p w14:paraId="4D2D1313">
            <w:pPr>
              <w:widowControl/>
              <w:adjustRightInd/>
              <w:spacing w:line="360" w:lineRule="auto"/>
              <w:jc w:val="left"/>
              <w:rPr>
                <w:rFonts w:hint="eastAsia" w:ascii="宋体" w:hAnsi="宋体" w:cs="宋体"/>
                <w:kern w:val="0"/>
                <w:sz w:val="24"/>
              </w:rPr>
            </w:pPr>
            <w:r>
              <w:rPr>
                <w:rFonts w:hint="eastAsia" w:ascii="宋体" w:hAnsi="宋体" w:cs="宋体"/>
                <w:kern w:val="0"/>
                <w:sz w:val="24"/>
              </w:rPr>
              <w:t>5、合同终止</w:t>
            </w:r>
          </w:p>
        </w:tc>
        <w:tc>
          <w:tcPr>
            <w:tcW w:w="6902" w:type="dxa"/>
            <w:tcBorders>
              <w:top w:val="single" w:color="auto" w:sz="4" w:space="0"/>
              <w:left w:val="single" w:color="auto" w:sz="4" w:space="0"/>
              <w:bottom w:val="single" w:color="auto" w:sz="4" w:space="0"/>
              <w:right w:val="single" w:color="auto" w:sz="4" w:space="0"/>
            </w:tcBorders>
            <w:vAlign w:val="center"/>
          </w:tcPr>
          <w:p w14:paraId="4D2D1314">
            <w:pPr>
              <w:widowControl/>
              <w:adjustRightInd/>
              <w:spacing w:line="360" w:lineRule="auto"/>
              <w:jc w:val="left"/>
              <w:textAlignment w:val="baseline"/>
              <w:rPr>
                <w:rFonts w:hint="eastAsia" w:ascii="宋体" w:hAnsi="宋体" w:cs="宋体"/>
                <w:kern w:val="0"/>
                <w:sz w:val="24"/>
              </w:rPr>
            </w:pPr>
            <w:r>
              <w:rPr>
                <w:rFonts w:hint="eastAsia" w:ascii="宋体" w:hAnsi="宋体" w:cs="宋体"/>
                <w:kern w:val="0"/>
                <w:sz w:val="24"/>
              </w:rPr>
              <w:t>中标人在合同有效期内，不得无理由终止合同，确有特殊情况的，须提前两个月向采购人提出书面申请，经采购人同意后，方可终止合同。因中标人不能保证工作质量，或发生重大差错事故的，采购人可有权终止协议，中标人承担全部责任。</w:t>
            </w:r>
          </w:p>
        </w:tc>
      </w:tr>
      <w:bookmarkEnd w:id="29"/>
    </w:tbl>
    <w:p w14:paraId="4D2D1316">
      <w:pPr>
        <w:adjustRightInd/>
        <w:spacing w:line="360" w:lineRule="auto"/>
        <w:rPr>
          <w:rFonts w:hint="eastAsia" w:ascii="宋体" w:hAnsi="宋体" w:cs="宋体"/>
          <w:b/>
          <w:kern w:val="0"/>
          <w:sz w:val="24"/>
        </w:rPr>
      </w:pPr>
    </w:p>
    <w:p w14:paraId="4D2D1317">
      <w:pPr>
        <w:adjustRightInd/>
        <w:spacing w:line="360" w:lineRule="auto"/>
        <w:rPr>
          <w:rFonts w:hint="eastAsia" w:ascii="宋体" w:hAnsi="宋体" w:cs="宋体"/>
          <w:b/>
          <w:kern w:val="0"/>
          <w:sz w:val="24"/>
        </w:rPr>
      </w:pPr>
    </w:p>
    <w:p w14:paraId="4D2D1318">
      <w:pPr>
        <w:rPr>
          <w:rFonts w:hint="eastAsia" w:ascii="宋体" w:hAnsi="宋体" w:cs="宋体"/>
          <w:b/>
          <w:kern w:val="0"/>
          <w:sz w:val="24"/>
        </w:rPr>
      </w:pPr>
      <w:r>
        <w:rPr>
          <w:rFonts w:hint="eastAsia" w:ascii="宋体" w:hAnsi="宋体" w:cs="宋体"/>
          <w:b/>
          <w:kern w:val="0"/>
          <w:sz w:val="24"/>
        </w:rPr>
        <w:br w:type="page"/>
      </w:r>
    </w:p>
    <w:p w14:paraId="4D2D1319">
      <w:pPr>
        <w:adjustRightInd/>
        <w:spacing w:line="360" w:lineRule="auto"/>
        <w:rPr>
          <w:rFonts w:hint="eastAsia" w:ascii="宋体" w:hAnsi="宋体" w:cs="宋体"/>
          <w:b/>
          <w:kern w:val="0"/>
          <w:sz w:val="24"/>
        </w:rPr>
      </w:pPr>
      <w:r>
        <w:rPr>
          <w:rFonts w:hint="eastAsia" w:ascii="宋体" w:hAnsi="宋体" w:cs="宋体"/>
          <w:b/>
          <w:kern w:val="0"/>
          <w:sz w:val="24"/>
        </w:rPr>
        <w:t>二、服务要求</w:t>
      </w:r>
    </w:p>
    <w:p w14:paraId="4D2D131A">
      <w:pPr>
        <w:spacing w:line="360" w:lineRule="auto"/>
        <w:rPr>
          <w:rFonts w:hint="eastAsia" w:ascii="宋体" w:hAnsi="宋体" w:cs="宋体"/>
          <w:b/>
          <w:kern w:val="0"/>
          <w:sz w:val="24"/>
        </w:rPr>
      </w:pPr>
      <w:r>
        <w:rPr>
          <w:rFonts w:hint="eastAsia" w:ascii="宋体" w:hAnsi="宋体" w:cs="宋体"/>
          <w:b/>
          <w:kern w:val="0"/>
          <w:sz w:val="24"/>
        </w:rPr>
        <w:t>标项一：</w:t>
      </w:r>
    </w:p>
    <w:tbl>
      <w:tblPr>
        <w:tblStyle w:val="63"/>
        <w:tblW w:w="88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6738"/>
        <w:gridCol w:w="1214"/>
      </w:tblGrid>
      <w:tr w14:paraId="4D2D1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26" w:type="dxa"/>
            <w:vAlign w:val="center"/>
          </w:tcPr>
          <w:p w14:paraId="4D2D131B">
            <w:pPr>
              <w:jc w:val="center"/>
              <w:rPr>
                <w:rFonts w:hint="eastAsia" w:ascii="宋体" w:hAnsi="宋体" w:cs="宋体"/>
                <w:b/>
                <w:kern w:val="0"/>
                <w:sz w:val="24"/>
              </w:rPr>
            </w:pPr>
            <w:r>
              <w:rPr>
                <w:rFonts w:hint="eastAsia" w:ascii="宋体" w:hAnsi="宋体" w:cs="宋体"/>
                <w:b/>
                <w:kern w:val="0"/>
                <w:sz w:val="24"/>
              </w:rPr>
              <w:t>序号</w:t>
            </w:r>
          </w:p>
        </w:tc>
        <w:tc>
          <w:tcPr>
            <w:tcW w:w="6738" w:type="dxa"/>
            <w:vAlign w:val="center"/>
          </w:tcPr>
          <w:p w14:paraId="4D2D131C">
            <w:pPr>
              <w:jc w:val="center"/>
              <w:rPr>
                <w:rFonts w:hint="eastAsia" w:ascii="宋体" w:hAnsi="宋体" w:cs="宋体"/>
                <w:b/>
                <w:kern w:val="0"/>
                <w:sz w:val="24"/>
              </w:rPr>
            </w:pPr>
            <w:r>
              <w:rPr>
                <w:rFonts w:hint="eastAsia" w:ascii="宋体" w:hAnsi="宋体" w:cs="宋体"/>
                <w:b/>
                <w:kern w:val="0"/>
                <w:sz w:val="24"/>
              </w:rPr>
              <w:t>技术需求</w:t>
            </w:r>
          </w:p>
        </w:tc>
        <w:tc>
          <w:tcPr>
            <w:tcW w:w="1214" w:type="dxa"/>
            <w:vAlign w:val="center"/>
          </w:tcPr>
          <w:p w14:paraId="4D2D131D">
            <w:pPr>
              <w:jc w:val="center"/>
              <w:rPr>
                <w:rFonts w:hint="eastAsia" w:ascii="宋体" w:hAnsi="宋体" w:cs="宋体"/>
                <w:b/>
                <w:kern w:val="0"/>
                <w:sz w:val="24"/>
              </w:rPr>
            </w:pPr>
            <w:r>
              <w:rPr>
                <w:rFonts w:hint="eastAsia" w:ascii="宋体" w:hAnsi="宋体" w:cs="宋体"/>
                <w:b/>
                <w:kern w:val="0"/>
                <w:sz w:val="24"/>
              </w:rPr>
              <w:t>投标响应</w:t>
            </w:r>
          </w:p>
        </w:tc>
      </w:tr>
      <w:tr w14:paraId="4D2D1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26" w:type="dxa"/>
            <w:vAlign w:val="center"/>
          </w:tcPr>
          <w:p w14:paraId="4D2D131F">
            <w:pPr>
              <w:jc w:val="center"/>
              <w:rPr>
                <w:rFonts w:hint="eastAsia" w:ascii="宋体" w:hAnsi="宋体" w:cs="宋体"/>
                <w:bCs/>
                <w:kern w:val="0"/>
                <w:sz w:val="24"/>
              </w:rPr>
            </w:pPr>
            <w:r>
              <w:rPr>
                <w:rFonts w:hint="eastAsia" w:ascii="宋体" w:hAnsi="宋体" w:cs="宋体"/>
                <w:bCs/>
                <w:kern w:val="0"/>
                <w:sz w:val="24"/>
              </w:rPr>
              <w:t>1</w:t>
            </w:r>
          </w:p>
        </w:tc>
        <w:tc>
          <w:tcPr>
            <w:tcW w:w="6738" w:type="dxa"/>
            <w:vAlign w:val="center"/>
          </w:tcPr>
          <w:p w14:paraId="4D2D1320">
            <w:pPr>
              <w:rPr>
                <w:rFonts w:hint="eastAsia" w:ascii="宋体" w:hAnsi="宋体" w:cs="宋体"/>
                <w:bCs/>
                <w:kern w:val="0"/>
                <w:sz w:val="24"/>
              </w:rPr>
            </w:pPr>
            <w:r>
              <w:rPr>
                <w:rFonts w:hint="eastAsia" w:ascii="宋体" w:hAnsi="宋体" w:cs="宋体"/>
                <w:bCs/>
                <w:kern w:val="0"/>
                <w:sz w:val="24"/>
              </w:rPr>
              <w:t>维保服务设备：飞利浦 Intera 1.5T核磁共振整机一台。</w:t>
            </w:r>
          </w:p>
        </w:tc>
        <w:tc>
          <w:tcPr>
            <w:tcW w:w="1214" w:type="dxa"/>
            <w:vAlign w:val="center"/>
          </w:tcPr>
          <w:p w14:paraId="4D2D1321">
            <w:pPr>
              <w:rPr>
                <w:rFonts w:hint="eastAsia" w:ascii="宋体" w:hAnsi="宋体" w:cs="宋体"/>
                <w:bCs/>
                <w:kern w:val="0"/>
                <w:sz w:val="24"/>
              </w:rPr>
            </w:pPr>
          </w:p>
        </w:tc>
      </w:tr>
      <w:tr w14:paraId="4D2D1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6" w:type="dxa"/>
            <w:vAlign w:val="center"/>
          </w:tcPr>
          <w:p w14:paraId="4D2D1323">
            <w:pPr>
              <w:jc w:val="center"/>
              <w:rPr>
                <w:rFonts w:hint="eastAsia" w:ascii="宋体" w:hAnsi="宋体" w:cs="宋体"/>
                <w:bCs/>
                <w:kern w:val="0"/>
                <w:sz w:val="24"/>
              </w:rPr>
            </w:pPr>
            <w:r>
              <w:rPr>
                <w:rFonts w:hint="eastAsia" w:ascii="宋体" w:hAnsi="宋体" w:cs="宋体"/>
                <w:bCs/>
                <w:kern w:val="0"/>
                <w:sz w:val="24"/>
              </w:rPr>
              <w:t>▲2</w:t>
            </w:r>
          </w:p>
        </w:tc>
        <w:tc>
          <w:tcPr>
            <w:tcW w:w="6738" w:type="dxa"/>
            <w:vAlign w:val="center"/>
          </w:tcPr>
          <w:p w14:paraId="4D2D1324">
            <w:pPr>
              <w:rPr>
                <w:rFonts w:hint="eastAsia" w:ascii="宋体" w:hAnsi="宋体" w:cs="宋体"/>
                <w:bCs/>
                <w:kern w:val="0"/>
                <w:sz w:val="24"/>
              </w:rPr>
            </w:pPr>
            <w:r>
              <w:rPr>
                <w:rFonts w:hint="eastAsia" w:ascii="宋体" w:hAnsi="宋体" w:cs="宋体"/>
                <w:bCs/>
                <w:kern w:val="0"/>
                <w:sz w:val="24"/>
              </w:rPr>
              <w:t>服务内容：整机全保服务（整机及附属设备的维修、保养所涉及的所有零部件、人工服务，包括磁体、线圈、水冷机、冷却系统（包括正常消耗及失超恢复液氦、冷头）、精密空调、工作站等）。包含飞利浦型号为BV Endura和BV libra的移动C臂X线机的技术保修（不含配件）。</w:t>
            </w:r>
          </w:p>
        </w:tc>
        <w:tc>
          <w:tcPr>
            <w:tcW w:w="1214" w:type="dxa"/>
            <w:vAlign w:val="center"/>
          </w:tcPr>
          <w:p w14:paraId="4D2D1325">
            <w:pPr>
              <w:rPr>
                <w:rFonts w:hint="eastAsia" w:ascii="宋体" w:hAnsi="宋体" w:cs="宋体"/>
                <w:bCs/>
                <w:kern w:val="0"/>
                <w:sz w:val="24"/>
              </w:rPr>
            </w:pPr>
          </w:p>
        </w:tc>
      </w:tr>
      <w:tr w14:paraId="4D2D1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6" w:type="dxa"/>
            <w:vAlign w:val="center"/>
          </w:tcPr>
          <w:p w14:paraId="4D2D1327">
            <w:pPr>
              <w:jc w:val="center"/>
              <w:rPr>
                <w:rFonts w:hint="eastAsia" w:ascii="宋体" w:hAnsi="宋体" w:cs="宋体"/>
                <w:bCs/>
                <w:kern w:val="0"/>
                <w:sz w:val="24"/>
              </w:rPr>
            </w:pPr>
            <w:r>
              <w:rPr>
                <w:rFonts w:hint="eastAsia" w:ascii="宋体" w:hAnsi="宋体" w:cs="宋体"/>
                <w:bCs/>
                <w:kern w:val="0"/>
                <w:sz w:val="24"/>
              </w:rPr>
              <w:t>★3</w:t>
            </w:r>
          </w:p>
        </w:tc>
        <w:tc>
          <w:tcPr>
            <w:tcW w:w="6738" w:type="dxa"/>
            <w:vAlign w:val="center"/>
          </w:tcPr>
          <w:p w14:paraId="16733C79">
            <w:pPr>
              <w:rPr>
                <w:rFonts w:hint="eastAsia" w:ascii="宋体" w:hAnsi="宋体" w:cs="宋体"/>
                <w:bCs/>
                <w:kern w:val="0"/>
                <w:sz w:val="24"/>
                <w:highlight w:val="none"/>
                <w:lang w:eastAsia="zh-CN"/>
              </w:rPr>
            </w:pPr>
            <w:r>
              <w:rPr>
                <w:rFonts w:hint="eastAsia" w:ascii="宋体" w:hAnsi="宋体" w:cs="宋体"/>
                <w:bCs/>
                <w:kern w:val="0"/>
                <w:sz w:val="24"/>
                <w:highlight w:val="none"/>
              </w:rPr>
              <w:t>投标人必须具备处理飞利浦MR重大故障的能力</w:t>
            </w:r>
            <w:r>
              <w:rPr>
                <w:rFonts w:hint="eastAsia" w:ascii="宋体" w:hAnsi="宋体" w:cs="宋体"/>
                <w:bCs/>
                <w:kern w:val="0"/>
                <w:sz w:val="24"/>
                <w:highlight w:val="none"/>
                <w:lang w:eastAsia="zh-CN"/>
              </w:rPr>
              <w:t>。</w:t>
            </w:r>
          </w:p>
          <w:p w14:paraId="4D2D1328">
            <w:pPr>
              <w:rPr>
                <w:rFonts w:hint="eastAsia" w:ascii="宋体" w:hAnsi="宋体" w:cs="宋体"/>
                <w:bCs/>
                <w:kern w:val="0"/>
                <w:sz w:val="24"/>
                <w:highlight w:val="none"/>
              </w:rPr>
            </w:pPr>
            <w:r>
              <w:rPr>
                <w:rFonts w:hint="eastAsia" w:ascii="宋体" w:hAnsi="宋体" w:cs="宋体"/>
                <w:b/>
                <w:bCs w:val="0"/>
                <w:kern w:val="0"/>
                <w:sz w:val="24"/>
                <w:highlight w:val="none"/>
                <w:lang w:val="en-US" w:eastAsia="zh-CN"/>
              </w:rPr>
              <w:t>注：投标文件中须</w:t>
            </w:r>
            <w:r>
              <w:rPr>
                <w:rFonts w:hint="eastAsia" w:ascii="宋体" w:hAnsi="宋体" w:cs="宋体"/>
                <w:b/>
                <w:bCs w:val="0"/>
                <w:kern w:val="0"/>
                <w:sz w:val="24"/>
                <w:highlight w:val="none"/>
              </w:rPr>
              <w:t>提供失超恢复</w:t>
            </w:r>
            <w:r>
              <w:rPr>
                <w:rFonts w:hint="eastAsia" w:ascii="宋体" w:hAnsi="宋体" w:cs="宋体"/>
                <w:b/>
                <w:bCs w:val="0"/>
                <w:kern w:val="0"/>
                <w:sz w:val="24"/>
                <w:highlight w:val="none"/>
                <w:lang w:eastAsia="zh-CN"/>
              </w:rPr>
              <w:t>、</w:t>
            </w:r>
            <w:r>
              <w:rPr>
                <w:rFonts w:hint="eastAsia" w:ascii="宋体" w:hAnsi="宋体" w:cs="宋体"/>
                <w:b/>
                <w:bCs w:val="0"/>
                <w:kern w:val="0"/>
                <w:sz w:val="24"/>
                <w:highlight w:val="none"/>
              </w:rPr>
              <w:t>退磁励磁</w:t>
            </w:r>
            <w:r>
              <w:rPr>
                <w:rFonts w:hint="eastAsia" w:ascii="宋体" w:hAnsi="宋体" w:cs="宋体"/>
                <w:b/>
                <w:bCs w:val="0"/>
                <w:kern w:val="0"/>
                <w:sz w:val="24"/>
                <w:highlight w:val="none"/>
                <w:lang w:eastAsia="zh-CN"/>
              </w:rPr>
              <w:t>、</w:t>
            </w:r>
            <w:r>
              <w:rPr>
                <w:rFonts w:hint="eastAsia" w:ascii="宋体" w:hAnsi="宋体" w:cs="宋体"/>
                <w:b/>
                <w:bCs w:val="0"/>
                <w:kern w:val="0"/>
                <w:sz w:val="24"/>
                <w:highlight w:val="none"/>
              </w:rPr>
              <w:t>更换冷头的详细实施方案</w:t>
            </w:r>
            <w:r>
              <w:rPr>
                <w:rFonts w:hint="eastAsia" w:ascii="宋体" w:hAnsi="宋体" w:cs="宋体"/>
                <w:b/>
                <w:bCs w:val="0"/>
                <w:kern w:val="0"/>
                <w:sz w:val="24"/>
                <w:highlight w:val="none"/>
                <w:lang w:val="en-US" w:eastAsia="zh-CN"/>
              </w:rPr>
              <w:t>或相关证明材料，未提供视为负偏离</w:t>
            </w:r>
            <w:r>
              <w:rPr>
                <w:rFonts w:hint="eastAsia" w:ascii="宋体" w:hAnsi="宋体" w:cs="宋体"/>
                <w:b/>
                <w:bCs w:val="0"/>
                <w:kern w:val="0"/>
                <w:sz w:val="24"/>
                <w:highlight w:val="none"/>
              </w:rPr>
              <w:t>。</w:t>
            </w:r>
          </w:p>
        </w:tc>
        <w:tc>
          <w:tcPr>
            <w:tcW w:w="1214" w:type="dxa"/>
            <w:vAlign w:val="center"/>
          </w:tcPr>
          <w:p w14:paraId="4D2D1329">
            <w:pPr>
              <w:rPr>
                <w:rFonts w:hint="eastAsia" w:ascii="宋体" w:hAnsi="宋体" w:cs="宋体"/>
                <w:bCs/>
                <w:kern w:val="0"/>
                <w:sz w:val="24"/>
              </w:rPr>
            </w:pPr>
          </w:p>
        </w:tc>
      </w:tr>
      <w:tr w14:paraId="4D2D1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926" w:type="dxa"/>
            <w:vAlign w:val="center"/>
          </w:tcPr>
          <w:p w14:paraId="4D2D132B">
            <w:pPr>
              <w:jc w:val="center"/>
              <w:rPr>
                <w:rFonts w:hint="eastAsia" w:ascii="宋体" w:hAnsi="宋体" w:cs="宋体"/>
                <w:bCs/>
                <w:kern w:val="0"/>
                <w:sz w:val="24"/>
              </w:rPr>
            </w:pPr>
            <w:r>
              <w:rPr>
                <w:rFonts w:hint="eastAsia" w:ascii="宋体" w:hAnsi="宋体" w:cs="宋体"/>
                <w:bCs/>
                <w:kern w:val="0"/>
                <w:sz w:val="24"/>
              </w:rPr>
              <w:t>4</w:t>
            </w:r>
          </w:p>
        </w:tc>
        <w:tc>
          <w:tcPr>
            <w:tcW w:w="6738" w:type="dxa"/>
            <w:vAlign w:val="center"/>
          </w:tcPr>
          <w:p w14:paraId="4D2D132C">
            <w:pPr>
              <w:rPr>
                <w:rFonts w:hint="eastAsia" w:ascii="宋体" w:hAnsi="宋体" w:cs="宋体"/>
                <w:bCs/>
                <w:kern w:val="0"/>
                <w:sz w:val="24"/>
              </w:rPr>
            </w:pPr>
            <w:r>
              <w:rPr>
                <w:rFonts w:hint="eastAsia" w:ascii="宋体" w:hAnsi="宋体" w:cs="宋体"/>
                <w:bCs/>
                <w:kern w:val="0"/>
                <w:sz w:val="24"/>
              </w:rPr>
              <w:t>提供全年365天</w:t>
            </w:r>
            <w:r>
              <w:rPr>
                <w:rFonts w:ascii="Arial" w:hAnsi="Arial" w:cs="Arial"/>
                <w:bCs/>
                <w:kern w:val="0"/>
                <w:sz w:val="24"/>
              </w:rPr>
              <w:t>×</w:t>
            </w:r>
            <w:r>
              <w:rPr>
                <w:rFonts w:hint="eastAsia" w:ascii="宋体" w:hAnsi="宋体" w:cs="宋体"/>
                <w:bCs/>
                <w:kern w:val="0"/>
                <w:sz w:val="24"/>
              </w:rPr>
              <w:t>24小时客服售后服务热线电话。供应商必须在接获报修电话后，提供突发性问题的解决措施及特殊紧急的合理化处理措施。接到故障报修电话后1小时内响应，24小时内到达现场进行维修（包括节假日）。</w:t>
            </w:r>
          </w:p>
        </w:tc>
        <w:tc>
          <w:tcPr>
            <w:tcW w:w="1214" w:type="dxa"/>
            <w:vAlign w:val="center"/>
          </w:tcPr>
          <w:p w14:paraId="4D2D132D">
            <w:pPr>
              <w:rPr>
                <w:rFonts w:hint="eastAsia" w:ascii="宋体" w:hAnsi="宋体" w:cs="宋体"/>
                <w:bCs/>
                <w:kern w:val="0"/>
                <w:sz w:val="24"/>
              </w:rPr>
            </w:pPr>
          </w:p>
        </w:tc>
      </w:tr>
      <w:tr w14:paraId="4D2D1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6" w:type="dxa"/>
            <w:vAlign w:val="center"/>
          </w:tcPr>
          <w:p w14:paraId="4D2D132F">
            <w:pPr>
              <w:jc w:val="center"/>
              <w:rPr>
                <w:rFonts w:hint="eastAsia" w:ascii="宋体" w:hAnsi="宋体" w:cs="宋体"/>
                <w:bCs/>
                <w:kern w:val="0"/>
                <w:sz w:val="24"/>
              </w:rPr>
            </w:pPr>
            <w:r>
              <w:rPr>
                <w:rFonts w:hint="eastAsia" w:ascii="宋体" w:hAnsi="宋体" w:cs="宋体"/>
                <w:bCs/>
                <w:kern w:val="0"/>
                <w:sz w:val="24"/>
              </w:rPr>
              <w:t>5</w:t>
            </w:r>
          </w:p>
        </w:tc>
        <w:tc>
          <w:tcPr>
            <w:tcW w:w="6738" w:type="dxa"/>
            <w:vAlign w:val="center"/>
          </w:tcPr>
          <w:p w14:paraId="4D2D1330">
            <w:pPr>
              <w:rPr>
                <w:rFonts w:hint="eastAsia" w:ascii="宋体" w:hAnsi="宋体" w:cs="宋体"/>
                <w:bCs/>
                <w:kern w:val="0"/>
                <w:sz w:val="24"/>
              </w:rPr>
            </w:pPr>
            <w:r>
              <w:rPr>
                <w:rFonts w:hint="eastAsia" w:ascii="宋体" w:hAnsi="宋体" w:cs="宋体"/>
                <w:bCs/>
                <w:kern w:val="0"/>
                <w:sz w:val="24"/>
              </w:rPr>
              <w:t>服务期内每台设备年开机率大于95%（按每年365日计算），小于95%开机率超过1天，保修期顺延10天。若开机率低于90%，则采购人有权利单方解除合同。</w:t>
            </w:r>
          </w:p>
        </w:tc>
        <w:tc>
          <w:tcPr>
            <w:tcW w:w="1214" w:type="dxa"/>
            <w:vAlign w:val="center"/>
          </w:tcPr>
          <w:p w14:paraId="4D2D1331">
            <w:pPr>
              <w:rPr>
                <w:rFonts w:hint="eastAsia" w:ascii="宋体" w:hAnsi="宋体" w:cs="宋体"/>
                <w:bCs/>
                <w:kern w:val="0"/>
                <w:sz w:val="24"/>
              </w:rPr>
            </w:pPr>
          </w:p>
        </w:tc>
      </w:tr>
      <w:tr w14:paraId="4D2D1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6" w:type="dxa"/>
            <w:vAlign w:val="center"/>
          </w:tcPr>
          <w:p w14:paraId="4D2D1333">
            <w:pPr>
              <w:jc w:val="center"/>
              <w:rPr>
                <w:rFonts w:hint="eastAsia" w:ascii="宋体" w:hAnsi="宋体" w:cs="宋体"/>
                <w:bCs/>
                <w:kern w:val="0"/>
                <w:sz w:val="24"/>
              </w:rPr>
            </w:pPr>
            <w:r>
              <w:rPr>
                <w:rFonts w:hint="eastAsia" w:ascii="宋体" w:hAnsi="宋体" w:cs="宋体"/>
                <w:bCs/>
                <w:kern w:val="0"/>
                <w:sz w:val="24"/>
              </w:rPr>
              <w:t>6</w:t>
            </w:r>
          </w:p>
        </w:tc>
        <w:tc>
          <w:tcPr>
            <w:tcW w:w="6738" w:type="dxa"/>
            <w:vAlign w:val="center"/>
          </w:tcPr>
          <w:p w14:paraId="4D2D1334">
            <w:pPr>
              <w:rPr>
                <w:rFonts w:hint="eastAsia" w:ascii="宋体" w:hAnsi="宋体" w:cs="宋体"/>
                <w:bCs/>
                <w:kern w:val="0"/>
                <w:sz w:val="24"/>
              </w:rPr>
            </w:pPr>
            <w:r>
              <w:rPr>
                <w:rFonts w:hint="eastAsia" w:ascii="宋体" w:hAnsi="宋体" w:cs="宋体"/>
                <w:bCs/>
                <w:kern w:val="0"/>
                <w:sz w:val="24"/>
              </w:rPr>
              <w:t>一般故障修复时间应在24小时之内；若1年有3次或以上故障修复时间超过72小时，则采购人有权利单方解除合同。</w:t>
            </w:r>
          </w:p>
        </w:tc>
        <w:tc>
          <w:tcPr>
            <w:tcW w:w="1214" w:type="dxa"/>
            <w:vAlign w:val="center"/>
          </w:tcPr>
          <w:p w14:paraId="4D2D1335">
            <w:pPr>
              <w:rPr>
                <w:rFonts w:hint="eastAsia" w:ascii="宋体" w:hAnsi="宋体" w:cs="宋体"/>
                <w:bCs/>
                <w:kern w:val="0"/>
                <w:sz w:val="24"/>
              </w:rPr>
            </w:pPr>
          </w:p>
        </w:tc>
      </w:tr>
      <w:tr w14:paraId="4D2D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6" w:type="dxa"/>
            <w:vAlign w:val="center"/>
          </w:tcPr>
          <w:p w14:paraId="4D2D1337">
            <w:pPr>
              <w:jc w:val="center"/>
              <w:rPr>
                <w:rFonts w:hint="eastAsia" w:ascii="宋体" w:hAnsi="宋体" w:cs="宋体"/>
                <w:bCs/>
                <w:kern w:val="0"/>
                <w:sz w:val="24"/>
              </w:rPr>
            </w:pPr>
            <w:r>
              <w:rPr>
                <w:rFonts w:hint="eastAsia" w:ascii="宋体" w:hAnsi="宋体" w:cs="宋体"/>
                <w:bCs/>
                <w:kern w:val="0"/>
                <w:sz w:val="24"/>
              </w:rPr>
              <w:t>7</w:t>
            </w:r>
          </w:p>
        </w:tc>
        <w:tc>
          <w:tcPr>
            <w:tcW w:w="6738" w:type="dxa"/>
            <w:vAlign w:val="center"/>
          </w:tcPr>
          <w:p w14:paraId="4D2D1338">
            <w:pPr>
              <w:rPr>
                <w:rFonts w:hint="eastAsia" w:ascii="宋体" w:hAnsi="宋体" w:cs="宋体"/>
                <w:bCs/>
                <w:kern w:val="0"/>
                <w:sz w:val="24"/>
              </w:rPr>
            </w:pPr>
            <w:r>
              <w:rPr>
                <w:rFonts w:hint="eastAsia" w:ascii="宋体" w:hAnsi="宋体" w:cs="宋体"/>
                <w:bCs/>
                <w:kern w:val="0"/>
                <w:sz w:val="24"/>
              </w:rPr>
              <w:t>服务期间，若磁共振线圈故障且无法及时修复的，应提供同型号备用线圈供医院使用，否则视同设备故障，故障时间计算在开机率内。</w:t>
            </w:r>
          </w:p>
        </w:tc>
        <w:tc>
          <w:tcPr>
            <w:tcW w:w="1214" w:type="dxa"/>
            <w:vAlign w:val="center"/>
          </w:tcPr>
          <w:p w14:paraId="4D2D1339">
            <w:pPr>
              <w:rPr>
                <w:rFonts w:hint="eastAsia" w:ascii="宋体" w:hAnsi="宋体" w:cs="宋体"/>
                <w:bCs/>
                <w:kern w:val="0"/>
                <w:sz w:val="24"/>
              </w:rPr>
            </w:pPr>
          </w:p>
        </w:tc>
      </w:tr>
      <w:tr w14:paraId="4D2D1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6" w:type="dxa"/>
            <w:vAlign w:val="center"/>
          </w:tcPr>
          <w:p w14:paraId="4D2D133B">
            <w:pPr>
              <w:jc w:val="center"/>
              <w:rPr>
                <w:rFonts w:hint="eastAsia" w:ascii="宋体" w:hAnsi="宋体" w:cs="宋体"/>
                <w:bCs/>
                <w:kern w:val="0"/>
                <w:sz w:val="24"/>
              </w:rPr>
            </w:pPr>
            <w:r>
              <w:rPr>
                <w:rFonts w:hint="eastAsia" w:ascii="宋体" w:hAnsi="宋体" w:cs="宋体"/>
                <w:bCs/>
                <w:kern w:val="0"/>
                <w:sz w:val="24"/>
              </w:rPr>
              <w:t>★8</w:t>
            </w:r>
          </w:p>
        </w:tc>
        <w:tc>
          <w:tcPr>
            <w:tcW w:w="6738" w:type="dxa"/>
            <w:vAlign w:val="center"/>
          </w:tcPr>
          <w:p w14:paraId="4D2D133C">
            <w:pPr>
              <w:rPr>
                <w:rFonts w:hint="eastAsia" w:ascii="宋体" w:hAnsi="宋体" w:cs="宋体"/>
                <w:bCs/>
                <w:kern w:val="0"/>
                <w:sz w:val="24"/>
              </w:rPr>
            </w:pPr>
            <w:r>
              <w:rPr>
                <w:rFonts w:hint="eastAsia" w:ascii="宋体" w:hAnsi="宋体" w:cs="宋体"/>
                <w:bCs/>
                <w:kern w:val="0"/>
                <w:sz w:val="24"/>
              </w:rPr>
              <w:t>服务期内，每年提供2次定期维护保养，制定维保计划，维保内容包括设备清洁、性能测试及校准、必要的机械或电气的检查，以及非紧急性质的预防性维修，并定期对设备的数据进行备份，以及确保系统能按照制造商的产品规格运行的其它维护。列出维护易耗件清单及更换周期。每次维护保养后提供详细的服务报告，年终提供年度维修保养档案，档案包含全年度的保养报告、巡检报告、维修报告等。投标时提供年度维保档案样本。</w:t>
            </w:r>
          </w:p>
        </w:tc>
        <w:tc>
          <w:tcPr>
            <w:tcW w:w="1214" w:type="dxa"/>
            <w:vAlign w:val="center"/>
          </w:tcPr>
          <w:p w14:paraId="4D2D133D">
            <w:pPr>
              <w:rPr>
                <w:rFonts w:hint="eastAsia" w:ascii="宋体" w:hAnsi="宋体" w:cs="宋体"/>
                <w:bCs/>
                <w:kern w:val="0"/>
                <w:sz w:val="24"/>
              </w:rPr>
            </w:pPr>
          </w:p>
        </w:tc>
      </w:tr>
      <w:tr w14:paraId="4D2D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6" w:type="dxa"/>
            <w:vAlign w:val="center"/>
          </w:tcPr>
          <w:p w14:paraId="4D2D133F">
            <w:pPr>
              <w:jc w:val="center"/>
              <w:rPr>
                <w:rFonts w:hint="eastAsia" w:ascii="宋体" w:hAnsi="宋体" w:cs="宋体"/>
                <w:bCs/>
                <w:kern w:val="0"/>
                <w:sz w:val="24"/>
              </w:rPr>
            </w:pPr>
            <w:r>
              <w:rPr>
                <w:rFonts w:hint="eastAsia" w:ascii="宋体" w:hAnsi="宋体" w:cs="宋体"/>
                <w:bCs/>
                <w:kern w:val="0"/>
                <w:sz w:val="24"/>
              </w:rPr>
              <w:t>★9</w:t>
            </w:r>
          </w:p>
        </w:tc>
        <w:tc>
          <w:tcPr>
            <w:tcW w:w="6738" w:type="dxa"/>
            <w:vAlign w:val="center"/>
          </w:tcPr>
          <w:p w14:paraId="4D2D1340">
            <w:pPr>
              <w:rPr>
                <w:rFonts w:hint="eastAsia" w:ascii="宋体" w:hAnsi="宋体" w:cs="宋体"/>
                <w:bCs/>
                <w:kern w:val="0"/>
                <w:sz w:val="24"/>
              </w:rPr>
            </w:pPr>
            <w:r>
              <w:rPr>
                <w:rFonts w:hint="eastAsia" w:ascii="宋体" w:hAnsi="宋体" w:cs="宋体"/>
                <w:bCs/>
                <w:kern w:val="0"/>
                <w:sz w:val="24"/>
              </w:rPr>
              <w:t>供应商有长期稳定的服务机构，服务机构需配备至少2名全职的、具有与本项目维保设备相关联的经过原厂培训或认证过的维修工程师。</w:t>
            </w:r>
          </w:p>
          <w:p w14:paraId="4D2D1341">
            <w:pPr>
              <w:rPr>
                <w:rFonts w:hint="eastAsia" w:ascii="宋体" w:hAnsi="宋体" w:cs="宋体"/>
                <w:bCs/>
                <w:kern w:val="0"/>
                <w:sz w:val="24"/>
              </w:rPr>
            </w:pPr>
            <w:r>
              <w:rPr>
                <w:rFonts w:hint="eastAsia" w:ascii="宋体" w:hAnsi="宋体" w:cs="宋体"/>
                <w:b/>
                <w:kern w:val="0"/>
                <w:sz w:val="24"/>
              </w:rPr>
              <w:t>注：投标文件中须提供原厂培训合格证书及近3个月内供应商单位为其缴纳社保的证明资料复印件加盖供应商公章，未提供或提供不全的视为负偏离。</w:t>
            </w:r>
          </w:p>
        </w:tc>
        <w:tc>
          <w:tcPr>
            <w:tcW w:w="1214" w:type="dxa"/>
            <w:vAlign w:val="center"/>
          </w:tcPr>
          <w:p w14:paraId="4D2D1342">
            <w:pPr>
              <w:rPr>
                <w:rFonts w:hint="eastAsia" w:ascii="宋体" w:hAnsi="宋体" w:cs="宋体"/>
                <w:bCs/>
                <w:kern w:val="0"/>
                <w:sz w:val="24"/>
              </w:rPr>
            </w:pPr>
          </w:p>
        </w:tc>
      </w:tr>
      <w:tr w14:paraId="4D2D1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6" w:type="dxa"/>
            <w:vAlign w:val="center"/>
          </w:tcPr>
          <w:p w14:paraId="4D2D1344">
            <w:pPr>
              <w:jc w:val="center"/>
              <w:rPr>
                <w:rFonts w:hint="eastAsia" w:ascii="宋体" w:hAnsi="宋体" w:cs="宋体"/>
                <w:bCs/>
                <w:kern w:val="0"/>
                <w:sz w:val="24"/>
              </w:rPr>
            </w:pPr>
            <w:r>
              <w:rPr>
                <w:rFonts w:hint="eastAsia" w:ascii="宋体" w:hAnsi="宋体" w:cs="宋体"/>
                <w:bCs/>
                <w:kern w:val="0"/>
                <w:sz w:val="24"/>
              </w:rPr>
              <w:t>10</w:t>
            </w:r>
          </w:p>
        </w:tc>
        <w:tc>
          <w:tcPr>
            <w:tcW w:w="6738" w:type="dxa"/>
            <w:vAlign w:val="center"/>
          </w:tcPr>
          <w:p w14:paraId="4D2D1345">
            <w:pPr>
              <w:rPr>
                <w:rFonts w:hint="eastAsia" w:ascii="宋体" w:hAnsi="宋体" w:cs="宋体"/>
                <w:bCs/>
                <w:kern w:val="0"/>
                <w:sz w:val="24"/>
              </w:rPr>
            </w:pPr>
            <w:r>
              <w:rPr>
                <w:rFonts w:hint="eastAsia" w:ascii="宋体" w:hAnsi="宋体" w:cs="宋体"/>
                <w:bCs/>
                <w:kern w:val="0"/>
                <w:sz w:val="24"/>
              </w:rPr>
              <w:t>供应商提供的零备件必须与本项目维保设备完全匹配，所有更换的零备件必须为原设备零备件同一生产厂家和同一型号规格的全新合格件。</w:t>
            </w:r>
          </w:p>
          <w:p w14:paraId="4D2D1346">
            <w:pPr>
              <w:rPr>
                <w:rFonts w:hint="eastAsia" w:ascii="宋体" w:hAnsi="宋体" w:cs="宋体"/>
                <w:bCs/>
                <w:kern w:val="0"/>
                <w:sz w:val="24"/>
              </w:rPr>
            </w:pPr>
            <w:r>
              <w:rPr>
                <w:rFonts w:hint="eastAsia" w:ascii="宋体" w:hAnsi="宋体" w:cs="宋体"/>
                <w:b/>
                <w:kern w:val="0"/>
                <w:sz w:val="24"/>
              </w:rPr>
              <w:t>注：投标文件中须提供承诺函（格式自拟）及相关证明材料加盖供应商公章，未提供或提供不全的视为负偏离。</w:t>
            </w:r>
          </w:p>
        </w:tc>
        <w:tc>
          <w:tcPr>
            <w:tcW w:w="1214" w:type="dxa"/>
            <w:vAlign w:val="center"/>
          </w:tcPr>
          <w:p w14:paraId="4D2D1347">
            <w:pPr>
              <w:rPr>
                <w:rFonts w:hint="eastAsia" w:ascii="宋体" w:hAnsi="宋体" w:cs="宋体"/>
                <w:bCs/>
                <w:kern w:val="0"/>
                <w:sz w:val="24"/>
              </w:rPr>
            </w:pPr>
          </w:p>
        </w:tc>
      </w:tr>
      <w:tr w14:paraId="4D2D1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6" w:type="dxa"/>
            <w:vAlign w:val="center"/>
          </w:tcPr>
          <w:p w14:paraId="4D2D1349">
            <w:pPr>
              <w:jc w:val="center"/>
              <w:rPr>
                <w:rFonts w:hint="eastAsia" w:ascii="宋体" w:hAnsi="宋体" w:cs="宋体"/>
                <w:bCs/>
                <w:kern w:val="0"/>
                <w:sz w:val="24"/>
              </w:rPr>
            </w:pPr>
            <w:r>
              <w:rPr>
                <w:rFonts w:hint="eastAsia" w:ascii="宋体" w:hAnsi="宋体" w:cs="宋体"/>
                <w:bCs/>
                <w:kern w:val="0"/>
                <w:sz w:val="24"/>
              </w:rPr>
              <w:t>★11</w:t>
            </w:r>
          </w:p>
        </w:tc>
        <w:tc>
          <w:tcPr>
            <w:tcW w:w="6738" w:type="dxa"/>
            <w:vAlign w:val="center"/>
          </w:tcPr>
          <w:p w14:paraId="4D2D134A">
            <w:pPr>
              <w:rPr>
                <w:rFonts w:hint="eastAsia" w:ascii="宋体" w:hAnsi="宋体" w:cs="宋体"/>
                <w:bCs/>
                <w:kern w:val="0"/>
                <w:sz w:val="24"/>
              </w:rPr>
            </w:pPr>
            <w:r>
              <w:rPr>
                <w:rFonts w:hint="eastAsia" w:ascii="宋体" w:hAnsi="宋体" w:cs="宋体"/>
                <w:bCs/>
                <w:kern w:val="0"/>
                <w:sz w:val="24"/>
              </w:rPr>
              <w:t>供应商必须具备充足的备件供应能力，要求供应商必须在国内设有专业、充足的设备零备件仓库。</w:t>
            </w:r>
          </w:p>
          <w:p w14:paraId="4D2D134B">
            <w:pPr>
              <w:rPr>
                <w:rFonts w:hint="eastAsia" w:ascii="宋体" w:hAnsi="宋体" w:cs="宋体"/>
                <w:bCs/>
                <w:kern w:val="0"/>
                <w:sz w:val="24"/>
              </w:rPr>
            </w:pPr>
            <w:r>
              <w:rPr>
                <w:rFonts w:hint="eastAsia" w:ascii="宋体" w:hAnsi="宋体" w:cs="宋体"/>
                <w:b/>
                <w:kern w:val="0"/>
                <w:sz w:val="24"/>
              </w:rPr>
              <w:t>注：投标文件中须提供证明说明文件加盖供应商公章，未提供视为负偏离</w:t>
            </w:r>
            <w:r>
              <w:rPr>
                <w:rFonts w:hint="eastAsia" w:ascii="宋体" w:hAnsi="宋体" w:cs="宋体"/>
                <w:bCs/>
                <w:kern w:val="0"/>
                <w:sz w:val="24"/>
              </w:rPr>
              <w:t>。</w:t>
            </w:r>
          </w:p>
        </w:tc>
        <w:tc>
          <w:tcPr>
            <w:tcW w:w="1214" w:type="dxa"/>
            <w:vAlign w:val="center"/>
          </w:tcPr>
          <w:p w14:paraId="4D2D134C">
            <w:pPr>
              <w:rPr>
                <w:rFonts w:hint="eastAsia" w:ascii="宋体" w:hAnsi="宋体" w:cs="宋体"/>
                <w:bCs/>
                <w:kern w:val="0"/>
                <w:sz w:val="24"/>
              </w:rPr>
            </w:pPr>
          </w:p>
        </w:tc>
      </w:tr>
      <w:tr w14:paraId="4D2D1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6" w:type="dxa"/>
            <w:vAlign w:val="center"/>
          </w:tcPr>
          <w:p w14:paraId="4D2D134E">
            <w:pPr>
              <w:jc w:val="center"/>
              <w:rPr>
                <w:rFonts w:hint="eastAsia" w:ascii="宋体" w:hAnsi="宋体" w:cs="宋体"/>
                <w:bCs/>
                <w:kern w:val="0"/>
                <w:sz w:val="24"/>
              </w:rPr>
            </w:pPr>
            <w:r>
              <w:rPr>
                <w:rFonts w:hint="eastAsia" w:ascii="宋体" w:hAnsi="宋体" w:cs="宋体"/>
                <w:bCs/>
                <w:kern w:val="0"/>
                <w:sz w:val="24"/>
              </w:rPr>
              <w:t>12</w:t>
            </w:r>
          </w:p>
        </w:tc>
        <w:tc>
          <w:tcPr>
            <w:tcW w:w="6738" w:type="dxa"/>
            <w:vAlign w:val="center"/>
          </w:tcPr>
          <w:p w14:paraId="4D2D134F">
            <w:pPr>
              <w:rPr>
                <w:rFonts w:hint="eastAsia" w:ascii="宋体" w:hAnsi="宋体" w:cs="宋体"/>
                <w:bCs/>
                <w:kern w:val="0"/>
                <w:sz w:val="24"/>
              </w:rPr>
            </w:pPr>
            <w:r>
              <w:rPr>
                <w:rFonts w:hint="eastAsia" w:ascii="宋体" w:hAnsi="宋体" w:cs="宋体"/>
                <w:bCs/>
                <w:kern w:val="0"/>
                <w:sz w:val="24"/>
              </w:rPr>
              <w:t>供应商具备提供重要核心备件的能力，能提供相应核心备件的进货证明。</w:t>
            </w:r>
          </w:p>
        </w:tc>
        <w:tc>
          <w:tcPr>
            <w:tcW w:w="1214" w:type="dxa"/>
            <w:vAlign w:val="center"/>
          </w:tcPr>
          <w:p w14:paraId="4D2D1350">
            <w:pPr>
              <w:rPr>
                <w:rFonts w:hint="eastAsia" w:ascii="宋体" w:hAnsi="宋体" w:cs="宋体"/>
                <w:bCs/>
                <w:kern w:val="0"/>
                <w:sz w:val="24"/>
              </w:rPr>
            </w:pPr>
          </w:p>
        </w:tc>
      </w:tr>
      <w:tr w14:paraId="4D2D1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6" w:type="dxa"/>
            <w:vAlign w:val="center"/>
          </w:tcPr>
          <w:p w14:paraId="4D2D1352">
            <w:pPr>
              <w:jc w:val="center"/>
              <w:rPr>
                <w:rFonts w:hint="eastAsia" w:ascii="宋体" w:hAnsi="宋体" w:cs="宋体"/>
                <w:bCs/>
                <w:kern w:val="0"/>
                <w:sz w:val="24"/>
              </w:rPr>
            </w:pPr>
            <w:r>
              <w:rPr>
                <w:rFonts w:hint="eastAsia" w:ascii="宋体" w:hAnsi="宋体" w:cs="宋体"/>
                <w:bCs/>
                <w:kern w:val="0"/>
                <w:sz w:val="24"/>
              </w:rPr>
              <w:t>13</w:t>
            </w:r>
          </w:p>
        </w:tc>
        <w:tc>
          <w:tcPr>
            <w:tcW w:w="6738" w:type="dxa"/>
            <w:vAlign w:val="center"/>
          </w:tcPr>
          <w:p w14:paraId="4D2D1353">
            <w:pPr>
              <w:rPr>
                <w:rFonts w:hint="eastAsia" w:ascii="宋体" w:hAnsi="宋体" w:cs="宋体"/>
                <w:bCs/>
                <w:kern w:val="0"/>
                <w:sz w:val="24"/>
              </w:rPr>
            </w:pPr>
            <w:r>
              <w:rPr>
                <w:rFonts w:hint="eastAsia" w:ascii="宋体" w:hAnsi="宋体" w:cs="宋体"/>
                <w:bCs/>
                <w:kern w:val="0"/>
                <w:sz w:val="24"/>
              </w:rPr>
              <w:t>零备件优先使用权：采购人如需更换零备件，可以优先使用供应商的备件。供应商在接到采购人的需求申请后，应优先处理其诉求。</w:t>
            </w:r>
          </w:p>
        </w:tc>
        <w:tc>
          <w:tcPr>
            <w:tcW w:w="1214" w:type="dxa"/>
            <w:vAlign w:val="center"/>
          </w:tcPr>
          <w:p w14:paraId="4D2D1354">
            <w:pPr>
              <w:rPr>
                <w:rFonts w:hint="eastAsia" w:ascii="宋体" w:hAnsi="宋体" w:cs="宋体"/>
                <w:bCs/>
                <w:kern w:val="0"/>
                <w:sz w:val="24"/>
              </w:rPr>
            </w:pPr>
          </w:p>
        </w:tc>
      </w:tr>
      <w:tr w14:paraId="4D2D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6" w:type="dxa"/>
            <w:vAlign w:val="center"/>
          </w:tcPr>
          <w:p w14:paraId="4D2D1356">
            <w:pPr>
              <w:jc w:val="center"/>
              <w:rPr>
                <w:rFonts w:hint="eastAsia" w:ascii="宋体" w:hAnsi="宋体" w:cs="宋体"/>
                <w:bCs/>
                <w:kern w:val="0"/>
                <w:sz w:val="24"/>
              </w:rPr>
            </w:pPr>
            <w:r>
              <w:rPr>
                <w:rFonts w:hint="eastAsia" w:ascii="宋体" w:hAnsi="宋体" w:cs="宋体"/>
                <w:bCs/>
                <w:kern w:val="0"/>
                <w:sz w:val="24"/>
              </w:rPr>
              <w:t>★14</w:t>
            </w:r>
          </w:p>
        </w:tc>
        <w:tc>
          <w:tcPr>
            <w:tcW w:w="6738" w:type="dxa"/>
            <w:vAlign w:val="center"/>
          </w:tcPr>
          <w:p w14:paraId="4D2D1357">
            <w:pPr>
              <w:rPr>
                <w:rFonts w:hint="eastAsia" w:ascii="宋体" w:hAnsi="宋体" w:cs="宋体"/>
                <w:bCs/>
                <w:kern w:val="0"/>
                <w:sz w:val="24"/>
              </w:rPr>
            </w:pPr>
            <w:r>
              <w:rPr>
                <w:rFonts w:hint="eastAsia" w:ascii="宋体" w:hAnsi="宋体" w:cs="宋体"/>
                <w:bCs/>
                <w:kern w:val="0"/>
                <w:sz w:val="24"/>
              </w:rPr>
              <w:t>供应商提供设备维修保养需使用的特殊精密专业工具列表，包括励磁专用工具组、MR匀场成套工具组、冷头维修工具等。</w:t>
            </w:r>
          </w:p>
          <w:p w14:paraId="4D2D1358">
            <w:pPr>
              <w:rPr>
                <w:rFonts w:hint="eastAsia" w:ascii="宋体" w:hAnsi="宋体" w:cs="宋体"/>
                <w:bCs/>
                <w:kern w:val="0"/>
                <w:sz w:val="24"/>
              </w:rPr>
            </w:pPr>
            <w:r>
              <w:rPr>
                <w:rFonts w:hint="eastAsia" w:ascii="宋体" w:hAnsi="宋体" w:cs="宋体"/>
                <w:b/>
                <w:kern w:val="0"/>
                <w:sz w:val="24"/>
              </w:rPr>
              <w:t>注：投标文件中须提供年度国家级校正认证机构或其授权单位出具的有效检测报告，未提供视为负偏离。</w:t>
            </w:r>
          </w:p>
        </w:tc>
        <w:tc>
          <w:tcPr>
            <w:tcW w:w="1214" w:type="dxa"/>
            <w:vAlign w:val="center"/>
          </w:tcPr>
          <w:p w14:paraId="4D2D1359">
            <w:pPr>
              <w:rPr>
                <w:rFonts w:hint="eastAsia" w:ascii="宋体" w:hAnsi="宋体" w:cs="宋体"/>
                <w:bCs/>
                <w:kern w:val="0"/>
                <w:sz w:val="24"/>
              </w:rPr>
            </w:pPr>
          </w:p>
        </w:tc>
      </w:tr>
      <w:tr w14:paraId="4D2D1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6" w:type="dxa"/>
            <w:vAlign w:val="center"/>
          </w:tcPr>
          <w:p w14:paraId="4D2D135B">
            <w:pPr>
              <w:jc w:val="center"/>
              <w:rPr>
                <w:rFonts w:hint="eastAsia" w:ascii="宋体" w:hAnsi="宋体" w:cs="宋体"/>
                <w:bCs/>
                <w:kern w:val="0"/>
                <w:sz w:val="24"/>
              </w:rPr>
            </w:pPr>
            <w:r>
              <w:rPr>
                <w:rFonts w:hint="eastAsia" w:ascii="宋体" w:hAnsi="宋体" w:cs="宋体"/>
                <w:bCs/>
                <w:kern w:val="0"/>
                <w:sz w:val="24"/>
              </w:rPr>
              <w:t>15</w:t>
            </w:r>
          </w:p>
        </w:tc>
        <w:tc>
          <w:tcPr>
            <w:tcW w:w="6738" w:type="dxa"/>
            <w:vAlign w:val="center"/>
          </w:tcPr>
          <w:p w14:paraId="4D2D135C">
            <w:pPr>
              <w:rPr>
                <w:rFonts w:hint="eastAsia" w:ascii="宋体" w:hAnsi="宋体" w:cs="宋体"/>
                <w:bCs/>
                <w:kern w:val="0"/>
                <w:sz w:val="24"/>
              </w:rPr>
            </w:pPr>
            <w:r>
              <w:rPr>
                <w:rFonts w:hint="eastAsia" w:ascii="宋体" w:hAnsi="宋体" w:cs="宋体"/>
                <w:bCs/>
                <w:kern w:val="0"/>
                <w:sz w:val="24"/>
              </w:rPr>
              <w:t>投标人本单位具有完善的服务管理软件系统，以保证后期优质的维保服务，包括核磁远程质控程序、医疗设备管理系统、氦压缩机断电监控管理系统、备件维修管理、派工管理、配件管理、文件备份恢复器、客户管理等。</w:t>
            </w:r>
          </w:p>
          <w:p w14:paraId="4D2D135D">
            <w:pPr>
              <w:rPr>
                <w:rFonts w:hint="eastAsia" w:ascii="宋体" w:hAnsi="宋体" w:cs="宋体"/>
                <w:bCs/>
                <w:kern w:val="0"/>
                <w:sz w:val="24"/>
              </w:rPr>
            </w:pPr>
            <w:r>
              <w:rPr>
                <w:rFonts w:hint="eastAsia" w:ascii="宋体" w:hAnsi="宋体" w:cs="宋体"/>
                <w:b/>
                <w:kern w:val="0"/>
                <w:sz w:val="24"/>
              </w:rPr>
              <w:t>注：投标文件中须提供相关资料证明，未提供视为负偏离。</w:t>
            </w:r>
          </w:p>
        </w:tc>
        <w:tc>
          <w:tcPr>
            <w:tcW w:w="1214" w:type="dxa"/>
            <w:vAlign w:val="center"/>
          </w:tcPr>
          <w:p w14:paraId="4D2D135E">
            <w:pPr>
              <w:rPr>
                <w:rFonts w:hint="eastAsia" w:ascii="宋体" w:hAnsi="宋体" w:cs="宋体"/>
                <w:bCs/>
                <w:kern w:val="0"/>
                <w:sz w:val="24"/>
              </w:rPr>
            </w:pPr>
          </w:p>
        </w:tc>
      </w:tr>
    </w:tbl>
    <w:p w14:paraId="4D2D1368">
      <w:pPr>
        <w:rPr>
          <w:rFonts w:hint="eastAsia" w:ascii="宋体" w:hAnsi="宋体" w:cs="宋体"/>
          <w:b/>
          <w:kern w:val="0"/>
          <w:sz w:val="24"/>
        </w:rPr>
      </w:pPr>
      <w:r>
        <w:rPr>
          <w:rFonts w:hint="eastAsia" w:ascii="宋体" w:hAnsi="宋体" w:cs="宋体"/>
          <w:b/>
          <w:kern w:val="0"/>
          <w:sz w:val="24"/>
        </w:rPr>
        <w:br w:type="page"/>
      </w:r>
    </w:p>
    <w:p w14:paraId="4D2D1369">
      <w:pPr>
        <w:spacing w:line="360" w:lineRule="auto"/>
        <w:rPr>
          <w:rFonts w:hint="eastAsia" w:ascii="宋体" w:hAnsi="宋体" w:cs="宋体"/>
          <w:b/>
          <w:kern w:val="0"/>
          <w:sz w:val="24"/>
        </w:rPr>
      </w:pPr>
      <w:r>
        <w:rPr>
          <w:rFonts w:hint="eastAsia" w:ascii="宋体" w:hAnsi="宋体" w:cs="宋体"/>
          <w:b/>
          <w:kern w:val="0"/>
          <w:sz w:val="24"/>
        </w:rPr>
        <w:t>标项二：</w:t>
      </w:r>
    </w:p>
    <w:tbl>
      <w:tblPr>
        <w:tblStyle w:val="63"/>
        <w:tblW w:w="889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6688"/>
        <w:gridCol w:w="1382"/>
      </w:tblGrid>
      <w:tr w14:paraId="4D2D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826" w:type="dxa"/>
            <w:vAlign w:val="center"/>
          </w:tcPr>
          <w:p w14:paraId="4D2D136A">
            <w:pPr>
              <w:jc w:val="center"/>
              <w:rPr>
                <w:rFonts w:hint="eastAsia" w:ascii="宋体" w:hAnsi="宋体" w:cs="宋体"/>
                <w:b/>
                <w:kern w:val="0"/>
                <w:sz w:val="24"/>
              </w:rPr>
            </w:pPr>
            <w:r>
              <w:rPr>
                <w:rFonts w:hint="eastAsia" w:ascii="宋体" w:hAnsi="宋体" w:cs="宋体"/>
                <w:b/>
                <w:kern w:val="0"/>
                <w:sz w:val="24"/>
              </w:rPr>
              <w:t>序号</w:t>
            </w:r>
          </w:p>
        </w:tc>
        <w:tc>
          <w:tcPr>
            <w:tcW w:w="6688" w:type="dxa"/>
            <w:vAlign w:val="center"/>
          </w:tcPr>
          <w:p w14:paraId="4D2D136B">
            <w:pPr>
              <w:jc w:val="center"/>
              <w:rPr>
                <w:rFonts w:hint="eastAsia" w:ascii="宋体" w:hAnsi="宋体" w:cs="宋体"/>
                <w:b/>
                <w:kern w:val="0"/>
                <w:sz w:val="24"/>
              </w:rPr>
            </w:pPr>
            <w:r>
              <w:rPr>
                <w:rFonts w:hint="eastAsia" w:ascii="宋体" w:hAnsi="宋体" w:cs="宋体"/>
                <w:b/>
                <w:kern w:val="0"/>
                <w:sz w:val="24"/>
              </w:rPr>
              <w:t>技术需求</w:t>
            </w:r>
          </w:p>
        </w:tc>
        <w:tc>
          <w:tcPr>
            <w:tcW w:w="1382" w:type="dxa"/>
            <w:vAlign w:val="center"/>
          </w:tcPr>
          <w:p w14:paraId="4D2D136C">
            <w:pPr>
              <w:jc w:val="center"/>
              <w:rPr>
                <w:rFonts w:hint="eastAsia" w:ascii="宋体" w:hAnsi="宋体" w:cs="宋体"/>
                <w:b/>
                <w:kern w:val="0"/>
                <w:sz w:val="24"/>
              </w:rPr>
            </w:pPr>
            <w:r>
              <w:rPr>
                <w:rFonts w:hint="eastAsia" w:ascii="宋体" w:hAnsi="宋体" w:cs="宋体"/>
                <w:b/>
                <w:kern w:val="0"/>
                <w:sz w:val="24"/>
              </w:rPr>
              <w:t>投标响应</w:t>
            </w:r>
          </w:p>
        </w:tc>
      </w:tr>
      <w:tr w14:paraId="4D2D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6" w:type="dxa"/>
            <w:vAlign w:val="center"/>
          </w:tcPr>
          <w:p w14:paraId="4D2D136E">
            <w:pPr>
              <w:jc w:val="center"/>
              <w:rPr>
                <w:rFonts w:hint="eastAsia" w:ascii="宋体" w:hAnsi="宋体" w:cs="宋体"/>
                <w:bCs/>
                <w:kern w:val="0"/>
                <w:sz w:val="24"/>
              </w:rPr>
            </w:pPr>
            <w:r>
              <w:rPr>
                <w:rFonts w:hint="eastAsia" w:ascii="宋体" w:hAnsi="宋体" w:cs="宋体"/>
                <w:bCs/>
                <w:kern w:val="0"/>
                <w:sz w:val="24"/>
              </w:rPr>
              <w:t>1</w:t>
            </w:r>
          </w:p>
        </w:tc>
        <w:tc>
          <w:tcPr>
            <w:tcW w:w="6688" w:type="dxa"/>
            <w:vAlign w:val="center"/>
          </w:tcPr>
          <w:p w14:paraId="4D2D136F">
            <w:pPr>
              <w:rPr>
                <w:rFonts w:hint="eastAsia" w:ascii="宋体" w:hAnsi="宋体" w:cs="宋体"/>
                <w:bCs/>
                <w:kern w:val="0"/>
                <w:sz w:val="24"/>
              </w:rPr>
            </w:pPr>
            <w:r>
              <w:rPr>
                <w:rFonts w:hint="eastAsia" w:ascii="宋体" w:hAnsi="宋体" w:cs="宋体"/>
                <w:bCs/>
                <w:kern w:val="0"/>
                <w:sz w:val="24"/>
              </w:rPr>
              <w:t>维保服务设备：岛津Sonialvision Versa 100、RADSPEED M、MUX-200D、D-VISION、D-VISION PLUS 50、RADSPEED Pro80。另外包含岛津RADSPEED Pro50和AGFA DX-100。分别列出维保服务价格。</w:t>
            </w:r>
          </w:p>
        </w:tc>
        <w:tc>
          <w:tcPr>
            <w:tcW w:w="1382" w:type="dxa"/>
            <w:vAlign w:val="center"/>
          </w:tcPr>
          <w:p w14:paraId="4D2D1370">
            <w:pPr>
              <w:rPr>
                <w:rFonts w:hint="eastAsia" w:ascii="宋体" w:hAnsi="宋体" w:cs="宋体"/>
                <w:bCs/>
                <w:kern w:val="0"/>
                <w:sz w:val="24"/>
              </w:rPr>
            </w:pPr>
          </w:p>
        </w:tc>
      </w:tr>
      <w:tr w14:paraId="4D2D1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6" w:type="dxa"/>
            <w:vAlign w:val="center"/>
          </w:tcPr>
          <w:p w14:paraId="4D2D1372">
            <w:pPr>
              <w:jc w:val="center"/>
              <w:rPr>
                <w:rFonts w:hint="eastAsia" w:ascii="宋体" w:hAnsi="宋体" w:cs="宋体"/>
                <w:bCs/>
                <w:kern w:val="0"/>
                <w:sz w:val="24"/>
              </w:rPr>
            </w:pPr>
            <w:r>
              <w:rPr>
                <w:rFonts w:hint="eastAsia" w:ascii="宋体" w:hAnsi="宋体" w:cs="宋体"/>
                <w:bCs/>
                <w:kern w:val="0"/>
                <w:sz w:val="24"/>
              </w:rPr>
              <w:t>▲2</w:t>
            </w:r>
          </w:p>
        </w:tc>
        <w:tc>
          <w:tcPr>
            <w:tcW w:w="6688" w:type="dxa"/>
            <w:vAlign w:val="center"/>
          </w:tcPr>
          <w:p w14:paraId="4D2D1373">
            <w:pPr>
              <w:rPr>
                <w:rFonts w:hint="eastAsia" w:ascii="宋体" w:hAnsi="宋体" w:cs="宋体"/>
                <w:bCs/>
                <w:kern w:val="0"/>
                <w:sz w:val="24"/>
              </w:rPr>
            </w:pPr>
            <w:r>
              <w:rPr>
                <w:rFonts w:hint="eastAsia" w:ascii="宋体" w:hAnsi="宋体" w:cs="宋体"/>
                <w:bCs/>
                <w:kern w:val="0"/>
                <w:sz w:val="24"/>
              </w:rPr>
              <w:t>服务内容：全保服务（整机的维修、保养及所涉及的所有零部件、人工服务，包括球管、影像增强器、平板系统、工作站，包括另外升级的片车部分、全脊柱拼接功能等）。</w:t>
            </w:r>
          </w:p>
        </w:tc>
        <w:tc>
          <w:tcPr>
            <w:tcW w:w="1382" w:type="dxa"/>
            <w:vAlign w:val="center"/>
          </w:tcPr>
          <w:p w14:paraId="4D2D1374">
            <w:pPr>
              <w:rPr>
                <w:rFonts w:hint="eastAsia" w:ascii="宋体" w:hAnsi="宋体" w:cs="宋体"/>
                <w:bCs/>
                <w:kern w:val="0"/>
                <w:sz w:val="24"/>
              </w:rPr>
            </w:pPr>
          </w:p>
        </w:tc>
      </w:tr>
      <w:tr w14:paraId="4D2D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6" w:type="dxa"/>
            <w:vAlign w:val="center"/>
          </w:tcPr>
          <w:p w14:paraId="4D2D1376">
            <w:pPr>
              <w:jc w:val="center"/>
              <w:rPr>
                <w:rFonts w:hint="eastAsia" w:ascii="宋体" w:hAnsi="宋体" w:cs="宋体"/>
                <w:bCs/>
                <w:kern w:val="0"/>
                <w:sz w:val="24"/>
              </w:rPr>
            </w:pPr>
            <w:r>
              <w:rPr>
                <w:rFonts w:hint="eastAsia" w:ascii="宋体" w:hAnsi="宋体" w:cs="宋体"/>
                <w:bCs/>
                <w:kern w:val="0"/>
                <w:sz w:val="24"/>
              </w:rPr>
              <w:t>3</w:t>
            </w:r>
          </w:p>
        </w:tc>
        <w:tc>
          <w:tcPr>
            <w:tcW w:w="6688" w:type="dxa"/>
            <w:vAlign w:val="center"/>
          </w:tcPr>
          <w:p w14:paraId="4D2D1377">
            <w:pPr>
              <w:rPr>
                <w:rFonts w:hint="eastAsia" w:ascii="宋体" w:hAnsi="宋体" w:cs="宋体"/>
                <w:bCs/>
                <w:kern w:val="0"/>
                <w:sz w:val="24"/>
              </w:rPr>
            </w:pPr>
            <w:r>
              <w:rPr>
                <w:rFonts w:hint="eastAsia" w:ascii="宋体" w:hAnsi="宋体" w:cs="宋体"/>
                <w:bCs/>
                <w:kern w:val="0"/>
                <w:sz w:val="24"/>
              </w:rPr>
              <w:t>提供全年365天</w:t>
            </w:r>
            <w:r>
              <w:rPr>
                <w:rFonts w:ascii="Arial" w:hAnsi="Arial" w:cs="Arial"/>
                <w:bCs/>
                <w:kern w:val="0"/>
                <w:sz w:val="24"/>
              </w:rPr>
              <w:t>×</w:t>
            </w:r>
            <w:r>
              <w:rPr>
                <w:rFonts w:hint="eastAsia" w:ascii="宋体" w:hAnsi="宋体" w:cs="宋体"/>
                <w:bCs/>
                <w:kern w:val="0"/>
                <w:sz w:val="24"/>
              </w:rPr>
              <w:t>24小时客服售后服务热线电话。供应商必须在接获报修电话后，提供突发性问题的解决措施及特殊紧急的合理化处理措施。接到故障报修电话后1小时内响应，24小时内到达现场进行维修（包括节假日）。</w:t>
            </w:r>
          </w:p>
        </w:tc>
        <w:tc>
          <w:tcPr>
            <w:tcW w:w="1382" w:type="dxa"/>
            <w:vAlign w:val="center"/>
          </w:tcPr>
          <w:p w14:paraId="4D2D1378">
            <w:pPr>
              <w:rPr>
                <w:rFonts w:hint="eastAsia" w:ascii="宋体" w:hAnsi="宋体" w:cs="宋体"/>
                <w:bCs/>
                <w:kern w:val="0"/>
                <w:sz w:val="24"/>
              </w:rPr>
            </w:pPr>
          </w:p>
        </w:tc>
      </w:tr>
      <w:tr w14:paraId="4D2D1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6" w:type="dxa"/>
            <w:vAlign w:val="center"/>
          </w:tcPr>
          <w:p w14:paraId="4D2D137A">
            <w:pPr>
              <w:jc w:val="center"/>
              <w:rPr>
                <w:rFonts w:hint="eastAsia" w:ascii="宋体" w:hAnsi="宋体" w:cs="宋体"/>
                <w:bCs/>
                <w:kern w:val="0"/>
                <w:sz w:val="24"/>
              </w:rPr>
            </w:pPr>
            <w:r>
              <w:rPr>
                <w:rFonts w:hint="eastAsia" w:ascii="宋体" w:hAnsi="宋体" w:cs="宋体"/>
                <w:bCs/>
                <w:kern w:val="0"/>
                <w:sz w:val="24"/>
              </w:rPr>
              <w:t>4</w:t>
            </w:r>
          </w:p>
        </w:tc>
        <w:tc>
          <w:tcPr>
            <w:tcW w:w="6688" w:type="dxa"/>
            <w:vAlign w:val="center"/>
          </w:tcPr>
          <w:p w14:paraId="4D2D137B">
            <w:pPr>
              <w:rPr>
                <w:rFonts w:hint="eastAsia" w:ascii="宋体" w:hAnsi="宋体" w:cs="宋体"/>
                <w:bCs/>
                <w:kern w:val="0"/>
                <w:sz w:val="24"/>
              </w:rPr>
            </w:pPr>
            <w:r>
              <w:rPr>
                <w:rFonts w:hint="eastAsia" w:ascii="宋体" w:hAnsi="宋体" w:cs="宋体"/>
                <w:bCs/>
                <w:kern w:val="0"/>
                <w:sz w:val="24"/>
              </w:rPr>
              <w:t>服务期内每台设备年开机率大于95%（按每年365日计算），小于95%开机率超过1天，保修期顺延10天。若开机率低于90%，则采购人有权利单方解除合同。</w:t>
            </w:r>
          </w:p>
        </w:tc>
        <w:tc>
          <w:tcPr>
            <w:tcW w:w="1382" w:type="dxa"/>
            <w:vAlign w:val="center"/>
          </w:tcPr>
          <w:p w14:paraId="4D2D137C">
            <w:pPr>
              <w:rPr>
                <w:rFonts w:hint="eastAsia" w:ascii="宋体" w:hAnsi="宋体" w:cs="宋体"/>
                <w:bCs/>
                <w:kern w:val="0"/>
                <w:sz w:val="24"/>
              </w:rPr>
            </w:pPr>
          </w:p>
        </w:tc>
      </w:tr>
      <w:tr w14:paraId="4D2D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6" w:type="dxa"/>
            <w:vAlign w:val="center"/>
          </w:tcPr>
          <w:p w14:paraId="4D2D137E">
            <w:pPr>
              <w:jc w:val="center"/>
              <w:rPr>
                <w:rFonts w:hint="eastAsia" w:ascii="宋体" w:hAnsi="宋体" w:cs="宋体"/>
                <w:bCs/>
                <w:kern w:val="0"/>
                <w:sz w:val="24"/>
              </w:rPr>
            </w:pPr>
            <w:r>
              <w:rPr>
                <w:rFonts w:hint="eastAsia" w:ascii="宋体" w:hAnsi="宋体" w:cs="宋体"/>
                <w:bCs/>
                <w:kern w:val="0"/>
                <w:sz w:val="24"/>
              </w:rPr>
              <w:t>★5</w:t>
            </w:r>
          </w:p>
        </w:tc>
        <w:tc>
          <w:tcPr>
            <w:tcW w:w="6688" w:type="dxa"/>
            <w:vAlign w:val="center"/>
          </w:tcPr>
          <w:p w14:paraId="4D2D137F">
            <w:pPr>
              <w:rPr>
                <w:rFonts w:hint="eastAsia" w:ascii="宋体" w:hAnsi="宋体" w:cs="宋体"/>
                <w:bCs/>
                <w:kern w:val="0"/>
                <w:sz w:val="24"/>
              </w:rPr>
            </w:pPr>
            <w:r>
              <w:rPr>
                <w:rFonts w:hint="eastAsia" w:ascii="宋体" w:hAnsi="宋体" w:cs="宋体"/>
                <w:bCs/>
                <w:kern w:val="0"/>
                <w:sz w:val="24"/>
              </w:rPr>
              <w:t>服务期内，对所有设备每年提供4次定期维护保养，制定维保计划，维保内容包括设备清洁、性能测试及校准、必要的机械或电气的检查，以及非紧急性质的预防性维修，并定期对设备的数据进行备份，以及确保系统能按照制造商的产品规格运行的其它维护。列出维护易耗件清单及更换周期。每次维护保养后提供详细的服务报告，年终提供年度维修保养档案，档案包含全年度的保养报告、巡检报告、维修报告等。提供上述设备年度维护手册样本，手册中必须有点检报告、巡检报告、紧急维修报告、预质控报告等，每台设备不少于150页。</w:t>
            </w:r>
          </w:p>
        </w:tc>
        <w:tc>
          <w:tcPr>
            <w:tcW w:w="1382" w:type="dxa"/>
            <w:vAlign w:val="center"/>
          </w:tcPr>
          <w:p w14:paraId="4D2D1380">
            <w:pPr>
              <w:rPr>
                <w:rFonts w:hint="eastAsia" w:ascii="宋体" w:hAnsi="宋体" w:cs="宋体"/>
                <w:bCs/>
                <w:kern w:val="0"/>
                <w:sz w:val="24"/>
              </w:rPr>
            </w:pPr>
          </w:p>
        </w:tc>
      </w:tr>
      <w:tr w14:paraId="4D2D1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6" w:type="dxa"/>
            <w:vAlign w:val="center"/>
          </w:tcPr>
          <w:p w14:paraId="4D2D1382">
            <w:pPr>
              <w:jc w:val="center"/>
              <w:rPr>
                <w:rFonts w:hint="eastAsia" w:ascii="宋体" w:hAnsi="宋体" w:cs="宋体"/>
                <w:bCs/>
                <w:kern w:val="0"/>
                <w:sz w:val="24"/>
              </w:rPr>
            </w:pPr>
            <w:r>
              <w:rPr>
                <w:rFonts w:hint="eastAsia" w:ascii="宋体" w:hAnsi="宋体" w:cs="宋体"/>
                <w:bCs/>
                <w:kern w:val="0"/>
                <w:sz w:val="24"/>
              </w:rPr>
              <w:t>★6</w:t>
            </w:r>
          </w:p>
        </w:tc>
        <w:tc>
          <w:tcPr>
            <w:tcW w:w="6688" w:type="dxa"/>
            <w:vAlign w:val="center"/>
          </w:tcPr>
          <w:p w14:paraId="4D2D1383">
            <w:pPr>
              <w:rPr>
                <w:rFonts w:hint="eastAsia" w:ascii="宋体" w:hAnsi="宋体" w:cs="宋体"/>
                <w:bCs/>
                <w:kern w:val="0"/>
                <w:sz w:val="24"/>
              </w:rPr>
            </w:pPr>
            <w:r>
              <w:rPr>
                <w:rFonts w:hint="eastAsia" w:ascii="宋体" w:hAnsi="宋体" w:cs="宋体"/>
                <w:bCs/>
                <w:kern w:val="0"/>
                <w:sz w:val="24"/>
              </w:rPr>
              <w:t>设备在进行更换球管、探测器等影响设备性能的重大故障维修后，必须及时安排国家认可的计量检测机构对设备进行检测，出具检测合格的报告。由此产生的费用由供应商承担。</w:t>
            </w:r>
          </w:p>
        </w:tc>
        <w:tc>
          <w:tcPr>
            <w:tcW w:w="1382" w:type="dxa"/>
            <w:vAlign w:val="center"/>
          </w:tcPr>
          <w:p w14:paraId="4D2D1384">
            <w:pPr>
              <w:rPr>
                <w:rFonts w:hint="eastAsia" w:ascii="宋体" w:hAnsi="宋体" w:cs="宋体"/>
                <w:bCs/>
                <w:kern w:val="0"/>
                <w:sz w:val="24"/>
              </w:rPr>
            </w:pPr>
          </w:p>
        </w:tc>
      </w:tr>
      <w:tr w14:paraId="4D2D1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6" w:type="dxa"/>
            <w:vAlign w:val="center"/>
          </w:tcPr>
          <w:p w14:paraId="4D2D1386">
            <w:pPr>
              <w:jc w:val="center"/>
              <w:rPr>
                <w:rFonts w:hint="eastAsia" w:ascii="宋体" w:hAnsi="宋体" w:cs="宋体"/>
                <w:bCs/>
                <w:kern w:val="0"/>
                <w:sz w:val="24"/>
              </w:rPr>
            </w:pPr>
            <w:r>
              <w:rPr>
                <w:rFonts w:hint="eastAsia" w:ascii="宋体" w:hAnsi="宋体" w:cs="宋体"/>
                <w:bCs/>
                <w:kern w:val="0"/>
                <w:sz w:val="24"/>
              </w:rPr>
              <w:t>★7</w:t>
            </w:r>
          </w:p>
        </w:tc>
        <w:tc>
          <w:tcPr>
            <w:tcW w:w="6688" w:type="dxa"/>
            <w:vAlign w:val="center"/>
          </w:tcPr>
          <w:p w14:paraId="4D2D1387">
            <w:pPr>
              <w:rPr>
                <w:rFonts w:hint="eastAsia" w:ascii="宋体" w:hAnsi="宋体" w:cs="宋体"/>
                <w:bCs/>
                <w:kern w:val="0"/>
                <w:sz w:val="24"/>
              </w:rPr>
            </w:pPr>
            <w:r>
              <w:rPr>
                <w:rFonts w:hint="eastAsia" w:ascii="宋体" w:hAnsi="宋体" w:cs="宋体"/>
                <w:bCs/>
                <w:kern w:val="0"/>
                <w:sz w:val="24"/>
              </w:rPr>
              <w:t>供应商有长期稳定的服务机构，服务机构需配备至少3名全职的、具有与本项目维保设备相关联的经过原厂培训或认证过的维修工程师。</w:t>
            </w:r>
          </w:p>
          <w:p w14:paraId="4D2D1388">
            <w:pPr>
              <w:rPr>
                <w:rFonts w:hint="eastAsia" w:ascii="宋体" w:hAnsi="宋体" w:cs="宋体"/>
                <w:bCs/>
                <w:kern w:val="0"/>
                <w:sz w:val="24"/>
              </w:rPr>
            </w:pPr>
            <w:r>
              <w:rPr>
                <w:rFonts w:hint="eastAsia" w:ascii="宋体" w:hAnsi="宋体" w:cs="宋体"/>
                <w:b/>
                <w:kern w:val="0"/>
                <w:sz w:val="24"/>
              </w:rPr>
              <w:t>注：投标文件中须提供原厂培训合格证书及近3个月内供应商单位为其缴纳社保的证明资料复印件加盖供应商公章，未提供或提供不全的视为负偏离</w:t>
            </w:r>
            <w:r>
              <w:rPr>
                <w:rFonts w:hint="eastAsia" w:ascii="宋体" w:hAnsi="宋体" w:cs="宋体"/>
                <w:bCs/>
                <w:kern w:val="0"/>
                <w:sz w:val="24"/>
              </w:rPr>
              <w:t>。</w:t>
            </w:r>
          </w:p>
        </w:tc>
        <w:tc>
          <w:tcPr>
            <w:tcW w:w="1382" w:type="dxa"/>
            <w:vAlign w:val="center"/>
          </w:tcPr>
          <w:p w14:paraId="4D2D1389">
            <w:pPr>
              <w:rPr>
                <w:rFonts w:hint="eastAsia" w:ascii="宋体" w:hAnsi="宋体" w:cs="宋体"/>
                <w:bCs/>
                <w:kern w:val="0"/>
                <w:sz w:val="24"/>
              </w:rPr>
            </w:pPr>
          </w:p>
        </w:tc>
      </w:tr>
      <w:tr w14:paraId="4D2D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6" w:type="dxa"/>
            <w:vAlign w:val="center"/>
          </w:tcPr>
          <w:p w14:paraId="4D2D138B">
            <w:pPr>
              <w:jc w:val="center"/>
              <w:rPr>
                <w:rFonts w:hint="eastAsia" w:ascii="宋体" w:hAnsi="宋体" w:cs="宋体"/>
                <w:bCs/>
                <w:kern w:val="0"/>
                <w:sz w:val="24"/>
              </w:rPr>
            </w:pPr>
            <w:r>
              <w:rPr>
                <w:rFonts w:hint="eastAsia" w:ascii="宋体" w:hAnsi="宋体" w:cs="宋体"/>
                <w:bCs/>
                <w:kern w:val="0"/>
                <w:sz w:val="24"/>
              </w:rPr>
              <w:t>8</w:t>
            </w:r>
          </w:p>
        </w:tc>
        <w:tc>
          <w:tcPr>
            <w:tcW w:w="6688" w:type="dxa"/>
            <w:vAlign w:val="center"/>
          </w:tcPr>
          <w:p w14:paraId="4D2D138C">
            <w:pPr>
              <w:rPr>
                <w:rFonts w:hint="eastAsia" w:ascii="宋体" w:hAnsi="宋体" w:cs="宋体"/>
                <w:bCs/>
                <w:kern w:val="0"/>
                <w:sz w:val="24"/>
              </w:rPr>
            </w:pPr>
            <w:r>
              <w:rPr>
                <w:rFonts w:hint="eastAsia" w:ascii="宋体" w:hAnsi="宋体" w:cs="宋体"/>
                <w:bCs/>
                <w:kern w:val="0"/>
                <w:sz w:val="24"/>
              </w:rPr>
              <w:t>供应商提供的零备件必须与本项目维保设备完全匹配，所有更换的零备件必须为原设备零备件同一生产厂家和同一型号规格的全新合格件。</w:t>
            </w:r>
          </w:p>
          <w:p w14:paraId="4D2D138D">
            <w:pPr>
              <w:rPr>
                <w:rFonts w:hint="eastAsia" w:ascii="宋体" w:hAnsi="宋体" w:cs="宋体"/>
                <w:bCs/>
                <w:kern w:val="0"/>
                <w:sz w:val="24"/>
              </w:rPr>
            </w:pPr>
            <w:r>
              <w:rPr>
                <w:rFonts w:hint="eastAsia" w:ascii="宋体" w:hAnsi="宋体" w:cs="宋体"/>
                <w:bCs/>
                <w:kern w:val="0"/>
                <w:sz w:val="24"/>
              </w:rPr>
              <w:t>注：</w:t>
            </w:r>
            <w:r>
              <w:rPr>
                <w:rFonts w:hint="eastAsia" w:ascii="宋体" w:hAnsi="宋体" w:cs="宋体"/>
                <w:b/>
                <w:kern w:val="0"/>
                <w:sz w:val="24"/>
              </w:rPr>
              <w:t>投标文件中须提供承诺函（格式自拟）及相关证明材料加盖供应商公章，未提供或提供不全的视为负偏离）</w:t>
            </w:r>
            <w:r>
              <w:rPr>
                <w:rFonts w:hint="eastAsia" w:ascii="宋体" w:hAnsi="宋体" w:cs="宋体"/>
                <w:bCs/>
                <w:kern w:val="0"/>
                <w:sz w:val="24"/>
              </w:rPr>
              <w:t>。</w:t>
            </w:r>
          </w:p>
        </w:tc>
        <w:tc>
          <w:tcPr>
            <w:tcW w:w="1382" w:type="dxa"/>
            <w:vAlign w:val="center"/>
          </w:tcPr>
          <w:p w14:paraId="4D2D138E">
            <w:pPr>
              <w:rPr>
                <w:rFonts w:hint="eastAsia" w:ascii="宋体" w:hAnsi="宋体" w:cs="宋体"/>
                <w:bCs/>
                <w:kern w:val="0"/>
                <w:sz w:val="24"/>
              </w:rPr>
            </w:pPr>
          </w:p>
        </w:tc>
      </w:tr>
      <w:tr w14:paraId="4D2D1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6" w:type="dxa"/>
            <w:vAlign w:val="center"/>
          </w:tcPr>
          <w:p w14:paraId="4D2D1390">
            <w:pPr>
              <w:jc w:val="center"/>
              <w:rPr>
                <w:rFonts w:hint="eastAsia" w:ascii="宋体" w:hAnsi="宋体" w:cs="宋体"/>
                <w:bCs/>
                <w:kern w:val="0"/>
                <w:sz w:val="24"/>
              </w:rPr>
            </w:pPr>
            <w:r>
              <w:rPr>
                <w:rFonts w:hint="eastAsia" w:ascii="宋体" w:hAnsi="宋体" w:cs="宋体"/>
                <w:bCs/>
                <w:kern w:val="0"/>
                <w:sz w:val="24"/>
              </w:rPr>
              <w:t>★9</w:t>
            </w:r>
          </w:p>
        </w:tc>
        <w:tc>
          <w:tcPr>
            <w:tcW w:w="6688" w:type="dxa"/>
            <w:vAlign w:val="center"/>
          </w:tcPr>
          <w:p w14:paraId="4D2D1391">
            <w:pPr>
              <w:rPr>
                <w:rFonts w:hint="eastAsia" w:ascii="宋体" w:hAnsi="宋体" w:cs="宋体"/>
                <w:bCs/>
                <w:kern w:val="0"/>
                <w:sz w:val="24"/>
              </w:rPr>
            </w:pPr>
            <w:r>
              <w:rPr>
                <w:rFonts w:hint="eastAsia" w:ascii="宋体" w:hAnsi="宋体" w:cs="宋体"/>
                <w:bCs/>
                <w:kern w:val="0"/>
                <w:sz w:val="24"/>
              </w:rPr>
              <w:t>供应商必须具备充足的备件供应能力，要求供应商必须在国内设有专业、充足的设备零备件仓库。</w:t>
            </w:r>
          </w:p>
          <w:p w14:paraId="4D2D1392">
            <w:pPr>
              <w:rPr>
                <w:rFonts w:hint="eastAsia" w:ascii="宋体" w:hAnsi="宋体" w:cs="宋体"/>
                <w:bCs/>
                <w:kern w:val="0"/>
                <w:sz w:val="24"/>
              </w:rPr>
            </w:pPr>
            <w:r>
              <w:rPr>
                <w:rFonts w:hint="eastAsia" w:ascii="宋体" w:hAnsi="宋体" w:cs="宋体"/>
                <w:b/>
                <w:kern w:val="0"/>
                <w:sz w:val="24"/>
              </w:rPr>
              <w:t>注：投标文件中须提供证明说明文件加盖供应商公章，未提供视为负偏离</w:t>
            </w:r>
            <w:r>
              <w:rPr>
                <w:rFonts w:hint="eastAsia" w:ascii="宋体" w:hAnsi="宋体" w:cs="宋体"/>
                <w:bCs/>
                <w:kern w:val="0"/>
                <w:sz w:val="24"/>
              </w:rPr>
              <w:t>。</w:t>
            </w:r>
          </w:p>
        </w:tc>
        <w:tc>
          <w:tcPr>
            <w:tcW w:w="1382" w:type="dxa"/>
            <w:vAlign w:val="center"/>
          </w:tcPr>
          <w:p w14:paraId="4D2D1393">
            <w:pPr>
              <w:rPr>
                <w:rFonts w:hint="eastAsia" w:ascii="宋体" w:hAnsi="宋体" w:cs="宋体"/>
                <w:bCs/>
                <w:kern w:val="0"/>
                <w:sz w:val="24"/>
              </w:rPr>
            </w:pPr>
          </w:p>
        </w:tc>
      </w:tr>
      <w:tr w14:paraId="4D2D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6" w:type="dxa"/>
            <w:vAlign w:val="center"/>
          </w:tcPr>
          <w:p w14:paraId="4D2D1395">
            <w:pPr>
              <w:jc w:val="center"/>
              <w:rPr>
                <w:rFonts w:hint="eastAsia" w:ascii="宋体" w:hAnsi="宋体" w:cs="宋体"/>
                <w:bCs/>
                <w:kern w:val="0"/>
                <w:sz w:val="24"/>
              </w:rPr>
            </w:pPr>
            <w:r>
              <w:rPr>
                <w:rFonts w:hint="eastAsia" w:ascii="宋体" w:hAnsi="宋体" w:cs="宋体"/>
                <w:bCs/>
                <w:kern w:val="0"/>
                <w:sz w:val="24"/>
              </w:rPr>
              <w:t>10</w:t>
            </w:r>
          </w:p>
        </w:tc>
        <w:tc>
          <w:tcPr>
            <w:tcW w:w="6688" w:type="dxa"/>
            <w:vAlign w:val="center"/>
          </w:tcPr>
          <w:p w14:paraId="4D2D1396">
            <w:pPr>
              <w:rPr>
                <w:rFonts w:hint="eastAsia" w:ascii="宋体" w:hAnsi="宋体" w:cs="宋体"/>
                <w:bCs/>
                <w:kern w:val="0"/>
                <w:sz w:val="24"/>
              </w:rPr>
            </w:pPr>
            <w:r>
              <w:rPr>
                <w:rFonts w:hint="eastAsia" w:ascii="宋体" w:hAnsi="宋体" w:cs="宋体"/>
                <w:bCs/>
                <w:kern w:val="0"/>
                <w:sz w:val="24"/>
              </w:rPr>
              <w:t>供应商具备提供原厂球管、探测器等重要核心备件的能力，能提供相应核心备件的进货证明。</w:t>
            </w:r>
          </w:p>
          <w:p w14:paraId="4D2D1397">
            <w:pPr>
              <w:rPr>
                <w:rFonts w:hint="eastAsia" w:ascii="宋体" w:hAnsi="宋体" w:cs="宋体"/>
                <w:bCs/>
                <w:kern w:val="0"/>
                <w:sz w:val="24"/>
              </w:rPr>
            </w:pPr>
            <w:r>
              <w:rPr>
                <w:rFonts w:hint="eastAsia" w:ascii="宋体" w:hAnsi="宋体" w:cs="宋体"/>
                <w:b/>
                <w:kern w:val="0"/>
                <w:sz w:val="24"/>
              </w:rPr>
              <w:t>注：投标文件中须提供相应核心备件的进口报关证明，未提供视为负偏离。</w:t>
            </w:r>
          </w:p>
        </w:tc>
        <w:tc>
          <w:tcPr>
            <w:tcW w:w="1382" w:type="dxa"/>
            <w:vAlign w:val="center"/>
          </w:tcPr>
          <w:p w14:paraId="4D2D1398">
            <w:pPr>
              <w:rPr>
                <w:rFonts w:hint="eastAsia" w:ascii="宋体" w:hAnsi="宋体" w:cs="宋体"/>
                <w:bCs/>
                <w:kern w:val="0"/>
                <w:sz w:val="24"/>
              </w:rPr>
            </w:pPr>
          </w:p>
        </w:tc>
      </w:tr>
      <w:tr w14:paraId="4D2D1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6" w:type="dxa"/>
            <w:vAlign w:val="center"/>
          </w:tcPr>
          <w:p w14:paraId="4D2D139A">
            <w:pPr>
              <w:jc w:val="center"/>
              <w:rPr>
                <w:rFonts w:hint="eastAsia" w:ascii="宋体" w:hAnsi="宋体" w:cs="宋体"/>
                <w:bCs/>
                <w:kern w:val="0"/>
                <w:sz w:val="24"/>
              </w:rPr>
            </w:pPr>
            <w:r>
              <w:rPr>
                <w:rFonts w:hint="eastAsia" w:ascii="宋体" w:hAnsi="宋体" w:cs="宋体"/>
                <w:bCs/>
                <w:kern w:val="0"/>
                <w:sz w:val="24"/>
              </w:rPr>
              <w:t>11</w:t>
            </w:r>
          </w:p>
        </w:tc>
        <w:tc>
          <w:tcPr>
            <w:tcW w:w="6688" w:type="dxa"/>
            <w:vAlign w:val="center"/>
          </w:tcPr>
          <w:p w14:paraId="4D2D139B">
            <w:pPr>
              <w:rPr>
                <w:rFonts w:hint="eastAsia" w:ascii="宋体" w:hAnsi="宋体" w:cs="宋体"/>
                <w:bCs/>
                <w:kern w:val="0"/>
                <w:sz w:val="24"/>
              </w:rPr>
            </w:pPr>
            <w:r>
              <w:rPr>
                <w:rFonts w:hint="eastAsia" w:ascii="宋体" w:hAnsi="宋体" w:cs="宋体"/>
                <w:bCs/>
                <w:kern w:val="0"/>
                <w:sz w:val="24"/>
              </w:rPr>
              <w:t>零备件优先使用权：采购人如需更换零备件，可以优先使用供应商的备件。供应商在接到采购人的需求申请后，应优先处理其诉求。</w:t>
            </w:r>
          </w:p>
        </w:tc>
        <w:tc>
          <w:tcPr>
            <w:tcW w:w="1382" w:type="dxa"/>
            <w:vAlign w:val="center"/>
          </w:tcPr>
          <w:p w14:paraId="4D2D139C">
            <w:pPr>
              <w:rPr>
                <w:rFonts w:hint="eastAsia" w:ascii="宋体" w:hAnsi="宋体" w:cs="宋体"/>
                <w:bCs/>
                <w:kern w:val="0"/>
                <w:sz w:val="24"/>
              </w:rPr>
            </w:pPr>
          </w:p>
        </w:tc>
      </w:tr>
      <w:tr w14:paraId="4D2D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6" w:type="dxa"/>
            <w:vAlign w:val="center"/>
          </w:tcPr>
          <w:p w14:paraId="4D2D139E">
            <w:pPr>
              <w:jc w:val="center"/>
              <w:rPr>
                <w:rFonts w:hint="eastAsia" w:ascii="宋体" w:hAnsi="宋体" w:cs="宋体"/>
                <w:bCs/>
                <w:kern w:val="0"/>
                <w:sz w:val="24"/>
              </w:rPr>
            </w:pPr>
            <w:r>
              <w:rPr>
                <w:rFonts w:hint="eastAsia" w:ascii="宋体" w:hAnsi="宋体" w:cs="宋体"/>
                <w:bCs/>
                <w:kern w:val="0"/>
                <w:sz w:val="24"/>
              </w:rPr>
              <w:t>12</w:t>
            </w:r>
          </w:p>
        </w:tc>
        <w:tc>
          <w:tcPr>
            <w:tcW w:w="6688" w:type="dxa"/>
            <w:vAlign w:val="center"/>
          </w:tcPr>
          <w:p w14:paraId="4D2D139F">
            <w:pPr>
              <w:rPr>
                <w:rFonts w:hint="eastAsia" w:ascii="宋体" w:hAnsi="宋体" w:cs="宋体"/>
                <w:bCs/>
                <w:kern w:val="0"/>
                <w:sz w:val="24"/>
              </w:rPr>
            </w:pPr>
            <w:r>
              <w:rPr>
                <w:rFonts w:hint="eastAsia" w:ascii="宋体" w:hAnsi="宋体" w:cs="宋体"/>
                <w:bCs/>
                <w:kern w:val="0"/>
                <w:sz w:val="24"/>
              </w:rPr>
              <w:t>供应商提供设备维修保养需使用的特殊精密专业工具列表。</w:t>
            </w:r>
            <w:r>
              <w:rPr>
                <w:rFonts w:hint="eastAsia" w:ascii="宋体" w:hAnsi="宋体" w:cs="宋体"/>
                <w:b/>
                <w:kern w:val="0"/>
                <w:sz w:val="24"/>
              </w:rPr>
              <w:t>注：投标文件中须提供年度国家级校正认证机构或其授权单位出具的有效检测报告，未提供视为负偏离。</w:t>
            </w:r>
          </w:p>
        </w:tc>
        <w:tc>
          <w:tcPr>
            <w:tcW w:w="1382" w:type="dxa"/>
            <w:vAlign w:val="center"/>
          </w:tcPr>
          <w:p w14:paraId="4D2D13A0">
            <w:pPr>
              <w:rPr>
                <w:rFonts w:hint="eastAsia" w:ascii="宋体" w:hAnsi="宋体" w:cs="宋体"/>
                <w:bCs/>
                <w:kern w:val="0"/>
                <w:sz w:val="24"/>
              </w:rPr>
            </w:pPr>
          </w:p>
        </w:tc>
      </w:tr>
      <w:tr w14:paraId="4D2D1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6" w:type="dxa"/>
            <w:vAlign w:val="center"/>
          </w:tcPr>
          <w:p w14:paraId="4D2D13A2">
            <w:pPr>
              <w:jc w:val="center"/>
              <w:rPr>
                <w:rFonts w:hint="eastAsia" w:ascii="宋体" w:hAnsi="宋体" w:cs="宋体"/>
                <w:bCs/>
                <w:kern w:val="0"/>
                <w:sz w:val="24"/>
              </w:rPr>
            </w:pPr>
            <w:r>
              <w:rPr>
                <w:rFonts w:hint="eastAsia" w:ascii="宋体" w:hAnsi="宋体" w:cs="宋体"/>
                <w:bCs/>
                <w:kern w:val="0"/>
                <w:sz w:val="24"/>
              </w:rPr>
              <w:t>★13</w:t>
            </w:r>
          </w:p>
        </w:tc>
        <w:tc>
          <w:tcPr>
            <w:tcW w:w="6688" w:type="dxa"/>
            <w:vAlign w:val="center"/>
          </w:tcPr>
          <w:p w14:paraId="4D2D13A3">
            <w:pPr>
              <w:rPr>
                <w:rFonts w:hint="eastAsia" w:ascii="宋体" w:hAnsi="宋体" w:cs="宋体"/>
                <w:bCs/>
                <w:kern w:val="0"/>
                <w:sz w:val="24"/>
              </w:rPr>
            </w:pPr>
            <w:r>
              <w:rPr>
                <w:rFonts w:hint="eastAsia" w:ascii="宋体" w:hAnsi="宋体" w:cs="宋体"/>
                <w:bCs/>
                <w:kern w:val="0"/>
                <w:sz w:val="24"/>
              </w:rPr>
              <w:t>Sonialvision Versa 100须进行D-TOMO的功能使用，使用结果需得到临床科室确认。实现各部位LOSE DOSE操作功能。</w:t>
            </w:r>
          </w:p>
        </w:tc>
        <w:tc>
          <w:tcPr>
            <w:tcW w:w="1382" w:type="dxa"/>
            <w:vAlign w:val="center"/>
          </w:tcPr>
          <w:p w14:paraId="4D2D13A4">
            <w:pPr>
              <w:rPr>
                <w:rFonts w:hint="eastAsia" w:ascii="宋体" w:hAnsi="宋体" w:cs="宋体"/>
                <w:bCs/>
                <w:kern w:val="0"/>
                <w:sz w:val="24"/>
              </w:rPr>
            </w:pPr>
          </w:p>
        </w:tc>
      </w:tr>
      <w:tr w14:paraId="4D2D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6" w:type="dxa"/>
            <w:vAlign w:val="center"/>
          </w:tcPr>
          <w:p w14:paraId="4D2D13A6">
            <w:pPr>
              <w:jc w:val="center"/>
              <w:rPr>
                <w:rFonts w:hint="eastAsia" w:ascii="宋体" w:hAnsi="宋体" w:cs="宋体"/>
                <w:bCs/>
                <w:kern w:val="0"/>
                <w:sz w:val="24"/>
              </w:rPr>
            </w:pPr>
            <w:r>
              <w:rPr>
                <w:rFonts w:hint="eastAsia" w:ascii="宋体" w:hAnsi="宋体" w:cs="宋体"/>
                <w:bCs/>
                <w:kern w:val="0"/>
                <w:sz w:val="24"/>
              </w:rPr>
              <w:t>14</w:t>
            </w:r>
          </w:p>
        </w:tc>
        <w:tc>
          <w:tcPr>
            <w:tcW w:w="6688" w:type="dxa"/>
            <w:vAlign w:val="center"/>
          </w:tcPr>
          <w:p w14:paraId="4D2D13A7">
            <w:pPr>
              <w:rPr>
                <w:rFonts w:hint="eastAsia" w:ascii="宋体" w:hAnsi="宋体" w:cs="宋体"/>
                <w:bCs/>
                <w:kern w:val="0"/>
                <w:sz w:val="24"/>
              </w:rPr>
            </w:pPr>
            <w:r>
              <w:rPr>
                <w:rFonts w:hint="eastAsia" w:ascii="宋体" w:hAnsi="宋体" w:cs="宋体"/>
                <w:bCs/>
                <w:kern w:val="0"/>
                <w:sz w:val="24"/>
              </w:rPr>
              <w:t>D-VISION增加鼠标自动点击功能。</w:t>
            </w:r>
          </w:p>
        </w:tc>
        <w:tc>
          <w:tcPr>
            <w:tcW w:w="1382" w:type="dxa"/>
            <w:vAlign w:val="center"/>
          </w:tcPr>
          <w:p w14:paraId="4D2D13A8">
            <w:pPr>
              <w:rPr>
                <w:rFonts w:hint="eastAsia" w:ascii="宋体" w:hAnsi="宋体" w:cs="宋体"/>
                <w:bCs/>
                <w:kern w:val="0"/>
                <w:sz w:val="24"/>
              </w:rPr>
            </w:pPr>
          </w:p>
        </w:tc>
      </w:tr>
      <w:tr w14:paraId="4D2D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6" w:type="dxa"/>
            <w:vAlign w:val="center"/>
          </w:tcPr>
          <w:p w14:paraId="4D2D13AA">
            <w:pPr>
              <w:jc w:val="center"/>
              <w:rPr>
                <w:rFonts w:hint="eastAsia" w:ascii="宋体" w:hAnsi="宋体" w:cs="宋体"/>
                <w:bCs/>
                <w:kern w:val="0"/>
                <w:sz w:val="24"/>
              </w:rPr>
            </w:pPr>
            <w:r>
              <w:rPr>
                <w:rFonts w:hint="eastAsia" w:ascii="宋体" w:hAnsi="宋体" w:cs="宋体"/>
                <w:bCs/>
                <w:kern w:val="0"/>
                <w:sz w:val="24"/>
              </w:rPr>
              <w:t>★15</w:t>
            </w:r>
          </w:p>
        </w:tc>
        <w:tc>
          <w:tcPr>
            <w:tcW w:w="6688" w:type="dxa"/>
            <w:vAlign w:val="center"/>
          </w:tcPr>
          <w:p w14:paraId="4D2D13AB">
            <w:pPr>
              <w:rPr>
                <w:rFonts w:hint="eastAsia" w:ascii="宋体" w:hAnsi="宋体" w:cs="宋体"/>
                <w:bCs/>
                <w:kern w:val="0"/>
                <w:sz w:val="24"/>
              </w:rPr>
            </w:pPr>
            <w:r>
              <w:rPr>
                <w:rFonts w:hint="eastAsia" w:ascii="宋体" w:hAnsi="宋体" w:cs="宋体"/>
                <w:bCs/>
                <w:kern w:val="0"/>
                <w:sz w:val="24"/>
              </w:rPr>
              <w:t>对RADSPEED PRO80、D-VISION PLUS 50增加平板有线充电功能。</w:t>
            </w:r>
          </w:p>
        </w:tc>
        <w:tc>
          <w:tcPr>
            <w:tcW w:w="1382" w:type="dxa"/>
            <w:vAlign w:val="center"/>
          </w:tcPr>
          <w:p w14:paraId="4D2D13AC">
            <w:pPr>
              <w:rPr>
                <w:rFonts w:hint="eastAsia" w:ascii="宋体" w:hAnsi="宋体" w:cs="宋体"/>
                <w:bCs/>
                <w:kern w:val="0"/>
                <w:sz w:val="24"/>
              </w:rPr>
            </w:pPr>
          </w:p>
        </w:tc>
      </w:tr>
      <w:tr w14:paraId="4D2D1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6" w:type="dxa"/>
            <w:vAlign w:val="center"/>
          </w:tcPr>
          <w:p w14:paraId="4D2D13AE">
            <w:pPr>
              <w:jc w:val="center"/>
              <w:rPr>
                <w:rFonts w:hint="eastAsia" w:ascii="宋体" w:hAnsi="宋体" w:cs="宋体"/>
                <w:bCs/>
                <w:kern w:val="0"/>
                <w:sz w:val="24"/>
              </w:rPr>
            </w:pPr>
            <w:r>
              <w:rPr>
                <w:rFonts w:hint="eastAsia" w:ascii="宋体" w:hAnsi="宋体" w:cs="宋体"/>
                <w:bCs/>
                <w:kern w:val="0"/>
                <w:sz w:val="24"/>
              </w:rPr>
              <w:t>16</w:t>
            </w:r>
          </w:p>
        </w:tc>
        <w:tc>
          <w:tcPr>
            <w:tcW w:w="6688" w:type="dxa"/>
            <w:vAlign w:val="center"/>
          </w:tcPr>
          <w:p w14:paraId="4D2D13AF">
            <w:pPr>
              <w:rPr>
                <w:rFonts w:hint="eastAsia" w:ascii="宋体" w:hAnsi="宋体" w:cs="宋体"/>
                <w:bCs/>
                <w:kern w:val="0"/>
                <w:sz w:val="24"/>
              </w:rPr>
            </w:pPr>
            <w:r>
              <w:rPr>
                <w:rFonts w:hint="eastAsia" w:ascii="宋体" w:hAnsi="宋体" w:cs="宋体"/>
                <w:bCs/>
                <w:kern w:val="0"/>
                <w:sz w:val="24"/>
              </w:rPr>
              <w:t>AGFA DX-100 探测器现有故障须在维保服务开始后维修完成，否则视作自动弃标。</w:t>
            </w:r>
          </w:p>
        </w:tc>
        <w:tc>
          <w:tcPr>
            <w:tcW w:w="1382" w:type="dxa"/>
            <w:vAlign w:val="center"/>
          </w:tcPr>
          <w:p w14:paraId="4D2D13B0">
            <w:pPr>
              <w:rPr>
                <w:rFonts w:hint="eastAsia" w:ascii="宋体" w:hAnsi="宋体" w:cs="宋体"/>
                <w:bCs/>
                <w:kern w:val="0"/>
                <w:sz w:val="24"/>
              </w:rPr>
            </w:pPr>
          </w:p>
        </w:tc>
      </w:tr>
      <w:tr w14:paraId="4D2D1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6" w:type="dxa"/>
            <w:vAlign w:val="center"/>
          </w:tcPr>
          <w:p w14:paraId="4D2D13B2">
            <w:pPr>
              <w:jc w:val="center"/>
              <w:rPr>
                <w:rFonts w:hint="eastAsia" w:ascii="宋体" w:hAnsi="宋体" w:cs="宋体"/>
                <w:bCs/>
                <w:kern w:val="0"/>
                <w:sz w:val="24"/>
              </w:rPr>
            </w:pPr>
            <w:r>
              <w:rPr>
                <w:rFonts w:hint="eastAsia" w:ascii="宋体" w:hAnsi="宋体" w:cs="宋体"/>
                <w:bCs/>
                <w:kern w:val="0"/>
                <w:sz w:val="24"/>
              </w:rPr>
              <w:t>17</w:t>
            </w:r>
          </w:p>
        </w:tc>
        <w:tc>
          <w:tcPr>
            <w:tcW w:w="6688" w:type="dxa"/>
            <w:vAlign w:val="center"/>
          </w:tcPr>
          <w:p w14:paraId="4D2D13B3">
            <w:pPr>
              <w:rPr>
                <w:rFonts w:hint="eastAsia" w:ascii="宋体" w:hAnsi="宋体" w:cs="宋体"/>
                <w:bCs/>
                <w:kern w:val="0"/>
                <w:sz w:val="24"/>
              </w:rPr>
            </w:pPr>
            <w:r>
              <w:rPr>
                <w:rFonts w:hint="eastAsia" w:ascii="宋体" w:hAnsi="宋体" w:cs="宋体"/>
                <w:bCs/>
                <w:kern w:val="0"/>
                <w:sz w:val="24"/>
              </w:rPr>
              <w:t>MUX-200D增加延时曝光功能。</w:t>
            </w:r>
          </w:p>
        </w:tc>
        <w:tc>
          <w:tcPr>
            <w:tcW w:w="1382" w:type="dxa"/>
            <w:vAlign w:val="center"/>
          </w:tcPr>
          <w:p w14:paraId="4D2D13B4">
            <w:pPr>
              <w:rPr>
                <w:rFonts w:hint="eastAsia" w:ascii="宋体" w:hAnsi="宋体" w:cs="宋体"/>
                <w:bCs/>
                <w:kern w:val="0"/>
                <w:sz w:val="24"/>
              </w:rPr>
            </w:pPr>
          </w:p>
        </w:tc>
      </w:tr>
    </w:tbl>
    <w:p w14:paraId="4D2D13BE">
      <w:pPr>
        <w:spacing w:line="360" w:lineRule="auto"/>
        <w:rPr>
          <w:rFonts w:hint="eastAsia" w:ascii="宋体" w:hAnsi="宋体" w:cs="宋体"/>
          <w:b/>
          <w:kern w:val="0"/>
          <w:sz w:val="24"/>
        </w:rPr>
      </w:pPr>
    </w:p>
    <w:p w14:paraId="4D2D13BF">
      <w:pPr>
        <w:rPr>
          <w:rFonts w:hint="eastAsia" w:ascii="宋体" w:hAnsi="宋体" w:cs="宋体"/>
          <w:b/>
          <w:kern w:val="0"/>
          <w:sz w:val="24"/>
        </w:rPr>
      </w:pPr>
    </w:p>
    <w:p w14:paraId="4D2D13C0">
      <w:pPr>
        <w:adjustRightInd/>
        <w:spacing w:line="360" w:lineRule="auto"/>
        <w:rPr>
          <w:rFonts w:hint="eastAsia" w:ascii="宋体" w:hAnsi="宋体" w:cs="宋体"/>
          <w:b/>
          <w:kern w:val="0"/>
          <w:sz w:val="24"/>
        </w:rPr>
      </w:pPr>
      <w:r>
        <w:rPr>
          <w:rFonts w:hint="eastAsia" w:ascii="宋体" w:hAnsi="宋体" w:cs="宋体"/>
          <w:b/>
          <w:kern w:val="0"/>
          <w:sz w:val="24"/>
        </w:rPr>
        <w:t>三、投标要求（适用于各标项）</w:t>
      </w:r>
    </w:p>
    <w:p w14:paraId="4D2D13C1">
      <w:pPr>
        <w:spacing w:line="360" w:lineRule="auto"/>
        <w:ind w:firstLine="480" w:firstLineChars="200"/>
        <w:rPr>
          <w:rFonts w:hint="eastAsia" w:ascii="宋体" w:hAnsi="宋体" w:cs="宋体"/>
          <w:bCs/>
          <w:kern w:val="0"/>
          <w:sz w:val="24"/>
        </w:rPr>
      </w:pPr>
      <w:r>
        <w:rPr>
          <w:rFonts w:hint="eastAsia" w:ascii="宋体" w:hAnsi="宋体" w:cs="宋体"/>
          <w:bCs/>
          <w:kern w:val="0"/>
          <w:sz w:val="24"/>
          <w:lang w:val="en-US" w:eastAsia="zh-CN"/>
        </w:rPr>
        <w:t>1、</w:t>
      </w:r>
      <w:r>
        <w:rPr>
          <w:rFonts w:hint="eastAsia" w:ascii="宋体" w:hAnsi="宋体" w:cs="宋体"/>
          <w:bCs/>
          <w:kern w:val="0"/>
          <w:sz w:val="24"/>
        </w:rPr>
        <w:t>供应商需在投标文件中提供针对本项目技术的响应情况。</w:t>
      </w:r>
    </w:p>
    <w:p w14:paraId="095612D1">
      <w:pPr>
        <w:spacing w:line="360" w:lineRule="auto"/>
        <w:ind w:firstLine="480" w:firstLineChars="200"/>
        <w:rPr>
          <w:rFonts w:hint="eastAsia" w:ascii="宋体" w:hAnsi="宋体" w:cs="宋体"/>
          <w:bCs/>
          <w:kern w:val="0"/>
          <w:sz w:val="24"/>
        </w:rPr>
      </w:pPr>
      <w:r>
        <w:rPr>
          <w:rFonts w:hint="eastAsia" w:ascii="宋体" w:hAnsi="宋体" w:cs="宋体"/>
          <w:bCs/>
          <w:kern w:val="0"/>
          <w:sz w:val="24"/>
          <w:lang w:val="en-US" w:eastAsia="zh-CN"/>
        </w:rPr>
        <w:t>2、</w:t>
      </w:r>
      <w:r>
        <w:rPr>
          <w:rFonts w:hint="eastAsia" w:ascii="宋体" w:hAnsi="宋体" w:cs="宋体"/>
          <w:bCs/>
          <w:kern w:val="0"/>
          <w:sz w:val="24"/>
        </w:rPr>
        <w:t>项目理解与服务方案</w:t>
      </w:r>
      <w:r>
        <w:rPr>
          <w:rFonts w:hint="eastAsia" w:ascii="宋体" w:hAnsi="宋体" w:cs="宋体"/>
          <w:bCs/>
          <w:kern w:val="0"/>
          <w:sz w:val="24"/>
          <w:lang w:eastAsia="zh-CN"/>
        </w:rPr>
        <w:t>：</w:t>
      </w:r>
      <w:r>
        <w:rPr>
          <w:rFonts w:hint="eastAsia" w:ascii="宋体" w:hAnsi="宋体" w:cs="宋体"/>
          <w:bCs/>
          <w:kern w:val="0"/>
          <w:sz w:val="24"/>
        </w:rPr>
        <w:t>供应商需针对本项目设备类型，分析维保重点，提出个性化维保策略。</w:t>
      </w:r>
    </w:p>
    <w:p w14:paraId="0489EC55">
      <w:pPr>
        <w:spacing w:line="360" w:lineRule="auto"/>
        <w:ind w:firstLine="480" w:firstLineChars="200"/>
        <w:rPr>
          <w:rFonts w:hint="eastAsia" w:ascii="宋体" w:hAnsi="宋体" w:cs="宋体"/>
          <w:bCs/>
          <w:kern w:val="0"/>
          <w:sz w:val="24"/>
        </w:rPr>
      </w:pPr>
      <w:r>
        <w:rPr>
          <w:rFonts w:hint="eastAsia" w:ascii="宋体" w:hAnsi="宋体" w:cs="宋体"/>
          <w:bCs/>
          <w:kern w:val="0"/>
          <w:sz w:val="24"/>
          <w:lang w:val="en-US" w:eastAsia="zh-CN"/>
        </w:rPr>
        <w:t>3、</w:t>
      </w:r>
      <w:r>
        <w:rPr>
          <w:rFonts w:hint="eastAsia" w:ascii="宋体" w:hAnsi="宋体" w:cs="宋体"/>
          <w:bCs/>
          <w:kern w:val="0"/>
          <w:sz w:val="24"/>
        </w:rPr>
        <w:t>保修与故障处理</w:t>
      </w:r>
    </w:p>
    <w:p w14:paraId="663784B3">
      <w:pPr>
        <w:spacing w:line="360" w:lineRule="auto"/>
        <w:ind w:firstLine="480" w:firstLineChars="200"/>
        <w:rPr>
          <w:rFonts w:hint="eastAsia"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1</w:t>
      </w:r>
      <w:r>
        <w:rPr>
          <w:rFonts w:hint="eastAsia" w:ascii="宋体" w:hAnsi="宋体" w:cs="宋体"/>
          <w:bCs/>
          <w:kern w:val="0"/>
          <w:sz w:val="24"/>
          <w:lang w:eastAsia="zh-CN"/>
        </w:rPr>
        <w:t>）</w:t>
      </w:r>
      <w:r>
        <w:rPr>
          <w:rFonts w:hint="eastAsia" w:ascii="宋体" w:hAnsi="宋体" w:cs="宋体"/>
          <w:bCs/>
          <w:kern w:val="0"/>
          <w:sz w:val="24"/>
        </w:rPr>
        <w:t>维护方案：需包含设备清洁、性能测试、固件升级等具体内容，明确各阶段维护流程。</w:t>
      </w:r>
    </w:p>
    <w:p w14:paraId="288B86CC">
      <w:pPr>
        <w:spacing w:line="360" w:lineRule="auto"/>
        <w:ind w:firstLine="480" w:firstLineChars="200"/>
        <w:rPr>
          <w:rFonts w:hint="eastAsia"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2</w:t>
      </w:r>
      <w:r>
        <w:rPr>
          <w:rFonts w:hint="eastAsia" w:ascii="宋体" w:hAnsi="宋体" w:cs="宋体"/>
          <w:bCs/>
          <w:kern w:val="0"/>
          <w:sz w:val="24"/>
          <w:lang w:eastAsia="zh-CN"/>
        </w:rPr>
        <w:t>）</w:t>
      </w:r>
      <w:r>
        <w:rPr>
          <w:rFonts w:hint="eastAsia" w:ascii="宋体" w:hAnsi="宋体" w:cs="宋体"/>
          <w:bCs/>
          <w:kern w:val="0"/>
          <w:sz w:val="24"/>
        </w:rPr>
        <w:t>应急响应：制定故障分级处理机制</w:t>
      </w:r>
      <w:r>
        <w:rPr>
          <w:rFonts w:hint="eastAsia" w:ascii="宋体" w:hAnsi="宋体" w:cs="宋体"/>
          <w:bCs/>
          <w:kern w:val="0"/>
          <w:sz w:val="24"/>
          <w:lang w:eastAsia="zh-CN"/>
        </w:rPr>
        <w:t>，</w:t>
      </w:r>
      <w:r>
        <w:rPr>
          <w:rFonts w:hint="eastAsia" w:ascii="宋体" w:hAnsi="宋体" w:cs="宋体"/>
          <w:bCs/>
          <w:kern w:val="0"/>
          <w:sz w:val="24"/>
        </w:rPr>
        <w:t>确保停机影响最小化。</w:t>
      </w:r>
    </w:p>
    <w:p w14:paraId="7186ECD0">
      <w:pPr>
        <w:spacing w:line="360" w:lineRule="auto"/>
        <w:ind w:firstLine="480" w:firstLineChars="200"/>
        <w:rPr>
          <w:rFonts w:hint="eastAsia"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3</w:t>
      </w:r>
      <w:r>
        <w:rPr>
          <w:rFonts w:hint="eastAsia" w:ascii="宋体" w:hAnsi="宋体" w:cs="宋体"/>
          <w:bCs/>
          <w:kern w:val="0"/>
          <w:sz w:val="24"/>
          <w:lang w:eastAsia="zh-CN"/>
        </w:rPr>
        <w:t>）</w:t>
      </w:r>
      <w:r>
        <w:rPr>
          <w:rFonts w:hint="eastAsia" w:ascii="宋体" w:hAnsi="宋体" w:cs="宋体"/>
          <w:bCs/>
          <w:kern w:val="0"/>
          <w:sz w:val="24"/>
        </w:rPr>
        <w:t>现场服务：承诺法定节假日正常提供维保服务，维修人员需携带齐全的专业工具及常用备件。</w:t>
      </w:r>
    </w:p>
    <w:p w14:paraId="75104069">
      <w:pPr>
        <w:spacing w:line="360" w:lineRule="auto"/>
        <w:ind w:firstLine="480" w:firstLineChars="200"/>
        <w:rPr>
          <w:rFonts w:hint="eastAsia" w:ascii="宋体" w:hAnsi="宋体" w:cs="宋体"/>
          <w:bCs/>
          <w:kern w:val="0"/>
          <w:sz w:val="24"/>
        </w:rPr>
      </w:pPr>
      <w:r>
        <w:rPr>
          <w:rFonts w:hint="eastAsia" w:ascii="宋体" w:hAnsi="宋体" w:cs="宋体"/>
          <w:bCs/>
          <w:kern w:val="0"/>
          <w:sz w:val="24"/>
          <w:lang w:val="en-US" w:eastAsia="zh-CN"/>
        </w:rPr>
        <w:t>4、</w:t>
      </w:r>
      <w:r>
        <w:rPr>
          <w:rFonts w:hint="eastAsia" w:ascii="宋体" w:hAnsi="宋体" w:cs="宋体"/>
          <w:bCs/>
          <w:kern w:val="0"/>
          <w:sz w:val="24"/>
        </w:rPr>
        <w:t>技术人员配置</w:t>
      </w:r>
    </w:p>
    <w:p w14:paraId="4BC08B7B">
      <w:pPr>
        <w:spacing w:line="360" w:lineRule="auto"/>
        <w:ind w:firstLine="480" w:firstLineChars="200"/>
        <w:rPr>
          <w:rFonts w:hint="eastAsia"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1</w:t>
      </w:r>
      <w:r>
        <w:rPr>
          <w:rFonts w:hint="eastAsia" w:ascii="宋体" w:hAnsi="宋体" w:cs="宋体"/>
          <w:bCs/>
          <w:kern w:val="0"/>
          <w:sz w:val="24"/>
          <w:lang w:eastAsia="zh-CN"/>
        </w:rPr>
        <w:t>）</w:t>
      </w:r>
      <w:r>
        <w:rPr>
          <w:rFonts w:hint="eastAsia" w:ascii="宋体" w:hAnsi="宋体" w:cs="宋体"/>
          <w:bCs/>
          <w:kern w:val="0"/>
          <w:sz w:val="24"/>
        </w:rPr>
        <w:t>项目负责人：具备医疗设备维保经验，统筹项目管理及技术支持。</w:t>
      </w:r>
    </w:p>
    <w:p w14:paraId="00C99A28">
      <w:pPr>
        <w:spacing w:line="360" w:lineRule="auto"/>
        <w:ind w:firstLine="480" w:firstLineChars="200"/>
        <w:rPr>
          <w:rFonts w:hint="eastAsia"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2</w:t>
      </w:r>
      <w:r>
        <w:rPr>
          <w:rFonts w:hint="eastAsia" w:ascii="宋体" w:hAnsi="宋体" w:cs="宋体"/>
          <w:bCs/>
          <w:kern w:val="0"/>
          <w:sz w:val="24"/>
          <w:lang w:eastAsia="zh-CN"/>
        </w:rPr>
        <w:t>）</w:t>
      </w:r>
      <w:r>
        <w:rPr>
          <w:rFonts w:hint="eastAsia" w:ascii="宋体" w:hAnsi="宋体" w:cs="宋体"/>
          <w:bCs/>
          <w:kern w:val="0"/>
          <w:sz w:val="24"/>
        </w:rPr>
        <w:t>维修团队：配备专职维修人员。</w:t>
      </w:r>
    </w:p>
    <w:p w14:paraId="5A067964">
      <w:pPr>
        <w:spacing w:line="360" w:lineRule="auto"/>
        <w:ind w:firstLine="480" w:firstLineChars="200"/>
        <w:rPr>
          <w:rFonts w:hint="eastAsia" w:ascii="宋体" w:hAnsi="宋体" w:cs="宋体"/>
          <w:bCs/>
          <w:kern w:val="0"/>
          <w:sz w:val="24"/>
        </w:rPr>
      </w:pPr>
      <w:r>
        <w:rPr>
          <w:rFonts w:hint="eastAsia" w:ascii="宋体" w:hAnsi="宋体" w:cs="宋体"/>
          <w:bCs/>
          <w:kern w:val="0"/>
          <w:sz w:val="24"/>
          <w:lang w:val="en-US" w:eastAsia="zh-CN"/>
        </w:rPr>
        <w:t>5、</w:t>
      </w:r>
      <w:r>
        <w:rPr>
          <w:rFonts w:hint="eastAsia" w:ascii="宋体" w:hAnsi="宋体" w:cs="宋体"/>
          <w:bCs/>
          <w:kern w:val="0"/>
          <w:sz w:val="24"/>
        </w:rPr>
        <w:t>备品备件与工具</w:t>
      </w:r>
    </w:p>
    <w:p w14:paraId="5B25EEA3">
      <w:pPr>
        <w:spacing w:line="360" w:lineRule="auto"/>
        <w:ind w:firstLine="480" w:firstLineChars="200"/>
        <w:rPr>
          <w:rFonts w:hint="eastAsia"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1</w:t>
      </w:r>
      <w:r>
        <w:rPr>
          <w:rFonts w:hint="eastAsia" w:ascii="宋体" w:hAnsi="宋体" w:cs="宋体"/>
          <w:bCs/>
          <w:kern w:val="0"/>
          <w:sz w:val="24"/>
          <w:lang w:eastAsia="zh-CN"/>
        </w:rPr>
        <w:t>）</w:t>
      </w:r>
      <w:r>
        <w:rPr>
          <w:rFonts w:hint="eastAsia" w:ascii="宋体" w:hAnsi="宋体" w:cs="宋体"/>
          <w:bCs/>
          <w:kern w:val="0"/>
          <w:sz w:val="24"/>
        </w:rPr>
        <w:t>备件管理：建立独立仓储，环境满足温湿度控制及防静电要求，重要备件需与原厂签订紧急供应协议。</w:t>
      </w:r>
    </w:p>
    <w:p w14:paraId="152359B0">
      <w:pPr>
        <w:spacing w:line="360" w:lineRule="auto"/>
        <w:ind w:firstLine="480" w:firstLineChars="200"/>
        <w:rPr>
          <w:rFonts w:hint="eastAsia"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2</w:t>
      </w:r>
      <w:r>
        <w:rPr>
          <w:rFonts w:hint="eastAsia" w:ascii="宋体" w:hAnsi="宋体" w:cs="宋体"/>
          <w:bCs/>
          <w:kern w:val="0"/>
          <w:sz w:val="24"/>
          <w:lang w:eastAsia="zh-CN"/>
        </w:rPr>
        <w:t>）</w:t>
      </w:r>
      <w:r>
        <w:rPr>
          <w:rFonts w:hint="eastAsia" w:ascii="宋体" w:hAnsi="宋体" w:cs="宋体"/>
          <w:bCs/>
          <w:kern w:val="0"/>
          <w:sz w:val="24"/>
        </w:rPr>
        <w:t>工具配备：需配备设备专用维修工具，工具清单需经厂商确认。</w:t>
      </w:r>
    </w:p>
    <w:p w14:paraId="385BFB9E">
      <w:pPr>
        <w:spacing w:line="360" w:lineRule="auto"/>
        <w:ind w:firstLine="480" w:firstLineChars="200"/>
        <w:rPr>
          <w:rFonts w:hint="eastAsia" w:ascii="宋体" w:hAnsi="宋体" w:cs="宋体"/>
          <w:bCs/>
          <w:kern w:val="0"/>
          <w:sz w:val="24"/>
        </w:rPr>
      </w:pPr>
      <w:r>
        <w:rPr>
          <w:rFonts w:hint="eastAsia" w:ascii="宋体" w:hAnsi="宋体" w:cs="宋体"/>
          <w:bCs/>
          <w:kern w:val="0"/>
          <w:sz w:val="24"/>
          <w:lang w:val="en-US" w:eastAsia="zh-CN"/>
        </w:rPr>
        <w:t>6、</w:t>
      </w:r>
      <w:r>
        <w:rPr>
          <w:rFonts w:hint="eastAsia" w:ascii="宋体" w:hAnsi="宋体" w:cs="宋体"/>
          <w:bCs/>
          <w:kern w:val="0"/>
          <w:sz w:val="24"/>
        </w:rPr>
        <w:t>质量保证与考核</w:t>
      </w:r>
    </w:p>
    <w:p w14:paraId="61870120">
      <w:pPr>
        <w:spacing w:line="360" w:lineRule="auto"/>
        <w:ind w:firstLine="480" w:firstLineChars="200"/>
        <w:rPr>
          <w:rFonts w:hint="eastAsia"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1</w:t>
      </w:r>
      <w:r>
        <w:rPr>
          <w:rFonts w:hint="eastAsia" w:ascii="宋体" w:hAnsi="宋体" w:cs="宋体"/>
          <w:bCs/>
          <w:kern w:val="0"/>
          <w:sz w:val="24"/>
          <w:lang w:eastAsia="zh-CN"/>
        </w:rPr>
        <w:t>）</w:t>
      </w:r>
      <w:r>
        <w:rPr>
          <w:rFonts w:hint="eastAsia" w:ascii="宋体" w:hAnsi="宋体" w:cs="宋体"/>
          <w:bCs/>
          <w:kern w:val="0"/>
          <w:sz w:val="24"/>
        </w:rPr>
        <w:t>质量指标：设定开机率、故障处理及时率、客户满意度等量化目标，每月提交质量分析报告。</w:t>
      </w:r>
    </w:p>
    <w:p w14:paraId="260B0F3C">
      <w:pPr>
        <w:spacing w:line="360" w:lineRule="auto"/>
        <w:ind w:firstLine="480" w:firstLineChars="200"/>
        <w:rPr>
          <w:rFonts w:hint="eastAsia"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2</w:t>
      </w:r>
      <w:r>
        <w:rPr>
          <w:rFonts w:hint="eastAsia" w:ascii="宋体" w:hAnsi="宋体" w:cs="宋体"/>
          <w:bCs/>
          <w:kern w:val="0"/>
          <w:sz w:val="24"/>
          <w:lang w:eastAsia="zh-CN"/>
        </w:rPr>
        <w:t>）</w:t>
      </w:r>
      <w:r>
        <w:rPr>
          <w:rFonts w:hint="eastAsia" w:ascii="宋体" w:hAnsi="宋体" w:cs="宋体"/>
          <w:bCs/>
          <w:kern w:val="0"/>
          <w:sz w:val="24"/>
        </w:rPr>
        <w:t>惩罚措施：若服务质量不达标，按合同约定扣减服务费；因维修失误导致设备损坏，需承担全部修复费用及连带责任。</w:t>
      </w:r>
    </w:p>
    <w:p w14:paraId="6921EAFD">
      <w:pPr>
        <w:spacing w:line="360" w:lineRule="auto"/>
        <w:ind w:firstLine="480" w:firstLineChars="200"/>
        <w:rPr>
          <w:rFonts w:hint="eastAsia" w:ascii="宋体" w:hAnsi="宋体" w:cs="宋体"/>
          <w:bCs/>
          <w:kern w:val="0"/>
          <w:sz w:val="24"/>
        </w:rPr>
      </w:pPr>
      <w:r>
        <w:rPr>
          <w:rFonts w:hint="eastAsia" w:ascii="宋体" w:hAnsi="宋体" w:cs="宋体"/>
          <w:bCs/>
          <w:kern w:val="0"/>
          <w:sz w:val="24"/>
          <w:lang w:val="en-US" w:eastAsia="zh-CN"/>
        </w:rPr>
        <w:t>7、</w:t>
      </w:r>
      <w:r>
        <w:rPr>
          <w:rFonts w:hint="eastAsia" w:ascii="宋体" w:hAnsi="宋体" w:cs="宋体"/>
          <w:bCs/>
          <w:kern w:val="0"/>
          <w:sz w:val="24"/>
        </w:rPr>
        <w:t>体系认证与业绩</w:t>
      </w:r>
    </w:p>
    <w:p w14:paraId="4D161100">
      <w:pPr>
        <w:spacing w:line="360" w:lineRule="auto"/>
        <w:ind w:firstLine="480" w:firstLineChars="200"/>
        <w:rPr>
          <w:rFonts w:hint="eastAsia"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1</w:t>
      </w:r>
      <w:r>
        <w:rPr>
          <w:rFonts w:hint="eastAsia" w:ascii="宋体" w:hAnsi="宋体" w:cs="宋体"/>
          <w:bCs/>
          <w:kern w:val="0"/>
          <w:sz w:val="24"/>
          <w:lang w:eastAsia="zh-CN"/>
        </w:rPr>
        <w:t>）</w:t>
      </w:r>
      <w:r>
        <w:rPr>
          <w:rFonts w:hint="eastAsia" w:ascii="宋体" w:hAnsi="宋体" w:cs="宋体"/>
          <w:bCs/>
          <w:kern w:val="0"/>
          <w:sz w:val="24"/>
          <w:lang w:val="en-US" w:eastAsia="zh-CN"/>
        </w:rPr>
        <w:t>投标单位</w:t>
      </w:r>
      <w:r>
        <w:rPr>
          <w:rFonts w:hint="eastAsia" w:ascii="宋体" w:hAnsi="宋体" w:cs="宋体"/>
          <w:bCs/>
          <w:kern w:val="0"/>
          <w:sz w:val="24"/>
        </w:rPr>
        <w:t>或设备制造商</w:t>
      </w:r>
      <w:r>
        <w:rPr>
          <w:rFonts w:hint="eastAsia" w:ascii="宋体" w:hAnsi="宋体" w:cs="宋体"/>
          <w:bCs/>
          <w:kern w:val="0"/>
          <w:sz w:val="24"/>
          <w:lang w:val="en-US" w:eastAsia="zh-CN"/>
        </w:rPr>
        <w:t>如</w:t>
      </w:r>
      <w:r>
        <w:rPr>
          <w:rFonts w:hint="eastAsia" w:ascii="宋体" w:hAnsi="宋体" w:cs="宋体"/>
          <w:bCs/>
          <w:kern w:val="0"/>
          <w:sz w:val="24"/>
        </w:rPr>
        <w:t>具备ISO9001（质量管理体系）、ISO13485（医疗器械管理体系）、ISO27001（信息安全管理体系）认证，</w:t>
      </w:r>
      <w:r>
        <w:rPr>
          <w:rFonts w:hint="eastAsia" w:ascii="宋体" w:hAnsi="宋体" w:cs="宋体"/>
          <w:bCs/>
          <w:kern w:val="0"/>
          <w:sz w:val="24"/>
          <w:lang w:val="en-US" w:eastAsia="zh-CN"/>
        </w:rPr>
        <w:t>请在投标文件中</w:t>
      </w:r>
      <w:r>
        <w:rPr>
          <w:rFonts w:hint="eastAsia" w:ascii="宋体" w:hAnsi="宋体" w:cs="宋体"/>
          <w:bCs/>
          <w:kern w:val="0"/>
          <w:sz w:val="24"/>
        </w:rPr>
        <w:t>提供证书复印件。</w:t>
      </w:r>
    </w:p>
    <w:p w14:paraId="61DB53FE">
      <w:pPr>
        <w:spacing w:line="360" w:lineRule="auto"/>
        <w:ind w:firstLine="480" w:firstLineChars="200"/>
        <w:rPr>
          <w:rFonts w:hint="eastAsia"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2</w:t>
      </w:r>
      <w:r>
        <w:rPr>
          <w:rFonts w:hint="eastAsia" w:ascii="宋体" w:hAnsi="宋体" w:cs="宋体"/>
          <w:bCs/>
          <w:kern w:val="0"/>
          <w:sz w:val="24"/>
          <w:lang w:eastAsia="zh-CN"/>
        </w:rPr>
        <w:t>）</w:t>
      </w:r>
      <w:r>
        <w:rPr>
          <w:rFonts w:hint="eastAsia" w:ascii="宋体" w:hAnsi="宋体" w:cs="宋体"/>
          <w:bCs/>
          <w:kern w:val="0"/>
          <w:sz w:val="24"/>
          <w:lang w:val="en-US" w:eastAsia="zh-CN"/>
        </w:rPr>
        <w:t>投标单位如具有</w:t>
      </w:r>
      <w:r>
        <w:rPr>
          <w:rFonts w:hint="eastAsia" w:ascii="宋体" w:hAnsi="宋体" w:cs="宋体"/>
          <w:bCs/>
          <w:kern w:val="0"/>
          <w:sz w:val="24"/>
        </w:rPr>
        <w:t>近3年（2022年1月至今）同类项目业绩，</w:t>
      </w:r>
      <w:r>
        <w:rPr>
          <w:rFonts w:hint="eastAsia" w:ascii="宋体" w:hAnsi="宋体" w:cs="宋体"/>
          <w:bCs/>
          <w:kern w:val="0"/>
          <w:sz w:val="24"/>
          <w:lang w:val="en-US" w:eastAsia="zh-CN"/>
        </w:rPr>
        <w:t>请在投标文件中</w:t>
      </w:r>
      <w:r>
        <w:rPr>
          <w:rFonts w:hint="eastAsia" w:ascii="宋体" w:hAnsi="宋体" w:cs="宋体"/>
          <w:bCs/>
          <w:kern w:val="0"/>
          <w:sz w:val="24"/>
        </w:rPr>
        <w:t>提供合同</w:t>
      </w:r>
      <w:r>
        <w:rPr>
          <w:rFonts w:hint="eastAsia" w:ascii="宋体" w:hAnsi="宋体" w:cs="宋体"/>
          <w:bCs/>
          <w:kern w:val="0"/>
          <w:sz w:val="24"/>
          <w:lang w:val="en-US" w:eastAsia="zh-CN"/>
        </w:rPr>
        <w:t>复印件</w:t>
      </w:r>
      <w:r>
        <w:rPr>
          <w:rFonts w:hint="eastAsia" w:ascii="宋体" w:hAnsi="宋体" w:cs="宋体"/>
          <w:bCs/>
          <w:kern w:val="0"/>
          <w:sz w:val="24"/>
        </w:rPr>
        <w:t>。</w:t>
      </w:r>
    </w:p>
    <w:p w14:paraId="357AF2BA">
      <w:pPr>
        <w:spacing w:line="360" w:lineRule="auto"/>
        <w:ind w:firstLine="480" w:firstLineChars="200"/>
        <w:rPr>
          <w:rFonts w:hint="eastAsia" w:ascii="宋体" w:hAnsi="宋体" w:cs="宋体"/>
          <w:bCs/>
          <w:kern w:val="0"/>
          <w:sz w:val="24"/>
        </w:rPr>
      </w:pPr>
    </w:p>
    <w:p w14:paraId="04E55316">
      <w:pPr>
        <w:rPr>
          <w:rFonts w:hint="eastAsia" w:ascii="宋体" w:hAnsi="宋体" w:cs="宋体"/>
          <w:b/>
          <w:kern w:val="0"/>
          <w:sz w:val="24"/>
        </w:rPr>
      </w:pPr>
    </w:p>
    <w:p w14:paraId="2A22F360">
      <w:pPr>
        <w:rPr>
          <w:rFonts w:hint="eastAsia" w:ascii="宋体" w:hAnsi="宋体" w:cs="宋体"/>
          <w:b/>
          <w:kern w:val="0"/>
          <w:sz w:val="24"/>
        </w:rPr>
      </w:pPr>
    </w:p>
    <w:p w14:paraId="4D2D13C2">
      <w:pPr>
        <w:rPr>
          <w:rFonts w:hint="eastAsia" w:ascii="宋体" w:hAnsi="宋体" w:cs="宋体"/>
          <w:b/>
          <w:kern w:val="0"/>
          <w:sz w:val="24"/>
        </w:rPr>
      </w:pPr>
      <w:r>
        <w:rPr>
          <w:rFonts w:hint="eastAsia" w:ascii="宋体" w:hAnsi="宋体" w:cs="宋体"/>
          <w:b/>
          <w:kern w:val="0"/>
          <w:sz w:val="24"/>
        </w:rPr>
        <w:br w:type="page"/>
      </w:r>
    </w:p>
    <w:p w14:paraId="4D2D13C3">
      <w:pPr>
        <w:adjustRightInd/>
        <w:rPr>
          <w:rFonts w:hint="eastAsia" w:ascii="宋体" w:hAnsi="宋体" w:cs="宋体"/>
          <w:b/>
          <w:bCs/>
          <w:sz w:val="24"/>
        </w:rPr>
      </w:pPr>
      <w:r>
        <w:rPr>
          <w:rFonts w:hint="eastAsia" w:ascii="宋体" w:hAnsi="宋体" w:cs="宋体"/>
          <w:b/>
          <w:bCs/>
          <w:sz w:val="24"/>
        </w:rPr>
        <w:t>附件1：考核办法</w:t>
      </w:r>
    </w:p>
    <w:tbl>
      <w:tblPr>
        <w:tblStyle w:val="92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3614"/>
        <w:gridCol w:w="2935"/>
        <w:gridCol w:w="709"/>
        <w:gridCol w:w="709"/>
      </w:tblGrid>
      <w:tr w14:paraId="4D2D1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gridSpan w:val="5"/>
            <w:vAlign w:val="center"/>
          </w:tcPr>
          <w:p w14:paraId="4D2D13C4">
            <w:pPr>
              <w:adjustRightInd/>
              <w:rPr>
                <w:rFonts w:hint="eastAsia" w:ascii="宋体" w:hAnsi="宋体" w:eastAsia="宋体" w:cs="宋体"/>
                <w:sz w:val="24"/>
              </w:rPr>
            </w:pPr>
            <w:r>
              <w:rPr>
                <w:rFonts w:hint="eastAsia" w:ascii="宋体" w:hAnsi="宋体" w:eastAsia="宋体" w:cs="宋体"/>
                <w:sz w:val="24"/>
              </w:rPr>
              <w:t>服务质量考核时间段：</w:t>
            </w:r>
            <w:r>
              <w:rPr>
                <w:rFonts w:hint="eastAsia" w:ascii="宋体" w:hAnsi="宋体" w:eastAsia="宋体" w:cs="宋体"/>
                <w:b/>
                <w:bCs/>
                <w:sz w:val="24"/>
              </w:rPr>
              <w:t xml:space="preserve">    年  月  日~    年  月  日</w:t>
            </w:r>
          </w:p>
        </w:tc>
      </w:tr>
      <w:tr w14:paraId="4D2D1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4D2D13C6">
            <w:pPr>
              <w:adjustRightInd/>
              <w:jc w:val="center"/>
              <w:rPr>
                <w:rFonts w:hint="eastAsia" w:ascii="宋体" w:hAnsi="宋体" w:eastAsia="宋体" w:cs="宋体"/>
                <w:sz w:val="24"/>
              </w:rPr>
            </w:pPr>
            <w:r>
              <w:rPr>
                <w:rFonts w:hint="eastAsia" w:ascii="宋体" w:hAnsi="宋体" w:eastAsia="宋体" w:cs="宋体"/>
                <w:sz w:val="24"/>
              </w:rPr>
              <w:t>项目</w:t>
            </w:r>
          </w:p>
        </w:tc>
        <w:tc>
          <w:tcPr>
            <w:tcW w:w="3614" w:type="dxa"/>
            <w:vAlign w:val="center"/>
          </w:tcPr>
          <w:p w14:paraId="4D2D13C7">
            <w:pPr>
              <w:adjustRightInd/>
              <w:rPr>
                <w:rFonts w:hint="eastAsia" w:ascii="宋体" w:hAnsi="宋体" w:eastAsia="宋体" w:cs="宋体"/>
                <w:sz w:val="24"/>
              </w:rPr>
            </w:pPr>
            <w:r>
              <w:rPr>
                <w:rFonts w:hint="eastAsia" w:ascii="宋体" w:hAnsi="宋体" w:eastAsia="宋体" w:cs="宋体"/>
                <w:sz w:val="24"/>
              </w:rPr>
              <w:t>要求</w:t>
            </w:r>
          </w:p>
        </w:tc>
        <w:tc>
          <w:tcPr>
            <w:tcW w:w="2935" w:type="dxa"/>
            <w:vAlign w:val="center"/>
          </w:tcPr>
          <w:p w14:paraId="4D2D13C8">
            <w:pPr>
              <w:adjustRightInd/>
              <w:rPr>
                <w:rFonts w:hint="eastAsia" w:ascii="宋体" w:hAnsi="宋体" w:eastAsia="宋体" w:cs="宋体"/>
                <w:sz w:val="24"/>
              </w:rPr>
            </w:pPr>
            <w:r>
              <w:rPr>
                <w:rFonts w:hint="eastAsia" w:ascii="宋体" w:hAnsi="宋体" w:eastAsia="宋体" w:cs="宋体"/>
                <w:sz w:val="24"/>
              </w:rPr>
              <w:t>评分规则</w:t>
            </w:r>
          </w:p>
        </w:tc>
        <w:tc>
          <w:tcPr>
            <w:tcW w:w="709" w:type="dxa"/>
            <w:vAlign w:val="center"/>
          </w:tcPr>
          <w:p w14:paraId="4D2D13C9">
            <w:pPr>
              <w:adjustRightInd/>
              <w:rPr>
                <w:rFonts w:hint="eastAsia" w:ascii="宋体" w:hAnsi="宋体" w:eastAsia="宋体" w:cs="宋体"/>
                <w:sz w:val="24"/>
              </w:rPr>
            </w:pPr>
            <w:r>
              <w:rPr>
                <w:rFonts w:hint="eastAsia" w:ascii="宋体" w:hAnsi="宋体" w:eastAsia="宋体" w:cs="宋体"/>
                <w:sz w:val="24"/>
              </w:rPr>
              <w:t>结果</w:t>
            </w:r>
          </w:p>
        </w:tc>
        <w:tc>
          <w:tcPr>
            <w:tcW w:w="709" w:type="dxa"/>
            <w:vAlign w:val="center"/>
          </w:tcPr>
          <w:p w14:paraId="4D2D13CA">
            <w:pPr>
              <w:adjustRightInd/>
              <w:rPr>
                <w:rFonts w:hint="eastAsia" w:ascii="宋体" w:hAnsi="宋体" w:eastAsia="宋体" w:cs="宋体"/>
                <w:sz w:val="24"/>
              </w:rPr>
            </w:pPr>
            <w:r>
              <w:rPr>
                <w:rFonts w:hint="eastAsia" w:ascii="宋体" w:hAnsi="宋体" w:eastAsia="宋体" w:cs="宋体"/>
                <w:sz w:val="24"/>
              </w:rPr>
              <w:t>得分</w:t>
            </w:r>
          </w:p>
        </w:tc>
      </w:tr>
      <w:tr w14:paraId="4D2D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Merge w:val="restart"/>
            <w:vAlign w:val="center"/>
          </w:tcPr>
          <w:p w14:paraId="4D2D13CC">
            <w:pPr>
              <w:adjustRightInd/>
              <w:jc w:val="center"/>
              <w:rPr>
                <w:rFonts w:hint="eastAsia" w:ascii="宋体" w:hAnsi="宋体" w:eastAsia="宋体" w:cs="宋体"/>
                <w:sz w:val="24"/>
              </w:rPr>
            </w:pPr>
            <w:r>
              <w:rPr>
                <w:rFonts w:hint="eastAsia" w:ascii="宋体" w:hAnsi="宋体" w:eastAsia="宋体" w:cs="宋体"/>
                <w:sz w:val="24"/>
              </w:rPr>
              <w:t>故障维修</w:t>
            </w:r>
          </w:p>
        </w:tc>
        <w:tc>
          <w:tcPr>
            <w:tcW w:w="3614" w:type="dxa"/>
            <w:vAlign w:val="center"/>
          </w:tcPr>
          <w:p w14:paraId="4D2D13CD">
            <w:pPr>
              <w:adjustRightInd/>
              <w:rPr>
                <w:rFonts w:hint="eastAsia" w:ascii="宋体" w:hAnsi="宋体" w:eastAsia="宋体" w:cs="宋体"/>
                <w:sz w:val="24"/>
              </w:rPr>
            </w:pPr>
            <w:r>
              <w:rPr>
                <w:rFonts w:hint="eastAsia" w:ascii="宋体" w:hAnsi="宋体" w:eastAsia="宋体" w:cs="宋体"/>
                <w:sz w:val="24"/>
              </w:rPr>
              <w:t>设备开机率大于95%（按全年365天计算），每年累计停机不超过19个工作日。</w:t>
            </w:r>
          </w:p>
        </w:tc>
        <w:tc>
          <w:tcPr>
            <w:tcW w:w="2935" w:type="dxa"/>
            <w:vAlign w:val="center"/>
          </w:tcPr>
          <w:p w14:paraId="4D2D13CE">
            <w:pPr>
              <w:adjustRightInd/>
              <w:rPr>
                <w:rFonts w:hint="eastAsia" w:ascii="宋体" w:hAnsi="宋体" w:eastAsia="宋体" w:cs="宋体"/>
                <w:sz w:val="24"/>
              </w:rPr>
            </w:pPr>
            <w:r>
              <w:rPr>
                <w:rFonts w:hint="eastAsia" w:ascii="宋体" w:hAnsi="宋体" w:eastAsia="宋体" w:cs="宋体"/>
                <w:sz w:val="24"/>
              </w:rPr>
              <w:t>超过一天扣2分，总分10分</w:t>
            </w:r>
          </w:p>
        </w:tc>
        <w:tc>
          <w:tcPr>
            <w:tcW w:w="709" w:type="dxa"/>
            <w:vAlign w:val="center"/>
          </w:tcPr>
          <w:p w14:paraId="4D2D13CF">
            <w:pPr>
              <w:adjustRightInd/>
              <w:rPr>
                <w:rFonts w:hint="eastAsia" w:ascii="宋体" w:hAnsi="宋体" w:eastAsia="宋体" w:cs="宋体"/>
                <w:sz w:val="24"/>
              </w:rPr>
            </w:pPr>
          </w:p>
        </w:tc>
        <w:tc>
          <w:tcPr>
            <w:tcW w:w="709" w:type="dxa"/>
            <w:vAlign w:val="center"/>
          </w:tcPr>
          <w:p w14:paraId="4D2D13D0">
            <w:pPr>
              <w:adjustRightInd/>
              <w:rPr>
                <w:rFonts w:hint="eastAsia" w:ascii="宋体" w:hAnsi="宋体" w:eastAsia="宋体" w:cs="宋体"/>
                <w:sz w:val="24"/>
              </w:rPr>
            </w:pPr>
          </w:p>
        </w:tc>
      </w:tr>
      <w:tr w14:paraId="4D2D1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Merge w:val="continue"/>
            <w:vAlign w:val="center"/>
          </w:tcPr>
          <w:p w14:paraId="4D2D13D2">
            <w:pPr>
              <w:adjustRightInd/>
              <w:jc w:val="center"/>
              <w:rPr>
                <w:rFonts w:hint="eastAsia" w:ascii="宋体" w:hAnsi="宋体" w:eastAsia="宋体" w:cs="宋体"/>
                <w:sz w:val="24"/>
              </w:rPr>
            </w:pPr>
          </w:p>
        </w:tc>
        <w:tc>
          <w:tcPr>
            <w:tcW w:w="3614" w:type="dxa"/>
            <w:vAlign w:val="center"/>
          </w:tcPr>
          <w:p w14:paraId="4D2D13D3">
            <w:pPr>
              <w:adjustRightInd/>
              <w:rPr>
                <w:rFonts w:hint="eastAsia" w:ascii="宋体" w:hAnsi="宋体" w:eastAsia="宋体" w:cs="宋体"/>
                <w:sz w:val="24"/>
              </w:rPr>
            </w:pPr>
            <w:r>
              <w:rPr>
                <w:rFonts w:hint="eastAsia" w:ascii="宋体" w:hAnsi="宋体" w:eastAsia="宋体" w:cs="宋体"/>
                <w:sz w:val="24"/>
              </w:rPr>
              <w:t>维修响应时间：1小时内响应，24小时到达现场维修</w:t>
            </w:r>
          </w:p>
        </w:tc>
        <w:tc>
          <w:tcPr>
            <w:tcW w:w="2935" w:type="dxa"/>
            <w:vAlign w:val="center"/>
          </w:tcPr>
          <w:p w14:paraId="4D2D13D4">
            <w:pPr>
              <w:adjustRightInd/>
              <w:rPr>
                <w:rFonts w:hint="eastAsia" w:ascii="宋体" w:hAnsi="宋体" w:eastAsia="宋体" w:cs="宋体"/>
                <w:sz w:val="24"/>
              </w:rPr>
            </w:pPr>
            <w:r>
              <w:rPr>
                <w:rFonts w:hint="eastAsia" w:ascii="宋体" w:hAnsi="宋体" w:eastAsia="宋体" w:cs="宋体"/>
                <w:sz w:val="24"/>
              </w:rPr>
              <w:t>超过要求时间一次扣1分，总分10分</w:t>
            </w:r>
          </w:p>
        </w:tc>
        <w:tc>
          <w:tcPr>
            <w:tcW w:w="709" w:type="dxa"/>
            <w:vAlign w:val="center"/>
          </w:tcPr>
          <w:p w14:paraId="4D2D13D5">
            <w:pPr>
              <w:adjustRightInd/>
              <w:rPr>
                <w:rFonts w:hint="eastAsia" w:ascii="宋体" w:hAnsi="宋体" w:eastAsia="宋体" w:cs="宋体"/>
                <w:sz w:val="24"/>
              </w:rPr>
            </w:pPr>
          </w:p>
        </w:tc>
        <w:tc>
          <w:tcPr>
            <w:tcW w:w="709" w:type="dxa"/>
            <w:vAlign w:val="center"/>
          </w:tcPr>
          <w:p w14:paraId="4D2D13D6">
            <w:pPr>
              <w:adjustRightInd/>
              <w:rPr>
                <w:rFonts w:hint="eastAsia" w:ascii="宋体" w:hAnsi="宋体" w:eastAsia="宋体" w:cs="宋体"/>
                <w:sz w:val="24"/>
              </w:rPr>
            </w:pPr>
          </w:p>
        </w:tc>
      </w:tr>
      <w:tr w14:paraId="4D2D1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Merge w:val="continue"/>
            <w:vAlign w:val="center"/>
          </w:tcPr>
          <w:p w14:paraId="4D2D13D8">
            <w:pPr>
              <w:adjustRightInd/>
              <w:jc w:val="center"/>
              <w:rPr>
                <w:rFonts w:hint="eastAsia" w:ascii="宋体" w:hAnsi="宋体" w:eastAsia="宋体" w:cs="宋体"/>
                <w:sz w:val="24"/>
              </w:rPr>
            </w:pPr>
          </w:p>
        </w:tc>
        <w:tc>
          <w:tcPr>
            <w:tcW w:w="3614" w:type="dxa"/>
            <w:vAlign w:val="center"/>
          </w:tcPr>
          <w:p w14:paraId="4D2D13D9">
            <w:pPr>
              <w:adjustRightInd/>
              <w:rPr>
                <w:rFonts w:hint="eastAsia" w:ascii="宋体" w:hAnsi="宋体" w:eastAsia="宋体" w:cs="宋体"/>
                <w:sz w:val="24"/>
              </w:rPr>
            </w:pPr>
            <w:r>
              <w:rPr>
                <w:rFonts w:hint="eastAsia" w:ascii="宋体" w:hAnsi="宋体" w:eastAsia="宋体" w:cs="宋体"/>
                <w:sz w:val="24"/>
              </w:rPr>
              <w:t>故障修复时间一般不超过24小时</w:t>
            </w:r>
          </w:p>
        </w:tc>
        <w:tc>
          <w:tcPr>
            <w:tcW w:w="2935" w:type="dxa"/>
            <w:vAlign w:val="center"/>
          </w:tcPr>
          <w:p w14:paraId="4D2D13DA">
            <w:pPr>
              <w:adjustRightInd/>
              <w:rPr>
                <w:rFonts w:hint="eastAsia" w:ascii="宋体" w:hAnsi="宋体" w:eastAsia="宋体" w:cs="宋体"/>
                <w:sz w:val="24"/>
              </w:rPr>
            </w:pPr>
            <w:r>
              <w:rPr>
                <w:rFonts w:hint="eastAsia" w:ascii="宋体" w:hAnsi="宋体" w:eastAsia="宋体" w:cs="宋体"/>
                <w:sz w:val="24"/>
              </w:rPr>
              <w:t>故障修复时间累积3次超过24小时之后，每超过24小时一次扣2分，总分10分</w:t>
            </w:r>
          </w:p>
        </w:tc>
        <w:tc>
          <w:tcPr>
            <w:tcW w:w="709" w:type="dxa"/>
            <w:vAlign w:val="center"/>
          </w:tcPr>
          <w:p w14:paraId="4D2D13DB">
            <w:pPr>
              <w:adjustRightInd/>
              <w:rPr>
                <w:rFonts w:hint="eastAsia" w:ascii="宋体" w:hAnsi="宋体" w:eastAsia="宋体" w:cs="宋体"/>
                <w:sz w:val="24"/>
              </w:rPr>
            </w:pPr>
          </w:p>
        </w:tc>
        <w:tc>
          <w:tcPr>
            <w:tcW w:w="709" w:type="dxa"/>
            <w:vAlign w:val="center"/>
          </w:tcPr>
          <w:p w14:paraId="4D2D13DC">
            <w:pPr>
              <w:adjustRightInd/>
              <w:rPr>
                <w:rFonts w:hint="eastAsia" w:ascii="宋体" w:hAnsi="宋体" w:eastAsia="宋体" w:cs="宋体"/>
                <w:sz w:val="24"/>
              </w:rPr>
            </w:pPr>
          </w:p>
        </w:tc>
      </w:tr>
      <w:tr w14:paraId="4D2D1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4D2D13DE">
            <w:pPr>
              <w:adjustRightInd/>
              <w:jc w:val="center"/>
              <w:rPr>
                <w:rFonts w:hint="eastAsia" w:ascii="宋体" w:hAnsi="宋体" w:eastAsia="宋体" w:cs="宋体"/>
                <w:sz w:val="24"/>
              </w:rPr>
            </w:pPr>
            <w:r>
              <w:rPr>
                <w:rFonts w:hint="eastAsia" w:ascii="宋体" w:hAnsi="宋体" w:eastAsia="宋体" w:cs="宋体"/>
                <w:sz w:val="24"/>
              </w:rPr>
              <w:t>定期保养</w:t>
            </w:r>
          </w:p>
        </w:tc>
        <w:tc>
          <w:tcPr>
            <w:tcW w:w="3614" w:type="dxa"/>
            <w:vAlign w:val="center"/>
          </w:tcPr>
          <w:p w14:paraId="4D2D13DF">
            <w:pPr>
              <w:adjustRightInd/>
              <w:rPr>
                <w:rFonts w:hint="eastAsia" w:ascii="宋体" w:hAnsi="宋体" w:eastAsia="宋体" w:cs="宋体"/>
                <w:sz w:val="24"/>
              </w:rPr>
            </w:pPr>
            <w:r>
              <w:rPr>
                <w:rFonts w:hint="eastAsia" w:ascii="宋体" w:hAnsi="宋体" w:eastAsia="宋体" w:cs="宋体"/>
                <w:sz w:val="24"/>
              </w:rPr>
              <w:t>每年提供规定次数预防性维护保养服务，维保内容包括设备清洁、性能测试及校准、必要的机械或电气检查，以及预防性维护。</w:t>
            </w:r>
          </w:p>
        </w:tc>
        <w:tc>
          <w:tcPr>
            <w:tcW w:w="2935" w:type="dxa"/>
            <w:vAlign w:val="center"/>
          </w:tcPr>
          <w:p w14:paraId="4D2D13E0">
            <w:pPr>
              <w:adjustRightInd/>
              <w:rPr>
                <w:rFonts w:hint="eastAsia" w:ascii="宋体" w:hAnsi="宋体" w:eastAsia="宋体" w:cs="宋体"/>
                <w:sz w:val="24"/>
              </w:rPr>
            </w:pPr>
            <w:r>
              <w:rPr>
                <w:rFonts w:hint="eastAsia" w:ascii="宋体" w:hAnsi="宋体" w:eastAsia="宋体" w:cs="宋体"/>
                <w:sz w:val="24"/>
              </w:rPr>
              <w:t>依据承诺提供的保养次数按比例在总分上扣除，总分20分</w:t>
            </w:r>
          </w:p>
        </w:tc>
        <w:tc>
          <w:tcPr>
            <w:tcW w:w="709" w:type="dxa"/>
            <w:vAlign w:val="center"/>
          </w:tcPr>
          <w:p w14:paraId="4D2D13E1">
            <w:pPr>
              <w:adjustRightInd/>
              <w:rPr>
                <w:rFonts w:hint="eastAsia" w:ascii="宋体" w:hAnsi="宋体" w:eastAsia="宋体" w:cs="宋体"/>
                <w:sz w:val="24"/>
              </w:rPr>
            </w:pPr>
          </w:p>
        </w:tc>
        <w:tc>
          <w:tcPr>
            <w:tcW w:w="709" w:type="dxa"/>
            <w:vAlign w:val="center"/>
          </w:tcPr>
          <w:p w14:paraId="4D2D13E2">
            <w:pPr>
              <w:adjustRightInd/>
              <w:rPr>
                <w:rFonts w:hint="eastAsia" w:ascii="宋体" w:hAnsi="宋体" w:eastAsia="宋体" w:cs="宋体"/>
                <w:sz w:val="24"/>
              </w:rPr>
            </w:pPr>
          </w:p>
        </w:tc>
      </w:tr>
      <w:tr w14:paraId="4D2D1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22" w:type="dxa"/>
            <w:vMerge w:val="restart"/>
            <w:vAlign w:val="center"/>
          </w:tcPr>
          <w:p w14:paraId="4D2D13E4">
            <w:pPr>
              <w:adjustRightInd/>
              <w:jc w:val="center"/>
              <w:rPr>
                <w:rFonts w:hint="eastAsia" w:ascii="宋体" w:hAnsi="宋体" w:eastAsia="宋体" w:cs="宋体"/>
                <w:sz w:val="24"/>
              </w:rPr>
            </w:pPr>
            <w:r>
              <w:rPr>
                <w:rFonts w:hint="eastAsia" w:ascii="宋体" w:hAnsi="宋体" w:eastAsia="宋体" w:cs="宋体"/>
                <w:sz w:val="24"/>
              </w:rPr>
              <w:t>服务报告</w:t>
            </w:r>
          </w:p>
        </w:tc>
        <w:tc>
          <w:tcPr>
            <w:tcW w:w="3614" w:type="dxa"/>
            <w:vAlign w:val="center"/>
          </w:tcPr>
          <w:p w14:paraId="4D2D13E5">
            <w:pPr>
              <w:adjustRightInd/>
              <w:rPr>
                <w:rFonts w:hint="eastAsia" w:ascii="宋体" w:hAnsi="宋体" w:eastAsia="宋体" w:cs="宋体"/>
                <w:sz w:val="24"/>
              </w:rPr>
            </w:pPr>
            <w:r>
              <w:rPr>
                <w:rFonts w:hint="eastAsia" w:ascii="宋体" w:hAnsi="宋体" w:eastAsia="宋体" w:cs="宋体"/>
                <w:sz w:val="24"/>
              </w:rPr>
              <w:t>每次维修后必须提供服务报告，每次保养后必须提供详细的保养报告。</w:t>
            </w:r>
          </w:p>
        </w:tc>
        <w:tc>
          <w:tcPr>
            <w:tcW w:w="2935" w:type="dxa"/>
            <w:vAlign w:val="center"/>
          </w:tcPr>
          <w:p w14:paraId="4D2D13E6">
            <w:pPr>
              <w:adjustRightInd/>
              <w:rPr>
                <w:rFonts w:hint="eastAsia" w:ascii="宋体" w:hAnsi="宋体" w:eastAsia="宋体" w:cs="宋体"/>
                <w:sz w:val="24"/>
              </w:rPr>
            </w:pPr>
            <w:r>
              <w:rPr>
                <w:rFonts w:hint="eastAsia" w:ascii="宋体" w:hAnsi="宋体" w:eastAsia="宋体" w:cs="宋体"/>
                <w:sz w:val="24"/>
              </w:rPr>
              <w:t>缺少一份服务报告扣2分，总分10分</w:t>
            </w:r>
          </w:p>
        </w:tc>
        <w:tc>
          <w:tcPr>
            <w:tcW w:w="709" w:type="dxa"/>
            <w:vAlign w:val="center"/>
          </w:tcPr>
          <w:p w14:paraId="4D2D13E7">
            <w:pPr>
              <w:adjustRightInd/>
              <w:rPr>
                <w:rFonts w:hint="eastAsia" w:ascii="宋体" w:hAnsi="宋体" w:eastAsia="宋体" w:cs="宋体"/>
                <w:sz w:val="24"/>
              </w:rPr>
            </w:pPr>
          </w:p>
        </w:tc>
        <w:tc>
          <w:tcPr>
            <w:tcW w:w="709" w:type="dxa"/>
            <w:vAlign w:val="center"/>
          </w:tcPr>
          <w:p w14:paraId="4D2D13E8">
            <w:pPr>
              <w:adjustRightInd/>
              <w:rPr>
                <w:rFonts w:hint="eastAsia" w:ascii="宋体" w:hAnsi="宋体" w:eastAsia="宋体" w:cs="宋体"/>
                <w:sz w:val="24"/>
              </w:rPr>
            </w:pPr>
          </w:p>
        </w:tc>
      </w:tr>
      <w:tr w14:paraId="4D2D1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22" w:type="dxa"/>
            <w:vMerge w:val="continue"/>
            <w:vAlign w:val="center"/>
          </w:tcPr>
          <w:p w14:paraId="4D2D13EA">
            <w:pPr>
              <w:adjustRightInd/>
              <w:jc w:val="center"/>
              <w:rPr>
                <w:rFonts w:hint="eastAsia" w:ascii="宋体" w:hAnsi="宋体" w:eastAsia="宋体" w:cs="宋体"/>
                <w:sz w:val="24"/>
              </w:rPr>
            </w:pPr>
          </w:p>
        </w:tc>
        <w:tc>
          <w:tcPr>
            <w:tcW w:w="3614" w:type="dxa"/>
            <w:vAlign w:val="center"/>
          </w:tcPr>
          <w:p w14:paraId="4D2D13EB">
            <w:pPr>
              <w:adjustRightInd/>
              <w:rPr>
                <w:rFonts w:hint="eastAsia" w:ascii="宋体" w:hAnsi="宋体" w:eastAsia="宋体" w:cs="宋体"/>
                <w:sz w:val="24"/>
              </w:rPr>
            </w:pPr>
            <w:r>
              <w:rPr>
                <w:rFonts w:hint="eastAsia" w:ascii="宋体" w:hAnsi="宋体" w:eastAsia="宋体" w:cs="宋体"/>
                <w:sz w:val="24"/>
              </w:rPr>
              <w:t>每年度提供一份年度维保服务档案，内容包括所有的维修报告、巡检报告、保养报告等</w:t>
            </w:r>
          </w:p>
        </w:tc>
        <w:tc>
          <w:tcPr>
            <w:tcW w:w="2935" w:type="dxa"/>
            <w:vAlign w:val="center"/>
          </w:tcPr>
          <w:p w14:paraId="4D2D13EC">
            <w:pPr>
              <w:adjustRightInd/>
              <w:rPr>
                <w:rFonts w:hint="eastAsia" w:ascii="宋体" w:hAnsi="宋体" w:eastAsia="宋体" w:cs="宋体"/>
                <w:sz w:val="24"/>
              </w:rPr>
            </w:pPr>
            <w:r>
              <w:rPr>
                <w:rFonts w:hint="eastAsia" w:ascii="宋体" w:hAnsi="宋体" w:eastAsia="宋体" w:cs="宋体"/>
                <w:sz w:val="24"/>
              </w:rPr>
              <w:t>总分10分，若无法提供服务档案或档案不全，则不得分</w:t>
            </w:r>
          </w:p>
        </w:tc>
        <w:tc>
          <w:tcPr>
            <w:tcW w:w="709" w:type="dxa"/>
            <w:vAlign w:val="center"/>
          </w:tcPr>
          <w:p w14:paraId="4D2D13ED">
            <w:pPr>
              <w:adjustRightInd/>
              <w:rPr>
                <w:rFonts w:hint="eastAsia" w:ascii="宋体" w:hAnsi="宋体" w:eastAsia="宋体" w:cs="宋体"/>
                <w:sz w:val="24"/>
              </w:rPr>
            </w:pPr>
          </w:p>
        </w:tc>
        <w:tc>
          <w:tcPr>
            <w:tcW w:w="709" w:type="dxa"/>
            <w:vAlign w:val="center"/>
          </w:tcPr>
          <w:p w14:paraId="4D2D13EE">
            <w:pPr>
              <w:adjustRightInd/>
              <w:rPr>
                <w:rFonts w:hint="eastAsia" w:ascii="宋体" w:hAnsi="宋体" w:eastAsia="宋体" w:cs="宋体"/>
                <w:sz w:val="24"/>
              </w:rPr>
            </w:pPr>
          </w:p>
        </w:tc>
      </w:tr>
      <w:tr w14:paraId="4D2D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2" w:type="dxa"/>
            <w:vMerge w:val="continue"/>
            <w:vAlign w:val="center"/>
          </w:tcPr>
          <w:p w14:paraId="4D2D13F0">
            <w:pPr>
              <w:adjustRightInd/>
              <w:jc w:val="center"/>
              <w:rPr>
                <w:rFonts w:hint="eastAsia" w:ascii="宋体" w:hAnsi="宋体" w:eastAsia="宋体" w:cs="宋体"/>
                <w:sz w:val="24"/>
              </w:rPr>
            </w:pPr>
          </w:p>
        </w:tc>
        <w:tc>
          <w:tcPr>
            <w:tcW w:w="3614" w:type="dxa"/>
            <w:vAlign w:val="center"/>
          </w:tcPr>
          <w:p w14:paraId="4D2D13F1">
            <w:pPr>
              <w:adjustRightInd/>
              <w:rPr>
                <w:rFonts w:hint="eastAsia" w:ascii="宋体" w:hAnsi="宋体" w:eastAsia="宋体" w:cs="宋体"/>
                <w:sz w:val="24"/>
              </w:rPr>
            </w:pPr>
            <w:r>
              <w:rPr>
                <w:rFonts w:hint="eastAsia" w:ascii="宋体" w:hAnsi="宋体" w:eastAsia="宋体" w:cs="宋体"/>
                <w:sz w:val="24"/>
              </w:rPr>
              <w:t>服务报告必须有设备使用者或者设备科签字确认</w:t>
            </w:r>
          </w:p>
        </w:tc>
        <w:tc>
          <w:tcPr>
            <w:tcW w:w="2935" w:type="dxa"/>
            <w:vAlign w:val="center"/>
          </w:tcPr>
          <w:p w14:paraId="4D2D13F2">
            <w:pPr>
              <w:adjustRightInd/>
              <w:rPr>
                <w:rFonts w:hint="eastAsia" w:ascii="宋体" w:hAnsi="宋体" w:eastAsia="宋体" w:cs="宋体"/>
                <w:sz w:val="24"/>
              </w:rPr>
            </w:pPr>
            <w:r>
              <w:rPr>
                <w:rFonts w:hint="eastAsia" w:ascii="宋体" w:hAnsi="宋体" w:eastAsia="宋体" w:cs="宋体"/>
                <w:sz w:val="24"/>
              </w:rPr>
              <w:t>缺少一个签字扣2分，总分10分</w:t>
            </w:r>
          </w:p>
        </w:tc>
        <w:tc>
          <w:tcPr>
            <w:tcW w:w="709" w:type="dxa"/>
            <w:vAlign w:val="center"/>
          </w:tcPr>
          <w:p w14:paraId="4D2D13F3">
            <w:pPr>
              <w:adjustRightInd/>
              <w:rPr>
                <w:rFonts w:hint="eastAsia" w:ascii="宋体" w:hAnsi="宋体" w:eastAsia="宋体" w:cs="宋体"/>
                <w:sz w:val="24"/>
              </w:rPr>
            </w:pPr>
          </w:p>
        </w:tc>
        <w:tc>
          <w:tcPr>
            <w:tcW w:w="709" w:type="dxa"/>
            <w:vAlign w:val="center"/>
          </w:tcPr>
          <w:p w14:paraId="4D2D13F4">
            <w:pPr>
              <w:adjustRightInd/>
              <w:rPr>
                <w:rFonts w:hint="eastAsia" w:ascii="宋体" w:hAnsi="宋体" w:eastAsia="宋体" w:cs="宋体"/>
                <w:sz w:val="24"/>
              </w:rPr>
            </w:pPr>
          </w:p>
        </w:tc>
      </w:tr>
      <w:tr w14:paraId="4D2D1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22" w:type="dxa"/>
            <w:vMerge w:val="restart"/>
            <w:vAlign w:val="center"/>
          </w:tcPr>
          <w:p w14:paraId="4D2D13F6">
            <w:pPr>
              <w:adjustRightInd/>
              <w:jc w:val="center"/>
              <w:rPr>
                <w:rFonts w:hint="eastAsia" w:ascii="宋体" w:hAnsi="宋体" w:eastAsia="宋体" w:cs="宋体"/>
                <w:sz w:val="24"/>
              </w:rPr>
            </w:pPr>
            <w:r>
              <w:rPr>
                <w:rFonts w:hint="eastAsia" w:ascii="宋体" w:hAnsi="宋体" w:eastAsia="宋体" w:cs="宋体"/>
                <w:sz w:val="24"/>
              </w:rPr>
              <w:t>服务态度</w:t>
            </w:r>
          </w:p>
        </w:tc>
        <w:tc>
          <w:tcPr>
            <w:tcW w:w="3614" w:type="dxa"/>
            <w:vAlign w:val="center"/>
          </w:tcPr>
          <w:p w14:paraId="4D2D13F7">
            <w:pPr>
              <w:adjustRightInd/>
              <w:rPr>
                <w:rFonts w:hint="eastAsia" w:ascii="宋体" w:hAnsi="宋体" w:eastAsia="宋体" w:cs="宋体"/>
                <w:sz w:val="24"/>
              </w:rPr>
            </w:pPr>
            <w:r>
              <w:rPr>
                <w:rFonts w:hint="eastAsia" w:ascii="宋体" w:hAnsi="宋体" w:eastAsia="宋体" w:cs="宋体"/>
                <w:sz w:val="24"/>
              </w:rPr>
              <w:t>提供24小时售后电话，拨打电话后提供全方位电话支援，答疑、指导维修、提供技术支持等。</w:t>
            </w:r>
          </w:p>
        </w:tc>
        <w:tc>
          <w:tcPr>
            <w:tcW w:w="2935" w:type="dxa"/>
            <w:vAlign w:val="center"/>
          </w:tcPr>
          <w:p w14:paraId="4D2D13F8">
            <w:pPr>
              <w:adjustRightInd/>
              <w:rPr>
                <w:rFonts w:hint="eastAsia" w:ascii="宋体" w:hAnsi="宋体" w:eastAsia="宋体" w:cs="宋体"/>
                <w:sz w:val="24"/>
              </w:rPr>
            </w:pPr>
            <w:r>
              <w:rPr>
                <w:rFonts w:hint="eastAsia" w:ascii="宋体" w:hAnsi="宋体" w:eastAsia="宋体" w:cs="宋体"/>
                <w:sz w:val="24"/>
              </w:rPr>
              <w:t>电话无法接通或拒绝提供服务一次扣5分，总分10分</w:t>
            </w:r>
          </w:p>
        </w:tc>
        <w:tc>
          <w:tcPr>
            <w:tcW w:w="709" w:type="dxa"/>
            <w:vAlign w:val="center"/>
          </w:tcPr>
          <w:p w14:paraId="4D2D13F9">
            <w:pPr>
              <w:adjustRightInd/>
              <w:rPr>
                <w:rFonts w:hint="eastAsia" w:ascii="宋体" w:hAnsi="宋体" w:eastAsia="宋体" w:cs="宋体"/>
                <w:sz w:val="24"/>
              </w:rPr>
            </w:pPr>
          </w:p>
        </w:tc>
        <w:tc>
          <w:tcPr>
            <w:tcW w:w="709" w:type="dxa"/>
            <w:vAlign w:val="center"/>
          </w:tcPr>
          <w:p w14:paraId="4D2D13FA">
            <w:pPr>
              <w:adjustRightInd/>
              <w:rPr>
                <w:rFonts w:hint="eastAsia" w:ascii="宋体" w:hAnsi="宋体" w:eastAsia="宋体" w:cs="宋体"/>
                <w:sz w:val="24"/>
              </w:rPr>
            </w:pPr>
          </w:p>
        </w:tc>
      </w:tr>
      <w:tr w14:paraId="4D2D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22" w:type="dxa"/>
            <w:vMerge w:val="continue"/>
            <w:vAlign w:val="center"/>
          </w:tcPr>
          <w:p w14:paraId="4D2D13FC">
            <w:pPr>
              <w:adjustRightInd/>
              <w:rPr>
                <w:rFonts w:hint="eastAsia" w:ascii="宋体" w:hAnsi="宋体" w:eastAsia="宋体" w:cs="宋体"/>
                <w:sz w:val="24"/>
              </w:rPr>
            </w:pPr>
          </w:p>
        </w:tc>
        <w:tc>
          <w:tcPr>
            <w:tcW w:w="3614" w:type="dxa"/>
            <w:vAlign w:val="center"/>
          </w:tcPr>
          <w:p w14:paraId="4D2D13FD">
            <w:pPr>
              <w:adjustRightInd/>
              <w:rPr>
                <w:rFonts w:hint="eastAsia" w:ascii="宋体" w:hAnsi="宋体" w:eastAsia="宋体" w:cs="宋体"/>
                <w:sz w:val="24"/>
              </w:rPr>
            </w:pPr>
            <w:r>
              <w:rPr>
                <w:rFonts w:hint="eastAsia" w:ascii="宋体" w:hAnsi="宋体" w:eastAsia="宋体" w:cs="宋体"/>
                <w:sz w:val="24"/>
              </w:rPr>
              <w:t>工程师应具有良好的精神面貌和工作热情，对待院方工作人员应热情礼貌，帮助解决疑问。</w:t>
            </w:r>
          </w:p>
        </w:tc>
        <w:tc>
          <w:tcPr>
            <w:tcW w:w="2935" w:type="dxa"/>
            <w:vAlign w:val="center"/>
          </w:tcPr>
          <w:p w14:paraId="4D2D13FE">
            <w:pPr>
              <w:adjustRightInd/>
              <w:rPr>
                <w:rFonts w:hint="eastAsia" w:ascii="宋体" w:hAnsi="宋体" w:eastAsia="宋体" w:cs="宋体"/>
                <w:sz w:val="24"/>
              </w:rPr>
            </w:pPr>
            <w:r>
              <w:rPr>
                <w:rFonts w:hint="eastAsia" w:ascii="宋体" w:hAnsi="宋体" w:eastAsia="宋体" w:cs="宋体"/>
                <w:sz w:val="24"/>
              </w:rPr>
              <w:t>工程师服务态度恶劣，每被投诉一次扣5分，总分10分</w:t>
            </w:r>
          </w:p>
        </w:tc>
        <w:tc>
          <w:tcPr>
            <w:tcW w:w="709" w:type="dxa"/>
            <w:vAlign w:val="center"/>
          </w:tcPr>
          <w:p w14:paraId="4D2D13FF">
            <w:pPr>
              <w:adjustRightInd/>
              <w:rPr>
                <w:rFonts w:hint="eastAsia" w:ascii="宋体" w:hAnsi="宋体" w:eastAsia="宋体" w:cs="宋体"/>
                <w:sz w:val="24"/>
              </w:rPr>
            </w:pPr>
          </w:p>
        </w:tc>
        <w:tc>
          <w:tcPr>
            <w:tcW w:w="709" w:type="dxa"/>
            <w:vAlign w:val="center"/>
          </w:tcPr>
          <w:p w14:paraId="4D2D1400">
            <w:pPr>
              <w:adjustRightInd/>
              <w:rPr>
                <w:rFonts w:hint="eastAsia" w:ascii="宋体" w:hAnsi="宋体" w:eastAsia="宋体" w:cs="宋体"/>
                <w:sz w:val="24"/>
              </w:rPr>
            </w:pPr>
          </w:p>
        </w:tc>
      </w:tr>
      <w:tr w14:paraId="4D2D1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789" w:type="dxa"/>
            <w:gridSpan w:val="5"/>
            <w:vAlign w:val="center"/>
          </w:tcPr>
          <w:p w14:paraId="4D2D1402">
            <w:pPr>
              <w:adjustRightInd/>
              <w:rPr>
                <w:rFonts w:hint="eastAsia" w:ascii="宋体" w:hAnsi="宋体" w:eastAsia="宋体" w:cs="宋体"/>
                <w:sz w:val="24"/>
              </w:rPr>
            </w:pPr>
            <w:r>
              <w:rPr>
                <w:rFonts w:hint="eastAsia" w:ascii="宋体" w:hAnsi="宋体" w:eastAsia="宋体" w:cs="宋体"/>
                <w:sz w:val="24"/>
              </w:rPr>
              <w:t xml:space="preserve">考核分数：              考核结果：               </w:t>
            </w:r>
          </w:p>
        </w:tc>
      </w:tr>
    </w:tbl>
    <w:p w14:paraId="4D2D1404">
      <w:pPr>
        <w:spacing w:line="360" w:lineRule="auto"/>
        <w:rPr>
          <w:rFonts w:hint="eastAsia" w:ascii="宋体" w:hAnsi="宋体" w:cs="宋体"/>
          <w:b/>
          <w:kern w:val="0"/>
          <w:sz w:val="24"/>
        </w:rPr>
      </w:pPr>
      <w:r>
        <w:rPr>
          <w:rFonts w:hint="eastAsia" w:ascii="宋体" w:hAnsi="宋体" w:cs="宋体"/>
          <w:sz w:val="24"/>
        </w:rPr>
        <w:t>备注：采购人在服务期限内对中标人的服务质量进行考核并累积扣分，服务期限满后根据累积的扣分情况计算最终得分。（1）考核分数大于90分为优秀，全额拨付服务费，并作为续签下一年合同的依据。（2）考核得分85-90分的，扣合同总价的5%；（3）考核得分80-84分的，扣合同总价的10%；（4）考核得分80分以下的，扣合同总价的20%。</w:t>
      </w:r>
    </w:p>
    <w:p w14:paraId="4D2D1405">
      <w:pPr>
        <w:rPr>
          <w:rFonts w:hint="eastAsia" w:ascii="宋体" w:hAnsi="宋体" w:cs="宋体"/>
          <w:b/>
          <w:kern w:val="0"/>
          <w:sz w:val="24"/>
        </w:rPr>
      </w:pPr>
    </w:p>
    <w:p w14:paraId="4D2D1406">
      <w:pPr>
        <w:rPr>
          <w:rFonts w:hint="eastAsia" w:ascii="宋体" w:hAnsi="宋体" w:cs="宋体"/>
          <w:b/>
          <w:kern w:val="0"/>
          <w:sz w:val="24"/>
        </w:rPr>
      </w:pPr>
      <w:r>
        <w:rPr>
          <w:rFonts w:hint="eastAsia" w:ascii="宋体" w:hAnsi="宋体" w:cs="宋体"/>
          <w:b/>
          <w:kern w:val="0"/>
          <w:sz w:val="24"/>
        </w:rPr>
        <w:br w:type="page"/>
      </w:r>
    </w:p>
    <w:p w14:paraId="4D2D1407">
      <w:pPr>
        <w:spacing w:line="360" w:lineRule="auto"/>
        <w:rPr>
          <w:rFonts w:hint="eastAsia" w:ascii="宋体" w:hAnsi="宋体" w:cs="宋体"/>
          <w:b/>
          <w:kern w:val="0"/>
          <w:sz w:val="24"/>
        </w:rPr>
      </w:pPr>
    </w:p>
    <w:p w14:paraId="4D2D1408">
      <w:pPr>
        <w:spacing w:line="360" w:lineRule="auto"/>
        <w:jc w:val="center"/>
        <w:outlineLvl w:val="0"/>
        <w:rPr>
          <w:rFonts w:hint="eastAsia" w:ascii="宋体" w:hAnsi="宋体" w:cs="宋体"/>
          <w:b/>
          <w:sz w:val="36"/>
          <w:szCs w:val="36"/>
        </w:rPr>
      </w:pPr>
      <w:bookmarkStart w:id="30" w:name="_Toc3078"/>
      <w:r>
        <w:rPr>
          <w:rFonts w:hint="eastAsia" w:ascii="宋体" w:hAnsi="宋体" w:cs="宋体"/>
          <w:b/>
          <w:sz w:val="36"/>
          <w:szCs w:val="36"/>
        </w:rPr>
        <w:t xml:space="preserve">第四部分   </w:t>
      </w:r>
      <w:bookmarkStart w:id="31" w:name="_Toc184314453"/>
      <w:bookmarkEnd w:id="31"/>
      <w:bookmarkStart w:id="32" w:name="_Toc184310275"/>
      <w:bookmarkEnd w:id="32"/>
      <w:bookmarkStart w:id="33" w:name="_Toc184310331"/>
      <w:bookmarkEnd w:id="33"/>
      <w:bookmarkStart w:id="34" w:name="_Toc184313251"/>
      <w:bookmarkEnd w:id="34"/>
      <w:bookmarkStart w:id="35" w:name="_Toc184314441"/>
      <w:bookmarkEnd w:id="35"/>
      <w:bookmarkStart w:id="36" w:name="_Toc184312135"/>
      <w:bookmarkEnd w:id="36"/>
      <w:bookmarkStart w:id="37" w:name="_Toc184314469"/>
      <w:bookmarkEnd w:id="37"/>
      <w:bookmarkStart w:id="38" w:name="_Toc184312101"/>
      <w:bookmarkEnd w:id="38"/>
      <w:bookmarkStart w:id="39" w:name="_Toc184312088"/>
      <w:bookmarkEnd w:id="39"/>
      <w:bookmarkStart w:id="40" w:name="_Toc184314473"/>
      <w:bookmarkEnd w:id="40"/>
      <w:bookmarkStart w:id="41" w:name="_Toc184308102"/>
      <w:bookmarkEnd w:id="41"/>
      <w:bookmarkStart w:id="42" w:name="_Toc184308103"/>
      <w:bookmarkEnd w:id="42"/>
      <w:bookmarkStart w:id="43" w:name="_Toc184313281"/>
      <w:bookmarkEnd w:id="43"/>
      <w:bookmarkStart w:id="44" w:name="_Toc184308077"/>
      <w:bookmarkEnd w:id="44"/>
      <w:bookmarkStart w:id="45" w:name="_Toc184310319"/>
      <w:bookmarkEnd w:id="45"/>
      <w:bookmarkStart w:id="46" w:name="_Toc184308056"/>
      <w:bookmarkEnd w:id="46"/>
      <w:bookmarkStart w:id="47" w:name="_Toc184308037"/>
      <w:bookmarkEnd w:id="47"/>
      <w:bookmarkStart w:id="48" w:name="_Toc184314465"/>
      <w:bookmarkEnd w:id="48"/>
      <w:bookmarkStart w:id="49" w:name="_Toc184313278"/>
      <w:bookmarkEnd w:id="49"/>
      <w:bookmarkStart w:id="50" w:name="_Toc184314422"/>
      <w:bookmarkEnd w:id="50"/>
      <w:bookmarkStart w:id="51" w:name="_Toc184312089"/>
      <w:bookmarkEnd w:id="51"/>
      <w:bookmarkStart w:id="52" w:name="_Toc184312100"/>
      <w:bookmarkEnd w:id="52"/>
      <w:bookmarkStart w:id="53" w:name="_Toc184314421"/>
      <w:bookmarkEnd w:id="53"/>
      <w:bookmarkStart w:id="54" w:name="_Toc184308052"/>
      <w:bookmarkEnd w:id="54"/>
      <w:bookmarkStart w:id="55" w:name="_Toc184314457"/>
      <w:bookmarkEnd w:id="55"/>
      <w:bookmarkStart w:id="56" w:name="_Toc184310321"/>
      <w:bookmarkEnd w:id="56"/>
      <w:bookmarkStart w:id="57" w:name="_Toc184308079"/>
      <w:bookmarkEnd w:id="57"/>
      <w:bookmarkStart w:id="58" w:name="_Toc184314438"/>
      <w:bookmarkEnd w:id="58"/>
      <w:bookmarkStart w:id="59" w:name="_Toc184313265"/>
      <w:bookmarkEnd w:id="59"/>
      <w:bookmarkStart w:id="60" w:name="_Toc184313269"/>
      <w:bookmarkEnd w:id="60"/>
      <w:bookmarkStart w:id="61" w:name="_Toc184312070"/>
      <w:bookmarkEnd w:id="61"/>
      <w:bookmarkStart w:id="62" w:name="_Toc184310300"/>
      <w:bookmarkEnd w:id="62"/>
      <w:bookmarkStart w:id="63" w:name="_Toc184314429"/>
      <w:bookmarkEnd w:id="63"/>
      <w:bookmarkStart w:id="64" w:name="_Toc184310294"/>
      <w:bookmarkEnd w:id="64"/>
      <w:bookmarkStart w:id="65" w:name="_Toc184310283"/>
      <w:bookmarkEnd w:id="65"/>
      <w:bookmarkStart w:id="66" w:name="_Toc184314455"/>
      <w:bookmarkEnd w:id="66"/>
      <w:bookmarkStart w:id="67" w:name="_Toc184308057"/>
      <w:bookmarkEnd w:id="67"/>
      <w:bookmarkStart w:id="68" w:name="_Toc184312081"/>
      <w:bookmarkEnd w:id="68"/>
      <w:bookmarkStart w:id="69" w:name="_Toc184313244"/>
      <w:bookmarkEnd w:id="69"/>
      <w:bookmarkStart w:id="70" w:name="_Toc184308076"/>
      <w:bookmarkEnd w:id="70"/>
      <w:bookmarkStart w:id="71" w:name="_Toc184313296"/>
      <w:bookmarkEnd w:id="71"/>
      <w:bookmarkStart w:id="72" w:name="_Toc184312091"/>
      <w:bookmarkEnd w:id="72"/>
      <w:bookmarkStart w:id="73" w:name="_Toc184313299"/>
      <w:bookmarkEnd w:id="73"/>
      <w:bookmarkStart w:id="74" w:name="_Toc184312094"/>
      <w:bookmarkEnd w:id="74"/>
      <w:bookmarkStart w:id="75" w:name="_Toc184308084"/>
      <w:bookmarkEnd w:id="75"/>
      <w:bookmarkStart w:id="76" w:name="_Toc184313295"/>
      <w:bookmarkEnd w:id="76"/>
      <w:bookmarkStart w:id="77" w:name="_Toc184314446"/>
      <w:bookmarkEnd w:id="77"/>
      <w:bookmarkStart w:id="78" w:name="_Toc184310323"/>
      <w:bookmarkEnd w:id="78"/>
      <w:bookmarkStart w:id="79" w:name="_Toc184314447"/>
      <w:bookmarkEnd w:id="79"/>
      <w:bookmarkStart w:id="80" w:name="_Toc184310334"/>
      <w:bookmarkEnd w:id="80"/>
      <w:bookmarkStart w:id="81" w:name="_Toc184313308"/>
      <w:bookmarkEnd w:id="81"/>
      <w:bookmarkStart w:id="82" w:name="_Toc184310328"/>
      <w:bookmarkEnd w:id="82"/>
      <w:bookmarkStart w:id="83" w:name="_Toc184310327"/>
      <w:bookmarkEnd w:id="83"/>
      <w:bookmarkStart w:id="84" w:name="_Toc184310314"/>
      <w:bookmarkEnd w:id="84"/>
      <w:bookmarkStart w:id="85" w:name="_Toc184308085"/>
      <w:bookmarkEnd w:id="85"/>
      <w:bookmarkStart w:id="86" w:name="_Toc184313246"/>
      <w:bookmarkEnd w:id="86"/>
      <w:bookmarkStart w:id="87" w:name="_Toc184312092"/>
      <w:bookmarkEnd w:id="87"/>
      <w:bookmarkStart w:id="88" w:name="_Toc184308068"/>
      <w:bookmarkEnd w:id="88"/>
      <w:bookmarkStart w:id="89" w:name="_Toc184310338"/>
      <w:bookmarkEnd w:id="89"/>
      <w:bookmarkStart w:id="90" w:name="_Toc184310276"/>
      <w:bookmarkEnd w:id="90"/>
      <w:bookmarkStart w:id="91" w:name="_Toc184312078"/>
      <w:bookmarkEnd w:id="91"/>
      <w:bookmarkStart w:id="92" w:name="_Toc184314417"/>
      <w:bookmarkEnd w:id="92"/>
      <w:bookmarkStart w:id="93" w:name="_Toc184314411"/>
      <w:bookmarkEnd w:id="93"/>
      <w:bookmarkStart w:id="94" w:name="_Toc184313289"/>
      <w:bookmarkEnd w:id="94"/>
      <w:bookmarkStart w:id="95" w:name="_Toc184313271"/>
      <w:bookmarkEnd w:id="95"/>
      <w:bookmarkStart w:id="96" w:name="_Toc184308089"/>
      <w:bookmarkEnd w:id="96"/>
      <w:bookmarkStart w:id="97" w:name="_Toc184313273"/>
      <w:bookmarkEnd w:id="97"/>
      <w:bookmarkStart w:id="98" w:name="_Toc184310309"/>
      <w:bookmarkEnd w:id="98"/>
      <w:bookmarkStart w:id="99" w:name="_Toc184312115"/>
      <w:bookmarkEnd w:id="99"/>
      <w:bookmarkStart w:id="100" w:name="_Toc184314452"/>
      <w:bookmarkEnd w:id="100"/>
      <w:bookmarkStart w:id="101" w:name="_Toc184312079"/>
      <w:bookmarkEnd w:id="101"/>
      <w:bookmarkStart w:id="102" w:name="_Toc184308041"/>
      <w:bookmarkEnd w:id="102"/>
      <w:bookmarkStart w:id="103" w:name="_Toc184312111"/>
      <w:bookmarkEnd w:id="103"/>
      <w:bookmarkStart w:id="104" w:name="_Toc184308078"/>
      <w:bookmarkEnd w:id="104"/>
      <w:bookmarkStart w:id="105" w:name="_Toc184308047"/>
      <w:bookmarkEnd w:id="105"/>
      <w:bookmarkStart w:id="106" w:name="_Toc184308098"/>
      <w:bookmarkEnd w:id="106"/>
      <w:bookmarkStart w:id="107" w:name="_Toc184312122"/>
      <w:bookmarkEnd w:id="107"/>
      <w:bookmarkStart w:id="108" w:name="_Toc184308062"/>
      <w:bookmarkEnd w:id="108"/>
      <w:bookmarkStart w:id="109" w:name="_Toc184313256"/>
      <w:bookmarkEnd w:id="109"/>
      <w:bookmarkStart w:id="110" w:name="_Toc184308074"/>
      <w:bookmarkEnd w:id="110"/>
      <w:bookmarkStart w:id="111" w:name="_Toc184312105"/>
      <w:bookmarkEnd w:id="111"/>
      <w:bookmarkStart w:id="112" w:name="_Toc184314426"/>
      <w:bookmarkEnd w:id="112"/>
      <w:bookmarkStart w:id="113" w:name="_Toc184312098"/>
      <w:bookmarkEnd w:id="113"/>
      <w:bookmarkStart w:id="114" w:name="_Toc184310306"/>
      <w:bookmarkEnd w:id="114"/>
      <w:bookmarkStart w:id="115" w:name="_Toc184314430"/>
      <w:bookmarkEnd w:id="115"/>
      <w:bookmarkStart w:id="116" w:name="_Toc184313240"/>
      <w:bookmarkEnd w:id="116"/>
      <w:bookmarkStart w:id="117" w:name="_Toc184310277"/>
      <w:bookmarkEnd w:id="117"/>
      <w:bookmarkStart w:id="118" w:name="_Toc184308100"/>
      <w:bookmarkEnd w:id="118"/>
      <w:bookmarkStart w:id="119" w:name="_Toc184314414"/>
      <w:bookmarkEnd w:id="119"/>
      <w:bookmarkStart w:id="120" w:name="_Toc184308108"/>
      <w:bookmarkEnd w:id="120"/>
      <w:bookmarkStart w:id="121" w:name="_Toc184314437"/>
      <w:bookmarkEnd w:id="121"/>
      <w:bookmarkStart w:id="122" w:name="_Toc184308072"/>
      <w:bookmarkEnd w:id="122"/>
      <w:bookmarkStart w:id="123" w:name="_Toc184308091"/>
      <w:bookmarkEnd w:id="123"/>
      <w:bookmarkStart w:id="124" w:name="_Toc184310320"/>
      <w:bookmarkEnd w:id="124"/>
      <w:bookmarkStart w:id="125" w:name="_Toc184313259"/>
      <w:bookmarkEnd w:id="125"/>
      <w:bookmarkStart w:id="126" w:name="_Toc184312077"/>
      <w:bookmarkEnd w:id="126"/>
      <w:bookmarkStart w:id="127" w:name="_Toc184314459"/>
      <w:bookmarkEnd w:id="127"/>
      <w:bookmarkStart w:id="128" w:name="_Toc184312121"/>
      <w:bookmarkEnd w:id="128"/>
      <w:bookmarkStart w:id="129" w:name="_Toc184313291"/>
      <w:bookmarkEnd w:id="129"/>
      <w:bookmarkStart w:id="130" w:name="_Toc184313263"/>
      <w:bookmarkEnd w:id="130"/>
      <w:bookmarkStart w:id="131" w:name="_Toc184313294"/>
      <w:bookmarkEnd w:id="131"/>
      <w:bookmarkStart w:id="132" w:name="_Toc184312134"/>
      <w:bookmarkEnd w:id="132"/>
      <w:bookmarkStart w:id="133" w:name="_Toc184310336"/>
      <w:bookmarkEnd w:id="133"/>
      <w:bookmarkStart w:id="134" w:name="_Toc184314448"/>
      <w:bookmarkEnd w:id="134"/>
      <w:bookmarkStart w:id="135" w:name="_Toc184313290"/>
      <w:bookmarkEnd w:id="135"/>
      <w:bookmarkStart w:id="136" w:name="_Toc184313284"/>
      <w:bookmarkEnd w:id="136"/>
      <w:bookmarkStart w:id="137" w:name="_Toc184308073"/>
      <w:bookmarkEnd w:id="137"/>
      <w:bookmarkStart w:id="138" w:name="_Toc184314418"/>
      <w:bookmarkEnd w:id="138"/>
      <w:bookmarkStart w:id="139" w:name="_Toc184310332"/>
      <w:bookmarkEnd w:id="139"/>
      <w:bookmarkStart w:id="140" w:name="_Toc184308058"/>
      <w:bookmarkEnd w:id="140"/>
      <w:bookmarkStart w:id="141" w:name="_Toc184310272"/>
      <w:bookmarkEnd w:id="141"/>
      <w:bookmarkStart w:id="142" w:name="_Toc184314410"/>
      <w:bookmarkEnd w:id="142"/>
      <w:bookmarkStart w:id="143" w:name="_Toc184314454"/>
      <w:bookmarkEnd w:id="143"/>
      <w:bookmarkStart w:id="144" w:name="_Toc184313238"/>
      <w:bookmarkEnd w:id="144"/>
      <w:bookmarkStart w:id="145" w:name="_Toc184312068"/>
      <w:bookmarkEnd w:id="145"/>
      <w:bookmarkStart w:id="146" w:name="_Toc184308064"/>
      <w:bookmarkEnd w:id="146"/>
      <w:bookmarkStart w:id="147" w:name="_Toc184312107"/>
      <w:bookmarkEnd w:id="147"/>
      <w:bookmarkStart w:id="148" w:name="_Toc184310326"/>
      <w:bookmarkEnd w:id="148"/>
      <w:bookmarkStart w:id="149" w:name="_Toc184308036"/>
      <w:bookmarkEnd w:id="149"/>
      <w:bookmarkStart w:id="150" w:name="_Toc184314460"/>
      <w:bookmarkEnd w:id="150"/>
      <w:bookmarkStart w:id="151" w:name="_Toc184308080"/>
      <w:bookmarkEnd w:id="151"/>
      <w:bookmarkStart w:id="152" w:name="_Toc184314458"/>
      <w:bookmarkEnd w:id="152"/>
      <w:bookmarkStart w:id="153" w:name="_Toc184308060"/>
      <w:bookmarkEnd w:id="153"/>
      <w:bookmarkStart w:id="154" w:name="_Toc184314479"/>
      <w:bookmarkEnd w:id="154"/>
      <w:bookmarkStart w:id="155" w:name="_Toc184312108"/>
      <w:bookmarkEnd w:id="155"/>
      <w:bookmarkStart w:id="156" w:name="_Toc184308082"/>
      <w:bookmarkEnd w:id="156"/>
      <w:bookmarkStart w:id="157" w:name="_Toc184314425"/>
      <w:bookmarkEnd w:id="157"/>
      <w:bookmarkStart w:id="158" w:name="_Toc184310281"/>
      <w:bookmarkEnd w:id="158"/>
      <w:bookmarkStart w:id="159" w:name="_Toc184310343"/>
      <w:bookmarkEnd w:id="159"/>
      <w:bookmarkStart w:id="160" w:name="_Toc184313297"/>
      <w:bookmarkEnd w:id="160"/>
      <w:bookmarkStart w:id="161" w:name="_Toc184308101"/>
      <w:bookmarkEnd w:id="161"/>
      <w:bookmarkStart w:id="162" w:name="_Toc184313274"/>
      <w:bookmarkEnd w:id="162"/>
      <w:bookmarkStart w:id="163" w:name="_Toc184312128"/>
      <w:bookmarkEnd w:id="163"/>
      <w:bookmarkStart w:id="164" w:name="_Toc184308097"/>
      <w:bookmarkEnd w:id="164"/>
      <w:bookmarkStart w:id="165" w:name="_Toc184312126"/>
      <w:bookmarkEnd w:id="165"/>
      <w:bookmarkStart w:id="166" w:name="_Toc184313301"/>
      <w:bookmarkEnd w:id="166"/>
      <w:bookmarkStart w:id="167" w:name="_Toc184310274"/>
      <w:bookmarkEnd w:id="167"/>
      <w:bookmarkStart w:id="168" w:name="_Toc184312130"/>
      <w:bookmarkEnd w:id="168"/>
      <w:bookmarkStart w:id="169" w:name="_Toc184310290"/>
      <w:bookmarkEnd w:id="169"/>
      <w:bookmarkStart w:id="170" w:name="_Toc184312117"/>
      <w:bookmarkEnd w:id="170"/>
      <w:bookmarkStart w:id="171" w:name="_Toc184310292"/>
      <w:bookmarkEnd w:id="171"/>
      <w:bookmarkStart w:id="172" w:name="_Toc184310299"/>
      <w:bookmarkEnd w:id="172"/>
      <w:bookmarkStart w:id="173" w:name="_Toc184308071"/>
      <w:bookmarkEnd w:id="173"/>
      <w:bookmarkStart w:id="174" w:name="_Toc184312071"/>
      <w:bookmarkEnd w:id="174"/>
      <w:bookmarkStart w:id="175" w:name="_Toc184310310"/>
      <w:bookmarkEnd w:id="175"/>
      <w:bookmarkStart w:id="176" w:name="_Toc184312133"/>
      <w:bookmarkEnd w:id="176"/>
      <w:bookmarkStart w:id="177" w:name="_Toc184313260"/>
      <w:bookmarkEnd w:id="177"/>
      <w:bookmarkStart w:id="178" w:name="_Toc184312096"/>
      <w:bookmarkEnd w:id="178"/>
      <w:bookmarkStart w:id="179" w:name="_Toc184310296"/>
      <w:bookmarkEnd w:id="179"/>
      <w:bookmarkStart w:id="180" w:name="_Toc184310333"/>
      <w:bookmarkEnd w:id="180"/>
      <w:bookmarkStart w:id="181" w:name="_Toc184314439"/>
      <w:bookmarkEnd w:id="181"/>
      <w:bookmarkStart w:id="182" w:name="_Toc184314428"/>
      <w:bookmarkEnd w:id="182"/>
      <w:bookmarkStart w:id="183" w:name="_Toc184314442"/>
      <w:bookmarkEnd w:id="183"/>
      <w:bookmarkStart w:id="184" w:name="_Toc184313304"/>
      <w:bookmarkEnd w:id="184"/>
      <w:bookmarkStart w:id="185" w:name="_Toc184308042"/>
      <w:bookmarkEnd w:id="185"/>
      <w:bookmarkStart w:id="186" w:name="_Toc184313300"/>
      <w:bookmarkEnd w:id="186"/>
      <w:bookmarkStart w:id="187" w:name="_Toc184310285"/>
      <w:bookmarkEnd w:id="187"/>
      <w:bookmarkStart w:id="188" w:name="_Toc184314443"/>
      <w:bookmarkEnd w:id="188"/>
      <w:bookmarkStart w:id="189" w:name="_Toc184312118"/>
      <w:bookmarkEnd w:id="189"/>
      <w:bookmarkStart w:id="190" w:name="_Toc184314480"/>
      <w:bookmarkEnd w:id="190"/>
      <w:bookmarkStart w:id="191" w:name="_Toc184314471"/>
      <w:bookmarkEnd w:id="191"/>
      <w:bookmarkStart w:id="192" w:name="_Toc184313264"/>
      <w:bookmarkEnd w:id="192"/>
      <w:bookmarkStart w:id="193" w:name="_Toc184312087"/>
      <w:bookmarkEnd w:id="193"/>
      <w:bookmarkStart w:id="194" w:name="_Toc184313242"/>
      <w:bookmarkEnd w:id="194"/>
      <w:bookmarkStart w:id="195" w:name="_Toc184313270"/>
      <w:bookmarkEnd w:id="195"/>
      <w:bookmarkStart w:id="196" w:name="_Toc184313262"/>
      <w:bookmarkEnd w:id="196"/>
      <w:bookmarkStart w:id="197" w:name="_Toc184313283"/>
      <w:bookmarkEnd w:id="197"/>
      <w:bookmarkStart w:id="198" w:name="_Toc184314470"/>
      <w:bookmarkEnd w:id="198"/>
      <w:bookmarkStart w:id="199" w:name="_Toc184308063"/>
      <w:bookmarkEnd w:id="199"/>
      <w:bookmarkStart w:id="200" w:name="_Toc184313275"/>
      <w:bookmarkEnd w:id="200"/>
      <w:bookmarkStart w:id="201" w:name="_Toc184308038"/>
      <w:bookmarkEnd w:id="201"/>
      <w:bookmarkStart w:id="202" w:name="_Toc184314475"/>
      <w:bookmarkEnd w:id="202"/>
      <w:bookmarkStart w:id="203" w:name="_Toc184310330"/>
      <w:bookmarkEnd w:id="203"/>
      <w:bookmarkStart w:id="204" w:name="_Toc184310288"/>
      <w:bookmarkEnd w:id="204"/>
      <w:bookmarkStart w:id="205" w:name="_Toc184313287"/>
      <w:bookmarkEnd w:id="205"/>
      <w:bookmarkStart w:id="206" w:name="_Toc184310311"/>
      <w:bookmarkEnd w:id="206"/>
      <w:bookmarkStart w:id="207" w:name="_Toc184310344"/>
      <w:bookmarkEnd w:id="207"/>
      <w:bookmarkStart w:id="208" w:name="_Toc184314451"/>
      <w:bookmarkEnd w:id="208"/>
      <w:bookmarkStart w:id="209" w:name="_Toc184310295"/>
      <w:bookmarkEnd w:id="209"/>
      <w:bookmarkStart w:id="210" w:name="_Toc184310297"/>
      <w:bookmarkEnd w:id="210"/>
      <w:bookmarkStart w:id="211" w:name="_Toc184308046"/>
      <w:bookmarkEnd w:id="211"/>
      <w:bookmarkStart w:id="212" w:name="_Toc184313267"/>
      <w:bookmarkEnd w:id="212"/>
      <w:bookmarkStart w:id="213" w:name="_Toc184312080"/>
      <w:bookmarkEnd w:id="213"/>
      <w:bookmarkStart w:id="214" w:name="_Toc184308107"/>
      <w:bookmarkEnd w:id="214"/>
      <w:bookmarkStart w:id="215" w:name="_Toc184313282"/>
      <w:bookmarkEnd w:id="215"/>
      <w:bookmarkStart w:id="216" w:name="_Toc184313249"/>
      <w:bookmarkEnd w:id="216"/>
      <w:bookmarkStart w:id="217" w:name="_Toc184313277"/>
      <w:bookmarkEnd w:id="217"/>
      <w:bookmarkStart w:id="218" w:name="_Toc184308070"/>
      <w:bookmarkEnd w:id="218"/>
      <w:bookmarkStart w:id="219" w:name="_Toc184313255"/>
      <w:bookmarkEnd w:id="219"/>
      <w:bookmarkStart w:id="220" w:name="_Toc184308048"/>
      <w:bookmarkEnd w:id="220"/>
      <w:bookmarkStart w:id="221" w:name="_Toc184310301"/>
      <w:bookmarkEnd w:id="221"/>
      <w:bookmarkStart w:id="222" w:name="_Toc184312129"/>
      <w:bookmarkEnd w:id="222"/>
      <w:bookmarkStart w:id="223" w:name="_Toc184308090"/>
      <w:bookmarkEnd w:id="223"/>
      <w:bookmarkStart w:id="224" w:name="_Toc184312124"/>
      <w:bookmarkEnd w:id="224"/>
      <w:bookmarkStart w:id="225" w:name="_Toc184313285"/>
      <w:bookmarkEnd w:id="225"/>
      <w:bookmarkStart w:id="226" w:name="_Toc184314431"/>
      <w:bookmarkEnd w:id="226"/>
      <w:bookmarkStart w:id="227" w:name="_Toc184308104"/>
      <w:bookmarkEnd w:id="227"/>
      <w:bookmarkStart w:id="228" w:name="_Toc184313306"/>
      <w:bookmarkEnd w:id="228"/>
      <w:bookmarkStart w:id="229" w:name="_Toc184310302"/>
      <w:bookmarkEnd w:id="229"/>
      <w:bookmarkStart w:id="230" w:name="_Toc184310335"/>
      <w:bookmarkEnd w:id="230"/>
      <w:bookmarkStart w:id="231" w:name="_Toc184313303"/>
      <w:bookmarkEnd w:id="231"/>
      <w:bookmarkStart w:id="232" w:name="_Toc184310313"/>
      <w:bookmarkEnd w:id="232"/>
      <w:bookmarkStart w:id="233" w:name="_Toc184312116"/>
      <w:bookmarkEnd w:id="233"/>
      <w:bookmarkStart w:id="234" w:name="_Toc184312109"/>
      <w:bookmarkEnd w:id="234"/>
      <w:bookmarkStart w:id="235" w:name="_Toc184313298"/>
      <w:bookmarkEnd w:id="235"/>
      <w:bookmarkStart w:id="236" w:name="_Toc184313261"/>
      <w:bookmarkEnd w:id="236"/>
      <w:bookmarkStart w:id="237" w:name="_Toc184314466"/>
      <w:bookmarkEnd w:id="237"/>
      <w:bookmarkStart w:id="238" w:name="_Toc184314478"/>
      <w:bookmarkEnd w:id="238"/>
      <w:bookmarkStart w:id="239" w:name="_Toc184308043"/>
      <w:bookmarkEnd w:id="239"/>
      <w:bookmarkStart w:id="240" w:name="_Toc184308055"/>
      <w:bookmarkEnd w:id="240"/>
      <w:bookmarkStart w:id="241" w:name="_Toc184313257"/>
      <w:bookmarkEnd w:id="241"/>
      <w:bookmarkStart w:id="242" w:name="_Toc184310316"/>
      <w:bookmarkEnd w:id="242"/>
      <w:bookmarkStart w:id="243" w:name="_Toc184312110"/>
      <w:bookmarkEnd w:id="243"/>
      <w:bookmarkStart w:id="244" w:name="_Toc184308065"/>
      <w:bookmarkEnd w:id="244"/>
      <w:bookmarkStart w:id="245" w:name="_Toc184310305"/>
      <w:bookmarkEnd w:id="245"/>
      <w:bookmarkStart w:id="246" w:name="_Toc184312075"/>
      <w:bookmarkEnd w:id="246"/>
      <w:bookmarkStart w:id="247" w:name="_Toc184308092"/>
      <w:bookmarkEnd w:id="247"/>
      <w:bookmarkStart w:id="248" w:name="_Toc184313286"/>
      <w:bookmarkEnd w:id="248"/>
      <w:bookmarkStart w:id="249" w:name="_Toc184310308"/>
      <w:bookmarkEnd w:id="249"/>
      <w:bookmarkStart w:id="250" w:name="_Toc184314472"/>
      <w:bookmarkEnd w:id="250"/>
      <w:bookmarkStart w:id="251" w:name="_Toc184310298"/>
      <w:bookmarkEnd w:id="251"/>
      <w:bookmarkStart w:id="252" w:name="_Toc184313252"/>
      <w:bookmarkEnd w:id="252"/>
      <w:bookmarkStart w:id="253" w:name="_Toc184314424"/>
      <w:bookmarkEnd w:id="253"/>
      <w:bookmarkStart w:id="254" w:name="_Toc184313310"/>
      <w:bookmarkEnd w:id="254"/>
      <w:bookmarkStart w:id="255" w:name="_Toc184313239"/>
      <w:bookmarkEnd w:id="255"/>
      <w:bookmarkStart w:id="256" w:name="_Toc184314444"/>
      <w:bookmarkEnd w:id="256"/>
      <w:bookmarkStart w:id="257" w:name="_Toc184310304"/>
      <w:bookmarkEnd w:id="257"/>
      <w:bookmarkStart w:id="258" w:name="_Toc184308069"/>
      <w:bookmarkEnd w:id="258"/>
      <w:bookmarkStart w:id="259" w:name="_Toc184314416"/>
      <w:bookmarkEnd w:id="259"/>
      <w:bookmarkStart w:id="260" w:name="_Toc184312072"/>
      <w:bookmarkEnd w:id="260"/>
      <w:bookmarkStart w:id="261" w:name="_Toc184308081"/>
      <w:bookmarkEnd w:id="261"/>
      <w:bookmarkStart w:id="262" w:name="_Toc184312090"/>
      <w:bookmarkEnd w:id="262"/>
      <w:bookmarkStart w:id="263" w:name="_Toc184310342"/>
      <w:bookmarkEnd w:id="263"/>
      <w:bookmarkStart w:id="264" w:name="_Toc184313302"/>
      <w:bookmarkEnd w:id="264"/>
      <w:bookmarkStart w:id="265" w:name="_Toc184314481"/>
      <w:bookmarkEnd w:id="265"/>
      <w:bookmarkStart w:id="266" w:name="_Toc184310287"/>
      <w:bookmarkEnd w:id="266"/>
      <w:bookmarkStart w:id="267" w:name="_Toc184314445"/>
      <w:bookmarkEnd w:id="267"/>
      <w:bookmarkStart w:id="268" w:name="_Toc184314449"/>
      <w:bookmarkEnd w:id="268"/>
      <w:bookmarkStart w:id="269" w:name="_Toc184314427"/>
      <w:bookmarkEnd w:id="269"/>
      <w:bookmarkStart w:id="270" w:name="_Toc184312103"/>
      <w:bookmarkEnd w:id="270"/>
      <w:bookmarkStart w:id="271" w:name="_Toc184310278"/>
      <w:bookmarkEnd w:id="271"/>
      <w:bookmarkStart w:id="272" w:name="_Toc184308095"/>
      <w:bookmarkEnd w:id="272"/>
      <w:bookmarkStart w:id="273" w:name="_Toc184308051"/>
      <w:bookmarkEnd w:id="273"/>
      <w:bookmarkStart w:id="274" w:name="_Toc184312085"/>
      <w:bookmarkEnd w:id="274"/>
      <w:bookmarkStart w:id="275" w:name="_Toc184312083"/>
      <w:bookmarkEnd w:id="275"/>
      <w:bookmarkStart w:id="276" w:name="_Toc184312069"/>
      <w:bookmarkEnd w:id="276"/>
      <w:bookmarkStart w:id="277" w:name="_Toc184312106"/>
      <w:bookmarkEnd w:id="277"/>
      <w:bookmarkStart w:id="278" w:name="_Toc184310315"/>
      <w:bookmarkEnd w:id="278"/>
      <w:bookmarkStart w:id="279" w:name="_Toc184308093"/>
      <w:bookmarkEnd w:id="279"/>
      <w:bookmarkStart w:id="280" w:name="_Toc184310322"/>
      <w:bookmarkEnd w:id="280"/>
      <w:bookmarkStart w:id="281" w:name="_Toc184314468"/>
      <w:bookmarkEnd w:id="281"/>
      <w:bookmarkStart w:id="282" w:name="_Toc184310318"/>
      <w:bookmarkEnd w:id="282"/>
      <w:bookmarkStart w:id="283" w:name="_Toc184310282"/>
      <w:bookmarkEnd w:id="283"/>
      <w:bookmarkStart w:id="284" w:name="_Toc184310329"/>
      <w:bookmarkEnd w:id="284"/>
      <w:bookmarkStart w:id="285" w:name="_Toc184310312"/>
      <w:bookmarkEnd w:id="285"/>
      <w:bookmarkStart w:id="286" w:name="_Toc184308049"/>
      <w:bookmarkEnd w:id="286"/>
      <w:bookmarkStart w:id="287" w:name="_Toc184310280"/>
      <w:bookmarkEnd w:id="287"/>
      <w:bookmarkStart w:id="288" w:name="_Toc184314423"/>
      <w:bookmarkEnd w:id="288"/>
      <w:bookmarkStart w:id="289" w:name="_Toc184310337"/>
      <w:bookmarkEnd w:id="289"/>
      <w:bookmarkStart w:id="290" w:name="_Toc184314435"/>
      <w:bookmarkEnd w:id="290"/>
      <w:bookmarkStart w:id="291" w:name="_Toc184313268"/>
      <w:bookmarkEnd w:id="291"/>
      <w:bookmarkStart w:id="292" w:name="_Toc184308050"/>
      <w:bookmarkEnd w:id="292"/>
      <w:bookmarkStart w:id="293" w:name="_Toc184308094"/>
      <w:bookmarkEnd w:id="293"/>
      <w:bookmarkStart w:id="294" w:name="_Toc184308054"/>
      <w:bookmarkEnd w:id="294"/>
      <w:bookmarkStart w:id="295" w:name="_Toc184308086"/>
      <w:bookmarkEnd w:id="295"/>
      <w:bookmarkStart w:id="296" w:name="_Toc184308105"/>
      <w:bookmarkEnd w:id="296"/>
      <w:bookmarkStart w:id="297" w:name="_Toc184308040"/>
      <w:bookmarkEnd w:id="297"/>
      <w:bookmarkStart w:id="298" w:name="_Toc184312082"/>
      <w:bookmarkEnd w:id="298"/>
      <w:bookmarkStart w:id="299" w:name="_Toc184314420"/>
      <w:bookmarkEnd w:id="299"/>
      <w:bookmarkStart w:id="300" w:name="_Toc184308096"/>
      <w:bookmarkEnd w:id="300"/>
      <w:bookmarkStart w:id="301" w:name="_Toc184314456"/>
      <w:bookmarkEnd w:id="301"/>
      <w:bookmarkStart w:id="302" w:name="_Toc184313250"/>
      <w:bookmarkEnd w:id="302"/>
      <w:bookmarkStart w:id="303" w:name="_Toc184312114"/>
      <w:bookmarkEnd w:id="303"/>
      <w:bookmarkStart w:id="304" w:name="_Toc184312076"/>
      <w:bookmarkEnd w:id="304"/>
      <w:bookmarkStart w:id="305" w:name="_Toc184312132"/>
      <w:bookmarkEnd w:id="305"/>
      <w:bookmarkStart w:id="306" w:name="_Toc184310286"/>
      <w:bookmarkEnd w:id="306"/>
      <w:bookmarkStart w:id="307" w:name="_Toc184312131"/>
      <w:bookmarkEnd w:id="307"/>
      <w:bookmarkStart w:id="308" w:name="_Toc184308083"/>
      <w:bookmarkEnd w:id="308"/>
      <w:bookmarkStart w:id="309" w:name="_Toc184310293"/>
      <w:bookmarkEnd w:id="309"/>
      <w:bookmarkStart w:id="310" w:name="_Toc184308053"/>
      <w:bookmarkEnd w:id="310"/>
      <w:bookmarkStart w:id="311" w:name="_Toc184312123"/>
      <w:bookmarkEnd w:id="311"/>
      <w:bookmarkStart w:id="312" w:name="_Toc184312093"/>
      <w:bookmarkEnd w:id="312"/>
      <w:bookmarkStart w:id="313" w:name="_Toc184312137"/>
      <w:bookmarkEnd w:id="313"/>
      <w:bookmarkStart w:id="314" w:name="_Toc184310317"/>
      <w:bookmarkEnd w:id="314"/>
      <w:bookmarkStart w:id="315" w:name="_Toc184310324"/>
      <w:bookmarkEnd w:id="315"/>
      <w:bookmarkStart w:id="316" w:name="_Toc184314482"/>
      <w:bookmarkEnd w:id="316"/>
      <w:bookmarkStart w:id="317" w:name="_Toc184313279"/>
      <w:bookmarkEnd w:id="317"/>
      <w:bookmarkStart w:id="318" w:name="_Toc184314477"/>
      <w:bookmarkEnd w:id="318"/>
      <w:bookmarkStart w:id="319" w:name="_Toc184313258"/>
      <w:bookmarkEnd w:id="319"/>
      <w:bookmarkStart w:id="320" w:name="_Toc184312102"/>
      <w:bookmarkEnd w:id="320"/>
      <w:bookmarkStart w:id="321" w:name="_Toc184312097"/>
      <w:bookmarkEnd w:id="321"/>
      <w:bookmarkStart w:id="322" w:name="_Toc184312074"/>
      <w:bookmarkEnd w:id="322"/>
      <w:bookmarkStart w:id="323" w:name="_Toc184312139"/>
      <w:bookmarkEnd w:id="323"/>
      <w:bookmarkStart w:id="324" w:name="_Toc184308075"/>
      <w:bookmarkEnd w:id="324"/>
      <w:bookmarkStart w:id="325" w:name="_Toc184314476"/>
      <w:bookmarkEnd w:id="325"/>
      <w:bookmarkStart w:id="326" w:name="_Toc184313293"/>
      <w:bookmarkEnd w:id="326"/>
      <w:bookmarkStart w:id="327" w:name="_Toc184313253"/>
      <w:bookmarkEnd w:id="327"/>
      <w:bookmarkStart w:id="328" w:name="_Toc184314450"/>
      <w:bookmarkEnd w:id="328"/>
      <w:bookmarkStart w:id="329" w:name="_Toc184310284"/>
      <w:bookmarkEnd w:id="329"/>
      <w:bookmarkStart w:id="330" w:name="_Toc184308087"/>
      <w:bookmarkEnd w:id="330"/>
      <w:bookmarkStart w:id="331" w:name="_Toc184313254"/>
      <w:bookmarkEnd w:id="331"/>
      <w:bookmarkStart w:id="332" w:name="_Toc184308106"/>
      <w:bookmarkEnd w:id="332"/>
      <w:bookmarkStart w:id="333" w:name="_Toc184313248"/>
      <w:bookmarkEnd w:id="333"/>
      <w:bookmarkStart w:id="334" w:name="_Toc184314462"/>
      <w:bookmarkEnd w:id="334"/>
      <w:bookmarkStart w:id="335" w:name="_Toc184312127"/>
      <w:bookmarkEnd w:id="335"/>
      <w:bookmarkStart w:id="336" w:name="_Toc184310273"/>
      <w:bookmarkEnd w:id="336"/>
      <w:bookmarkStart w:id="337" w:name="_Toc184313292"/>
      <w:bookmarkEnd w:id="337"/>
      <w:bookmarkStart w:id="338" w:name="_Toc184313307"/>
      <w:bookmarkEnd w:id="338"/>
      <w:bookmarkStart w:id="339" w:name="_Toc184312113"/>
      <w:bookmarkEnd w:id="339"/>
      <w:bookmarkStart w:id="340" w:name="_Toc184312099"/>
      <w:bookmarkEnd w:id="340"/>
      <w:bookmarkStart w:id="341" w:name="_Toc184313288"/>
      <w:bookmarkEnd w:id="341"/>
      <w:bookmarkStart w:id="342" w:name="_Toc184314474"/>
      <w:bookmarkEnd w:id="342"/>
      <w:bookmarkStart w:id="343" w:name="_Toc184312120"/>
      <w:bookmarkEnd w:id="343"/>
      <w:bookmarkStart w:id="344" w:name="_Toc184308039"/>
      <w:bookmarkEnd w:id="344"/>
      <w:bookmarkStart w:id="345" w:name="_Toc184312119"/>
      <w:bookmarkEnd w:id="345"/>
      <w:bookmarkStart w:id="346" w:name="_Toc184314440"/>
      <w:bookmarkEnd w:id="346"/>
      <w:bookmarkStart w:id="347" w:name="_Toc184312112"/>
      <w:bookmarkEnd w:id="347"/>
      <w:bookmarkStart w:id="348" w:name="_Toc184312073"/>
      <w:bookmarkEnd w:id="348"/>
      <w:bookmarkStart w:id="349" w:name="_Toc184308066"/>
      <w:bookmarkEnd w:id="349"/>
      <w:bookmarkStart w:id="350" w:name="_Toc184312095"/>
      <w:bookmarkEnd w:id="350"/>
      <w:bookmarkStart w:id="351" w:name="_Toc184313245"/>
      <w:bookmarkEnd w:id="351"/>
      <w:bookmarkStart w:id="352" w:name="_Toc184313266"/>
      <w:bookmarkEnd w:id="352"/>
      <w:bookmarkStart w:id="353" w:name="_Toc184313241"/>
      <w:bookmarkEnd w:id="353"/>
      <w:bookmarkStart w:id="354" w:name="_Toc184313243"/>
      <w:bookmarkEnd w:id="354"/>
      <w:bookmarkStart w:id="355" w:name="_Toc184314413"/>
      <w:bookmarkEnd w:id="355"/>
      <w:bookmarkStart w:id="356" w:name="_Toc184310291"/>
      <w:bookmarkEnd w:id="356"/>
      <w:bookmarkStart w:id="357" w:name="_Toc184314463"/>
      <w:bookmarkEnd w:id="357"/>
      <w:bookmarkStart w:id="358" w:name="_Toc184312084"/>
      <w:bookmarkEnd w:id="358"/>
      <w:bookmarkStart w:id="359" w:name="_Toc184314434"/>
      <w:bookmarkEnd w:id="359"/>
      <w:bookmarkStart w:id="360" w:name="_Toc184310325"/>
      <w:bookmarkEnd w:id="360"/>
      <w:bookmarkStart w:id="361" w:name="_Toc184314467"/>
      <w:bookmarkEnd w:id="361"/>
      <w:bookmarkStart w:id="362" w:name="_Toc184314412"/>
      <w:bookmarkEnd w:id="362"/>
      <w:bookmarkStart w:id="363" w:name="_Toc184310340"/>
      <w:bookmarkEnd w:id="363"/>
      <w:bookmarkStart w:id="364" w:name="_Toc184313276"/>
      <w:bookmarkEnd w:id="364"/>
      <w:bookmarkStart w:id="365" w:name="_Toc184313280"/>
      <w:bookmarkEnd w:id="365"/>
      <w:bookmarkStart w:id="366" w:name="_Toc184310339"/>
      <w:bookmarkEnd w:id="366"/>
      <w:bookmarkStart w:id="367" w:name="_Toc184308045"/>
      <w:bookmarkEnd w:id="367"/>
      <w:bookmarkStart w:id="368" w:name="_Toc184312104"/>
      <w:bookmarkEnd w:id="368"/>
      <w:bookmarkStart w:id="369" w:name="_Toc184310303"/>
      <w:bookmarkEnd w:id="369"/>
      <w:bookmarkStart w:id="370" w:name="_Toc184314419"/>
      <w:bookmarkEnd w:id="370"/>
      <w:bookmarkStart w:id="371" w:name="_Toc184308099"/>
      <w:bookmarkEnd w:id="371"/>
      <w:bookmarkStart w:id="372" w:name="_Toc184310341"/>
      <w:bookmarkEnd w:id="372"/>
      <w:bookmarkStart w:id="373" w:name="_Toc184313305"/>
      <w:bookmarkEnd w:id="373"/>
      <w:bookmarkStart w:id="374" w:name="_Toc184310279"/>
      <w:bookmarkEnd w:id="374"/>
      <w:bookmarkStart w:id="375" w:name="_Toc184308044"/>
      <w:bookmarkEnd w:id="375"/>
      <w:bookmarkStart w:id="376" w:name="_Toc184312138"/>
      <w:bookmarkEnd w:id="376"/>
      <w:bookmarkStart w:id="377" w:name="_Toc184310289"/>
      <w:bookmarkEnd w:id="377"/>
      <w:bookmarkStart w:id="378" w:name="_Toc184312067"/>
      <w:bookmarkEnd w:id="378"/>
      <w:bookmarkStart w:id="379" w:name="_Toc184312086"/>
      <w:bookmarkEnd w:id="379"/>
      <w:bookmarkStart w:id="380" w:name="_Toc184314436"/>
      <w:bookmarkEnd w:id="380"/>
      <w:bookmarkStart w:id="381" w:name="_Toc184314464"/>
      <w:bookmarkEnd w:id="381"/>
      <w:bookmarkStart w:id="382" w:name="_Toc184314433"/>
      <w:bookmarkEnd w:id="382"/>
      <w:bookmarkStart w:id="383" w:name="_Toc184312136"/>
      <w:bookmarkEnd w:id="383"/>
      <w:bookmarkStart w:id="384" w:name="_Toc184314415"/>
      <w:bookmarkEnd w:id="384"/>
      <w:bookmarkStart w:id="385" w:name="_Toc184313309"/>
      <w:bookmarkEnd w:id="385"/>
      <w:bookmarkStart w:id="386" w:name="_Toc184308067"/>
      <w:bookmarkEnd w:id="386"/>
      <w:bookmarkStart w:id="387" w:name="_Toc184308059"/>
      <w:bookmarkEnd w:id="387"/>
      <w:bookmarkStart w:id="388" w:name="_Toc184308061"/>
      <w:bookmarkEnd w:id="388"/>
      <w:bookmarkStart w:id="389" w:name="_Toc184308088"/>
      <w:bookmarkEnd w:id="389"/>
      <w:bookmarkStart w:id="390" w:name="_Toc184310307"/>
      <w:bookmarkEnd w:id="390"/>
      <w:bookmarkStart w:id="391" w:name="_Toc184313272"/>
      <w:bookmarkEnd w:id="391"/>
      <w:bookmarkStart w:id="392" w:name="_Toc184314461"/>
      <w:bookmarkEnd w:id="392"/>
      <w:bookmarkStart w:id="393" w:name="_Toc184313247"/>
      <w:bookmarkEnd w:id="393"/>
      <w:bookmarkStart w:id="394" w:name="_Toc184314432"/>
      <w:bookmarkEnd w:id="394"/>
      <w:bookmarkStart w:id="395" w:name="_Toc184312125"/>
      <w:bookmarkEnd w:id="395"/>
      <w:r>
        <w:rPr>
          <w:rFonts w:hint="eastAsia" w:ascii="宋体" w:hAnsi="宋体" w:cs="宋体"/>
          <w:b/>
          <w:sz w:val="36"/>
          <w:szCs w:val="36"/>
        </w:rPr>
        <w:t>评标办法</w:t>
      </w:r>
      <w:bookmarkEnd w:id="30"/>
    </w:p>
    <w:p w14:paraId="4D2D1409">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p w14:paraId="4D2D140A">
      <w:pPr>
        <w:snapToGrid w:val="0"/>
        <w:spacing w:line="360" w:lineRule="auto"/>
        <w:jc w:val="center"/>
        <w:rPr>
          <w:rFonts w:hint="eastAsia" w:ascii="宋体" w:hAnsi="宋体" w:cs="宋体"/>
          <w:b/>
          <w:sz w:val="32"/>
          <w:szCs w:val="20"/>
        </w:rPr>
      </w:pPr>
      <w:r>
        <w:rPr>
          <w:rFonts w:hint="eastAsia" w:ascii="宋体" w:hAnsi="宋体" w:cs="宋体"/>
          <w:b/>
          <w:sz w:val="32"/>
          <w:szCs w:val="20"/>
        </w:rPr>
        <w:t>（未作特别说明部分均适用于各标项）</w:t>
      </w:r>
    </w:p>
    <w:tbl>
      <w:tblPr>
        <w:tblStyle w:val="63"/>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425"/>
        <w:gridCol w:w="5902"/>
        <w:gridCol w:w="705"/>
        <w:gridCol w:w="705"/>
      </w:tblGrid>
      <w:tr w14:paraId="4D2D1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8" w:type="dxa"/>
            <w:vAlign w:val="center"/>
          </w:tcPr>
          <w:p w14:paraId="4D2D140B">
            <w:pPr>
              <w:adjustRightInd/>
              <w:jc w:val="center"/>
              <w:rPr>
                <w:rFonts w:ascii="Calibri" w:hAnsi="Calibri"/>
                <w:b/>
                <w:bCs/>
                <w:sz w:val="24"/>
              </w:rPr>
            </w:pPr>
            <w:r>
              <w:rPr>
                <w:rFonts w:hint="eastAsia" w:ascii="Calibri" w:hAnsi="Calibri"/>
                <w:b/>
                <w:bCs/>
                <w:sz w:val="24"/>
              </w:rPr>
              <w:t>评分项目</w:t>
            </w:r>
          </w:p>
        </w:tc>
        <w:tc>
          <w:tcPr>
            <w:tcW w:w="7327" w:type="dxa"/>
            <w:gridSpan w:val="2"/>
            <w:vAlign w:val="center"/>
          </w:tcPr>
          <w:p w14:paraId="4D2D140C">
            <w:pPr>
              <w:adjustRightInd/>
              <w:jc w:val="center"/>
              <w:rPr>
                <w:rFonts w:ascii="Calibri" w:hAnsi="Calibri"/>
                <w:b/>
                <w:bCs/>
                <w:sz w:val="24"/>
              </w:rPr>
            </w:pPr>
            <w:r>
              <w:rPr>
                <w:rFonts w:hint="eastAsia" w:ascii="Calibri" w:hAnsi="Calibri"/>
                <w:b/>
                <w:bCs/>
                <w:sz w:val="24"/>
              </w:rPr>
              <w:t>评标要点及说明</w:t>
            </w:r>
          </w:p>
        </w:tc>
        <w:tc>
          <w:tcPr>
            <w:tcW w:w="705" w:type="dxa"/>
            <w:vAlign w:val="center"/>
          </w:tcPr>
          <w:p w14:paraId="4D2D140D">
            <w:pPr>
              <w:widowControl/>
              <w:tabs>
                <w:tab w:val="left" w:pos="0"/>
              </w:tabs>
              <w:autoSpaceDE w:val="0"/>
              <w:autoSpaceDN w:val="0"/>
              <w:adjustRightInd/>
              <w:jc w:val="center"/>
              <w:rPr>
                <w:rFonts w:hint="eastAsia" w:ascii="宋体" w:hAnsi="宋体" w:cs="宋体"/>
                <w:b/>
                <w:bCs/>
                <w:kern w:val="0"/>
                <w:sz w:val="24"/>
                <w:lang w:val="zh-CN"/>
              </w:rPr>
            </w:pPr>
            <w:r>
              <w:rPr>
                <w:rFonts w:hint="eastAsia" w:ascii="宋体" w:hAnsi="宋体" w:cs="宋体"/>
                <w:b/>
                <w:bCs/>
                <w:kern w:val="0"/>
                <w:sz w:val="24"/>
                <w:lang w:val="zh-CN"/>
              </w:rPr>
              <w:t>分值</w:t>
            </w:r>
          </w:p>
        </w:tc>
        <w:tc>
          <w:tcPr>
            <w:tcW w:w="705" w:type="dxa"/>
            <w:vAlign w:val="center"/>
          </w:tcPr>
          <w:p w14:paraId="4D2D140E">
            <w:pPr>
              <w:widowControl/>
              <w:tabs>
                <w:tab w:val="left" w:pos="0"/>
              </w:tabs>
              <w:autoSpaceDE w:val="0"/>
              <w:autoSpaceDN w:val="0"/>
              <w:adjustRightInd/>
              <w:jc w:val="center"/>
              <w:rPr>
                <w:rFonts w:hint="eastAsia" w:ascii="宋体" w:hAnsi="宋体" w:cs="宋体"/>
                <w:b/>
                <w:bCs/>
                <w:kern w:val="0"/>
                <w:sz w:val="24"/>
                <w:lang w:val="zh-CN"/>
              </w:rPr>
            </w:pPr>
            <w:r>
              <w:rPr>
                <w:rFonts w:hint="eastAsia" w:ascii="宋体" w:hAnsi="宋体" w:cs="宋体"/>
                <w:b/>
                <w:bCs/>
                <w:kern w:val="0"/>
                <w:sz w:val="24"/>
                <w:lang w:val="zh-CN"/>
              </w:rPr>
              <w:t>备注</w:t>
            </w:r>
          </w:p>
        </w:tc>
      </w:tr>
      <w:tr w14:paraId="4D2D1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8" w:type="dxa"/>
            <w:vAlign w:val="center"/>
          </w:tcPr>
          <w:p w14:paraId="4D2D1410">
            <w:pPr>
              <w:adjustRightInd/>
              <w:jc w:val="center"/>
              <w:rPr>
                <w:rFonts w:hint="eastAsia" w:ascii="宋体" w:hAnsi="宋体" w:cs="宋体"/>
                <w:sz w:val="24"/>
              </w:rPr>
            </w:pPr>
            <w:r>
              <w:rPr>
                <w:rFonts w:hint="eastAsia" w:ascii="宋体" w:hAnsi="宋体" w:cs="宋体"/>
                <w:sz w:val="24"/>
              </w:rPr>
              <w:t>价格分</w:t>
            </w:r>
          </w:p>
          <w:p w14:paraId="4D2D1411">
            <w:pPr>
              <w:adjustRightInd/>
              <w:jc w:val="center"/>
              <w:rPr>
                <w:rFonts w:hint="eastAsia" w:ascii="宋体" w:hAnsi="宋体" w:cs="宋体"/>
                <w:sz w:val="24"/>
              </w:rPr>
            </w:pPr>
            <w:r>
              <w:rPr>
                <w:rFonts w:hint="eastAsia" w:ascii="宋体" w:hAnsi="宋体" w:cs="宋体"/>
                <w:sz w:val="24"/>
              </w:rPr>
              <w:t>15分</w:t>
            </w:r>
          </w:p>
        </w:tc>
        <w:tc>
          <w:tcPr>
            <w:tcW w:w="7327" w:type="dxa"/>
            <w:gridSpan w:val="2"/>
            <w:vAlign w:val="center"/>
          </w:tcPr>
          <w:p w14:paraId="4D2D1412">
            <w:pPr>
              <w:widowControl/>
              <w:autoSpaceDE w:val="0"/>
              <w:autoSpaceDN w:val="0"/>
              <w:adjustRightInd/>
              <w:jc w:val="left"/>
              <w:rPr>
                <w:rFonts w:hint="eastAsia" w:ascii="宋体" w:hAnsi="宋体" w:cs="宋体"/>
                <w:bCs/>
                <w:kern w:val="0"/>
                <w:sz w:val="24"/>
              </w:rPr>
            </w:pPr>
            <w:r>
              <w:rPr>
                <w:rFonts w:hint="eastAsia" w:ascii="宋体" w:hAnsi="宋体" w:cs="宋体"/>
                <w:bCs/>
                <w:kern w:val="0"/>
                <w:sz w:val="24"/>
              </w:rPr>
              <w:t>基准价=满足招标文件要求且最低的参与评审的价格</w:t>
            </w:r>
          </w:p>
          <w:p w14:paraId="4D2D1413">
            <w:pPr>
              <w:widowControl/>
              <w:autoSpaceDE w:val="0"/>
              <w:autoSpaceDN w:val="0"/>
              <w:adjustRightInd/>
              <w:jc w:val="left"/>
              <w:rPr>
                <w:rFonts w:hint="eastAsia" w:ascii="宋体" w:hAnsi="宋体" w:cs="宋体"/>
                <w:bCs/>
                <w:kern w:val="0"/>
                <w:sz w:val="24"/>
              </w:rPr>
            </w:pPr>
            <w:r>
              <w:rPr>
                <w:rFonts w:hint="eastAsia" w:ascii="宋体" w:hAnsi="宋体" w:cs="宋体"/>
                <w:bCs/>
                <w:kern w:val="0"/>
                <w:sz w:val="24"/>
              </w:rPr>
              <w:t>参与评审的价格=投标总价</w:t>
            </w:r>
          </w:p>
          <w:p w14:paraId="4D2D1414">
            <w:pPr>
              <w:widowControl/>
              <w:autoSpaceDE w:val="0"/>
              <w:autoSpaceDN w:val="0"/>
              <w:adjustRightInd/>
              <w:jc w:val="left"/>
              <w:rPr>
                <w:rFonts w:hint="eastAsia" w:ascii="宋体" w:hAnsi="宋体" w:cs="宋体"/>
                <w:bCs/>
                <w:kern w:val="0"/>
                <w:sz w:val="24"/>
              </w:rPr>
            </w:pPr>
            <w:r>
              <w:rPr>
                <w:rFonts w:hint="eastAsia" w:ascii="宋体" w:hAnsi="宋体" w:cs="宋体"/>
                <w:bCs/>
                <w:kern w:val="0"/>
                <w:sz w:val="24"/>
              </w:rPr>
              <w:t>基准价得15分。</w:t>
            </w:r>
          </w:p>
          <w:p w14:paraId="4D2D1415">
            <w:pPr>
              <w:widowControl/>
              <w:autoSpaceDE w:val="0"/>
              <w:autoSpaceDN w:val="0"/>
              <w:adjustRightInd/>
              <w:jc w:val="left"/>
              <w:rPr>
                <w:rFonts w:hint="eastAsia" w:ascii="宋体" w:hAnsi="宋体" w:cs="宋体"/>
                <w:bCs/>
                <w:kern w:val="0"/>
                <w:sz w:val="24"/>
              </w:rPr>
            </w:pPr>
            <w:r>
              <w:rPr>
                <w:rFonts w:hint="eastAsia" w:ascii="宋体" w:hAnsi="宋体" w:cs="宋体"/>
                <w:bCs/>
                <w:kern w:val="0"/>
                <w:sz w:val="24"/>
              </w:rPr>
              <w:t>最低的参与评审的价格得满分15分，其余供应商得分为：</w:t>
            </w:r>
          </w:p>
          <w:p w14:paraId="4D2D1416">
            <w:pPr>
              <w:adjustRightInd/>
              <w:rPr>
                <w:rFonts w:ascii="Calibri" w:hAnsi="Calibri"/>
                <w:sz w:val="24"/>
              </w:rPr>
            </w:pPr>
            <w:r>
              <w:rPr>
                <w:rFonts w:hint="eastAsia" w:ascii="宋体" w:hAnsi="宋体" w:cs="宋体"/>
                <w:bCs/>
                <w:kern w:val="0"/>
                <w:sz w:val="24"/>
              </w:rPr>
              <w:t>报价得分=（基准价/参与评审的价格）×15%×100</w:t>
            </w:r>
          </w:p>
        </w:tc>
        <w:tc>
          <w:tcPr>
            <w:tcW w:w="705" w:type="dxa"/>
            <w:vAlign w:val="center"/>
          </w:tcPr>
          <w:p w14:paraId="4D2D1417">
            <w:pPr>
              <w:adjustRightInd/>
              <w:jc w:val="center"/>
              <w:rPr>
                <w:rFonts w:ascii="Calibri" w:hAnsi="Calibri"/>
                <w:sz w:val="24"/>
              </w:rPr>
            </w:pPr>
            <w:r>
              <w:rPr>
                <w:rFonts w:hint="eastAsia" w:ascii="宋体" w:hAnsi="宋体" w:cs="宋体"/>
                <w:kern w:val="0"/>
                <w:sz w:val="24"/>
              </w:rPr>
              <w:t>15</w:t>
            </w:r>
          </w:p>
        </w:tc>
        <w:tc>
          <w:tcPr>
            <w:tcW w:w="705" w:type="dxa"/>
            <w:vAlign w:val="center"/>
          </w:tcPr>
          <w:p w14:paraId="4D2D1418">
            <w:pPr>
              <w:adjustRightInd/>
              <w:jc w:val="center"/>
              <w:rPr>
                <w:rFonts w:ascii="Calibri" w:hAnsi="Calibri"/>
                <w:sz w:val="24"/>
                <w:lang w:val="zh-CN"/>
              </w:rPr>
            </w:pPr>
            <w:r>
              <w:rPr>
                <w:rFonts w:hint="eastAsia" w:ascii="Calibri" w:hAnsi="Calibri"/>
                <w:sz w:val="24"/>
                <w:lang w:val="zh-CN"/>
              </w:rPr>
              <w:t>客观评审</w:t>
            </w:r>
          </w:p>
        </w:tc>
      </w:tr>
      <w:tr w14:paraId="4D2D1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8" w:type="dxa"/>
            <w:vMerge w:val="restart"/>
            <w:vAlign w:val="center"/>
          </w:tcPr>
          <w:p w14:paraId="4D2D141A">
            <w:pPr>
              <w:adjustRightInd/>
              <w:jc w:val="center"/>
              <w:rPr>
                <w:rFonts w:hint="eastAsia" w:ascii="宋体" w:hAnsi="宋体" w:cs="宋体"/>
                <w:sz w:val="24"/>
                <w:lang w:bidi="ar"/>
              </w:rPr>
            </w:pPr>
            <w:r>
              <w:rPr>
                <w:rFonts w:hint="eastAsia" w:ascii="宋体" w:hAnsi="宋体" w:cs="宋体"/>
                <w:sz w:val="24"/>
                <w:lang w:bidi="ar"/>
              </w:rPr>
              <w:t>商务</w:t>
            </w:r>
          </w:p>
          <w:p w14:paraId="4D2D141B">
            <w:pPr>
              <w:adjustRightInd/>
              <w:jc w:val="center"/>
              <w:rPr>
                <w:rFonts w:hint="eastAsia" w:ascii="宋体" w:hAnsi="宋体" w:cs="宋体"/>
                <w:sz w:val="24"/>
                <w:lang w:bidi="ar"/>
              </w:rPr>
            </w:pPr>
            <w:r>
              <w:rPr>
                <w:rFonts w:hint="eastAsia" w:ascii="宋体" w:hAnsi="宋体" w:cs="宋体"/>
                <w:sz w:val="24"/>
                <w:lang w:bidi="ar"/>
              </w:rPr>
              <w:t>技术分</w:t>
            </w:r>
          </w:p>
          <w:p w14:paraId="4D2D141C">
            <w:pPr>
              <w:adjustRightInd/>
              <w:jc w:val="center"/>
              <w:rPr>
                <w:rFonts w:ascii="Calibri" w:hAnsi="Calibri"/>
                <w:sz w:val="24"/>
              </w:rPr>
            </w:pPr>
            <w:r>
              <w:rPr>
                <w:rFonts w:hint="eastAsia" w:ascii="宋体" w:hAnsi="宋体" w:cs="宋体"/>
                <w:sz w:val="24"/>
                <w:lang w:bidi="ar"/>
              </w:rPr>
              <w:t>85分</w:t>
            </w:r>
          </w:p>
        </w:tc>
        <w:tc>
          <w:tcPr>
            <w:tcW w:w="1425" w:type="dxa"/>
            <w:vMerge w:val="restart"/>
            <w:vAlign w:val="center"/>
          </w:tcPr>
          <w:p w14:paraId="4D2D141D">
            <w:pPr>
              <w:widowControl/>
              <w:jc w:val="left"/>
              <w:rPr>
                <w:rFonts w:hint="eastAsia" w:ascii="宋体" w:hAnsi="宋体" w:cs="宋体"/>
                <w:sz w:val="24"/>
              </w:rPr>
            </w:pPr>
            <w:r>
              <w:rPr>
                <w:rFonts w:hint="eastAsia" w:ascii="宋体" w:hAnsi="宋体" w:cs="宋体"/>
                <w:sz w:val="24"/>
              </w:rPr>
              <w:t>1、对招标文件的服务响应（24分）</w:t>
            </w:r>
          </w:p>
        </w:tc>
        <w:tc>
          <w:tcPr>
            <w:tcW w:w="5902" w:type="dxa"/>
            <w:vAlign w:val="center"/>
          </w:tcPr>
          <w:p w14:paraId="4D2D141E">
            <w:pPr>
              <w:rPr>
                <w:rFonts w:hint="eastAsia" w:ascii="宋体" w:hAnsi="宋体" w:cs="宋体"/>
                <w:b/>
                <w:bCs/>
                <w:sz w:val="24"/>
                <w:highlight w:val="none"/>
              </w:rPr>
            </w:pPr>
            <w:r>
              <w:rPr>
                <w:rFonts w:hint="eastAsia" w:ascii="宋体" w:hAnsi="宋体" w:cs="宋体"/>
                <w:b/>
                <w:bCs/>
                <w:sz w:val="24"/>
                <w:highlight w:val="none"/>
              </w:rPr>
              <w:t>标项一：</w:t>
            </w:r>
          </w:p>
          <w:p w14:paraId="4D2D141F">
            <w:pPr>
              <w:rPr>
                <w:rFonts w:hint="eastAsia" w:ascii="宋体" w:hAnsi="宋体" w:cs="宋体"/>
                <w:sz w:val="24"/>
                <w:highlight w:val="none"/>
              </w:rPr>
            </w:pPr>
            <w:r>
              <w:rPr>
                <w:rFonts w:hint="eastAsia" w:ascii="宋体" w:hAnsi="宋体" w:cs="宋体"/>
                <w:sz w:val="24"/>
                <w:highlight w:val="none"/>
              </w:rPr>
              <w:t>（1）完全响应招标文件“第三部分   采购需求  三、服务要求”所有指标的得24分。</w:t>
            </w:r>
          </w:p>
          <w:p w14:paraId="4D2D1420">
            <w:pPr>
              <w:rPr>
                <w:rFonts w:hint="eastAsia" w:ascii="宋体" w:hAnsi="宋体" w:cs="宋体"/>
                <w:sz w:val="24"/>
                <w:highlight w:val="none"/>
              </w:rPr>
            </w:pPr>
            <w:r>
              <w:rPr>
                <w:rFonts w:hint="eastAsia" w:ascii="宋体" w:hAnsi="宋体" w:cs="宋体"/>
                <w:sz w:val="24"/>
                <w:highlight w:val="none"/>
              </w:rPr>
              <w:t>（2）标“▲”的指标不符合的，作无效标处理。</w:t>
            </w:r>
          </w:p>
          <w:p w14:paraId="4D2D1421">
            <w:pPr>
              <w:rPr>
                <w:rFonts w:hint="eastAsia" w:ascii="宋体" w:hAnsi="宋体" w:cs="宋体"/>
                <w:sz w:val="24"/>
                <w:highlight w:val="none"/>
              </w:rPr>
            </w:pPr>
            <w:r>
              <w:rPr>
                <w:rFonts w:hint="eastAsia" w:ascii="宋体" w:hAnsi="宋体" w:cs="宋体"/>
                <w:sz w:val="24"/>
                <w:highlight w:val="none"/>
              </w:rPr>
              <w:t>（3）每负偏离一条标“★”指标（共计</w:t>
            </w:r>
            <w:r>
              <w:rPr>
                <w:rFonts w:hint="eastAsia" w:ascii="宋体" w:hAnsi="宋体" w:cs="宋体"/>
                <w:sz w:val="24"/>
                <w:highlight w:val="none"/>
                <w:lang w:val="en-US" w:eastAsia="zh-CN"/>
              </w:rPr>
              <w:t>5</w:t>
            </w:r>
            <w:r>
              <w:rPr>
                <w:rFonts w:hint="eastAsia" w:ascii="宋体" w:hAnsi="宋体" w:cs="宋体"/>
                <w:sz w:val="24"/>
                <w:highlight w:val="none"/>
              </w:rPr>
              <w:t>条）的扣</w:t>
            </w:r>
            <w:r>
              <w:rPr>
                <w:rFonts w:hint="eastAsia" w:ascii="宋体" w:hAnsi="宋体" w:cs="宋体"/>
                <w:sz w:val="24"/>
                <w:highlight w:val="none"/>
                <w:lang w:val="en-US" w:eastAsia="zh-CN"/>
              </w:rPr>
              <w:t>3</w:t>
            </w:r>
            <w:r>
              <w:rPr>
                <w:rFonts w:hint="eastAsia" w:ascii="宋体" w:hAnsi="宋体" w:cs="宋体"/>
                <w:sz w:val="24"/>
                <w:highlight w:val="none"/>
              </w:rPr>
              <w:t>分。</w:t>
            </w:r>
          </w:p>
          <w:p w14:paraId="4D2D1422">
            <w:pPr>
              <w:adjustRightInd/>
              <w:rPr>
                <w:rFonts w:hint="eastAsia" w:ascii="宋体" w:hAnsi="宋体" w:cs="宋体"/>
                <w:sz w:val="24"/>
                <w:highlight w:val="none"/>
              </w:rPr>
            </w:pPr>
            <w:r>
              <w:rPr>
                <w:rFonts w:hint="eastAsia" w:ascii="宋体" w:hAnsi="宋体" w:cs="宋体"/>
                <w:sz w:val="24"/>
                <w:highlight w:val="none"/>
              </w:rPr>
              <w:t>（4）每负偏离一条未标“★”指标（共计9条）的扣</w:t>
            </w:r>
            <w:r>
              <w:rPr>
                <w:rFonts w:hint="eastAsia" w:ascii="宋体" w:hAnsi="宋体" w:cs="宋体"/>
                <w:sz w:val="24"/>
                <w:highlight w:val="none"/>
                <w:lang w:val="en-US" w:eastAsia="zh-CN"/>
              </w:rPr>
              <w:t>1</w:t>
            </w:r>
            <w:r>
              <w:rPr>
                <w:rFonts w:hint="eastAsia" w:ascii="宋体" w:hAnsi="宋体" w:cs="宋体"/>
                <w:sz w:val="24"/>
                <w:highlight w:val="none"/>
              </w:rPr>
              <w:t>分。</w:t>
            </w:r>
          </w:p>
        </w:tc>
        <w:tc>
          <w:tcPr>
            <w:tcW w:w="705" w:type="dxa"/>
            <w:vMerge w:val="restart"/>
            <w:vAlign w:val="center"/>
          </w:tcPr>
          <w:p w14:paraId="4D2D1423">
            <w:pPr>
              <w:adjustRightInd/>
              <w:jc w:val="center"/>
              <w:rPr>
                <w:rFonts w:hint="eastAsia" w:ascii="宋体" w:hAnsi="宋体" w:cs="宋体"/>
                <w:kern w:val="0"/>
                <w:sz w:val="24"/>
              </w:rPr>
            </w:pPr>
            <w:r>
              <w:rPr>
                <w:rFonts w:hint="eastAsia" w:ascii="宋体" w:hAnsi="宋体" w:cs="宋体"/>
                <w:kern w:val="0"/>
                <w:sz w:val="24"/>
              </w:rPr>
              <w:t>24</w:t>
            </w:r>
          </w:p>
        </w:tc>
        <w:tc>
          <w:tcPr>
            <w:tcW w:w="705" w:type="dxa"/>
            <w:vMerge w:val="restart"/>
            <w:vAlign w:val="center"/>
          </w:tcPr>
          <w:p w14:paraId="4D2D1424">
            <w:pPr>
              <w:adjustRightInd/>
              <w:jc w:val="center"/>
              <w:rPr>
                <w:rFonts w:hint="eastAsia" w:ascii="宋体" w:hAnsi="宋体" w:cs="宋体"/>
                <w:kern w:val="0"/>
                <w:sz w:val="24"/>
              </w:rPr>
            </w:pPr>
            <w:r>
              <w:rPr>
                <w:rFonts w:hint="eastAsia" w:ascii="宋体" w:hAnsi="宋体" w:cs="宋体"/>
                <w:kern w:val="0"/>
                <w:sz w:val="24"/>
                <w:lang w:val="zh-CN"/>
              </w:rPr>
              <w:t>客观评审</w:t>
            </w:r>
          </w:p>
        </w:tc>
      </w:tr>
      <w:tr w14:paraId="4D2D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8" w:type="dxa"/>
            <w:vMerge w:val="continue"/>
            <w:vAlign w:val="center"/>
          </w:tcPr>
          <w:p w14:paraId="4D2D1426">
            <w:pPr>
              <w:adjustRightInd/>
              <w:jc w:val="center"/>
              <w:rPr>
                <w:rFonts w:hint="eastAsia" w:ascii="宋体" w:hAnsi="宋体" w:cs="宋体"/>
                <w:sz w:val="24"/>
                <w:lang w:bidi="ar"/>
              </w:rPr>
            </w:pPr>
          </w:p>
        </w:tc>
        <w:tc>
          <w:tcPr>
            <w:tcW w:w="1425" w:type="dxa"/>
            <w:vMerge w:val="continue"/>
            <w:vAlign w:val="center"/>
          </w:tcPr>
          <w:p w14:paraId="4D2D1427">
            <w:pPr>
              <w:widowControl/>
              <w:jc w:val="left"/>
              <w:rPr>
                <w:rFonts w:hint="eastAsia" w:ascii="宋体" w:hAnsi="宋体" w:cs="宋体"/>
                <w:sz w:val="24"/>
              </w:rPr>
            </w:pPr>
          </w:p>
        </w:tc>
        <w:tc>
          <w:tcPr>
            <w:tcW w:w="5902" w:type="dxa"/>
            <w:shd w:val="clear" w:color="auto" w:fill="auto"/>
            <w:vAlign w:val="center"/>
          </w:tcPr>
          <w:p w14:paraId="4D2D1428">
            <w:pPr>
              <w:rPr>
                <w:rFonts w:hint="eastAsia" w:ascii="宋体" w:hAnsi="宋体" w:cs="宋体"/>
                <w:b/>
                <w:bCs/>
                <w:sz w:val="24"/>
                <w:highlight w:val="none"/>
              </w:rPr>
            </w:pPr>
            <w:r>
              <w:rPr>
                <w:rFonts w:hint="eastAsia" w:ascii="宋体" w:hAnsi="宋体" w:cs="宋体"/>
                <w:b/>
                <w:bCs/>
                <w:sz w:val="24"/>
                <w:highlight w:val="none"/>
              </w:rPr>
              <w:t>标项二：</w:t>
            </w:r>
          </w:p>
          <w:p w14:paraId="4D2D1429">
            <w:pPr>
              <w:rPr>
                <w:rFonts w:hint="eastAsia" w:ascii="宋体" w:hAnsi="宋体" w:cs="宋体"/>
                <w:sz w:val="24"/>
                <w:highlight w:val="none"/>
              </w:rPr>
            </w:pPr>
            <w:r>
              <w:rPr>
                <w:rFonts w:hint="eastAsia" w:ascii="宋体" w:hAnsi="宋体" w:cs="宋体"/>
                <w:sz w:val="24"/>
                <w:highlight w:val="none"/>
              </w:rPr>
              <w:t>（1）完全响应招标文件“第三部分   采购需求  三、服务要求”所有指标的得24分。</w:t>
            </w:r>
          </w:p>
          <w:p w14:paraId="4D2D142A">
            <w:pPr>
              <w:rPr>
                <w:rFonts w:hint="eastAsia" w:ascii="宋体" w:hAnsi="宋体" w:cs="宋体"/>
                <w:sz w:val="24"/>
                <w:highlight w:val="none"/>
              </w:rPr>
            </w:pPr>
            <w:r>
              <w:rPr>
                <w:rFonts w:hint="eastAsia" w:ascii="宋体" w:hAnsi="宋体" w:cs="宋体"/>
                <w:sz w:val="24"/>
                <w:highlight w:val="none"/>
              </w:rPr>
              <w:t>（2）标“▲”的指标不符合的，作无效标处理。</w:t>
            </w:r>
          </w:p>
          <w:p w14:paraId="4D2D142B">
            <w:pPr>
              <w:rPr>
                <w:rFonts w:hint="eastAsia" w:ascii="宋体" w:hAnsi="宋体" w:cs="宋体"/>
                <w:sz w:val="24"/>
                <w:highlight w:val="none"/>
              </w:rPr>
            </w:pPr>
            <w:r>
              <w:rPr>
                <w:rFonts w:hint="eastAsia" w:ascii="宋体" w:hAnsi="宋体" w:cs="宋体"/>
                <w:sz w:val="24"/>
                <w:highlight w:val="none"/>
              </w:rPr>
              <w:t>（3）每负偏离一条标“★”指标（共计6条）的扣3分。</w:t>
            </w:r>
          </w:p>
          <w:p w14:paraId="4D2D142C">
            <w:pPr>
              <w:adjustRightInd/>
              <w:rPr>
                <w:rFonts w:hint="eastAsia" w:ascii="宋体" w:hAnsi="宋体" w:cs="宋体"/>
                <w:sz w:val="24"/>
                <w:highlight w:val="none"/>
              </w:rPr>
            </w:pPr>
            <w:r>
              <w:rPr>
                <w:rFonts w:hint="eastAsia" w:ascii="宋体" w:hAnsi="宋体" w:cs="宋体"/>
                <w:sz w:val="24"/>
                <w:highlight w:val="none"/>
              </w:rPr>
              <w:t>（4）每负偏离一条未标“★”指标（共计10条）的扣0.6分。</w:t>
            </w:r>
          </w:p>
        </w:tc>
        <w:tc>
          <w:tcPr>
            <w:tcW w:w="705" w:type="dxa"/>
            <w:vMerge w:val="continue"/>
            <w:vAlign w:val="center"/>
          </w:tcPr>
          <w:p w14:paraId="4D2D142D">
            <w:pPr>
              <w:adjustRightInd/>
              <w:jc w:val="center"/>
              <w:rPr>
                <w:rFonts w:hint="eastAsia" w:ascii="宋体" w:hAnsi="宋体" w:cs="宋体"/>
                <w:kern w:val="0"/>
                <w:sz w:val="24"/>
              </w:rPr>
            </w:pPr>
          </w:p>
        </w:tc>
        <w:tc>
          <w:tcPr>
            <w:tcW w:w="705" w:type="dxa"/>
            <w:vMerge w:val="continue"/>
            <w:vAlign w:val="center"/>
          </w:tcPr>
          <w:p w14:paraId="4D2D142E">
            <w:pPr>
              <w:adjustRightInd/>
              <w:jc w:val="center"/>
              <w:rPr>
                <w:rFonts w:hint="eastAsia" w:ascii="宋体" w:hAnsi="宋体" w:cs="宋体"/>
                <w:kern w:val="0"/>
                <w:sz w:val="24"/>
                <w:lang w:val="zh-CN"/>
              </w:rPr>
            </w:pPr>
          </w:p>
        </w:tc>
      </w:tr>
      <w:tr w14:paraId="4D2D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8" w:type="dxa"/>
            <w:vMerge w:val="continue"/>
            <w:vAlign w:val="center"/>
          </w:tcPr>
          <w:p w14:paraId="4D2D1430">
            <w:pPr>
              <w:adjustRightInd/>
              <w:jc w:val="center"/>
              <w:rPr>
                <w:rFonts w:hint="eastAsia" w:ascii="宋体" w:hAnsi="宋体" w:cs="宋体"/>
                <w:sz w:val="24"/>
                <w:lang w:bidi="ar"/>
              </w:rPr>
            </w:pPr>
          </w:p>
        </w:tc>
        <w:tc>
          <w:tcPr>
            <w:tcW w:w="1425" w:type="dxa"/>
            <w:vAlign w:val="center"/>
          </w:tcPr>
          <w:p w14:paraId="4D2D1431">
            <w:pPr>
              <w:widowControl/>
              <w:rPr>
                <w:rFonts w:hint="eastAsia" w:ascii="宋体" w:hAnsi="宋体" w:cs="宋体"/>
                <w:sz w:val="24"/>
              </w:rPr>
            </w:pPr>
            <w:r>
              <w:rPr>
                <w:rFonts w:hint="eastAsia" w:ascii="宋体" w:hAnsi="宋体" w:cs="宋体"/>
                <w:sz w:val="24"/>
              </w:rPr>
              <w:t>2、项目理解（</w:t>
            </w:r>
            <w:r>
              <w:rPr>
                <w:rFonts w:hint="eastAsia" w:ascii="宋体" w:hAnsi="宋体" w:cs="宋体"/>
                <w:sz w:val="24"/>
                <w:lang w:val="en-US" w:eastAsia="zh-CN"/>
              </w:rPr>
              <w:t>3</w:t>
            </w:r>
            <w:r>
              <w:rPr>
                <w:rFonts w:hint="eastAsia" w:ascii="宋体" w:hAnsi="宋体" w:cs="宋体"/>
                <w:sz w:val="24"/>
              </w:rPr>
              <w:t>分）</w:t>
            </w:r>
          </w:p>
        </w:tc>
        <w:tc>
          <w:tcPr>
            <w:tcW w:w="5902" w:type="dxa"/>
            <w:vAlign w:val="center"/>
          </w:tcPr>
          <w:p w14:paraId="4D2D1432">
            <w:pPr>
              <w:widowControl/>
              <w:adjustRightInd/>
              <w:jc w:val="left"/>
              <w:rPr>
                <w:rFonts w:hint="eastAsia" w:ascii="宋体" w:hAnsi="宋体" w:cs="宋体"/>
                <w:kern w:val="0"/>
                <w:sz w:val="24"/>
              </w:rPr>
            </w:pPr>
            <w:r>
              <w:rPr>
                <w:rFonts w:hint="eastAsia" w:ascii="宋体" w:hAnsi="宋体" w:cs="宋体"/>
                <w:kern w:val="0"/>
                <w:sz w:val="24"/>
              </w:rPr>
              <w:t>根据投标单位提供的针对本项目的理解情况进行评议，包括对医疗设备维保的理解，对维保方法的理解：</w:t>
            </w:r>
          </w:p>
          <w:p w14:paraId="4D2D1433">
            <w:pPr>
              <w:widowControl/>
              <w:numPr>
                <w:ilvl w:val="0"/>
                <w:numId w:val="1"/>
              </w:numPr>
              <w:adjustRightInd/>
              <w:jc w:val="left"/>
              <w:rPr>
                <w:rFonts w:hint="eastAsia" w:ascii="宋体" w:hAnsi="宋体" w:cs="宋体"/>
                <w:kern w:val="0"/>
                <w:sz w:val="24"/>
              </w:rPr>
            </w:pPr>
            <w:r>
              <w:rPr>
                <w:rFonts w:hint="eastAsia" w:ascii="宋体" w:hAnsi="宋体" w:cs="宋体"/>
                <w:kern w:val="0"/>
                <w:sz w:val="24"/>
              </w:rPr>
              <w:t>对本项目需要维保的设备及其需要维保的内容理解到位、对于维保方法有独特见解的得</w:t>
            </w:r>
            <w:r>
              <w:rPr>
                <w:rFonts w:hint="eastAsia" w:ascii="宋体" w:hAnsi="宋体" w:cs="宋体"/>
                <w:kern w:val="0"/>
                <w:sz w:val="24"/>
                <w:lang w:val="en-US" w:eastAsia="zh-CN"/>
              </w:rPr>
              <w:t>3</w:t>
            </w:r>
            <w:r>
              <w:rPr>
                <w:rFonts w:hint="eastAsia" w:ascii="宋体" w:hAnsi="宋体" w:cs="宋体"/>
                <w:kern w:val="0"/>
                <w:sz w:val="24"/>
              </w:rPr>
              <w:t>分；</w:t>
            </w:r>
          </w:p>
          <w:p w14:paraId="4D2D1434">
            <w:pPr>
              <w:widowControl/>
              <w:numPr>
                <w:ilvl w:val="0"/>
                <w:numId w:val="1"/>
              </w:numPr>
              <w:adjustRightInd/>
              <w:jc w:val="left"/>
              <w:rPr>
                <w:rFonts w:hint="eastAsia" w:ascii="宋体" w:hAnsi="宋体" w:cs="宋体"/>
                <w:kern w:val="0"/>
                <w:sz w:val="24"/>
              </w:rPr>
            </w:pPr>
            <w:r>
              <w:rPr>
                <w:rFonts w:hint="eastAsia" w:ascii="宋体" w:hAnsi="宋体" w:cs="宋体"/>
                <w:kern w:val="0"/>
                <w:sz w:val="24"/>
              </w:rPr>
              <w:t>对本项目需要维保的设备及其需要维保的内容理解较到位、对于维保方法有较独特见解的得</w:t>
            </w:r>
            <w:r>
              <w:rPr>
                <w:rFonts w:hint="eastAsia" w:ascii="宋体" w:hAnsi="宋体" w:cs="宋体"/>
                <w:kern w:val="0"/>
                <w:sz w:val="24"/>
                <w:lang w:val="en-US" w:eastAsia="zh-CN"/>
              </w:rPr>
              <w:t>2</w:t>
            </w:r>
            <w:r>
              <w:rPr>
                <w:rFonts w:hint="eastAsia" w:ascii="宋体" w:hAnsi="宋体" w:cs="宋体"/>
                <w:kern w:val="0"/>
                <w:sz w:val="24"/>
              </w:rPr>
              <w:t>分；</w:t>
            </w:r>
          </w:p>
          <w:p w14:paraId="4D2D1435">
            <w:pPr>
              <w:widowControl/>
              <w:numPr>
                <w:ilvl w:val="0"/>
                <w:numId w:val="1"/>
              </w:numPr>
              <w:adjustRightInd/>
              <w:jc w:val="left"/>
              <w:rPr>
                <w:rFonts w:hint="eastAsia" w:ascii="宋体" w:hAnsi="宋体" w:cs="宋体"/>
                <w:kern w:val="0"/>
                <w:sz w:val="24"/>
              </w:rPr>
            </w:pPr>
            <w:r>
              <w:rPr>
                <w:rFonts w:hint="eastAsia" w:ascii="宋体" w:hAnsi="宋体" w:cs="宋体"/>
                <w:kern w:val="0"/>
                <w:sz w:val="24"/>
              </w:rPr>
              <w:t>对本项目需要维保的设备及其需要维保的内容理解欠到位、对于维保方法欠具有独特见解的得1分；</w:t>
            </w:r>
          </w:p>
          <w:p w14:paraId="4D2D1436">
            <w:pPr>
              <w:widowControl/>
              <w:numPr>
                <w:ilvl w:val="0"/>
                <w:numId w:val="1"/>
              </w:numPr>
              <w:adjustRightInd/>
              <w:jc w:val="left"/>
              <w:rPr>
                <w:rFonts w:hint="eastAsia" w:ascii="宋体" w:hAnsi="宋体" w:cs="宋体"/>
                <w:kern w:val="0"/>
                <w:sz w:val="24"/>
              </w:rPr>
            </w:pPr>
            <w:r>
              <w:rPr>
                <w:rFonts w:hint="eastAsia" w:ascii="宋体" w:hAnsi="宋体" w:cs="宋体"/>
                <w:sz w:val="24"/>
              </w:rPr>
              <w:t>无相关内容不得分。</w:t>
            </w:r>
          </w:p>
        </w:tc>
        <w:tc>
          <w:tcPr>
            <w:tcW w:w="705" w:type="dxa"/>
            <w:vAlign w:val="center"/>
          </w:tcPr>
          <w:p w14:paraId="4D2D1437">
            <w:pPr>
              <w:widowControl/>
              <w:adjustRightInd/>
              <w:jc w:val="center"/>
              <w:rPr>
                <w:rFonts w:hint="default" w:ascii="宋体" w:hAnsi="宋体" w:cs="宋体"/>
                <w:kern w:val="0"/>
                <w:sz w:val="24"/>
                <w:lang w:val="en-US"/>
              </w:rPr>
            </w:pPr>
            <w:r>
              <w:rPr>
                <w:rFonts w:hint="eastAsia" w:ascii="宋体" w:hAnsi="宋体" w:cs="宋体"/>
                <w:kern w:val="0"/>
                <w:sz w:val="24"/>
                <w:lang w:val="en-US" w:eastAsia="zh-CN"/>
              </w:rPr>
              <w:t>3</w:t>
            </w:r>
          </w:p>
        </w:tc>
        <w:tc>
          <w:tcPr>
            <w:tcW w:w="705" w:type="dxa"/>
            <w:vAlign w:val="center"/>
          </w:tcPr>
          <w:p w14:paraId="4D2D1438">
            <w:pPr>
              <w:widowControl/>
              <w:adjustRightInd/>
              <w:jc w:val="center"/>
              <w:rPr>
                <w:rFonts w:hint="eastAsia" w:ascii="宋体" w:hAnsi="宋体" w:cs="宋体"/>
                <w:kern w:val="0"/>
                <w:sz w:val="24"/>
                <w:lang w:val="zh-CN"/>
              </w:rPr>
            </w:pPr>
            <w:r>
              <w:rPr>
                <w:rFonts w:hint="eastAsia" w:ascii="宋体" w:hAnsi="宋体" w:cs="宋体"/>
                <w:kern w:val="0"/>
                <w:sz w:val="24"/>
              </w:rPr>
              <w:t>主观评审</w:t>
            </w:r>
          </w:p>
        </w:tc>
      </w:tr>
      <w:tr w14:paraId="4D2D1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8" w:type="dxa"/>
            <w:vMerge w:val="continue"/>
            <w:vAlign w:val="center"/>
          </w:tcPr>
          <w:p w14:paraId="4D2D143A">
            <w:pPr>
              <w:adjustRightInd/>
              <w:jc w:val="center"/>
              <w:rPr>
                <w:rFonts w:hint="eastAsia" w:ascii="宋体" w:hAnsi="宋体" w:cs="宋体"/>
                <w:sz w:val="24"/>
                <w:lang w:bidi="ar"/>
              </w:rPr>
            </w:pPr>
          </w:p>
        </w:tc>
        <w:tc>
          <w:tcPr>
            <w:tcW w:w="1425" w:type="dxa"/>
            <w:vMerge w:val="restart"/>
            <w:vAlign w:val="center"/>
          </w:tcPr>
          <w:p w14:paraId="4D2D143B">
            <w:pPr>
              <w:widowControl/>
              <w:rPr>
                <w:rFonts w:hint="eastAsia" w:ascii="宋体" w:hAnsi="宋体" w:cs="宋体"/>
                <w:sz w:val="24"/>
              </w:rPr>
            </w:pPr>
            <w:r>
              <w:rPr>
                <w:rFonts w:hint="eastAsia" w:ascii="宋体" w:hAnsi="宋体" w:cs="宋体"/>
                <w:sz w:val="24"/>
              </w:rPr>
              <w:t>3、保修方案（25分）</w:t>
            </w:r>
          </w:p>
        </w:tc>
        <w:tc>
          <w:tcPr>
            <w:tcW w:w="5902" w:type="dxa"/>
            <w:vAlign w:val="center"/>
          </w:tcPr>
          <w:p w14:paraId="4D2D143C">
            <w:pPr>
              <w:adjustRightInd/>
              <w:rPr>
                <w:rFonts w:hint="eastAsia" w:ascii="宋体" w:hAnsi="宋体" w:cs="宋体"/>
                <w:sz w:val="24"/>
              </w:rPr>
            </w:pPr>
            <w:r>
              <w:rPr>
                <w:rFonts w:hint="eastAsia" w:ascii="宋体" w:hAnsi="宋体" w:cs="宋体"/>
                <w:sz w:val="24"/>
              </w:rPr>
              <w:t>（1）根据投标单位提供的设备详细维护保修方案、技术支持，考虑技术支持与维保服务内容是否完整、事件响应处理流程规范进行评议：</w:t>
            </w:r>
          </w:p>
          <w:p w14:paraId="4D2D143D">
            <w:pPr>
              <w:numPr>
                <w:ilvl w:val="0"/>
                <w:numId w:val="1"/>
              </w:numPr>
              <w:adjustRightInd/>
              <w:rPr>
                <w:rFonts w:hint="eastAsia" w:ascii="宋体" w:hAnsi="宋体" w:cs="宋体"/>
                <w:sz w:val="24"/>
              </w:rPr>
            </w:pPr>
            <w:r>
              <w:rPr>
                <w:rFonts w:hint="eastAsia" w:ascii="宋体" w:hAnsi="宋体" w:cs="宋体"/>
                <w:sz w:val="24"/>
              </w:rPr>
              <w:t>维护保修方案、技术支持内容编写具体详细</w:t>
            </w:r>
            <w:r>
              <w:rPr>
                <w:rFonts w:hint="eastAsia" w:ascii="宋体" w:hAnsi="宋体" w:cs="宋体"/>
                <w:kern w:val="0"/>
                <w:sz w:val="24"/>
              </w:rPr>
              <w:t>，</w:t>
            </w:r>
            <w:r>
              <w:rPr>
                <w:rFonts w:hint="eastAsia" w:ascii="宋体" w:hAnsi="宋体" w:cs="宋体"/>
                <w:sz w:val="24"/>
              </w:rPr>
              <w:t>技术支持与维保服务内容</w:t>
            </w:r>
            <w:r>
              <w:rPr>
                <w:rFonts w:hint="eastAsia" w:ascii="宋体" w:hAnsi="宋体" w:cs="宋体"/>
                <w:kern w:val="0"/>
                <w:sz w:val="24"/>
              </w:rPr>
              <w:t>贴近本项目设备的实际需求，</w:t>
            </w:r>
            <w:r>
              <w:rPr>
                <w:rFonts w:hint="eastAsia" w:ascii="宋体" w:hAnsi="宋体" w:cs="宋体"/>
                <w:sz w:val="24"/>
              </w:rPr>
              <w:t>事件响应处理流程有序规范的得5分；</w:t>
            </w:r>
          </w:p>
          <w:p w14:paraId="4D2D143E">
            <w:pPr>
              <w:numPr>
                <w:ilvl w:val="0"/>
                <w:numId w:val="1"/>
              </w:numPr>
              <w:adjustRightInd/>
              <w:rPr>
                <w:rFonts w:hint="eastAsia" w:ascii="宋体" w:hAnsi="宋体" w:cs="宋体"/>
                <w:sz w:val="24"/>
              </w:rPr>
            </w:pPr>
            <w:r>
              <w:rPr>
                <w:rFonts w:hint="eastAsia" w:ascii="宋体" w:hAnsi="宋体" w:cs="宋体"/>
                <w:sz w:val="24"/>
              </w:rPr>
              <w:t>维护保修方案、技术支持内容编写较具体较详细，技术支持与维保服务内容较贴近本项目设备的实际需求，事件响应处理流程较有序较规范的得3分；</w:t>
            </w:r>
          </w:p>
          <w:p w14:paraId="4D2D143F">
            <w:pPr>
              <w:numPr>
                <w:ilvl w:val="0"/>
                <w:numId w:val="1"/>
              </w:numPr>
              <w:adjustRightInd/>
              <w:rPr>
                <w:rFonts w:hint="eastAsia" w:ascii="宋体" w:hAnsi="宋体" w:cs="宋体"/>
                <w:sz w:val="24"/>
              </w:rPr>
            </w:pPr>
            <w:r>
              <w:rPr>
                <w:rFonts w:hint="eastAsia" w:ascii="宋体" w:hAnsi="宋体" w:cs="宋体"/>
                <w:sz w:val="24"/>
              </w:rPr>
              <w:t>维护保修方案、技术支持内容编写欠具体欠详细，技术支持与维保服务内容欠贴近本项目设备的实际需求，事件响应处理流程欠有序欠规范的得1分；</w:t>
            </w:r>
          </w:p>
          <w:p w14:paraId="4D2D1440">
            <w:pPr>
              <w:numPr>
                <w:ilvl w:val="0"/>
                <w:numId w:val="1"/>
              </w:numPr>
              <w:adjustRightInd/>
              <w:rPr>
                <w:rFonts w:hint="eastAsia" w:ascii="宋体" w:hAnsi="宋体" w:cs="宋体"/>
                <w:sz w:val="24"/>
              </w:rPr>
            </w:pPr>
            <w:r>
              <w:rPr>
                <w:rFonts w:hint="eastAsia" w:ascii="宋体" w:hAnsi="宋体" w:cs="宋体"/>
                <w:sz w:val="24"/>
              </w:rPr>
              <w:t>无相关内容不得分。</w:t>
            </w:r>
          </w:p>
        </w:tc>
        <w:tc>
          <w:tcPr>
            <w:tcW w:w="705" w:type="dxa"/>
            <w:vAlign w:val="center"/>
          </w:tcPr>
          <w:p w14:paraId="4D2D1441">
            <w:pPr>
              <w:autoSpaceDE w:val="0"/>
              <w:autoSpaceDN w:val="0"/>
              <w:jc w:val="center"/>
              <w:rPr>
                <w:rFonts w:hint="eastAsia" w:ascii="宋体" w:hAnsi="宋体" w:cs="宋体"/>
                <w:kern w:val="0"/>
                <w:sz w:val="24"/>
              </w:rPr>
            </w:pPr>
            <w:r>
              <w:rPr>
                <w:rFonts w:hint="eastAsia" w:ascii="宋体" w:hAnsi="宋体" w:cs="宋体"/>
                <w:kern w:val="0"/>
                <w:sz w:val="24"/>
              </w:rPr>
              <w:t>5</w:t>
            </w:r>
          </w:p>
        </w:tc>
        <w:tc>
          <w:tcPr>
            <w:tcW w:w="705" w:type="dxa"/>
            <w:vAlign w:val="center"/>
          </w:tcPr>
          <w:p w14:paraId="4D2D1442">
            <w:pPr>
              <w:autoSpaceDE w:val="0"/>
              <w:autoSpaceDN w:val="0"/>
              <w:jc w:val="center"/>
              <w:rPr>
                <w:rFonts w:ascii="Calibri" w:hAnsi="Calibri"/>
                <w:sz w:val="24"/>
              </w:rPr>
            </w:pPr>
            <w:r>
              <w:rPr>
                <w:rFonts w:hint="eastAsia" w:ascii="Calibri" w:hAnsi="Calibri"/>
                <w:sz w:val="24"/>
              </w:rPr>
              <w:t>主观评审</w:t>
            </w:r>
          </w:p>
        </w:tc>
      </w:tr>
      <w:tr w14:paraId="4D2D1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8" w:type="dxa"/>
            <w:vMerge w:val="continue"/>
            <w:vAlign w:val="center"/>
          </w:tcPr>
          <w:p w14:paraId="4D2D1444">
            <w:pPr>
              <w:adjustRightInd/>
              <w:jc w:val="center"/>
              <w:rPr>
                <w:rFonts w:hint="eastAsia" w:ascii="宋体" w:hAnsi="宋体" w:cs="宋体"/>
                <w:sz w:val="24"/>
                <w:lang w:bidi="ar"/>
              </w:rPr>
            </w:pPr>
          </w:p>
        </w:tc>
        <w:tc>
          <w:tcPr>
            <w:tcW w:w="1425" w:type="dxa"/>
            <w:vMerge w:val="continue"/>
            <w:vAlign w:val="center"/>
          </w:tcPr>
          <w:p w14:paraId="4D2D1445">
            <w:pPr>
              <w:adjustRightInd/>
              <w:jc w:val="center"/>
              <w:rPr>
                <w:rFonts w:hint="eastAsia" w:ascii="宋体" w:hAnsi="宋体" w:cs="宋体"/>
                <w:sz w:val="24"/>
              </w:rPr>
            </w:pPr>
          </w:p>
        </w:tc>
        <w:tc>
          <w:tcPr>
            <w:tcW w:w="5902" w:type="dxa"/>
            <w:vAlign w:val="center"/>
          </w:tcPr>
          <w:p w14:paraId="4D2D1446">
            <w:pPr>
              <w:adjustRightInd/>
              <w:rPr>
                <w:rFonts w:hint="eastAsia" w:ascii="宋体" w:hAnsi="宋体" w:cs="宋体"/>
                <w:sz w:val="24"/>
              </w:rPr>
            </w:pPr>
            <w:r>
              <w:rPr>
                <w:rFonts w:hint="eastAsia" w:ascii="宋体" w:hAnsi="宋体" w:cs="宋体"/>
                <w:sz w:val="24"/>
              </w:rPr>
              <w:t>（2）根据投标单位提供的故障处理方案、预防方案、应急措施进行评议：</w:t>
            </w:r>
          </w:p>
          <w:p w14:paraId="4D2D1447">
            <w:pPr>
              <w:numPr>
                <w:ilvl w:val="0"/>
                <w:numId w:val="1"/>
              </w:numPr>
              <w:adjustRightInd/>
              <w:rPr>
                <w:rFonts w:hint="eastAsia" w:ascii="宋体" w:hAnsi="宋体" w:cs="宋体"/>
                <w:sz w:val="24"/>
              </w:rPr>
            </w:pPr>
            <w:r>
              <w:rPr>
                <w:rFonts w:hint="eastAsia" w:ascii="宋体" w:hAnsi="宋体" w:cs="宋体"/>
                <w:sz w:val="24"/>
              </w:rPr>
              <w:t>故障处理方案考虑细致符合设备特征、预防方案所列事件具有前瞻性、应急措施具有针对性的得5分；</w:t>
            </w:r>
          </w:p>
          <w:p w14:paraId="4D2D1448">
            <w:pPr>
              <w:numPr>
                <w:ilvl w:val="0"/>
                <w:numId w:val="1"/>
              </w:numPr>
              <w:adjustRightInd/>
              <w:rPr>
                <w:rFonts w:hint="eastAsia" w:ascii="宋体" w:hAnsi="宋体" w:cs="宋体"/>
                <w:sz w:val="24"/>
              </w:rPr>
            </w:pPr>
            <w:r>
              <w:rPr>
                <w:rFonts w:hint="eastAsia" w:ascii="宋体" w:hAnsi="宋体" w:cs="宋体"/>
                <w:sz w:val="24"/>
              </w:rPr>
              <w:t>故障处理方案考虑较细致较符合设备特征、预防方案所列事件较具有前瞻性、应急措施较具有针对性的得3分；</w:t>
            </w:r>
          </w:p>
          <w:p w14:paraId="4D2D1449">
            <w:pPr>
              <w:numPr>
                <w:ilvl w:val="0"/>
                <w:numId w:val="1"/>
              </w:numPr>
              <w:adjustRightInd/>
              <w:rPr>
                <w:rFonts w:hint="eastAsia" w:ascii="宋体" w:hAnsi="宋体" w:cs="宋体"/>
                <w:sz w:val="24"/>
              </w:rPr>
            </w:pPr>
            <w:r>
              <w:rPr>
                <w:rFonts w:hint="eastAsia" w:ascii="宋体" w:hAnsi="宋体" w:cs="宋体"/>
                <w:sz w:val="24"/>
              </w:rPr>
              <w:t>故障处理方案考虑欠细致欠符合设备特征、预防方案所列事件欠具有前瞻性、应急措施欠具有针对性的得1分；</w:t>
            </w:r>
          </w:p>
          <w:p w14:paraId="4D2D144A">
            <w:pPr>
              <w:numPr>
                <w:ilvl w:val="0"/>
                <w:numId w:val="1"/>
              </w:numPr>
              <w:adjustRightInd/>
              <w:rPr>
                <w:rFonts w:hint="eastAsia" w:ascii="宋体" w:hAnsi="宋体" w:cs="宋体"/>
                <w:sz w:val="24"/>
              </w:rPr>
            </w:pPr>
            <w:r>
              <w:rPr>
                <w:rFonts w:hint="eastAsia" w:ascii="宋体" w:hAnsi="宋体" w:cs="宋体"/>
                <w:sz w:val="24"/>
              </w:rPr>
              <w:t>无相关内容不得分。</w:t>
            </w:r>
          </w:p>
        </w:tc>
        <w:tc>
          <w:tcPr>
            <w:tcW w:w="705" w:type="dxa"/>
            <w:vAlign w:val="center"/>
          </w:tcPr>
          <w:p w14:paraId="4D2D144B">
            <w:pPr>
              <w:autoSpaceDE w:val="0"/>
              <w:autoSpaceDN w:val="0"/>
              <w:jc w:val="center"/>
              <w:rPr>
                <w:rFonts w:hint="eastAsia" w:ascii="宋体" w:hAnsi="宋体" w:cs="宋体"/>
                <w:kern w:val="0"/>
                <w:sz w:val="24"/>
              </w:rPr>
            </w:pPr>
            <w:r>
              <w:rPr>
                <w:rFonts w:hint="eastAsia" w:ascii="宋体" w:hAnsi="宋体" w:cs="宋体"/>
                <w:kern w:val="0"/>
                <w:sz w:val="24"/>
              </w:rPr>
              <w:t>5</w:t>
            </w:r>
          </w:p>
        </w:tc>
        <w:tc>
          <w:tcPr>
            <w:tcW w:w="705" w:type="dxa"/>
            <w:vAlign w:val="center"/>
          </w:tcPr>
          <w:p w14:paraId="4D2D144C">
            <w:pPr>
              <w:autoSpaceDE w:val="0"/>
              <w:autoSpaceDN w:val="0"/>
              <w:jc w:val="center"/>
              <w:rPr>
                <w:rFonts w:ascii="Calibri" w:hAnsi="Calibri"/>
                <w:sz w:val="24"/>
                <w:lang w:val="zh-CN"/>
              </w:rPr>
            </w:pPr>
            <w:r>
              <w:rPr>
                <w:rFonts w:hint="eastAsia" w:ascii="Calibri" w:hAnsi="Calibri"/>
                <w:sz w:val="24"/>
              </w:rPr>
              <w:t>主观评审</w:t>
            </w:r>
          </w:p>
        </w:tc>
      </w:tr>
      <w:tr w14:paraId="4D2D1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8" w:type="dxa"/>
            <w:vMerge w:val="continue"/>
            <w:vAlign w:val="center"/>
          </w:tcPr>
          <w:p w14:paraId="4D2D144E">
            <w:pPr>
              <w:adjustRightInd/>
              <w:jc w:val="center"/>
              <w:rPr>
                <w:rFonts w:hint="eastAsia" w:ascii="宋体" w:hAnsi="宋体" w:cs="宋体"/>
                <w:sz w:val="24"/>
                <w:lang w:bidi="ar"/>
              </w:rPr>
            </w:pPr>
          </w:p>
        </w:tc>
        <w:tc>
          <w:tcPr>
            <w:tcW w:w="1425" w:type="dxa"/>
            <w:vMerge w:val="continue"/>
            <w:vAlign w:val="center"/>
          </w:tcPr>
          <w:p w14:paraId="4D2D144F">
            <w:pPr>
              <w:adjustRightInd/>
              <w:jc w:val="center"/>
              <w:rPr>
                <w:rFonts w:hint="eastAsia" w:ascii="宋体" w:hAnsi="宋体" w:cs="宋体"/>
                <w:sz w:val="24"/>
              </w:rPr>
            </w:pPr>
          </w:p>
        </w:tc>
        <w:tc>
          <w:tcPr>
            <w:tcW w:w="5902" w:type="dxa"/>
            <w:vAlign w:val="center"/>
          </w:tcPr>
          <w:p w14:paraId="4D2D1450">
            <w:pPr>
              <w:adjustRightInd/>
              <w:rPr>
                <w:rFonts w:hint="eastAsia" w:ascii="宋体" w:hAnsi="宋体" w:cs="宋体"/>
                <w:sz w:val="24"/>
              </w:rPr>
            </w:pPr>
            <w:r>
              <w:rPr>
                <w:rFonts w:hint="eastAsia" w:ascii="宋体" w:hAnsi="宋体" w:cs="宋体"/>
                <w:sz w:val="24"/>
              </w:rPr>
              <w:t>（3）根据投标单位提供的现场服务、服务响应时间的承诺进行评议：</w:t>
            </w:r>
          </w:p>
          <w:p w14:paraId="4D2D1451">
            <w:pPr>
              <w:numPr>
                <w:ilvl w:val="0"/>
                <w:numId w:val="1"/>
              </w:numPr>
              <w:adjustRightInd/>
              <w:rPr>
                <w:rFonts w:hint="eastAsia" w:ascii="宋体" w:hAnsi="宋体" w:cs="宋体"/>
                <w:sz w:val="24"/>
              </w:rPr>
            </w:pPr>
            <w:r>
              <w:rPr>
                <w:rFonts w:hint="eastAsia" w:ascii="宋体" w:hAnsi="宋体" w:cs="宋体"/>
                <w:sz w:val="24"/>
              </w:rPr>
              <w:t>现场服务方式多样、服务响应及时，承诺内容符合供应商实际情况的得5分；</w:t>
            </w:r>
          </w:p>
          <w:p w14:paraId="4D2D1452">
            <w:pPr>
              <w:numPr>
                <w:ilvl w:val="0"/>
                <w:numId w:val="1"/>
              </w:numPr>
              <w:adjustRightInd/>
              <w:rPr>
                <w:rFonts w:hint="eastAsia" w:ascii="宋体" w:hAnsi="宋体" w:cs="宋体"/>
                <w:sz w:val="24"/>
              </w:rPr>
            </w:pPr>
            <w:r>
              <w:rPr>
                <w:rFonts w:hint="eastAsia" w:ascii="宋体" w:hAnsi="宋体" w:cs="宋体"/>
                <w:sz w:val="24"/>
              </w:rPr>
              <w:t>现场服务方式较多样、服务响应较及时，承诺内容较符合供应商实际情况的得3分；</w:t>
            </w:r>
          </w:p>
          <w:p w14:paraId="4D2D1453">
            <w:pPr>
              <w:numPr>
                <w:ilvl w:val="0"/>
                <w:numId w:val="1"/>
              </w:numPr>
              <w:adjustRightInd/>
              <w:rPr>
                <w:rFonts w:hint="eastAsia" w:ascii="宋体" w:hAnsi="宋体" w:cs="宋体"/>
                <w:sz w:val="24"/>
              </w:rPr>
            </w:pPr>
            <w:r>
              <w:rPr>
                <w:rFonts w:hint="eastAsia" w:ascii="宋体" w:hAnsi="宋体" w:cs="宋体"/>
                <w:sz w:val="24"/>
              </w:rPr>
              <w:t>现场服务方式欠多样、服务响应欠及时，承诺内容欠符合供应商实际情况的得1分；</w:t>
            </w:r>
          </w:p>
          <w:p w14:paraId="4D2D1454">
            <w:pPr>
              <w:numPr>
                <w:ilvl w:val="0"/>
                <w:numId w:val="1"/>
              </w:numPr>
              <w:adjustRightInd/>
              <w:rPr>
                <w:rFonts w:hint="eastAsia" w:ascii="宋体" w:hAnsi="宋体" w:cs="宋体"/>
                <w:sz w:val="24"/>
              </w:rPr>
            </w:pPr>
            <w:r>
              <w:rPr>
                <w:rFonts w:hint="eastAsia" w:ascii="宋体" w:hAnsi="宋体" w:cs="宋体"/>
                <w:sz w:val="24"/>
              </w:rPr>
              <w:t>无相关内容不得分。</w:t>
            </w:r>
          </w:p>
        </w:tc>
        <w:tc>
          <w:tcPr>
            <w:tcW w:w="705" w:type="dxa"/>
            <w:vAlign w:val="center"/>
          </w:tcPr>
          <w:p w14:paraId="4D2D1455">
            <w:pPr>
              <w:autoSpaceDE w:val="0"/>
              <w:autoSpaceDN w:val="0"/>
              <w:jc w:val="center"/>
              <w:rPr>
                <w:rFonts w:hint="eastAsia" w:ascii="宋体" w:hAnsi="宋体" w:cs="宋体"/>
                <w:kern w:val="0"/>
                <w:sz w:val="24"/>
              </w:rPr>
            </w:pPr>
            <w:r>
              <w:rPr>
                <w:rFonts w:hint="eastAsia" w:ascii="宋体" w:hAnsi="宋体" w:cs="宋体"/>
                <w:kern w:val="0"/>
                <w:sz w:val="24"/>
              </w:rPr>
              <w:t>5</w:t>
            </w:r>
          </w:p>
        </w:tc>
        <w:tc>
          <w:tcPr>
            <w:tcW w:w="705" w:type="dxa"/>
            <w:vAlign w:val="center"/>
          </w:tcPr>
          <w:p w14:paraId="4D2D1456">
            <w:pPr>
              <w:autoSpaceDE w:val="0"/>
              <w:autoSpaceDN w:val="0"/>
              <w:jc w:val="center"/>
              <w:rPr>
                <w:rFonts w:ascii="Calibri" w:hAnsi="Calibri"/>
                <w:sz w:val="24"/>
                <w:lang w:val="zh-CN"/>
              </w:rPr>
            </w:pPr>
            <w:r>
              <w:rPr>
                <w:rFonts w:hint="eastAsia" w:ascii="Calibri" w:hAnsi="Calibri"/>
                <w:sz w:val="24"/>
              </w:rPr>
              <w:t>主观评审</w:t>
            </w:r>
          </w:p>
        </w:tc>
      </w:tr>
      <w:tr w14:paraId="4D2D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8" w:type="dxa"/>
            <w:vMerge w:val="continue"/>
            <w:vAlign w:val="center"/>
          </w:tcPr>
          <w:p w14:paraId="4D2D1458">
            <w:pPr>
              <w:adjustRightInd/>
              <w:jc w:val="center"/>
              <w:rPr>
                <w:rFonts w:hint="eastAsia" w:ascii="宋体" w:hAnsi="宋体" w:cs="宋体"/>
                <w:sz w:val="24"/>
                <w:lang w:bidi="ar"/>
              </w:rPr>
            </w:pPr>
          </w:p>
        </w:tc>
        <w:tc>
          <w:tcPr>
            <w:tcW w:w="1425" w:type="dxa"/>
            <w:vMerge w:val="continue"/>
            <w:vAlign w:val="center"/>
          </w:tcPr>
          <w:p w14:paraId="4D2D1459">
            <w:pPr>
              <w:adjustRightInd/>
              <w:jc w:val="center"/>
              <w:rPr>
                <w:rFonts w:hint="eastAsia" w:ascii="宋体" w:hAnsi="宋体" w:cs="宋体"/>
                <w:sz w:val="24"/>
              </w:rPr>
            </w:pPr>
          </w:p>
        </w:tc>
        <w:tc>
          <w:tcPr>
            <w:tcW w:w="5902" w:type="dxa"/>
            <w:vAlign w:val="center"/>
          </w:tcPr>
          <w:p w14:paraId="4D2D145A">
            <w:pPr>
              <w:adjustRightInd/>
              <w:rPr>
                <w:rFonts w:hint="eastAsia" w:ascii="宋体" w:hAnsi="宋体" w:cs="宋体"/>
                <w:sz w:val="24"/>
              </w:rPr>
            </w:pPr>
            <w:r>
              <w:rPr>
                <w:rFonts w:hint="eastAsia" w:ascii="宋体" w:hAnsi="宋体" w:cs="宋体"/>
                <w:sz w:val="24"/>
              </w:rPr>
              <w:t>（4）根据投标单位提供的日常巡检报告单、详细设备档案登记表、现场服务报告单、维保操作流程进行评议：</w:t>
            </w:r>
          </w:p>
          <w:p w14:paraId="4D2D145B">
            <w:pPr>
              <w:numPr>
                <w:ilvl w:val="0"/>
                <w:numId w:val="1"/>
              </w:numPr>
              <w:adjustRightInd/>
              <w:rPr>
                <w:rFonts w:hint="eastAsia" w:ascii="宋体" w:hAnsi="宋体" w:cs="宋体"/>
                <w:sz w:val="24"/>
              </w:rPr>
            </w:pPr>
            <w:r>
              <w:rPr>
                <w:rFonts w:hint="eastAsia" w:ascii="宋体" w:hAnsi="宋体" w:cs="宋体"/>
                <w:sz w:val="24"/>
              </w:rPr>
              <w:t>报告单及登记表内容全面、反馈直接，维保操作流程安排有序、实际操作可行的得5分；</w:t>
            </w:r>
          </w:p>
          <w:p w14:paraId="4D2D145C">
            <w:pPr>
              <w:numPr>
                <w:ilvl w:val="0"/>
                <w:numId w:val="1"/>
              </w:numPr>
              <w:adjustRightInd/>
              <w:rPr>
                <w:rFonts w:hint="eastAsia" w:ascii="宋体" w:hAnsi="宋体" w:cs="宋体"/>
                <w:sz w:val="24"/>
              </w:rPr>
            </w:pPr>
            <w:r>
              <w:rPr>
                <w:rFonts w:hint="eastAsia" w:ascii="宋体" w:hAnsi="宋体" w:cs="宋体"/>
                <w:sz w:val="24"/>
              </w:rPr>
              <w:t>报告单及登记表内容较全面、反馈较直接，维保操作流程安排较有序、实际操作较可行的得3分；</w:t>
            </w:r>
          </w:p>
          <w:p w14:paraId="4D2D145D">
            <w:pPr>
              <w:numPr>
                <w:ilvl w:val="0"/>
                <w:numId w:val="1"/>
              </w:numPr>
              <w:adjustRightInd/>
              <w:rPr>
                <w:rFonts w:hint="eastAsia" w:ascii="宋体" w:hAnsi="宋体" w:cs="宋体"/>
                <w:sz w:val="24"/>
              </w:rPr>
            </w:pPr>
            <w:r>
              <w:rPr>
                <w:rFonts w:hint="eastAsia" w:ascii="宋体" w:hAnsi="宋体" w:cs="宋体"/>
                <w:sz w:val="24"/>
              </w:rPr>
              <w:t>报告单及登记表内容欠全面、反馈欠直接，维保操作流程安排欠有序、实际操作欠可行的得1分；</w:t>
            </w:r>
          </w:p>
          <w:p w14:paraId="4D2D145E">
            <w:pPr>
              <w:numPr>
                <w:ilvl w:val="0"/>
                <w:numId w:val="1"/>
              </w:numPr>
              <w:adjustRightInd/>
              <w:rPr>
                <w:rFonts w:hint="eastAsia" w:ascii="宋体" w:hAnsi="宋体" w:cs="宋体"/>
                <w:sz w:val="24"/>
              </w:rPr>
            </w:pPr>
            <w:r>
              <w:rPr>
                <w:rFonts w:hint="eastAsia" w:ascii="宋体" w:hAnsi="宋体" w:cs="宋体"/>
                <w:sz w:val="24"/>
              </w:rPr>
              <w:t>无相关内容不得分。</w:t>
            </w:r>
          </w:p>
        </w:tc>
        <w:tc>
          <w:tcPr>
            <w:tcW w:w="705" w:type="dxa"/>
            <w:vAlign w:val="center"/>
          </w:tcPr>
          <w:p w14:paraId="4D2D145F">
            <w:pPr>
              <w:autoSpaceDE w:val="0"/>
              <w:autoSpaceDN w:val="0"/>
              <w:jc w:val="center"/>
              <w:rPr>
                <w:rFonts w:hint="eastAsia" w:ascii="宋体" w:hAnsi="宋体" w:cs="宋体"/>
                <w:kern w:val="0"/>
                <w:sz w:val="24"/>
              </w:rPr>
            </w:pPr>
            <w:r>
              <w:rPr>
                <w:rFonts w:hint="eastAsia" w:ascii="宋体" w:hAnsi="宋体" w:cs="宋体"/>
                <w:kern w:val="0"/>
                <w:sz w:val="24"/>
              </w:rPr>
              <w:t>5</w:t>
            </w:r>
          </w:p>
        </w:tc>
        <w:tc>
          <w:tcPr>
            <w:tcW w:w="705" w:type="dxa"/>
            <w:vAlign w:val="center"/>
          </w:tcPr>
          <w:p w14:paraId="4D2D1460">
            <w:pPr>
              <w:autoSpaceDE w:val="0"/>
              <w:autoSpaceDN w:val="0"/>
              <w:jc w:val="center"/>
              <w:rPr>
                <w:rFonts w:ascii="Calibri" w:hAnsi="Calibri"/>
                <w:sz w:val="24"/>
                <w:lang w:val="zh-CN"/>
              </w:rPr>
            </w:pPr>
            <w:r>
              <w:rPr>
                <w:rFonts w:hint="eastAsia" w:ascii="Calibri" w:hAnsi="Calibri"/>
                <w:sz w:val="24"/>
              </w:rPr>
              <w:t>主观评审</w:t>
            </w:r>
          </w:p>
        </w:tc>
      </w:tr>
      <w:tr w14:paraId="4D2D1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8" w:type="dxa"/>
            <w:vMerge w:val="continue"/>
            <w:vAlign w:val="center"/>
          </w:tcPr>
          <w:p w14:paraId="4D2D1462">
            <w:pPr>
              <w:adjustRightInd/>
              <w:jc w:val="center"/>
              <w:rPr>
                <w:rFonts w:hint="eastAsia" w:ascii="宋体" w:hAnsi="宋体" w:cs="宋体"/>
                <w:sz w:val="24"/>
                <w:lang w:bidi="ar"/>
              </w:rPr>
            </w:pPr>
          </w:p>
        </w:tc>
        <w:tc>
          <w:tcPr>
            <w:tcW w:w="1425" w:type="dxa"/>
            <w:vMerge w:val="continue"/>
            <w:vAlign w:val="center"/>
          </w:tcPr>
          <w:p w14:paraId="4D2D1463">
            <w:pPr>
              <w:adjustRightInd/>
              <w:jc w:val="center"/>
              <w:rPr>
                <w:rFonts w:hint="eastAsia" w:ascii="宋体" w:hAnsi="宋体" w:cs="宋体"/>
                <w:sz w:val="24"/>
              </w:rPr>
            </w:pPr>
          </w:p>
        </w:tc>
        <w:tc>
          <w:tcPr>
            <w:tcW w:w="5902" w:type="dxa"/>
            <w:vAlign w:val="center"/>
          </w:tcPr>
          <w:p w14:paraId="4D2D1464">
            <w:pPr>
              <w:widowControl/>
              <w:adjustRightInd/>
              <w:jc w:val="left"/>
              <w:rPr>
                <w:rFonts w:hint="eastAsia" w:ascii="宋体" w:hAnsi="宋体" w:cs="宋体"/>
                <w:kern w:val="0"/>
                <w:sz w:val="24"/>
              </w:rPr>
            </w:pPr>
            <w:r>
              <w:rPr>
                <w:rFonts w:hint="eastAsia" w:ascii="宋体" w:hAnsi="宋体" w:cs="宋体"/>
                <w:kern w:val="0"/>
                <w:sz w:val="24"/>
              </w:rPr>
              <w:t>（5）根据投标单位提供的针对本项目的技术难点分析、解决措施进行评议：</w:t>
            </w:r>
          </w:p>
          <w:p w14:paraId="4D2D1465">
            <w:pPr>
              <w:widowControl/>
              <w:numPr>
                <w:ilvl w:val="0"/>
                <w:numId w:val="2"/>
              </w:numPr>
              <w:adjustRightInd/>
              <w:jc w:val="left"/>
              <w:rPr>
                <w:rFonts w:hint="eastAsia" w:ascii="宋体" w:hAnsi="宋体" w:cs="宋体"/>
                <w:kern w:val="0"/>
                <w:sz w:val="24"/>
              </w:rPr>
            </w:pPr>
            <w:r>
              <w:rPr>
                <w:rFonts w:hint="eastAsia" w:ascii="宋体" w:hAnsi="宋体" w:cs="宋体"/>
                <w:kern w:val="0"/>
                <w:sz w:val="24"/>
              </w:rPr>
              <w:t>技术难点分析到位</w:t>
            </w:r>
            <w:r>
              <w:rPr>
                <w:rFonts w:hint="eastAsia" w:ascii="宋体" w:hAnsi="宋体" w:cs="宋体"/>
                <w:sz w:val="24"/>
              </w:rPr>
              <w:t>符合设备特征</w:t>
            </w:r>
            <w:r>
              <w:rPr>
                <w:rFonts w:hint="eastAsia" w:ascii="宋体" w:hAnsi="宋体" w:cs="宋体"/>
                <w:kern w:val="0"/>
                <w:sz w:val="24"/>
              </w:rPr>
              <w:t>，解决措施考虑全面、实施操作可行的得5分；</w:t>
            </w:r>
          </w:p>
          <w:p w14:paraId="4D2D1466">
            <w:pPr>
              <w:widowControl/>
              <w:numPr>
                <w:ilvl w:val="0"/>
                <w:numId w:val="2"/>
              </w:numPr>
              <w:adjustRightInd/>
              <w:jc w:val="left"/>
              <w:rPr>
                <w:rFonts w:hint="eastAsia" w:ascii="宋体" w:hAnsi="宋体" w:cs="宋体"/>
                <w:kern w:val="0"/>
                <w:sz w:val="24"/>
              </w:rPr>
            </w:pPr>
            <w:r>
              <w:rPr>
                <w:rFonts w:hint="eastAsia" w:ascii="宋体" w:hAnsi="宋体" w:cs="宋体"/>
                <w:kern w:val="0"/>
                <w:sz w:val="24"/>
              </w:rPr>
              <w:t>技术难点分析较到位较</w:t>
            </w:r>
            <w:r>
              <w:rPr>
                <w:rFonts w:hint="eastAsia" w:ascii="宋体" w:hAnsi="宋体" w:cs="宋体"/>
                <w:sz w:val="24"/>
              </w:rPr>
              <w:t>符合设备特征</w:t>
            </w:r>
            <w:r>
              <w:rPr>
                <w:rFonts w:hint="eastAsia" w:ascii="宋体" w:hAnsi="宋体" w:cs="宋体"/>
                <w:kern w:val="0"/>
                <w:sz w:val="24"/>
              </w:rPr>
              <w:t>，解决措施考虑较全面、实施操作较可行的得3分；</w:t>
            </w:r>
          </w:p>
          <w:p w14:paraId="4D2D1467">
            <w:pPr>
              <w:widowControl/>
              <w:numPr>
                <w:ilvl w:val="0"/>
                <w:numId w:val="2"/>
              </w:numPr>
              <w:adjustRightInd/>
              <w:jc w:val="left"/>
              <w:rPr>
                <w:rFonts w:hint="eastAsia" w:ascii="宋体" w:hAnsi="宋体" w:cs="宋体"/>
                <w:kern w:val="0"/>
                <w:sz w:val="24"/>
              </w:rPr>
            </w:pPr>
            <w:r>
              <w:rPr>
                <w:rFonts w:hint="eastAsia" w:ascii="宋体" w:hAnsi="宋体" w:cs="宋体"/>
                <w:kern w:val="0"/>
                <w:sz w:val="24"/>
              </w:rPr>
              <w:t>技术难点分析欠到位欠</w:t>
            </w:r>
            <w:r>
              <w:rPr>
                <w:rFonts w:hint="eastAsia" w:ascii="宋体" w:hAnsi="宋体" w:cs="宋体"/>
                <w:sz w:val="24"/>
              </w:rPr>
              <w:t>符合设备特征</w:t>
            </w:r>
            <w:r>
              <w:rPr>
                <w:rFonts w:hint="eastAsia" w:ascii="宋体" w:hAnsi="宋体" w:cs="宋体"/>
                <w:kern w:val="0"/>
                <w:sz w:val="24"/>
              </w:rPr>
              <w:t>，解决措施考虑欠全面、实施操作欠可行的得1分；</w:t>
            </w:r>
          </w:p>
          <w:p w14:paraId="4D2D1468">
            <w:pPr>
              <w:widowControl/>
              <w:numPr>
                <w:ilvl w:val="0"/>
                <w:numId w:val="2"/>
              </w:numPr>
              <w:adjustRightInd/>
              <w:jc w:val="left"/>
              <w:rPr>
                <w:rFonts w:hint="eastAsia" w:ascii="宋体" w:hAnsi="宋体" w:cs="宋体"/>
                <w:kern w:val="0"/>
                <w:sz w:val="24"/>
              </w:rPr>
            </w:pPr>
            <w:r>
              <w:rPr>
                <w:rFonts w:hint="eastAsia" w:ascii="宋体" w:hAnsi="宋体" w:cs="宋体"/>
                <w:sz w:val="24"/>
              </w:rPr>
              <w:t>无相关内容不得分。</w:t>
            </w:r>
          </w:p>
        </w:tc>
        <w:tc>
          <w:tcPr>
            <w:tcW w:w="705" w:type="dxa"/>
            <w:vAlign w:val="center"/>
          </w:tcPr>
          <w:p w14:paraId="4D2D1469">
            <w:pPr>
              <w:autoSpaceDE w:val="0"/>
              <w:autoSpaceDN w:val="0"/>
              <w:jc w:val="center"/>
              <w:rPr>
                <w:rFonts w:hint="eastAsia" w:ascii="宋体" w:hAnsi="宋体" w:cs="宋体"/>
                <w:kern w:val="0"/>
                <w:sz w:val="24"/>
              </w:rPr>
            </w:pPr>
            <w:r>
              <w:rPr>
                <w:rFonts w:hint="eastAsia" w:ascii="宋体" w:hAnsi="宋体" w:cs="宋体"/>
                <w:kern w:val="0"/>
                <w:sz w:val="24"/>
              </w:rPr>
              <w:t>5</w:t>
            </w:r>
          </w:p>
        </w:tc>
        <w:tc>
          <w:tcPr>
            <w:tcW w:w="705" w:type="dxa"/>
            <w:vAlign w:val="center"/>
          </w:tcPr>
          <w:p w14:paraId="4D2D146A">
            <w:pPr>
              <w:autoSpaceDE w:val="0"/>
              <w:autoSpaceDN w:val="0"/>
              <w:jc w:val="center"/>
              <w:rPr>
                <w:rFonts w:ascii="Calibri" w:hAnsi="Calibri"/>
                <w:sz w:val="24"/>
                <w:lang w:val="zh-CN"/>
              </w:rPr>
            </w:pPr>
            <w:r>
              <w:rPr>
                <w:rFonts w:hint="eastAsia" w:ascii="Calibri" w:hAnsi="Calibri"/>
                <w:sz w:val="24"/>
              </w:rPr>
              <w:t>主观评审</w:t>
            </w:r>
          </w:p>
        </w:tc>
      </w:tr>
      <w:tr w14:paraId="4D2D1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8" w:type="dxa"/>
            <w:vMerge w:val="continue"/>
            <w:vAlign w:val="center"/>
          </w:tcPr>
          <w:p w14:paraId="4D2D146C">
            <w:pPr>
              <w:adjustRightInd/>
              <w:rPr>
                <w:rFonts w:ascii="Calibri" w:hAnsi="Calibri"/>
                <w:sz w:val="24"/>
              </w:rPr>
            </w:pPr>
          </w:p>
        </w:tc>
        <w:tc>
          <w:tcPr>
            <w:tcW w:w="1425" w:type="dxa"/>
            <w:vMerge w:val="restart"/>
            <w:vAlign w:val="center"/>
          </w:tcPr>
          <w:p w14:paraId="4D2D146D">
            <w:pPr>
              <w:adjustRightInd/>
              <w:jc w:val="left"/>
              <w:rPr>
                <w:rFonts w:hint="eastAsia" w:ascii="宋体" w:hAnsi="宋体" w:cs="宋体"/>
                <w:sz w:val="24"/>
              </w:rPr>
            </w:pPr>
            <w:r>
              <w:rPr>
                <w:rFonts w:hint="eastAsia" w:ascii="宋体" w:hAnsi="宋体" w:cs="宋体"/>
                <w:sz w:val="24"/>
              </w:rPr>
              <w:t>4、拟派本项目的技术人员情况（10分）</w:t>
            </w:r>
          </w:p>
        </w:tc>
        <w:tc>
          <w:tcPr>
            <w:tcW w:w="5902" w:type="dxa"/>
            <w:shd w:val="clear" w:color="auto" w:fill="auto"/>
            <w:vAlign w:val="center"/>
          </w:tcPr>
          <w:p w14:paraId="4D2D146E">
            <w:pPr>
              <w:adjustRightInd/>
              <w:rPr>
                <w:rFonts w:hint="eastAsia" w:ascii="宋体" w:hAnsi="宋体" w:cs="宋体"/>
                <w:sz w:val="24"/>
              </w:rPr>
            </w:pPr>
            <w:r>
              <w:rPr>
                <w:rFonts w:hint="eastAsia" w:ascii="宋体" w:hAnsi="宋体" w:cs="宋体"/>
                <w:sz w:val="24"/>
              </w:rPr>
              <w:t>（1）对投入本项目的项目负责人、维修人员人数、技术水平和经验进行评议（5分）：</w:t>
            </w:r>
          </w:p>
          <w:p w14:paraId="4D2D146F">
            <w:pPr>
              <w:numPr>
                <w:ilvl w:val="0"/>
                <w:numId w:val="2"/>
              </w:numPr>
              <w:adjustRightInd/>
              <w:rPr>
                <w:rFonts w:hint="eastAsia" w:ascii="宋体" w:hAnsi="宋体" w:cs="宋体"/>
                <w:sz w:val="24"/>
              </w:rPr>
            </w:pPr>
            <w:r>
              <w:rPr>
                <w:rFonts w:hint="eastAsia" w:ascii="宋体" w:hAnsi="宋体" w:cs="宋体"/>
                <w:sz w:val="24"/>
              </w:rPr>
              <w:t>人数充足、技术水平专业、具有丰富的同类项目经验的得5分；</w:t>
            </w:r>
          </w:p>
          <w:p w14:paraId="4D2D1470">
            <w:pPr>
              <w:numPr>
                <w:ilvl w:val="0"/>
                <w:numId w:val="2"/>
              </w:numPr>
              <w:adjustRightInd/>
              <w:rPr>
                <w:rFonts w:hint="eastAsia" w:ascii="宋体" w:hAnsi="宋体" w:cs="宋体"/>
                <w:sz w:val="24"/>
              </w:rPr>
            </w:pPr>
            <w:r>
              <w:rPr>
                <w:rFonts w:hint="eastAsia" w:ascii="宋体" w:hAnsi="宋体" w:cs="宋体"/>
                <w:sz w:val="24"/>
              </w:rPr>
              <w:t>人数较充足、技术水平较专业、同类项目经验较丰富的得3分；</w:t>
            </w:r>
          </w:p>
          <w:p w14:paraId="4D2D1471">
            <w:pPr>
              <w:numPr>
                <w:ilvl w:val="0"/>
                <w:numId w:val="2"/>
              </w:numPr>
              <w:adjustRightInd/>
              <w:rPr>
                <w:rFonts w:hint="eastAsia" w:ascii="宋体" w:hAnsi="宋体" w:cs="宋体"/>
                <w:sz w:val="24"/>
              </w:rPr>
            </w:pPr>
            <w:r>
              <w:rPr>
                <w:rFonts w:hint="eastAsia" w:ascii="宋体" w:hAnsi="宋体" w:cs="宋体"/>
                <w:sz w:val="24"/>
              </w:rPr>
              <w:t>人数欠充足、技术水平欠专业、同类项目经验欠丰富的得1分；</w:t>
            </w:r>
          </w:p>
          <w:p w14:paraId="4D2D1472">
            <w:pPr>
              <w:numPr>
                <w:ilvl w:val="0"/>
                <w:numId w:val="2"/>
              </w:numPr>
              <w:adjustRightInd/>
              <w:rPr>
                <w:rFonts w:hint="eastAsia" w:ascii="宋体" w:hAnsi="宋体" w:cs="宋体"/>
                <w:sz w:val="24"/>
              </w:rPr>
            </w:pPr>
            <w:r>
              <w:rPr>
                <w:rFonts w:hint="eastAsia" w:ascii="宋体" w:hAnsi="宋体" w:cs="宋体"/>
                <w:sz w:val="24"/>
              </w:rPr>
              <w:t>无相关内容不得分。</w:t>
            </w:r>
          </w:p>
        </w:tc>
        <w:tc>
          <w:tcPr>
            <w:tcW w:w="705" w:type="dxa"/>
            <w:shd w:val="clear" w:color="auto" w:fill="auto"/>
            <w:vAlign w:val="center"/>
          </w:tcPr>
          <w:p w14:paraId="4D2D1473">
            <w:pPr>
              <w:autoSpaceDE w:val="0"/>
              <w:autoSpaceDN w:val="0"/>
              <w:jc w:val="center"/>
              <w:rPr>
                <w:rFonts w:hint="eastAsia" w:ascii="宋体" w:hAnsi="宋体" w:cs="宋体"/>
                <w:kern w:val="0"/>
                <w:sz w:val="24"/>
              </w:rPr>
            </w:pPr>
            <w:r>
              <w:rPr>
                <w:rFonts w:hint="eastAsia" w:ascii="宋体" w:hAnsi="宋体" w:cs="宋体"/>
                <w:kern w:val="0"/>
                <w:sz w:val="24"/>
              </w:rPr>
              <w:t>5</w:t>
            </w:r>
          </w:p>
        </w:tc>
        <w:tc>
          <w:tcPr>
            <w:tcW w:w="705" w:type="dxa"/>
            <w:shd w:val="clear" w:color="auto" w:fill="auto"/>
            <w:vAlign w:val="center"/>
          </w:tcPr>
          <w:p w14:paraId="4D2D1474">
            <w:pPr>
              <w:autoSpaceDE w:val="0"/>
              <w:autoSpaceDN w:val="0"/>
              <w:jc w:val="center"/>
              <w:rPr>
                <w:rFonts w:ascii="Calibri" w:hAnsi="Calibri"/>
                <w:sz w:val="24"/>
              </w:rPr>
            </w:pPr>
            <w:r>
              <w:rPr>
                <w:rFonts w:hint="eastAsia" w:ascii="Calibri" w:hAnsi="Calibri"/>
                <w:sz w:val="24"/>
              </w:rPr>
              <w:t>主观评审</w:t>
            </w:r>
          </w:p>
        </w:tc>
      </w:tr>
      <w:tr w14:paraId="4D2D1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8" w:type="dxa"/>
            <w:vMerge w:val="continue"/>
            <w:vAlign w:val="center"/>
          </w:tcPr>
          <w:p w14:paraId="4D2D1476">
            <w:pPr>
              <w:adjustRightInd/>
              <w:rPr>
                <w:rFonts w:ascii="Calibri" w:hAnsi="Calibri"/>
                <w:sz w:val="24"/>
              </w:rPr>
            </w:pPr>
          </w:p>
        </w:tc>
        <w:tc>
          <w:tcPr>
            <w:tcW w:w="1425" w:type="dxa"/>
            <w:vMerge w:val="continue"/>
            <w:vAlign w:val="center"/>
          </w:tcPr>
          <w:p w14:paraId="4D2D1477">
            <w:pPr>
              <w:adjustRightInd/>
              <w:jc w:val="center"/>
              <w:rPr>
                <w:rFonts w:hint="eastAsia" w:ascii="宋体" w:hAnsi="宋体" w:cs="宋体"/>
                <w:sz w:val="24"/>
              </w:rPr>
            </w:pPr>
          </w:p>
        </w:tc>
        <w:tc>
          <w:tcPr>
            <w:tcW w:w="5902" w:type="dxa"/>
            <w:shd w:val="clear" w:color="auto" w:fill="auto"/>
            <w:vAlign w:val="center"/>
          </w:tcPr>
          <w:p w14:paraId="4D2D1478">
            <w:pPr>
              <w:adjustRightInd/>
              <w:rPr>
                <w:rFonts w:hint="eastAsia" w:ascii="宋体" w:hAnsi="宋体" w:cs="宋体"/>
                <w:sz w:val="24"/>
              </w:rPr>
            </w:pPr>
            <w:r>
              <w:rPr>
                <w:rFonts w:hint="eastAsia" w:ascii="宋体" w:hAnsi="宋体" w:cs="宋体"/>
                <w:sz w:val="24"/>
              </w:rPr>
              <w:t>（2）对维保技术人员的岗前培训及继续教育进行评议（5分）：</w:t>
            </w:r>
          </w:p>
          <w:p w14:paraId="4D2D1479">
            <w:pPr>
              <w:numPr>
                <w:ilvl w:val="0"/>
                <w:numId w:val="2"/>
              </w:numPr>
              <w:adjustRightInd/>
              <w:rPr>
                <w:rFonts w:hint="eastAsia" w:ascii="宋体" w:hAnsi="宋体" w:cs="宋体"/>
                <w:sz w:val="24"/>
              </w:rPr>
            </w:pPr>
            <w:r>
              <w:rPr>
                <w:rFonts w:hint="eastAsia" w:ascii="宋体" w:hAnsi="宋体" w:cs="宋体"/>
                <w:sz w:val="24"/>
              </w:rPr>
              <w:t>技术人员经过全面、规范的岗前培训、并有详细的继续教育计划的得5分；</w:t>
            </w:r>
          </w:p>
          <w:p w14:paraId="4D2D147A">
            <w:pPr>
              <w:numPr>
                <w:ilvl w:val="0"/>
                <w:numId w:val="2"/>
              </w:numPr>
              <w:adjustRightInd/>
              <w:rPr>
                <w:rFonts w:hint="eastAsia" w:ascii="宋体" w:hAnsi="宋体" w:cs="宋体"/>
                <w:sz w:val="24"/>
              </w:rPr>
            </w:pPr>
            <w:r>
              <w:rPr>
                <w:rFonts w:hint="eastAsia" w:ascii="宋体" w:hAnsi="宋体" w:cs="宋体"/>
                <w:sz w:val="24"/>
              </w:rPr>
              <w:t>技术人员经过比较规范的岗前培训和继续教育的得3分；</w:t>
            </w:r>
          </w:p>
          <w:p w14:paraId="4D2D147B">
            <w:pPr>
              <w:numPr>
                <w:ilvl w:val="0"/>
                <w:numId w:val="2"/>
              </w:numPr>
              <w:adjustRightInd/>
              <w:rPr>
                <w:rFonts w:hint="eastAsia" w:ascii="宋体" w:hAnsi="宋体" w:cs="宋体"/>
                <w:sz w:val="24"/>
              </w:rPr>
            </w:pPr>
            <w:r>
              <w:rPr>
                <w:rFonts w:hint="eastAsia" w:ascii="宋体" w:hAnsi="宋体" w:cs="宋体"/>
                <w:sz w:val="24"/>
              </w:rPr>
              <w:t>技术人员经过简单的岗前培训、继续教育计划不足的得1分；</w:t>
            </w:r>
          </w:p>
          <w:p w14:paraId="4D2D147C">
            <w:pPr>
              <w:numPr>
                <w:ilvl w:val="0"/>
                <w:numId w:val="2"/>
              </w:numPr>
              <w:adjustRightInd/>
              <w:rPr>
                <w:rFonts w:hint="eastAsia" w:ascii="宋体" w:hAnsi="宋体" w:cs="宋体"/>
                <w:sz w:val="24"/>
              </w:rPr>
            </w:pPr>
            <w:r>
              <w:rPr>
                <w:rFonts w:hint="eastAsia" w:ascii="宋体" w:hAnsi="宋体" w:cs="宋体"/>
                <w:sz w:val="24"/>
              </w:rPr>
              <w:t>无相关内容不得分。</w:t>
            </w:r>
          </w:p>
        </w:tc>
        <w:tc>
          <w:tcPr>
            <w:tcW w:w="705" w:type="dxa"/>
            <w:shd w:val="clear" w:color="auto" w:fill="auto"/>
            <w:vAlign w:val="center"/>
          </w:tcPr>
          <w:p w14:paraId="4D2D147D">
            <w:pPr>
              <w:autoSpaceDE w:val="0"/>
              <w:autoSpaceDN w:val="0"/>
              <w:jc w:val="center"/>
              <w:rPr>
                <w:rFonts w:hint="eastAsia" w:ascii="宋体" w:hAnsi="宋体" w:cs="宋体"/>
                <w:kern w:val="0"/>
                <w:sz w:val="24"/>
              </w:rPr>
            </w:pPr>
            <w:r>
              <w:rPr>
                <w:rFonts w:hint="eastAsia" w:ascii="宋体" w:hAnsi="宋体" w:cs="宋体"/>
                <w:kern w:val="0"/>
                <w:sz w:val="24"/>
              </w:rPr>
              <w:t>5</w:t>
            </w:r>
          </w:p>
        </w:tc>
        <w:tc>
          <w:tcPr>
            <w:tcW w:w="705" w:type="dxa"/>
            <w:shd w:val="clear" w:color="auto" w:fill="auto"/>
            <w:vAlign w:val="center"/>
          </w:tcPr>
          <w:p w14:paraId="4D2D147E">
            <w:pPr>
              <w:autoSpaceDE w:val="0"/>
              <w:autoSpaceDN w:val="0"/>
              <w:jc w:val="center"/>
              <w:rPr>
                <w:rFonts w:ascii="Calibri" w:hAnsi="Calibri"/>
                <w:sz w:val="24"/>
              </w:rPr>
            </w:pPr>
            <w:r>
              <w:rPr>
                <w:rFonts w:hint="eastAsia" w:ascii="Calibri" w:hAnsi="Calibri"/>
                <w:sz w:val="24"/>
              </w:rPr>
              <w:t>主观评审</w:t>
            </w:r>
          </w:p>
        </w:tc>
      </w:tr>
      <w:tr w14:paraId="4D2D1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8" w:type="dxa"/>
            <w:vMerge w:val="continue"/>
            <w:vAlign w:val="center"/>
          </w:tcPr>
          <w:p w14:paraId="4D2D1480">
            <w:pPr>
              <w:adjustRightInd/>
              <w:rPr>
                <w:rFonts w:ascii="Calibri" w:hAnsi="Calibri"/>
                <w:sz w:val="24"/>
              </w:rPr>
            </w:pPr>
          </w:p>
        </w:tc>
        <w:tc>
          <w:tcPr>
            <w:tcW w:w="1425" w:type="dxa"/>
            <w:vAlign w:val="center"/>
          </w:tcPr>
          <w:p w14:paraId="4D2D1481">
            <w:pPr>
              <w:adjustRightInd/>
              <w:rPr>
                <w:rFonts w:hint="eastAsia" w:ascii="宋体" w:hAnsi="宋体" w:cs="宋体"/>
                <w:sz w:val="24"/>
              </w:rPr>
            </w:pPr>
            <w:r>
              <w:rPr>
                <w:rFonts w:hint="eastAsia" w:ascii="宋体" w:hAnsi="宋体" w:cs="宋体"/>
                <w:sz w:val="24"/>
              </w:rPr>
              <w:t>5、</w:t>
            </w:r>
            <w:r>
              <w:rPr>
                <w:rFonts w:ascii="宋体" w:hAnsi="宋体" w:cs="宋体"/>
                <w:sz w:val="24"/>
              </w:rPr>
              <w:t>维修备品备件方案（5分）</w:t>
            </w:r>
          </w:p>
        </w:tc>
        <w:tc>
          <w:tcPr>
            <w:tcW w:w="5902" w:type="dxa"/>
            <w:vAlign w:val="center"/>
          </w:tcPr>
          <w:p w14:paraId="4D2D1482">
            <w:pPr>
              <w:adjustRightInd/>
              <w:rPr>
                <w:rFonts w:hint="eastAsia" w:ascii="宋体" w:hAnsi="宋体" w:cs="宋体"/>
                <w:sz w:val="24"/>
              </w:rPr>
            </w:pPr>
            <w:r>
              <w:rPr>
                <w:rFonts w:ascii="宋体" w:hAnsi="宋体" w:cs="宋体"/>
                <w:sz w:val="24"/>
              </w:rPr>
              <w:t>根据投标单位的维修备品备件方案（包括仓储设备设施、仓储安全质量措施、重要备品备件的来源）进行评议</w:t>
            </w:r>
            <w:r>
              <w:rPr>
                <w:rFonts w:hint="eastAsia" w:ascii="宋体" w:hAnsi="宋体" w:cs="宋体"/>
                <w:sz w:val="24"/>
              </w:rPr>
              <w:t>：</w:t>
            </w:r>
          </w:p>
          <w:p w14:paraId="4D2D1483">
            <w:pPr>
              <w:numPr>
                <w:ilvl w:val="0"/>
                <w:numId w:val="2"/>
              </w:numPr>
              <w:adjustRightInd/>
              <w:rPr>
                <w:rFonts w:hint="eastAsia" w:ascii="宋体" w:hAnsi="宋体" w:cs="宋体"/>
                <w:sz w:val="24"/>
              </w:rPr>
            </w:pPr>
            <w:r>
              <w:rPr>
                <w:rFonts w:ascii="宋体" w:hAnsi="宋体" w:cs="宋体"/>
                <w:sz w:val="24"/>
              </w:rPr>
              <w:t>维修备品备件方案</w:t>
            </w:r>
            <w:r>
              <w:rPr>
                <w:rFonts w:hint="eastAsia" w:ascii="宋体" w:hAnsi="宋体" w:cs="宋体"/>
                <w:sz w:val="24"/>
              </w:rPr>
              <w:t>制定详细全面，</w:t>
            </w:r>
            <w:r>
              <w:rPr>
                <w:rFonts w:ascii="宋体" w:hAnsi="宋体" w:cs="宋体"/>
                <w:sz w:val="24"/>
              </w:rPr>
              <w:t>仓储设备设施</w:t>
            </w:r>
            <w:r>
              <w:rPr>
                <w:rFonts w:hint="eastAsia" w:ascii="宋体" w:hAnsi="宋体" w:cs="宋体"/>
                <w:sz w:val="24"/>
              </w:rPr>
              <w:t>齐全、</w:t>
            </w:r>
            <w:r>
              <w:rPr>
                <w:rFonts w:ascii="宋体" w:hAnsi="宋体" w:cs="宋体"/>
                <w:sz w:val="24"/>
              </w:rPr>
              <w:t>仓储安全质量措施</w:t>
            </w:r>
            <w:r>
              <w:rPr>
                <w:rFonts w:hint="eastAsia" w:ascii="宋体" w:hAnsi="宋体" w:cs="宋体"/>
                <w:sz w:val="24"/>
              </w:rPr>
              <w:t>具有保障性、</w:t>
            </w:r>
            <w:r>
              <w:rPr>
                <w:rFonts w:ascii="宋体" w:hAnsi="宋体" w:cs="宋体"/>
                <w:sz w:val="24"/>
              </w:rPr>
              <w:t>重要备品备件的来源</w:t>
            </w:r>
            <w:r>
              <w:rPr>
                <w:rFonts w:hint="eastAsia" w:ascii="宋体" w:hAnsi="宋体" w:cs="宋体"/>
                <w:sz w:val="24"/>
              </w:rPr>
              <w:t>稳定的得5分；</w:t>
            </w:r>
          </w:p>
          <w:p w14:paraId="4D2D1484">
            <w:pPr>
              <w:numPr>
                <w:ilvl w:val="0"/>
                <w:numId w:val="2"/>
              </w:numPr>
              <w:adjustRightInd/>
              <w:rPr>
                <w:rFonts w:hint="eastAsia" w:ascii="宋体" w:hAnsi="宋体" w:cs="宋体"/>
                <w:sz w:val="24"/>
              </w:rPr>
            </w:pPr>
            <w:r>
              <w:rPr>
                <w:rFonts w:ascii="宋体" w:hAnsi="宋体" w:cs="宋体"/>
                <w:sz w:val="24"/>
              </w:rPr>
              <w:t>维修备品备件方案</w:t>
            </w:r>
            <w:r>
              <w:rPr>
                <w:rFonts w:hint="eastAsia" w:ascii="宋体" w:hAnsi="宋体" w:cs="宋体"/>
                <w:sz w:val="24"/>
              </w:rPr>
              <w:t>制定较详细较全面，</w:t>
            </w:r>
            <w:r>
              <w:rPr>
                <w:rFonts w:ascii="宋体" w:hAnsi="宋体" w:cs="宋体"/>
                <w:sz w:val="24"/>
              </w:rPr>
              <w:t>仓储设备设施</w:t>
            </w:r>
            <w:r>
              <w:rPr>
                <w:rFonts w:hint="eastAsia" w:ascii="宋体" w:hAnsi="宋体" w:cs="宋体"/>
                <w:sz w:val="24"/>
              </w:rPr>
              <w:t>较齐全、</w:t>
            </w:r>
            <w:r>
              <w:rPr>
                <w:rFonts w:ascii="宋体" w:hAnsi="宋体" w:cs="宋体"/>
                <w:sz w:val="24"/>
              </w:rPr>
              <w:t>仓储安全质量措施</w:t>
            </w:r>
            <w:r>
              <w:rPr>
                <w:rFonts w:hint="eastAsia" w:ascii="宋体" w:hAnsi="宋体" w:cs="宋体"/>
                <w:sz w:val="24"/>
              </w:rPr>
              <w:t>较具有保障性、</w:t>
            </w:r>
            <w:r>
              <w:rPr>
                <w:rFonts w:ascii="宋体" w:hAnsi="宋体" w:cs="宋体"/>
                <w:sz w:val="24"/>
              </w:rPr>
              <w:t>重要备品备件的来源</w:t>
            </w:r>
            <w:r>
              <w:rPr>
                <w:rFonts w:hint="eastAsia" w:ascii="宋体" w:hAnsi="宋体" w:cs="宋体"/>
                <w:sz w:val="24"/>
              </w:rPr>
              <w:t>较稳定的得3分；</w:t>
            </w:r>
          </w:p>
          <w:p w14:paraId="4D2D1485">
            <w:pPr>
              <w:numPr>
                <w:ilvl w:val="0"/>
                <w:numId w:val="2"/>
              </w:numPr>
              <w:adjustRightInd/>
              <w:rPr>
                <w:rFonts w:hint="eastAsia" w:ascii="宋体" w:hAnsi="宋体" w:cs="宋体"/>
                <w:sz w:val="24"/>
              </w:rPr>
            </w:pPr>
            <w:r>
              <w:rPr>
                <w:rFonts w:ascii="宋体" w:hAnsi="宋体" w:cs="宋体"/>
                <w:sz w:val="24"/>
              </w:rPr>
              <w:t>维修备品备件方案</w:t>
            </w:r>
            <w:r>
              <w:rPr>
                <w:rFonts w:hint="eastAsia" w:ascii="宋体" w:hAnsi="宋体" w:cs="宋体"/>
                <w:sz w:val="24"/>
              </w:rPr>
              <w:t>制定欠详细欠全面，</w:t>
            </w:r>
            <w:r>
              <w:rPr>
                <w:rFonts w:ascii="宋体" w:hAnsi="宋体" w:cs="宋体"/>
                <w:sz w:val="24"/>
              </w:rPr>
              <w:t>仓储设备设施</w:t>
            </w:r>
            <w:r>
              <w:rPr>
                <w:rFonts w:hint="eastAsia" w:ascii="宋体" w:hAnsi="宋体" w:cs="宋体"/>
                <w:sz w:val="24"/>
              </w:rPr>
              <w:t>欠齐全、</w:t>
            </w:r>
            <w:r>
              <w:rPr>
                <w:rFonts w:ascii="宋体" w:hAnsi="宋体" w:cs="宋体"/>
                <w:sz w:val="24"/>
              </w:rPr>
              <w:t>仓储安全质量措施</w:t>
            </w:r>
            <w:r>
              <w:rPr>
                <w:rFonts w:hint="eastAsia" w:ascii="宋体" w:hAnsi="宋体" w:cs="宋体"/>
                <w:sz w:val="24"/>
              </w:rPr>
              <w:t>欠具有保障性、</w:t>
            </w:r>
            <w:r>
              <w:rPr>
                <w:rFonts w:ascii="宋体" w:hAnsi="宋体" w:cs="宋体"/>
                <w:sz w:val="24"/>
              </w:rPr>
              <w:t>重要备品备件的来源</w:t>
            </w:r>
            <w:r>
              <w:rPr>
                <w:rFonts w:hint="eastAsia" w:ascii="宋体" w:hAnsi="宋体" w:cs="宋体"/>
                <w:sz w:val="24"/>
              </w:rPr>
              <w:t>欠稳定的得1分；</w:t>
            </w:r>
          </w:p>
          <w:p w14:paraId="4D2D1486">
            <w:pPr>
              <w:numPr>
                <w:ilvl w:val="0"/>
                <w:numId w:val="2"/>
              </w:numPr>
              <w:adjustRightInd/>
              <w:rPr>
                <w:rFonts w:hint="eastAsia" w:ascii="宋体" w:hAnsi="宋体" w:cs="宋体"/>
                <w:sz w:val="24"/>
              </w:rPr>
            </w:pPr>
            <w:r>
              <w:rPr>
                <w:rFonts w:hint="eastAsia" w:ascii="宋体" w:hAnsi="宋体" w:cs="宋体"/>
                <w:sz w:val="24"/>
              </w:rPr>
              <w:t>无相关内容不得分。</w:t>
            </w:r>
          </w:p>
        </w:tc>
        <w:tc>
          <w:tcPr>
            <w:tcW w:w="705" w:type="dxa"/>
            <w:vAlign w:val="center"/>
          </w:tcPr>
          <w:p w14:paraId="4D2D1487">
            <w:pPr>
              <w:autoSpaceDE w:val="0"/>
              <w:autoSpaceDN w:val="0"/>
              <w:jc w:val="center"/>
              <w:rPr>
                <w:rFonts w:hint="eastAsia" w:ascii="宋体" w:hAnsi="宋体" w:cs="宋体"/>
                <w:kern w:val="0"/>
                <w:sz w:val="24"/>
              </w:rPr>
            </w:pPr>
            <w:r>
              <w:rPr>
                <w:rFonts w:hint="eastAsia" w:ascii="宋体" w:hAnsi="宋体" w:cs="宋体"/>
                <w:kern w:val="0"/>
                <w:sz w:val="24"/>
              </w:rPr>
              <w:t>5</w:t>
            </w:r>
          </w:p>
        </w:tc>
        <w:tc>
          <w:tcPr>
            <w:tcW w:w="705" w:type="dxa"/>
            <w:vAlign w:val="center"/>
          </w:tcPr>
          <w:p w14:paraId="4D2D1488">
            <w:pPr>
              <w:autoSpaceDE w:val="0"/>
              <w:autoSpaceDN w:val="0"/>
              <w:jc w:val="center"/>
              <w:rPr>
                <w:rFonts w:ascii="Calibri" w:hAnsi="Calibri"/>
                <w:sz w:val="24"/>
              </w:rPr>
            </w:pPr>
            <w:r>
              <w:rPr>
                <w:rFonts w:hint="eastAsia" w:ascii="Calibri" w:hAnsi="Calibri"/>
                <w:sz w:val="24"/>
              </w:rPr>
              <w:t>主观评审</w:t>
            </w:r>
          </w:p>
        </w:tc>
      </w:tr>
      <w:tr w14:paraId="4D2D1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8" w:type="dxa"/>
            <w:vMerge w:val="continue"/>
            <w:vAlign w:val="center"/>
          </w:tcPr>
          <w:p w14:paraId="4D2D148A">
            <w:pPr>
              <w:adjustRightInd/>
              <w:rPr>
                <w:rFonts w:ascii="Calibri" w:hAnsi="Calibri"/>
                <w:sz w:val="24"/>
              </w:rPr>
            </w:pPr>
          </w:p>
        </w:tc>
        <w:tc>
          <w:tcPr>
            <w:tcW w:w="1425" w:type="dxa"/>
            <w:vAlign w:val="center"/>
          </w:tcPr>
          <w:p w14:paraId="4D2D148B">
            <w:pPr>
              <w:adjustRightInd/>
              <w:rPr>
                <w:rFonts w:hint="eastAsia" w:ascii="宋体" w:hAnsi="宋体" w:cs="宋体"/>
                <w:sz w:val="24"/>
              </w:rPr>
            </w:pPr>
            <w:r>
              <w:rPr>
                <w:rFonts w:hint="eastAsia" w:ascii="宋体" w:hAnsi="宋体" w:cs="宋体"/>
                <w:sz w:val="24"/>
              </w:rPr>
              <w:t>6、专业维修工具配备方案（</w:t>
            </w:r>
            <w:r>
              <w:rPr>
                <w:rFonts w:hint="eastAsia" w:ascii="宋体" w:hAnsi="宋体" w:cs="宋体"/>
                <w:sz w:val="24"/>
                <w:lang w:val="en-US" w:eastAsia="zh-CN"/>
              </w:rPr>
              <w:t>4</w:t>
            </w:r>
            <w:r>
              <w:rPr>
                <w:rFonts w:hint="eastAsia" w:ascii="宋体" w:hAnsi="宋体" w:cs="宋体"/>
                <w:sz w:val="24"/>
              </w:rPr>
              <w:t>分）</w:t>
            </w:r>
          </w:p>
        </w:tc>
        <w:tc>
          <w:tcPr>
            <w:tcW w:w="5902" w:type="dxa"/>
            <w:vAlign w:val="center"/>
          </w:tcPr>
          <w:p w14:paraId="4D2D148C">
            <w:pPr>
              <w:adjustRightInd/>
              <w:rPr>
                <w:rFonts w:hint="eastAsia" w:ascii="宋体" w:hAnsi="宋体" w:cs="宋体"/>
                <w:sz w:val="24"/>
              </w:rPr>
            </w:pPr>
            <w:r>
              <w:rPr>
                <w:rFonts w:ascii="宋体" w:hAnsi="宋体" w:cs="宋体"/>
                <w:sz w:val="24"/>
              </w:rPr>
              <w:t>根据投标单位的专业维修工具配备方案（包括专业维修工具的种类、专业维修工具的数量、专业维修工具的状况）进行评议</w:t>
            </w:r>
            <w:r>
              <w:rPr>
                <w:rFonts w:hint="eastAsia" w:ascii="宋体" w:hAnsi="宋体" w:cs="宋体"/>
                <w:sz w:val="24"/>
              </w:rPr>
              <w:t>：</w:t>
            </w:r>
          </w:p>
          <w:p w14:paraId="4D2D148D">
            <w:pPr>
              <w:numPr>
                <w:ilvl w:val="0"/>
                <w:numId w:val="2"/>
              </w:numPr>
              <w:adjustRightInd/>
              <w:rPr>
                <w:rFonts w:hint="eastAsia" w:ascii="宋体" w:hAnsi="宋体" w:cs="宋体"/>
                <w:sz w:val="24"/>
              </w:rPr>
            </w:pPr>
            <w:r>
              <w:rPr>
                <w:rFonts w:ascii="宋体" w:hAnsi="宋体" w:cs="宋体"/>
                <w:sz w:val="24"/>
              </w:rPr>
              <w:t>专业维修工具配备方案</w:t>
            </w:r>
            <w:r>
              <w:rPr>
                <w:rFonts w:hint="eastAsia" w:ascii="宋体" w:hAnsi="宋体" w:cs="宋体"/>
                <w:sz w:val="24"/>
              </w:rPr>
              <w:t>制定详细全面，</w:t>
            </w:r>
            <w:r>
              <w:rPr>
                <w:rFonts w:ascii="宋体" w:hAnsi="宋体" w:cs="宋体"/>
                <w:sz w:val="24"/>
              </w:rPr>
              <w:t>专业维修工具的种类</w:t>
            </w:r>
            <w:r>
              <w:rPr>
                <w:rFonts w:hint="eastAsia" w:ascii="宋体" w:hAnsi="宋体" w:cs="宋体"/>
                <w:sz w:val="24"/>
              </w:rPr>
              <w:t>齐全、</w:t>
            </w:r>
            <w:r>
              <w:rPr>
                <w:rFonts w:ascii="宋体" w:hAnsi="宋体" w:cs="宋体"/>
                <w:sz w:val="24"/>
              </w:rPr>
              <w:t>专业维修工具的数量</w:t>
            </w:r>
            <w:r>
              <w:rPr>
                <w:rFonts w:hint="eastAsia" w:ascii="宋体" w:hAnsi="宋体" w:cs="宋体"/>
                <w:sz w:val="24"/>
              </w:rPr>
              <w:t>多样、</w:t>
            </w:r>
            <w:r>
              <w:rPr>
                <w:rFonts w:ascii="宋体" w:hAnsi="宋体" w:cs="宋体"/>
                <w:sz w:val="24"/>
              </w:rPr>
              <w:t>专业维修工具的状况</w:t>
            </w:r>
            <w:r>
              <w:rPr>
                <w:rFonts w:hint="eastAsia" w:ascii="宋体" w:hAnsi="宋体" w:cs="宋体"/>
                <w:sz w:val="24"/>
              </w:rPr>
              <w:t>优异的得</w:t>
            </w:r>
            <w:r>
              <w:rPr>
                <w:rFonts w:hint="eastAsia" w:ascii="宋体" w:hAnsi="宋体" w:cs="宋体"/>
                <w:sz w:val="24"/>
                <w:lang w:val="en-US" w:eastAsia="zh-CN"/>
              </w:rPr>
              <w:t>4</w:t>
            </w:r>
            <w:r>
              <w:rPr>
                <w:rFonts w:hint="eastAsia" w:ascii="宋体" w:hAnsi="宋体" w:cs="宋体"/>
                <w:sz w:val="24"/>
              </w:rPr>
              <w:t>分；</w:t>
            </w:r>
          </w:p>
          <w:p w14:paraId="4D2D148E">
            <w:pPr>
              <w:numPr>
                <w:ilvl w:val="0"/>
                <w:numId w:val="2"/>
              </w:numPr>
              <w:adjustRightInd/>
              <w:rPr>
                <w:rFonts w:hint="eastAsia" w:ascii="宋体" w:hAnsi="宋体" w:cs="宋体"/>
                <w:sz w:val="24"/>
              </w:rPr>
            </w:pPr>
            <w:r>
              <w:rPr>
                <w:rFonts w:ascii="宋体" w:hAnsi="宋体" w:cs="宋体"/>
                <w:sz w:val="24"/>
              </w:rPr>
              <w:t>专业维修工具配备方案</w:t>
            </w:r>
            <w:r>
              <w:rPr>
                <w:rFonts w:hint="eastAsia" w:ascii="宋体" w:hAnsi="宋体" w:cs="宋体"/>
                <w:sz w:val="24"/>
              </w:rPr>
              <w:t>制定较详细较全面，</w:t>
            </w:r>
            <w:r>
              <w:rPr>
                <w:rFonts w:ascii="宋体" w:hAnsi="宋体" w:cs="宋体"/>
                <w:sz w:val="24"/>
              </w:rPr>
              <w:t>专业维修工具的种类</w:t>
            </w:r>
            <w:r>
              <w:rPr>
                <w:rFonts w:hint="eastAsia" w:ascii="宋体" w:hAnsi="宋体" w:cs="宋体"/>
                <w:sz w:val="24"/>
              </w:rPr>
              <w:t>较齐全、</w:t>
            </w:r>
            <w:r>
              <w:rPr>
                <w:rFonts w:ascii="宋体" w:hAnsi="宋体" w:cs="宋体"/>
                <w:sz w:val="24"/>
              </w:rPr>
              <w:t>专业维修工具的数量</w:t>
            </w:r>
            <w:r>
              <w:rPr>
                <w:rFonts w:hint="eastAsia" w:ascii="宋体" w:hAnsi="宋体" w:cs="宋体"/>
                <w:sz w:val="24"/>
              </w:rPr>
              <w:t>较多样、</w:t>
            </w:r>
            <w:r>
              <w:rPr>
                <w:rFonts w:ascii="宋体" w:hAnsi="宋体" w:cs="宋体"/>
                <w:sz w:val="24"/>
              </w:rPr>
              <w:t>专业维修工具的状况</w:t>
            </w:r>
            <w:r>
              <w:rPr>
                <w:rFonts w:hint="eastAsia" w:ascii="宋体" w:hAnsi="宋体" w:cs="宋体"/>
                <w:sz w:val="24"/>
              </w:rPr>
              <w:t>较优异的得</w:t>
            </w:r>
            <w:r>
              <w:rPr>
                <w:rFonts w:hint="eastAsia" w:ascii="宋体" w:hAnsi="宋体" w:cs="宋体"/>
                <w:sz w:val="24"/>
                <w:lang w:val="en-US" w:eastAsia="zh-CN"/>
              </w:rPr>
              <w:t>2.5</w:t>
            </w:r>
            <w:r>
              <w:rPr>
                <w:rFonts w:hint="eastAsia" w:ascii="宋体" w:hAnsi="宋体" w:cs="宋体"/>
                <w:sz w:val="24"/>
              </w:rPr>
              <w:t>分；</w:t>
            </w:r>
          </w:p>
          <w:p w14:paraId="4D2D148F">
            <w:pPr>
              <w:numPr>
                <w:ilvl w:val="0"/>
                <w:numId w:val="2"/>
              </w:numPr>
              <w:adjustRightInd/>
              <w:rPr>
                <w:rFonts w:hint="eastAsia" w:ascii="宋体" w:hAnsi="宋体" w:cs="宋体"/>
                <w:sz w:val="24"/>
              </w:rPr>
            </w:pPr>
            <w:r>
              <w:rPr>
                <w:rFonts w:ascii="宋体" w:hAnsi="宋体" w:cs="宋体"/>
                <w:sz w:val="24"/>
              </w:rPr>
              <w:t>专业维修工具配备方案</w:t>
            </w:r>
            <w:r>
              <w:rPr>
                <w:rFonts w:hint="eastAsia" w:ascii="宋体" w:hAnsi="宋体" w:cs="宋体"/>
                <w:sz w:val="24"/>
              </w:rPr>
              <w:t>制定欠详细欠全面，</w:t>
            </w:r>
            <w:r>
              <w:rPr>
                <w:rFonts w:ascii="宋体" w:hAnsi="宋体" w:cs="宋体"/>
                <w:sz w:val="24"/>
              </w:rPr>
              <w:t>专业维修工具的种类</w:t>
            </w:r>
            <w:r>
              <w:rPr>
                <w:rFonts w:hint="eastAsia" w:ascii="宋体" w:hAnsi="宋体" w:cs="宋体"/>
                <w:sz w:val="24"/>
              </w:rPr>
              <w:t>欠齐全、</w:t>
            </w:r>
            <w:r>
              <w:rPr>
                <w:rFonts w:ascii="宋体" w:hAnsi="宋体" w:cs="宋体"/>
                <w:sz w:val="24"/>
              </w:rPr>
              <w:t>专业维修工具的数量</w:t>
            </w:r>
            <w:r>
              <w:rPr>
                <w:rFonts w:hint="eastAsia" w:ascii="宋体" w:hAnsi="宋体" w:cs="宋体"/>
                <w:sz w:val="24"/>
              </w:rPr>
              <w:t>欠多样、</w:t>
            </w:r>
            <w:r>
              <w:rPr>
                <w:rFonts w:ascii="宋体" w:hAnsi="宋体" w:cs="宋体"/>
                <w:sz w:val="24"/>
              </w:rPr>
              <w:t>专业维修工具的状况</w:t>
            </w:r>
            <w:r>
              <w:rPr>
                <w:rFonts w:hint="eastAsia" w:ascii="宋体" w:hAnsi="宋体" w:cs="宋体"/>
                <w:sz w:val="24"/>
              </w:rPr>
              <w:t>欠优异的得1分；</w:t>
            </w:r>
          </w:p>
          <w:p w14:paraId="4D2D1490">
            <w:pPr>
              <w:numPr>
                <w:ilvl w:val="0"/>
                <w:numId w:val="2"/>
              </w:numPr>
              <w:adjustRightInd/>
              <w:rPr>
                <w:rFonts w:hint="eastAsia" w:ascii="宋体" w:hAnsi="宋体" w:cs="宋体"/>
                <w:sz w:val="24"/>
              </w:rPr>
            </w:pPr>
            <w:r>
              <w:rPr>
                <w:rFonts w:hint="eastAsia" w:ascii="宋体" w:hAnsi="宋体" w:cs="宋体"/>
                <w:sz w:val="24"/>
              </w:rPr>
              <w:t>无相关内容不得分。</w:t>
            </w:r>
          </w:p>
        </w:tc>
        <w:tc>
          <w:tcPr>
            <w:tcW w:w="705" w:type="dxa"/>
            <w:vAlign w:val="center"/>
          </w:tcPr>
          <w:p w14:paraId="4D2D1491">
            <w:pPr>
              <w:autoSpaceDE w:val="0"/>
              <w:autoSpaceDN w:val="0"/>
              <w:jc w:val="center"/>
              <w:rPr>
                <w:rFonts w:hint="default" w:ascii="宋体" w:hAnsi="宋体" w:cs="宋体"/>
                <w:kern w:val="0"/>
                <w:sz w:val="24"/>
                <w:lang w:val="en-US"/>
              </w:rPr>
            </w:pPr>
            <w:r>
              <w:rPr>
                <w:rFonts w:hint="eastAsia" w:ascii="宋体" w:hAnsi="宋体" w:cs="宋体"/>
                <w:kern w:val="0"/>
                <w:sz w:val="24"/>
                <w:lang w:val="en-US" w:eastAsia="zh-CN"/>
              </w:rPr>
              <w:t>4</w:t>
            </w:r>
          </w:p>
        </w:tc>
        <w:tc>
          <w:tcPr>
            <w:tcW w:w="705" w:type="dxa"/>
            <w:vAlign w:val="center"/>
          </w:tcPr>
          <w:p w14:paraId="4D2D1492">
            <w:pPr>
              <w:autoSpaceDE w:val="0"/>
              <w:autoSpaceDN w:val="0"/>
              <w:jc w:val="center"/>
              <w:rPr>
                <w:rFonts w:ascii="Calibri" w:hAnsi="Calibri"/>
                <w:sz w:val="24"/>
              </w:rPr>
            </w:pPr>
            <w:r>
              <w:rPr>
                <w:rFonts w:hint="eastAsia" w:ascii="Calibri" w:hAnsi="Calibri"/>
                <w:sz w:val="24"/>
              </w:rPr>
              <w:t>主观评审</w:t>
            </w:r>
          </w:p>
        </w:tc>
      </w:tr>
      <w:tr w14:paraId="4D2D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8" w:type="dxa"/>
            <w:vMerge w:val="continue"/>
            <w:vAlign w:val="center"/>
          </w:tcPr>
          <w:p w14:paraId="4D2D1494">
            <w:pPr>
              <w:adjustRightInd/>
              <w:rPr>
                <w:rFonts w:ascii="Calibri" w:hAnsi="Calibri"/>
                <w:sz w:val="24"/>
              </w:rPr>
            </w:pPr>
          </w:p>
        </w:tc>
        <w:tc>
          <w:tcPr>
            <w:tcW w:w="1425" w:type="dxa"/>
            <w:vMerge w:val="restart"/>
            <w:vAlign w:val="center"/>
          </w:tcPr>
          <w:p w14:paraId="4D2D1495">
            <w:pPr>
              <w:jc w:val="left"/>
              <w:rPr>
                <w:szCs w:val="21"/>
              </w:rPr>
            </w:pPr>
            <w:r>
              <w:rPr>
                <w:rFonts w:hint="eastAsia" w:ascii="宋体" w:hAnsi="宋体" w:cs="宋体"/>
                <w:sz w:val="24"/>
              </w:rPr>
              <w:t>7、维保质量保证措施（10分）</w:t>
            </w:r>
          </w:p>
        </w:tc>
        <w:tc>
          <w:tcPr>
            <w:tcW w:w="5902" w:type="dxa"/>
            <w:vAlign w:val="center"/>
          </w:tcPr>
          <w:p w14:paraId="4D2D1496">
            <w:pPr>
              <w:adjustRightInd/>
              <w:rPr>
                <w:rFonts w:hint="eastAsia" w:ascii="宋体" w:hAnsi="宋体" w:cs="宋体"/>
                <w:sz w:val="24"/>
              </w:rPr>
            </w:pPr>
            <w:r>
              <w:rPr>
                <w:rFonts w:hint="eastAsia" w:ascii="宋体" w:hAnsi="宋体" w:cs="宋体"/>
                <w:sz w:val="24"/>
              </w:rPr>
              <w:t>（1）对维保服务质量有具体、合理的分项指标得5分；有分项指标、但不够具体或合理性略有欠缺的得3分；方案不够完整，存在部分缺陷的得1分；无相关内容不得分。</w:t>
            </w:r>
          </w:p>
        </w:tc>
        <w:tc>
          <w:tcPr>
            <w:tcW w:w="705" w:type="dxa"/>
            <w:vAlign w:val="center"/>
          </w:tcPr>
          <w:p w14:paraId="4D2D1497">
            <w:pPr>
              <w:adjustRightInd/>
              <w:jc w:val="center"/>
              <w:rPr>
                <w:rFonts w:hint="eastAsia" w:ascii="宋体" w:hAnsi="宋体" w:cs="宋体"/>
                <w:kern w:val="0"/>
                <w:sz w:val="24"/>
              </w:rPr>
            </w:pPr>
            <w:r>
              <w:rPr>
                <w:rFonts w:hint="eastAsia" w:ascii="宋体" w:hAnsi="宋体" w:cs="宋体"/>
                <w:kern w:val="0"/>
                <w:sz w:val="24"/>
              </w:rPr>
              <w:t>5</w:t>
            </w:r>
          </w:p>
        </w:tc>
        <w:tc>
          <w:tcPr>
            <w:tcW w:w="705" w:type="dxa"/>
            <w:vAlign w:val="center"/>
          </w:tcPr>
          <w:p w14:paraId="4D2D1498">
            <w:pPr>
              <w:adjustRightInd/>
              <w:jc w:val="center"/>
              <w:rPr>
                <w:rFonts w:hint="eastAsia" w:ascii="宋体" w:hAnsi="宋体" w:cs="宋体"/>
                <w:sz w:val="24"/>
              </w:rPr>
            </w:pPr>
            <w:r>
              <w:rPr>
                <w:rFonts w:ascii="宋体" w:hAnsi="宋体" w:cs="宋体"/>
                <w:sz w:val="24"/>
              </w:rPr>
              <w:t>主观评审</w:t>
            </w:r>
          </w:p>
        </w:tc>
      </w:tr>
      <w:tr w14:paraId="4D2D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8" w:type="dxa"/>
            <w:vMerge w:val="continue"/>
            <w:vAlign w:val="center"/>
          </w:tcPr>
          <w:p w14:paraId="4D2D149A">
            <w:pPr>
              <w:adjustRightInd/>
              <w:rPr>
                <w:rFonts w:ascii="Calibri" w:hAnsi="Calibri"/>
                <w:sz w:val="24"/>
              </w:rPr>
            </w:pPr>
          </w:p>
        </w:tc>
        <w:tc>
          <w:tcPr>
            <w:tcW w:w="1425" w:type="dxa"/>
            <w:vMerge w:val="continue"/>
            <w:vAlign w:val="center"/>
          </w:tcPr>
          <w:p w14:paraId="4D2D149B">
            <w:pPr>
              <w:adjustRightInd/>
              <w:rPr>
                <w:rFonts w:hint="eastAsia" w:ascii="宋体" w:hAnsi="宋体" w:cs="宋体"/>
                <w:sz w:val="24"/>
              </w:rPr>
            </w:pPr>
          </w:p>
        </w:tc>
        <w:tc>
          <w:tcPr>
            <w:tcW w:w="5902" w:type="dxa"/>
            <w:vAlign w:val="center"/>
          </w:tcPr>
          <w:p w14:paraId="4D2D149C">
            <w:pPr>
              <w:adjustRightInd/>
              <w:rPr>
                <w:rFonts w:hint="eastAsia" w:ascii="宋体" w:hAnsi="宋体" w:cs="宋体"/>
                <w:sz w:val="24"/>
              </w:rPr>
            </w:pPr>
            <w:r>
              <w:rPr>
                <w:rFonts w:hint="eastAsia" w:ascii="宋体" w:hAnsi="宋体" w:cs="宋体"/>
                <w:sz w:val="24"/>
              </w:rPr>
              <w:t>（2）</w:t>
            </w:r>
            <w:r>
              <w:rPr>
                <w:rFonts w:ascii="宋体" w:hAnsi="宋体" w:cs="宋体"/>
                <w:sz w:val="24"/>
              </w:rPr>
              <w:t>对服务质量达不到要求时有详细、具体、合理的惩罚措施的得</w:t>
            </w:r>
            <w:r>
              <w:rPr>
                <w:rFonts w:hint="eastAsia" w:ascii="宋体" w:hAnsi="宋体" w:cs="宋体"/>
                <w:sz w:val="24"/>
              </w:rPr>
              <w:t>5</w:t>
            </w:r>
            <w:r>
              <w:rPr>
                <w:rFonts w:ascii="宋体" w:hAnsi="宋体" w:cs="宋体"/>
                <w:sz w:val="24"/>
              </w:rPr>
              <w:t>分；有惩罚措施、但不够具体或不够合理的得</w:t>
            </w:r>
            <w:r>
              <w:rPr>
                <w:rFonts w:hint="eastAsia" w:ascii="宋体" w:hAnsi="宋体" w:cs="宋体"/>
                <w:sz w:val="24"/>
              </w:rPr>
              <w:t>3</w:t>
            </w:r>
            <w:r>
              <w:rPr>
                <w:rFonts w:ascii="宋体" w:hAnsi="宋体" w:cs="宋体"/>
                <w:sz w:val="24"/>
              </w:rPr>
              <w:t>分；方案不够完整，存在部分缺陷的得</w:t>
            </w:r>
            <w:r>
              <w:rPr>
                <w:rFonts w:hint="eastAsia" w:ascii="宋体" w:hAnsi="宋体" w:cs="宋体"/>
                <w:sz w:val="24"/>
              </w:rPr>
              <w:t>1</w:t>
            </w:r>
            <w:r>
              <w:rPr>
                <w:rFonts w:ascii="宋体" w:hAnsi="宋体" w:cs="宋体"/>
                <w:sz w:val="24"/>
              </w:rPr>
              <w:t>分</w:t>
            </w:r>
            <w:r>
              <w:rPr>
                <w:rFonts w:hint="eastAsia" w:ascii="宋体" w:hAnsi="宋体" w:cs="宋体"/>
                <w:sz w:val="24"/>
              </w:rPr>
              <w:t>；无相关内容不得分。</w:t>
            </w:r>
          </w:p>
        </w:tc>
        <w:tc>
          <w:tcPr>
            <w:tcW w:w="705" w:type="dxa"/>
            <w:vAlign w:val="center"/>
          </w:tcPr>
          <w:p w14:paraId="4D2D149D">
            <w:pPr>
              <w:adjustRightInd/>
              <w:jc w:val="center"/>
              <w:rPr>
                <w:rFonts w:hint="eastAsia" w:ascii="宋体" w:hAnsi="宋体" w:cs="宋体"/>
                <w:kern w:val="0"/>
                <w:sz w:val="24"/>
              </w:rPr>
            </w:pPr>
            <w:r>
              <w:rPr>
                <w:rFonts w:hint="eastAsia" w:ascii="宋体" w:hAnsi="宋体" w:cs="宋体"/>
                <w:kern w:val="0"/>
                <w:sz w:val="24"/>
              </w:rPr>
              <w:t>5</w:t>
            </w:r>
          </w:p>
        </w:tc>
        <w:tc>
          <w:tcPr>
            <w:tcW w:w="705" w:type="dxa"/>
            <w:vAlign w:val="center"/>
          </w:tcPr>
          <w:p w14:paraId="4D2D149E">
            <w:pPr>
              <w:adjustRightInd/>
              <w:jc w:val="center"/>
              <w:rPr>
                <w:rFonts w:hint="eastAsia" w:ascii="宋体" w:hAnsi="宋体" w:cs="宋体"/>
                <w:sz w:val="24"/>
              </w:rPr>
            </w:pPr>
            <w:r>
              <w:rPr>
                <w:rFonts w:ascii="宋体" w:hAnsi="宋体" w:cs="宋体"/>
                <w:sz w:val="24"/>
              </w:rPr>
              <w:t>主观评审</w:t>
            </w:r>
          </w:p>
        </w:tc>
      </w:tr>
      <w:tr w14:paraId="4D2D1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8" w:type="dxa"/>
            <w:vMerge w:val="continue"/>
            <w:vAlign w:val="center"/>
          </w:tcPr>
          <w:p w14:paraId="4D2D14A0">
            <w:pPr>
              <w:adjustRightInd/>
              <w:rPr>
                <w:rFonts w:ascii="Calibri" w:hAnsi="Calibri"/>
                <w:sz w:val="24"/>
              </w:rPr>
            </w:pPr>
          </w:p>
        </w:tc>
        <w:tc>
          <w:tcPr>
            <w:tcW w:w="1425" w:type="dxa"/>
            <w:vAlign w:val="center"/>
          </w:tcPr>
          <w:p w14:paraId="4D2D14A1">
            <w:pPr>
              <w:adjustRightInd/>
              <w:rPr>
                <w:rFonts w:hint="eastAsia" w:ascii="宋体" w:hAnsi="宋体" w:cs="宋体"/>
                <w:sz w:val="24"/>
              </w:rPr>
            </w:pPr>
            <w:r>
              <w:rPr>
                <w:rFonts w:hint="eastAsia" w:ascii="宋体" w:hAnsi="宋体" w:cs="宋体"/>
                <w:sz w:val="24"/>
              </w:rPr>
              <w:t>8、</w:t>
            </w:r>
            <w:r>
              <w:rPr>
                <w:rFonts w:ascii="宋体" w:hAnsi="宋体" w:cs="宋体"/>
                <w:sz w:val="24"/>
              </w:rPr>
              <w:t>业绩（</w:t>
            </w:r>
            <w:r>
              <w:rPr>
                <w:rFonts w:hint="eastAsia" w:ascii="宋体" w:hAnsi="宋体" w:cs="宋体"/>
                <w:sz w:val="24"/>
              </w:rPr>
              <w:t>1</w:t>
            </w:r>
            <w:r>
              <w:rPr>
                <w:rFonts w:ascii="宋体" w:hAnsi="宋体" w:cs="宋体"/>
                <w:sz w:val="24"/>
              </w:rPr>
              <w:t>分）</w:t>
            </w:r>
          </w:p>
        </w:tc>
        <w:tc>
          <w:tcPr>
            <w:tcW w:w="5902" w:type="dxa"/>
            <w:vAlign w:val="center"/>
          </w:tcPr>
          <w:p w14:paraId="4D2D14A2">
            <w:pPr>
              <w:widowControl/>
              <w:adjustRightInd/>
              <w:jc w:val="left"/>
              <w:rPr>
                <w:rFonts w:hint="eastAsia" w:ascii="宋体" w:hAnsi="宋体" w:cs="宋体"/>
                <w:kern w:val="0"/>
                <w:sz w:val="24"/>
              </w:rPr>
            </w:pPr>
            <w:r>
              <w:rPr>
                <w:rFonts w:hint="eastAsia" w:ascii="宋体" w:hAnsi="宋体" w:cs="宋体"/>
                <w:kern w:val="0"/>
                <w:sz w:val="24"/>
              </w:rPr>
              <w:t>投标单位自2022年1月1日至今（以合同签订日期为准），每具有一个同类保修业绩的得0.5分，最高得1分。</w:t>
            </w:r>
          </w:p>
          <w:p w14:paraId="4D2D14A3">
            <w:pPr>
              <w:widowControl/>
              <w:adjustRightInd/>
              <w:jc w:val="left"/>
              <w:rPr>
                <w:rFonts w:hint="eastAsia" w:ascii="宋体" w:hAnsi="宋体" w:cs="宋体"/>
                <w:sz w:val="24"/>
              </w:rPr>
            </w:pPr>
            <w:r>
              <w:rPr>
                <w:rFonts w:hint="eastAsia" w:ascii="宋体" w:hAnsi="宋体" w:cs="宋体"/>
                <w:kern w:val="0"/>
                <w:sz w:val="24"/>
              </w:rPr>
              <w:t>注：投标文件中须提供合同复印件并加盖公章，未提供不得分。</w:t>
            </w:r>
          </w:p>
        </w:tc>
        <w:tc>
          <w:tcPr>
            <w:tcW w:w="705" w:type="dxa"/>
            <w:vAlign w:val="center"/>
          </w:tcPr>
          <w:p w14:paraId="4D2D14A4">
            <w:pPr>
              <w:adjustRightInd/>
              <w:jc w:val="center"/>
              <w:rPr>
                <w:rFonts w:hint="eastAsia" w:ascii="宋体" w:hAnsi="宋体" w:cs="宋体"/>
                <w:kern w:val="0"/>
                <w:sz w:val="24"/>
              </w:rPr>
            </w:pPr>
            <w:r>
              <w:rPr>
                <w:rFonts w:hint="eastAsia" w:ascii="宋体" w:hAnsi="宋体" w:cs="宋体"/>
                <w:kern w:val="0"/>
                <w:sz w:val="24"/>
              </w:rPr>
              <w:t>1</w:t>
            </w:r>
          </w:p>
        </w:tc>
        <w:tc>
          <w:tcPr>
            <w:tcW w:w="705" w:type="dxa"/>
            <w:vAlign w:val="center"/>
          </w:tcPr>
          <w:p w14:paraId="4D2D14A5">
            <w:pPr>
              <w:adjustRightInd/>
              <w:jc w:val="center"/>
              <w:rPr>
                <w:rFonts w:hint="eastAsia" w:ascii="宋体" w:hAnsi="宋体" w:cs="宋体"/>
                <w:sz w:val="24"/>
              </w:rPr>
            </w:pPr>
            <w:r>
              <w:rPr>
                <w:rFonts w:hint="eastAsia" w:ascii="宋体" w:hAnsi="宋体" w:cs="宋体"/>
                <w:sz w:val="24"/>
              </w:rPr>
              <w:t>客观评审</w:t>
            </w:r>
          </w:p>
        </w:tc>
      </w:tr>
      <w:tr w14:paraId="22264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ins w:id="0" w:author="May" w:date="2025-06-09T11:43:53Z"/>
        </w:trPr>
        <w:tc>
          <w:tcPr>
            <w:tcW w:w="798" w:type="dxa"/>
            <w:vMerge w:val="continue"/>
            <w:vAlign w:val="center"/>
          </w:tcPr>
          <w:p w14:paraId="0E75D6A6">
            <w:pPr>
              <w:adjustRightInd/>
              <w:rPr>
                <w:ins w:id="1" w:author="May" w:date="2025-06-09T11:43:53Z"/>
                <w:rFonts w:ascii="Calibri" w:hAnsi="Calibri"/>
                <w:sz w:val="24"/>
              </w:rPr>
            </w:pPr>
          </w:p>
        </w:tc>
        <w:tc>
          <w:tcPr>
            <w:tcW w:w="1425" w:type="dxa"/>
            <w:vAlign w:val="center"/>
          </w:tcPr>
          <w:p w14:paraId="4465C855">
            <w:pPr>
              <w:adjustRightInd/>
              <w:rPr>
                <w:rFonts w:hint="default" w:ascii="宋体" w:hAnsi="宋体" w:eastAsia="宋体" w:cs="宋体"/>
                <w:sz w:val="24"/>
                <w:lang w:val="en-US" w:eastAsia="zh-CN"/>
              </w:rPr>
            </w:pPr>
            <w:r>
              <w:rPr>
                <w:rFonts w:hint="eastAsia" w:ascii="宋体" w:hAnsi="宋体" w:eastAsia="宋体" w:cs="宋体"/>
                <w:sz w:val="24"/>
                <w:lang w:val="en-US" w:eastAsia="zh-CN"/>
              </w:rPr>
              <w:t>9、体系认证（3分）</w:t>
            </w:r>
          </w:p>
        </w:tc>
        <w:tc>
          <w:tcPr>
            <w:tcW w:w="5902" w:type="dxa"/>
            <w:vAlign w:val="center"/>
          </w:tcPr>
          <w:p w14:paraId="107712E3">
            <w:pPr>
              <w:adjustRightInd/>
              <w:rPr>
                <w:rFonts w:hint="eastAsia" w:ascii="宋体" w:hAnsi="宋体" w:eastAsia="宋体" w:cs="宋体"/>
                <w:sz w:val="24"/>
                <w:lang w:val="en-US" w:eastAsia="zh-CN"/>
              </w:rPr>
            </w:pPr>
            <w:r>
              <w:rPr>
                <w:rFonts w:hint="eastAsia" w:ascii="宋体" w:hAnsi="宋体" w:eastAsia="宋体" w:cs="宋体"/>
                <w:sz w:val="24"/>
                <w:lang w:val="en-US" w:eastAsia="zh-CN"/>
              </w:rPr>
              <w:t>投标单位或产品制造商</w:t>
            </w:r>
            <w:r>
              <w:rPr>
                <w:rFonts w:hint="eastAsia" w:ascii="宋体" w:hAnsi="宋体" w:eastAsia="宋体" w:cs="宋体"/>
                <w:sz w:val="24"/>
              </w:rPr>
              <w:t>具有</w:t>
            </w:r>
            <w:r>
              <w:rPr>
                <w:rFonts w:hint="eastAsia" w:ascii="宋体" w:hAnsi="宋体" w:eastAsia="宋体" w:cs="宋体"/>
                <w:sz w:val="24"/>
                <w:lang w:val="en-US" w:eastAsia="zh-CN"/>
              </w:rPr>
              <w:t>有效期内</w:t>
            </w:r>
            <w:r>
              <w:rPr>
                <w:rFonts w:hint="eastAsia" w:ascii="宋体" w:hAnsi="宋体" w:eastAsia="宋体" w:cs="宋体"/>
                <w:sz w:val="24"/>
              </w:rPr>
              <w:t>ISO9001质量管理体系认证证书、ISO13485医疗器械质量管理体系认证证书、ISO27001信息安全管理体系认证证书</w:t>
            </w:r>
            <w:r>
              <w:rPr>
                <w:rFonts w:hint="eastAsia" w:ascii="宋体" w:hAnsi="宋体" w:eastAsia="宋体" w:cs="宋体"/>
                <w:sz w:val="24"/>
                <w:lang w:eastAsia="zh-CN"/>
              </w:rPr>
              <w:t>的，</w:t>
            </w:r>
            <w:r>
              <w:rPr>
                <w:rFonts w:hint="eastAsia" w:ascii="宋体" w:hAnsi="宋体" w:eastAsia="宋体" w:cs="宋体"/>
                <w:sz w:val="24"/>
                <w:lang w:val="en-US" w:eastAsia="zh-CN"/>
              </w:rPr>
              <w:t>每提供一类的1分，最高得3分。</w:t>
            </w:r>
          </w:p>
          <w:p w14:paraId="5B772089">
            <w:pPr>
              <w:adjustRightInd/>
              <w:rPr>
                <w:rFonts w:hint="default" w:ascii="宋体" w:hAnsi="宋体" w:eastAsia="宋体" w:cs="宋体"/>
                <w:sz w:val="24"/>
                <w:lang w:val="en-US" w:eastAsia="zh-CN"/>
              </w:rPr>
            </w:pPr>
            <w:r>
              <w:rPr>
                <w:rFonts w:hint="eastAsia" w:ascii="宋体" w:hAnsi="宋体" w:eastAsia="宋体" w:cs="宋体"/>
                <w:sz w:val="24"/>
                <w:lang w:val="en-US" w:eastAsia="zh-CN"/>
              </w:rPr>
              <w:t>注：投标文件中须提供证书复印件，未提供不得分。</w:t>
            </w:r>
          </w:p>
        </w:tc>
        <w:tc>
          <w:tcPr>
            <w:tcW w:w="705" w:type="dxa"/>
            <w:vAlign w:val="center"/>
          </w:tcPr>
          <w:p w14:paraId="6A48772F">
            <w:pPr>
              <w:adjustRightInd/>
              <w:jc w:val="center"/>
              <w:rPr>
                <w:rFonts w:hint="eastAsia" w:ascii="宋体" w:hAnsi="宋体" w:eastAsia="宋体" w:cs="宋体"/>
                <w:sz w:val="24"/>
                <w:lang w:val="en-US" w:eastAsia="zh-CN"/>
              </w:rPr>
            </w:pPr>
            <w:r>
              <w:rPr>
                <w:rFonts w:hint="eastAsia" w:ascii="宋体" w:hAnsi="宋体" w:eastAsia="宋体" w:cs="宋体"/>
                <w:sz w:val="24"/>
                <w:lang w:val="en-US" w:eastAsia="zh-CN"/>
              </w:rPr>
              <w:t>3</w:t>
            </w:r>
          </w:p>
        </w:tc>
        <w:tc>
          <w:tcPr>
            <w:tcW w:w="705" w:type="dxa"/>
            <w:vAlign w:val="center"/>
          </w:tcPr>
          <w:p w14:paraId="5A8AF6A5">
            <w:pPr>
              <w:adjustRightInd/>
              <w:jc w:val="center"/>
              <w:rPr>
                <w:rFonts w:hint="eastAsia" w:ascii="宋体" w:hAnsi="宋体" w:eastAsia="宋体" w:cs="宋体"/>
                <w:sz w:val="24"/>
              </w:rPr>
            </w:pPr>
            <w:r>
              <w:rPr>
                <w:rFonts w:hint="eastAsia" w:ascii="宋体" w:hAnsi="宋体" w:eastAsia="宋体" w:cs="宋体"/>
                <w:sz w:val="24"/>
              </w:rPr>
              <w:t>客观评审</w:t>
            </w:r>
          </w:p>
        </w:tc>
      </w:tr>
    </w:tbl>
    <w:p w14:paraId="4D2D14A7">
      <w:pPr>
        <w:snapToGrid w:val="0"/>
        <w:spacing w:line="360" w:lineRule="auto"/>
        <w:rPr>
          <w:rFonts w:hint="eastAsia" w:ascii="宋体" w:hAnsi="宋体" w:cs="宋体"/>
          <w:sz w:val="20"/>
          <w:szCs w:val="20"/>
          <w:shd w:val="clear" w:color="auto" w:fill="FFFFFF"/>
        </w:rPr>
      </w:pPr>
      <w:r>
        <w:rPr>
          <w:rFonts w:hint="eastAsia" w:ascii="宋体" w:hAnsi="宋体" w:cs="宋体"/>
          <w:bCs/>
          <w:sz w:val="24"/>
        </w:rPr>
        <w:t>备注：1、投标人编制投标文件（商务技术文件部分）时，建议按此目录（序号和内容）提供评标标准相应的商务技术资料。2、小数点后保留二位数。3、各评标委员会成员自行按以上参考分值评分。4、重大事件由评标委员会集体讨论，应当按照少数服从多数的原则作出结论。</w:t>
      </w:r>
    </w:p>
    <w:p w14:paraId="4D2D14A8">
      <w:pPr>
        <w:snapToGrid w:val="0"/>
        <w:spacing w:line="360" w:lineRule="auto"/>
        <w:rPr>
          <w:rFonts w:hint="eastAsia" w:ascii="宋体" w:hAnsi="宋体" w:cs="宋体"/>
          <w:b/>
          <w:sz w:val="32"/>
        </w:rPr>
      </w:pPr>
    </w:p>
    <w:p w14:paraId="4D2D14A9">
      <w:pPr>
        <w:rPr>
          <w:rFonts w:hint="eastAsia" w:ascii="宋体" w:hAnsi="宋体" w:cs="宋体"/>
          <w:b/>
          <w:sz w:val="32"/>
        </w:rPr>
      </w:pPr>
      <w:r>
        <w:rPr>
          <w:rFonts w:hint="eastAsia" w:ascii="宋体" w:hAnsi="宋体" w:cs="宋体"/>
          <w:b/>
          <w:sz w:val="32"/>
        </w:rPr>
        <w:br w:type="page"/>
      </w:r>
    </w:p>
    <w:p w14:paraId="4D2D14AA">
      <w:pPr>
        <w:snapToGrid w:val="0"/>
        <w:spacing w:line="348" w:lineRule="auto"/>
        <w:rPr>
          <w:rFonts w:hint="eastAsia" w:ascii="宋体" w:hAnsi="宋体" w:cs="宋体"/>
          <w:b/>
          <w:sz w:val="28"/>
          <w:szCs w:val="28"/>
        </w:rPr>
      </w:pPr>
      <w:r>
        <w:rPr>
          <w:rFonts w:hint="eastAsia" w:ascii="宋体" w:hAnsi="宋体" w:cs="宋体"/>
          <w:b/>
          <w:sz w:val="32"/>
        </w:rPr>
        <w:t>一、评标方法</w:t>
      </w:r>
    </w:p>
    <w:p w14:paraId="4D2D14AB">
      <w:pPr>
        <w:adjustRightInd/>
        <w:spacing w:line="348"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4D2D14AC">
      <w:pPr>
        <w:adjustRightInd/>
        <w:spacing w:line="348" w:lineRule="auto"/>
        <w:rPr>
          <w:rFonts w:hint="eastAsia" w:ascii="宋体" w:hAnsi="宋体" w:cs="宋体"/>
          <w:kern w:val="0"/>
          <w:sz w:val="24"/>
        </w:rPr>
      </w:pPr>
      <w:r>
        <w:rPr>
          <w:rFonts w:hint="eastAsia" w:ascii="宋体" w:hAnsi="宋体" w:cs="宋体"/>
          <w:b/>
          <w:sz w:val="32"/>
        </w:rPr>
        <w:t>二、评标标准</w:t>
      </w:r>
    </w:p>
    <w:p w14:paraId="4D2D14AD">
      <w:pPr>
        <w:spacing w:line="348"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4D2D14AE">
      <w:pPr>
        <w:spacing w:line="348" w:lineRule="auto"/>
        <w:rPr>
          <w:rFonts w:hint="eastAsia" w:ascii="宋体" w:hAnsi="宋体" w:cs="宋体"/>
          <w:b/>
          <w:sz w:val="36"/>
          <w:szCs w:val="36"/>
        </w:rPr>
      </w:pPr>
      <w:r>
        <w:rPr>
          <w:rFonts w:hint="eastAsia" w:ascii="宋体" w:hAnsi="宋体" w:cs="宋体"/>
          <w:b/>
          <w:sz w:val="36"/>
          <w:szCs w:val="36"/>
        </w:rPr>
        <w:t>三、评标程序</w:t>
      </w:r>
    </w:p>
    <w:p w14:paraId="4D2D14AF">
      <w:pPr>
        <w:spacing w:line="348"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4D2D14B0">
      <w:pPr>
        <w:spacing w:line="348"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D2D14B1">
      <w:pPr>
        <w:spacing w:line="348"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4D2D14B2">
      <w:pPr>
        <w:spacing w:line="348"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4D2D14B3">
      <w:pPr>
        <w:pStyle w:val="129"/>
        <w:spacing w:before="0" w:line="348" w:lineRule="auto"/>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4D2D14B4">
      <w:pPr>
        <w:pStyle w:val="129"/>
        <w:spacing w:before="0" w:line="348" w:lineRule="auto"/>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D2D14B5">
      <w:pPr>
        <w:pStyle w:val="129"/>
        <w:spacing w:before="0" w:line="348" w:lineRule="auto"/>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4D2D14B6">
      <w:pPr>
        <w:pStyle w:val="129"/>
        <w:spacing w:before="0" w:line="348" w:lineRule="auto"/>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D2D14B7">
      <w:pPr>
        <w:pStyle w:val="129"/>
        <w:spacing w:before="0" w:line="348" w:lineRule="auto"/>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4D2D14B8">
      <w:pPr>
        <w:pStyle w:val="129"/>
        <w:spacing w:before="0" w:line="348" w:lineRule="auto"/>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D2D14B9">
      <w:pPr>
        <w:snapToGrid w:val="0"/>
        <w:spacing w:line="348"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14:paraId="4D2D14BA">
      <w:pPr>
        <w:snapToGrid w:val="0"/>
        <w:spacing w:line="348"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14:paraId="4D2D14BB">
      <w:pPr>
        <w:pStyle w:val="129"/>
        <w:spacing w:before="0" w:line="348" w:lineRule="auto"/>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D2D14BC">
      <w:pPr>
        <w:pStyle w:val="129"/>
        <w:spacing w:before="0" w:line="348" w:lineRule="auto"/>
        <w:ind w:firstLine="480"/>
        <w:rPr>
          <w:rFonts w:hint="eastAsia"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D2D14BD">
      <w:pPr>
        <w:spacing w:line="348"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第一中标候选人、排名第二的第二中标候选人，以此类推。</w:t>
      </w:r>
      <w:r>
        <w:rPr>
          <w:rFonts w:hint="eastAsia" w:ascii="宋体" w:hAnsi="宋体" w:cs="宋体"/>
          <w:b/>
          <w:bCs/>
          <w:kern w:val="0"/>
          <w:sz w:val="24"/>
        </w:rPr>
        <w:t>备注：有效投标供应商数量等于3家时，中标候选人数量为1家；有效投标供应商数量等于4家时，中标候选人数量为2家；有效投标供应商数量大于等于5家时，中标候选人数量为3家。</w:t>
      </w:r>
    </w:p>
    <w:p w14:paraId="4D2D14BE">
      <w:pPr>
        <w:spacing w:line="348"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D2D14BF">
      <w:pPr>
        <w:spacing w:line="348"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D2D14C0">
      <w:pPr>
        <w:widowControl/>
        <w:adjustRightInd/>
        <w:spacing w:after="225" w:line="348" w:lineRule="auto"/>
        <w:jc w:val="left"/>
        <w:rPr>
          <w:rFonts w:hint="eastAsia" w:ascii="宋体" w:hAnsi="宋体" w:cs="宋体"/>
          <w:b/>
          <w:sz w:val="32"/>
        </w:rPr>
      </w:pPr>
      <w:r>
        <w:rPr>
          <w:rFonts w:hint="eastAsia" w:ascii="宋体" w:hAnsi="宋体" w:cs="宋体"/>
          <w:b/>
          <w:sz w:val="32"/>
        </w:rPr>
        <w:t>四、评标中的其他事项</w:t>
      </w:r>
    </w:p>
    <w:p w14:paraId="4D2D14C1">
      <w:pPr>
        <w:pStyle w:val="129"/>
        <w:spacing w:before="0" w:line="348" w:lineRule="auto"/>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D2D14C2">
      <w:pPr>
        <w:pStyle w:val="24"/>
        <w:spacing w:line="348" w:lineRule="auto"/>
        <w:ind w:left="954"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4D2D14C3">
      <w:pPr>
        <w:spacing w:line="348"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4D2D14C4">
      <w:pPr>
        <w:spacing w:line="348"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4D2D14C5">
      <w:pPr>
        <w:spacing w:line="348"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4D2D14C6">
      <w:pPr>
        <w:spacing w:line="348"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14:paraId="4D2D14C7">
      <w:pPr>
        <w:spacing w:line="348"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14:paraId="4D2D14C8">
      <w:pPr>
        <w:spacing w:line="348" w:lineRule="auto"/>
        <w:ind w:firstLine="480" w:firstLineChars="200"/>
        <w:rPr>
          <w:rFonts w:hint="eastAsia" w:ascii="宋体" w:hAnsi="宋体" w:cs="宋体"/>
          <w:kern w:val="0"/>
          <w:sz w:val="24"/>
        </w:rPr>
      </w:pPr>
      <w:r>
        <w:rPr>
          <w:rFonts w:hint="eastAsia" w:ascii="宋体" w:hAnsi="宋体" w:cs="宋体"/>
          <w:kern w:val="0"/>
          <w:sz w:val="24"/>
        </w:rPr>
        <w:t>4.2.6投标文件出现不是唯一的、有选择性投标报价的；</w:t>
      </w:r>
    </w:p>
    <w:p w14:paraId="4D2D14C9">
      <w:pPr>
        <w:spacing w:line="348"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4D2D14CA">
      <w:pPr>
        <w:spacing w:line="348" w:lineRule="auto"/>
        <w:ind w:firstLine="480" w:firstLineChars="200"/>
        <w:rPr>
          <w:rFonts w:hint="eastAsia"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4D2D14CB">
      <w:pPr>
        <w:spacing w:line="348" w:lineRule="auto"/>
        <w:ind w:firstLine="480" w:firstLineChars="200"/>
        <w:rPr>
          <w:rFonts w:hint="eastAsia" w:ascii="宋体" w:hAnsi="宋体" w:cs="宋体"/>
          <w:kern w:val="0"/>
          <w:sz w:val="24"/>
        </w:rPr>
      </w:pPr>
      <w:r>
        <w:rPr>
          <w:rFonts w:hint="eastAsia" w:ascii="宋体" w:hAnsi="宋体" w:cs="宋体"/>
          <w:kern w:val="0"/>
          <w:sz w:val="24"/>
        </w:rPr>
        <w:t>4.2.9投标人对根据修正原则修正后的报价不确认的；</w:t>
      </w:r>
    </w:p>
    <w:p w14:paraId="4D2D14CC">
      <w:pPr>
        <w:spacing w:line="348"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4D2D14CD">
      <w:pPr>
        <w:spacing w:line="348" w:lineRule="auto"/>
        <w:ind w:firstLine="480" w:firstLineChars="200"/>
        <w:rPr>
          <w:rFonts w:hint="eastAsia" w:ascii="宋体" w:hAnsi="宋体" w:cs="宋体"/>
          <w:kern w:val="0"/>
          <w:sz w:val="24"/>
        </w:rPr>
      </w:pPr>
      <w:r>
        <w:rPr>
          <w:rFonts w:hint="eastAsia" w:ascii="宋体" w:hAnsi="宋体" w:cs="宋体"/>
          <w:kern w:val="0"/>
          <w:sz w:val="24"/>
        </w:rPr>
        <w:t>4.2.11投标人有恶意串通、妨碍其他投标人的竞争行为、损害采购人或者其他投标人的合法权益情形的；</w:t>
      </w:r>
    </w:p>
    <w:p w14:paraId="4D2D14CE">
      <w:pPr>
        <w:spacing w:line="348"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4D2D14CF">
      <w:pPr>
        <w:tabs>
          <w:tab w:val="left" w:pos="432"/>
        </w:tabs>
        <w:spacing w:line="348" w:lineRule="auto"/>
        <w:ind w:left="430" w:leftChars="205"/>
        <w:rPr>
          <w:rFonts w:hint="eastAsia" w:ascii="宋体" w:hAnsi="宋体" w:cs="宋体"/>
          <w:kern w:val="0"/>
          <w:sz w:val="24"/>
        </w:rPr>
      </w:pPr>
      <w:r>
        <w:rPr>
          <w:rFonts w:hint="eastAsia" w:ascii="宋体" w:hAnsi="宋体" w:cs="宋体"/>
          <w:kern w:val="0"/>
          <w:sz w:val="24"/>
        </w:rPr>
        <w:t>4.2.13 投标文件不满足招标文件的其它实质性要求的；</w:t>
      </w:r>
    </w:p>
    <w:p w14:paraId="4D2D14D0">
      <w:pPr>
        <w:spacing w:line="348" w:lineRule="auto"/>
        <w:ind w:firstLine="480" w:firstLineChars="200"/>
        <w:rPr>
          <w:rFonts w:hint="eastAsia"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4D2D14D1">
      <w:pPr>
        <w:spacing w:line="348" w:lineRule="auto"/>
        <w:ind w:firstLine="480" w:firstLineChars="200"/>
        <w:rPr>
          <w:rFonts w:hint="eastAsia" w:ascii="宋体" w:hAnsi="宋体" w:cs="宋体"/>
          <w:kern w:val="0"/>
          <w:sz w:val="24"/>
        </w:rPr>
      </w:pPr>
      <w:r>
        <w:rPr>
          <w:rFonts w:hint="eastAsia" w:ascii="宋体" w:hAnsi="宋体" w:cs="宋体"/>
          <w:kern w:val="0"/>
          <w:sz w:val="24"/>
        </w:rPr>
        <w:t>4.2.15参与同一个采购包（标段）的供应商存在下列情形之一且无法合理解释的，其投标（响应）文件无效：</w:t>
      </w:r>
    </w:p>
    <w:p w14:paraId="4D2D14D2">
      <w:pPr>
        <w:spacing w:line="348" w:lineRule="auto"/>
        <w:ind w:firstLine="480" w:firstLineChars="200"/>
        <w:rPr>
          <w:rFonts w:hint="eastAsia" w:ascii="宋体" w:hAnsi="宋体" w:cs="宋体"/>
          <w:kern w:val="0"/>
          <w:sz w:val="24"/>
        </w:rPr>
      </w:pPr>
      <w:r>
        <w:rPr>
          <w:rFonts w:hint="eastAsia" w:ascii="宋体" w:hAnsi="宋体" w:cs="宋体"/>
          <w:kern w:val="0"/>
          <w:sz w:val="24"/>
        </w:rPr>
        <w:t>①不同供应商的电子投标（响应）文件上传计算机的网卡MAC地址或硬盘序列号等硬件信息相同的；</w:t>
      </w:r>
    </w:p>
    <w:p w14:paraId="4D2D14D3">
      <w:pPr>
        <w:spacing w:line="348" w:lineRule="auto"/>
        <w:ind w:firstLine="480" w:firstLineChars="200"/>
        <w:rPr>
          <w:rFonts w:hint="eastAsia" w:ascii="宋体" w:hAnsi="宋体" w:cs="宋体"/>
          <w:kern w:val="0"/>
          <w:sz w:val="24"/>
        </w:rPr>
      </w:pPr>
      <w:r>
        <w:rPr>
          <w:rFonts w:hint="eastAsia" w:ascii="宋体" w:hAnsi="宋体" w:cs="宋体"/>
          <w:kern w:val="0"/>
          <w:sz w:val="24"/>
        </w:rPr>
        <w:t>②上传的电子投标（响应）文件若出现使用本项目其他投标（响应）供应商的数字证书加密的，或者加盖本项目其他投标（响应）供应商的电子印章的；</w:t>
      </w:r>
    </w:p>
    <w:p w14:paraId="4D2D14D4">
      <w:pPr>
        <w:spacing w:line="348" w:lineRule="auto"/>
        <w:ind w:firstLine="480" w:firstLineChars="200"/>
        <w:rPr>
          <w:rFonts w:hint="eastAsia" w:ascii="宋体" w:hAnsi="宋体" w:cs="宋体"/>
          <w:kern w:val="0"/>
          <w:sz w:val="24"/>
        </w:rPr>
      </w:pPr>
      <w:r>
        <w:rPr>
          <w:rFonts w:hint="eastAsia" w:ascii="宋体" w:hAnsi="宋体" w:cs="宋体"/>
          <w:kern w:val="0"/>
          <w:sz w:val="24"/>
        </w:rPr>
        <w:t>③不同供应商的投标（响应）文件的内容存在3处（含）以上错误一致的；</w:t>
      </w:r>
    </w:p>
    <w:p w14:paraId="4D2D14D5">
      <w:pPr>
        <w:spacing w:line="348" w:lineRule="auto"/>
        <w:ind w:firstLine="480" w:firstLineChars="200"/>
        <w:rPr>
          <w:rFonts w:hint="eastAsia" w:ascii="宋体" w:hAnsi="宋体" w:cs="宋体"/>
          <w:kern w:val="0"/>
          <w:sz w:val="24"/>
        </w:rPr>
      </w:pPr>
      <w:r>
        <w:rPr>
          <w:rFonts w:hint="eastAsia" w:ascii="宋体" w:hAnsi="宋体" w:cs="宋体"/>
          <w:kern w:val="0"/>
          <w:sz w:val="24"/>
        </w:rPr>
        <w:t>④不同供应商联系人为同一人或不同联系人的联系电话一致的。</w:t>
      </w:r>
    </w:p>
    <w:p w14:paraId="4D2D14D6">
      <w:pPr>
        <w:pStyle w:val="24"/>
        <w:snapToGrid w:val="0"/>
        <w:spacing w:line="348"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4D2D14D7">
      <w:pPr>
        <w:pStyle w:val="24"/>
        <w:snapToGrid w:val="0"/>
        <w:spacing w:line="348" w:lineRule="auto"/>
        <w:rPr>
          <w:rFonts w:hint="eastAsia" w:cs="宋体"/>
        </w:rPr>
      </w:pPr>
      <w:r>
        <w:rPr>
          <w:rFonts w:hint="eastAsia" w:cs="宋体"/>
        </w:rPr>
        <w:t>5.1符合专业条件的供应商或者对招标文件作实质响应的供应商不足3家的；</w:t>
      </w:r>
    </w:p>
    <w:p w14:paraId="4D2D14D8">
      <w:pPr>
        <w:pStyle w:val="24"/>
        <w:snapToGrid w:val="0"/>
        <w:spacing w:line="348" w:lineRule="auto"/>
        <w:rPr>
          <w:rFonts w:hint="eastAsia" w:cs="宋体"/>
        </w:rPr>
      </w:pPr>
      <w:r>
        <w:rPr>
          <w:rFonts w:hint="eastAsia" w:cs="宋体"/>
        </w:rPr>
        <w:t>5.2出现影响采购公正的违法、违规行为的；</w:t>
      </w:r>
    </w:p>
    <w:p w14:paraId="4D2D14D9">
      <w:pPr>
        <w:pStyle w:val="24"/>
        <w:snapToGrid w:val="0"/>
        <w:spacing w:line="348" w:lineRule="auto"/>
        <w:rPr>
          <w:rFonts w:hint="eastAsia" w:cs="宋体"/>
        </w:rPr>
      </w:pPr>
      <w:r>
        <w:rPr>
          <w:rFonts w:hint="eastAsia" w:cs="宋体"/>
        </w:rPr>
        <w:t>5.3投标人的报价均超过了采购预算，采购人不能支付的；</w:t>
      </w:r>
    </w:p>
    <w:p w14:paraId="4D2D14DA">
      <w:pPr>
        <w:pStyle w:val="24"/>
        <w:snapToGrid w:val="0"/>
        <w:spacing w:line="348" w:lineRule="auto"/>
        <w:rPr>
          <w:rFonts w:hint="eastAsia" w:cs="宋体"/>
        </w:rPr>
      </w:pPr>
      <w:r>
        <w:rPr>
          <w:rFonts w:hint="eastAsia" w:cs="宋体"/>
        </w:rPr>
        <w:t>5.4因重大变故，采购任务取消的。</w:t>
      </w:r>
    </w:p>
    <w:p w14:paraId="4D2D14DB">
      <w:pPr>
        <w:pStyle w:val="24"/>
        <w:snapToGrid w:val="0"/>
        <w:spacing w:line="348" w:lineRule="auto"/>
        <w:rPr>
          <w:rFonts w:hint="eastAsia" w:cs="宋体"/>
        </w:rPr>
      </w:pPr>
      <w:r>
        <w:rPr>
          <w:rFonts w:hint="eastAsia" w:cs="宋体"/>
        </w:rPr>
        <w:t>废标后，采购代理机构应当将废标理由通知所有投标人。</w:t>
      </w:r>
    </w:p>
    <w:p w14:paraId="4D2D14DC">
      <w:pPr>
        <w:pStyle w:val="24"/>
        <w:snapToGrid w:val="0"/>
        <w:spacing w:line="348" w:lineRule="auto"/>
        <w:ind w:firstLine="590" w:firstLineChars="24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D2D14DD">
      <w:pPr>
        <w:pStyle w:val="24"/>
        <w:snapToGrid w:val="0"/>
        <w:spacing w:line="348"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4D2D14DE">
      <w:pPr>
        <w:pStyle w:val="24"/>
        <w:snapToGrid w:val="0"/>
        <w:spacing w:line="348" w:lineRule="auto"/>
        <w:rPr>
          <w:rFonts w:hint="eastAsia" w:cs="宋体"/>
        </w:rPr>
      </w:pPr>
      <w:r>
        <w:rPr>
          <w:rFonts w:hint="eastAsia" w:cs="宋体"/>
        </w:rPr>
        <w:t>7.1未确定中标供应商的，终止本次政府采购活动，重新开展政府采购活动。</w:t>
      </w:r>
    </w:p>
    <w:p w14:paraId="4D2D14DF">
      <w:pPr>
        <w:pStyle w:val="24"/>
        <w:snapToGrid w:val="0"/>
        <w:spacing w:line="348"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4D2D14E0">
      <w:pPr>
        <w:pStyle w:val="24"/>
        <w:snapToGrid w:val="0"/>
        <w:spacing w:line="348"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4D2D14E1">
      <w:pPr>
        <w:pStyle w:val="24"/>
        <w:snapToGrid w:val="0"/>
        <w:spacing w:line="348" w:lineRule="auto"/>
        <w:rPr>
          <w:rFonts w:hint="eastAsia" w:cs="宋体"/>
        </w:rPr>
      </w:pPr>
      <w:r>
        <w:rPr>
          <w:rFonts w:hint="eastAsia" w:cs="宋体"/>
        </w:rPr>
        <w:t>7.4政府采购合同已经履行，给采购人、供应商造成损失的，由责任人承担赔偿责任。</w:t>
      </w:r>
    </w:p>
    <w:p w14:paraId="4D2D14E2">
      <w:pPr>
        <w:pStyle w:val="24"/>
        <w:snapToGrid w:val="0"/>
        <w:spacing w:line="348" w:lineRule="auto"/>
        <w:rPr>
          <w:rFonts w:hint="eastAsia"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28"/>
      <w:bookmarkStart w:id="396" w:name="_Toc86217003"/>
      <w:bookmarkStart w:id="397" w:name="第五部分"/>
    </w:p>
    <w:p w14:paraId="4D2D14E3">
      <w:pPr>
        <w:widowControl/>
        <w:adjustRightInd/>
        <w:ind w:firstLine="2168" w:firstLineChars="600"/>
        <w:jc w:val="left"/>
        <w:rPr>
          <w:rFonts w:hint="eastAsia" w:ascii="宋体" w:hAnsi="宋体" w:cs="宋体"/>
          <w:b/>
          <w:sz w:val="36"/>
          <w:szCs w:val="36"/>
        </w:rPr>
        <w:sectPr>
          <w:pgSz w:w="11907" w:h="16840"/>
          <w:pgMar w:top="1474" w:right="1814" w:bottom="1474" w:left="1417" w:header="851" w:footer="851" w:gutter="0"/>
          <w:cols w:space="720" w:num="1"/>
        </w:sectPr>
      </w:pPr>
    </w:p>
    <w:p w14:paraId="4D2D14E4">
      <w:pPr>
        <w:widowControl/>
        <w:adjustRightInd/>
        <w:ind w:firstLine="2168" w:firstLineChars="600"/>
        <w:jc w:val="left"/>
        <w:outlineLvl w:val="0"/>
        <w:rPr>
          <w:rFonts w:hint="eastAsia" w:ascii="宋体" w:hAnsi="宋体" w:cs="宋体"/>
          <w:b/>
          <w:sz w:val="36"/>
          <w:szCs w:val="36"/>
        </w:rPr>
      </w:pPr>
      <w:bookmarkStart w:id="398" w:name="_Toc9141"/>
      <w:r>
        <w:rPr>
          <w:rFonts w:hint="eastAsia" w:ascii="宋体" w:hAnsi="宋体" w:cs="宋体"/>
          <w:b/>
          <w:sz w:val="36"/>
          <w:szCs w:val="36"/>
        </w:rPr>
        <w:t>第五部分 拟签订的合同文本</w:t>
      </w:r>
      <w:bookmarkEnd w:id="398"/>
    </w:p>
    <w:p w14:paraId="4D2D14E5">
      <w:pPr>
        <w:adjustRightInd/>
        <w:spacing w:line="400" w:lineRule="exact"/>
        <w:ind w:firstLine="422"/>
        <w:rPr>
          <w:rFonts w:hint="eastAsia" w:ascii="宋体" w:hAnsi="宋体" w:cs="宋体"/>
          <w:sz w:val="24"/>
          <w:highlight w:val="yellow"/>
        </w:rPr>
      </w:pPr>
    </w:p>
    <w:p w14:paraId="4D2D14E6">
      <w:pPr>
        <w:adjustRightInd/>
        <w:spacing w:line="400" w:lineRule="exact"/>
        <w:ind w:firstLine="422"/>
        <w:rPr>
          <w:rFonts w:hint="eastAsia" w:ascii="宋体" w:hAnsi="宋体" w:cs="宋体"/>
          <w:sz w:val="24"/>
        </w:rPr>
      </w:pPr>
      <w:r>
        <w:rPr>
          <w:rFonts w:hint="eastAsia" w:ascii="宋体" w:hAnsi="宋体" w:cs="宋体"/>
          <w:sz w:val="24"/>
        </w:rPr>
        <w:t>项目名称：慈溪市人民医院医疗健康集团（慈溪市人民医院）飞利浦1.5T磁共振维保、岛津X线机打包维保服务采购项目</w:t>
      </w:r>
    </w:p>
    <w:p w14:paraId="4D2D14E7">
      <w:pPr>
        <w:adjustRightInd/>
        <w:spacing w:line="400" w:lineRule="exact"/>
        <w:ind w:firstLine="422"/>
        <w:rPr>
          <w:rFonts w:hint="eastAsia" w:ascii="宋体" w:hAnsi="宋体" w:cs="宋体"/>
          <w:sz w:val="24"/>
        </w:rPr>
      </w:pPr>
      <w:r>
        <w:rPr>
          <w:rFonts w:hint="eastAsia" w:ascii="宋体" w:hAnsi="宋体" w:cs="宋体"/>
          <w:sz w:val="24"/>
        </w:rPr>
        <w:t>项目编号：</w:t>
      </w:r>
    </w:p>
    <w:p w14:paraId="4D2D14E8">
      <w:pPr>
        <w:adjustRightInd/>
        <w:spacing w:line="400" w:lineRule="exact"/>
        <w:ind w:firstLine="422"/>
        <w:rPr>
          <w:rFonts w:hint="eastAsia" w:ascii="宋体" w:hAnsi="宋体" w:cs="宋体"/>
          <w:sz w:val="24"/>
        </w:rPr>
      </w:pPr>
      <w:r>
        <w:rPr>
          <w:rFonts w:hint="eastAsia" w:ascii="宋体" w:hAnsi="宋体" w:cs="宋体"/>
          <w:sz w:val="24"/>
        </w:rPr>
        <w:t>甲方（采购人）：</w:t>
      </w:r>
      <w:r>
        <w:rPr>
          <w:rFonts w:hint="eastAsia" w:ascii="宋体" w:hAnsi="宋体" w:cs="宋体"/>
          <w:sz w:val="24"/>
          <w:u w:val="single"/>
        </w:rPr>
        <w:t xml:space="preserve">                         </w:t>
      </w:r>
    </w:p>
    <w:p w14:paraId="4D2D14E9">
      <w:pPr>
        <w:adjustRightInd/>
        <w:spacing w:line="400" w:lineRule="exact"/>
        <w:ind w:firstLine="422"/>
        <w:rPr>
          <w:rFonts w:hint="eastAsia" w:ascii="宋体" w:hAnsi="宋体" w:cs="宋体"/>
          <w:sz w:val="24"/>
        </w:rPr>
      </w:pPr>
      <w:r>
        <w:rPr>
          <w:rFonts w:hint="eastAsia" w:ascii="宋体" w:hAnsi="宋体" w:cs="宋体"/>
          <w:sz w:val="24"/>
        </w:rPr>
        <w:t>乙方（中标人）：</w:t>
      </w:r>
      <w:r>
        <w:rPr>
          <w:rFonts w:hint="eastAsia" w:ascii="宋体" w:hAnsi="宋体" w:cs="宋体"/>
          <w:sz w:val="24"/>
          <w:u w:val="single"/>
        </w:rPr>
        <w:t xml:space="preserve">                         </w:t>
      </w:r>
    </w:p>
    <w:p w14:paraId="4D2D14EA">
      <w:pPr>
        <w:adjustRightInd/>
        <w:spacing w:line="400" w:lineRule="exact"/>
        <w:ind w:firstLine="480" w:firstLineChars="200"/>
        <w:rPr>
          <w:rFonts w:hint="eastAsia" w:ascii="宋体" w:hAnsi="宋体" w:cs="宋体"/>
          <w:sz w:val="24"/>
        </w:rPr>
      </w:pPr>
      <w:r>
        <w:rPr>
          <w:rFonts w:hint="eastAsia" w:ascii="宋体" w:hAnsi="宋体" w:cs="宋体"/>
          <w:sz w:val="24"/>
        </w:rPr>
        <w:t>甲、乙双方根据慈溪市人民医院医疗健康集团（慈溪市人民医院）飞利浦1.5T磁共振维保、岛津X线机打包维保服务采购项目（项目编号：    ）的采购结果，签署本合同。</w:t>
      </w:r>
    </w:p>
    <w:p w14:paraId="4D2D14EB">
      <w:pPr>
        <w:adjustRightInd/>
        <w:spacing w:line="400" w:lineRule="exact"/>
        <w:ind w:firstLine="420"/>
        <w:rPr>
          <w:rFonts w:hint="eastAsia" w:ascii="宋体" w:hAnsi="宋体" w:cs="宋体"/>
          <w:b/>
          <w:sz w:val="24"/>
        </w:rPr>
      </w:pPr>
      <w:r>
        <w:rPr>
          <w:rFonts w:hint="eastAsia" w:ascii="宋体" w:hAnsi="宋体" w:cs="宋体"/>
          <w:b/>
          <w:sz w:val="24"/>
        </w:rPr>
        <w:t>一、服务内容</w:t>
      </w:r>
    </w:p>
    <w:p w14:paraId="4D2D14EC">
      <w:pPr>
        <w:adjustRightInd/>
        <w:spacing w:line="400" w:lineRule="exact"/>
        <w:ind w:firstLine="480" w:firstLineChars="200"/>
        <w:rPr>
          <w:rFonts w:hint="eastAsia" w:ascii="宋体" w:hAnsi="宋体" w:cs="宋体"/>
          <w:sz w:val="24"/>
        </w:rPr>
      </w:pPr>
      <w:r>
        <w:rPr>
          <w:rFonts w:hint="eastAsia" w:ascii="宋体" w:hAnsi="宋体" w:cs="宋体"/>
          <w:sz w:val="24"/>
          <w:u w:val="single"/>
        </w:rPr>
        <w:t>慈溪市人民医院医疗健康集团（慈溪市人民医院）飞利浦1.5T磁共振维保、岛津X线机打包维保服务采购项目（标项一：飞利浦1.5T磁共振维保/标项二：岛津X线机打包维保）</w:t>
      </w:r>
      <w:r>
        <w:rPr>
          <w:rFonts w:hint="eastAsia" w:ascii="宋体" w:hAnsi="宋体" w:cs="宋体"/>
          <w:sz w:val="24"/>
        </w:rPr>
        <w:t>；服务期限自</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日。具体服务内容详见招标文件“第三部分  采购需求”。</w:t>
      </w:r>
    </w:p>
    <w:p w14:paraId="4D2D14ED">
      <w:pPr>
        <w:adjustRightInd/>
        <w:spacing w:line="400" w:lineRule="exact"/>
        <w:ind w:firstLine="420"/>
        <w:rPr>
          <w:rFonts w:hint="eastAsia" w:ascii="宋体" w:hAnsi="宋体" w:cs="宋体"/>
          <w:b/>
          <w:sz w:val="24"/>
        </w:rPr>
      </w:pPr>
      <w:r>
        <w:rPr>
          <w:rFonts w:hint="eastAsia" w:ascii="宋体" w:hAnsi="宋体" w:cs="宋体"/>
          <w:b/>
          <w:sz w:val="24"/>
        </w:rPr>
        <w:t>二、合同金额</w:t>
      </w:r>
    </w:p>
    <w:p w14:paraId="4D2D14EE">
      <w:pPr>
        <w:adjustRightInd/>
        <w:spacing w:line="400" w:lineRule="exact"/>
        <w:ind w:firstLine="480" w:firstLineChars="200"/>
        <w:rPr>
          <w:rFonts w:hint="eastAsia" w:ascii="宋体" w:hAnsi="宋体" w:cs="宋体"/>
          <w:sz w:val="24"/>
        </w:rPr>
      </w:pPr>
      <w:r>
        <w:rPr>
          <w:rFonts w:hint="eastAsia" w:ascii="宋体" w:hAnsi="宋体" w:cs="宋体"/>
          <w:sz w:val="24"/>
        </w:rPr>
        <w:t>2.1本合同金额为（大写）：</w:t>
      </w:r>
      <w:r>
        <w:rPr>
          <w:rFonts w:hint="eastAsia" w:ascii="宋体" w:hAnsi="宋体" w:cs="宋体"/>
          <w:sz w:val="24"/>
          <w:u w:val="single"/>
        </w:rPr>
        <w:t xml:space="preserve">            </w:t>
      </w:r>
      <w:r>
        <w:rPr>
          <w:rFonts w:hint="eastAsia" w:ascii="宋体" w:hAnsi="宋体" w:cs="宋体"/>
          <w:sz w:val="24"/>
        </w:rPr>
        <w:t>元/年（￥</w:t>
      </w:r>
      <w:r>
        <w:rPr>
          <w:rFonts w:hint="eastAsia" w:ascii="宋体" w:hAnsi="宋体" w:cs="宋体"/>
          <w:sz w:val="24"/>
          <w:u w:val="single"/>
        </w:rPr>
        <w:t xml:space="preserve">           </w:t>
      </w:r>
      <w:r>
        <w:rPr>
          <w:rFonts w:hint="eastAsia" w:ascii="宋体" w:hAnsi="宋体" w:cs="宋体"/>
          <w:sz w:val="24"/>
        </w:rPr>
        <w:t>元/年）人民币。</w:t>
      </w:r>
    </w:p>
    <w:p w14:paraId="4D2D14EF">
      <w:pPr>
        <w:adjustRightInd/>
        <w:spacing w:line="400" w:lineRule="exact"/>
        <w:ind w:firstLine="420"/>
        <w:rPr>
          <w:rFonts w:hint="eastAsia" w:ascii="宋体" w:hAnsi="宋体" w:cs="宋体"/>
          <w:b/>
          <w:sz w:val="24"/>
        </w:rPr>
      </w:pPr>
      <w:r>
        <w:rPr>
          <w:rFonts w:hint="eastAsia" w:ascii="宋体" w:hAnsi="宋体" w:cs="宋体"/>
          <w:b/>
          <w:sz w:val="24"/>
        </w:rPr>
        <w:t>三、技术资料</w:t>
      </w:r>
    </w:p>
    <w:p w14:paraId="4D2D14F0">
      <w:pPr>
        <w:adjustRightInd/>
        <w:spacing w:line="400" w:lineRule="exact"/>
        <w:ind w:firstLine="480" w:firstLineChars="200"/>
        <w:rPr>
          <w:rFonts w:hint="eastAsia" w:ascii="宋体" w:hAnsi="宋体" w:cs="宋体"/>
          <w:sz w:val="24"/>
        </w:rPr>
      </w:pPr>
      <w:r>
        <w:rPr>
          <w:rFonts w:hint="eastAsia" w:ascii="宋体" w:hAnsi="宋体" w:cs="宋体"/>
          <w:sz w:val="24"/>
        </w:rPr>
        <w:t>3.1乙方应按招标文件规定的时间向甲方提供使用货物（服务）的有关技术资料。</w:t>
      </w:r>
    </w:p>
    <w:p w14:paraId="4D2D14F1">
      <w:pPr>
        <w:adjustRightInd/>
        <w:spacing w:line="400" w:lineRule="exact"/>
        <w:ind w:firstLine="480" w:firstLineChars="200"/>
        <w:rPr>
          <w:rFonts w:hint="eastAsia" w:ascii="宋体" w:hAnsi="宋体" w:cs="宋体"/>
          <w:sz w:val="24"/>
        </w:rPr>
      </w:pPr>
      <w:r>
        <w:rPr>
          <w:rFonts w:hint="eastAsia" w:ascii="宋体" w:hAnsi="宋体" w:cs="宋体"/>
          <w:sz w:val="24"/>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D2D14F2">
      <w:pPr>
        <w:adjustRightInd/>
        <w:spacing w:line="400" w:lineRule="exact"/>
        <w:ind w:firstLine="420"/>
        <w:rPr>
          <w:rFonts w:hint="eastAsia" w:ascii="宋体" w:hAnsi="宋体" w:cs="宋体"/>
          <w:b/>
          <w:sz w:val="24"/>
        </w:rPr>
      </w:pPr>
      <w:r>
        <w:rPr>
          <w:rFonts w:hint="eastAsia" w:ascii="宋体" w:hAnsi="宋体" w:cs="宋体"/>
          <w:b/>
          <w:sz w:val="24"/>
        </w:rPr>
        <w:t>四、知识产权</w:t>
      </w:r>
    </w:p>
    <w:p w14:paraId="4D2D14F3">
      <w:pPr>
        <w:adjustRightInd/>
        <w:spacing w:line="400" w:lineRule="exact"/>
        <w:ind w:firstLine="480" w:firstLineChars="200"/>
        <w:rPr>
          <w:rFonts w:hint="eastAsia" w:ascii="宋体" w:hAnsi="宋体" w:cs="宋体"/>
          <w:sz w:val="24"/>
        </w:rPr>
      </w:pPr>
      <w:r>
        <w:rPr>
          <w:rFonts w:hint="eastAsia" w:ascii="宋体" w:hAnsi="宋体" w:cs="宋体"/>
          <w:sz w:val="24"/>
        </w:rPr>
        <w:t>4.1乙方应保证所提供的货物（服务）或其任何一部分及全部技术资料均不会侵犯任何第三方的知识产权，如受任何第三方提出侵权控告，乙方需与第三方交涉并承担发生的一切费用，如甲方因此而遭致损失的，乙方应予以赔偿。</w:t>
      </w:r>
    </w:p>
    <w:p w14:paraId="4D2D14F4">
      <w:pPr>
        <w:adjustRightInd/>
        <w:spacing w:line="400" w:lineRule="exact"/>
        <w:ind w:firstLine="420"/>
        <w:rPr>
          <w:rFonts w:hint="eastAsia" w:ascii="宋体" w:hAnsi="宋体" w:cs="宋体"/>
          <w:b/>
          <w:sz w:val="24"/>
        </w:rPr>
      </w:pPr>
      <w:r>
        <w:rPr>
          <w:rFonts w:hint="eastAsia" w:ascii="宋体" w:hAnsi="宋体" w:cs="宋体"/>
          <w:b/>
          <w:sz w:val="24"/>
        </w:rPr>
        <w:t>五、付款方式</w:t>
      </w:r>
    </w:p>
    <w:p w14:paraId="4D2D14F5">
      <w:pPr>
        <w:adjustRightInd/>
        <w:spacing w:line="400" w:lineRule="exact"/>
        <w:ind w:firstLine="480" w:firstLineChars="200"/>
        <w:rPr>
          <w:rFonts w:hint="eastAsia" w:ascii="宋体" w:hAnsi="宋体" w:cs="宋体"/>
          <w:sz w:val="24"/>
        </w:rPr>
      </w:pPr>
      <w:r>
        <w:rPr>
          <w:rFonts w:hint="eastAsia" w:ascii="宋体" w:hAnsi="宋体" w:cs="宋体"/>
          <w:sz w:val="24"/>
        </w:rPr>
        <w:t>5.1合同生效以及具备实施条件后7个工作日内，甲方预付给乙方合同总价50%的预付款（乙方需提交银行、保险公司等金融机构出具的预付款保函或其他担保措施。乙方在签订合同时，表示无需预付款或主动要求降低预付款比例的，可不适用本条款）。</w:t>
      </w:r>
    </w:p>
    <w:p w14:paraId="4D2D14F6">
      <w:pPr>
        <w:adjustRightInd/>
        <w:spacing w:line="400" w:lineRule="exact"/>
        <w:ind w:firstLine="480" w:firstLineChars="200"/>
        <w:rPr>
          <w:rFonts w:hint="eastAsia" w:ascii="宋体" w:hAnsi="宋体" w:cs="宋体"/>
          <w:sz w:val="24"/>
        </w:rPr>
      </w:pPr>
      <w:r>
        <w:rPr>
          <w:rFonts w:hint="eastAsia" w:ascii="宋体" w:hAnsi="宋体" w:cs="宋体"/>
          <w:sz w:val="24"/>
        </w:rPr>
        <w:t>5.2全年度工作完成后根据考核结果支付合同余款（考核办法详见附件1）。</w:t>
      </w:r>
    </w:p>
    <w:p w14:paraId="4D2D14F7">
      <w:pPr>
        <w:adjustRightInd/>
        <w:spacing w:line="400" w:lineRule="exact"/>
        <w:ind w:firstLine="480" w:firstLineChars="200"/>
        <w:rPr>
          <w:rFonts w:hint="eastAsia" w:ascii="宋体" w:hAnsi="宋体" w:cs="宋体"/>
          <w:sz w:val="24"/>
        </w:rPr>
      </w:pPr>
      <w:r>
        <w:rPr>
          <w:rFonts w:hint="eastAsia" w:ascii="宋体" w:hAnsi="宋体" w:cs="宋体"/>
          <w:sz w:val="24"/>
        </w:rPr>
        <w:t>5.3甲方对于满足合同约定支付条件的，自收到发票后7个工作日内支付至乙方账户。乙方不提供发票的，甲方有权不予支付。</w:t>
      </w:r>
    </w:p>
    <w:p w14:paraId="4D2D14F8">
      <w:pPr>
        <w:adjustRightInd/>
        <w:spacing w:line="400" w:lineRule="exact"/>
        <w:ind w:firstLine="420"/>
        <w:rPr>
          <w:rFonts w:hint="eastAsia" w:ascii="宋体" w:hAnsi="宋体" w:cs="宋体"/>
          <w:b/>
          <w:sz w:val="24"/>
        </w:rPr>
      </w:pPr>
      <w:r>
        <w:rPr>
          <w:rFonts w:hint="eastAsia" w:ascii="宋体" w:hAnsi="宋体" w:cs="宋体"/>
          <w:b/>
          <w:sz w:val="24"/>
        </w:rPr>
        <w:t>六、质量保证</w:t>
      </w:r>
    </w:p>
    <w:p w14:paraId="4D2D14F9">
      <w:pPr>
        <w:adjustRightInd/>
        <w:spacing w:line="400" w:lineRule="exact"/>
        <w:ind w:firstLine="480" w:firstLineChars="200"/>
        <w:rPr>
          <w:rFonts w:hint="eastAsia" w:ascii="宋体" w:hAnsi="宋体" w:cs="宋体"/>
          <w:sz w:val="24"/>
        </w:rPr>
      </w:pPr>
      <w:r>
        <w:rPr>
          <w:rFonts w:hint="eastAsia" w:ascii="宋体" w:hAnsi="宋体" w:cs="宋体"/>
          <w:sz w:val="24"/>
        </w:rPr>
        <w:t>6.1乙方保证按本合同提供的维保服务符合原厂生产工艺方面的要求和产品在生产地装运时的产品说明书或使用说明书中的质量标准，没有任何材料和使用上的缺陷。</w:t>
      </w:r>
    </w:p>
    <w:p w14:paraId="4D2D14FA">
      <w:pPr>
        <w:adjustRightInd/>
        <w:spacing w:line="400" w:lineRule="exact"/>
        <w:ind w:firstLine="420"/>
        <w:rPr>
          <w:rFonts w:hint="eastAsia" w:ascii="宋体" w:hAnsi="宋体" w:cs="宋体"/>
          <w:b/>
          <w:sz w:val="24"/>
        </w:rPr>
      </w:pPr>
      <w:r>
        <w:rPr>
          <w:rFonts w:hint="eastAsia" w:ascii="宋体" w:hAnsi="宋体" w:cs="宋体"/>
          <w:b/>
          <w:sz w:val="24"/>
        </w:rPr>
        <w:t>七、履约保证金</w:t>
      </w:r>
    </w:p>
    <w:p w14:paraId="4D2D14FB">
      <w:pPr>
        <w:adjustRightInd/>
        <w:spacing w:line="400" w:lineRule="exact"/>
        <w:ind w:firstLine="480" w:firstLineChars="200"/>
        <w:rPr>
          <w:rFonts w:hint="eastAsia" w:ascii="宋体" w:hAnsi="宋体" w:cs="宋体"/>
          <w:sz w:val="24"/>
        </w:rPr>
      </w:pPr>
      <w:r>
        <w:rPr>
          <w:rFonts w:hint="eastAsia" w:ascii="宋体" w:hAnsi="宋体" w:cs="宋体"/>
          <w:sz w:val="24"/>
        </w:rPr>
        <w:t>7.1不适用。</w:t>
      </w:r>
    </w:p>
    <w:p w14:paraId="4D2D14FC">
      <w:pPr>
        <w:adjustRightInd/>
        <w:spacing w:line="400" w:lineRule="exact"/>
        <w:ind w:firstLine="420"/>
        <w:rPr>
          <w:rFonts w:hint="eastAsia" w:ascii="宋体" w:hAnsi="宋体" w:cs="宋体"/>
          <w:b/>
          <w:sz w:val="24"/>
        </w:rPr>
      </w:pPr>
      <w:r>
        <w:rPr>
          <w:rFonts w:hint="eastAsia" w:ascii="宋体" w:hAnsi="宋体" w:cs="宋体"/>
          <w:b/>
          <w:sz w:val="24"/>
        </w:rPr>
        <w:t>八、转包或分包</w:t>
      </w:r>
    </w:p>
    <w:p w14:paraId="4D2D14FD">
      <w:pPr>
        <w:adjustRightInd/>
        <w:spacing w:line="400" w:lineRule="exact"/>
        <w:ind w:firstLine="480" w:firstLineChars="200"/>
        <w:rPr>
          <w:rFonts w:hint="eastAsia" w:ascii="宋体" w:hAnsi="宋体" w:cs="宋体"/>
          <w:sz w:val="24"/>
        </w:rPr>
      </w:pPr>
      <w:r>
        <w:rPr>
          <w:rFonts w:hint="eastAsia" w:ascii="宋体" w:hAnsi="宋体" w:cs="宋体"/>
          <w:sz w:val="24"/>
        </w:rPr>
        <w:t>8.1本项目不允许转包或分包，否则，甲方有权解除合同，并追究乙方的违约责任。</w:t>
      </w:r>
    </w:p>
    <w:p w14:paraId="4D2D14FE">
      <w:pPr>
        <w:adjustRightInd/>
        <w:spacing w:line="400" w:lineRule="exact"/>
        <w:ind w:firstLine="420"/>
        <w:rPr>
          <w:rFonts w:hint="eastAsia" w:ascii="宋体" w:hAnsi="宋体" w:cs="宋体"/>
          <w:b/>
          <w:sz w:val="24"/>
        </w:rPr>
      </w:pPr>
      <w:r>
        <w:rPr>
          <w:rFonts w:hint="eastAsia" w:ascii="宋体" w:hAnsi="宋体" w:cs="宋体"/>
          <w:b/>
          <w:sz w:val="24"/>
        </w:rPr>
        <w:t>九、税</w:t>
      </w:r>
    </w:p>
    <w:p w14:paraId="4D2D14FF">
      <w:pPr>
        <w:adjustRightInd/>
        <w:spacing w:line="400" w:lineRule="exact"/>
        <w:ind w:firstLine="480" w:firstLineChars="200"/>
        <w:rPr>
          <w:rFonts w:hint="eastAsia" w:ascii="宋体" w:hAnsi="宋体" w:cs="宋体"/>
          <w:sz w:val="24"/>
        </w:rPr>
      </w:pPr>
      <w:r>
        <w:rPr>
          <w:rFonts w:hint="eastAsia" w:ascii="宋体" w:hAnsi="宋体" w:cs="宋体"/>
          <w:sz w:val="24"/>
        </w:rPr>
        <w:t>9.1本合同执行中相关的一切税费均由乙方负担。</w:t>
      </w:r>
    </w:p>
    <w:p w14:paraId="4D2D1500">
      <w:pPr>
        <w:adjustRightInd/>
        <w:spacing w:line="400" w:lineRule="exact"/>
        <w:ind w:firstLine="420"/>
        <w:rPr>
          <w:rFonts w:hint="eastAsia" w:ascii="宋体" w:hAnsi="宋体" w:cs="宋体"/>
          <w:b/>
          <w:sz w:val="24"/>
        </w:rPr>
      </w:pPr>
      <w:r>
        <w:rPr>
          <w:rFonts w:hint="eastAsia" w:ascii="宋体" w:hAnsi="宋体" w:cs="宋体"/>
          <w:b/>
          <w:sz w:val="24"/>
        </w:rPr>
        <w:t>十、违约责任</w:t>
      </w:r>
    </w:p>
    <w:p w14:paraId="4D2D1501">
      <w:pPr>
        <w:adjustRightInd/>
        <w:spacing w:line="400" w:lineRule="exact"/>
        <w:ind w:firstLine="480" w:firstLineChars="200"/>
        <w:rPr>
          <w:rFonts w:hint="eastAsia" w:ascii="宋体" w:hAnsi="宋体" w:cs="宋体"/>
          <w:sz w:val="24"/>
        </w:rPr>
      </w:pPr>
      <w:r>
        <w:rPr>
          <w:rFonts w:hint="eastAsia" w:ascii="宋体" w:hAnsi="宋体" w:cs="宋体"/>
          <w:sz w:val="24"/>
        </w:rPr>
        <w:t>10.1甲方逾期支付合同款项的，以甲方支付当日计，每逾期支付一天，按银行同期活期存款利率（不计复利）支付利息。</w:t>
      </w:r>
    </w:p>
    <w:p w14:paraId="4D2D1502">
      <w:pPr>
        <w:adjustRightInd/>
        <w:spacing w:line="400" w:lineRule="exact"/>
        <w:ind w:firstLine="480" w:firstLineChars="200"/>
        <w:rPr>
          <w:rFonts w:hint="eastAsia" w:ascii="宋体" w:hAnsi="宋体" w:cs="宋体"/>
          <w:sz w:val="24"/>
        </w:rPr>
      </w:pPr>
      <w:r>
        <w:rPr>
          <w:rFonts w:hint="eastAsia" w:ascii="宋体" w:hAnsi="宋体" w:cs="宋体"/>
          <w:sz w:val="24"/>
        </w:rPr>
        <w:t xml:space="preserve">10.2乙方在合同有效期内，除不可抗力以外不得以任何理由终止合同，确有特殊情况的，须提前两个月向甲方书面申请，经甲方同意后，方可终止合同，同时酌情赔偿经济损失。 </w:t>
      </w:r>
    </w:p>
    <w:p w14:paraId="4D2D1503">
      <w:pPr>
        <w:adjustRightInd/>
        <w:spacing w:line="400" w:lineRule="exact"/>
        <w:ind w:firstLine="480" w:firstLineChars="200"/>
        <w:rPr>
          <w:rFonts w:hint="eastAsia" w:ascii="宋体" w:hAnsi="宋体" w:cs="宋体"/>
          <w:sz w:val="24"/>
        </w:rPr>
      </w:pPr>
      <w:r>
        <w:rPr>
          <w:rFonts w:hint="eastAsia" w:ascii="宋体" w:hAnsi="宋体" w:cs="宋体"/>
          <w:sz w:val="24"/>
        </w:rPr>
        <w:t>10.3乙方提供的服务不符合招标文件、投标文件或本合同规定的，乙方应自收到甲方通知后的48小时内提供符合招标文件、投标文件和本合同规定的服务，逾期视为乙方违约，按合同总价每日千分之五向甲方支付违约金，由甲方从待付费用中扣除，逾期超过7个工作日的，甲方有权解除本合同。</w:t>
      </w:r>
    </w:p>
    <w:p w14:paraId="4D2D1504">
      <w:pPr>
        <w:adjustRightInd/>
        <w:spacing w:line="400" w:lineRule="exact"/>
        <w:ind w:firstLine="420"/>
        <w:rPr>
          <w:rFonts w:hint="eastAsia" w:ascii="宋体" w:hAnsi="宋体" w:cs="宋体"/>
          <w:b/>
          <w:sz w:val="24"/>
        </w:rPr>
      </w:pPr>
      <w:r>
        <w:rPr>
          <w:rFonts w:hint="eastAsia" w:ascii="宋体" w:hAnsi="宋体" w:cs="宋体"/>
          <w:b/>
          <w:sz w:val="24"/>
        </w:rPr>
        <w:t>十一、不可抗力事件处理</w:t>
      </w:r>
    </w:p>
    <w:p w14:paraId="4D2D1505">
      <w:pPr>
        <w:adjustRightInd/>
        <w:spacing w:line="400" w:lineRule="exact"/>
        <w:ind w:firstLine="480" w:firstLineChars="200"/>
        <w:rPr>
          <w:rFonts w:hint="eastAsia" w:ascii="宋体" w:hAnsi="宋体" w:cs="宋体"/>
          <w:sz w:val="24"/>
        </w:rPr>
      </w:pPr>
      <w:r>
        <w:rPr>
          <w:rFonts w:hint="eastAsia" w:ascii="宋体" w:hAnsi="宋体" w:cs="宋体"/>
          <w:sz w:val="24"/>
        </w:rPr>
        <w:t>11.1在合同有效期内，任何一方因不可抗力事件导致不能履行合同，则合同履行期可延长，其延长期与不可抗力影响期相同。</w:t>
      </w:r>
    </w:p>
    <w:p w14:paraId="4D2D1506">
      <w:pPr>
        <w:adjustRightInd/>
        <w:spacing w:line="400" w:lineRule="exact"/>
        <w:ind w:firstLine="480" w:firstLineChars="200"/>
        <w:rPr>
          <w:rFonts w:hint="eastAsia" w:ascii="宋体" w:hAnsi="宋体" w:cs="宋体"/>
          <w:sz w:val="24"/>
        </w:rPr>
      </w:pPr>
      <w:r>
        <w:rPr>
          <w:rFonts w:hint="eastAsia" w:ascii="宋体" w:hAnsi="宋体" w:cs="宋体"/>
          <w:sz w:val="24"/>
        </w:rPr>
        <w:t>11.2不可抗力事件发生后，应立即通知对方，并寄送有关权威机构出具的证明。</w:t>
      </w:r>
    </w:p>
    <w:p w14:paraId="4D2D1507">
      <w:pPr>
        <w:adjustRightInd/>
        <w:spacing w:line="400" w:lineRule="exact"/>
        <w:ind w:firstLine="480" w:firstLineChars="200"/>
        <w:rPr>
          <w:rFonts w:hint="eastAsia" w:ascii="宋体" w:hAnsi="宋体" w:cs="宋体"/>
          <w:sz w:val="24"/>
        </w:rPr>
      </w:pPr>
      <w:r>
        <w:rPr>
          <w:rFonts w:hint="eastAsia" w:ascii="宋体" w:hAnsi="宋体" w:cs="宋体"/>
          <w:sz w:val="24"/>
        </w:rPr>
        <w:t>11.3不可抗力事件延续120天以上，双方应通过友好协商，确定是否继续履行合同。</w:t>
      </w:r>
    </w:p>
    <w:p w14:paraId="4D2D1508">
      <w:pPr>
        <w:adjustRightInd/>
        <w:spacing w:line="400" w:lineRule="exact"/>
        <w:ind w:firstLine="420"/>
        <w:rPr>
          <w:rFonts w:hint="eastAsia" w:ascii="宋体" w:hAnsi="宋体" w:cs="宋体"/>
          <w:b/>
          <w:sz w:val="24"/>
        </w:rPr>
      </w:pPr>
      <w:r>
        <w:rPr>
          <w:rFonts w:hint="eastAsia" w:ascii="宋体" w:hAnsi="宋体" w:cs="宋体"/>
          <w:b/>
          <w:sz w:val="24"/>
        </w:rPr>
        <w:t>十二、诉讼</w:t>
      </w:r>
    </w:p>
    <w:p w14:paraId="4D2D1509">
      <w:pPr>
        <w:adjustRightInd/>
        <w:spacing w:line="400" w:lineRule="exact"/>
        <w:ind w:firstLine="480" w:firstLineChars="200"/>
        <w:rPr>
          <w:rFonts w:hint="eastAsia" w:ascii="宋体" w:hAnsi="宋体" w:cs="宋体"/>
          <w:sz w:val="24"/>
        </w:rPr>
      </w:pPr>
      <w:r>
        <w:rPr>
          <w:rFonts w:hint="eastAsia" w:ascii="宋体" w:hAnsi="宋体" w:cs="宋体"/>
          <w:sz w:val="24"/>
        </w:rPr>
        <w:t>12.1双方在执行合同中所发生的一切争议，应通过协商解决。如协商不成，可向合同履行地法院起诉。</w:t>
      </w:r>
    </w:p>
    <w:p w14:paraId="4D2D150A">
      <w:pPr>
        <w:adjustRightInd/>
        <w:spacing w:line="400" w:lineRule="exact"/>
        <w:ind w:firstLine="420"/>
        <w:rPr>
          <w:rFonts w:hint="eastAsia" w:ascii="宋体" w:hAnsi="宋体" w:cs="宋体"/>
          <w:b/>
          <w:sz w:val="24"/>
        </w:rPr>
      </w:pPr>
      <w:r>
        <w:rPr>
          <w:rFonts w:hint="eastAsia" w:ascii="宋体" w:hAnsi="宋体" w:cs="宋体"/>
          <w:b/>
          <w:sz w:val="24"/>
        </w:rPr>
        <w:t>十三、合同生效及其它</w:t>
      </w:r>
    </w:p>
    <w:p w14:paraId="4D2D150B">
      <w:pPr>
        <w:adjustRightInd/>
        <w:spacing w:line="400" w:lineRule="exact"/>
        <w:ind w:firstLine="480" w:firstLineChars="200"/>
        <w:rPr>
          <w:rFonts w:hint="eastAsia" w:ascii="宋体" w:hAnsi="宋体" w:cs="宋体"/>
          <w:sz w:val="24"/>
        </w:rPr>
      </w:pPr>
      <w:r>
        <w:rPr>
          <w:rFonts w:hint="eastAsia" w:ascii="宋体" w:hAnsi="宋体" w:cs="宋体"/>
          <w:sz w:val="24"/>
        </w:rPr>
        <w:t>13.1合同经双方法定代表人或授权委托代理人签字并加盖单位公章后生效。</w:t>
      </w:r>
    </w:p>
    <w:p w14:paraId="4D2D150C">
      <w:pPr>
        <w:adjustRightInd/>
        <w:spacing w:line="400" w:lineRule="exact"/>
        <w:ind w:firstLine="480" w:firstLineChars="200"/>
        <w:rPr>
          <w:rFonts w:hint="eastAsia" w:ascii="宋体" w:hAnsi="宋体" w:cs="宋体"/>
          <w:sz w:val="24"/>
        </w:rPr>
      </w:pPr>
      <w:r>
        <w:rPr>
          <w:rFonts w:hint="eastAsia" w:ascii="宋体" w:hAnsi="宋体" w:cs="宋体"/>
          <w:sz w:val="24"/>
        </w:rPr>
        <w:t>13.2本合同未尽事宜，遵照《中华人民共和国民法典》有关条文执行。</w:t>
      </w:r>
    </w:p>
    <w:p w14:paraId="4D2D150D">
      <w:pPr>
        <w:adjustRightInd/>
        <w:spacing w:line="400" w:lineRule="exact"/>
        <w:ind w:firstLine="480" w:firstLineChars="200"/>
        <w:rPr>
          <w:rFonts w:hint="eastAsia" w:ascii="宋体" w:hAnsi="宋体" w:cs="宋体"/>
          <w:sz w:val="24"/>
        </w:rPr>
      </w:pPr>
      <w:r>
        <w:rPr>
          <w:rFonts w:hint="eastAsia" w:ascii="宋体" w:hAnsi="宋体" w:cs="宋体"/>
          <w:sz w:val="24"/>
        </w:rPr>
        <w:t>13.3本合同正本一式二份，具有同等法律效力，甲乙双方各执一份。</w:t>
      </w:r>
    </w:p>
    <w:p w14:paraId="4D2D150E">
      <w:pPr>
        <w:adjustRightInd/>
        <w:spacing w:line="400" w:lineRule="exact"/>
        <w:ind w:firstLine="480" w:firstLineChars="200"/>
        <w:rPr>
          <w:rFonts w:hint="eastAsia" w:ascii="宋体" w:hAnsi="宋体" w:cs="宋体"/>
          <w:sz w:val="24"/>
        </w:rPr>
      </w:pPr>
      <w:r>
        <w:rPr>
          <w:rFonts w:hint="eastAsia" w:ascii="宋体" w:hAnsi="宋体" w:cs="宋体"/>
          <w:sz w:val="24"/>
        </w:rPr>
        <w:t>13.4下列文件是本合同不可分割的组成部分，本合同未尽事宜从其规定，相互解释，互为说明。除合同另有规定外，其优先顺序如下：</w:t>
      </w:r>
    </w:p>
    <w:p w14:paraId="4D2D150F">
      <w:pPr>
        <w:adjustRightInd/>
        <w:spacing w:line="400" w:lineRule="exact"/>
        <w:ind w:firstLine="480" w:firstLineChars="200"/>
        <w:rPr>
          <w:rFonts w:hint="eastAsia" w:ascii="宋体" w:hAnsi="宋体" w:cs="宋体"/>
          <w:sz w:val="24"/>
        </w:rPr>
      </w:pPr>
      <w:r>
        <w:rPr>
          <w:rFonts w:hint="eastAsia" w:ascii="宋体" w:hAnsi="宋体" w:cs="宋体"/>
          <w:sz w:val="24"/>
        </w:rPr>
        <w:t>（1）合同及合同附件（如有）；</w:t>
      </w:r>
    </w:p>
    <w:p w14:paraId="4D2D1510">
      <w:pPr>
        <w:adjustRightInd/>
        <w:spacing w:line="400" w:lineRule="exact"/>
        <w:ind w:firstLine="480" w:firstLineChars="200"/>
        <w:rPr>
          <w:rFonts w:hint="eastAsia" w:ascii="宋体" w:hAnsi="宋体" w:cs="宋体"/>
          <w:sz w:val="24"/>
        </w:rPr>
      </w:pPr>
      <w:r>
        <w:rPr>
          <w:rFonts w:hint="eastAsia" w:ascii="宋体" w:hAnsi="宋体" w:cs="宋体"/>
          <w:sz w:val="24"/>
        </w:rPr>
        <w:t>（2）中标通知书；</w:t>
      </w:r>
    </w:p>
    <w:p w14:paraId="4D2D1511">
      <w:pPr>
        <w:adjustRightInd/>
        <w:spacing w:line="400" w:lineRule="exact"/>
        <w:ind w:firstLine="480" w:firstLineChars="200"/>
        <w:rPr>
          <w:rFonts w:hint="eastAsia" w:ascii="宋体" w:hAnsi="宋体" w:cs="宋体"/>
          <w:sz w:val="24"/>
        </w:rPr>
      </w:pPr>
      <w:r>
        <w:rPr>
          <w:rFonts w:hint="eastAsia" w:ascii="宋体" w:hAnsi="宋体" w:cs="宋体"/>
          <w:sz w:val="24"/>
        </w:rPr>
        <w:t>（3）投标文件及修改补充文件（如有）；</w:t>
      </w:r>
    </w:p>
    <w:p w14:paraId="4D2D1512">
      <w:pPr>
        <w:adjustRightInd/>
        <w:spacing w:line="400" w:lineRule="exact"/>
        <w:ind w:firstLine="480" w:firstLineChars="200"/>
        <w:rPr>
          <w:rFonts w:hint="eastAsia" w:ascii="宋体" w:hAnsi="宋体" w:cs="宋体"/>
          <w:sz w:val="24"/>
        </w:rPr>
      </w:pPr>
      <w:r>
        <w:rPr>
          <w:rFonts w:hint="eastAsia" w:ascii="宋体" w:hAnsi="宋体" w:cs="宋体"/>
          <w:sz w:val="24"/>
        </w:rPr>
        <w:t>（4）招标文件及修改补充文件（如有）；</w:t>
      </w:r>
    </w:p>
    <w:p w14:paraId="4D2D1513">
      <w:pPr>
        <w:adjustRightInd/>
        <w:spacing w:line="400" w:lineRule="exact"/>
        <w:ind w:firstLine="480" w:firstLineChars="200"/>
        <w:rPr>
          <w:rFonts w:hint="eastAsia" w:ascii="宋体" w:hAnsi="宋体" w:cs="宋体"/>
          <w:sz w:val="24"/>
        </w:rPr>
      </w:pPr>
      <w:r>
        <w:rPr>
          <w:rFonts w:hint="eastAsia" w:ascii="宋体" w:hAnsi="宋体" w:cs="宋体"/>
          <w:sz w:val="24"/>
        </w:rPr>
        <w:t>（5）其他协议文件（包括但不限于甲方的相关管理办法和规定，如有）。</w:t>
      </w:r>
    </w:p>
    <w:p w14:paraId="4D2D1514">
      <w:pPr>
        <w:adjustRightInd/>
        <w:spacing w:line="400" w:lineRule="exact"/>
        <w:ind w:firstLine="480" w:firstLineChars="200"/>
        <w:rPr>
          <w:rFonts w:hint="eastAsia" w:ascii="宋体" w:hAnsi="宋体" w:cs="宋体"/>
          <w:sz w:val="24"/>
        </w:rPr>
      </w:pPr>
      <w:r>
        <w:rPr>
          <w:rFonts w:hint="eastAsia" w:ascii="宋体" w:hAnsi="宋体" w:cs="宋体"/>
          <w:sz w:val="24"/>
        </w:rPr>
        <w:t>13.5双方约定的其他事项：</w:t>
      </w:r>
      <w:r>
        <w:rPr>
          <w:rFonts w:hint="eastAsia" w:ascii="宋体" w:hAnsi="宋体" w:cs="宋体"/>
          <w:sz w:val="24"/>
          <w:u w:val="single"/>
        </w:rPr>
        <w:t xml:space="preserve">                         </w:t>
      </w:r>
    </w:p>
    <w:p w14:paraId="4D2D1515">
      <w:pPr>
        <w:adjustRightInd/>
        <w:spacing w:line="400" w:lineRule="exact"/>
        <w:ind w:firstLine="422"/>
        <w:rPr>
          <w:rFonts w:hint="eastAsia" w:ascii="宋体" w:hAnsi="宋体" w:cs="宋体"/>
          <w:sz w:val="24"/>
        </w:rPr>
      </w:pPr>
    </w:p>
    <w:p w14:paraId="4D2D1516">
      <w:pPr>
        <w:adjustRightInd/>
        <w:spacing w:line="400" w:lineRule="exact"/>
        <w:ind w:firstLine="422"/>
        <w:rPr>
          <w:rFonts w:hint="eastAsia" w:ascii="宋体" w:hAnsi="宋体" w:cs="宋体"/>
          <w:sz w:val="24"/>
        </w:rPr>
      </w:pPr>
    </w:p>
    <w:p w14:paraId="4D2D1517">
      <w:pPr>
        <w:adjustRightInd/>
        <w:spacing w:line="400" w:lineRule="exact"/>
        <w:ind w:firstLine="422"/>
        <w:rPr>
          <w:rFonts w:hint="eastAsia" w:ascii="宋体" w:hAnsi="宋体" w:cs="宋体"/>
          <w:sz w:val="24"/>
        </w:rPr>
      </w:pPr>
      <w:r>
        <w:rPr>
          <w:rFonts w:hint="eastAsia" w:ascii="宋体" w:hAnsi="宋体" w:cs="宋体"/>
          <w:sz w:val="24"/>
        </w:rPr>
        <w:t>甲方（盖章）：                              乙方（盖章）：</w:t>
      </w:r>
    </w:p>
    <w:p w14:paraId="4D2D1518">
      <w:pPr>
        <w:adjustRightInd/>
        <w:spacing w:line="400" w:lineRule="exact"/>
        <w:ind w:firstLine="422"/>
        <w:rPr>
          <w:rFonts w:hint="eastAsia" w:ascii="宋体" w:hAnsi="宋体" w:cs="宋体"/>
          <w:sz w:val="24"/>
        </w:rPr>
      </w:pPr>
      <w:r>
        <w:rPr>
          <w:rFonts w:hint="eastAsia" w:ascii="宋体" w:hAnsi="宋体" w:cs="宋体"/>
          <w:sz w:val="24"/>
        </w:rPr>
        <w:t>地址：                                      地址：</w:t>
      </w:r>
    </w:p>
    <w:p w14:paraId="4D2D1519">
      <w:pPr>
        <w:adjustRightInd/>
        <w:spacing w:line="400" w:lineRule="exact"/>
        <w:ind w:firstLine="422"/>
        <w:rPr>
          <w:rFonts w:hint="eastAsia" w:ascii="宋体" w:hAnsi="宋体" w:cs="宋体"/>
          <w:sz w:val="24"/>
        </w:rPr>
      </w:pPr>
      <w:r>
        <w:rPr>
          <w:rFonts w:hint="eastAsia" w:ascii="宋体" w:hAnsi="宋体" w:cs="宋体"/>
          <w:sz w:val="24"/>
        </w:rPr>
        <w:t>法定代表人（或授权委托人）：                法定代表人（或授权委托人）：</w:t>
      </w:r>
    </w:p>
    <w:p w14:paraId="4D2D151A">
      <w:pPr>
        <w:adjustRightInd/>
        <w:spacing w:line="400" w:lineRule="exact"/>
        <w:ind w:firstLine="422"/>
        <w:rPr>
          <w:rFonts w:hint="eastAsia" w:ascii="宋体" w:hAnsi="宋体" w:cs="宋体"/>
          <w:sz w:val="24"/>
        </w:rPr>
      </w:pPr>
      <w:r>
        <w:rPr>
          <w:rFonts w:hint="eastAsia" w:ascii="宋体" w:hAnsi="宋体" w:cs="宋体"/>
          <w:sz w:val="24"/>
        </w:rPr>
        <w:t>开户银行：                                  开户银行：</w:t>
      </w:r>
    </w:p>
    <w:p w14:paraId="4D2D151B">
      <w:pPr>
        <w:adjustRightInd/>
        <w:spacing w:line="400" w:lineRule="exact"/>
        <w:ind w:firstLine="422"/>
        <w:rPr>
          <w:rFonts w:hint="eastAsia" w:ascii="宋体" w:hAnsi="宋体" w:cs="宋体"/>
          <w:sz w:val="24"/>
        </w:rPr>
      </w:pPr>
      <w:r>
        <w:rPr>
          <w:rFonts w:hint="eastAsia" w:ascii="宋体" w:hAnsi="宋体" w:cs="宋体"/>
          <w:sz w:val="24"/>
        </w:rPr>
        <w:t>账号：                                      账号：</w:t>
      </w:r>
    </w:p>
    <w:p w14:paraId="4D2D151C">
      <w:pPr>
        <w:adjustRightInd/>
        <w:spacing w:line="400" w:lineRule="exact"/>
        <w:ind w:firstLine="422"/>
        <w:rPr>
          <w:rFonts w:hint="eastAsia" w:ascii="宋体" w:hAnsi="宋体" w:cs="宋体"/>
          <w:sz w:val="24"/>
        </w:rPr>
      </w:pPr>
    </w:p>
    <w:p w14:paraId="4D2D151D">
      <w:pPr>
        <w:adjustRightInd/>
        <w:spacing w:line="400" w:lineRule="exact"/>
        <w:ind w:firstLine="422"/>
        <w:rPr>
          <w:rFonts w:hint="eastAsia" w:ascii="宋体" w:hAnsi="宋体" w:cs="宋体"/>
          <w:sz w:val="24"/>
        </w:rPr>
      </w:pPr>
      <w:r>
        <w:rPr>
          <w:rFonts w:hint="eastAsia" w:ascii="宋体" w:hAnsi="宋体" w:cs="宋体"/>
          <w:sz w:val="24"/>
        </w:rPr>
        <w:t>签订地点：                          签订日期：    年    月    日</w:t>
      </w:r>
    </w:p>
    <w:p w14:paraId="4D2D151E">
      <w:pPr>
        <w:rPr>
          <w:rFonts w:hint="eastAsia" w:ascii="宋体" w:hAnsi="宋体" w:cs="宋体"/>
          <w:sz w:val="24"/>
        </w:rPr>
      </w:pPr>
      <w:r>
        <w:rPr>
          <w:rFonts w:ascii="宋体" w:hAnsi="宋体" w:cs="宋体"/>
          <w:sz w:val="24"/>
        </w:rPr>
        <w:br w:type="page"/>
      </w:r>
    </w:p>
    <w:p w14:paraId="4D2D151F">
      <w:pPr>
        <w:adjustRightInd/>
        <w:rPr>
          <w:rFonts w:hint="eastAsia" w:ascii="宋体" w:hAnsi="宋体" w:cs="宋体"/>
          <w:b/>
          <w:bCs/>
          <w:sz w:val="24"/>
        </w:rPr>
      </w:pPr>
      <w:r>
        <w:rPr>
          <w:rFonts w:hint="eastAsia" w:ascii="宋体" w:hAnsi="宋体" w:cs="宋体"/>
          <w:b/>
          <w:bCs/>
          <w:sz w:val="24"/>
        </w:rPr>
        <w:t>附件1：考核办法</w:t>
      </w:r>
    </w:p>
    <w:tbl>
      <w:tblPr>
        <w:tblStyle w:val="92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3614"/>
        <w:gridCol w:w="2935"/>
        <w:gridCol w:w="709"/>
        <w:gridCol w:w="709"/>
      </w:tblGrid>
      <w:tr w14:paraId="4D2D1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gridSpan w:val="5"/>
            <w:vAlign w:val="center"/>
          </w:tcPr>
          <w:p w14:paraId="4D2D1520">
            <w:pPr>
              <w:adjustRightInd/>
              <w:rPr>
                <w:rFonts w:hint="eastAsia" w:ascii="宋体" w:hAnsi="宋体" w:eastAsia="等线" w:cs="宋体"/>
                <w:sz w:val="24"/>
              </w:rPr>
            </w:pPr>
            <w:r>
              <w:rPr>
                <w:rFonts w:hint="eastAsia" w:ascii="宋体" w:hAnsi="宋体" w:eastAsia="等线" w:cs="宋体"/>
                <w:sz w:val="24"/>
              </w:rPr>
              <w:t>服务质量考核时间段：</w:t>
            </w:r>
            <w:r>
              <w:rPr>
                <w:rFonts w:hint="eastAsia" w:ascii="宋体" w:hAnsi="宋体" w:eastAsia="等线" w:cs="宋体"/>
                <w:b/>
                <w:bCs/>
                <w:sz w:val="24"/>
              </w:rPr>
              <w:t xml:space="preserve">    年  月  日~    年  月  日</w:t>
            </w:r>
          </w:p>
        </w:tc>
      </w:tr>
      <w:tr w14:paraId="4D2D1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4D2D1522">
            <w:pPr>
              <w:adjustRightInd/>
              <w:jc w:val="center"/>
              <w:rPr>
                <w:rFonts w:hint="eastAsia" w:ascii="宋体" w:hAnsi="宋体" w:eastAsia="等线" w:cs="宋体"/>
                <w:sz w:val="24"/>
              </w:rPr>
            </w:pPr>
            <w:r>
              <w:rPr>
                <w:rFonts w:hint="eastAsia" w:ascii="宋体" w:hAnsi="宋体" w:eastAsia="等线" w:cs="宋体"/>
                <w:sz w:val="24"/>
              </w:rPr>
              <w:t>项目</w:t>
            </w:r>
          </w:p>
        </w:tc>
        <w:tc>
          <w:tcPr>
            <w:tcW w:w="3614" w:type="dxa"/>
            <w:vAlign w:val="center"/>
          </w:tcPr>
          <w:p w14:paraId="4D2D1523">
            <w:pPr>
              <w:adjustRightInd/>
              <w:rPr>
                <w:rFonts w:hint="eastAsia" w:ascii="宋体" w:hAnsi="宋体" w:eastAsia="等线" w:cs="宋体"/>
                <w:sz w:val="24"/>
              </w:rPr>
            </w:pPr>
            <w:r>
              <w:rPr>
                <w:rFonts w:hint="eastAsia" w:ascii="宋体" w:hAnsi="宋体" w:eastAsia="等线" w:cs="宋体"/>
                <w:sz w:val="24"/>
              </w:rPr>
              <w:t>要求</w:t>
            </w:r>
          </w:p>
        </w:tc>
        <w:tc>
          <w:tcPr>
            <w:tcW w:w="2935" w:type="dxa"/>
            <w:vAlign w:val="center"/>
          </w:tcPr>
          <w:p w14:paraId="4D2D1524">
            <w:pPr>
              <w:adjustRightInd/>
              <w:rPr>
                <w:rFonts w:hint="eastAsia" w:ascii="宋体" w:hAnsi="宋体" w:eastAsia="等线" w:cs="宋体"/>
                <w:sz w:val="24"/>
              </w:rPr>
            </w:pPr>
            <w:r>
              <w:rPr>
                <w:rFonts w:hint="eastAsia" w:ascii="宋体" w:hAnsi="宋体" w:eastAsia="等线" w:cs="宋体"/>
                <w:sz w:val="24"/>
              </w:rPr>
              <w:t>评分规则</w:t>
            </w:r>
          </w:p>
        </w:tc>
        <w:tc>
          <w:tcPr>
            <w:tcW w:w="709" w:type="dxa"/>
            <w:vAlign w:val="center"/>
          </w:tcPr>
          <w:p w14:paraId="4D2D1525">
            <w:pPr>
              <w:adjustRightInd/>
              <w:rPr>
                <w:rFonts w:hint="eastAsia" w:ascii="宋体" w:hAnsi="宋体" w:eastAsia="等线" w:cs="宋体"/>
                <w:sz w:val="24"/>
              </w:rPr>
            </w:pPr>
            <w:r>
              <w:rPr>
                <w:rFonts w:hint="eastAsia" w:ascii="宋体" w:hAnsi="宋体" w:eastAsia="等线" w:cs="宋体"/>
                <w:sz w:val="24"/>
              </w:rPr>
              <w:t>结果</w:t>
            </w:r>
          </w:p>
        </w:tc>
        <w:tc>
          <w:tcPr>
            <w:tcW w:w="709" w:type="dxa"/>
            <w:vAlign w:val="center"/>
          </w:tcPr>
          <w:p w14:paraId="4D2D1526">
            <w:pPr>
              <w:adjustRightInd/>
              <w:rPr>
                <w:rFonts w:hint="eastAsia" w:ascii="宋体" w:hAnsi="宋体" w:eastAsia="等线" w:cs="宋体"/>
                <w:sz w:val="24"/>
              </w:rPr>
            </w:pPr>
            <w:r>
              <w:rPr>
                <w:rFonts w:hint="eastAsia" w:ascii="宋体" w:hAnsi="宋体" w:eastAsia="等线" w:cs="宋体"/>
                <w:sz w:val="24"/>
              </w:rPr>
              <w:t>得分</w:t>
            </w:r>
          </w:p>
        </w:tc>
      </w:tr>
      <w:tr w14:paraId="4D2D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Merge w:val="restart"/>
            <w:vAlign w:val="center"/>
          </w:tcPr>
          <w:p w14:paraId="4D2D1528">
            <w:pPr>
              <w:adjustRightInd/>
              <w:jc w:val="center"/>
              <w:rPr>
                <w:rFonts w:hint="eastAsia" w:ascii="宋体" w:hAnsi="宋体" w:eastAsia="等线" w:cs="宋体"/>
                <w:sz w:val="24"/>
              </w:rPr>
            </w:pPr>
            <w:r>
              <w:rPr>
                <w:rFonts w:hint="eastAsia" w:ascii="宋体" w:hAnsi="宋体" w:eastAsia="等线" w:cs="宋体"/>
                <w:sz w:val="24"/>
              </w:rPr>
              <w:t>故障维修</w:t>
            </w:r>
          </w:p>
        </w:tc>
        <w:tc>
          <w:tcPr>
            <w:tcW w:w="3614" w:type="dxa"/>
            <w:vAlign w:val="center"/>
          </w:tcPr>
          <w:p w14:paraId="4D2D1529">
            <w:pPr>
              <w:adjustRightInd/>
              <w:rPr>
                <w:rFonts w:hint="eastAsia" w:ascii="宋体" w:hAnsi="宋体" w:eastAsia="等线" w:cs="宋体"/>
                <w:sz w:val="24"/>
              </w:rPr>
            </w:pPr>
            <w:r>
              <w:rPr>
                <w:rFonts w:hint="eastAsia" w:ascii="宋体" w:hAnsi="宋体" w:eastAsia="等线" w:cs="宋体"/>
                <w:sz w:val="24"/>
              </w:rPr>
              <w:t>设备开机率大于95%（按全年365天计算），每年累计停机不超过19个工作日。</w:t>
            </w:r>
          </w:p>
        </w:tc>
        <w:tc>
          <w:tcPr>
            <w:tcW w:w="2935" w:type="dxa"/>
            <w:vAlign w:val="center"/>
          </w:tcPr>
          <w:p w14:paraId="4D2D152A">
            <w:pPr>
              <w:adjustRightInd/>
              <w:rPr>
                <w:rFonts w:hint="eastAsia" w:ascii="宋体" w:hAnsi="宋体" w:eastAsia="等线" w:cs="宋体"/>
                <w:sz w:val="24"/>
              </w:rPr>
            </w:pPr>
            <w:r>
              <w:rPr>
                <w:rFonts w:hint="eastAsia" w:ascii="宋体" w:hAnsi="宋体" w:eastAsia="等线" w:cs="宋体"/>
                <w:sz w:val="24"/>
              </w:rPr>
              <w:t>超过一天扣2分，总分10分</w:t>
            </w:r>
          </w:p>
        </w:tc>
        <w:tc>
          <w:tcPr>
            <w:tcW w:w="709" w:type="dxa"/>
            <w:vAlign w:val="center"/>
          </w:tcPr>
          <w:p w14:paraId="4D2D152B">
            <w:pPr>
              <w:adjustRightInd/>
              <w:rPr>
                <w:rFonts w:hint="eastAsia" w:ascii="宋体" w:hAnsi="宋体" w:eastAsia="等线" w:cs="宋体"/>
                <w:sz w:val="24"/>
              </w:rPr>
            </w:pPr>
          </w:p>
        </w:tc>
        <w:tc>
          <w:tcPr>
            <w:tcW w:w="709" w:type="dxa"/>
            <w:vAlign w:val="center"/>
          </w:tcPr>
          <w:p w14:paraId="4D2D152C">
            <w:pPr>
              <w:adjustRightInd/>
              <w:rPr>
                <w:rFonts w:hint="eastAsia" w:ascii="宋体" w:hAnsi="宋体" w:eastAsia="等线" w:cs="宋体"/>
                <w:sz w:val="24"/>
              </w:rPr>
            </w:pPr>
          </w:p>
        </w:tc>
      </w:tr>
      <w:tr w14:paraId="4D2D1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Merge w:val="continue"/>
            <w:vAlign w:val="center"/>
          </w:tcPr>
          <w:p w14:paraId="4D2D152E">
            <w:pPr>
              <w:adjustRightInd/>
              <w:jc w:val="center"/>
              <w:rPr>
                <w:rFonts w:hint="eastAsia" w:ascii="宋体" w:hAnsi="宋体" w:eastAsia="等线" w:cs="宋体"/>
                <w:sz w:val="24"/>
              </w:rPr>
            </w:pPr>
          </w:p>
        </w:tc>
        <w:tc>
          <w:tcPr>
            <w:tcW w:w="3614" w:type="dxa"/>
            <w:vAlign w:val="center"/>
          </w:tcPr>
          <w:p w14:paraId="4D2D152F">
            <w:pPr>
              <w:adjustRightInd/>
              <w:rPr>
                <w:rFonts w:hint="eastAsia" w:ascii="宋体" w:hAnsi="宋体" w:eastAsia="等线" w:cs="宋体"/>
                <w:sz w:val="24"/>
              </w:rPr>
            </w:pPr>
            <w:r>
              <w:rPr>
                <w:rFonts w:hint="eastAsia" w:ascii="宋体" w:hAnsi="宋体" w:eastAsia="等线" w:cs="宋体"/>
                <w:sz w:val="24"/>
              </w:rPr>
              <w:t>维修响应时间：1小时内响应，24小时到达现场维修</w:t>
            </w:r>
          </w:p>
        </w:tc>
        <w:tc>
          <w:tcPr>
            <w:tcW w:w="2935" w:type="dxa"/>
            <w:vAlign w:val="center"/>
          </w:tcPr>
          <w:p w14:paraId="4D2D1530">
            <w:pPr>
              <w:adjustRightInd/>
              <w:rPr>
                <w:rFonts w:hint="eastAsia" w:ascii="宋体" w:hAnsi="宋体" w:eastAsia="等线" w:cs="宋体"/>
                <w:sz w:val="24"/>
              </w:rPr>
            </w:pPr>
            <w:r>
              <w:rPr>
                <w:rFonts w:hint="eastAsia" w:ascii="宋体" w:hAnsi="宋体" w:eastAsia="等线" w:cs="宋体"/>
                <w:sz w:val="24"/>
              </w:rPr>
              <w:t>超过要求时间一次扣1分，总分10分</w:t>
            </w:r>
          </w:p>
        </w:tc>
        <w:tc>
          <w:tcPr>
            <w:tcW w:w="709" w:type="dxa"/>
            <w:vAlign w:val="center"/>
          </w:tcPr>
          <w:p w14:paraId="4D2D1531">
            <w:pPr>
              <w:adjustRightInd/>
              <w:rPr>
                <w:rFonts w:hint="eastAsia" w:ascii="宋体" w:hAnsi="宋体" w:eastAsia="等线" w:cs="宋体"/>
                <w:sz w:val="24"/>
              </w:rPr>
            </w:pPr>
          </w:p>
        </w:tc>
        <w:tc>
          <w:tcPr>
            <w:tcW w:w="709" w:type="dxa"/>
            <w:vAlign w:val="center"/>
          </w:tcPr>
          <w:p w14:paraId="4D2D1532">
            <w:pPr>
              <w:adjustRightInd/>
              <w:rPr>
                <w:rFonts w:hint="eastAsia" w:ascii="宋体" w:hAnsi="宋体" w:eastAsia="等线" w:cs="宋体"/>
                <w:sz w:val="24"/>
              </w:rPr>
            </w:pPr>
          </w:p>
        </w:tc>
      </w:tr>
      <w:tr w14:paraId="4D2D1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Merge w:val="continue"/>
            <w:vAlign w:val="center"/>
          </w:tcPr>
          <w:p w14:paraId="4D2D1534">
            <w:pPr>
              <w:adjustRightInd/>
              <w:jc w:val="center"/>
              <w:rPr>
                <w:rFonts w:hint="eastAsia" w:ascii="宋体" w:hAnsi="宋体" w:eastAsia="等线" w:cs="宋体"/>
                <w:sz w:val="24"/>
              </w:rPr>
            </w:pPr>
          </w:p>
        </w:tc>
        <w:tc>
          <w:tcPr>
            <w:tcW w:w="3614" w:type="dxa"/>
            <w:vAlign w:val="center"/>
          </w:tcPr>
          <w:p w14:paraId="4D2D1535">
            <w:pPr>
              <w:adjustRightInd/>
              <w:rPr>
                <w:rFonts w:hint="eastAsia" w:ascii="宋体" w:hAnsi="宋体" w:eastAsia="等线" w:cs="宋体"/>
                <w:sz w:val="24"/>
              </w:rPr>
            </w:pPr>
            <w:r>
              <w:rPr>
                <w:rFonts w:hint="eastAsia" w:ascii="宋体" w:hAnsi="宋体" w:eastAsia="等线" w:cs="宋体"/>
                <w:sz w:val="24"/>
              </w:rPr>
              <w:t>故障修复时间一般不超过24小时</w:t>
            </w:r>
          </w:p>
        </w:tc>
        <w:tc>
          <w:tcPr>
            <w:tcW w:w="2935" w:type="dxa"/>
            <w:vAlign w:val="center"/>
          </w:tcPr>
          <w:p w14:paraId="4D2D1536">
            <w:pPr>
              <w:adjustRightInd/>
              <w:rPr>
                <w:rFonts w:hint="eastAsia" w:ascii="宋体" w:hAnsi="宋体" w:eastAsia="等线" w:cs="宋体"/>
                <w:sz w:val="24"/>
              </w:rPr>
            </w:pPr>
            <w:r>
              <w:rPr>
                <w:rFonts w:hint="eastAsia" w:ascii="宋体" w:hAnsi="宋体" w:eastAsia="等线" w:cs="宋体"/>
                <w:sz w:val="24"/>
              </w:rPr>
              <w:t>故障修复时间累积3次超过24小时之后，每超过24小时一次扣2分，总分10分</w:t>
            </w:r>
          </w:p>
        </w:tc>
        <w:tc>
          <w:tcPr>
            <w:tcW w:w="709" w:type="dxa"/>
            <w:vAlign w:val="center"/>
          </w:tcPr>
          <w:p w14:paraId="4D2D1537">
            <w:pPr>
              <w:adjustRightInd/>
              <w:rPr>
                <w:rFonts w:hint="eastAsia" w:ascii="宋体" w:hAnsi="宋体" w:eastAsia="等线" w:cs="宋体"/>
                <w:sz w:val="24"/>
              </w:rPr>
            </w:pPr>
          </w:p>
        </w:tc>
        <w:tc>
          <w:tcPr>
            <w:tcW w:w="709" w:type="dxa"/>
            <w:vAlign w:val="center"/>
          </w:tcPr>
          <w:p w14:paraId="4D2D1538">
            <w:pPr>
              <w:adjustRightInd/>
              <w:rPr>
                <w:rFonts w:hint="eastAsia" w:ascii="宋体" w:hAnsi="宋体" w:eastAsia="等线" w:cs="宋体"/>
                <w:sz w:val="24"/>
              </w:rPr>
            </w:pPr>
          </w:p>
        </w:tc>
      </w:tr>
      <w:tr w14:paraId="4D2D1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4D2D153A">
            <w:pPr>
              <w:adjustRightInd/>
              <w:jc w:val="center"/>
              <w:rPr>
                <w:rFonts w:hint="eastAsia" w:ascii="宋体" w:hAnsi="宋体" w:eastAsia="等线" w:cs="宋体"/>
                <w:sz w:val="24"/>
              </w:rPr>
            </w:pPr>
            <w:r>
              <w:rPr>
                <w:rFonts w:hint="eastAsia" w:ascii="宋体" w:hAnsi="宋体" w:eastAsia="等线" w:cs="宋体"/>
                <w:sz w:val="24"/>
              </w:rPr>
              <w:t>定期保养</w:t>
            </w:r>
          </w:p>
        </w:tc>
        <w:tc>
          <w:tcPr>
            <w:tcW w:w="3614" w:type="dxa"/>
            <w:vAlign w:val="center"/>
          </w:tcPr>
          <w:p w14:paraId="4D2D153B">
            <w:pPr>
              <w:adjustRightInd/>
              <w:rPr>
                <w:rFonts w:hint="eastAsia" w:ascii="宋体" w:hAnsi="宋体" w:eastAsia="等线" w:cs="宋体"/>
                <w:sz w:val="24"/>
              </w:rPr>
            </w:pPr>
            <w:r>
              <w:rPr>
                <w:rFonts w:hint="eastAsia" w:ascii="宋体" w:hAnsi="宋体" w:eastAsia="等线" w:cs="宋体"/>
                <w:sz w:val="24"/>
              </w:rPr>
              <w:t>每年提供规定次数预防性维护保养服务，维保内容包括设备清洁、性能测试及校准、必要的机械或电气检查，以及预防性维护。</w:t>
            </w:r>
          </w:p>
        </w:tc>
        <w:tc>
          <w:tcPr>
            <w:tcW w:w="2935" w:type="dxa"/>
            <w:vAlign w:val="center"/>
          </w:tcPr>
          <w:p w14:paraId="4D2D153C">
            <w:pPr>
              <w:adjustRightInd/>
              <w:rPr>
                <w:rFonts w:hint="eastAsia" w:ascii="宋体" w:hAnsi="宋体" w:eastAsia="等线" w:cs="宋体"/>
                <w:sz w:val="24"/>
              </w:rPr>
            </w:pPr>
            <w:r>
              <w:rPr>
                <w:rFonts w:hint="eastAsia" w:ascii="宋体" w:hAnsi="宋体" w:eastAsia="等线" w:cs="宋体"/>
                <w:sz w:val="24"/>
              </w:rPr>
              <w:t>依据承诺提供的保养次数按比例在总分上扣除，总分20分</w:t>
            </w:r>
          </w:p>
        </w:tc>
        <w:tc>
          <w:tcPr>
            <w:tcW w:w="709" w:type="dxa"/>
            <w:vAlign w:val="center"/>
          </w:tcPr>
          <w:p w14:paraId="4D2D153D">
            <w:pPr>
              <w:adjustRightInd/>
              <w:rPr>
                <w:rFonts w:hint="eastAsia" w:ascii="宋体" w:hAnsi="宋体" w:eastAsia="等线" w:cs="宋体"/>
                <w:sz w:val="24"/>
              </w:rPr>
            </w:pPr>
          </w:p>
        </w:tc>
        <w:tc>
          <w:tcPr>
            <w:tcW w:w="709" w:type="dxa"/>
            <w:vAlign w:val="center"/>
          </w:tcPr>
          <w:p w14:paraId="4D2D153E">
            <w:pPr>
              <w:adjustRightInd/>
              <w:rPr>
                <w:rFonts w:hint="eastAsia" w:ascii="宋体" w:hAnsi="宋体" w:eastAsia="等线" w:cs="宋体"/>
                <w:sz w:val="24"/>
              </w:rPr>
            </w:pPr>
          </w:p>
        </w:tc>
      </w:tr>
      <w:tr w14:paraId="4D2D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22" w:type="dxa"/>
            <w:vMerge w:val="restart"/>
            <w:vAlign w:val="center"/>
          </w:tcPr>
          <w:p w14:paraId="4D2D1540">
            <w:pPr>
              <w:adjustRightInd/>
              <w:jc w:val="center"/>
              <w:rPr>
                <w:rFonts w:hint="eastAsia" w:ascii="宋体" w:hAnsi="宋体" w:eastAsia="等线" w:cs="宋体"/>
                <w:sz w:val="24"/>
              </w:rPr>
            </w:pPr>
            <w:r>
              <w:rPr>
                <w:rFonts w:hint="eastAsia" w:ascii="宋体" w:hAnsi="宋体" w:eastAsia="等线" w:cs="宋体"/>
                <w:sz w:val="24"/>
              </w:rPr>
              <w:t>服务报告</w:t>
            </w:r>
          </w:p>
        </w:tc>
        <w:tc>
          <w:tcPr>
            <w:tcW w:w="3614" w:type="dxa"/>
            <w:vAlign w:val="center"/>
          </w:tcPr>
          <w:p w14:paraId="4D2D1541">
            <w:pPr>
              <w:adjustRightInd/>
              <w:rPr>
                <w:rFonts w:hint="eastAsia" w:ascii="宋体" w:hAnsi="宋体" w:eastAsia="等线" w:cs="宋体"/>
                <w:sz w:val="24"/>
              </w:rPr>
            </w:pPr>
            <w:r>
              <w:rPr>
                <w:rFonts w:hint="eastAsia" w:ascii="宋体" w:hAnsi="宋体" w:eastAsia="等线" w:cs="宋体"/>
                <w:sz w:val="24"/>
              </w:rPr>
              <w:t>每次维修后必须提供服务报告，每次保养后必须提供详细的保养报告。</w:t>
            </w:r>
          </w:p>
        </w:tc>
        <w:tc>
          <w:tcPr>
            <w:tcW w:w="2935" w:type="dxa"/>
            <w:vAlign w:val="center"/>
          </w:tcPr>
          <w:p w14:paraId="4D2D1542">
            <w:pPr>
              <w:adjustRightInd/>
              <w:rPr>
                <w:rFonts w:hint="eastAsia" w:ascii="宋体" w:hAnsi="宋体" w:eastAsia="等线" w:cs="宋体"/>
                <w:sz w:val="24"/>
              </w:rPr>
            </w:pPr>
            <w:r>
              <w:rPr>
                <w:rFonts w:hint="eastAsia" w:ascii="宋体" w:hAnsi="宋体" w:eastAsia="等线" w:cs="宋体"/>
                <w:sz w:val="24"/>
              </w:rPr>
              <w:t>缺少一份服务报告扣2分，总分10分</w:t>
            </w:r>
          </w:p>
        </w:tc>
        <w:tc>
          <w:tcPr>
            <w:tcW w:w="709" w:type="dxa"/>
            <w:vAlign w:val="center"/>
          </w:tcPr>
          <w:p w14:paraId="4D2D1543">
            <w:pPr>
              <w:adjustRightInd/>
              <w:rPr>
                <w:rFonts w:hint="eastAsia" w:ascii="宋体" w:hAnsi="宋体" w:eastAsia="等线" w:cs="宋体"/>
                <w:sz w:val="24"/>
              </w:rPr>
            </w:pPr>
          </w:p>
        </w:tc>
        <w:tc>
          <w:tcPr>
            <w:tcW w:w="709" w:type="dxa"/>
            <w:vAlign w:val="center"/>
          </w:tcPr>
          <w:p w14:paraId="4D2D1544">
            <w:pPr>
              <w:adjustRightInd/>
              <w:rPr>
                <w:rFonts w:hint="eastAsia" w:ascii="宋体" w:hAnsi="宋体" w:eastAsia="等线" w:cs="宋体"/>
                <w:sz w:val="24"/>
              </w:rPr>
            </w:pPr>
          </w:p>
        </w:tc>
      </w:tr>
      <w:tr w14:paraId="4D2D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22" w:type="dxa"/>
            <w:vMerge w:val="continue"/>
            <w:vAlign w:val="center"/>
          </w:tcPr>
          <w:p w14:paraId="4D2D1546">
            <w:pPr>
              <w:adjustRightInd/>
              <w:jc w:val="center"/>
              <w:rPr>
                <w:rFonts w:hint="eastAsia" w:ascii="宋体" w:hAnsi="宋体" w:eastAsia="等线" w:cs="宋体"/>
                <w:sz w:val="24"/>
              </w:rPr>
            </w:pPr>
          </w:p>
        </w:tc>
        <w:tc>
          <w:tcPr>
            <w:tcW w:w="3614" w:type="dxa"/>
            <w:vAlign w:val="center"/>
          </w:tcPr>
          <w:p w14:paraId="4D2D1547">
            <w:pPr>
              <w:adjustRightInd/>
              <w:rPr>
                <w:rFonts w:hint="eastAsia" w:ascii="宋体" w:hAnsi="宋体" w:eastAsia="等线" w:cs="宋体"/>
                <w:sz w:val="24"/>
              </w:rPr>
            </w:pPr>
            <w:r>
              <w:rPr>
                <w:rFonts w:hint="eastAsia" w:ascii="宋体" w:hAnsi="宋体" w:eastAsia="等线" w:cs="宋体"/>
                <w:sz w:val="24"/>
              </w:rPr>
              <w:t>每年度提供一份年度维保服务档案，内容包括所有的维修报告、巡检报告、保养报告等</w:t>
            </w:r>
          </w:p>
        </w:tc>
        <w:tc>
          <w:tcPr>
            <w:tcW w:w="2935" w:type="dxa"/>
            <w:vAlign w:val="center"/>
          </w:tcPr>
          <w:p w14:paraId="4D2D1548">
            <w:pPr>
              <w:adjustRightInd/>
              <w:rPr>
                <w:rFonts w:hint="eastAsia" w:ascii="宋体" w:hAnsi="宋体" w:eastAsia="等线" w:cs="宋体"/>
                <w:sz w:val="24"/>
              </w:rPr>
            </w:pPr>
            <w:r>
              <w:rPr>
                <w:rFonts w:hint="eastAsia" w:ascii="宋体" w:hAnsi="宋体" w:eastAsia="等线" w:cs="宋体"/>
                <w:sz w:val="24"/>
              </w:rPr>
              <w:t>总分10分，若无法提供服务档案或档案不全，则不得分</w:t>
            </w:r>
          </w:p>
        </w:tc>
        <w:tc>
          <w:tcPr>
            <w:tcW w:w="709" w:type="dxa"/>
            <w:vAlign w:val="center"/>
          </w:tcPr>
          <w:p w14:paraId="4D2D1549">
            <w:pPr>
              <w:adjustRightInd/>
              <w:rPr>
                <w:rFonts w:hint="eastAsia" w:ascii="宋体" w:hAnsi="宋体" w:eastAsia="等线" w:cs="宋体"/>
                <w:sz w:val="24"/>
              </w:rPr>
            </w:pPr>
          </w:p>
        </w:tc>
        <w:tc>
          <w:tcPr>
            <w:tcW w:w="709" w:type="dxa"/>
            <w:vAlign w:val="center"/>
          </w:tcPr>
          <w:p w14:paraId="4D2D154A">
            <w:pPr>
              <w:adjustRightInd/>
              <w:rPr>
                <w:rFonts w:hint="eastAsia" w:ascii="宋体" w:hAnsi="宋体" w:eastAsia="等线" w:cs="宋体"/>
                <w:sz w:val="24"/>
              </w:rPr>
            </w:pPr>
          </w:p>
        </w:tc>
      </w:tr>
      <w:tr w14:paraId="4D2D1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2" w:type="dxa"/>
            <w:vMerge w:val="continue"/>
            <w:vAlign w:val="center"/>
          </w:tcPr>
          <w:p w14:paraId="4D2D154C">
            <w:pPr>
              <w:adjustRightInd/>
              <w:jc w:val="center"/>
              <w:rPr>
                <w:rFonts w:hint="eastAsia" w:ascii="宋体" w:hAnsi="宋体" w:eastAsia="等线" w:cs="宋体"/>
                <w:sz w:val="24"/>
              </w:rPr>
            </w:pPr>
          </w:p>
        </w:tc>
        <w:tc>
          <w:tcPr>
            <w:tcW w:w="3614" w:type="dxa"/>
            <w:vAlign w:val="center"/>
          </w:tcPr>
          <w:p w14:paraId="4D2D154D">
            <w:pPr>
              <w:adjustRightInd/>
              <w:rPr>
                <w:rFonts w:hint="eastAsia" w:ascii="宋体" w:hAnsi="宋体" w:eastAsia="等线" w:cs="宋体"/>
                <w:sz w:val="24"/>
              </w:rPr>
            </w:pPr>
            <w:r>
              <w:rPr>
                <w:rFonts w:hint="eastAsia" w:ascii="宋体" w:hAnsi="宋体" w:eastAsia="等线" w:cs="宋体"/>
                <w:sz w:val="24"/>
              </w:rPr>
              <w:t>服务报告必须有设备使用者或者设备科签字确认</w:t>
            </w:r>
          </w:p>
        </w:tc>
        <w:tc>
          <w:tcPr>
            <w:tcW w:w="2935" w:type="dxa"/>
            <w:vAlign w:val="center"/>
          </w:tcPr>
          <w:p w14:paraId="4D2D154E">
            <w:pPr>
              <w:adjustRightInd/>
              <w:rPr>
                <w:rFonts w:hint="eastAsia" w:ascii="宋体" w:hAnsi="宋体" w:eastAsia="等线" w:cs="宋体"/>
                <w:sz w:val="24"/>
              </w:rPr>
            </w:pPr>
            <w:r>
              <w:rPr>
                <w:rFonts w:hint="eastAsia" w:ascii="宋体" w:hAnsi="宋体" w:eastAsia="等线" w:cs="宋体"/>
                <w:sz w:val="24"/>
              </w:rPr>
              <w:t>缺少一个签字扣2分，总分10分</w:t>
            </w:r>
          </w:p>
        </w:tc>
        <w:tc>
          <w:tcPr>
            <w:tcW w:w="709" w:type="dxa"/>
            <w:vAlign w:val="center"/>
          </w:tcPr>
          <w:p w14:paraId="4D2D154F">
            <w:pPr>
              <w:adjustRightInd/>
              <w:rPr>
                <w:rFonts w:hint="eastAsia" w:ascii="宋体" w:hAnsi="宋体" w:eastAsia="等线" w:cs="宋体"/>
                <w:sz w:val="24"/>
              </w:rPr>
            </w:pPr>
          </w:p>
        </w:tc>
        <w:tc>
          <w:tcPr>
            <w:tcW w:w="709" w:type="dxa"/>
            <w:vAlign w:val="center"/>
          </w:tcPr>
          <w:p w14:paraId="4D2D1550">
            <w:pPr>
              <w:adjustRightInd/>
              <w:rPr>
                <w:rFonts w:hint="eastAsia" w:ascii="宋体" w:hAnsi="宋体" w:eastAsia="等线" w:cs="宋体"/>
                <w:sz w:val="24"/>
              </w:rPr>
            </w:pPr>
          </w:p>
        </w:tc>
      </w:tr>
      <w:tr w14:paraId="4D2D1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22" w:type="dxa"/>
            <w:vMerge w:val="restart"/>
            <w:vAlign w:val="center"/>
          </w:tcPr>
          <w:p w14:paraId="4D2D1552">
            <w:pPr>
              <w:adjustRightInd/>
              <w:jc w:val="center"/>
              <w:rPr>
                <w:rFonts w:hint="eastAsia" w:ascii="宋体" w:hAnsi="宋体" w:eastAsia="等线" w:cs="宋体"/>
                <w:sz w:val="24"/>
              </w:rPr>
            </w:pPr>
            <w:r>
              <w:rPr>
                <w:rFonts w:hint="eastAsia" w:ascii="宋体" w:hAnsi="宋体" w:eastAsia="等线" w:cs="宋体"/>
                <w:sz w:val="24"/>
              </w:rPr>
              <w:t>服务态度</w:t>
            </w:r>
          </w:p>
        </w:tc>
        <w:tc>
          <w:tcPr>
            <w:tcW w:w="3614" w:type="dxa"/>
            <w:vAlign w:val="center"/>
          </w:tcPr>
          <w:p w14:paraId="4D2D1553">
            <w:pPr>
              <w:adjustRightInd/>
              <w:rPr>
                <w:rFonts w:hint="eastAsia" w:ascii="宋体" w:hAnsi="宋体" w:eastAsia="等线" w:cs="宋体"/>
                <w:sz w:val="24"/>
              </w:rPr>
            </w:pPr>
            <w:r>
              <w:rPr>
                <w:rFonts w:hint="eastAsia" w:ascii="宋体" w:hAnsi="宋体" w:eastAsia="等线" w:cs="宋体"/>
                <w:sz w:val="24"/>
              </w:rPr>
              <w:t>提供24小时售后电话，拨打电话后提供全方位电话支援，答疑、指导维修、提供技术支持等。</w:t>
            </w:r>
          </w:p>
        </w:tc>
        <w:tc>
          <w:tcPr>
            <w:tcW w:w="2935" w:type="dxa"/>
            <w:vAlign w:val="center"/>
          </w:tcPr>
          <w:p w14:paraId="4D2D1554">
            <w:pPr>
              <w:adjustRightInd/>
              <w:rPr>
                <w:rFonts w:hint="eastAsia" w:ascii="宋体" w:hAnsi="宋体" w:eastAsia="等线" w:cs="宋体"/>
                <w:sz w:val="24"/>
              </w:rPr>
            </w:pPr>
            <w:r>
              <w:rPr>
                <w:rFonts w:hint="eastAsia" w:ascii="宋体" w:hAnsi="宋体" w:eastAsia="等线" w:cs="宋体"/>
                <w:sz w:val="24"/>
              </w:rPr>
              <w:t>电话无法接通或拒绝提供服务一次扣5分，总分10分</w:t>
            </w:r>
          </w:p>
        </w:tc>
        <w:tc>
          <w:tcPr>
            <w:tcW w:w="709" w:type="dxa"/>
            <w:vAlign w:val="center"/>
          </w:tcPr>
          <w:p w14:paraId="4D2D1555">
            <w:pPr>
              <w:adjustRightInd/>
              <w:rPr>
                <w:rFonts w:hint="eastAsia" w:ascii="宋体" w:hAnsi="宋体" w:eastAsia="等线" w:cs="宋体"/>
                <w:sz w:val="24"/>
              </w:rPr>
            </w:pPr>
          </w:p>
        </w:tc>
        <w:tc>
          <w:tcPr>
            <w:tcW w:w="709" w:type="dxa"/>
            <w:vAlign w:val="center"/>
          </w:tcPr>
          <w:p w14:paraId="4D2D1556">
            <w:pPr>
              <w:adjustRightInd/>
              <w:rPr>
                <w:rFonts w:hint="eastAsia" w:ascii="宋体" w:hAnsi="宋体" w:eastAsia="等线" w:cs="宋体"/>
                <w:sz w:val="24"/>
              </w:rPr>
            </w:pPr>
          </w:p>
        </w:tc>
      </w:tr>
      <w:tr w14:paraId="4D2D1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22" w:type="dxa"/>
            <w:vMerge w:val="continue"/>
            <w:vAlign w:val="center"/>
          </w:tcPr>
          <w:p w14:paraId="4D2D1558">
            <w:pPr>
              <w:adjustRightInd/>
              <w:rPr>
                <w:rFonts w:hint="eastAsia" w:ascii="宋体" w:hAnsi="宋体" w:eastAsia="等线" w:cs="宋体"/>
                <w:sz w:val="24"/>
              </w:rPr>
            </w:pPr>
          </w:p>
        </w:tc>
        <w:tc>
          <w:tcPr>
            <w:tcW w:w="3614" w:type="dxa"/>
            <w:vAlign w:val="center"/>
          </w:tcPr>
          <w:p w14:paraId="4D2D1559">
            <w:pPr>
              <w:adjustRightInd/>
              <w:rPr>
                <w:rFonts w:hint="eastAsia" w:ascii="宋体" w:hAnsi="宋体" w:eastAsia="等线" w:cs="宋体"/>
                <w:sz w:val="24"/>
              </w:rPr>
            </w:pPr>
            <w:r>
              <w:rPr>
                <w:rFonts w:hint="eastAsia" w:ascii="宋体" w:hAnsi="宋体" w:eastAsia="等线" w:cs="宋体"/>
                <w:sz w:val="24"/>
              </w:rPr>
              <w:t>工程师应具有良好的精神面貌和工作热情，对待院方工作人员应热情礼貌，帮助解决疑问。</w:t>
            </w:r>
          </w:p>
        </w:tc>
        <w:tc>
          <w:tcPr>
            <w:tcW w:w="2935" w:type="dxa"/>
            <w:vAlign w:val="center"/>
          </w:tcPr>
          <w:p w14:paraId="4D2D155A">
            <w:pPr>
              <w:adjustRightInd/>
              <w:rPr>
                <w:rFonts w:hint="eastAsia" w:ascii="宋体" w:hAnsi="宋体" w:eastAsia="等线" w:cs="宋体"/>
                <w:sz w:val="24"/>
              </w:rPr>
            </w:pPr>
            <w:r>
              <w:rPr>
                <w:rFonts w:hint="eastAsia" w:ascii="宋体" w:hAnsi="宋体" w:eastAsia="等线" w:cs="宋体"/>
                <w:sz w:val="24"/>
              </w:rPr>
              <w:t>工程师服务态度恶劣，每被投诉一次扣5分，总分10分</w:t>
            </w:r>
          </w:p>
        </w:tc>
        <w:tc>
          <w:tcPr>
            <w:tcW w:w="709" w:type="dxa"/>
            <w:vAlign w:val="center"/>
          </w:tcPr>
          <w:p w14:paraId="4D2D155B">
            <w:pPr>
              <w:adjustRightInd/>
              <w:rPr>
                <w:rFonts w:hint="eastAsia" w:ascii="宋体" w:hAnsi="宋体" w:eastAsia="等线" w:cs="宋体"/>
                <w:sz w:val="24"/>
              </w:rPr>
            </w:pPr>
          </w:p>
        </w:tc>
        <w:tc>
          <w:tcPr>
            <w:tcW w:w="709" w:type="dxa"/>
            <w:vAlign w:val="center"/>
          </w:tcPr>
          <w:p w14:paraId="4D2D155C">
            <w:pPr>
              <w:adjustRightInd/>
              <w:rPr>
                <w:rFonts w:hint="eastAsia" w:ascii="宋体" w:hAnsi="宋体" w:eastAsia="等线" w:cs="宋体"/>
                <w:sz w:val="24"/>
              </w:rPr>
            </w:pPr>
          </w:p>
        </w:tc>
      </w:tr>
      <w:tr w14:paraId="4D2D1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789" w:type="dxa"/>
            <w:gridSpan w:val="5"/>
            <w:vAlign w:val="center"/>
          </w:tcPr>
          <w:p w14:paraId="4D2D155E">
            <w:pPr>
              <w:adjustRightInd/>
              <w:rPr>
                <w:rFonts w:hint="eastAsia" w:ascii="宋体" w:hAnsi="宋体" w:eastAsia="等线" w:cs="宋体"/>
                <w:sz w:val="24"/>
              </w:rPr>
            </w:pPr>
            <w:r>
              <w:rPr>
                <w:rFonts w:hint="eastAsia" w:ascii="宋体" w:hAnsi="宋体" w:eastAsia="等线" w:cs="宋体"/>
                <w:sz w:val="24"/>
              </w:rPr>
              <w:t xml:space="preserve">考核分数：              考核结果：               </w:t>
            </w:r>
          </w:p>
        </w:tc>
      </w:tr>
    </w:tbl>
    <w:p w14:paraId="4D2D1560">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备注：采购人在服务期限内对中标人的服务质量进行考核并累积扣分，服务期限满后根据累积的扣分情况计算最终得分。（1）考核分数大于90分为优秀，全额拨付服务费，并作为续签下一年合同的依据。（2）考核得分85-90分的，扣合同总价的5%；（3）考核得分80-84分的，扣合同总价的10%；（4）考核得分80分以下的，扣合同总价的20%。</w:t>
      </w:r>
    </w:p>
    <w:p w14:paraId="4D2D1561">
      <w:pPr>
        <w:spacing w:line="360" w:lineRule="auto"/>
        <w:ind w:left="-420" w:leftChars="-200" w:right="-420" w:rightChars="-200" w:firstLine="480" w:firstLineChars="200"/>
        <w:jc w:val="center"/>
        <w:rPr>
          <w:rFonts w:hint="eastAsia" w:ascii="宋体" w:hAnsi="宋体" w:cs="宋体"/>
          <w:sz w:val="24"/>
        </w:rPr>
      </w:pPr>
    </w:p>
    <w:p w14:paraId="4D2D1562">
      <w:pPr>
        <w:widowControl/>
        <w:adjustRightInd/>
        <w:jc w:val="center"/>
        <w:rPr>
          <w:rFonts w:hint="eastAsia" w:ascii="宋体" w:hAnsi="宋体" w:cs="宋体"/>
          <w:b/>
          <w:sz w:val="36"/>
          <w:szCs w:val="20"/>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bookmarkEnd w:id="396"/>
    <w:bookmarkEnd w:id="397"/>
    <w:p w14:paraId="4D2D1563">
      <w:pPr>
        <w:widowControl/>
        <w:adjustRightInd/>
        <w:jc w:val="center"/>
        <w:outlineLvl w:val="0"/>
        <w:rPr>
          <w:rFonts w:hint="eastAsia" w:ascii="宋体" w:hAnsi="宋体" w:cs="宋体"/>
          <w:b/>
          <w:sz w:val="36"/>
          <w:szCs w:val="20"/>
        </w:rPr>
      </w:pPr>
      <w:bookmarkStart w:id="399" w:name="_Toc8397"/>
      <w:r>
        <w:rPr>
          <w:rFonts w:hint="eastAsia" w:ascii="宋体" w:hAnsi="宋体" w:cs="宋体"/>
          <w:b/>
          <w:sz w:val="36"/>
          <w:szCs w:val="20"/>
        </w:rPr>
        <w:t>第六部分 应提交的有关格式范例</w:t>
      </w:r>
      <w:bookmarkEnd w:id="399"/>
    </w:p>
    <w:p w14:paraId="4D2D1564">
      <w:pPr>
        <w:spacing w:line="360" w:lineRule="auto"/>
        <w:jc w:val="center"/>
        <w:rPr>
          <w:rFonts w:hint="eastAsia" w:ascii="宋体" w:hAnsi="宋体" w:cs="宋体"/>
          <w:b/>
          <w:kern w:val="0"/>
          <w:sz w:val="36"/>
          <w:szCs w:val="36"/>
        </w:rPr>
      </w:pPr>
    </w:p>
    <w:p w14:paraId="4D2D1565">
      <w:pPr>
        <w:spacing w:line="360" w:lineRule="auto"/>
        <w:jc w:val="center"/>
        <w:rPr>
          <w:rFonts w:hint="eastAsia" w:ascii="宋体" w:hAnsi="宋体" w:cs="宋体"/>
          <w:b/>
          <w:kern w:val="0"/>
          <w:sz w:val="36"/>
          <w:szCs w:val="36"/>
        </w:rPr>
      </w:pPr>
      <w:r>
        <w:rPr>
          <w:rFonts w:hint="eastAsia" w:ascii="宋体" w:hAnsi="宋体" w:cs="宋体"/>
          <w:b/>
          <w:kern w:val="0"/>
          <w:sz w:val="36"/>
          <w:szCs w:val="36"/>
        </w:rPr>
        <w:t>资格文件部分</w:t>
      </w:r>
    </w:p>
    <w:p w14:paraId="4D2D1566">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4D2D1567">
      <w:pPr>
        <w:spacing w:line="360" w:lineRule="auto"/>
        <w:jc w:val="center"/>
        <w:rPr>
          <w:rFonts w:hint="eastAsia" w:ascii="宋体" w:hAnsi="宋体" w:cs="宋体"/>
          <w:b/>
          <w:kern w:val="0"/>
          <w:sz w:val="36"/>
          <w:szCs w:val="36"/>
        </w:rPr>
      </w:pPr>
    </w:p>
    <w:p w14:paraId="4D2D1568">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4D2D1569">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D2D156A">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4D2D156B">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4D2D156C">
      <w:pPr>
        <w:snapToGrid w:val="0"/>
        <w:spacing w:line="360" w:lineRule="auto"/>
        <w:ind w:firstLine="480" w:firstLineChars="200"/>
        <w:rPr>
          <w:rFonts w:hint="eastAsia" w:ascii="宋体" w:hAnsi="宋体" w:cs="宋体"/>
          <w:sz w:val="24"/>
        </w:rPr>
      </w:pPr>
    </w:p>
    <w:p w14:paraId="4D2D156D">
      <w:pPr>
        <w:spacing w:line="360" w:lineRule="auto"/>
        <w:ind w:firstLine="480" w:firstLineChars="200"/>
        <w:rPr>
          <w:rFonts w:hint="eastAsia" w:ascii="宋体" w:hAnsi="宋体" w:cs="宋体"/>
          <w:sz w:val="24"/>
        </w:rPr>
      </w:pPr>
    </w:p>
    <w:p w14:paraId="4D2D156E">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一、符合参加政府采购活动应当具备的一般条件的承诺函</w:t>
      </w:r>
    </w:p>
    <w:p w14:paraId="4D2D156F">
      <w:pPr>
        <w:snapToGrid w:val="0"/>
        <w:spacing w:line="360" w:lineRule="auto"/>
        <w:rPr>
          <w:rFonts w:hint="eastAsia" w:ascii="宋体" w:hAnsi="宋体" w:cs="宋体"/>
          <w:sz w:val="24"/>
        </w:rPr>
      </w:pPr>
      <w:r>
        <w:rPr>
          <w:rFonts w:hint="eastAsia" w:ascii="宋体" w:hAnsi="宋体" w:cs="宋体"/>
          <w:sz w:val="24"/>
        </w:rPr>
        <w:t>（采购人）、（采购代理机构）：</w:t>
      </w:r>
    </w:p>
    <w:p w14:paraId="4D2D1570">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我方参与（项目名称）【招标编号：（采购编号）】政府采购活动，郑重承诺：</w:t>
      </w:r>
    </w:p>
    <w:p w14:paraId="4D2D1571">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4D2D1572">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4D2D1573">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4D2D1574">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4D2D1575">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4D2D1576">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4D2D1577">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4D2D1578">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D2D1579">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4D2D157A">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D2D157B">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D2D157C">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14:paraId="4D2D157D">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D2D157E">
      <w:pPr>
        <w:snapToGrid w:val="0"/>
        <w:spacing w:line="360" w:lineRule="auto"/>
        <w:ind w:right="480"/>
        <w:jc w:val="center"/>
        <w:rPr>
          <w:rFonts w:hint="eastAsia" w:ascii="宋体" w:hAnsi="宋体" w:cs="宋体"/>
          <w:b/>
          <w:kern w:val="0"/>
          <w:sz w:val="32"/>
          <w:szCs w:val="32"/>
        </w:rPr>
      </w:pPr>
    </w:p>
    <w:p w14:paraId="4D2D157F">
      <w:pPr>
        <w:snapToGrid w:val="0"/>
        <w:spacing w:line="360" w:lineRule="auto"/>
        <w:ind w:right="480"/>
        <w:jc w:val="center"/>
        <w:rPr>
          <w:rFonts w:hint="eastAsia" w:ascii="宋体" w:hAnsi="宋体" w:cs="宋体"/>
          <w:b/>
          <w:kern w:val="0"/>
          <w:sz w:val="32"/>
          <w:szCs w:val="32"/>
        </w:rPr>
      </w:pPr>
    </w:p>
    <w:p w14:paraId="4D2D1580">
      <w:pPr>
        <w:snapToGrid w:val="0"/>
        <w:spacing w:line="360" w:lineRule="auto"/>
        <w:ind w:right="480"/>
        <w:jc w:val="center"/>
        <w:rPr>
          <w:rFonts w:hint="eastAsia" w:ascii="宋体" w:hAnsi="宋体" w:cs="宋体"/>
          <w:b/>
          <w:kern w:val="0"/>
          <w:sz w:val="32"/>
          <w:szCs w:val="32"/>
        </w:rPr>
      </w:pPr>
    </w:p>
    <w:p w14:paraId="4D2D1581">
      <w:pPr>
        <w:rPr>
          <w:rFonts w:hint="eastAsia" w:ascii="宋体" w:hAnsi="宋体" w:cs="宋体"/>
        </w:rPr>
      </w:pPr>
    </w:p>
    <w:p w14:paraId="4D2D1582">
      <w:pPr>
        <w:snapToGrid w:val="0"/>
        <w:spacing w:line="360" w:lineRule="auto"/>
        <w:ind w:right="480"/>
        <w:jc w:val="center"/>
        <w:rPr>
          <w:rFonts w:hint="eastAsia" w:ascii="宋体" w:hAnsi="宋体" w:cs="宋体"/>
          <w:b/>
          <w:kern w:val="0"/>
          <w:sz w:val="32"/>
          <w:szCs w:val="32"/>
        </w:rPr>
      </w:pPr>
    </w:p>
    <w:p w14:paraId="4D2D1583">
      <w:pPr>
        <w:snapToGrid w:val="0"/>
        <w:spacing w:line="360" w:lineRule="auto"/>
        <w:ind w:right="480"/>
        <w:jc w:val="center"/>
        <w:rPr>
          <w:rFonts w:hint="eastAsia" w:ascii="宋体" w:hAnsi="宋体" w:cs="宋体"/>
          <w:b/>
          <w:kern w:val="0"/>
          <w:sz w:val="32"/>
          <w:szCs w:val="32"/>
        </w:rPr>
      </w:pPr>
    </w:p>
    <w:p w14:paraId="4D2D1584">
      <w:pPr>
        <w:snapToGrid w:val="0"/>
        <w:spacing w:line="360" w:lineRule="auto"/>
        <w:ind w:right="480"/>
        <w:jc w:val="center"/>
        <w:rPr>
          <w:rFonts w:hint="eastAsia" w:ascii="宋体" w:hAnsi="宋体" w:cs="宋体"/>
          <w:b/>
          <w:kern w:val="0"/>
          <w:sz w:val="32"/>
          <w:szCs w:val="32"/>
        </w:rPr>
      </w:pPr>
    </w:p>
    <w:p w14:paraId="4D2D1585">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4D2D1586">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4D2D1587">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4D2D1588">
      <w:pPr>
        <w:snapToGrid w:val="0"/>
        <w:spacing w:line="360" w:lineRule="auto"/>
        <w:ind w:right="480"/>
        <w:jc w:val="center"/>
        <w:rPr>
          <w:rFonts w:hint="eastAsia" w:ascii="宋体" w:hAnsi="宋体" w:cs="宋体"/>
          <w:b/>
          <w:kern w:val="0"/>
          <w:sz w:val="32"/>
          <w:szCs w:val="32"/>
        </w:rPr>
      </w:pPr>
    </w:p>
    <w:p w14:paraId="4D2D1589">
      <w:pPr>
        <w:snapToGrid w:val="0"/>
        <w:spacing w:line="360" w:lineRule="auto"/>
        <w:ind w:right="480"/>
        <w:jc w:val="center"/>
        <w:rPr>
          <w:rFonts w:hint="eastAsia" w:ascii="宋体" w:hAnsi="宋体" w:cs="宋体"/>
          <w:b/>
          <w:kern w:val="0"/>
          <w:sz w:val="32"/>
          <w:szCs w:val="32"/>
        </w:rPr>
      </w:pPr>
    </w:p>
    <w:p w14:paraId="4D2D158A">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4D2D158B">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4D2D158C">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4D2D158D">
      <w:pPr>
        <w:widowControl/>
        <w:spacing w:line="360" w:lineRule="auto"/>
        <w:ind w:firstLine="480"/>
        <w:jc w:val="left"/>
        <w:rPr>
          <w:rFonts w:hint="eastAsia" w:ascii="宋体" w:hAnsi="宋体" w:cs="宋体"/>
          <w:sz w:val="24"/>
        </w:rPr>
      </w:pPr>
    </w:p>
    <w:p w14:paraId="4D2D158E">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4D2D158F">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4D2D1590">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D2D1591">
      <w:pPr>
        <w:widowControl/>
        <w:spacing w:line="360" w:lineRule="auto"/>
        <w:ind w:left="150"/>
        <w:jc w:val="center"/>
        <w:rPr>
          <w:rFonts w:hint="eastAsia" w:ascii="宋体" w:hAnsi="宋体" w:cs="宋体"/>
          <w:b/>
          <w:kern w:val="0"/>
          <w:sz w:val="32"/>
          <w:szCs w:val="32"/>
        </w:rPr>
      </w:pPr>
    </w:p>
    <w:p w14:paraId="4D2D1592">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4D2D1593">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4D2D1594">
      <w:pPr>
        <w:rPr>
          <w:rFonts w:hint="eastAsia" w:ascii="宋体" w:hAnsi="宋体" w:cs="宋体"/>
        </w:rPr>
      </w:pPr>
    </w:p>
    <w:p w14:paraId="4D2D1595">
      <w:pPr>
        <w:snapToGrid w:val="0"/>
        <w:spacing w:line="360" w:lineRule="auto"/>
        <w:ind w:right="480"/>
        <w:jc w:val="center"/>
        <w:rPr>
          <w:rFonts w:hint="eastAsia" w:ascii="宋体" w:hAnsi="宋体" w:cs="宋体"/>
          <w:b/>
          <w:kern w:val="0"/>
          <w:sz w:val="32"/>
          <w:szCs w:val="32"/>
        </w:rPr>
      </w:pPr>
    </w:p>
    <w:p w14:paraId="4D2D1596">
      <w:pPr>
        <w:widowControl/>
        <w:adjustRightInd/>
        <w:jc w:val="left"/>
        <w:rPr>
          <w:rFonts w:hint="eastAsia" w:ascii="宋体" w:hAnsi="宋体" w:cs="宋体"/>
          <w:b/>
          <w:kern w:val="0"/>
          <w:sz w:val="36"/>
          <w:szCs w:val="36"/>
        </w:rPr>
      </w:pPr>
      <w:r>
        <w:rPr>
          <w:rFonts w:ascii="宋体" w:hAnsi="宋体" w:cs="宋体"/>
          <w:b/>
          <w:kern w:val="0"/>
          <w:sz w:val="36"/>
          <w:szCs w:val="36"/>
        </w:rPr>
        <w:br w:type="page"/>
      </w:r>
    </w:p>
    <w:p w14:paraId="4D2D1597">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4D2D1598">
      <w:pPr>
        <w:spacing w:line="360" w:lineRule="auto"/>
        <w:jc w:val="center"/>
        <w:rPr>
          <w:rFonts w:hint="eastAsia" w:ascii="宋体" w:hAnsi="宋体" w:cs="宋体"/>
          <w:b/>
          <w:kern w:val="0"/>
          <w:sz w:val="24"/>
        </w:rPr>
      </w:pPr>
    </w:p>
    <w:p w14:paraId="4D2D1599">
      <w:pPr>
        <w:spacing w:line="360" w:lineRule="auto"/>
        <w:jc w:val="center"/>
        <w:rPr>
          <w:rFonts w:hint="eastAsia" w:ascii="宋体" w:hAnsi="宋体" w:cs="宋体"/>
          <w:b/>
          <w:kern w:val="0"/>
          <w:sz w:val="28"/>
          <w:szCs w:val="28"/>
        </w:rPr>
      </w:pPr>
      <w:r>
        <w:rPr>
          <w:rFonts w:hint="eastAsia" w:ascii="宋体" w:hAnsi="宋体" w:cs="宋体"/>
          <w:b/>
          <w:kern w:val="0"/>
          <w:sz w:val="28"/>
          <w:szCs w:val="28"/>
        </w:rPr>
        <w:t>目录</w:t>
      </w:r>
    </w:p>
    <w:p w14:paraId="4D2D159A">
      <w:pPr>
        <w:snapToGrid w:val="0"/>
        <w:spacing w:line="360" w:lineRule="auto"/>
        <w:ind w:left="479" w:leftChars="228"/>
        <w:rPr>
          <w:rFonts w:hint="eastAsia"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D2D159B">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4D2D159C">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4D2D159D">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）商务技术偏离表</w:t>
      </w:r>
      <w:r>
        <w:rPr>
          <w:rFonts w:hint="eastAsia" w:ascii="宋体" w:hAnsi="宋体" w:cs="宋体"/>
        </w:rPr>
        <w:t>………………………………………………………………………（页码）</w:t>
      </w:r>
    </w:p>
    <w:p w14:paraId="4D2D159E">
      <w:pPr>
        <w:snapToGrid w:val="0"/>
        <w:spacing w:line="360" w:lineRule="auto"/>
        <w:ind w:left="479" w:leftChars="228"/>
        <w:rPr>
          <w:rFonts w:hint="eastAsia"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4D2D159F">
      <w:pPr>
        <w:snapToGrid w:val="0"/>
        <w:spacing w:line="360" w:lineRule="auto"/>
        <w:jc w:val="center"/>
        <w:rPr>
          <w:rFonts w:hint="eastAsia" w:ascii="宋体" w:hAnsi="宋体" w:cs="宋体"/>
          <w:b/>
          <w:kern w:val="0"/>
          <w:sz w:val="32"/>
          <w:szCs w:val="32"/>
          <w:lang w:val="zh-CN"/>
        </w:rPr>
      </w:pPr>
    </w:p>
    <w:p w14:paraId="4D2D15A0">
      <w:pPr>
        <w:snapToGrid w:val="0"/>
        <w:spacing w:line="360" w:lineRule="auto"/>
        <w:jc w:val="center"/>
        <w:rPr>
          <w:rFonts w:hint="eastAsia" w:ascii="宋体" w:hAnsi="宋体" w:cs="宋体"/>
          <w:b/>
          <w:kern w:val="0"/>
          <w:sz w:val="32"/>
          <w:szCs w:val="32"/>
          <w:lang w:val="zh-CN"/>
        </w:rPr>
      </w:pPr>
    </w:p>
    <w:p w14:paraId="4D2D15A1">
      <w:pPr>
        <w:snapToGrid w:val="0"/>
        <w:spacing w:line="360" w:lineRule="auto"/>
        <w:jc w:val="center"/>
        <w:rPr>
          <w:rFonts w:hint="eastAsia" w:ascii="宋体" w:hAnsi="宋体" w:cs="宋体"/>
          <w:b/>
          <w:kern w:val="0"/>
          <w:sz w:val="32"/>
          <w:szCs w:val="32"/>
          <w:lang w:val="zh-CN"/>
        </w:rPr>
      </w:pPr>
    </w:p>
    <w:p w14:paraId="4D2D15A2">
      <w:pPr>
        <w:snapToGrid w:val="0"/>
        <w:spacing w:line="360" w:lineRule="auto"/>
        <w:jc w:val="center"/>
        <w:rPr>
          <w:rFonts w:hint="eastAsia" w:ascii="宋体" w:hAnsi="宋体" w:cs="宋体"/>
          <w:b/>
          <w:kern w:val="0"/>
          <w:sz w:val="32"/>
          <w:szCs w:val="32"/>
          <w:lang w:val="zh-CN"/>
        </w:rPr>
      </w:pPr>
    </w:p>
    <w:p w14:paraId="4D2D15A3">
      <w:pPr>
        <w:snapToGrid w:val="0"/>
        <w:spacing w:line="360" w:lineRule="auto"/>
        <w:jc w:val="center"/>
        <w:rPr>
          <w:rFonts w:hint="eastAsia" w:ascii="宋体" w:hAnsi="宋体" w:cs="宋体"/>
          <w:b/>
          <w:kern w:val="0"/>
          <w:sz w:val="32"/>
          <w:szCs w:val="32"/>
          <w:lang w:val="zh-CN"/>
        </w:rPr>
      </w:pPr>
    </w:p>
    <w:p w14:paraId="4D2D15A4">
      <w:pPr>
        <w:snapToGrid w:val="0"/>
        <w:spacing w:line="360" w:lineRule="auto"/>
        <w:jc w:val="center"/>
        <w:rPr>
          <w:rFonts w:hint="eastAsia" w:ascii="宋体" w:hAnsi="宋体" w:cs="宋体"/>
          <w:b/>
          <w:kern w:val="0"/>
          <w:sz w:val="32"/>
          <w:szCs w:val="32"/>
          <w:lang w:val="zh-CN"/>
        </w:rPr>
      </w:pPr>
    </w:p>
    <w:p w14:paraId="4D2D15A5">
      <w:pPr>
        <w:snapToGrid w:val="0"/>
        <w:spacing w:line="360" w:lineRule="auto"/>
        <w:jc w:val="center"/>
        <w:rPr>
          <w:rFonts w:hint="eastAsia" w:ascii="宋体" w:hAnsi="宋体" w:cs="宋体"/>
          <w:b/>
          <w:kern w:val="0"/>
          <w:sz w:val="32"/>
          <w:szCs w:val="32"/>
          <w:lang w:val="zh-CN"/>
        </w:rPr>
      </w:pPr>
    </w:p>
    <w:p w14:paraId="4D2D15A6">
      <w:pPr>
        <w:snapToGrid w:val="0"/>
        <w:spacing w:line="360" w:lineRule="auto"/>
        <w:jc w:val="center"/>
        <w:rPr>
          <w:rFonts w:hint="eastAsia" w:ascii="宋体" w:hAnsi="宋体" w:cs="宋体"/>
          <w:b/>
          <w:kern w:val="0"/>
          <w:sz w:val="32"/>
          <w:szCs w:val="32"/>
          <w:lang w:val="zh-CN"/>
        </w:rPr>
      </w:pPr>
    </w:p>
    <w:p w14:paraId="4D2D15A7">
      <w:pPr>
        <w:snapToGrid w:val="0"/>
        <w:spacing w:line="360" w:lineRule="auto"/>
        <w:jc w:val="center"/>
        <w:rPr>
          <w:rFonts w:hint="eastAsia" w:ascii="宋体" w:hAnsi="宋体" w:cs="宋体"/>
          <w:b/>
          <w:kern w:val="0"/>
          <w:sz w:val="32"/>
          <w:szCs w:val="32"/>
          <w:lang w:val="zh-CN"/>
        </w:rPr>
      </w:pPr>
    </w:p>
    <w:p w14:paraId="4D2D15A8">
      <w:pPr>
        <w:snapToGrid w:val="0"/>
        <w:spacing w:line="360" w:lineRule="auto"/>
        <w:jc w:val="center"/>
        <w:rPr>
          <w:rFonts w:hint="eastAsia" w:ascii="宋体" w:hAnsi="宋体" w:cs="宋体"/>
          <w:b/>
          <w:kern w:val="0"/>
          <w:sz w:val="32"/>
          <w:szCs w:val="32"/>
          <w:lang w:val="zh-CN"/>
        </w:rPr>
      </w:pPr>
    </w:p>
    <w:p w14:paraId="4D2D15A9">
      <w:pPr>
        <w:snapToGrid w:val="0"/>
        <w:spacing w:line="360" w:lineRule="auto"/>
        <w:jc w:val="center"/>
        <w:rPr>
          <w:rFonts w:hint="eastAsia" w:ascii="宋体" w:hAnsi="宋体" w:cs="宋体"/>
          <w:b/>
          <w:kern w:val="0"/>
          <w:sz w:val="32"/>
          <w:szCs w:val="32"/>
          <w:lang w:val="zh-CN"/>
        </w:rPr>
      </w:pPr>
    </w:p>
    <w:p w14:paraId="4D2D15AA">
      <w:pPr>
        <w:snapToGrid w:val="0"/>
        <w:spacing w:line="360" w:lineRule="auto"/>
        <w:jc w:val="center"/>
        <w:rPr>
          <w:rFonts w:hint="eastAsia" w:ascii="宋体" w:hAnsi="宋体" w:cs="宋体"/>
          <w:b/>
          <w:kern w:val="0"/>
          <w:sz w:val="32"/>
          <w:szCs w:val="32"/>
          <w:lang w:val="zh-CN"/>
        </w:rPr>
      </w:pPr>
    </w:p>
    <w:p w14:paraId="4D2D15AB">
      <w:pPr>
        <w:rPr>
          <w:rFonts w:hint="eastAsia" w:ascii="宋体" w:hAnsi="宋体" w:cs="宋体"/>
          <w:b/>
          <w:kern w:val="0"/>
          <w:sz w:val="32"/>
          <w:szCs w:val="32"/>
          <w:lang w:val="zh-CN"/>
        </w:rPr>
      </w:pPr>
    </w:p>
    <w:p w14:paraId="4D2D15AC">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4D2D15AD">
      <w:pPr>
        <w:snapToGrid w:val="0"/>
        <w:spacing w:line="360" w:lineRule="auto"/>
        <w:jc w:val="center"/>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4D2D15AE">
      <w:pPr>
        <w:snapToGrid w:val="0"/>
        <w:spacing w:line="288" w:lineRule="auto"/>
        <w:rPr>
          <w:rFonts w:hint="eastAsia" w:ascii="宋体" w:hAnsi="宋体" w:cs="宋体"/>
          <w:sz w:val="24"/>
        </w:rPr>
      </w:pPr>
      <w:r>
        <w:rPr>
          <w:rFonts w:hint="eastAsia" w:ascii="宋体" w:hAnsi="宋体" w:cs="宋体"/>
          <w:sz w:val="24"/>
        </w:rPr>
        <w:t>（采购人）、（采购代理机构）：</w:t>
      </w:r>
    </w:p>
    <w:p w14:paraId="4D2D15AF">
      <w:pPr>
        <w:snapToGrid w:val="0"/>
        <w:spacing w:line="288" w:lineRule="auto"/>
        <w:ind w:firstLine="480" w:firstLineChars="200"/>
        <w:rPr>
          <w:rFonts w:hint="eastAsia"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4D2D15B0">
      <w:pPr>
        <w:snapToGrid w:val="0"/>
        <w:spacing w:line="288"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4D2D15B1">
      <w:pPr>
        <w:snapToGrid w:val="0"/>
        <w:spacing w:line="288"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4D2D15B2">
      <w:pPr>
        <w:snapToGrid w:val="0"/>
        <w:spacing w:line="288" w:lineRule="auto"/>
        <w:ind w:left="210" w:leftChars="100" w:firstLine="480" w:firstLineChars="200"/>
        <w:rPr>
          <w:rFonts w:hint="eastAsia" w:ascii="宋体" w:hAnsi="宋体" w:cs="宋体"/>
          <w:sz w:val="24"/>
        </w:rPr>
      </w:pPr>
      <w:r>
        <w:rPr>
          <w:rFonts w:hint="eastAsia" w:ascii="宋体" w:hAnsi="宋体" w:cs="宋体"/>
          <w:sz w:val="24"/>
        </w:rPr>
        <w:t>2.1资格文件：</w:t>
      </w:r>
    </w:p>
    <w:p w14:paraId="4D2D15B3">
      <w:pPr>
        <w:snapToGrid w:val="0"/>
        <w:spacing w:line="288" w:lineRule="auto"/>
        <w:ind w:left="420" w:leftChars="200" w:firstLine="480" w:firstLineChars="200"/>
        <w:rPr>
          <w:rFonts w:hint="eastAsia" w:ascii="宋体" w:hAnsi="宋体" w:cs="宋体"/>
          <w:sz w:val="24"/>
        </w:rPr>
      </w:pPr>
      <w:r>
        <w:rPr>
          <w:rFonts w:hint="eastAsia" w:ascii="宋体" w:hAnsi="宋体" w:cs="宋体"/>
          <w:sz w:val="24"/>
        </w:rPr>
        <w:t>2.1.1承诺函；</w:t>
      </w:r>
    </w:p>
    <w:p w14:paraId="4D2D15B4">
      <w:pPr>
        <w:snapToGrid w:val="0"/>
        <w:spacing w:line="288"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00" w:name="_Hlk101257010"/>
      <w:r>
        <w:rPr>
          <w:rFonts w:hint="eastAsia" w:ascii="宋体" w:hAnsi="宋体" w:cs="宋体"/>
          <w:sz w:val="24"/>
        </w:rPr>
        <w:t>（如果有)</w:t>
      </w:r>
      <w:bookmarkEnd w:id="400"/>
      <w:r>
        <w:rPr>
          <w:rFonts w:hint="eastAsia" w:ascii="宋体" w:hAnsi="宋体" w:cs="宋体"/>
          <w:snapToGrid w:val="0"/>
          <w:kern w:val="28"/>
          <w:sz w:val="24"/>
          <w:szCs w:val="20"/>
        </w:rPr>
        <w:t>；</w:t>
      </w:r>
    </w:p>
    <w:p w14:paraId="4D2D15B5">
      <w:pPr>
        <w:snapToGrid w:val="0"/>
        <w:spacing w:line="288"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4D2D15B6">
      <w:pPr>
        <w:snapToGrid w:val="0"/>
        <w:spacing w:line="288"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4D2D15B7">
      <w:pPr>
        <w:snapToGrid w:val="0"/>
        <w:spacing w:line="288"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D2D15B8">
      <w:pPr>
        <w:snapToGrid w:val="0"/>
        <w:spacing w:line="288" w:lineRule="auto"/>
        <w:ind w:left="420" w:leftChars="200"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4D2D15B9">
      <w:pPr>
        <w:snapToGrid w:val="0"/>
        <w:spacing w:line="288"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4D2D15BA">
      <w:pPr>
        <w:snapToGrid w:val="0"/>
        <w:spacing w:line="288"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4D2D15BB">
      <w:pPr>
        <w:snapToGrid w:val="0"/>
        <w:spacing w:line="288"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4D2D15BC">
      <w:pPr>
        <w:snapToGrid w:val="0"/>
        <w:spacing w:line="288"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4D2D15BD">
      <w:pPr>
        <w:snapToGrid w:val="0"/>
        <w:spacing w:line="288" w:lineRule="auto"/>
        <w:ind w:left="420" w:leftChars="200" w:firstLine="480" w:firstLineChars="200"/>
        <w:rPr>
          <w:rFonts w:hint="eastAsia" w:ascii="宋体" w:hAnsi="宋体" w:cs="宋体"/>
          <w:sz w:val="24"/>
        </w:rPr>
      </w:pPr>
      <w:r>
        <w:rPr>
          <w:rFonts w:hint="eastAsia" w:ascii="宋体" w:hAnsi="宋体" w:cs="宋体"/>
          <w:sz w:val="24"/>
        </w:rPr>
        <w:t>2.2.6商务技术偏离表；</w:t>
      </w:r>
    </w:p>
    <w:p w14:paraId="4D2D15BE">
      <w:pPr>
        <w:snapToGrid w:val="0"/>
        <w:spacing w:line="288"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4D2D15BF">
      <w:pPr>
        <w:snapToGrid w:val="0"/>
        <w:spacing w:line="288"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D2D15C0">
      <w:pPr>
        <w:snapToGrid w:val="0"/>
        <w:spacing w:line="288" w:lineRule="auto"/>
        <w:ind w:left="420" w:leftChars="200" w:firstLine="480" w:firstLineChars="200"/>
        <w:rPr>
          <w:rFonts w:hint="eastAsia" w:ascii="宋体" w:hAnsi="宋体" w:cs="宋体"/>
          <w:sz w:val="24"/>
        </w:rPr>
      </w:pPr>
      <w:r>
        <w:rPr>
          <w:rFonts w:hint="eastAsia" w:ascii="宋体" w:hAnsi="宋体" w:cs="宋体"/>
          <w:sz w:val="24"/>
        </w:rPr>
        <w:t>2.3.1开标一览表（报价表）、投标分项报价表；</w:t>
      </w:r>
    </w:p>
    <w:p w14:paraId="4D2D15C1">
      <w:pPr>
        <w:snapToGrid w:val="0"/>
        <w:spacing w:line="288" w:lineRule="auto"/>
        <w:ind w:left="420" w:leftChars="200" w:firstLine="480" w:firstLineChars="200"/>
        <w:rPr>
          <w:rFonts w:hint="eastAsia" w:ascii="宋体" w:hAnsi="宋体" w:cs="宋体"/>
          <w:sz w:val="24"/>
        </w:rPr>
      </w:pPr>
      <w:r>
        <w:rPr>
          <w:rFonts w:hint="eastAsia" w:ascii="宋体" w:hAnsi="宋体" w:cs="宋体"/>
          <w:sz w:val="24"/>
        </w:rPr>
        <w:t>2.3.2报价情况说明(如供应商报价低于项目预算50%的，应当提交本文档，详细阐述不影响产品质量或者诚信履约的具体原因。</w:t>
      </w:r>
    </w:p>
    <w:p w14:paraId="4D2D15C2">
      <w:pPr>
        <w:snapToGrid w:val="0"/>
        <w:spacing w:line="288"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3、我方承诺除商务技术偏离表列出的偏离外，我方响应招标文件的全部要求。对投标文件中材料的真实性、合法性负责，积极配合采购人、采购代理机构复核投标文件中的资料。</w:t>
      </w:r>
    </w:p>
    <w:p w14:paraId="4D2D15C3">
      <w:pPr>
        <w:snapToGrid w:val="0"/>
        <w:spacing w:line="288" w:lineRule="auto"/>
        <w:ind w:firstLine="480" w:firstLineChars="200"/>
        <w:rPr>
          <w:rFonts w:hint="eastAsia" w:ascii="宋体" w:hAnsi="宋体" w:cs="宋体"/>
          <w:sz w:val="24"/>
        </w:rPr>
      </w:pPr>
      <w:r>
        <w:rPr>
          <w:rFonts w:hint="eastAsia" w:ascii="宋体" w:hAnsi="宋体" w:cs="宋体"/>
          <w:sz w:val="24"/>
        </w:rPr>
        <w:t>4、如我方中标，我方承诺：</w:t>
      </w:r>
    </w:p>
    <w:p w14:paraId="4D2D15C4">
      <w:pPr>
        <w:snapToGrid w:val="0"/>
        <w:spacing w:line="288"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4D2D15C5">
      <w:pPr>
        <w:snapToGrid w:val="0"/>
        <w:spacing w:line="288"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4D2D15C6">
      <w:pPr>
        <w:snapToGrid w:val="0"/>
        <w:spacing w:line="288"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4D2D15C7">
      <w:pPr>
        <w:snapToGrid w:val="0"/>
        <w:spacing w:line="288"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4D2D15C8">
      <w:pPr>
        <w:snapToGrid w:val="0"/>
        <w:spacing w:line="288" w:lineRule="auto"/>
        <w:ind w:left="210" w:leftChars="100" w:firstLine="480" w:firstLineChars="200"/>
        <w:rPr>
          <w:rFonts w:hint="eastAsia" w:ascii="宋体" w:hAnsi="宋体" w:cs="宋体"/>
          <w:sz w:val="24"/>
        </w:rPr>
      </w:pPr>
      <w:r>
        <w:rPr>
          <w:rFonts w:hint="eastAsia" w:ascii="宋体" w:hAnsi="宋体" w:cs="宋体"/>
          <w:sz w:val="24"/>
        </w:rPr>
        <w:t>4.5</w:t>
      </w:r>
      <w:r>
        <w:rPr>
          <w:rFonts w:hint="eastAsia" w:cs="宋体" w:asciiTheme="minorEastAsia" w:hAnsiTheme="minorEastAsia" w:eastAsiaTheme="minorEastAsia"/>
          <w:sz w:val="24"/>
        </w:rPr>
        <w:t>按照招标文件的规定，在中标后向采购代理机构一次性支付招标代理服务费。</w:t>
      </w:r>
      <w:r>
        <w:rPr>
          <w:rFonts w:hint="eastAsia" w:ascii="宋体" w:hAnsi="宋体" w:cs="宋体"/>
          <w:sz w:val="24"/>
        </w:rPr>
        <w:t xml:space="preserve"> </w:t>
      </w:r>
    </w:p>
    <w:p w14:paraId="4D2D15C9">
      <w:pPr>
        <w:snapToGrid w:val="0"/>
        <w:spacing w:line="288" w:lineRule="auto"/>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4D2D15CA">
      <w:pPr>
        <w:spacing w:line="288" w:lineRule="auto"/>
        <w:ind w:firstLine="3600" w:firstLineChars="1500"/>
        <w:rPr>
          <w:rFonts w:hint="eastAsia" w:ascii="宋体" w:hAnsi="宋体" w:cs="宋体"/>
          <w:sz w:val="24"/>
        </w:rPr>
      </w:pPr>
      <w:r>
        <w:rPr>
          <w:rFonts w:hint="eastAsia" w:ascii="宋体" w:hAnsi="宋体" w:cs="宋体"/>
          <w:sz w:val="24"/>
        </w:rPr>
        <w:t xml:space="preserve">投标人名称（电子签名）：                          </w:t>
      </w:r>
    </w:p>
    <w:p w14:paraId="4D2D15CB">
      <w:pPr>
        <w:spacing w:line="288" w:lineRule="auto"/>
        <w:jc w:val="center"/>
        <w:rPr>
          <w:rFonts w:hint="eastAsia" w:ascii="宋体" w:hAnsi="宋体" w:cs="宋体"/>
          <w:kern w:val="0"/>
          <w:sz w:val="24"/>
          <w:u w:val="single"/>
        </w:rPr>
      </w:pPr>
      <w:r>
        <w:rPr>
          <w:rFonts w:hint="eastAsia" w:ascii="宋体" w:hAnsi="宋体" w:cs="宋体"/>
          <w:sz w:val="24"/>
        </w:rPr>
        <w:t xml:space="preserve">     日期：  年   月   日</w:t>
      </w:r>
    </w:p>
    <w:p w14:paraId="4D2D15CC">
      <w:pPr>
        <w:spacing w:line="288" w:lineRule="auto"/>
        <w:ind w:right="420"/>
        <w:rPr>
          <w:rFonts w:hint="eastAsia" w:ascii="宋体" w:hAnsi="宋体" w:cs="宋体"/>
          <w:b/>
          <w:kern w:val="0"/>
          <w:sz w:val="32"/>
          <w:szCs w:val="32"/>
        </w:rPr>
      </w:pPr>
      <w:r>
        <w:rPr>
          <w:rFonts w:hint="eastAsia" w:ascii="宋体" w:hAnsi="宋体" w:cs="宋体"/>
          <w:sz w:val="24"/>
        </w:rPr>
        <w:t>注：按本格式和要求提供。</w:t>
      </w:r>
    </w:p>
    <w:p w14:paraId="4D2D15CD">
      <w:pPr>
        <w:jc w:val="left"/>
        <w:rPr>
          <w:rFonts w:hint="eastAsia" w:ascii="宋体" w:hAnsi="宋体" w:cs="宋体"/>
          <w:b/>
          <w:kern w:val="0"/>
          <w:sz w:val="32"/>
          <w:szCs w:val="32"/>
        </w:rPr>
      </w:pPr>
      <w:r>
        <w:rPr>
          <w:rFonts w:hint="eastAsia" w:ascii="宋体" w:hAnsi="宋体" w:cs="宋体"/>
          <w:b/>
          <w:kern w:val="0"/>
          <w:sz w:val="32"/>
          <w:szCs w:val="32"/>
        </w:rPr>
        <w:br w:type="page"/>
      </w:r>
    </w:p>
    <w:p w14:paraId="4D2D15CE">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4D2D15CF">
      <w:pPr>
        <w:snapToGrid w:val="0"/>
        <w:spacing w:line="360" w:lineRule="auto"/>
        <w:rPr>
          <w:rFonts w:hint="eastAsia" w:ascii="宋体" w:hAnsi="宋体" w:cs="宋体"/>
          <w:sz w:val="24"/>
        </w:rPr>
      </w:pPr>
      <w:r>
        <w:rPr>
          <w:rFonts w:hint="eastAsia" w:ascii="宋体" w:hAnsi="宋体" w:cs="宋体"/>
          <w:sz w:val="24"/>
        </w:rPr>
        <w:t xml:space="preserve">                                </w:t>
      </w:r>
    </w:p>
    <w:p w14:paraId="4D2D15D0">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4D2D15D1">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D2D15D2">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4D2D15D3">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D2D15D4">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D2D15D5">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投标人名称(电子签名)：</w:t>
      </w:r>
    </w:p>
    <w:p w14:paraId="4D2D15D6">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4D2D15D7">
      <w:pPr>
        <w:snapToGrid w:val="0"/>
        <w:spacing w:line="360" w:lineRule="auto"/>
        <w:rPr>
          <w:rFonts w:hint="eastAsia" w:ascii="宋体" w:hAnsi="宋体" w:cs="宋体"/>
          <w:sz w:val="24"/>
        </w:rPr>
      </w:pPr>
    </w:p>
    <w:p w14:paraId="4D2D15D8">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4D2D15D9">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D2D15DA">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4D2D15DB">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D2D15DC">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D2D15DD">
      <w:pPr>
        <w:jc w:val="center"/>
        <w:rPr>
          <w:rFonts w:hint="eastAsia" w:ascii="宋体" w:hAnsi="宋体" w:cs="宋体"/>
          <w:b/>
          <w:kern w:val="0"/>
          <w:sz w:val="32"/>
          <w:szCs w:val="32"/>
        </w:rPr>
      </w:pPr>
    </w:p>
    <w:p w14:paraId="4D2D15DE">
      <w:pPr>
        <w:rPr>
          <w:rFonts w:hint="eastAsia" w:ascii="宋体" w:hAnsi="宋体" w:cs="宋体"/>
        </w:rPr>
      </w:pPr>
    </w:p>
    <w:p w14:paraId="4D2D15DF">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D2D15E0">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D2D15E1">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4D2D15E2">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4D2D15E3">
      <w:pPr>
        <w:autoSpaceDE w:val="0"/>
        <w:autoSpaceDN w:val="0"/>
        <w:spacing w:line="360" w:lineRule="auto"/>
        <w:jc w:val="center"/>
        <w:rPr>
          <w:rFonts w:hint="eastAsia" w:ascii="宋体" w:hAnsi="宋体" w:cs="宋体"/>
          <w:b/>
          <w:kern w:val="0"/>
          <w:sz w:val="32"/>
          <w:szCs w:val="32"/>
          <w:lang w:val="zh-CN"/>
        </w:rPr>
      </w:pPr>
    </w:p>
    <w:p w14:paraId="4D2D15E4">
      <w:pPr>
        <w:autoSpaceDE w:val="0"/>
        <w:autoSpaceDN w:val="0"/>
        <w:spacing w:line="360" w:lineRule="auto"/>
        <w:jc w:val="center"/>
        <w:rPr>
          <w:rFonts w:hint="eastAsia" w:ascii="宋体" w:hAnsi="宋体" w:cs="宋体"/>
          <w:b/>
          <w:kern w:val="0"/>
          <w:sz w:val="32"/>
          <w:szCs w:val="32"/>
          <w:lang w:val="zh-CN"/>
        </w:rPr>
      </w:pPr>
    </w:p>
    <w:p w14:paraId="4D2D15E5">
      <w:pPr>
        <w:autoSpaceDE w:val="0"/>
        <w:autoSpaceDN w:val="0"/>
        <w:spacing w:line="360" w:lineRule="auto"/>
        <w:jc w:val="center"/>
        <w:rPr>
          <w:rFonts w:hint="eastAsia" w:ascii="宋体" w:hAnsi="宋体" w:cs="宋体"/>
          <w:b/>
          <w:kern w:val="0"/>
          <w:sz w:val="32"/>
          <w:szCs w:val="32"/>
          <w:lang w:val="zh-CN"/>
        </w:rPr>
      </w:pPr>
    </w:p>
    <w:p w14:paraId="4D2D15E6">
      <w:pPr>
        <w:jc w:val="left"/>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4D2D15E7">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D2D15E8">
      <w:pPr>
        <w:spacing w:line="360" w:lineRule="auto"/>
        <w:rPr>
          <w:rFonts w:hint="eastAsia" w:ascii="宋体" w:hAnsi="宋体" w:cs="宋体"/>
          <w:bCs/>
          <w:sz w:val="24"/>
          <w:szCs w:val="21"/>
        </w:rPr>
      </w:pPr>
      <w:r>
        <w:rPr>
          <w:rFonts w:hint="eastAsia" w:ascii="宋体" w:hAnsi="宋体" w:cs="宋体"/>
          <w:bCs/>
          <w:sz w:val="24"/>
          <w:szCs w:val="21"/>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D2D1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D2D15E9">
            <w:pPr>
              <w:spacing w:line="360" w:lineRule="auto"/>
              <w:rPr>
                <w:rFonts w:hint="eastAsia" w:ascii="宋体" w:hAnsi="宋体" w:cs="宋体"/>
                <w:bCs/>
                <w:sz w:val="24"/>
                <w:szCs w:val="21"/>
              </w:rPr>
            </w:pPr>
            <w:r>
              <w:rPr>
                <w:rFonts w:hint="eastAsia" w:ascii="宋体" w:hAnsi="宋体" w:cs="宋体"/>
                <w:bCs/>
                <w:sz w:val="24"/>
                <w:szCs w:val="21"/>
              </w:rPr>
              <w:t>正面：                                 反面：</w:t>
            </w:r>
          </w:p>
          <w:p w14:paraId="4D2D15EA">
            <w:pPr>
              <w:spacing w:line="360" w:lineRule="auto"/>
              <w:rPr>
                <w:rFonts w:hint="eastAsia" w:ascii="宋体" w:hAnsi="宋体" w:cs="宋体"/>
                <w:bCs/>
                <w:sz w:val="24"/>
                <w:szCs w:val="21"/>
              </w:rPr>
            </w:pPr>
          </w:p>
        </w:tc>
      </w:tr>
    </w:tbl>
    <w:p w14:paraId="4D2D15EC">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4D2D15ED">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14:paraId="4D2D15EE">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4D2D15EF">
      <w:pPr>
        <w:jc w:val="center"/>
        <w:rPr>
          <w:rFonts w:hint="eastAsia" w:ascii="宋体" w:hAnsi="宋体" w:cs="宋体"/>
          <w:b/>
          <w:kern w:val="0"/>
          <w:sz w:val="32"/>
          <w:szCs w:val="32"/>
        </w:rPr>
      </w:pPr>
    </w:p>
    <w:p w14:paraId="4D2D15F0">
      <w:pPr>
        <w:jc w:val="center"/>
        <w:rPr>
          <w:rFonts w:hint="eastAsia" w:ascii="宋体" w:hAnsi="宋体" w:cs="宋体"/>
          <w:b/>
          <w:kern w:val="0"/>
          <w:sz w:val="32"/>
          <w:szCs w:val="32"/>
        </w:rPr>
      </w:pPr>
    </w:p>
    <w:p w14:paraId="4D2D15F1">
      <w:pPr>
        <w:jc w:val="center"/>
        <w:rPr>
          <w:rFonts w:hint="eastAsia" w:ascii="宋体" w:hAnsi="宋体" w:cs="宋体"/>
          <w:b/>
          <w:kern w:val="0"/>
          <w:sz w:val="32"/>
          <w:szCs w:val="32"/>
        </w:rPr>
      </w:pPr>
    </w:p>
    <w:p w14:paraId="4D2D15F2">
      <w:pPr>
        <w:jc w:val="center"/>
        <w:rPr>
          <w:rFonts w:hint="eastAsia" w:ascii="宋体" w:hAnsi="宋体" w:cs="宋体"/>
          <w:b/>
          <w:kern w:val="0"/>
          <w:sz w:val="32"/>
          <w:szCs w:val="32"/>
        </w:rPr>
      </w:pPr>
    </w:p>
    <w:p w14:paraId="4D2D15F3">
      <w:pPr>
        <w:jc w:val="center"/>
        <w:rPr>
          <w:rFonts w:hint="eastAsia" w:ascii="宋体" w:hAnsi="宋体" w:cs="宋体"/>
          <w:b/>
          <w:kern w:val="0"/>
          <w:sz w:val="32"/>
          <w:szCs w:val="32"/>
        </w:rPr>
      </w:pPr>
    </w:p>
    <w:p w14:paraId="4D2D15F4">
      <w:pPr>
        <w:jc w:val="center"/>
        <w:rPr>
          <w:rFonts w:hint="eastAsia" w:ascii="宋体" w:hAnsi="宋体" w:cs="宋体"/>
          <w:b/>
          <w:kern w:val="0"/>
          <w:sz w:val="32"/>
          <w:szCs w:val="32"/>
        </w:rPr>
      </w:pPr>
    </w:p>
    <w:p w14:paraId="4D2D15F5">
      <w:pPr>
        <w:jc w:val="center"/>
        <w:rPr>
          <w:rFonts w:hint="eastAsia" w:ascii="宋体" w:hAnsi="宋体" w:cs="宋体"/>
          <w:b/>
          <w:kern w:val="0"/>
          <w:sz w:val="32"/>
          <w:szCs w:val="32"/>
        </w:rPr>
      </w:pPr>
    </w:p>
    <w:p w14:paraId="4D2D15F6">
      <w:pPr>
        <w:jc w:val="center"/>
        <w:rPr>
          <w:rFonts w:hint="eastAsia" w:ascii="宋体" w:hAnsi="宋体" w:cs="宋体"/>
          <w:b/>
          <w:kern w:val="0"/>
          <w:sz w:val="32"/>
          <w:szCs w:val="32"/>
        </w:rPr>
      </w:pPr>
    </w:p>
    <w:p w14:paraId="4D2D15F7">
      <w:pPr>
        <w:jc w:val="center"/>
        <w:rPr>
          <w:rFonts w:hint="eastAsia" w:ascii="宋体" w:hAnsi="宋体" w:cs="宋体"/>
          <w:b/>
          <w:kern w:val="0"/>
          <w:sz w:val="32"/>
          <w:szCs w:val="32"/>
        </w:rPr>
      </w:pPr>
    </w:p>
    <w:p w14:paraId="4D2D15F8">
      <w:pPr>
        <w:jc w:val="center"/>
        <w:rPr>
          <w:rFonts w:hint="eastAsia" w:ascii="宋体" w:hAnsi="宋体" w:cs="宋体"/>
          <w:b/>
          <w:kern w:val="0"/>
          <w:sz w:val="32"/>
          <w:szCs w:val="32"/>
        </w:rPr>
      </w:pPr>
    </w:p>
    <w:p w14:paraId="4D2D15F9">
      <w:pPr>
        <w:snapToGrid w:val="0"/>
        <w:spacing w:line="360" w:lineRule="auto"/>
        <w:ind w:right="480"/>
        <w:rPr>
          <w:rFonts w:hint="eastAsia" w:ascii="宋体" w:hAnsi="宋体" w:cs="宋体"/>
          <w:b/>
          <w:kern w:val="0"/>
          <w:sz w:val="32"/>
          <w:szCs w:val="32"/>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4D2D15FA">
      <w:pPr>
        <w:snapToGrid w:val="0"/>
        <w:spacing w:line="360" w:lineRule="auto"/>
        <w:ind w:firstLine="3534" w:firstLineChars="1100"/>
        <w:rPr>
          <w:rFonts w:hint="eastAsia" w:ascii="宋体" w:hAnsi="宋体" w:cs="宋体"/>
          <w:b/>
          <w:kern w:val="0"/>
          <w:sz w:val="32"/>
          <w:szCs w:val="32"/>
        </w:rPr>
      </w:pPr>
      <w:r>
        <w:rPr>
          <w:rFonts w:hint="eastAsia" w:ascii="宋体" w:hAnsi="宋体" w:cs="宋体"/>
          <w:b/>
          <w:kern w:val="0"/>
          <w:sz w:val="32"/>
          <w:szCs w:val="32"/>
        </w:rPr>
        <w:t>三、分包意向协议（如果有）</w:t>
      </w:r>
    </w:p>
    <w:p w14:paraId="4D2D15FB">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4D2D15FC">
      <w:pPr>
        <w:snapToGrid w:val="0"/>
        <w:spacing w:line="360" w:lineRule="auto"/>
        <w:rPr>
          <w:rFonts w:hint="eastAsia" w:ascii="宋体" w:hAnsi="宋体" w:cs="宋体"/>
          <w:kern w:val="0"/>
          <w:sz w:val="24"/>
        </w:rPr>
      </w:pPr>
    </w:p>
    <w:p w14:paraId="4D2D15FD">
      <w:pPr>
        <w:jc w:val="center"/>
        <w:rPr>
          <w:rFonts w:hint="eastAsia" w:ascii="宋体" w:hAnsi="宋体" w:cs="宋体"/>
          <w:b/>
          <w:kern w:val="0"/>
          <w:sz w:val="32"/>
          <w:szCs w:val="32"/>
        </w:rPr>
      </w:pPr>
      <w:r>
        <w:rPr>
          <w:rFonts w:hint="eastAsia" w:ascii="宋体" w:hAnsi="宋体" w:cs="宋体"/>
          <w:b/>
          <w:kern w:val="0"/>
          <w:sz w:val="32"/>
          <w:szCs w:val="32"/>
        </w:rPr>
        <w:t>四、符合性审查资料</w:t>
      </w:r>
    </w:p>
    <w:p w14:paraId="4D2D15FE">
      <w:pPr>
        <w:jc w:val="center"/>
        <w:rPr>
          <w:rFonts w:hint="eastAsia"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4736"/>
        <w:gridCol w:w="2551"/>
        <w:gridCol w:w="1418"/>
      </w:tblGrid>
      <w:tr w14:paraId="4D2D1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01" w:type="dxa"/>
            <w:vAlign w:val="center"/>
          </w:tcPr>
          <w:p w14:paraId="4D2D15FF">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736" w:type="dxa"/>
            <w:vAlign w:val="center"/>
          </w:tcPr>
          <w:p w14:paraId="4D2D1600">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4D2D1601">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4D2D1602">
            <w:pPr>
              <w:snapToGrid w:val="0"/>
              <w:spacing w:line="240" w:lineRule="atLeast"/>
              <w:jc w:val="center"/>
              <w:rPr>
                <w:rFonts w:hint="eastAsia" w:ascii="宋体" w:hAnsi="宋体" w:cs="宋体"/>
                <w:b/>
                <w:sz w:val="24"/>
              </w:rPr>
            </w:pPr>
            <w:r>
              <w:rPr>
                <w:rFonts w:hint="eastAsia" w:ascii="宋体" w:hAnsi="宋体" w:cs="宋体"/>
                <w:b/>
                <w:sz w:val="24"/>
              </w:rPr>
              <w:t>投标文件中的页码位置</w:t>
            </w:r>
          </w:p>
        </w:tc>
      </w:tr>
      <w:tr w14:paraId="4D2D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01" w:type="dxa"/>
            <w:vAlign w:val="center"/>
          </w:tcPr>
          <w:p w14:paraId="4D2D1604">
            <w:pPr>
              <w:jc w:val="center"/>
              <w:rPr>
                <w:rFonts w:hint="eastAsia" w:ascii="宋体" w:hAnsi="宋体" w:cs="宋体"/>
                <w:sz w:val="24"/>
              </w:rPr>
            </w:pPr>
            <w:r>
              <w:rPr>
                <w:rFonts w:hint="eastAsia" w:ascii="宋体" w:hAnsi="宋体" w:cs="宋体"/>
                <w:sz w:val="24"/>
              </w:rPr>
              <w:t>1</w:t>
            </w:r>
          </w:p>
        </w:tc>
        <w:tc>
          <w:tcPr>
            <w:tcW w:w="4736" w:type="dxa"/>
            <w:vAlign w:val="center"/>
          </w:tcPr>
          <w:p w14:paraId="4D2D1605">
            <w:pPr>
              <w:spacing w:line="360" w:lineRule="auto"/>
              <w:rPr>
                <w:rFonts w:hint="eastAsia" w:ascii="宋体" w:hAnsi="宋体" w:cs="宋体"/>
                <w:sz w:val="24"/>
              </w:rPr>
            </w:pPr>
            <w:r>
              <w:rPr>
                <w:rFonts w:hint="eastAsia" w:ascii="宋体" w:hAnsi="宋体" w:cs="宋体"/>
                <w:sz w:val="24"/>
              </w:rPr>
              <w:t>投标文件按照招标文件要求签署、盖章。</w:t>
            </w:r>
          </w:p>
        </w:tc>
        <w:tc>
          <w:tcPr>
            <w:tcW w:w="2551" w:type="dxa"/>
            <w:vAlign w:val="center"/>
          </w:tcPr>
          <w:p w14:paraId="4D2D1606">
            <w:pPr>
              <w:rPr>
                <w:rFonts w:hint="eastAsia" w:ascii="宋体" w:hAnsi="宋体" w:cs="宋体"/>
                <w:sz w:val="24"/>
              </w:rPr>
            </w:pPr>
            <w:r>
              <w:rPr>
                <w:rFonts w:hint="eastAsia" w:ascii="宋体" w:hAnsi="宋体" w:cs="宋体"/>
                <w:sz w:val="24"/>
              </w:rPr>
              <w:t>需要使用电子签名或者签字盖章的投标文件的组成部分</w:t>
            </w:r>
          </w:p>
        </w:tc>
        <w:tc>
          <w:tcPr>
            <w:tcW w:w="1418" w:type="dxa"/>
          </w:tcPr>
          <w:p w14:paraId="4D2D1607">
            <w:pPr>
              <w:rPr>
                <w:rFonts w:hint="eastAsia" w:ascii="宋体" w:hAnsi="宋体" w:cs="宋体"/>
                <w:sz w:val="24"/>
              </w:rPr>
            </w:pPr>
          </w:p>
          <w:p w14:paraId="4D2D1608">
            <w:pPr>
              <w:rPr>
                <w:rFonts w:hint="eastAsia" w:ascii="宋体" w:hAnsi="宋体" w:cs="宋体"/>
                <w:sz w:val="24"/>
              </w:rPr>
            </w:pPr>
            <w:r>
              <w:rPr>
                <w:rFonts w:hint="eastAsia" w:ascii="宋体" w:hAnsi="宋体" w:cs="宋体"/>
                <w:sz w:val="24"/>
              </w:rPr>
              <w:t>见投标文件</w:t>
            </w:r>
          </w:p>
          <w:p w14:paraId="4D2D1609">
            <w:pP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4D2D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01" w:type="dxa"/>
            <w:vAlign w:val="center"/>
          </w:tcPr>
          <w:p w14:paraId="4D2D160B">
            <w:pPr>
              <w:jc w:val="center"/>
              <w:rPr>
                <w:rFonts w:hint="eastAsia" w:ascii="宋体" w:hAnsi="宋体" w:cs="宋体"/>
                <w:sz w:val="24"/>
              </w:rPr>
            </w:pPr>
            <w:r>
              <w:rPr>
                <w:rFonts w:hint="eastAsia" w:ascii="宋体" w:hAnsi="宋体" w:cs="宋体"/>
                <w:sz w:val="24"/>
              </w:rPr>
              <w:t>2</w:t>
            </w:r>
          </w:p>
        </w:tc>
        <w:tc>
          <w:tcPr>
            <w:tcW w:w="4736" w:type="dxa"/>
            <w:vAlign w:val="center"/>
          </w:tcPr>
          <w:p w14:paraId="4D2D160C">
            <w:pPr>
              <w:spacing w:line="360" w:lineRule="auto"/>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4D2D160D">
            <w:pPr>
              <w:rPr>
                <w:rFonts w:hint="eastAsia" w:ascii="宋体" w:hAnsi="宋体" w:cs="宋体"/>
                <w:sz w:val="24"/>
              </w:rPr>
            </w:pPr>
            <w:r>
              <w:rPr>
                <w:rFonts w:hint="eastAsia" w:ascii="宋体" w:hAnsi="宋体" w:cs="宋体"/>
                <w:sz w:val="24"/>
              </w:rPr>
              <w:t>投标函</w:t>
            </w:r>
          </w:p>
        </w:tc>
        <w:tc>
          <w:tcPr>
            <w:tcW w:w="1418" w:type="dxa"/>
          </w:tcPr>
          <w:p w14:paraId="4D2D160E">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D2D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01" w:type="dxa"/>
            <w:vAlign w:val="center"/>
          </w:tcPr>
          <w:p w14:paraId="4D2D1610">
            <w:pPr>
              <w:jc w:val="center"/>
              <w:rPr>
                <w:rFonts w:hint="eastAsia" w:ascii="宋体" w:hAnsi="宋体" w:cs="宋体"/>
                <w:sz w:val="24"/>
              </w:rPr>
            </w:pPr>
            <w:r>
              <w:rPr>
                <w:rFonts w:hint="eastAsia" w:ascii="宋体" w:hAnsi="宋体" w:cs="宋体"/>
                <w:sz w:val="24"/>
              </w:rPr>
              <w:t>3</w:t>
            </w:r>
          </w:p>
        </w:tc>
        <w:tc>
          <w:tcPr>
            <w:tcW w:w="4736" w:type="dxa"/>
            <w:vAlign w:val="center"/>
          </w:tcPr>
          <w:p w14:paraId="4D2D1611">
            <w:pPr>
              <w:spacing w:line="360" w:lineRule="auto"/>
              <w:rPr>
                <w:rFonts w:hint="eastAsia" w:ascii="宋体" w:hAnsi="宋体" w:cs="宋体"/>
                <w:sz w:val="24"/>
              </w:rPr>
            </w:pPr>
            <w:r>
              <w:rPr>
                <w:rFonts w:hint="eastAsia" w:ascii="宋体" w:hAnsi="宋体" w:cs="宋体"/>
                <w:sz w:val="24"/>
              </w:rPr>
              <w:t>投标文件满足招标文件的其它实质性要求。</w:t>
            </w:r>
          </w:p>
        </w:tc>
        <w:tc>
          <w:tcPr>
            <w:tcW w:w="2551" w:type="dxa"/>
            <w:vAlign w:val="center"/>
          </w:tcPr>
          <w:p w14:paraId="4D2D1612">
            <w:pPr>
              <w:rPr>
                <w:rFonts w:hint="eastAsia"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4D2D1613">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4D2D1615">
      <w:pPr>
        <w:spacing w:line="360" w:lineRule="auto"/>
        <w:ind w:right="420"/>
        <w:rPr>
          <w:rFonts w:hint="eastAsia" w:ascii="宋体" w:hAnsi="宋体" w:cs="宋体"/>
          <w:sz w:val="24"/>
        </w:rPr>
      </w:pPr>
      <w:r>
        <w:rPr>
          <w:rFonts w:hint="eastAsia" w:ascii="宋体" w:hAnsi="宋体" w:cs="宋体"/>
          <w:sz w:val="24"/>
        </w:rPr>
        <w:t>注：按本格式和要求提供。</w:t>
      </w:r>
    </w:p>
    <w:p w14:paraId="4D2D1616">
      <w:pPr>
        <w:jc w:val="center"/>
        <w:rPr>
          <w:rFonts w:hint="eastAsia" w:ascii="宋体" w:hAnsi="宋体" w:cs="宋体"/>
          <w:b/>
          <w:kern w:val="0"/>
          <w:sz w:val="32"/>
          <w:szCs w:val="32"/>
        </w:rPr>
      </w:pPr>
    </w:p>
    <w:p w14:paraId="4D2D1617">
      <w:pPr>
        <w:jc w:val="center"/>
        <w:rPr>
          <w:rFonts w:hint="eastAsia" w:ascii="宋体" w:hAnsi="宋体" w:cs="宋体"/>
        </w:rPr>
      </w:pPr>
      <w:r>
        <w:rPr>
          <w:rFonts w:hint="eastAsia" w:ascii="宋体" w:hAnsi="宋体" w:cs="宋体"/>
          <w:b/>
          <w:kern w:val="0"/>
          <w:sz w:val="32"/>
          <w:szCs w:val="32"/>
        </w:rPr>
        <w:t>五、评标标准相应的商务技术资料</w:t>
      </w:r>
    </w:p>
    <w:p w14:paraId="4D2D1618">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4D2D1619">
      <w:pPr>
        <w:jc w:val="center"/>
        <w:rPr>
          <w:rFonts w:hint="eastAsia" w:ascii="宋体" w:hAnsi="宋体" w:cs="宋体"/>
          <w:b/>
          <w:kern w:val="0"/>
          <w:sz w:val="32"/>
          <w:szCs w:val="32"/>
        </w:rPr>
      </w:pPr>
    </w:p>
    <w:p w14:paraId="4D2D161A">
      <w:pPr>
        <w:jc w:val="center"/>
        <w:rPr>
          <w:rFonts w:hint="eastAsia" w:ascii="宋体" w:hAnsi="宋体" w:cs="宋体"/>
          <w:b/>
          <w:kern w:val="0"/>
          <w:sz w:val="32"/>
          <w:szCs w:val="32"/>
        </w:rPr>
      </w:pPr>
      <w:r>
        <w:rPr>
          <w:rFonts w:hint="eastAsia" w:ascii="宋体" w:hAnsi="宋体" w:cs="宋体"/>
          <w:b/>
          <w:kern w:val="0"/>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D2D1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2D161B">
            <w:pPr>
              <w:jc w:val="center"/>
              <w:rPr>
                <w:rFonts w:hint="eastAsia" w:ascii="宋体" w:hAnsi="宋体" w:cs="宋体"/>
                <w:b/>
                <w:bCs/>
                <w:sz w:val="24"/>
              </w:rPr>
            </w:pPr>
            <w:r>
              <w:rPr>
                <w:rFonts w:hint="eastAsia" w:ascii="宋体" w:hAnsi="宋体" w:cs="宋体"/>
                <w:b/>
                <w:bCs/>
                <w:sz w:val="24"/>
              </w:rPr>
              <w:t>序号</w:t>
            </w:r>
          </w:p>
        </w:tc>
        <w:tc>
          <w:tcPr>
            <w:tcW w:w="3683" w:type="dxa"/>
          </w:tcPr>
          <w:p w14:paraId="4D2D161C">
            <w:pPr>
              <w:jc w:val="center"/>
              <w:rPr>
                <w:rFonts w:hint="eastAsia" w:ascii="宋体" w:hAnsi="宋体" w:cs="宋体"/>
                <w:b/>
                <w:bCs/>
                <w:sz w:val="24"/>
              </w:rPr>
            </w:pPr>
            <w:r>
              <w:rPr>
                <w:rFonts w:hint="eastAsia" w:ascii="宋体" w:hAnsi="宋体" w:cs="宋体"/>
                <w:b/>
                <w:bCs/>
                <w:sz w:val="24"/>
              </w:rPr>
              <w:t>招标文件章节及具体内容</w:t>
            </w:r>
          </w:p>
        </w:tc>
        <w:tc>
          <w:tcPr>
            <w:tcW w:w="3546" w:type="dxa"/>
          </w:tcPr>
          <w:p w14:paraId="4D2D161D">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4D2D161E">
            <w:pPr>
              <w:jc w:val="center"/>
              <w:rPr>
                <w:rFonts w:hint="eastAsia" w:ascii="宋体" w:hAnsi="宋体" w:cs="宋体"/>
                <w:b/>
                <w:bCs/>
                <w:sz w:val="24"/>
              </w:rPr>
            </w:pPr>
            <w:r>
              <w:rPr>
                <w:rFonts w:hint="eastAsia" w:ascii="宋体" w:hAnsi="宋体" w:cs="宋体"/>
                <w:b/>
                <w:bCs/>
                <w:sz w:val="24"/>
              </w:rPr>
              <w:t>偏离说明</w:t>
            </w:r>
          </w:p>
        </w:tc>
      </w:tr>
      <w:tr w14:paraId="4D2D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2D1620">
            <w:pPr>
              <w:jc w:val="center"/>
              <w:rPr>
                <w:rFonts w:hint="eastAsia" w:ascii="宋体" w:hAnsi="宋体" w:cs="宋体"/>
                <w:kern w:val="0"/>
                <w:sz w:val="24"/>
              </w:rPr>
            </w:pPr>
            <w:r>
              <w:rPr>
                <w:rFonts w:hint="eastAsia" w:ascii="宋体" w:hAnsi="宋体" w:cs="宋体"/>
                <w:kern w:val="0"/>
                <w:sz w:val="24"/>
              </w:rPr>
              <w:t>1</w:t>
            </w:r>
          </w:p>
        </w:tc>
        <w:tc>
          <w:tcPr>
            <w:tcW w:w="3683" w:type="dxa"/>
          </w:tcPr>
          <w:p w14:paraId="4D2D1621">
            <w:pPr>
              <w:jc w:val="center"/>
              <w:rPr>
                <w:rFonts w:hint="eastAsia" w:ascii="宋体" w:hAnsi="宋体" w:cs="宋体"/>
                <w:b/>
                <w:kern w:val="0"/>
                <w:sz w:val="32"/>
                <w:szCs w:val="32"/>
              </w:rPr>
            </w:pPr>
          </w:p>
        </w:tc>
        <w:tc>
          <w:tcPr>
            <w:tcW w:w="3546" w:type="dxa"/>
          </w:tcPr>
          <w:p w14:paraId="4D2D1622">
            <w:pPr>
              <w:jc w:val="center"/>
              <w:rPr>
                <w:rFonts w:hint="eastAsia" w:ascii="宋体" w:hAnsi="宋体" w:cs="宋体"/>
                <w:b/>
                <w:kern w:val="0"/>
                <w:sz w:val="32"/>
                <w:szCs w:val="32"/>
              </w:rPr>
            </w:pPr>
          </w:p>
        </w:tc>
        <w:tc>
          <w:tcPr>
            <w:tcW w:w="1276" w:type="dxa"/>
          </w:tcPr>
          <w:p w14:paraId="4D2D1623">
            <w:pPr>
              <w:jc w:val="center"/>
              <w:rPr>
                <w:rFonts w:hint="eastAsia" w:ascii="宋体" w:hAnsi="宋体" w:cs="宋体"/>
                <w:b/>
                <w:kern w:val="0"/>
                <w:sz w:val="32"/>
                <w:szCs w:val="32"/>
              </w:rPr>
            </w:pPr>
          </w:p>
        </w:tc>
      </w:tr>
      <w:tr w14:paraId="4D2D1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2D1625">
            <w:pPr>
              <w:jc w:val="center"/>
              <w:rPr>
                <w:rFonts w:hint="eastAsia" w:ascii="宋体" w:hAnsi="宋体" w:cs="宋体"/>
                <w:kern w:val="0"/>
                <w:sz w:val="24"/>
              </w:rPr>
            </w:pPr>
            <w:r>
              <w:rPr>
                <w:rFonts w:hint="eastAsia" w:ascii="宋体" w:hAnsi="宋体" w:cs="宋体"/>
                <w:kern w:val="0"/>
                <w:sz w:val="24"/>
              </w:rPr>
              <w:t>2</w:t>
            </w:r>
          </w:p>
        </w:tc>
        <w:tc>
          <w:tcPr>
            <w:tcW w:w="3683" w:type="dxa"/>
          </w:tcPr>
          <w:p w14:paraId="4D2D1626">
            <w:pPr>
              <w:jc w:val="center"/>
              <w:rPr>
                <w:rFonts w:hint="eastAsia" w:ascii="宋体" w:hAnsi="宋体" w:cs="宋体"/>
                <w:b/>
                <w:kern w:val="0"/>
                <w:sz w:val="32"/>
                <w:szCs w:val="32"/>
              </w:rPr>
            </w:pPr>
          </w:p>
        </w:tc>
        <w:tc>
          <w:tcPr>
            <w:tcW w:w="3546" w:type="dxa"/>
          </w:tcPr>
          <w:p w14:paraId="4D2D1627">
            <w:pPr>
              <w:jc w:val="center"/>
              <w:rPr>
                <w:rFonts w:hint="eastAsia" w:ascii="宋体" w:hAnsi="宋体" w:cs="宋体"/>
                <w:b/>
                <w:kern w:val="0"/>
                <w:sz w:val="32"/>
                <w:szCs w:val="32"/>
              </w:rPr>
            </w:pPr>
          </w:p>
        </w:tc>
        <w:tc>
          <w:tcPr>
            <w:tcW w:w="1276" w:type="dxa"/>
          </w:tcPr>
          <w:p w14:paraId="4D2D1628">
            <w:pPr>
              <w:jc w:val="center"/>
              <w:rPr>
                <w:rFonts w:hint="eastAsia" w:ascii="宋体" w:hAnsi="宋体" w:cs="宋体"/>
                <w:b/>
                <w:kern w:val="0"/>
                <w:sz w:val="32"/>
                <w:szCs w:val="32"/>
              </w:rPr>
            </w:pPr>
          </w:p>
        </w:tc>
      </w:tr>
      <w:tr w14:paraId="4D2D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2D162A">
            <w:pPr>
              <w:jc w:val="center"/>
              <w:rPr>
                <w:rFonts w:hint="eastAsia" w:ascii="宋体" w:hAnsi="宋体" w:cs="宋体"/>
                <w:kern w:val="0"/>
                <w:sz w:val="24"/>
              </w:rPr>
            </w:pPr>
            <w:r>
              <w:rPr>
                <w:rFonts w:hint="eastAsia" w:ascii="宋体" w:hAnsi="宋体" w:cs="宋体"/>
                <w:kern w:val="0"/>
                <w:sz w:val="24"/>
              </w:rPr>
              <w:t>……</w:t>
            </w:r>
          </w:p>
        </w:tc>
        <w:tc>
          <w:tcPr>
            <w:tcW w:w="3683" w:type="dxa"/>
          </w:tcPr>
          <w:p w14:paraId="4D2D162B">
            <w:pPr>
              <w:jc w:val="center"/>
              <w:rPr>
                <w:rFonts w:hint="eastAsia" w:ascii="宋体" w:hAnsi="宋体" w:cs="宋体"/>
                <w:b/>
                <w:kern w:val="0"/>
                <w:sz w:val="32"/>
                <w:szCs w:val="32"/>
              </w:rPr>
            </w:pPr>
          </w:p>
        </w:tc>
        <w:tc>
          <w:tcPr>
            <w:tcW w:w="3546" w:type="dxa"/>
          </w:tcPr>
          <w:p w14:paraId="4D2D162C">
            <w:pPr>
              <w:jc w:val="center"/>
              <w:rPr>
                <w:rFonts w:hint="eastAsia" w:ascii="宋体" w:hAnsi="宋体" w:cs="宋体"/>
                <w:b/>
                <w:kern w:val="0"/>
                <w:sz w:val="32"/>
                <w:szCs w:val="32"/>
              </w:rPr>
            </w:pPr>
          </w:p>
        </w:tc>
        <w:tc>
          <w:tcPr>
            <w:tcW w:w="1276" w:type="dxa"/>
          </w:tcPr>
          <w:p w14:paraId="4D2D162D">
            <w:pPr>
              <w:jc w:val="center"/>
              <w:rPr>
                <w:rFonts w:hint="eastAsia" w:ascii="宋体" w:hAnsi="宋体" w:cs="宋体"/>
                <w:b/>
                <w:kern w:val="0"/>
                <w:sz w:val="32"/>
                <w:szCs w:val="32"/>
              </w:rPr>
            </w:pPr>
          </w:p>
        </w:tc>
      </w:tr>
    </w:tbl>
    <w:p w14:paraId="4D2D162F">
      <w:pPr>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4D2D1630">
      <w:pPr>
        <w:jc w:val="center"/>
        <w:rPr>
          <w:rFonts w:hint="eastAsia" w:ascii="宋体" w:hAnsi="宋体" w:cs="宋体"/>
          <w:b/>
          <w:kern w:val="0"/>
          <w:sz w:val="32"/>
          <w:szCs w:val="32"/>
        </w:rPr>
      </w:pPr>
    </w:p>
    <w:p w14:paraId="4D2D1631">
      <w:pPr>
        <w:spacing w:line="360" w:lineRule="auto"/>
        <w:ind w:right="420"/>
        <w:rPr>
          <w:rFonts w:hint="eastAsia" w:ascii="宋体" w:hAnsi="宋体" w:cs="宋体"/>
          <w:sz w:val="24"/>
        </w:rPr>
      </w:pPr>
      <w:r>
        <w:rPr>
          <w:rFonts w:hint="eastAsia" w:ascii="宋体" w:hAnsi="宋体" w:cs="宋体"/>
          <w:sz w:val="24"/>
        </w:rPr>
        <w:t>注：按本格式和要求提供。</w:t>
      </w:r>
    </w:p>
    <w:p w14:paraId="4D2D1632">
      <w:pPr>
        <w:ind w:firstLine="1911" w:firstLineChars="595"/>
        <w:rPr>
          <w:rFonts w:hint="eastAsia" w:ascii="宋体" w:hAnsi="宋体" w:cs="宋体"/>
          <w:b/>
          <w:bCs/>
          <w:sz w:val="32"/>
          <w:szCs w:val="32"/>
        </w:rPr>
      </w:pPr>
    </w:p>
    <w:p w14:paraId="4D2D1633">
      <w:pPr>
        <w:widowControl/>
        <w:adjustRightInd/>
        <w:jc w:val="left"/>
        <w:rPr>
          <w:rFonts w:hint="eastAsia" w:ascii="宋体" w:hAnsi="宋体" w:cs="宋体"/>
          <w:b/>
          <w:bCs/>
          <w:sz w:val="32"/>
          <w:szCs w:val="32"/>
        </w:rPr>
      </w:pPr>
      <w:r>
        <w:rPr>
          <w:rFonts w:ascii="宋体" w:hAnsi="宋体" w:cs="宋体"/>
          <w:b/>
          <w:bCs/>
          <w:sz w:val="32"/>
          <w:szCs w:val="32"/>
        </w:rPr>
        <w:br w:type="page"/>
      </w:r>
    </w:p>
    <w:p w14:paraId="4D2D1634">
      <w:pPr>
        <w:ind w:firstLine="1911" w:firstLineChars="595"/>
        <w:rPr>
          <w:rFonts w:hint="eastAsia"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D2D1635">
      <w:pPr>
        <w:snapToGrid w:val="0"/>
        <w:spacing w:line="360" w:lineRule="auto"/>
        <w:rPr>
          <w:rFonts w:hint="eastAsia" w:ascii="宋体" w:hAnsi="宋体" w:cs="宋体"/>
          <w:sz w:val="24"/>
        </w:rPr>
      </w:pPr>
    </w:p>
    <w:p w14:paraId="4D2D1636">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D2D1637">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D2D1638">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4D2D1639">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4D2D163A">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D2D163B">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D2D163C">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4D2D163D">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4D2D163E">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D2D163F">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4D2D1640">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4D2D1641">
      <w:pPr>
        <w:autoSpaceDE w:val="0"/>
        <w:autoSpaceDN w:val="0"/>
        <w:spacing w:line="360" w:lineRule="auto"/>
        <w:ind w:left="2"/>
        <w:jc w:val="left"/>
        <w:rPr>
          <w:rFonts w:hint="eastAsia" w:ascii="宋体" w:hAnsi="宋体" w:cs="宋体"/>
          <w:kern w:val="0"/>
          <w:sz w:val="24"/>
          <w:lang w:val="zh-CN"/>
        </w:rPr>
      </w:pPr>
    </w:p>
    <w:p w14:paraId="4D2D1642">
      <w:pPr>
        <w:autoSpaceDE w:val="0"/>
        <w:autoSpaceDN w:val="0"/>
        <w:spacing w:line="360" w:lineRule="auto"/>
        <w:ind w:left="2"/>
        <w:jc w:val="left"/>
        <w:rPr>
          <w:rFonts w:hint="eastAsia" w:ascii="宋体" w:hAnsi="宋体" w:cs="宋体"/>
          <w:kern w:val="0"/>
          <w:sz w:val="24"/>
          <w:lang w:val="zh-CN"/>
        </w:rPr>
      </w:pPr>
    </w:p>
    <w:p w14:paraId="4D2D1643">
      <w:pPr>
        <w:autoSpaceDE w:val="0"/>
        <w:autoSpaceDN w:val="0"/>
        <w:spacing w:line="360" w:lineRule="auto"/>
        <w:ind w:left="2"/>
        <w:jc w:val="left"/>
        <w:rPr>
          <w:rFonts w:hint="eastAsia" w:ascii="宋体" w:hAnsi="宋体" w:cs="宋体"/>
          <w:kern w:val="0"/>
          <w:sz w:val="24"/>
          <w:lang w:val="zh-CN"/>
        </w:rPr>
      </w:pPr>
    </w:p>
    <w:p w14:paraId="4D2D1644">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D2D1645">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D2D1646">
      <w:pPr>
        <w:spacing w:line="360" w:lineRule="auto"/>
        <w:jc w:val="center"/>
        <w:rPr>
          <w:rFonts w:hint="eastAsia" w:ascii="宋体" w:hAnsi="宋体" w:cs="宋体"/>
          <w:b/>
          <w:bCs/>
          <w:sz w:val="24"/>
        </w:rPr>
      </w:pPr>
    </w:p>
    <w:p w14:paraId="4D2D1647">
      <w:pPr>
        <w:spacing w:line="360" w:lineRule="auto"/>
        <w:ind w:right="420"/>
        <w:rPr>
          <w:rFonts w:hint="eastAsia" w:ascii="宋体" w:hAnsi="宋体" w:cs="宋体"/>
          <w:sz w:val="24"/>
        </w:rPr>
      </w:pPr>
      <w:r>
        <w:rPr>
          <w:rFonts w:hint="eastAsia" w:ascii="宋体" w:hAnsi="宋体" w:cs="宋体"/>
          <w:sz w:val="24"/>
        </w:rPr>
        <w:t>注：按本格式和要求提供。</w:t>
      </w:r>
    </w:p>
    <w:p w14:paraId="4D2D1648">
      <w:pPr>
        <w:spacing w:line="360" w:lineRule="auto"/>
        <w:jc w:val="center"/>
        <w:rPr>
          <w:rFonts w:hint="eastAsia" w:ascii="宋体" w:hAnsi="宋体" w:cs="宋体"/>
          <w:b/>
          <w:bCs/>
          <w:sz w:val="24"/>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4D2D1649">
      <w:pPr>
        <w:spacing w:line="360" w:lineRule="auto"/>
        <w:jc w:val="center"/>
        <w:rPr>
          <w:rFonts w:hint="eastAsia" w:ascii="宋体" w:hAnsi="宋体" w:cs="宋体"/>
          <w:b/>
          <w:kern w:val="0"/>
          <w:sz w:val="36"/>
          <w:szCs w:val="36"/>
        </w:rPr>
      </w:pPr>
      <w:r>
        <w:rPr>
          <w:rFonts w:hint="eastAsia" w:ascii="宋体" w:hAnsi="宋体" w:cs="宋体"/>
          <w:b/>
          <w:kern w:val="0"/>
          <w:sz w:val="36"/>
          <w:szCs w:val="36"/>
        </w:rPr>
        <w:t>报价文件部分</w:t>
      </w:r>
    </w:p>
    <w:p w14:paraId="4D2D164A">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4D2D164B">
      <w:pPr>
        <w:spacing w:line="360" w:lineRule="auto"/>
        <w:jc w:val="center"/>
        <w:rPr>
          <w:rFonts w:hint="eastAsia" w:ascii="宋体" w:hAnsi="宋体" w:cs="宋体"/>
          <w:b/>
          <w:kern w:val="0"/>
          <w:sz w:val="36"/>
          <w:szCs w:val="36"/>
        </w:rPr>
      </w:pPr>
    </w:p>
    <w:p w14:paraId="4D2D164C">
      <w:pPr>
        <w:snapToGrid w:val="0"/>
        <w:spacing w:line="360" w:lineRule="auto"/>
        <w:rPr>
          <w:rFonts w:hint="eastAsia" w:ascii="宋体" w:hAnsi="宋体" w:cs="宋体"/>
          <w:sz w:val="24"/>
        </w:rPr>
      </w:pPr>
      <w:r>
        <w:rPr>
          <w:rFonts w:hint="eastAsia" w:ascii="宋体" w:hAnsi="宋体" w:cs="宋体"/>
          <w:sz w:val="24"/>
        </w:rPr>
        <w:t>（1）开标一览表（报价表）、投标分项报价表…………………………………（页码）</w:t>
      </w:r>
    </w:p>
    <w:p w14:paraId="4D2D164D">
      <w:pPr>
        <w:snapToGrid w:val="0"/>
        <w:spacing w:line="360" w:lineRule="auto"/>
        <w:rPr>
          <w:rFonts w:hint="eastAsia" w:ascii="宋体" w:hAnsi="宋体" w:cs="宋体"/>
          <w:sz w:val="24"/>
        </w:rPr>
      </w:pPr>
      <w:r>
        <w:rPr>
          <w:rFonts w:ascii="宋体" w:hAnsi="宋体" w:cs="宋体"/>
          <w:sz w:val="24"/>
        </w:rPr>
        <w:t>（2）</w:t>
      </w:r>
      <w:r>
        <w:rPr>
          <w:rFonts w:hint="eastAsia" w:ascii="宋体" w:hAnsi="宋体" w:cs="宋体"/>
          <w:sz w:val="24"/>
        </w:rPr>
        <w:t>报价情况说明(如供应商报价低于项目预算50%的，应当提交本文档，详细阐述不影响产品质量或者诚信履约的具体原因。………………………………………（页码）</w:t>
      </w:r>
    </w:p>
    <w:p w14:paraId="4D2D164E">
      <w:pPr>
        <w:snapToGrid w:val="0"/>
        <w:spacing w:line="360" w:lineRule="auto"/>
        <w:ind w:right="480"/>
        <w:jc w:val="center"/>
        <w:rPr>
          <w:rFonts w:hint="eastAsia" w:ascii="宋体" w:hAnsi="宋体" w:cs="宋体"/>
          <w:b/>
          <w:kern w:val="0"/>
          <w:sz w:val="32"/>
          <w:szCs w:val="32"/>
        </w:rPr>
      </w:pPr>
    </w:p>
    <w:p w14:paraId="4D2D164F">
      <w:pPr>
        <w:snapToGrid w:val="0"/>
        <w:spacing w:line="360" w:lineRule="auto"/>
        <w:ind w:right="480"/>
        <w:jc w:val="center"/>
        <w:rPr>
          <w:rFonts w:hint="eastAsia" w:ascii="宋体" w:hAnsi="宋体" w:cs="宋体"/>
          <w:b/>
          <w:kern w:val="0"/>
          <w:sz w:val="32"/>
          <w:szCs w:val="32"/>
        </w:rPr>
      </w:pPr>
    </w:p>
    <w:p w14:paraId="4D2D1650">
      <w:pPr>
        <w:snapToGrid w:val="0"/>
        <w:spacing w:line="360" w:lineRule="auto"/>
        <w:ind w:right="480"/>
        <w:jc w:val="center"/>
        <w:rPr>
          <w:rFonts w:hint="eastAsia" w:ascii="宋体" w:hAnsi="宋体" w:cs="宋体"/>
          <w:b/>
          <w:kern w:val="0"/>
          <w:sz w:val="32"/>
          <w:szCs w:val="32"/>
        </w:rPr>
      </w:pPr>
    </w:p>
    <w:p w14:paraId="4D2D1651">
      <w:pPr>
        <w:snapToGrid w:val="0"/>
        <w:spacing w:line="360" w:lineRule="auto"/>
        <w:ind w:right="480"/>
        <w:jc w:val="center"/>
        <w:rPr>
          <w:rFonts w:hint="eastAsia" w:ascii="宋体" w:hAnsi="宋体" w:cs="宋体"/>
          <w:b/>
          <w:kern w:val="0"/>
          <w:sz w:val="32"/>
          <w:szCs w:val="32"/>
        </w:rPr>
      </w:pPr>
    </w:p>
    <w:p w14:paraId="4D2D1652">
      <w:pPr>
        <w:snapToGrid w:val="0"/>
        <w:spacing w:line="360" w:lineRule="auto"/>
        <w:ind w:right="480"/>
        <w:jc w:val="center"/>
        <w:rPr>
          <w:rFonts w:hint="eastAsia" w:ascii="宋体" w:hAnsi="宋体" w:cs="宋体"/>
          <w:b/>
          <w:kern w:val="0"/>
          <w:sz w:val="32"/>
          <w:szCs w:val="32"/>
        </w:rPr>
      </w:pPr>
    </w:p>
    <w:p w14:paraId="4D2D1653">
      <w:pPr>
        <w:snapToGrid w:val="0"/>
        <w:spacing w:line="360" w:lineRule="auto"/>
        <w:ind w:right="480"/>
        <w:jc w:val="center"/>
        <w:rPr>
          <w:rFonts w:hint="eastAsia" w:ascii="宋体" w:hAnsi="宋体" w:cs="宋体"/>
          <w:b/>
          <w:kern w:val="0"/>
          <w:sz w:val="32"/>
          <w:szCs w:val="32"/>
        </w:rPr>
      </w:pPr>
    </w:p>
    <w:p w14:paraId="4D2D1654">
      <w:pPr>
        <w:snapToGrid w:val="0"/>
        <w:spacing w:line="360" w:lineRule="auto"/>
        <w:ind w:right="480"/>
        <w:jc w:val="center"/>
        <w:rPr>
          <w:rFonts w:hint="eastAsia" w:ascii="宋体" w:hAnsi="宋体" w:cs="宋体"/>
          <w:b/>
          <w:kern w:val="0"/>
          <w:sz w:val="32"/>
          <w:szCs w:val="32"/>
        </w:rPr>
      </w:pPr>
    </w:p>
    <w:p w14:paraId="4D2D1655">
      <w:pPr>
        <w:snapToGrid w:val="0"/>
        <w:spacing w:line="360" w:lineRule="auto"/>
        <w:ind w:right="480"/>
        <w:jc w:val="center"/>
        <w:rPr>
          <w:rFonts w:hint="eastAsia" w:ascii="宋体" w:hAnsi="宋体" w:cs="宋体"/>
          <w:b/>
          <w:kern w:val="0"/>
          <w:sz w:val="32"/>
          <w:szCs w:val="32"/>
        </w:rPr>
      </w:pPr>
    </w:p>
    <w:p w14:paraId="4D2D1656">
      <w:pPr>
        <w:snapToGrid w:val="0"/>
        <w:spacing w:line="360" w:lineRule="auto"/>
        <w:ind w:right="480"/>
        <w:jc w:val="center"/>
        <w:rPr>
          <w:rFonts w:hint="eastAsia" w:ascii="宋体" w:hAnsi="宋体" w:cs="宋体"/>
          <w:b/>
          <w:kern w:val="0"/>
          <w:sz w:val="32"/>
          <w:szCs w:val="32"/>
        </w:rPr>
      </w:pPr>
    </w:p>
    <w:p w14:paraId="4D2D1657">
      <w:pPr>
        <w:snapToGrid w:val="0"/>
        <w:spacing w:line="360" w:lineRule="auto"/>
        <w:ind w:right="480"/>
        <w:jc w:val="center"/>
        <w:rPr>
          <w:rFonts w:hint="eastAsia" w:ascii="宋体" w:hAnsi="宋体" w:cs="宋体"/>
          <w:b/>
          <w:kern w:val="0"/>
          <w:sz w:val="32"/>
          <w:szCs w:val="32"/>
        </w:rPr>
      </w:pPr>
    </w:p>
    <w:p w14:paraId="4D2D1658">
      <w:pPr>
        <w:snapToGrid w:val="0"/>
        <w:spacing w:line="360" w:lineRule="auto"/>
        <w:ind w:right="480"/>
        <w:jc w:val="center"/>
        <w:rPr>
          <w:rFonts w:hint="eastAsia" w:ascii="宋体" w:hAnsi="宋体" w:cs="宋体"/>
          <w:b/>
          <w:kern w:val="0"/>
          <w:sz w:val="32"/>
          <w:szCs w:val="32"/>
        </w:rPr>
      </w:pPr>
    </w:p>
    <w:p w14:paraId="4D2D1659">
      <w:pPr>
        <w:snapToGrid w:val="0"/>
        <w:spacing w:line="360" w:lineRule="auto"/>
        <w:ind w:right="480"/>
        <w:jc w:val="center"/>
        <w:rPr>
          <w:rFonts w:hint="eastAsia" w:ascii="宋体" w:hAnsi="宋体" w:cs="宋体"/>
          <w:b/>
          <w:kern w:val="0"/>
          <w:sz w:val="32"/>
          <w:szCs w:val="32"/>
        </w:rPr>
      </w:pPr>
    </w:p>
    <w:p w14:paraId="4D2D165A">
      <w:pPr>
        <w:snapToGrid w:val="0"/>
        <w:spacing w:line="360" w:lineRule="auto"/>
        <w:ind w:right="480"/>
        <w:jc w:val="center"/>
        <w:rPr>
          <w:rFonts w:hint="eastAsia" w:ascii="宋体" w:hAnsi="宋体" w:cs="宋体"/>
          <w:b/>
          <w:kern w:val="0"/>
          <w:sz w:val="32"/>
          <w:szCs w:val="32"/>
        </w:rPr>
      </w:pPr>
    </w:p>
    <w:p w14:paraId="4D2D165B">
      <w:pPr>
        <w:snapToGrid w:val="0"/>
        <w:spacing w:line="360" w:lineRule="auto"/>
        <w:ind w:right="480"/>
        <w:jc w:val="center"/>
        <w:rPr>
          <w:rFonts w:hint="eastAsia" w:ascii="宋体" w:hAnsi="宋体" w:cs="宋体"/>
          <w:b/>
          <w:kern w:val="0"/>
          <w:sz w:val="32"/>
          <w:szCs w:val="32"/>
        </w:rPr>
      </w:pPr>
    </w:p>
    <w:p w14:paraId="4D2D165C">
      <w:pPr>
        <w:snapToGrid w:val="0"/>
        <w:spacing w:line="360" w:lineRule="auto"/>
        <w:ind w:right="480"/>
        <w:jc w:val="center"/>
        <w:rPr>
          <w:rFonts w:hint="eastAsia" w:ascii="宋体" w:hAnsi="宋体" w:cs="宋体"/>
          <w:b/>
          <w:kern w:val="0"/>
          <w:sz w:val="32"/>
          <w:szCs w:val="32"/>
        </w:rPr>
      </w:pPr>
    </w:p>
    <w:p w14:paraId="4D2D165D">
      <w:pPr>
        <w:snapToGrid w:val="0"/>
        <w:spacing w:before="120" w:after="120"/>
        <w:ind w:firstLine="643"/>
        <w:rPr>
          <w:rFonts w:hint="eastAsia" w:ascii="宋体" w:hAnsi="宋体" w:cs="宋体"/>
          <w:sz w:val="32"/>
          <w:szCs w:val="32"/>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14:paraId="4D2D165E">
      <w:pPr>
        <w:snapToGrid w:val="0"/>
        <w:spacing w:before="120" w:after="120" w:line="360" w:lineRule="auto"/>
        <w:ind w:firstLine="643"/>
        <w:jc w:val="center"/>
        <w:rPr>
          <w:rFonts w:hint="eastAsia" w:ascii="宋体" w:hAnsi="宋体" w:cs="宋体"/>
          <w:b/>
          <w:sz w:val="32"/>
          <w:szCs w:val="32"/>
        </w:rPr>
      </w:pPr>
      <w:r>
        <w:rPr>
          <w:rFonts w:hint="eastAsia" w:ascii="宋体" w:hAnsi="宋体" w:cs="宋体"/>
          <w:b/>
          <w:sz w:val="32"/>
          <w:szCs w:val="32"/>
        </w:rPr>
        <w:t>一、开标一览表（报价表）、投标分项报价表</w:t>
      </w:r>
    </w:p>
    <w:p w14:paraId="4D2D165F">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D2D1660">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4D2D1661">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728"/>
        <w:gridCol w:w="1125"/>
        <w:gridCol w:w="1569"/>
        <w:gridCol w:w="2846"/>
      </w:tblGrid>
      <w:tr w14:paraId="4D2D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4D2D1662">
            <w:pPr>
              <w:widowControl/>
              <w:adjustRightInd/>
              <w:spacing w:line="360" w:lineRule="auto"/>
              <w:jc w:val="center"/>
              <w:rPr>
                <w:rFonts w:hint="eastAsia" w:ascii="宋体" w:hAnsi="宋体" w:cs="宋体"/>
                <w:kern w:val="0"/>
                <w:sz w:val="24"/>
              </w:rPr>
            </w:pPr>
            <w:r>
              <w:rPr>
                <w:rFonts w:hint="eastAsia" w:ascii="宋体" w:hAnsi="宋体" w:cs="宋体"/>
                <w:kern w:val="0"/>
                <w:sz w:val="24"/>
              </w:rPr>
              <w:t>标项号</w:t>
            </w:r>
          </w:p>
        </w:tc>
        <w:tc>
          <w:tcPr>
            <w:tcW w:w="2853" w:type="dxa"/>
            <w:gridSpan w:val="2"/>
            <w:tcBorders>
              <w:top w:val="single" w:color="auto" w:sz="4" w:space="0"/>
              <w:left w:val="single" w:color="auto" w:sz="4" w:space="0"/>
              <w:bottom w:val="single" w:color="auto" w:sz="4" w:space="0"/>
              <w:right w:val="single" w:color="auto" w:sz="4" w:space="0"/>
            </w:tcBorders>
            <w:vAlign w:val="center"/>
          </w:tcPr>
          <w:p w14:paraId="4D2D1663">
            <w:pPr>
              <w:widowControl/>
              <w:adjustRightInd/>
              <w:spacing w:line="360" w:lineRule="auto"/>
              <w:jc w:val="center"/>
              <w:rPr>
                <w:rFonts w:hint="eastAsia" w:ascii="宋体" w:hAnsi="宋体" w:cs="宋体"/>
                <w:kern w:val="0"/>
                <w:sz w:val="24"/>
              </w:rPr>
            </w:pPr>
            <w:r>
              <w:rPr>
                <w:rFonts w:hint="eastAsia" w:ascii="宋体" w:hAnsi="宋体" w:cs="宋体"/>
                <w:kern w:val="0"/>
                <w:sz w:val="24"/>
              </w:rPr>
              <w:t>服务内容</w:t>
            </w:r>
          </w:p>
        </w:tc>
        <w:tc>
          <w:tcPr>
            <w:tcW w:w="1569" w:type="dxa"/>
            <w:tcBorders>
              <w:top w:val="single" w:color="auto" w:sz="4" w:space="0"/>
              <w:left w:val="single" w:color="auto" w:sz="4" w:space="0"/>
              <w:bottom w:val="single" w:color="auto" w:sz="4" w:space="0"/>
              <w:right w:val="single" w:color="auto" w:sz="4" w:space="0"/>
            </w:tcBorders>
            <w:vAlign w:val="center"/>
          </w:tcPr>
          <w:p w14:paraId="4D2D1664">
            <w:pPr>
              <w:widowControl/>
              <w:adjustRightInd/>
              <w:spacing w:line="360" w:lineRule="auto"/>
              <w:jc w:val="center"/>
              <w:rPr>
                <w:rFonts w:hint="eastAsia" w:ascii="宋体" w:hAnsi="宋体" w:cs="宋体"/>
                <w:kern w:val="0"/>
                <w:sz w:val="24"/>
              </w:rPr>
            </w:pPr>
            <w:r>
              <w:rPr>
                <w:rFonts w:hint="eastAsia" w:ascii="宋体" w:hAnsi="宋体" w:cs="宋体"/>
                <w:kern w:val="0"/>
                <w:sz w:val="24"/>
              </w:rPr>
              <w:t>数量</w:t>
            </w:r>
          </w:p>
        </w:tc>
        <w:tc>
          <w:tcPr>
            <w:tcW w:w="2846" w:type="dxa"/>
            <w:tcBorders>
              <w:top w:val="single" w:color="auto" w:sz="4" w:space="0"/>
              <w:left w:val="single" w:color="auto" w:sz="4" w:space="0"/>
              <w:bottom w:val="single" w:color="auto" w:sz="4" w:space="0"/>
              <w:right w:val="single" w:color="auto" w:sz="4" w:space="0"/>
            </w:tcBorders>
            <w:shd w:val="clear" w:color="auto" w:fill="auto"/>
            <w:vAlign w:val="center"/>
          </w:tcPr>
          <w:p w14:paraId="4D2D1665">
            <w:pPr>
              <w:widowControl/>
              <w:adjustRightInd/>
              <w:spacing w:line="360" w:lineRule="auto"/>
              <w:jc w:val="center"/>
              <w:rPr>
                <w:rFonts w:hint="eastAsia" w:ascii="宋体" w:hAnsi="宋体" w:cs="宋体"/>
                <w:kern w:val="0"/>
                <w:sz w:val="24"/>
              </w:rPr>
            </w:pPr>
            <w:r>
              <w:rPr>
                <w:rFonts w:hint="eastAsia" w:ascii="宋体" w:hAnsi="宋体" w:cs="宋体"/>
                <w:kern w:val="0"/>
                <w:sz w:val="24"/>
              </w:rPr>
              <w:t>合同履约期限</w:t>
            </w:r>
          </w:p>
        </w:tc>
      </w:tr>
      <w:tr w14:paraId="4D2D1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4D2D1667">
            <w:pPr>
              <w:widowControl/>
              <w:adjustRightInd/>
              <w:spacing w:line="360" w:lineRule="auto"/>
              <w:jc w:val="center"/>
              <w:rPr>
                <w:rFonts w:hint="eastAsia" w:ascii="宋体" w:hAnsi="宋体" w:cs="宋体"/>
                <w:kern w:val="0"/>
                <w:sz w:val="24"/>
              </w:rPr>
            </w:pPr>
          </w:p>
        </w:tc>
        <w:tc>
          <w:tcPr>
            <w:tcW w:w="2853" w:type="dxa"/>
            <w:gridSpan w:val="2"/>
            <w:tcBorders>
              <w:top w:val="single" w:color="auto" w:sz="4" w:space="0"/>
              <w:left w:val="single" w:color="auto" w:sz="4" w:space="0"/>
              <w:bottom w:val="single" w:color="auto" w:sz="4" w:space="0"/>
              <w:right w:val="single" w:color="auto" w:sz="4" w:space="0"/>
            </w:tcBorders>
            <w:vAlign w:val="center"/>
          </w:tcPr>
          <w:p w14:paraId="4D2D1668">
            <w:pPr>
              <w:widowControl/>
              <w:adjustRightInd/>
              <w:spacing w:line="360" w:lineRule="auto"/>
              <w:jc w:val="center"/>
              <w:rPr>
                <w:rFonts w:hint="eastAsia" w:ascii="宋体" w:hAnsi="宋体" w:cs="宋体"/>
                <w:kern w:val="0"/>
                <w:sz w:val="24"/>
              </w:rPr>
            </w:pPr>
          </w:p>
        </w:tc>
        <w:tc>
          <w:tcPr>
            <w:tcW w:w="1569" w:type="dxa"/>
            <w:tcBorders>
              <w:top w:val="single" w:color="auto" w:sz="4" w:space="0"/>
              <w:left w:val="single" w:color="auto" w:sz="4" w:space="0"/>
              <w:bottom w:val="single" w:color="auto" w:sz="4" w:space="0"/>
              <w:right w:val="single" w:color="auto" w:sz="4" w:space="0"/>
            </w:tcBorders>
            <w:vAlign w:val="center"/>
          </w:tcPr>
          <w:p w14:paraId="4D2D1669">
            <w:pPr>
              <w:widowControl/>
              <w:adjustRightInd/>
              <w:spacing w:line="360" w:lineRule="auto"/>
              <w:jc w:val="center"/>
              <w:rPr>
                <w:rFonts w:hint="eastAsia" w:ascii="宋体" w:hAnsi="宋体" w:cs="宋体"/>
                <w:bCs/>
                <w:kern w:val="0"/>
                <w:sz w:val="24"/>
              </w:rPr>
            </w:pPr>
            <w:r>
              <w:rPr>
                <w:rFonts w:hint="eastAsia" w:ascii="宋体" w:hAnsi="宋体" w:cs="宋体"/>
                <w:bCs/>
                <w:kern w:val="0"/>
                <w:sz w:val="24"/>
              </w:rPr>
              <w:t>1项</w:t>
            </w:r>
          </w:p>
        </w:tc>
        <w:tc>
          <w:tcPr>
            <w:tcW w:w="2846" w:type="dxa"/>
            <w:tcBorders>
              <w:top w:val="single" w:color="auto" w:sz="4" w:space="0"/>
              <w:left w:val="single" w:color="auto" w:sz="4" w:space="0"/>
              <w:right w:val="single" w:color="auto" w:sz="4" w:space="0"/>
            </w:tcBorders>
            <w:vAlign w:val="center"/>
          </w:tcPr>
          <w:p w14:paraId="4D2D166A">
            <w:pPr>
              <w:widowControl/>
              <w:adjustRightInd/>
              <w:spacing w:line="360" w:lineRule="auto"/>
              <w:rPr>
                <w:rFonts w:hint="eastAsia" w:ascii="宋体" w:hAnsi="宋体" w:cs="宋体"/>
                <w:bCs/>
                <w:kern w:val="0"/>
                <w:sz w:val="24"/>
              </w:rPr>
            </w:pPr>
          </w:p>
        </w:tc>
      </w:tr>
      <w:tr w14:paraId="4D2D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2702" w:type="dxa"/>
            <w:gridSpan w:val="2"/>
            <w:tcBorders>
              <w:top w:val="single" w:color="auto" w:sz="4" w:space="0"/>
              <w:left w:val="single" w:color="auto" w:sz="4" w:space="0"/>
              <w:bottom w:val="single" w:color="auto" w:sz="4" w:space="0"/>
              <w:right w:val="single" w:color="auto" w:sz="4" w:space="0"/>
            </w:tcBorders>
            <w:vAlign w:val="center"/>
          </w:tcPr>
          <w:p w14:paraId="4D2D166C">
            <w:pPr>
              <w:widowControl/>
              <w:adjustRightInd/>
              <w:spacing w:line="360" w:lineRule="auto"/>
              <w:jc w:val="center"/>
              <w:rPr>
                <w:rFonts w:hint="eastAsia" w:ascii="宋体" w:hAnsi="宋体" w:cs="宋体"/>
                <w:kern w:val="0"/>
                <w:sz w:val="24"/>
              </w:rPr>
            </w:pPr>
            <w:r>
              <w:rPr>
                <w:rFonts w:hint="eastAsia" w:ascii="宋体" w:hAnsi="宋体" w:cs="宋体"/>
                <w:kern w:val="0"/>
                <w:sz w:val="24"/>
              </w:rPr>
              <w:t>投标总价</w:t>
            </w:r>
          </w:p>
          <w:p w14:paraId="4D2D166D">
            <w:pPr>
              <w:widowControl/>
              <w:adjustRightInd/>
              <w:spacing w:line="360" w:lineRule="auto"/>
              <w:jc w:val="center"/>
              <w:rPr>
                <w:rFonts w:hint="eastAsia" w:ascii="宋体" w:hAnsi="宋体" w:cs="宋体"/>
                <w:kern w:val="0"/>
                <w:sz w:val="24"/>
              </w:rPr>
            </w:pPr>
            <w:r>
              <w:rPr>
                <w:rFonts w:hint="eastAsia" w:ascii="宋体" w:hAnsi="宋体" w:cs="宋体"/>
                <w:kern w:val="0"/>
                <w:sz w:val="24"/>
              </w:rPr>
              <w:t>（年度）</w:t>
            </w:r>
          </w:p>
        </w:tc>
        <w:tc>
          <w:tcPr>
            <w:tcW w:w="5540" w:type="dxa"/>
            <w:gridSpan w:val="3"/>
            <w:tcBorders>
              <w:top w:val="single" w:color="auto" w:sz="4" w:space="0"/>
              <w:left w:val="single" w:color="auto" w:sz="4" w:space="0"/>
              <w:bottom w:val="single" w:color="auto" w:sz="4" w:space="0"/>
              <w:right w:val="single" w:color="auto" w:sz="4" w:space="0"/>
            </w:tcBorders>
            <w:vAlign w:val="center"/>
          </w:tcPr>
          <w:p w14:paraId="4D2D166E">
            <w:pPr>
              <w:widowControl/>
              <w:adjustRightInd/>
              <w:spacing w:line="360" w:lineRule="auto"/>
              <w:ind w:firstLine="3120" w:firstLineChars="1300"/>
              <w:rPr>
                <w:rFonts w:hint="eastAsia" w:ascii="宋体" w:hAnsi="宋体" w:cs="宋体"/>
                <w:bCs/>
                <w:kern w:val="0"/>
                <w:sz w:val="24"/>
              </w:rPr>
            </w:pPr>
            <w:r>
              <w:rPr>
                <w:rFonts w:hint="eastAsia" w:ascii="宋体" w:hAnsi="宋体" w:cs="宋体"/>
                <w:bCs/>
                <w:kern w:val="0"/>
                <w:sz w:val="24"/>
              </w:rPr>
              <w:t>元/年</w:t>
            </w:r>
          </w:p>
        </w:tc>
      </w:tr>
      <w:tr w14:paraId="4D2D1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2702" w:type="dxa"/>
            <w:gridSpan w:val="2"/>
            <w:tcBorders>
              <w:top w:val="single" w:color="auto" w:sz="4" w:space="0"/>
              <w:left w:val="single" w:color="auto" w:sz="4" w:space="0"/>
              <w:bottom w:val="single" w:color="auto" w:sz="4" w:space="0"/>
              <w:right w:val="single" w:color="auto" w:sz="4" w:space="0"/>
            </w:tcBorders>
            <w:vAlign w:val="center"/>
          </w:tcPr>
          <w:p w14:paraId="4D2D1670">
            <w:pPr>
              <w:widowControl/>
              <w:adjustRightInd/>
              <w:spacing w:line="360" w:lineRule="auto"/>
              <w:jc w:val="center"/>
              <w:rPr>
                <w:rFonts w:hint="eastAsia" w:ascii="宋体" w:hAnsi="宋体" w:cs="宋体"/>
                <w:kern w:val="0"/>
                <w:sz w:val="24"/>
              </w:rPr>
            </w:pPr>
            <w:r>
              <w:rPr>
                <w:rFonts w:hint="eastAsia" w:ascii="宋体" w:hAnsi="宋体" w:cs="宋体"/>
                <w:kern w:val="0"/>
                <w:sz w:val="24"/>
              </w:rPr>
              <w:t>投标声明</w:t>
            </w:r>
          </w:p>
        </w:tc>
        <w:tc>
          <w:tcPr>
            <w:tcW w:w="5540" w:type="dxa"/>
            <w:gridSpan w:val="3"/>
            <w:tcBorders>
              <w:top w:val="single" w:color="auto" w:sz="4" w:space="0"/>
              <w:left w:val="single" w:color="auto" w:sz="4" w:space="0"/>
              <w:bottom w:val="single" w:color="auto" w:sz="4" w:space="0"/>
            </w:tcBorders>
            <w:vAlign w:val="center"/>
          </w:tcPr>
          <w:p w14:paraId="4D2D1671">
            <w:pPr>
              <w:widowControl/>
              <w:adjustRightInd/>
              <w:spacing w:before="240" w:line="360" w:lineRule="auto"/>
              <w:jc w:val="center"/>
              <w:rPr>
                <w:rFonts w:hint="eastAsia" w:ascii="宋体" w:hAnsi="宋体" w:cs="宋体"/>
                <w:kern w:val="0"/>
                <w:sz w:val="24"/>
              </w:rPr>
            </w:pPr>
          </w:p>
        </w:tc>
      </w:tr>
    </w:tbl>
    <w:p w14:paraId="4D2D1673">
      <w:pPr>
        <w:snapToGrid w:val="0"/>
        <w:spacing w:line="336"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4D2D1674">
      <w:pPr>
        <w:spacing w:line="336"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4D2D1675">
      <w:pPr>
        <w:spacing w:line="336"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4D2D1676">
      <w:pPr>
        <w:snapToGrid w:val="0"/>
        <w:spacing w:line="336"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4D2D1677">
      <w:pPr>
        <w:snapToGrid w:val="0"/>
        <w:spacing w:line="336" w:lineRule="auto"/>
        <w:ind w:firstLine="480" w:firstLineChars="200"/>
        <w:jc w:val="left"/>
        <w:rPr>
          <w:rFonts w:hint="eastAsia"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D2D1678">
      <w:pPr>
        <w:rPr>
          <w:rFonts w:hint="eastAsia" w:ascii="宋体" w:hAnsi="宋体" w:cs="宋体"/>
          <w:kern w:val="0"/>
          <w:sz w:val="24"/>
          <w:lang w:val="zh-CN"/>
        </w:rPr>
      </w:pPr>
    </w:p>
    <w:p w14:paraId="4D2D1679">
      <w:pPr>
        <w:rPr>
          <w:rFonts w:hint="eastAsia" w:ascii="宋体" w:hAnsi="宋体" w:cs="宋体"/>
          <w:b/>
          <w:kern w:val="0"/>
          <w:sz w:val="24"/>
          <w:lang w:val="zh-CN"/>
        </w:rPr>
      </w:pPr>
      <w:r>
        <w:rPr>
          <w:rFonts w:hint="eastAsia" w:ascii="宋体" w:hAnsi="宋体" w:cs="宋体"/>
          <w:b/>
          <w:kern w:val="0"/>
          <w:sz w:val="24"/>
          <w:lang w:val="zh-CN"/>
        </w:rPr>
        <w:br w:type="page"/>
      </w:r>
    </w:p>
    <w:p w14:paraId="4D2D167A">
      <w:pPr>
        <w:spacing w:line="360" w:lineRule="auto"/>
        <w:jc w:val="left"/>
        <w:rPr>
          <w:rFonts w:hint="eastAsia" w:ascii="宋体" w:hAnsi="宋体" w:cs="宋体"/>
          <w:b/>
          <w:kern w:val="0"/>
          <w:sz w:val="24"/>
        </w:rPr>
      </w:pPr>
    </w:p>
    <w:p w14:paraId="4D2D167B">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投标分项报价表(单位均为人民币元)</w:t>
      </w:r>
    </w:p>
    <w:tbl>
      <w:tblPr>
        <w:tblStyle w:val="63"/>
        <w:tblW w:w="0" w:type="auto"/>
        <w:jc w:val="center"/>
        <w:tblLayout w:type="fixed"/>
        <w:tblCellMar>
          <w:top w:w="0" w:type="dxa"/>
          <w:left w:w="108" w:type="dxa"/>
          <w:bottom w:w="0" w:type="dxa"/>
          <w:right w:w="108" w:type="dxa"/>
        </w:tblCellMar>
      </w:tblPr>
      <w:tblGrid>
        <w:gridCol w:w="806"/>
        <w:gridCol w:w="3975"/>
        <w:gridCol w:w="1125"/>
        <w:gridCol w:w="1269"/>
        <w:gridCol w:w="1351"/>
      </w:tblGrid>
      <w:tr w14:paraId="4D2D1681">
        <w:tblPrEx>
          <w:tblCellMar>
            <w:top w:w="0" w:type="dxa"/>
            <w:left w:w="108" w:type="dxa"/>
            <w:bottom w:w="0" w:type="dxa"/>
            <w:right w:w="108" w:type="dxa"/>
          </w:tblCellMar>
        </w:tblPrEx>
        <w:trPr>
          <w:trHeight w:val="67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D2D167C">
            <w:pPr>
              <w:widowControl/>
              <w:adjustRightInd/>
              <w:snapToGrid w:val="0"/>
              <w:spacing w:before="50" w:after="50" w:line="360" w:lineRule="auto"/>
              <w:jc w:val="center"/>
              <w:rPr>
                <w:rFonts w:hint="eastAsia" w:ascii="宋体" w:hAnsi="宋体" w:cs="宋体"/>
                <w:spacing w:val="20"/>
                <w:kern w:val="0"/>
                <w:sz w:val="24"/>
              </w:rPr>
            </w:pPr>
            <w:r>
              <w:rPr>
                <w:rFonts w:hint="eastAsia" w:ascii="宋体" w:hAnsi="宋体" w:cs="宋体"/>
                <w:kern w:val="0"/>
                <w:sz w:val="24"/>
                <w:lang w:bidi="ar"/>
              </w:rPr>
              <w:t>序号</w:t>
            </w:r>
          </w:p>
        </w:tc>
        <w:tc>
          <w:tcPr>
            <w:tcW w:w="3975" w:type="dxa"/>
            <w:tcBorders>
              <w:top w:val="single" w:color="auto" w:sz="4" w:space="0"/>
              <w:left w:val="nil"/>
              <w:bottom w:val="single" w:color="auto" w:sz="4" w:space="0"/>
              <w:right w:val="single" w:color="auto" w:sz="4" w:space="0"/>
            </w:tcBorders>
            <w:vAlign w:val="center"/>
          </w:tcPr>
          <w:p w14:paraId="4D2D167D">
            <w:pPr>
              <w:widowControl/>
              <w:adjustRightInd/>
              <w:jc w:val="center"/>
              <w:textAlignment w:val="center"/>
              <w:rPr>
                <w:rFonts w:hint="eastAsia" w:ascii="宋体" w:hAnsi="宋体" w:cs="宋体"/>
                <w:spacing w:val="20"/>
                <w:kern w:val="0"/>
                <w:sz w:val="24"/>
              </w:rPr>
            </w:pPr>
            <w:r>
              <w:rPr>
                <w:rFonts w:hint="eastAsia" w:ascii="宋体" w:hAnsi="宋体" w:cs="宋体"/>
                <w:spacing w:val="20"/>
                <w:kern w:val="0"/>
                <w:sz w:val="24"/>
                <w:lang w:bidi="ar"/>
              </w:rPr>
              <w:t>费用类别</w:t>
            </w:r>
          </w:p>
        </w:tc>
        <w:tc>
          <w:tcPr>
            <w:tcW w:w="1125" w:type="dxa"/>
            <w:tcBorders>
              <w:top w:val="single" w:color="auto" w:sz="4" w:space="0"/>
              <w:left w:val="nil"/>
              <w:bottom w:val="single" w:color="auto" w:sz="4" w:space="0"/>
              <w:right w:val="single" w:color="auto" w:sz="4" w:space="0"/>
            </w:tcBorders>
            <w:vAlign w:val="center"/>
          </w:tcPr>
          <w:p w14:paraId="4D2D167E">
            <w:pPr>
              <w:widowControl/>
              <w:adjustRightInd/>
              <w:snapToGrid w:val="0"/>
              <w:spacing w:before="50" w:after="50" w:line="360" w:lineRule="auto"/>
              <w:jc w:val="center"/>
              <w:rPr>
                <w:rFonts w:hint="eastAsia" w:ascii="宋体" w:hAnsi="宋体" w:cs="宋体"/>
                <w:kern w:val="0"/>
                <w:sz w:val="24"/>
                <w:lang w:bidi="ar"/>
              </w:rPr>
            </w:pPr>
            <w:r>
              <w:rPr>
                <w:rFonts w:hint="eastAsia" w:ascii="宋体" w:hAnsi="宋体" w:cs="宋体"/>
                <w:kern w:val="0"/>
                <w:sz w:val="24"/>
                <w:lang w:bidi="ar"/>
              </w:rPr>
              <w:t>数量</w:t>
            </w:r>
          </w:p>
        </w:tc>
        <w:tc>
          <w:tcPr>
            <w:tcW w:w="1269" w:type="dxa"/>
            <w:tcBorders>
              <w:top w:val="single" w:color="auto" w:sz="4" w:space="0"/>
              <w:left w:val="nil"/>
              <w:bottom w:val="single" w:color="auto" w:sz="4" w:space="0"/>
              <w:right w:val="single" w:color="auto" w:sz="4" w:space="0"/>
            </w:tcBorders>
            <w:vAlign w:val="center"/>
          </w:tcPr>
          <w:p w14:paraId="4D2D167F">
            <w:pPr>
              <w:widowControl/>
              <w:adjustRightInd/>
              <w:snapToGrid w:val="0"/>
              <w:spacing w:before="50" w:after="50" w:line="360" w:lineRule="auto"/>
              <w:jc w:val="center"/>
              <w:rPr>
                <w:rFonts w:hint="eastAsia" w:ascii="宋体" w:hAnsi="宋体" w:cs="宋体"/>
                <w:spacing w:val="20"/>
                <w:kern w:val="0"/>
                <w:sz w:val="24"/>
              </w:rPr>
            </w:pPr>
            <w:r>
              <w:rPr>
                <w:rFonts w:hint="eastAsia" w:ascii="宋体" w:hAnsi="宋体" w:cs="宋体"/>
                <w:kern w:val="0"/>
                <w:sz w:val="24"/>
                <w:lang w:bidi="ar"/>
              </w:rPr>
              <w:t>单价（元）</w:t>
            </w:r>
          </w:p>
        </w:tc>
        <w:tc>
          <w:tcPr>
            <w:tcW w:w="1351" w:type="dxa"/>
            <w:tcBorders>
              <w:top w:val="single" w:color="auto" w:sz="4" w:space="0"/>
              <w:left w:val="nil"/>
              <w:bottom w:val="single" w:color="auto" w:sz="4" w:space="0"/>
              <w:right w:val="single" w:color="auto" w:sz="4" w:space="0"/>
            </w:tcBorders>
            <w:vAlign w:val="center"/>
          </w:tcPr>
          <w:p w14:paraId="4D2D1680">
            <w:pPr>
              <w:widowControl/>
              <w:adjustRightInd/>
              <w:snapToGrid w:val="0"/>
              <w:spacing w:before="50" w:after="50" w:line="360" w:lineRule="auto"/>
              <w:jc w:val="center"/>
              <w:rPr>
                <w:rFonts w:hint="eastAsia" w:ascii="宋体" w:hAnsi="宋体" w:cs="宋体"/>
                <w:spacing w:val="20"/>
                <w:kern w:val="0"/>
                <w:sz w:val="24"/>
              </w:rPr>
            </w:pPr>
            <w:r>
              <w:rPr>
                <w:rFonts w:hint="eastAsia" w:ascii="宋体" w:hAnsi="宋体" w:cs="宋体"/>
                <w:spacing w:val="20"/>
                <w:kern w:val="0"/>
                <w:sz w:val="24"/>
              </w:rPr>
              <w:t>合计</w:t>
            </w:r>
            <w:r>
              <w:rPr>
                <w:rFonts w:hint="eastAsia" w:ascii="宋体" w:hAnsi="宋体" w:cs="宋体"/>
                <w:kern w:val="0"/>
                <w:sz w:val="24"/>
                <w:lang w:bidi="ar"/>
              </w:rPr>
              <w:t>（元）</w:t>
            </w:r>
          </w:p>
        </w:tc>
      </w:tr>
      <w:tr w14:paraId="4D2D1687">
        <w:tblPrEx>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vAlign w:val="center"/>
          </w:tcPr>
          <w:p w14:paraId="4D2D1682">
            <w:pPr>
              <w:widowControl/>
              <w:adjustRightInd/>
              <w:jc w:val="center"/>
              <w:textAlignment w:val="center"/>
              <w:rPr>
                <w:rFonts w:hint="eastAsia" w:ascii="宋体" w:hAnsi="宋体" w:cs="宋体"/>
                <w:spacing w:val="20"/>
                <w:kern w:val="0"/>
                <w:sz w:val="24"/>
                <w:lang w:bidi="ar"/>
              </w:rPr>
            </w:pPr>
          </w:p>
        </w:tc>
        <w:tc>
          <w:tcPr>
            <w:tcW w:w="3975" w:type="dxa"/>
            <w:tcBorders>
              <w:top w:val="single" w:color="auto" w:sz="4" w:space="0"/>
              <w:left w:val="nil"/>
              <w:bottom w:val="single" w:color="auto" w:sz="4" w:space="0"/>
              <w:right w:val="single" w:color="auto" w:sz="4" w:space="0"/>
            </w:tcBorders>
            <w:vAlign w:val="center"/>
          </w:tcPr>
          <w:p w14:paraId="4D2D1683">
            <w:pPr>
              <w:widowControl/>
              <w:adjustRightInd/>
              <w:jc w:val="center"/>
              <w:textAlignment w:val="center"/>
              <w:rPr>
                <w:rFonts w:hint="eastAsia" w:ascii="宋体" w:hAnsi="宋体" w:cs="宋体"/>
                <w:spacing w:val="20"/>
                <w:kern w:val="0"/>
                <w:sz w:val="24"/>
                <w:lang w:bidi="ar"/>
              </w:rPr>
            </w:pPr>
          </w:p>
        </w:tc>
        <w:tc>
          <w:tcPr>
            <w:tcW w:w="1125" w:type="dxa"/>
            <w:tcBorders>
              <w:top w:val="single" w:color="auto" w:sz="4" w:space="0"/>
              <w:left w:val="nil"/>
              <w:bottom w:val="single" w:color="auto" w:sz="4" w:space="0"/>
              <w:right w:val="single" w:color="auto" w:sz="4" w:space="0"/>
            </w:tcBorders>
          </w:tcPr>
          <w:p w14:paraId="4D2D1684">
            <w:pPr>
              <w:widowControl/>
              <w:adjustRightInd/>
              <w:snapToGrid w:val="0"/>
              <w:spacing w:before="50" w:after="50" w:line="360" w:lineRule="auto"/>
              <w:jc w:val="center"/>
              <w:rPr>
                <w:rFonts w:hint="eastAsia" w:ascii="宋体" w:hAnsi="宋体" w:cs="宋体"/>
                <w:spacing w:val="20"/>
                <w:kern w:val="0"/>
                <w:sz w:val="24"/>
              </w:rPr>
            </w:pPr>
          </w:p>
        </w:tc>
        <w:tc>
          <w:tcPr>
            <w:tcW w:w="1269" w:type="dxa"/>
            <w:tcBorders>
              <w:top w:val="single" w:color="auto" w:sz="4" w:space="0"/>
              <w:left w:val="nil"/>
              <w:bottom w:val="single" w:color="auto" w:sz="4" w:space="0"/>
              <w:right w:val="single" w:color="auto" w:sz="4" w:space="0"/>
            </w:tcBorders>
          </w:tcPr>
          <w:p w14:paraId="4D2D1685">
            <w:pPr>
              <w:widowControl/>
              <w:adjustRightInd/>
              <w:snapToGrid w:val="0"/>
              <w:spacing w:before="50" w:after="50" w:line="360" w:lineRule="auto"/>
              <w:jc w:val="center"/>
              <w:rPr>
                <w:rFonts w:hint="eastAsia" w:ascii="宋体" w:hAnsi="宋体" w:cs="宋体"/>
                <w:spacing w:val="20"/>
                <w:kern w:val="0"/>
                <w:sz w:val="24"/>
              </w:rPr>
            </w:pPr>
          </w:p>
        </w:tc>
        <w:tc>
          <w:tcPr>
            <w:tcW w:w="1351" w:type="dxa"/>
            <w:tcBorders>
              <w:top w:val="single" w:color="auto" w:sz="4" w:space="0"/>
              <w:left w:val="nil"/>
              <w:bottom w:val="single" w:color="auto" w:sz="4" w:space="0"/>
              <w:right w:val="single" w:color="auto" w:sz="4" w:space="0"/>
            </w:tcBorders>
          </w:tcPr>
          <w:p w14:paraId="4D2D1686">
            <w:pPr>
              <w:widowControl/>
              <w:adjustRightInd/>
              <w:snapToGrid w:val="0"/>
              <w:spacing w:before="50" w:after="50" w:line="360" w:lineRule="auto"/>
              <w:jc w:val="center"/>
              <w:rPr>
                <w:rFonts w:hint="eastAsia" w:ascii="宋体" w:hAnsi="宋体" w:cs="宋体"/>
                <w:spacing w:val="20"/>
                <w:kern w:val="0"/>
                <w:sz w:val="24"/>
              </w:rPr>
            </w:pPr>
          </w:p>
        </w:tc>
      </w:tr>
      <w:tr w14:paraId="4D2D168D">
        <w:tblPrEx>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vAlign w:val="center"/>
          </w:tcPr>
          <w:p w14:paraId="4D2D1688">
            <w:pPr>
              <w:widowControl/>
              <w:adjustRightInd/>
              <w:jc w:val="center"/>
              <w:textAlignment w:val="center"/>
              <w:rPr>
                <w:rFonts w:hint="eastAsia" w:ascii="宋体" w:hAnsi="宋体" w:cs="宋体"/>
                <w:spacing w:val="20"/>
                <w:kern w:val="0"/>
                <w:sz w:val="24"/>
                <w:lang w:bidi="ar"/>
              </w:rPr>
            </w:pPr>
          </w:p>
        </w:tc>
        <w:tc>
          <w:tcPr>
            <w:tcW w:w="3975" w:type="dxa"/>
            <w:tcBorders>
              <w:top w:val="single" w:color="auto" w:sz="4" w:space="0"/>
              <w:left w:val="nil"/>
              <w:bottom w:val="single" w:color="auto" w:sz="4" w:space="0"/>
              <w:right w:val="single" w:color="auto" w:sz="4" w:space="0"/>
            </w:tcBorders>
            <w:vAlign w:val="center"/>
          </w:tcPr>
          <w:p w14:paraId="4D2D1689">
            <w:pPr>
              <w:widowControl/>
              <w:adjustRightInd/>
              <w:jc w:val="center"/>
              <w:textAlignment w:val="center"/>
              <w:rPr>
                <w:rFonts w:hint="eastAsia" w:ascii="宋体" w:hAnsi="宋体" w:cs="宋体"/>
                <w:spacing w:val="20"/>
                <w:kern w:val="0"/>
                <w:sz w:val="24"/>
                <w:lang w:bidi="ar"/>
              </w:rPr>
            </w:pPr>
          </w:p>
        </w:tc>
        <w:tc>
          <w:tcPr>
            <w:tcW w:w="1125" w:type="dxa"/>
            <w:tcBorders>
              <w:top w:val="single" w:color="auto" w:sz="4" w:space="0"/>
              <w:left w:val="nil"/>
              <w:bottom w:val="single" w:color="auto" w:sz="4" w:space="0"/>
              <w:right w:val="single" w:color="auto" w:sz="4" w:space="0"/>
            </w:tcBorders>
          </w:tcPr>
          <w:p w14:paraId="4D2D168A">
            <w:pPr>
              <w:widowControl/>
              <w:adjustRightInd/>
              <w:snapToGrid w:val="0"/>
              <w:spacing w:before="50" w:after="50" w:line="360" w:lineRule="auto"/>
              <w:jc w:val="center"/>
              <w:rPr>
                <w:rFonts w:hint="eastAsia" w:ascii="宋体" w:hAnsi="宋体" w:cs="宋体"/>
                <w:spacing w:val="20"/>
                <w:kern w:val="0"/>
                <w:sz w:val="24"/>
              </w:rPr>
            </w:pPr>
          </w:p>
        </w:tc>
        <w:tc>
          <w:tcPr>
            <w:tcW w:w="1269" w:type="dxa"/>
            <w:tcBorders>
              <w:top w:val="single" w:color="auto" w:sz="4" w:space="0"/>
              <w:left w:val="nil"/>
              <w:bottom w:val="single" w:color="auto" w:sz="4" w:space="0"/>
              <w:right w:val="single" w:color="auto" w:sz="4" w:space="0"/>
            </w:tcBorders>
          </w:tcPr>
          <w:p w14:paraId="4D2D168B">
            <w:pPr>
              <w:widowControl/>
              <w:adjustRightInd/>
              <w:snapToGrid w:val="0"/>
              <w:spacing w:before="50" w:after="50" w:line="360" w:lineRule="auto"/>
              <w:jc w:val="center"/>
              <w:rPr>
                <w:rFonts w:hint="eastAsia" w:ascii="宋体" w:hAnsi="宋体" w:cs="宋体"/>
                <w:spacing w:val="20"/>
                <w:kern w:val="0"/>
                <w:sz w:val="24"/>
              </w:rPr>
            </w:pPr>
          </w:p>
        </w:tc>
        <w:tc>
          <w:tcPr>
            <w:tcW w:w="1351" w:type="dxa"/>
            <w:tcBorders>
              <w:top w:val="single" w:color="auto" w:sz="4" w:space="0"/>
              <w:left w:val="nil"/>
              <w:bottom w:val="single" w:color="auto" w:sz="4" w:space="0"/>
              <w:right w:val="single" w:color="auto" w:sz="4" w:space="0"/>
            </w:tcBorders>
          </w:tcPr>
          <w:p w14:paraId="4D2D168C">
            <w:pPr>
              <w:widowControl/>
              <w:adjustRightInd/>
              <w:snapToGrid w:val="0"/>
              <w:spacing w:before="50" w:after="50" w:line="360" w:lineRule="auto"/>
              <w:jc w:val="center"/>
              <w:rPr>
                <w:rFonts w:hint="eastAsia" w:ascii="宋体" w:hAnsi="宋体" w:cs="宋体"/>
                <w:spacing w:val="20"/>
                <w:kern w:val="0"/>
                <w:sz w:val="24"/>
              </w:rPr>
            </w:pPr>
          </w:p>
        </w:tc>
      </w:tr>
      <w:tr w14:paraId="4D2D1693">
        <w:tblPrEx>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vAlign w:val="center"/>
          </w:tcPr>
          <w:p w14:paraId="4D2D168E">
            <w:pPr>
              <w:widowControl/>
              <w:adjustRightInd/>
              <w:jc w:val="center"/>
              <w:textAlignment w:val="center"/>
              <w:rPr>
                <w:rFonts w:hint="eastAsia" w:ascii="宋体" w:hAnsi="宋体" w:cs="宋体"/>
                <w:spacing w:val="20"/>
                <w:kern w:val="0"/>
                <w:sz w:val="24"/>
                <w:lang w:bidi="ar"/>
              </w:rPr>
            </w:pPr>
          </w:p>
        </w:tc>
        <w:tc>
          <w:tcPr>
            <w:tcW w:w="3975" w:type="dxa"/>
            <w:tcBorders>
              <w:top w:val="single" w:color="auto" w:sz="4" w:space="0"/>
              <w:left w:val="nil"/>
              <w:bottom w:val="single" w:color="auto" w:sz="4" w:space="0"/>
              <w:right w:val="single" w:color="auto" w:sz="4" w:space="0"/>
            </w:tcBorders>
            <w:vAlign w:val="center"/>
          </w:tcPr>
          <w:p w14:paraId="4D2D168F">
            <w:pPr>
              <w:widowControl/>
              <w:adjustRightInd/>
              <w:jc w:val="center"/>
              <w:textAlignment w:val="center"/>
              <w:rPr>
                <w:rFonts w:hint="eastAsia" w:ascii="宋体" w:hAnsi="宋体" w:cs="宋体"/>
                <w:spacing w:val="20"/>
                <w:kern w:val="0"/>
                <w:sz w:val="24"/>
                <w:lang w:bidi="ar"/>
              </w:rPr>
            </w:pPr>
          </w:p>
        </w:tc>
        <w:tc>
          <w:tcPr>
            <w:tcW w:w="1125" w:type="dxa"/>
            <w:tcBorders>
              <w:top w:val="single" w:color="auto" w:sz="4" w:space="0"/>
              <w:left w:val="nil"/>
              <w:bottom w:val="single" w:color="auto" w:sz="4" w:space="0"/>
              <w:right w:val="single" w:color="auto" w:sz="4" w:space="0"/>
            </w:tcBorders>
            <w:vAlign w:val="center"/>
          </w:tcPr>
          <w:p w14:paraId="4D2D1690">
            <w:pPr>
              <w:widowControl/>
              <w:adjustRightInd/>
              <w:jc w:val="center"/>
              <w:textAlignment w:val="center"/>
              <w:rPr>
                <w:rFonts w:hint="eastAsia" w:ascii="宋体" w:hAnsi="宋体" w:cs="宋体"/>
                <w:spacing w:val="20"/>
                <w:kern w:val="0"/>
                <w:sz w:val="24"/>
              </w:rPr>
            </w:pPr>
          </w:p>
        </w:tc>
        <w:tc>
          <w:tcPr>
            <w:tcW w:w="1269" w:type="dxa"/>
            <w:tcBorders>
              <w:top w:val="single" w:color="auto" w:sz="4" w:space="0"/>
              <w:left w:val="nil"/>
              <w:bottom w:val="single" w:color="auto" w:sz="4" w:space="0"/>
              <w:right w:val="single" w:color="auto" w:sz="4" w:space="0"/>
            </w:tcBorders>
          </w:tcPr>
          <w:p w14:paraId="4D2D1691">
            <w:pPr>
              <w:widowControl/>
              <w:adjustRightInd/>
              <w:snapToGrid w:val="0"/>
              <w:spacing w:before="50" w:after="50" w:line="360" w:lineRule="auto"/>
              <w:jc w:val="center"/>
              <w:rPr>
                <w:rFonts w:hint="eastAsia" w:ascii="宋体" w:hAnsi="宋体" w:cs="宋体"/>
                <w:spacing w:val="20"/>
                <w:kern w:val="0"/>
                <w:sz w:val="24"/>
              </w:rPr>
            </w:pPr>
          </w:p>
        </w:tc>
        <w:tc>
          <w:tcPr>
            <w:tcW w:w="1351" w:type="dxa"/>
            <w:tcBorders>
              <w:top w:val="single" w:color="auto" w:sz="4" w:space="0"/>
              <w:left w:val="nil"/>
              <w:bottom w:val="single" w:color="auto" w:sz="4" w:space="0"/>
              <w:right w:val="single" w:color="auto" w:sz="4" w:space="0"/>
            </w:tcBorders>
          </w:tcPr>
          <w:p w14:paraId="4D2D1692">
            <w:pPr>
              <w:widowControl/>
              <w:adjustRightInd/>
              <w:snapToGrid w:val="0"/>
              <w:spacing w:before="50" w:after="50" w:line="360" w:lineRule="auto"/>
              <w:jc w:val="center"/>
              <w:rPr>
                <w:rFonts w:hint="eastAsia" w:ascii="宋体" w:hAnsi="宋体" w:cs="宋体"/>
                <w:spacing w:val="20"/>
                <w:kern w:val="0"/>
                <w:sz w:val="24"/>
              </w:rPr>
            </w:pPr>
          </w:p>
        </w:tc>
      </w:tr>
      <w:tr w14:paraId="4D2D1699">
        <w:tblPrEx>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vAlign w:val="center"/>
          </w:tcPr>
          <w:p w14:paraId="4D2D1694">
            <w:pPr>
              <w:widowControl/>
              <w:adjustRightInd/>
              <w:jc w:val="center"/>
              <w:textAlignment w:val="center"/>
              <w:rPr>
                <w:rFonts w:hint="eastAsia" w:ascii="宋体" w:hAnsi="宋体" w:cs="宋体"/>
                <w:spacing w:val="20"/>
                <w:kern w:val="0"/>
                <w:sz w:val="24"/>
                <w:lang w:bidi="ar"/>
              </w:rPr>
            </w:pPr>
          </w:p>
        </w:tc>
        <w:tc>
          <w:tcPr>
            <w:tcW w:w="3975" w:type="dxa"/>
            <w:tcBorders>
              <w:top w:val="single" w:color="auto" w:sz="4" w:space="0"/>
              <w:left w:val="nil"/>
              <w:bottom w:val="single" w:color="auto" w:sz="4" w:space="0"/>
              <w:right w:val="single" w:color="auto" w:sz="4" w:space="0"/>
            </w:tcBorders>
            <w:vAlign w:val="center"/>
          </w:tcPr>
          <w:p w14:paraId="4D2D1695">
            <w:pPr>
              <w:widowControl/>
              <w:adjustRightInd/>
              <w:jc w:val="center"/>
              <w:textAlignment w:val="center"/>
              <w:rPr>
                <w:rFonts w:hint="eastAsia" w:ascii="宋体" w:hAnsi="宋体" w:cs="宋体"/>
                <w:spacing w:val="20"/>
                <w:kern w:val="0"/>
                <w:sz w:val="24"/>
                <w:lang w:bidi="ar"/>
              </w:rPr>
            </w:pPr>
          </w:p>
        </w:tc>
        <w:tc>
          <w:tcPr>
            <w:tcW w:w="1125" w:type="dxa"/>
            <w:tcBorders>
              <w:top w:val="single" w:color="auto" w:sz="4" w:space="0"/>
              <w:left w:val="nil"/>
              <w:bottom w:val="single" w:color="auto" w:sz="4" w:space="0"/>
              <w:right w:val="single" w:color="auto" w:sz="4" w:space="0"/>
            </w:tcBorders>
            <w:vAlign w:val="center"/>
          </w:tcPr>
          <w:p w14:paraId="4D2D1696">
            <w:pPr>
              <w:widowControl/>
              <w:adjustRightInd/>
              <w:jc w:val="center"/>
              <w:textAlignment w:val="center"/>
              <w:rPr>
                <w:rFonts w:hint="eastAsia" w:ascii="宋体" w:hAnsi="宋体" w:cs="宋体"/>
                <w:spacing w:val="20"/>
                <w:kern w:val="0"/>
                <w:sz w:val="24"/>
              </w:rPr>
            </w:pPr>
          </w:p>
        </w:tc>
        <w:tc>
          <w:tcPr>
            <w:tcW w:w="1269" w:type="dxa"/>
            <w:tcBorders>
              <w:top w:val="single" w:color="auto" w:sz="4" w:space="0"/>
              <w:left w:val="nil"/>
              <w:bottom w:val="single" w:color="auto" w:sz="4" w:space="0"/>
              <w:right w:val="single" w:color="auto" w:sz="4" w:space="0"/>
            </w:tcBorders>
          </w:tcPr>
          <w:p w14:paraId="4D2D1697">
            <w:pPr>
              <w:widowControl/>
              <w:adjustRightInd/>
              <w:snapToGrid w:val="0"/>
              <w:spacing w:before="50" w:after="50" w:line="360" w:lineRule="auto"/>
              <w:jc w:val="center"/>
              <w:rPr>
                <w:rFonts w:hint="eastAsia" w:ascii="宋体" w:hAnsi="宋体" w:cs="宋体"/>
                <w:spacing w:val="20"/>
                <w:kern w:val="0"/>
                <w:sz w:val="24"/>
              </w:rPr>
            </w:pPr>
          </w:p>
        </w:tc>
        <w:tc>
          <w:tcPr>
            <w:tcW w:w="1351" w:type="dxa"/>
            <w:tcBorders>
              <w:top w:val="single" w:color="auto" w:sz="4" w:space="0"/>
              <w:left w:val="nil"/>
              <w:bottom w:val="single" w:color="auto" w:sz="4" w:space="0"/>
              <w:right w:val="single" w:color="auto" w:sz="4" w:space="0"/>
            </w:tcBorders>
          </w:tcPr>
          <w:p w14:paraId="4D2D1698">
            <w:pPr>
              <w:widowControl/>
              <w:adjustRightInd/>
              <w:snapToGrid w:val="0"/>
              <w:spacing w:before="50" w:after="50" w:line="360" w:lineRule="auto"/>
              <w:jc w:val="center"/>
              <w:rPr>
                <w:rFonts w:hint="eastAsia" w:ascii="宋体" w:hAnsi="宋体" w:cs="宋体"/>
                <w:spacing w:val="20"/>
                <w:kern w:val="0"/>
                <w:sz w:val="24"/>
              </w:rPr>
            </w:pPr>
          </w:p>
        </w:tc>
      </w:tr>
      <w:tr w14:paraId="4D2D169F">
        <w:tblPrEx>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vAlign w:val="center"/>
          </w:tcPr>
          <w:p w14:paraId="4D2D169A">
            <w:pPr>
              <w:widowControl/>
              <w:adjustRightInd/>
              <w:jc w:val="center"/>
              <w:textAlignment w:val="center"/>
              <w:rPr>
                <w:rFonts w:hint="eastAsia" w:ascii="宋体" w:hAnsi="宋体" w:cs="宋体"/>
                <w:spacing w:val="20"/>
                <w:kern w:val="0"/>
                <w:sz w:val="24"/>
                <w:lang w:bidi="ar"/>
              </w:rPr>
            </w:pPr>
          </w:p>
        </w:tc>
        <w:tc>
          <w:tcPr>
            <w:tcW w:w="3975" w:type="dxa"/>
            <w:tcBorders>
              <w:top w:val="single" w:color="auto" w:sz="4" w:space="0"/>
              <w:left w:val="nil"/>
              <w:bottom w:val="single" w:color="auto" w:sz="4" w:space="0"/>
              <w:right w:val="single" w:color="auto" w:sz="4" w:space="0"/>
            </w:tcBorders>
            <w:vAlign w:val="center"/>
          </w:tcPr>
          <w:p w14:paraId="4D2D169B">
            <w:pPr>
              <w:widowControl/>
              <w:adjustRightInd/>
              <w:jc w:val="center"/>
              <w:textAlignment w:val="center"/>
              <w:rPr>
                <w:rFonts w:hint="eastAsia" w:ascii="宋体" w:hAnsi="宋体" w:cs="宋体"/>
                <w:spacing w:val="20"/>
                <w:kern w:val="0"/>
                <w:sz w:val="24"/>
                <w:lang w:bidi="ar"/>
              </w:rPr>
            </w:pPr>
          </w:p>
        </w:tc>
        <w:tc>
          <w:tcPr>
            <w:tcW w:w="1125" w:type="dxa"/>
            <w:tcBorders>
              <w:top w:val="single" w:color="auto" w:sz="4" w:space="0"/>
              <w:left w:val="nil"/>
              <w:bottom w:val="single" w:color="auto" w:sz="4" w:space="0"/>
              <w:right w:val="single" w:color="auto" w:sz="4" w:space="0"/>
            </w:tcBorders>
            <w:vAlign w:val="center"/>
          </w:tcPr>
          <w:p w14:paraId="4D2D169C">
            <w:pPr>
              <w:widowControl/>
              <w:adjustRightInd/>
              <w:jc w:val="center"/>
              <w:textAlignment w:val="center"/>
              <w:rPr>
                <w:rFonts w:hint="eastAsia" w:ascii="宋体" w:hAnsi="宋体" w:cs="宋体"/>
                <w:spacing w:val="20"/>
                <w:kern w:val="0"/>
                <w:sz w:val="24"/>
              </w:rPr>
            </w:pPr>
          </w:p>
        </w:tc>
        <w:tc>
          <w:tcPr>
            <w:tcW w:w="1269" w:type="dxa"/>
            <w:tcBorders>
              <w:top w:val="single" w:color="auto" w:sz="4" w:space="0"/>
              <w:left w:val="nil"/>
              <w:bottom w:val="single" w:color="auto" w:sz="4" w:space="0"/>
              <w:right w:val="single" w:color="auto" w:sz="4" w:space="0"/>
            </w:tcBorders>
          </w:tcPr>
          <w:p w14:paraId="4D2D169D">
            <w:pPr>
              <w:widowControl/>
              <w:adjustRightInd/>
              <w:snapToGrid w:val="0"/>
              <w:spacing w:before="50" w:after="50" w:line="360" w:lineRule="auto"/>
              <w:jc w:val="center"/>
              <w:rPr>
                <w:rFonts w:hint="eastAsia" w:ascii="宋体" w:hAnsi="宋体" w:cs="宋体"/>
                <w:spacing w:val="20"/>
                <w:kern w:val="0"/>
                <w:sz w:val="24"/>
              </w:rPr>
            </w:pPr>
          </w:p>
        </w:tc>
        <w:tc>
          <w:tcPr>
            <w:tcW w:w="1351" w:type="dxa"/>
            <w:tcBorders>
              <w:top w:val="single" w:color="auto" w:sz="4" w:space="0"/>
              <w:left w:val="nil"/>
              <w:bottom w:val="single" w:color="auto" w:sz="4" w:space="0"/>
              <w:right w:val="single" w:color="auto" w:sz="4" w:space="0"/>
            </w:tcBorders>
          </w:tcPr>
          <w:p w14:paraId="4D2D169E">
            <w:pPr>
              <w:widowControl/>
              <w:adjustRightInd/>
              <w:snapToGrid w:val="0"/>
              <w:spacing w:before="50" w:after="50" w:line="360" w:lineRule="auto"/>
              <w:jc w:val="center"/>
              <w:rPr>
                <w:rFonts w:hint="eastAsia" w:ascii="宋体" w:hAnsi="宋体" w:cs="宋体"/>
                <w:spacing w:val="20"/>
                <w:kern w:val="0"/>
                <w:sz w:val="24"/>
              </w:rPr>
            </w:pPr>
          </w:p>
        </w:tc>
      </w:tr>
      <w:tr w14:paraId="4D2D16A5">
        <w:tblPrEx>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vAlign w:val="center"/>
          </w:tcPr>
          <w:p w14:paraId="4D2D16A0">
            <w:pPr>
              <w:widowControl/>
              <w:adjustRightInd/>
              <w:jc w:val="center"/>
              <w:textAlignment w:val="center"/>
              <w:rPr>
                <w:rFonts w:hint="eastAsia" w:ascii="宋体" w:hAnsi="宋体" w:cs="宋体"/>
                <w:spacing w:val="20"/>
                <w:kern w:val="0"/>
                <w:sz w:val="24"/>
                <w:lang w:bidi="ar"/>
              </w:rPr>
            </w:pPr>
          </w:p>
        </w:tc>
        <w:tc>
          <w:tcPr>
            <w:tcW w:w="3975" w:type="dxa"/>
            <w:tcBorders>
              <w:top w:val="single" w:color="auto" w:sz="4" w:space="0"/>
              <w:left w:val="nil"/>
              <w:bottom w:val="single" w:color="auto" w:sz="4" w:space="0"/>
              <w:right w:val="single" w:color="auto" w:sz="4" w:space="0"/>
            </w:tcBorders>
            <w:vAlign w:val="center"/>
          </w:tcPr>
          <w:p w14:paraId="4D2D16A1">
            <w:pPr>
              <w:widowControl/>
              <w:adjustRightInd/>
              <w:jc w:val="center"/>
              <w:textAlignment w:val="center"/>
              <w:rPr>
                <w:rFonts w:hint="eastAsia" w:ascii="宋体" w:hAnsi="宋体" w:cs="宋体"/>
                <w:spacing w:val="20"/>
                <w:kern w:val="0"/>
                <w:sz w:val="24"/>
                <w:lang w:bidi="ar"/>
              </w:rPr>
            </w:pPr>
          </w:p>
        </w:tc>
        <w:tc>
          <w:tcPr>
            <w:tcW w:w="1125" w:type="dxa"/>
            <w:tcBorders>
              <w:top w:val="single" w:color="auto" w:sz="4" w:space="0"/>
              <w:left w:val="nil"/>
              <w:bottom w:val="single" w:color="auto" w:sz="4" w:space="0"/>
              <w:right w:val="single" w:color="auto" w:sz="4" w:space="0"/>
            </w:tcBorders>
          </w:tcPr>
          <w:p w14:paraId="4D2D16A2">
            <w:pPr>
              <w:widowControl/>
              <w:adjustRightInd/>
              <w:snapToGrid w:val="0"/>
              <w:spacing w:before="50" w:after="50" w:line="360" w:lineRule="auto"/>
              <w:jc w:val="center"/>
              <w:rPr>
                <w:rFonts w:hint="eastAsia" w:ascii="宋体" w:hAnsi="宋体" w:cs="宋体"/>
                <w:spacing w:val="20"/>
                <w:kern w:val="0"/>
                <w:sz w:val="24"/>
              </w:rPr>
            </w:pPr>
          </w:p>
        </w:tc>
        <w:tc>
          <w:tcPr>
            <w:tcW w:w="1269" w:type="dxa"/>
            <w:tcBorders>
              <w:top w:val="single" w:color="auto" w:sz="4" w:space="0"/>
              <w:left w:val="nil"/>
              <w:bottom w:val="single" w:color="auto" w:sz="4" w:space="0"/>
              <w:right w:val="single" w:color="auto" w:sz="4" w:space="0"/>
            </w:tcBorders>
          </w:tcPr>
          <w:p w14:paraId="4D2D16A3">
            <w:pPr>
              <w:widowControl/>
              <w:adjustRightInd/>
              <w:snapToGrid w:val="0"/>
              <w:spacing w:before="50" w:after="50" w:line="360" w:lineRule="auto"/>
              <w:jc w:val="center"/>
              <w:rPr>
                <w:rFonts w:hint="eastAsia" w:ascii="宋体" w:hAnsi="宋体" w:cs="宋体"/>
                <w:spacing w:val="20"/>
                <w:kern w:val="0"/>
                <w:sz w:val="24"/>
              </w:rPr>
            </w:pPr>
          </w:p>
        </w:tc>
        <w:tc>
          <w:tcPr>
            <w:tcW w:w="1351" w:type="dxa"/>
            <w:tcBorders>
              <w:top w:val="single" w:color="auto" w:sz="4" w:space="0"/>
              <w:left w:val="nil"/>
              <w:bottom w:val="single" w:color="auto" w:sz="4" w:space="0"/>
              <w:right w:val="single" w:color="auto" w:sz="4" w:space="0"/>
            </w:tcBorders>
          </w:tcPr>
          <w:p w14:paraId="4D2D16A4">
            <w:pPr>
              <w:widowControl/>
              <w:adjustRightInd/>
              <w:snapToGrid w:val="0"/>
              <w:spacing w:before="50" w:after="50" w:line="360" w:lineRule="auto"/>
              <w:jc w:val="center"/>
              <w:rPr>
                <w:rFonts w:hint="eastAsia" w:ascii="宋体" w:hAnsi="宋体" w:cs="宋体"/>
                <w:spacing w:val="20"/>
                <w:kern w:val="0"/>
                <w:sz w:val="24"/>
              </w:rPr>
            </w:pPr>
          </w:p>
        </w:tc>
      </w:tr>
      <w:tr w14:paraId="4D2D16AB">
        <w:tblPrEx>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vAlign w:val="center"/>
          </w:tcPr>
          <w:p w14:paraId="4D2D16A6">
            <w:pPr>
              <w:widowControl/>
              <w:adjustRightInd/>
              <w:jc w:val="center"/>
              <w:textAlignment w:val="center"/>
              <w:rPr>
                <w:rFonts w:hint="eastAsia" w:ascii="宋体" w:hAnsi="宋体" w:cs="宋体"/>
                <w:spacing w:val="20"/>
                <w:kern w:val="0"/>
                <w:sz w:val="24"/>
                <w:lang w:bidi="ar"/>
              </w:rPr>
            </w:pPr>
          </w:p>
        </w:tc>
        <w:tc>
          <w:tcPr>
            <w:tcW w:w="3975" w:type="dxa"/>
            <w:tcBorders>
              <w:top w:val="single" w:color="auto" w:sz="4" w:space="0"/>
              <w:left w:val="nil"/>
              <w:bottom w:val="single" w:color="auto" w:sz="4" w:space="0"/>
              <w:right w:val="single" w:color="auto" w:sz="4" w:space="0"/>
            </w:tcBorders>
            <w:vAlign w:val="center"/>
          </w:tcPr>
          <w:p w14:paraId="4D2D16A7">
            <w:pPr>
              <w:widowControl/>
              <w:adjustRightInd/>
              <w:jc w:val="center"/>
              <w:textAlignment w:val="center"/>
              <w:rPr>
                <w:rFonts w:hint="eastAsia" w:ascii="宋体" w:hAnsi="宋体" w:cs="宋体"/>
                <w:spacing w:val="20"/>
                <w:kern w:val="0"/>
                <w:sz w:val="24"/>
                <w:lang w:bidi="ar"/>
              </w:rPr>
            </w:pPr>
          </w:p>
        </w:tc>
        <w:tc>
          <w:tcPr>
            <w:tcW w:w="1125" w:type="dxa"/>
            <w:tcBorders>
              <w:top w:val="single" w:color="auto" w:sz="4" w:space="0"/>
              <w:left w:val="nil"/>
              <w:bottom w:val="single" w:color="auto" w:sz="4" w:space="0"/>
              <w:right w:val="single" w:color="auto" w:sz="4" w:space="0"/>
            </w:tcBorders>
          </w:tcPr>
          <w:p w14:paraId="4D2D16A8">
            <w:pPr>
              <w:widowControl/>
              <w:adjustRightInd/>
              <w:snapToGrid w:val="0"/>
              <w:spacing w:before="50" w:after="50" w:line="360" w:lineRule="auto"/>
              <w:jc w:val="center"/>
              <w:rPr>
                <w:rFonts w:hint="eastAsia" w:ascii="宋体" w:hAnsi="宋体" w:cs="宋体"/>
                <w:spacing w:val="20"/>
                <w:kern w:val="0"/>
                <w:sz w:val="24"/>
              </w:rPr>
            </w:pPr>
          </w:p>
        </w:tc>
        <w:tc>
          <w:tcPr>
            <w:tcW w:w="1269" w:type="dxa"/>
            <w:tcBorders>
              <w:top w:val="single" w:color="auto" w:sz="4" w:space="0"/>
              <w:left w:val="nil"/>
              <w:bottom w:val="single" w:color="auto" w:sz="4" w:space="0"/>
              <w:right w:val="single" w:color="auto" w:sz="4" w:space="0"/>
            </w:tcBorders>
          </w:tcPr>
          <w:p w14:paraId="4D2D16A9">
            <w:pPr>
              <w:widowControl/>
              <w:adjustRightInd/>
              <w:snapToGrid w:val="0"/>
              <w:spacing w:before="50" w:after="50" w:line="360" w:lineRule="auto"/>
              <w:jc w:val="center"/>
              <w:rPr>
                <w:rFonts w:hint="eastAsia" w:ascii="宋体" w:hAnsi="宋体" w:cs="宋体"/>
                <w:spacing w:val="20"/>
                <w:kern w:val="0"/>
                <w:sz w:val="24"/>
              </w:rPr>
            </w:pPr>
          </w:p>
        </w:tc>
        <w:tc>
          <w:tcPr>
            <w:tcW w:w="1351" w:type="dxa"/>
            <w:tcBorders>
              <w:top w:val="single" w:color="auto" w:sz="4" w:space="0"/>
              <w:left w:val="nil"/>
              <w:bottom w:val="single" w:color="auto" w:sz="4" w:space="0"/>
              <w:right w:val="single" w:color="auto" w:sz="4" w:space="0"/>
            </w:tcBorders>
          </w:tcPr>
          <w:p w14:paraId="4D2D16AA">
            <w:pPr>
              <w:widowControl/>
              <w:adjustRightInd/>
              <w:snapToGrid w:val="0"/>
              <w:spacing w:before="50" w:after="50" w:line="360" w:lineRule="auto"/>
              <w:jc w:val="center"/>
              <w:rPr>
                <w:rFonts w:hint="eastAsia" w:ascii="宋体" w:hAnsi="宋体" w:cs="宋体"/>
                <w:spacing w:val="20"/>
                <w:kern w:val="0"/>
                <w:sz w:val="24"/>
              </w:rPr>
            </w:pPr>
          </w:p>
        </w:tc>
      </w:tr>
      <w:tr w14:paraId="4D2D16B1">
        <w:tblPrEx>
          <w:tblCellMar>
            <w:top w:w="0" w:type="dxa"/>
            <w:left w:w="108" w:type="dxa"/>
            <w:bottom w:w="0" w:type="dxa"/>
            <w:right w:w="108" w:type="dxa"/>
          </w:tblCellMar>
        </w:tblPrEx>
        <w:trPr>
          <w:trHeight w:val="369"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D2D16AC">
            <w:pPr>
              <w:widowControl/>
              <w:adjustRightInd/>
              <w:jc w:val="center"/>
              <w:textAlignment w:val="center"/>
              <w:rPr>
                <w:rFonts w:hint="eastAsia" w:ascii="宋体" w:hAnsi="宋体" w:cs="宋体"/>
                <w:spacing w:val="20"/>
                <w:kern w:val="0"/>
                <w:sz w:val="24"/>
                <w:lang w:bidi="ar"/>
              </w:rPr>
            </w:pPr>
          </w:p>
        </w:tc>
        <w:tc>
          <w:tcPr>
            <w:tcW w:w="3975" w:type="dxa"/>
            <w:tcBorders>
              <w:top w:val="single" w:color="auto" w:sz="4" w:space="0"/>
              <w:left w:val="nil"/>
              <w:bottom w:val="single" w:color="auto" w:sz="4" w:space="0"/>
              <w:right w:val="single" w:color="auto" w:sz="4" w:space="0"/>
            </w:tcBorders>
            <w:vAlign w:val="center"/>
          </w:tcPr>
          <w:p w14:paraId="4D2D16AD">
            <w:pPr>
              <w:widowControl/>
              <w:adjustRightInd/>
              <w:jc w:val="center"/>
              <w:textAlignment w:val="center"/>
              <w:rPr>
                <w:rFonts w:hint="eastAsia" w:ascii="宋体" w:hAnsi="宋体" w:cs="宋体"/>
                <w:spacing w:val="20"/>
                <w:kern w:val="0"/>
                <w:sz w:val="24"/>
                <w:lang w:bidi="ar"/>
              </w:rPr>
            </w:pPr>
          </w:p>
        </w:tc>
        <w:tc>
          <w:tcPr>
            <w:tcW w:w="1125" w:type="dxa"/>
            <w:tcBorders>
              <w:top w:val="single" w:color="auto" w:sz="4" w:space="0"/>
              <w:left w:val="nil"/>
              <w:bottom w:val="single" w:color="auto" w:sz="4" w:space="0"/>
              <w:right w:val="single" w:color="auto" w:sz="4" w:space="0"/>
            </w:tcBorders>
          </w:tcPr>
          <w:p w14:paraId="4D2D16AE">
            <w:pPr>
              <w:widowControl/>
              <w:adjustRightInd/>
              <w:snapToGrid w:val="0"/>
              <w:spacing w:before="50" w:after="50" w:line="360" w:lineRule="auto"/>
              <w:jc w:val="center"/>
              <w:rPr>
                <w:rFonts w:hint="eastAsia" w:ascii="宋体" w:hAnsi="宋体" w:cs="宋体"/>
                <w:spacing w:val="20"/>
                <w:kern w:val="0"/>
                <w:sz w:val="24"/>
              </w:rPr>
            </w:pPr>
          </w:p>
        </w:tc>
        <w:tc>
          <w:tcPr>
            <w:tcW w:w="1269" w:type="dxa"/>
            <w:tcBorders>
              <w:top w:val="single" w:color="auto" w:sz="4" w:space="0"/>
              <w:left w:val="nil"/>
              <w:bottom w:val="single" w:color="auto" w:sz="4" w:space="0"/>
              <w:right w:val="single" w:color="auto" w:sz="4" w:space="0"/>
            </w:tcBorders>
          </w:tcPr>
          <w:p w14:paraId="4D2D16AF">
            <w:pPr>
              <w:widowControl/>
              <w:adjustRightInd/>
              <w:snapToGrid w:val="0"/>
              <w:spacing w:before="50" w:after="50" w:line="360" w:lineRule="auto"/>
              <w:jc w:val="center"/>
              <w:rPr>
                <w:rFonts w:hint="eastAsia" w:ascii="宋体" w:hAnsi="宋体" w:cs="宋体"/>
                <w:spacing w:val="20"/>
                <w:kern w:val="0"/>
                <w:sz w:val="24"/>
              </w:rPr>
            </w:pPr>
          </w:p>
        </w:tc>
        <w:tc>
          <w:tcPr>
            <w:tcW w:w="1351" w:type="dxa"/>
            <w:tcBorders>
              <w:top w:val="single" w:color="auto" w:sz="4" w:space="0"/>
              <w:left w:val="nil"/>
              <w:bottom w:val="single" w:color="auto" w:sz="4" w:space="0"/>
              <w:right w:val="single" w:color="auto" w:sz="4" w:space="0"/>
            </w:tcBorders>
          </w:tcPr>
          <w:p w14:paraId="4D2D16B0">
            <w:pPr>
              <w:widowControl/>
              <w:adjustRightInd/>
              <w:snapToGrid w:val="0"/>
              <w:spacing w:before="50" w:after="50" w:line="360" w:lineRule="auto"/>
              <w:jc w:val="center"/>
              <w:rPr>
                <w:rFonts w:hint="eastAsia" w:ascii="宋体" w:hAnsi="宋体" w:cs="宋体"/>
                <w:spacing w:val="20"/>
                <w:kern w:val="0"/>
                <w:sz w:val="24"/>
              </w:rPr>
            </w:pPr>
          </w:p>
        </w:tc>
      </w:tr>
      <w:tr w14:paraId="4D2D16B7">
        <w:tblPrEx>
          <w:tblCellMar>
            <w:top w:w="0" w:type="dxa"/>
            <w:left w:w="108" w:type="dxa"/>
            <w:bottom w:w="0" w:type="dxa"/>
            <w:right w:w="108" w:type="dxa"/>
          </w:tblCellMar>
        </w:tblPrEx>
        <w:trPr>
          <w:trHeight w:val="369"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D2D16B2">
            <w:pPr>
              <w:widowControl/>
              <w:adjustRightInd/>
              <w:jc w:val="center"/>
              <w:textAlignment w:val="center"/>
              <w:rPr>
                <w:rFonts w:hint="eastAsia" w:ascii="宋体" w:hAnsi="宋体" w:cs="宋体"/>
                <w:spacing w:val="20"/>
                <w:kern w:val="0"/>
                <w:sz w:val="24"/>
                <w:lang w:bidi="ar"/>
              </w:rPr>
            </w:pPr>
          </w:p>
        </w:tc>
        <w:tc>
          <w:tcPr>
            <w:tcW w:w="3975" w:type="dxa"/>
            <w:tcBorders>
              <w:top w:val="single" w:color="auto" w:sz="4" w:space="0"/>
              <w:left w:val="nil"/>
              <w:bottom w:val="single" w:color="auto" w:sz="4" w:space="0"/>
              <w:right w:val="single" w:color="auto" w:sz="4" w:space="0"/>
            </w:tcBorders>
            <w:vAlign w:val="center"/>
          </w:tcPr>
          <w:p w14:paraId="4D2D16B3">
            <w:pPr>
              <w:widowControl/>
              <w:adjustRightInd/>
              <w:jc w:val="center"/>
              <w:textAlignment w:val="center"/>
              <w:rPr>
                <w:rFonts w:hint="eastAsia" w:ascii="宋体" w:hAnsi="宋体" w:cs="宋体"/>
                <w:spacing w:val="20"/>
                <w:kern w:val="0"/>
                <w:sz w:val="24"/>
                <w:lang w:bidi="ar"/>
              </w:rPr>
            </w:pPr>
          </w:p>
        </w:tc>
        <w:tc>
          <w:tcPr>
            <w:tcW w:w="1125" w:type="dxa"/>
            <w:tcBorders>
              <w:top w:val="single" w:color="auto" w:sz="4" w:space="0"/>
              <w:left w:val="nil"/>
              <w:bottom w:val="single" w:color="auto" w:sz="4" w:space="0"/>
              <w:right w:val="single" w:color="auto" w:sz="4" w:space="0"/>
            </w:tcBorders>
          </w:tcPr>
          <w:p w14:paraId="4D2D16B4">
            <w:pPr>
              <w:widowControl/>
              <w:adjustRightInd/>
              <w:snapToGrid w:val="0"/>
              <w:spacing w:before="50" w:after="50" w:line="360" w:lineRule="auto"/>
              <w:jc w:val="center"/>
              <w:rPr>
                <w:rFonts w:hint="eastAsia" w:ascii="宋体" w:hAnsi="宋体" w:cs="宋体"/>
                <w:spacing w:val="20"/>
                <w:kern w:val="0"/>
                <w:sz w:val="24"/>
              </w:rPr>
            </w:pPr>
          </w:p>
        </w:tc>
        <w:tc>
          <w:tcPr>
            <w:tcW w:w="1269" w:type="dxa"/>
            <w:tcBorders>
              <w:top w:val="single" w:color="auto" w:sz="4" w:space="0"/>
              <w:left w:val="nil"/>
              <w:bottom w:val="single" w:color="auto" w:sz="4" w:space="0"/>
              <w:right w:val="single" w:color="auto" w:sz="4" w:space="0"/>
            </w:tcBorders>
          </w:tcPr>
          <w:p w14:paraId="4D2D16B5">
            <w:pPr>
              <w:widowControl/>
              <w:adjustRightInd/>
              <w:snapToGrid w:val="0"/>
              <w:spacing w:before="50" w:after="50" w:line="360" w:lineRule="auto"/>
              <w:jc w:val="center"/>
              <w:rPr>
                <w:rFonts w:hint="eastAsia" w:ascii="宋体" w:hAnsi="宋体" w:cs="宋体"/>
                <w:spacing w:val="20"/>
                <w:kern w:val="0"/>
                <w:sz w:val="24"/>
              </w:rPr>
            </w:pPr>
          </w:p>
        </w:tc>
        <w:tc>
          <w:tcPr>
            <w:tcW w:w="1351" w:type="dxa"/>
            <w:tcBorders>
              <w:top w:val="single" w:color="auto" w:sz="4" w:space="0"/>
              <w:left w:val="nil"/>
              <w:bottom w:val="single" w:color="auto" w:sz="4" w:space="0"/>
              <w:right w:val="single" w:color="auto" w:sz="4" w:space="0"/>
            </w:tcBorders>
          </w:tcPr>
          <w:p w14:paraId="4D2D16B6">
            <w:pPr>
              <w:widowControl/>
              <w:adjustRightInd/>
              <w:snapToGrid w:val="0"/>
              <w:spacing w:before="50" w:after="50" w:line="360" w:lineRule="auto"/>
              <w:jc w:val="center"/>
              <w:rPr>
                <w:rFonts w:hint="eastAsia" w:ascii="宋体" w:hAnsi="宋体" w:cs="宋体"/>
                <w:spacing w:val="20"/>
                <w:kern w:val="0"/>
                <w:sz w:val="24"/>
              </w:rPr>
            </w:pPr>
          </w:p>
        </w:tc>
      </w:tr>
      <w:tr w14:paraId="4D2D16BD">
        <w:tblPrEx>
          <w:tblCellMar>
            <w:top w:w="0" w:type="dxa"/>
            <w:left w:w="108" w:type="dxa"/>
            <w:bottom w:w="0" w:type="dxa"/>
            <w:right w:w="108" w:type="dxa"/>
          </w:tblCellMar>
        </w:tblPrEx>
        <w:trPr>
          <w:trHeight w:val="369"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D2D16B8">
            <w:pPr>
              <w:widowControl/>
              <w:adjustRightInd/>
              <w:jc w:val="center"/>
              <w:textAlignment w:val="center"/>
              <w:rPr>
                <w:rFonts w:hint="eastAsia" w:ascii="宋体" w:hAnsi="宋体" w:cs="宋体"/>
                <w:spacing w:val="20"/>
                <w:kern w:val="0"/>
                <w:sz w:val="24"/>
                <w:lang w:bidi="ar"/>
              </w:rPr>
            </w:pPr>
          </w:p>
        </w:tc>
        <w:tc>
          <w:tcPr>
            <w:tcW w:w="3975" w:type="dxa"/>
            <w:tcBorders>
              <w:top w:val="single" w:color="auto" w:sz="4" w:space="0"/>
              <w:left w:val="nil"/>
              <w:bottom w:val="single" w:color="auto" w:sz="4" w:space="0"/>
              <w:right w:val="single" w:color="auto" w:sz="4" w:space="0"/>
            </w:tcBorders>
            <w:vAlign w:val="center"/>
          </w:tcPr>
          <w:p w14:paraId="4D2D16B9">
            <w:pPr>
              <w:widowControl/>
              <w:adjustRightInd/>
              <w:jc w:val="center"/>
              <w:textAlignment w:val="center"/>
              <w:rPr>
                <w:rFonts w:hint="eastAsia" w:ascii="宋体" w:hAnsi="宋体" w:cs="宋体"/>
                <w:spacing w:val="20"/>
                <w:kern w:val="0"/>
                <w:sz w:val="24"/>
                <w:lang w:bidi="ar"/>
              </w:rPr>
            </w:pPr>
          </w:p>
        </w:tc>
        <w:tc>
          <w:tcPr>
            <w:tcW w:w="1125" w:type="dxa"/>
            <w:tcBorders>
              <w:top w:val="single" w:color="auto" w:sz="4" w:space="0"/>
              <w:left w:val="nil"/>
              <w:bottom w:val="single" w:color="auto" w:sz="4" w:space="0"/>
              <w:right w:val="single" w:color="auto" w:sz="4" w:space="0"/>
            </w:tcBorders>
          </w:tcPr>
          <w:p w14:paraId="4D2D16BA">
            <w:pPr>
              <w:widowControl/>
              <w:adjustRightInd/>
              <w:snapToGrid w:val="0"/>
              <w:spacing w:before="50" w:after="50" w:line="360" w:lineRule="auto"/>
              <w:jc w:val="center"/>
              <w:rPr>
                <w:rFonts w:hint="eastAsia" w:ascii="宋体" w:hAnsi="宋体" w:cs="宋体"/>
                <w:spacing w:val="20"/>
                <w:kern w:val="0"/>
                <w:sz w:val="24"/>
              </w:rPr>
            </w:pPr>
          </w:p>
        </w:tc>
        <w:tc>
          <w:tcPr>
            <w:tcW w:w="1269" w:type="dxa"/>
            <w:tcBorders>
              <w:top w:val="single" w:color="auto" w:sz="4" w:space="0"/>
              <w:left w:val="nil"/>
              <w:bottom w:val="single" w:color="auto" w:sz="4" w:space="0"/>
              <w:right w:val="single" w:color="auto" w:sz="4" w:space="0"/>
            </w:tcBorders>
          </w:tcPr>
          <w:p w14:paraId="4D2D16BB">
            <w:pPr>
              <w:widowControl/>
              <w:adjustRightInd/>
              <w:snapToGrid w:val="0"/>
              <w:spacing w:before="50" w:after="50" w:line="360" w:lineRule="auto"/>
              <w:jc w:val="center"/>
              <w:rPr>
                <w:rFonts w:hint="eastAsia" w:ascii="宋体" w:hAnsi="宋体" w:cs="宋体"/>
                <w:spacing w:val="20"/>
                <w:kern w:val="0"/>
                <w:sz w:val="24"/>
              </w:rPr>
            </w:pPr>
          </w:p>
        </w:tc>
        <w:tc>
          <w:tcPr>
            <w:tcW w:w="1351" w:type="dxa"/>
            <w:tcBorders>
              <w:top w:val="single" w:color="auto" w:sz="4" w:space="0"/>
              <w:left w:val="nil"/>
              <w:bottom w:val="single" w:color="auto" w:sz="4" w:space="0"/>
              <w:right w:val="single" w:color="auto" w:sz="4" w:space="0"/>
            </w:tcBorders>
          </w:tcPr>
          <w:p w14:paraId="4D2D16BC">
            <w:pPr>
              <w:widowControl/>
              <w:adjustRightInd/>
              <w:snapToGrid w:val="0"/>
              <w:spacing w:before="50" w:after="50" w:line="360" w:lineRule="auto"/>
              <w:jc w:val="center"/>
              <w:rPr>
                <w:rFonts w:hint="eastAsia" w:ascii="宋体" w:hAnsi="宋体" w:cs="宋体"/>
                <w:spacing w:val="20"/>
                <w:kern w:val="0"/>
                <w:sz w:val="24"/>
              </w:rPr>
            </w:pPr>
          </w:p>
        </w:tc>
      </w:tr>
      <w:tr w14:paraId="4D2D16C3">
        <w:tblPrEx>
          <w:tblCellMar>
            <w:top w:w="0" w:type="dxa"/>
            <w:left w:w="108" w:type="dxa"/>
            <w:bottom w:w="0" w:type="dxa"/>
            <w:right w:w="108" w:type="dxa"/>
          </w:tblCellMar>
        </w:tblPrEx>
        <w:trPr>
          <w:trHeight w:val="369"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D2D16BE">
            <w:pPr>
              <w:widowControl/>
              <w:adjustRightInd/>
              <w:jc w:val="center"/>
              <w:textAlignment w:val="center"/>
              <w:rPr>
                <w:rFonts w:hint="eastAsia" w:ascii="宋体" w:hAnsi="宋体" w:cs="宋体"/>
                <w:spacing w:val="20"/>
                <w:kern w:val="0"/>
                <w:sz w:val="24"/>
                <w:lang w:bidi="ar"/>
              </w:rPr>
            </w:pPr>
          </w:p>
        </w:tc>
        <w:tc>
          <w:tcPr>
            <w:tcW w:w="3975" w:type="dxa"/>
            <w:tcBorders>
              <w:top w:val="single" w:color="auto" w:sz="4" w:space="0"/>
              <w:left w:val="nil"/>
              <w:bottom w:val="single" w:color="auto" w:sz="4" w:space="0"/>
              <w:right w:val="single" w:color="auto" w:sz="4" w:space="0"/>
            </w:tcBorders>
            <w:vAlign w:val="center"/>
          </w:tcPr>
          <w:p w14:paraId="4D2D16BF">
            <w:pPr>
              <w:widowControl/>
              <w:adjustRightInd/>
              <w:jc w:val="center"/>
              <w:textAlignment w:val="center"/>
              <w:rPr>
                <w:rFonts w:hint="eastAsia" w:ascii="宋体" w:hAnsi="宋体" w:cs="宋体"/>
                <w:spacing w:val="20"/>
                <w:kern w:val="0"/>
                <w:sz w:val="24"/>
                <w:lang w:bidi="ar"/>
              </w:rPr>
            </w:pPr>
          </w:p>
        </w:tc>
        <w:tc>
          <w:tcPr>
            <w:tcW w:w="1125" w:type="dxa"/>
            <w:tcBorders>
              <w:top w:val="single" w:color="auto" w:sz="4" w:space="0"/>
              <w:left w:val="nil"/>
              <w:bottom w:val="single" w:color="auto" w:sz="4" w:space="0"/>
              <w:right w:val="single" w:color="auto" w:sz="4" w:space="0"/>
            </w:tcBorders>
          </w:tcPr>
          <w:p w14:paraId="4D2D16C0">
            <w:pPr>
              <w:widowControl/>
              <w:adjustRightInd/>
              <w:snapToGrid w:val="0"/>
              <w:spacing w:before="50" w:after="50" w:line="360" w:lineRule="auto"/>
              <w:jc w:val="center"/>
              <w:rPr>
                <w:rFonts w:hint="eastAsia" w:ascii="宋体" w:hAnsi="宋体" w:cs="宋体"/>
                <w:spacing w:val="20"/>
                <w:kern w:val="0"/>
                <w:sz w:val="24"/>
              </w:rPr>
            </w:pPr>
          </w:p>
        </w:tc>
        <w:tc>
          <w:tcPr>
            <w:tcW w:w="1269" w:type="dxa"/>
            <w:tcBorders>
              <w:top w:val="single" w:color="auto" w:sz="4" w:space="0"/>
              <w:left w:val="nil"/>
              <w:bottom w:val="single" w:color="auto" w:sz="4" w:space="0"/>
              <w:right w:val="single" w:color="auto" w:sz="4" w:space="0"/>
            </w:tcBorders>
          </w:tcPr>
          <w:p w14:paraId="4D2D16C1">
            <w:pPr>
              <w:widowControl/>
              <w:adjustRightInd/>
              <w:snapToGrid w:val="0"/>
              <w:spacing w:before="50" w:after="50" w:line="360" w:lineRule="auto"/>
              <w:jc w:val="center"/>
              <w:rPr>
                <w:rFonts w:hint="eastAsia" w:ascii="宋体" w:hAnsi="宋体" w:cs="宋体"/>
                <w:spacing w:val="20"/>
                <w:kern w:val="0"/>
                <w:sz w:val="24"/>
              </w:rPr>
            </w:pPr>
          </w:p>
        </w:tc>
        <w:tc>
          <w:tcPr>
            <w:tcW w:w="1351" w:type="dxa"/>
            <w:tcBorders>
              <w:top w:val="single" w:color="auto" w:sz="4" w:space="0"/>
              <w:left w:val="nil"/>
              <w:bottom w:val="single" w:color="auto" w:sz="4" w:space="0"/>
              <w:right w:val="single" w:color="auto" w:sz="4" w:space="0"/>
            </w:tcBorders>
          </w:tcPr>
          <w:p w14:paraId="4D2D16C2">
            <w:pPr>
              <w:widowControl/>
              <w:adjustRightInd/>
              <w:snapToGrid w:val="0"/>
              <w:spacing w:before="50" w:after="50" w:line="360" w:lineRule="auto"/>
              <w:jc w:val="center"/>
              <w:rPr>
                <w:rFonts w:hint="eastAsia" w:ascii="宋体" w:hAnsi="宋体" w:cs="宋体"/>
                <w:spacing w:val="20"/>
                <w:kern w:val="0"/>
                <w:sz w:val="24"/>
              </w:rPr>
            </w:pPr>
          </w:p>
        </w:tc>
      </w:tr>
      <w:tr w14:paraId="4D2D16C9">
        <w:tblPrEx>
          <w:tblCellMar>
            <w:top w:w="0" w:type="dxa"/>
            <w:left w:w="108" w:type="dxa"/>
            <w:bottom w:w="0" w:type="dxa"/>
            <w:right w:w="108" w:type="dxa"/>
          </w:tblCellMar>
        </w:tblPrEx>
        <w:trPr>
          <w:trHeight w:val="369"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D2D16C4">
            <w:pPr>
              <w:widowControl/>
              <w:adjustRightInd/>
              <w:jc w:val="center"/>
              <w:textAlignment w:val="center"/>
              <w:rPr>
                <w:rFonts w:hint="eastAsia" w:ascii="宋体" w:hAnsi="宋体" w:cs="宋体"/>
                <w:spacing w:val="20"/>
                <w:kern w:val="0"/>
                <w:sz w:val="24"/>
                <w:lang w:bidi="ar"/>
              </w:rPr>
            </w:pPr>
          </w:p>
        </w:tc>
        <w:tc>
          <w:tcPr>
            <w:tcW w:w="3975" w:type="dxa"/>
            <w:tcBorders>
              <w:top w:val="single" w:color="auto" w:sz="4" w:space="0"/>
              <w:left w:val="nil"/>
              <w:bottom w:val="single" w:color="auto" w:sz="4" w:space="0"/>
              <w:right w:val="single" w:color="auto" w:sz="4" w:space="0"/>
            </w:tcBorders>
            <w:vAlign w:val="center"/>
          </w:tcPr>
          <w:p w14:paraId="4D2D16C5">
            <w:pPr>
              <w:widowControl/>
              <w:adjustRightInd/>
              <w:jc w:val="center"/>
              <w:textAlignment w:val="center"/>
              <w:rPr>
                <w:rFonts w:hint="eastAsia" w:ascii="宋体" w:hAnsi="宋体" w:cs="宋体"/>
                <w:spacing w:val="20"/>
                <w:kern w:val="0"/>
                <w:sz w:val="24"/>
                <w:lang w:bidi="ar"/>
              </w:rPr>
            </w:pPr>
          </w:p>
        </w:tc>
        <w:tc>
          <w:tcPr>
            <w:tcW w:w="1125" w:type="dxa"/>
            <w:tcBorders>
              <w:top w:val="single" w:color="auto" w:sz="4" w:space="0"/>
              <w:left w:val="nil"/>
              <w:bottom w:val="single" w:color="auto" w:sz="4" w:space="0"/>
              <w:right w:val="single" w:color="auto" w:sz="4" w:space="0"/>
            </w:tcBorders>
          </w:tcPr>
          <w:p w14:paraId="4D2D16C6">
            <w:pPr>
              <w:widowControl/>
              <w:adjustRightInd/>
              <w:snapToGrid w:val="0"/>
              <w:spacing w:before="50" w:after="50" w:line="360" w:lineRule="auto"/>
              <w:jc w:val="center"/>
              <w:rPr>
                <w:rFonts w:hint="eastAsia" w:ascii="宋体" w:hAnsi="宋体" w:cs="宋体"/>
                <w:spacing w:val="20"/>
                <w:kern w:val="0"/>
                <w:sz w:val="24"/>
              </w:rPr>
            </w:pPr>
          </w:p>
        </w:tc>
        <w:tc>
          <w:tcPr>
            <w:tcW w:w="1269" w:type="dxa"/>
            <w:tcBorders>
              <w:top w:val="single" w:color="auto" w:sz="4" w:space="0"/>
              <w:left w:val="nil"/>
              <w:bottom w:val="single" w:color="auto" w:sz="4" w:space="0"/>
              <w:right w:val="single" w:color="auto" w:sz="4" w:space="0"/>
            </w:tcBorders>
          </w:tcPr>
          <w:p w14:paraId="4D2D16C7">
            <w:pPr>
              <w:widowControl/>
              <w:adjustRightInd/>
              <w:snapToGrid w:val="0"/>
              <w:spacing w:before="50" w:after="50" w:line="360" w:lineRule="auto"/>
              <w:jc w:val="center"/>
              <w:rPr>
                <w:rFonts w:hint="eastAsia" w:ascii="宋体" w:hAnsi="宋体" w:cs="宋体"/>
                <w:spacing w:val="20"/>
                <w:kern w:val="0"/>
                <w:sz w:val="24"/>
              </w:rPr>
            </w:pPr>
          </w:p>
        </w:tc>
        <w:tc>
          <w:tcPr>
            <w:tcW w:w="1351" w:type="dxa"/>
            <w:tcBorders>
              <w:top w:val="single" w:color="auto" w:sz="4" w:space="0"/>
              <w:left w:val="nil"/>
              <w:bottom w:val="single" w:color="auto" w:sz="4" w:space="0"/>
              <w:right w:val="single" w:color="auto" w:sz="4" w:space="0"/>
            </w:tcBorders>
          </w:tcPr>
          <w:p w14:paraId="4D2D16C8">
            <w:pPr>
              <w:widowControl/>
              <w:adjustRightInd/>
              <w:snapToGrid w:val="0"/>
              <w:spacing w:before="50" w:after="50" w:line="360" w:lineRule="auto"/>
              <w:jc w:val="center"/>
              <w:rPr>
                <w:rFonts w:hint="eastAsia" w:ascii="宋体" w:hAnsi="宋体" w:cs="宋体"/>
                <w:spacing w:val="20"/>
                <w:kern w:val="0"/>
                <w:sz w:val="24"/>
              </w:rPr>
            </w:pPr>
          </w:p>
        </w:tc>
      </w:tr>
      <w:tr w14:paraId="4D2D16CF">
        <w:tblPrEx>
          <w:tblCellMar>
            <w:top w:w="0" w:type="dxa"/>
            <w:left w:w="108" w:type="dxa"/>
            <w:bottom w:w="0" w:type="dxa"/>
            <w:right w:w="108" w:type="dxa"/>
          </w:tblCellMar>
        </w:tblPrEx>
        <w:trPr>
          <w:trHeight w:val="369"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D2D16CA">
            <w:pPr>
              <w:widowControl/>
              <w:adjustRightInd/>
              <w:jc w:val="center"/>
              <w:textAlignment w:val="center"/>
              <w:rPr>
                <w:rFonts w:hint="eastAsia" w:ascii="宋体" w:hAnsi="宋体" w:cs="宋体"/>
                <w:kern w:val="0"/>
                <w:sz w:val="24"/>
                <w:lang w:bidi="ar"/>
              </w:rPr>
            </w:pPr>
          </w:p>
        </w:tc>
        <w:tc>
          <w:tcPr>
            <w:tcW w:w="3975" w:type="dxa"/>
            <w:tcBorders>
              <w:top w:val="single" w:color="auto" w:sz="4" w:space="0"/>
              <w:left w:val="nil"/>
              <w:bottom w:val="single" w:color="auto" w:sz="4" w:space="0"/>
              <w:right w:val="single" w:color="auto" w:sz="4" w:space="0"/>
            </w:tcBorders>
            <w:vAlign w:val="center"/>
          </w:tcPr>
          <w:p w14:paraId="4D2D16CB">
            <w:pPr>
              <w:widowControl/>
              <w:adjustRightInd/>
              <w:jc w:val="center"/>
              <w:textAlignment w:val="center"/>
              <w:rPr>
                <w:rFonts w:hint="eastAsia" w:ascii="宋体" w:hAnsi="宋体" w:cs="宋体"/>
                <w:kern w:val="0"/>
                <w:sz w:val="24"/>
                <w:lang w:bidi="ar"/>
              </w:rPr>
            </w:pPr>
          </w:p>
        </w:tc>
        <w:tc>
          <w:tcPr>
            <w:tcW w:w="1125" w:type="dxa"/>
            <w:tcBorders>
              <w:top w:val="single" w:color="auto" w:sz="4" w:space="0"/>
              <w:left w:val="nil"/>
              <w:bottom w:val="single" w:color="auto" w:sz="4" w:space="0"/>
              <w:right w:val="single" w:color="auto" w:sz="4" w:space="0"/>
            </w:tcBorders>
          </w:tcPr>
          <w:p w14:paraId="4D2D16CC">
            <w:pPr>
              <w:widowControl/>
              <w:adjustRightInd/>
              <w:snapToGrid w:val="0"/>
              <w:spacing w:before="50" w:after="50" w:line="360" w:lineRule="auto"/>
              <w:jc w:val="center"/>
              <w:rPr>
                <w:rFonts w:hint="eastAsia" w:ascii="宋体" w:hAnsi="宋体" w:cs="宋体"/>
                <w:spacing w:val="20"/>
                <w:kern w:val="0"/>
                <w:sz w:val="24"/>
              </w:rPr>
            </w:pPr>
          </w:p>
        </w:tc>
        <w:tc>
          <w:tcPr>
            <w:tcW w:w="1269" w:type="dxa"/>
            <w:tcBorders>
              <w:top w:val="single" w:color="auto" w:sz="4" w:space="0"/>
              <w:left w:val="nil"/>
              <w:bottom w:val="single" w:color="auto" w:sz="4" w:space="0"/>
              <w:right w:val="single" w:color="auto" w:sz="4" w:space="0"/>
            </w:tcBorders>
          </w:tcPr>
          <w:p w14:paraId="4D2D16CD">
            <w:pPr>
              <w:widowControl/>
              <w:adjustRightInd/>
              <w:snapToGrid w:val="0"/>
              <w:spacing w:before="50" w:after="50" w:line="360" w:lineRule="auto"/>
              <w:jc w:val="center"/>
              <w:rPr>
                <w:rFonts w:hint="eastAsia" w:ascii="宋体" w:hAnsi="宋体" w:cs="宋体"/>
                <w:spacing w:val="20"/>
                <w:kern w:val="0"/>
                <w:sz w:val="24"/>
              </w:rPr>
            </w:pPr>
          </w:p>
        </w:tc>
        <w:tc>
          <w:tcPr>
            <w:tcW w:w="1351" w:type="dxa"/>
            <w:tcBorders>
              <w:top w:val="single" w:color="auto" w:sz="4" w:space="0"/>
              <w:left w:val="nil"/>
              <w:bottom w:val="single" w:color="auto" w:sz="4" w:space="0"/>
              <w:right w:val="single" w:color="auto" w:sz="4" w:space="0"/>
            </w:tcBorders>
          </w:tcPr>
          <w:p w14:paraId="4D2D16CE">
            <w:pPr>
              <w:widowControl/>
              <w:adjustRightInd/>
              <w:snapToGrid w:val="0"/>
              <w:spacing w:before="50" w:after="50" w:line="360" w:lineRule="auto"/>
              <w:jc w:val="center"/>
              <w:rPr>
                <w:rFonts w:hint="eastAsia" w:ascii="宋体" w:hAnsi="宋体" w:cs="宋体"/>
                <w:spacing w:val="20"/>
                <w:kern w:val="0"/>
                <w:sz w:val="24"/>
              </w:rPr>
            </w:pPr>
          </w:p>
        </w:tc>
      </w:tr>
      <w:tr w14:paraId="4D2D16D2">
        <w:tblPrEx>
          <w:tblCellMar>
            <w:top w:w="0" w:type="dxa"/>
            <w:left w:w="108" w:type="dxa"/>
            <w:bottom w:w="0" w:type="dxa"/>
            <w:right w:w="108" w:type="dxa"/>
          </w:tblCellMar>
        </w:tblPrEx>
        <w:trPr>
          <w:jc w:val="center"/>
        </w:trPr>
        <w:tc>
          <w:tcPr>
            <w:tcW w:w="4781" w:type="dxa"/>
            <w:gridSpan w:val="2"/>
            <w:tcBorders>
              <w:top w:val="single" w:color="auto" w:sz="4" w:space="0"/>
              <w:left w:val="single" w:color="auto" w:sz="4" w:space="0"/>
              <w:bottom w:val="single" w:color="auto" w:sz="4" w:space="0"/>
              <w:right w:val="single" w:color="auto" w:sz="4" w:space="0"/>
            </w:tcBorders>
            <w:vAlign w:val="center"/>
          </w:tcPr>
          <w:p w14:paraId="4D2D16D0">
            <w:pPr>
              <w:widowControl/>
              <w:adjustRightInd/>
              <w:jc w:val="center"/>
              <w:textAlignment w:val="center"/>
              <w:rPr>
                <w:rFonts w:hint="eastAsia" w:ascii="宋体" w:hAnsi="宋体" w:cs="宋体"/>
                <w:b/>
                <w:kern w:val="0"/>
                <w:sz w:val="24"/>
              </w:rPr>
            </w:pPr>
            <w:r>
              <w:rPr>
                <w:rFonts w:hint="eastAsia" w:ascii="宋体" w:hAnsi="宋体" w:cs="宋体"/>
                <w:b/>
                <w:kern w:val="0"/>
                <w:sz w:val="24"/>
              </w:rPr>
              <w:t>投标总价</w:t>
            </w:r>
          </w:p>
        </w:tc>
        <w:tc>
          <w:tcPr>
            <w:tcW w:w="3745" w:type="dxa"/>
            <w:gridSpan w:val="3"/>
            <w:tcBorders>
              <w:top w:val="single" w:color="auto" w:sz="4" w:space="0"/>
              <w:left w:val="single" w:color="auto" w:sz="4" w:space="0"/>
              <w:bottom w:val="single" w:color="auto" w:sz="4" w:space="0"/>
              <w:right w:val="single" w:color="auto" w:sz="4" w:space="0"/>
            </w:tcBorders>
          </w:tcPr>
          <w:p w14:paraId="4D2D16D1">
            <w:pPr>
              <w:widowControl/>
              <w:adjustRightInd/>
              <w:snapToGrid w:val="0"/>
              <w:spacing w:before="50" w:after="50" w:line="360" w:lineRule="auto"/>
              <w:jc w:val="center"/>
              <w:rPr>
                <w:rFonts w:hint="eastAsia" w:ascii="宋体" w:hAnsi="宋体" w:cs="宋体"/>
                <w:spacing w:val="20"/>
                <w:kern w:val="0"/>
                <w:sz w:val="24"/>
              </w:rPr>
            </w:pPr>
          </w:p>
        </w:tc>
      </w:tr>
    </w:tbl>
    <w:p w14:paraId="4D2D16D3">
      <w:pPr>
        <w:widowControl/>
        <w:adjustRightInd/>
        <w:ind w:left="420" w:leftChars="200"/>
        <w:jc w:val="left"/>
        <w:rPr>
          <w:rFonts w:hint="eastAsia" w:hAnsi="宋体" w:cs="宋体"/>
          <w:kern w:val="0"/>
          <w:sz w:val="24"/>
        </w:rPr>
      </w:pPr>
      <w:r>
        <w:rPr>
          <w:rFonts w:hint="eastAsia" w:hAnsi="宋体" w:cs="宋体"/>
          <w:kern w:val="0"/>
          <w:sz w:val="24"/>
        </w:rPr>
        <w:t>备注：本表格供参考，供应商可根据项目实际情况自拟表格。</w:t>
      </w:r>
    </w:p>
    <w:p w14:paraId="4D2D16D4">
      <w:pPr>
        <w:spacing w:after="120"/>
        <w:ind w:left="1140" w:leftChars="200" w:hanging="720" w:hangingChars="343"/>
        <w:rPr>
          <w:rFonts w:hint="eastAsia" w:hAnsi="宋体" w:cs="宋体"/>
        </w:rPr>
      </w:pPr>
    </w:p>
    <w:p w14:paraId="4D2D16D5">
      <w:pPr>
        <w:widowControl/>
        <w:adjustRightInd/>
        <w:jc w:val="left"/>
        <w:rPr>
          <w:kern w:val="0"/>
          <w:szCs w:val="20"/>
        </w:rPr>
      </w:pPr>
    </w:p>
    <w:p w14:paraId="4D2D16D6">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D2D16D7">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D2D16D8">
      <w:pPr>
        <w:rPr>
          <w:rFonts w:hint="eastAsia" w:ascii="宋体" w:hAnsi="宋体" w:cs="宋体"/>
          <w:kern w:val="0"/>
          <w:sz w:val="24"/>
          <w:lang w:val="zh-CN"/>
        </w:rPr>
      </w:pPr>
    </w:p>
    <w:p w14:paraId="4D2D16D9">
      <w:pPr>
        <w:tabs>
          <w:tab w:val="left" w:pos="432"/>
        </w:tabs>
      </w:pPr>
    </w:p>
    <w:p w14:paraId="4D2D16DA">
      <w:pPr>
        <w:snapToGrid w:val="0"/>
        <w:spacing w:before="120" w:after="120"/>
        <w:ind w:firstLine="643"/>
        <w:rPr>
          <w:rFonts w:hint="eastAsia" w:ascii="宋体" w:hAnsi="宋体" w:cs="宋体"/>
          <w:sz w:val="32"/>
          <w:szCs w:val="32"/>
        </w:rPr>
        <w:sectPr>
          <w:pgSz w:w="11906" w:h="16838"/>
          <w:pgMar w:top="1247" w:right="1418" w:bottom="1276" w:left="1418" w:header="851" w:footer="992" w:gutter="0"/>
          <w:cols w:space="720" w:num="1"/>
          <w:titlePg/>
          <w:docGrid w:linePitch="312" w:charSpace="0"/>
        </w:sectPr>
      </w:pPr>
    </w:p>
    <w:p w14:paraId="4D2D16DB">
      <w:pPr>
        <w:snapToGrid w:val="0"/>
        <w:spacing w:before="120" w:after="120" w:line="360" w:lineRule="auto"/>
        <w:ind w:firstLine="643"/>
        <w:jc w:val="center"/>
        <w:rPr>
          <w:rFonts w:hint="eastAsia" w:ascii="宋体" w:hAnsi="宋体" w:cs="宋体"/>
          <w:b/>
          <w:sz w:val="32"/>
          <w:szCs w:val="32"/>
        </w:rPr>
      </w:pPr>
      <w:r>
        <w:rPr>
          <w:rFonts w:hint="eastAsia" w:ascii="宋体" w:hAnsi="宋体" w:cs="宋体"/>
          <w:b/>
          <w:sz w:val="32"/>
          <w:szCs w:val="32"/>
        </w:rPr>
        <w:t>二、报价情况说明(如供应商报价低于项目预算50%的，应当提交本文档，详细阐述不影响产品质量或者诚信履约的具体原因。</w:t>
      </w:r>
    </w:p>
    <w:p w14:paraId="4D2D16DC">
      <w:pPr>
        <w:rPr>
          <w:rFonts w:hint="eastAsia" w:ascii="宋体" w:hAnsi="宋体" w:cs="宋体"/>
          <w:b/>
          <w:sz w:val="32"/>
          <w:szCs w:val="32"/>
        </w:rPr>
      </w:pPr>
      <w:r>
        <w:rPr>
          <w:rFonts w:hint="eastAsia" w:ascii="宋体" w:hAnsi="宋体" w:cs="宋体"/>
          <w:b/>
          <w:sz w:val="32"/>
          <w:szCs w:val="32"/>
        </w:rPr>
        <w:br w:type="page"/>
      </w:r>
    </w:p>
    <w:p w14:paraId="4D2D16DD">
      <w:pPr>
        <w:snapToGrid w:val="0"/>
        <w:spacing w:before="120" w:after="120" w:line="360" w:lineRule="auto"/>
        <w:ind w:firstLine="643"/>
        <w:jc w:val="center"/>
        <w:rPr>
          <w:rFonts w:hint="eastAsia" w:ascii="宋体" w:hAnsi="宋体" w:cs="宋体"/>
          <w:b/>
          <w:kern w:val="44"/>
          <w:sz w:val="32"/>
          <w:szCs w:val="32"/>
        </w:rPr>
      </w:pPr>
      <w:r>
        <w:rPr>
          <w:rFonts w:hint="eastAsia" w:ascii="宋体" w:hAnsi="宋体" w:cs="宋体"/>
          <w:b/>
          <w:kern w:val="44"/>
          <w:sz w:val="32"/>
          <w:szCs w:val="32"/>
        </w:rPr>
        <w:t>三、中小企业声明函（如果有）</w:t>
      </w:r>
    </w:p>
    <w:p w14:paraId="4D2D16DE">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4D2D16DF">
      <w:pPr>
        <w:snapToGrid w:val="0"/>
        <w:spacing w:before="120" w:after="120" w:line="360" w:lineRule="auto"/>
        <w:ind w:firstLine="643"/>
        <w:jc w:val="center"/>
        <w:rPr>
          <w:rFonts w:hint="eastAsia" w:ascii="宋体" w:hAnsi="宋体" w:cs="宋体"/>
          <w:kern w:val="44"/>
          <w:sz w:val="32"/>
          <w:szCs w:val="32"/>
        </w:rPr>
      </w:pPr>
    </w:p>
    <w:p w14:paraId="4D2D16E0">
      <w:pPr>
        <w:spacing w:line="360" w:lineRule="auto"/>
        <w:ind w:right="420" w:firstLine="3614" w:firstLineChars="1000"/>
        <w:rPr>
          <w:rFonts w:hint="eastAsia" w:ascii="宋体" w:hAnsi="宋体" w:cs="宋体"/>
          <w:b/>
          <w:kern w:val="0"/>
          <w:sz w:val="36"/>
          <w:szCs w:val="36"/>
        </w:rPr>
      </w:pPr>
    </w:p>
    <w:p w14:paraId="4D2D16E1">
      <w:pPr>
        <w:spacing w:line="360" w:lineRule="auto"/>
        <w:ind w:right="420" w:firstLine="3614" w:firstLineChars="1000"/>
        <w:rPr>
          <w:rFonts w:hint="eastAsia" w:ascii="宋体" w:hAnsi="宋体" w:cs="宋体"/>
          <w:b/>
          <w:kern w:val="0"/>
          <w:sz w:val="36"/>
          <w:szCs w:val="36"/>
        </w:rPr>
      </w:pPr>
    </w:p>
    <w:p w14:paraId="4D2D16E2">
      <w:pPr>
        <w:spacing w:line="360" w:lineRule="auto"/>
        <w:ind w:right="420" w:firstLine="3614" w:firstLineChars="1000"/>
        <w:rPr>
          <w:rFonts w:hint="eastAsia" w:ascii="宋体" w:hAnsi="宋体" w:cs="宋体"/>
          <w:b/>
          <w:kern w:val="0"/>
          <w:sz w:val="36"/>
          <w:szCs w:val="36"/>
        </w:rPr>
      </w:pPr>
    </w:p>
    <w:p w14:paraId="4D2D16E3">
      <w:pPr>
        <w:spacing w:line="360" w:lineRule="auto"/>
        <w:ind w:right="420" w:firstLine="3614" w:firstLineChars="1000"/>
        <w:rPr>
          <w:rFonts w:hint="eastAsia" w:ascii="宋体" w:hAnsi="宋体" w:cs="宋体"/>
          <w:b/>
          <w:kern w:val="0"/>
          <w:sz w:val="36"/>
          <w:szCs w:val="36"/>
        </w:rPr>
      </w:pPr>
    </w:p>
    <w:p w14:paraId="4D2D16E4">
      <w:pPr>
        <w:spacing w:line="360" w:lineRule="auto"/>
        <w:ind w:right="420" w:firstLine="3614" w:firstLineChars="1000"/>
        <w:rPr>
          <w:rFonts w:hint="eastAsia" w:ascii="宋体" w:hAnsi="宋体" w:cs="宋体"/>
          <w:b/>
          <w:kern w:val="0"/>
          <w:sz w:val="36"/>
          <w:szCs w:val="36"/>
        </w:rPr>
      </w:pPr>
    </w:p>
    <w:p w14:paraId="4D2D16E5">
      <w:pPr>
        <w:spacing w:line="360" w:lineRule="auto"/>
        <w:ind w:right="420" w:firstLine="3614" w:firstLineChars="1000"/>
        <w:rPr>
          <w:rFonts w:hint="eastAsia" w:ascii="宋体" w:hAnsi="宋体" w:cs="宋体"/>
          <w:b/>
          <w:kern w:val="0"/>
          <w:sz w:val="36"/>
          <w:szCs w:val="36"/>
        </w:rPr>
      </w:pPr>
    </w:p>
    <w:p w14:paraId="4D2D16E6">
      <w:pPr>
        <w:spacing w:line="360" w:lineRule="auto"/>
        <w:ind w:right="420" w:firstLine="3614" w:firstLineChars="1000"/>
        <w:rPr>
          <w:rFonts w:hint="eastAsia" w:ascii="宋体" w:hAnsi="宋体" w:cs="宋体"/>
          <w:b/>
          <w:kern w:val="0"/>
          <w:sz w:val="36"/>
          <w:szCs w:val="36"/>
        </w:rPr>
      </w:pPr>
    </w:p>
    <w:p w14:paraId="4D2D16E7">
      <w:pPr>
        <w:spacing w:line="360" w:lineRule="auto"/>
        <w:ind w:right="420" w:firstLine="3614" w:firstLineChars="1000"/>
        <w:rPr>
          <w:rFonts w:hint="eastAsia" w:ascii="宋体" w:hAnsi="宋体" w:cs="宋体"/>
          <w:b/>
          <w:kern w:val="0"/>
          <w:sz w:val="36"/>
          <w:szCs w:val="36"/>
        </w:rPr>
      </w:pPr>
    </w:p>
    <w:p w14:paraId="4D2D16E8">
      <w:pPr>
        <w:spacing w:line="360" w:lineRule="auto"/>
        <w:ind w:right="420" w:firstLine="3614" w:firstLineChars="1000"/>
        <w:rPr>
          <w:rFonts w:hint="eastAsia" w:ascii="宋体" w:hAnsi="宋体" w:cs="宋体"/>
          <w:b/>
          <w:kern w:val="0"/>
          <w:sz w:val="36"/>
          <w:szCs w:val="36"/>
        </w:rPr>
      </w:pPr>
    </w:p>
    <w:p w14:paraId="4D2D16E9">
      <w:pPr>
        <w:spacing w:line="360" w:lineRule="auto"/>
        <w:ind w:right="420" w:firstLine="3614" w:firstLineChars="1000"/>
        <w:rPr>
          <w:rFonts w:hint="eastAsia" w:ascii="宋体" w:hAnsi="宋体" w:cs="宋体"/>
          <w:b/>
          <w:kern w:val="0"/>
          <w:sz w:val="36"/>
          <w:szCs w:val="36"/>
        </w:rPr>
      </w:pPr>
    </w:p>
    <w:p w14:paraId="4D2D16EA">
      <w:pPr>
        <w:spacing w:line="360" w:lineRule="auto"/>
        <w:ind w:right="420" w:firstLine="3614" w:firstLineChars="1000"/>
        <w:rPr>
          <w:rFonts w:hint="eastAsia" w:ascii="宋体" w:hAnsi="宋体" w:cs="宋体"/>
          <w:b/>
          <w:kern w:val="0"/>
          <w:sz w:val="36"/>
          <w:szCs w:val="36"/>
        </w:rPr>
      </w:pPr>
    </w:p>
    <w:p w14:paraId="4D2D16EB">
      <w:pPr>
        <w:spacing w:line="360" w:lineRule="auto"/>
        <w:ind w:right="420" w:firstLine="3614" w:firstLineChars="1000"/>
        <w:rPr>
          <w:rFonts w:hint="eastAsia" w:ascii="宋体" w:hAnsi="宋体" w:cs="宋体"/>
          <w:b/>
          <w:kern w:val="0"/>
          <w:sz w:val="36"/>
          <w:szCs w:val="36"/>
        </w:rPr>
      </w:pPr>
    </w:p>
    <w:p w14:paraId="4D2D16EC">
      <w:pPr>
        <w:spacing w:line="360" w:lineRule="auto"/>
        <w:ind w:right="420" w:firstLine="3614" w:firstLineChars="1000"/>
        <w:rPr>
          <w:rFonts w:hint="eastAsia" w:ascii="宋体" w:hAnsi="宋体" w:cs="宋体"/>
          <w:b/>
          <w:kern w:val="0"/>
          <w:sz w:val="36"/>
          <w:szCs w:val="36"/>
        </w:rPr>
      </w:pPr>
    </w:p>
    <w:p w14:paraId="4D2D16ED">
      <w:pPr>
        <w:spacing w:line="360" w:lineRule="auto"/>
        <w:ind w:right="420" w:firstLine="3614" w:firstLineChars="1000"/>
        <w:rPr>
          <w:rFonts w:hint="eastAsia" w:ascii="宋体" w:hAnsi="宋体" w:cs="宋体"/>
          <w:b/>
          <w:kern w:val="0"/>
          <w:sz w:val="36"/>
          <w:szCs w:val="36"/>
        </w:rPr>
      </w:pPr>
    </w:p>
    <w:p w14:paraId="4D2D16EE">
      <w:pPr>
        <w:spacing w:line="360" w:lineRule="auto"/>
        <w:ind w:right="420" w:firstLine="3614" w:firstLineChars="1000"/>
        <w:rPr>
          <w:rFonts w:hint="eastAsia" w:ascii="宋体" w:hAnsi="宋体" w:cs="宋体"/>
          <w:b/>
          <w:kern w:val="0"/>
          <w:sz w:val="36"/>
          <w:szCs w:val="36"/>
        </w:rPr>
      </w:pPr>
    </w:p>
    <w:p w14:paraId="4D2D16EF">
      <w:pPr>
        <w:spacing w:line="360" w:lineRule="auto"/>
        <w:ind w:right="420" w:firstLine="3614" w:firstLineChars="1000"/>
        <w:rPr>
          <w:rFonts w:hint="eastAsia" w:ascii="宋体" w:hAnsi="宋体" w:cs="宋体"/>
          <w:b/>
          <w:kern w:val="0"/>
          <w:sz w:val="36"/>
          <w:szCs w:val="36"/>
        </w:rPr>
      </w:pPr>
    </w:p>
    <w:p w14:paraId="4D2D16F0">
      <w:pPr>
        <w:pageBreakBefore/>
        <w:widowControl/>
        <w:spacing w:before="100" w:beforeAutospacing="1" w:after="100" w:afterAutospacing="1" w:line="360" w:lineRule="auto"/>
        <w:ind w:left="1290" w:firstLine="3092" w:firstLineChars="700"/>
        <w:rPr>
          <w:rFonts w:hint="eastAsia" w:ascii="宋体" w:hAnsi="宋体" w:cs="宋体"/>
          <w:b/>
          <w:bCs/>
          <w:kern w:val="44"/>
          <w:sz w:val="44"/>
          <w:szCs w:val="44"/>
        </w:rPr>
      </w:pPr>
      <w:r>
        <w:rPr>
          <w:rFonts w:hint="eastAsia" w:ascii="宋体" w:hAnsi="宋体" w:cs="宋体"/>
          <w:b/>
          <w:bCs/>
          <w:kern w:val="44"/>
          <w:sz w:val="44"/>
          <w:szCs w:val="44"/>
        </w:rPr>
        <w:t>附件</w:t>
      </w:r>
    </w:p>
    <w:p w14:paraId="4D2D16F1">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4D2D16F2">
      <w:pPr>
        <w:spacing w:line="360" w:lineRule="auto"/>
        <w:jc w:val="center"/>
        <w:rPr>
          <w:rFonts w:hint="eastAsia" w:ascii="宋体" w:hAnsi="宋体" w:cs="宋体"/>
          <w:b/>
          <w:spacing w:val="6"/>
          <w:sz w:val="32"/>
          <w:szCs w:val="32"/>
        </w:rPr>
      </w:pPr>
      <w:bookmarkStart w:id="401" w:name="OLE_LINK13"/>
      <w:bookmarkStart w:id="402" w:name="OLE_LINK14"/>
      <w:r>
        <w:rPr>
          <w:rFonts w:hint="eastAsia" w:ascii="宋体" w:hAnsi="宋体" w:cs="宋体"/>
          <w:b/>
          <w:spacing w:val="6"/>
          <w:sz w:val="32"/>
          <w:szCs w:val="32"/>
        </w:rPr>
        <w:t>残疾人福利性单位声明函</w:t>
      </w:r>
    </w:p>
    <w:bookmarkEnd w:id="401"/>
    <w:bookmarkEnd w:id="402"/>
    <w:p w14:paraId="4D2D16F3">
      <w:pPr>
        <w:spacing w:line="360" w:lineRule="auto"/>
        <w:rPr>
          <w:rFonts w:hint="eastAsia" w:ascii="宋体" w:hAnsi="宋体" w:cs="宋体"/>
          <w:b/>
          <w:spacing w:val="6"/>
          <w:sz w:val="30"/>
          <w:szCs w:val="30"/>
        </w:rPr>
      </w:pPr>
    </w:p>
    <w:p w14:paraId="4D2D16F4">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4D2D16F5">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4D2D16F6">
      <w:pPr>
        <w:spacing w:line="360" w:lineRule="auto"/>
        <w:ind w:firstLine="480" w:firstLineChars="200"/>
        <w:rPr>
          <w:rFonts w:hint="eastAsia" w:ascii="宋体" w:hAnsi="宋体" w:cs="宋体"/>
          <w:sz w:val="24"/>
        </w:rPr>
      </w:pPr>
    </w:p>
    <w:p w14:paraId="4D2D16F7">
      <w:pPr>
        <w:spacing w:line="360" w:lineRule="auto"/>
        <w:ind w:firstLine="480" w:firstLineChars="200"/>
        <w:rPr>
          <w:rFonts w:hint="eastAsia" w:ascii="宋体" w:hAnsi="宋体" w:cs="宋体"/>
          <w:sz w:val="24"/>
        </w:rPr>
      </w:pPr>
    </w:p>
    <w:p w14:paraId="4D2D16F8">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4D2D16F9">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4D2D16FA">
      <w:pPr>
        <w:spacing w:line="360" w:lineRule="auto"/>
        <w:ind w:firstLine="480" w:firstLineChars="200"/>
        <w:rPr>
          <w:rFonts w:hint="eastAsia" w:ascii="宋体" w:hAnsi="宋体" w:cs="宋体"/>
          <w:sz w:val="24"/>
        </w:rPr>
      </w:pPr>
    </w:p>
    <w:p w14:paraId="4D2D16FB">
      <w:pPr>
        <w:spacing w:line="360" w:lineRule="auto"/>
        <w:ind w:firstLine="420" w:firstLineChars="200"/>
        <w:rPr>
          <w:rFonts w:hint="eastAsia" w:ascii="宋体" w:hAnsi="宋体" w:cs="宋体"/>
        </w:rPr>
      </w:pPr>
    </w:p>
    <w:p w14:paraId="4D2D16FC">
      <w:pPr>
        <w:spacing w:line="360" w:lineRule="auto"/>
        <w:ind w:firstLine="420" w:firstLineChars="200"/>
        <w:rPr>
          <w:rFonts w:hint="eastAsia" w:ascii="宋体" w:hAnsi="宋体" w:cs="宋体"/>
        </w:rPr>
      </w:pPr>
    </w:p>
    <w:p w14:paraId="4D2D16FD">
      <w:pPr>
        <w:spacing w:line="360" w:lineRule="auto"/>
        <w:ind w:firstLine="420" w:firstLineChars="200"/>
        <w:rPr>
          <w:rFonts w:hint="eastAsia" w:ascii="宋体" w:hAnsi="宋体" w:cs="宋体"/>
        </w:rPr>
      </w:pPr>
    </w:p>
    <w:p w14:paraId="4D2D16FE">
      <w:pPr>
        <w:spacing w:line="360" w:lineRule="auto"/>
        <w:ind w:firstLine="420" w:firstLineChars="200"/>
        <w:rPr>
          <w:rFonts w:hint="eastAsia" w:ascii="宋体" w:hAnsi="宋体" w:cs="宋体"/>
        </w:rPr>
      </w:pPr>
    </w:p>
    <w:p w14:paraId="4D2D16FF">
      <w:pPr>
        <w:spacing w:line="360" w:lineRule="auto"/>
        <w:rPr>
          <w:rFonts w:hint="eastAsia" w:ascii="宋体" w:hAnsi="宋体" w:cs="宋体"/>
          <w:b/>
          <w:sz w:val="24"/>
        </w:rPr>
      </w:pPr>
    </w:p>
    <w:p w14:paraId="4D2D1700">
      <w:pPr>
        <w:spacing w:line="360" w:lineRule="auto"/>
        <w:rPr>
          <w:rFonts w:hint="eastAsia" w:ascii="宋体" w:hAnsi="宋体" w:cs="宋体"/>
          <w:b/>
          <w:sz w:val="24"/>
        </w:rPr>
      </w:pPr>
    </w:p>
    <w:p w14:paraId="4D2D1701">
      <w:pPr>
        <w:spacing w:line="360" w:lineRule="auto"/>
        <w:rPr>
          <w:rFonts w:hint="eastAsia" w:ascii="宋体" w:hAnsi="宋体" w:cs="宋体"/>
          <w:b/>
          <w:sz w:val="24"/>
        </w:rPr>
      </w:pPr>
    </w:p>
    <w:p w14:paraId="4D2D1702">
      <w:pPr>
        <w:spacing w:line="360" w:lineRule="auto"/>
        <w:rPr>
          <w:rFonts w:hint="eastAsia" w:ascii="宋体" w:hAnsi="宋体" w:cs="宋体"/>
          <w:b/>
          <w:sz w:val="24"/>
        </w:rPr>
      </w:pPr>
    </w:p>
    <w:p w14:paraId="4D2D1703">
      <w:pPr>
        <w:spacing w:line="360" w:lineRule="auto"/>
        <w:rPr>
          <w:rFonts w:hint="eastAsia" w:ascii="宋体" w:hAnsi="宋体" w:cs="宋体"/>
          <w:b/>
          <w:sz w:val="24"/>
        </w:rPr>
      </w:pPr>
    </w:p>
    <w:p w14:paraId="4D2D1704">
      <w:pPr>
        <w:spacing w:line="360" w:lineRule="auto"/>
        <w:rPr>
          <w:rFonts w:hint="eastAsia" w:ascii="宋体" w:hAnsi="宋体" w:cs="宋体"/>
          <w:b/>
          <w:sz w:val="24"/>
        </w:rPr>
      </w:pPr>
    </w:p>
    <w:p w14:paraId="4D2D1705">
      <w:pPr>
        <w:spacing w:line="360" w:lineRule="auto"/>
        <w:rPr>
          <w:rFonts w:hint="eastAsia" w:ascii="宋体" w:hAnsi="宋体" w:cs="宋体"/>
          <w:b/>
          <w:sz w:val="24"/>
        </w:rPr>
      </w:pPr>
    </w:p>
    <w:p w14:paraId="4D2D1706">
      <w:pPr>
        <w:spacing w:line="360" w:lineRule="auto"/>
        <w:rPr>
          <w:rFonts w:hint="eastAsia" w:ascii="宋体" w:hAnsi="宋体" w:cs="宋体"/>
          <w:b/>
          <w:sz w:val="24"/>
        </w:rPr>
      </w:pPr>
    </w:p>
    <w:p w14:paraId="4D2D1707">
      <w:pPr>
        <w:spacing w:line="360" w:lineRule="auto"/>
        <w:rPr>
          <w:rFonts w:hint="eastAsia" w:ascii="宋体" w:hAnsi="宋体" w:cs="宋体"/>
          <w:b/>
          <w:sz w:val="24"/>
        </w:rPr>
      </w:pPr>
    </w:p>
    <w:p w14:paraId="4D2D1708">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4D2D1709">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4D2D170A">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4D2D170B">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4D2D170C">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D2D170D">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D2D170E">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4D2D170F">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D2D1710">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D2D1711">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4D2D1712">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D2D1713">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D2D1714">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D2D1715">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4D2D1716">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4D2D1717">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D2D1718">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D2D1719">
      <w:pPr>
        <w:snapToGrid w:val="0"/>
        <w:spacing w:line="360" w:lineRule="auto"/>
        <w:rPr>
          <w:rFonts w:hint="eastAsia" w:ascii="宋体" w:hAnsi="宋体" w:cs="宋体"/>
          <w:sz w:val="24"/>
        </w:rPr>
      </w:pPr>
      <w:r>
        <w:rPr>
          <w:rFonts w:hint="eastAsia" w:ascii="宋体" w:hAnsi="宋体" w:cs="宋体"/>
          <w:sz w:val="24"/>
          <w:u w:val="dotted"/>
        </w:rPr>
        <w:t xml:space="preserve">                                                       </w:t>
      </w:r>
    </w:p>
    <w:p w14:paraId="4D2D171A">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D2D171B">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4D2D171C">
      <w:pPr>
        <w:snapToGrid w:val="0"/>
        <w:spacing w:line="360" w:lineRule="auto"/>
        <w:rPr>
          <w:rFonts w:hint="eastAsia" w:ascii="宋体" w:hAnsi="宋体" w:cs="宋体"/>
          <w:sz w:val="24"/>
          <w:u w:val="dotted"/>
        </w:rPr>
      </w:pPr>
      <w:r>
        <w:rPr>
          <w:rFonts w:hint="eastAsia" w:ascii="宋体" w:hAnsi="宋体" w:cs="宋体"/>
          <w:sz w:val="24"/>
        </w:rPr>
        <w:t>质疑事项2</w:t>
      </w:r>
    </w:p>
    <w:p w14:paraId="4D2D171D">
      <w:pPr>
        <w:snapToGrid w:val="0"/>
        <w:spacing w:line="360" w:lineRule="auto"/>
        <w:rPr>
          <w:rFonts w:hint="eastAsia" w:ascii="宋体" w:hAnsi="宋体" w:cs="宋体"/>
          <w:sz w:val="24"/>
        </w:rPr>
      </w:pPr>
      <w:r>
        <w:rPr>
          <w:rFonts w:hint="eastAsia" w:ascii="宋体" w:hAnsi="宋体" w:cs="宋体"/>
          <w:sz w:val="24"/>
        </w:rPr>
        <w:t>……</w:t>
      </w:r>
    </w:p>
    <w:p w14:paraId="4D2D171E">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4D2D171F">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D2D1720">
      <w:pPr>
        <w:spacing w:line="360" w:lineRule="auto"/>
        <w:rPr>
          <w:rFonts w:hint="eastAsia" w:ascii="宋体" w:hAnsi="宋体" w:cs="宋体"/>
          <w:sz w:val="24"/>
        </w:rPr>
      </w:pPr>
      <w:r>
        <w:rPr>
          <w:rFonts w:hint="eastAsia" w:ascii="宋体" w:hAnsi="宋体" w:cs="宋体"/>
          <w:sz w:val="24"/>
        </w:rPr>
        <w:t xml:space="preserve">签字(签章)：                   公章：                      </w:t>
      </w:r>
    </w:p>
    <w:p w14:paraId="4D2D1721">
      <w:pPr>
        <w:spacing w:line="360" w:lineRule="auto"/>
        <w:rPr>
          <w:rFonts w:hint="eastAsia" w:ascii="宋体" w:hAnsi="宋体" w:cs="宋体"/>
          <w:sz w:val="24"/>
        </w:rPr>
      </w:pPr>
      <w:r>
        <w:rPr>
          <w:rFonts w:hint="eastAsia" w:ascii="宋体" w:hAnsi="宋体" w:cs="宋体"/>
          <w:sz w:val="24"/>
        </w:rPr>
        <w:t xml:space="preserve">日期：    </w:t>
      </w:r>
    </w:p>
    <w:p w14:paraId="4D2D1722">
      <w:pPr>
        <w:spacing w:line="360" w:lineRule="auto"/>
        <w:jc w:val="center"/>
        <w:rPr>
          <w:rFonts w:hint="eastAsia" w:ascii="宋体" w:hAnsi="宋体" w:cs="宋体"/>
          <w:b/>
          <w:bCs/>
          <w:sz w:val="24"/>
        </w:rPr>
      </w:pPr>
    </w:p>
    <w:p w14:paraId="4D2D1723">
      <w:pPr>
        <w:spacing w:line="360" w:lineRule="auto"/>
        <w:rPr>
          <w:rFonts w:hint="eastAsia" w:ascii="宋体" w:hAnsi="宋体" w:cs="宋体"/>
          <w:b/>
          <w:sz w:val="24"/>
        </w:rPr>
      </w:pPr>
    </w:p>
    <w:p w14:paraId="4D2D1724">
      <w:pPr>
        <w:spacing w:line="360" w:lineRule="auto"/>
        <w:rPr>
          <w:rFonts w:hint="eastAsia" w:ascii="宋体" w:hAnsi="宋体" w:cs="宋体"/>
          <w:b/>
          <w:sz w:val="24"/>
        </w:rPr>
      </w:pPr>
    </w:p>
    <w:p w14:paraId="4D2D1725">
      <w:pPr>
        <w:spacing w:line="360" w:lineRule="auto"/>
        <w:rPr>
          <w:rFonts w:hint="eastAsia" w:ascii="宋体" w:hAnsi="宋体" w:cs="宋体"/>
          <w:b/>
          <w:sz w:val="24"/>
        </w:rPr>
      </w:pPr>
    </w:p>
    <w:p w14:paraId="4D2D1726">
      <w:pPr>
        <w:spacing w:line="360" w:lineRule="auto"/>
        <w:rPr>
          <w:rFonts w:hint="eastAsia" w:ascii="宋体" w:hAnsi="宋体" w:cs="宋体"/>
          <w:b/>
          <w:sz w:val="24"/>
        </w:rPr>
      </w:pPr>
      <w:r>
        <w:rPr>
          <w:rFonts w:hint="eastAsia" w:ascii="宋体" w:hAnsi="宋体" w:cs="宋体"/>
          <w:b/>
          <w:sz w:val="24"/>
        </w:rPr>
        <w:t>质疑函制作说明：</w:t>
      </w:r>
    </w:p>
    <w:p w14:paraId="4D2D1727">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4D2D1728">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D2D1729">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4D2D172A">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4D2D172B">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4D2D172C">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D2D172D">
      <w:pPr>
        <w:widowControl/>
        <w:spacing w:line="360" w:lineRule="auto"/>
        <w:ind w:firstLine="600" w:firstLineChars="200"/>
        <w:jc w:val="left"/>
        <w:rPr>
          <w:rFonts w:hint="eastAsia" w:ascii="宋体" w:hAnsi="宋体" w:cs="宋体"/>
          <w:sz w:val="30"/>
          <w:szCs w:val="30"/>
        </w:rPr>
      </w:pPr>
    </w:p>
    <w:p w14:paraId="4D2D172E">
      <w:pPr>
        <w:spacing w:line="360" w:lineRule="auto"/>
        <w:jc w:val="center"/>
        <w:rPr>
          <w:rFonts w:hint="eastAsia" w:ascii="宋体" w:hAnsi="宋体" w:cs="宋体"/>
          <w:b/>
          <w:spacing w:val="6"/>
          <w:sz w:val="32"/>
          <w:szCs w:val="32"/>
        </w:rPr>
      </w:pPr>
    </w:p>
    <w:p w14:paraId="4D2D172F">
      <w:pPr>
        <w:spacing w:line="360" w:lineRule="auto"/>
        <w:jc w:val="center"/>
        <w:rPr>
          <w:rFonts w:hint="eastAsia" w:ascii="宋体" w:hAnsi="宋体" w:cs="宋体"/>
          <w:b/>
          <w:spacing w:val="6"/>
          <w:sz w:val="32"/>
          <w:szCs w:val="32"/>
        </w:rPr>
      </w:pPr>
    </w:p>
    <w:p w14:paraId="4D2D1730">
      <w:pPr>
        <w:spacing w:line="360" w:lineRule="auto"/>
        <w:jc w:val="center"/>
        <w:rPr>
          <w:rFonts w:hint="eastAsia" w:ascii="宋体" w:hAnsi="宋体" w:cs="宋体"/>
          <w:b/>
          <w:spacing w:val="6"/>
          <w:sz w:val="32"/>
          <w:szCs w:val="32"/>
        </w:rPr>
      </w:pPr>
    </w:p>
    <w:p w14:paraId="4D2D1731">
      <w:pPr>
        <w:spacing w:line="360" w:lineRule="auto"/>
        <w:jc w:val="center"/>
        <w:rPr>
          <w:rFonts w:hint="eastAsia" w:ascii="宋体" w:hAnsi="宋体" w:cs="宋体"/>
          <w:b/>
          <w:spacing w:val="6"/>
          <w:sz w:val="32"/>
          <w:szCs w:val="32"/>
        </w:rPr>
      </w:pPr>
    </w:p>
    <w:p w14:paraId="4D2D1732">
      <w:pPr>
        <w:spacing w:line="360" w:lineRule="auto"/>
        <w:jc w:val="center"/>
        <w:rPr>
          <w:rFonts w:hint="eastAsia" w:ascii="宋体" w:hAnsi="宋体" w:cs="宋体"/>
          <w:b/>
          <w:spacing w:val="6"/>
          <w:sz w:val="32"/>
          <w:szCs w:val="32"/>
        </w:rPr>
      </w:pPr>
    </w:p>
    <w:p w14:paraId="4D2D1733">
      <w:pPr>
        <w:spacing w:line="360" w:lineRule="auto"/>
        <w:jc w:val="center"/>
        <w:rPr>
          <w:rFonts w:hint="eastAsia" w:ascii="宋体" w:hAnsi="宋体" w:cs="宋体"/>
          <w:b/>
          <w:spacing w:val="6"/>
          <w:sz w:val="32"/>
          <w:szCs w:val="32"/>
        </w:rPr>
      </w:pPr>
    </w:p>
    <w:p w14:paraId="4D2D1734">
      <w:pPr>
        <w:spacing w:line="360" w:lineRule="auto"/>
        <w:jc w:val="center"/>
        <w:rPr>
          <w:rFonts w:hint="eastAsia" w:ascii="宋体" w:hAnsi="宋体" w:cs="宋体"/>
          <w:b/>
          <w:spacing w:val="6"/>
          <w:sz w:val="32"/>
          <w:szCs w:val="32"/>
        </w:rPr>
      </w:pPr>
    </w:p>
    <w:p w14:paraId="4D2D1735">
      <w:pPr>
        <w:spacing w:line="360" w:lineRule="auto"/>
        <w:jc w:val="center"/>
        <w:rPr>
          <w:rFonts w:hint="eastAsia" w:ascii="宋体" w:hAnsi="宋体" w:cs="宋体"/>
          <w:b/>
          <w:spacing w:val="6"/>
          <w:sz w:val="32"/>
          <w:szCs w:val="32"/>
        </w:rPr>
      </w:pPr>
    </w:p>
    <w:p w14:paraId="4D2D1736">
      <w:pPr>
        <w:spacing w:line="360" w:lineRule="auto"/>
        <w:jc w:val="center"/>
        <w:rPr>
          <w:rFonts w:hint="eastAsia" w:ascii="宋体" w:hAnsi="宋体" w:cs="宋体"/>
          <w:b/>
          <w:spacing w:val="6"/>
          <w:sz w:val="32"/>
          <w:szCs w:val="32"/>
        </w:rPr>
      </w:pPr>
    </w:p>
    <w:p w14:paraId="4D2D1737">
      <w:pPr>
        <w:spacing w:line="360" w:lineRule="auto"/>
        <w:jc w:val="center"/>
        <w:rPr>
          <w:rFonts w:hint="eastAsia" w:ascii="宋体" w:hAnsi="宋体" w:cs="宋体"/>
          <w:b/>
          <w:spacing w:val="6"/>
          <w:sz w:val="32"/>
          <w:szCs w:val="32"/>
        </w:rPr>
      </w:pPr>
    </w:p>
    <w:p w14:paraId="4D2D1738">
      <w:pPr>
        <w:spacing w:line="360" w:lineRule="auto"/>
        <w:jc w:val="center"/>
        <w:rPr>
          <w:rFonts w:hint="eastAsia" w:ascii="宋体" w:hAnsi="宋体" w:cs="宋体"/>
          <w:b/>
          <w:spacing w:val="6"/>
          <w:sz w:val="32"/>
          <w:szCs w:val="32"/>
        </w:rPr>
      </w:pPr>
    </w:p>
    <w:p w14:paraId="4D2D1739">
      <w:pPr>
        <w:spacing w:line="360" w:lineRule="auto"/>
        <w:jc w:val="center"/>
        <w:rPr>
          <w:rFonts w:hint="eastAsia" w:ascii="宋体" w:hAnsi="宋体" w:cs="宋体"/>
          <w:b/>
          <w:spacing w:val="6"/>
          <w:sz w:val="32"/>
          <w:szCs w:val="32"/>
        </w:rPr>
      </w:pPr>
    </w:p>
    <w:p w14:paraId="4D2D173A">
      <w:pPr>
        <w:spacing w:line="360" w:lineRule="auto"/>
        <w:jc w:val="left"/>
        <w:rPr>
          <w:rFonts w:hint="eastAsia" w:ascii="宋体" w:hAnsi="宋体" w:cs="宋体"/>
          <w:b/>
          <w:spacing w:val="6"/>
          <w:sz w:val="32"/>
          <w:szCs w:val="32"/>
        </w:rPr>
      </w:pPr>
    </w:p>
    <w:p w14:paraId="4D2D173B">
      <w:pPr>
        <w:spacing w:line="360" w:lineRule="auto"/>
        <w:jc w:val="left"/>
        <w:rPr>
          <w:rFonts w:hint="eastAsia" w:ascii="宋体" w:hAnsi="宋体" w:cs="宋体"/>
          <w:b/>
          <w:spacing w:val="6"/>
          <w:sz w:val="32"/>
          <w:szCs w:val="32"/>
        </w:rPr>
      </w:pPr>
    </w:p>
    <w:p w14:paraId="4D2D173C">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4D2D173D">
      <w:pPr>
        <w:spacing w:line="360" w:lineRule="auto"/>
        <w:jc w:val="center"/>
        <w:rPr>
          <w:rFonts w:hint="eastAsia" w:ascii="宋体" w:hAnsi="宋体" w:cs="宋体"/>
          <w:b/>
          <w:sz w:val="24"/>
        </w:rPr>
      </w:pPr>
    </w:p>
    <w:p w14:paraId="4D2D173E">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4D2D173F">
      <w:pPr>
        <w:spacing w:line="360" w:lineRule="auto"/>
        <w:rPr>
          <w:rFonts w:hint="eastAsia" w:ascii="宋体" w:hAnsi="宋体" w:cs="宋体"/>
          <w:sz w:val="24"/>
        </w:rPr>
      </w:pPr>
      <w:r>
        <w:rPr>
          <w:rFonts w:hint="eastAsia" w:ascii="宋体" w:hAnsi="宋体" w:cs="宋体"/>
          <w:sz w:val="24"/>
        </w:rPr>
        <w:t>一、投诉相关主体基本情况</w:t>
      </w:r>
    </w:p>
    <w:p w14:paraId="4D2D1740">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4D2D1741">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D2D1742">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4D2D1743">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D2D1744">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D2D1745">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D2D1746">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D2D1747">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D2D1748">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D2D1749">
      <w:pPr>
        <w:spacing w:line="360" w:lineRule="auto"/>
        <w:rPr>
          <w:rFonts w:hint="eastAsia" w:ascii="宋体" w:hAnsi="宋体" w:cs="宋体"/>
          <w:sz w:val="24"/>
        </w:rPr>
      </w:pPr>
      <w:r>
        <w:rPr>
          <w:rFonts w:hint="eastAsia" w:ascii="宋体" w:hAnsi="宋体" w:cs="宋体"/>
          <w:sz w:val="24"/>
        </w:rPr>
        <w:t>被投诉人2</w:t>
      </w:r>
    </w:p>
    <w:p w14:paraId="4D2D174A">
      <w:pPr>
        <w:spacing w:line="360" w:lineRule="auto"/>
        <w:rPr>
          <w:rFonts w:hint="eastAsia" w:ascii="宋体" w:hAnsi="宋体" w:cs="宋体"/>
          <w:sz w:val="24"/>
          <w:u w:val="dotted"/>
        </w:rPr>
      </w:pPr>
      <w:r>
        <w:rPr>
          <w:rFonts w:hint="eastAsia" w:ascii="宋体" w:hAnsi="宋体" w:cs="宋体"/>
          <w:sz w:val="24"/>
        </w:rPr>
        <w:t>……</w:t>
      </w:r>
    </w:p>
    <w:p w14:paraId="4D2D174B">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D2D174C">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D2D174D">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D2D174E">
      <w:pPr>
        <w:spacing w:line="360" w:lineRule="auto"/>
        <w:rPr>
          <w:rFonts w:hint="eastAsia" w:ascii="宋体" w:hAnsi="宋体" w:cs="宋体"/>
          <w:sz w:val="24"/>
        </w:rPr>
      </w:pPr>
      <w:r>
        <w:rPr>
          <w:rFonts w:hint="eastAsia" w:ascii="宋体" w:hAnsi="宋体" w:cs="宋体"/>
          <w:sz w:val="24"/>
        </w:rPr>
        <w:t>二、投诉项目基本情况</w:t>
      </w:r>
    </w:p>
    <w:p w14:paraId="4D2D174F">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D2D1750">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D2D1751">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4D2D1752">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D2D1753">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D2D1754">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D2D1755">
      <w:pPr>
        <w:spacing w:line="360" w:lineRule="auto"/>
        <w:rPr>
          <w:rFonts w:hint="eastAsia" w:ascii="宋体" w:hAnsi="宋体" w:cs="宋体"/>
          <w:sz w:val="24"/>
        </w:rPr>
      </w:pPr>
      <w:r>
        <w:rPr>
          <w:rFonts w:hint="eastAsia" w:ascii="宋体" w:hAnsi="宋体" w:cs="宋体"/>
          <w:sz w:val="24"/>
        </w:rPr>
        <w:t>三、质疑基本情况</w:t>
      </w:r>
    </w:p>
    <w:p w14:paraId="4D2D1756">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D2D1757">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4D2D1758">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4D2D1759">
      <w:pPr>
        <w:spacing w:line="360" w:lineRule="auto"/>
        <w:rPr>
          <w:rFonts w:hint="eastAsia" w:ascii="宋体" w:hAnsi="宋体" w:cs="宋体"/>
          <w:sz w:val="24"/>
        </w:rPr>
      </w:pPr>
      <w:r>
        <w:rPr>
          <w:rFonts w:hint="eastAsia" w:ascii="宋体" w:hAnsi="宋体" w:cs="宋体"/>
          <w:sz w:val="24"/>
        </w:rPr>
        <w:t>四、投诉事项具体内容</w:t>
      </w:r>
    </w:p>
    <w:p w14:paraId="4D2D175A">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4D2D175B">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4D2D175C">
      <w:pPr>
        <w:spacing w:line="360" w:lineRule="auto"/>
        <w:rPr>
          <w:rFonts w:hint="eastAsia" w:ascii="宋体" w:hAnsi="宋体" w:cs="宋体"/>
          <w:sz w:val="24"/>
          <w:u w:val="dotted"/>
        </w:rPr>
      </w:pPr>
      <w:r>
        <w:rPr>
          <w:rFonts w:hint="eastAsia" w:ascii="宋体" w:hAnsi="宋体" w:cs="宋体"/>
          <w:sz w:val="24"/>
          <w:u w:val="dotted"/>
        </w:rPr>
        <w:t xml:space="preserve">                                                      </w:t>
      </w:r>
    </w:p>
    <w:p w14:paraId="4D2D175D">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D2D175E">
      <w:pPr>
        <w:spacing w:line="360" w:lineRule="auto"/>
        <w:rPr>
          <w:rFonts w:hint="eastAsia" w:ascii="宋体" w:hAnsi="宋体" w:cs="宋体"/>
          <w:sz w:val="24"/>
          <w:u w:val="dotted"/>
        </w:rPr>
      </w:pPr>
      <w:r>
        <w:rPr>
          <w:rFonts w:hint="eastAsia" w:ascii="宋体" w:hAnsi="宋体" w:cs="宋体"/>
          <w:sz w:val="24"/>
          <w:u w:val="dotted"/>
        </w:rPr>
        <w:t xml:space="preserve">                                                      </w:t>
      </w:r>
    </w:p>
    <w:p w14:paraId="4D2D175F">
      <w:pPr>
        <w:spacing w:line="360" w:lineRule="auto"/>
        <w:rPr>
          <w:rFonts w:hint="eastAsia" w:ascii="宋体" w:hAnsi="宋体" w:cs="宋体"/>
          <w:sz w:val="24"/>
        </w:rPr>
      </w:pPr>
      <w:r>
        <w:rPr>
          <w:rFonts w:hint="eastAsia" w:ascii="宋体" w:hAnsi="宋体" w:cs="宋体"/>
          <w:sz w:val="24"/>
        </w:rPr>
        <w:t>投诉事项2</w:t>
      </w:r>
    </w:p>
    <w:p w14:paraId="4D2D1760">
      <w:pPr>
        <w:spacing w:line="360" w:lineRule="auto"/>
        <w:rPr>
          <w:rFonts w:hint="eastAsia" w:ascii="宋体" w:hAnsi="宋体" w:cs="宋体"/>
          <w:sz w:val="24"/>
          <w:u w:val="dotted"/>
        </w:rPr>
      </w:pPr>
      <w:r>
        <w:rPr>
          <w:rFonts w:hint="eastAsia" w:ascii="宋体" w:hAnsi="宋体" w:cs="宋体"/>
          <w:sz w:val="24"/>
        </w:rPr>
        <w:t>……</w:t>
      </w:r>
    </w:p>
    <w:p w14:paraId="4D2D1761">
      <w:pPr>
        <w:spacing w:line="360" w:lineRule="auto"/>
        <w:rPr>
          <w:rFonts w:hint="eastAsia" w:ascii="宋体" w:hAnsi="宋体" w:cs="宋体"/>
          <w:sz w:val="24"/>
        </w:rPr>
      </w:pPr>
      <w:r>
        <w:rPr>
          <w:rFonts w:hint="eastAsia" w:ascii="宋体" w:hAnsi="宋体" w:cs="宋体"/>
          <w:sz w:val="24"/>
        </w:rPr>
        <w:t>五、与投诉事项相关的投诉请求</w:t>
      </w:r>
    </w:p>
    <w:p w14:paraId="4D2D1762">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D2D1763">
      <w:pPr>
        <w:spacing w:line="360" w:lineRule="auto"/>
        <w:rPr>
          <w:rFonts w:hint="eastAsia" w:ascii="宋体" w:hAnsi="宋体" w:cs="宋体"/>
          <w:sz w:val="24"/>
          <w:u w:val="single"/>
        </w:rPr>
      </w:pPr>
      <w:r>
        <w:rPr>
          <w:rFonts w:hint="eastAsia" w:ascii="宋体" w:hAnsi="宋体" w:cs="宋体"/>
          <w:sz w:val="24"/>
        </w:rPr>
        <w:t xml:space="preserve">                                                                                                    </w:t>
      </w:r>
    </w:p>
    <w:p w14:paraId="4D2D1764">
      <w:pPr>
        <w:spacing w:line="360" w:lineRule="auto"/>
        <w:rPr>
          <w:rFonts w:hint="eastAsia" w:ascii="宋体" w:hAnsi="宋体" w:cs="宋体"/>
          <w:sz w:val="24"/>
        </w:rPr>
      </w:pPr>
      <w:r>
        <w:rPr>
          <w:rFonts w:hint="eastAsia" w:ascii="宋体" w:hAnsi="宋体" w:cs="宋体"/>
          <w:sz w:val="24"/>
        </w:rPr>
        <w:t xml:space="preserve">签字(签章)：                   公章：                      </w:t>
      </w:r>
    </w:p>
    <w:p w14:paraId="4D2D1765">
      <w:pPr>
        <w:spacing w:line="360" w:lineRule="auto"/>
        <w:rPr>
          <w:rFonts w:hint="eastAsia" w:ascii="宋体" w:hAnsi="宋体" w:cs="宋体"/>
          <w:sz w:val="24"/>
        </w:rPr>
      </w:pPr>
      <w:r>
        <w:rPr>
          <w:rFonts w:hint="eastAsia" w:ascii="宋体" w:hAnsi="宋体" w:cs="宋体"/>
          <w:sz w:val="24"/>
        </w:rPr>
        <w:t xml:space="preserve">日期：    </w:t>
      </w:r>
    </w:p>
    <w:p w14:paraId="4D2D1766">
      <w:pPr>
        <w:spacing w:line="360" w:lineRule="auto"/>
        <w:rPr>
          <w:rFonts w:hint="eastAsia" w:ascii="宋体" w:hAnsi="宋体" w:cs="宋体"/>
          <w:b/>
          <w:sz w:val="24"/>
        </w:rPr>
      </w:pPr>
    </w:p>
    <w:p w14:paraId="4D2D1767">
      <w:pPr>
        <w:spacing w:line="360" w:lineRule="auto"/>
        <w:rPr>
          <w:rFonts w:hint="eastAsia" w:ascii="宋体" w:hAnsi="宋体" w:cs="宋体"/>
          <w:b/>
          <w:sz w:val="24"/>
        </w:rPr>
      </w:pPr>
    </w:p>
    <w:p w14:paraId="4D2D1768">
      <w:pPr>
        <w:spacing w:line="360" w:lineRule="auto"/>
        <w:rPr>
          <w:rFonts w:hint="eastAsia" w:ascii="宋体" w:hAnsi="宋体" w:cs="宋体"/>
          <w:b/>
          <w:sz w:val="24"/>
        </w:rPr>
      </w:pPr>
      <w:r>
        <w:rPr>
          <w:rFonts w:hint="eastAsia" w:ascii="宋体" w:hAnsi="宋体" w:cs="宋体"/>
          <w:b/>
          <w:sz w:val="24"/>
        </w:rPr>
        <w:t>投诉书制作说明：</w:t>
      </w:r>
    </w:p>
    <w:p w14:paraId="4D2D1769">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D2D176A">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D2D176B">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4D2D176C">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4D2D176D">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4D2D176E">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4D2D176F">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D2D1770">
      <w:pPr>
        <w:spacing w:line="360" w:lineRule="auto"/>
        <w:rPr>
          <w:rFonts w:hint="eastAsia" w:ascii="宋体" w:hAnsi="宋体" w:cs="宋体"/>
          <w:b/>
          <w:sz w:val="24"/>
        </w:rPr>
      </w:pPr>
    </w:p>
    <w:p w14:paraId="4D2D1771">
      <w:pPr>
        <w:autoSpaceDE w:val="0"/>
        <w:autoSpaceDN w:val="0"/>
        <w:jc w:val="center"/>
        <w:rPr>
          <w:rFonts w:hint="eastAsia" w:ascii="宋体" w:hAnsi="宋体" w:cs="宋体"/>
          <w:b/>
          <w:spacing w:val="6"/>
          <w:sz w:val="32"/>
          <w:szCs w:val="32"/>
        </w:rPr>
      </w:pPr>
    </w:p>
    <w:p w14:paraId="4D2D1772">
      <w:pPr>
        <w:autoSpaceDE w:val="0"/>
        <w:autoSpaceDN w:val="0"/>
        <w:jc w:val="center"/>
        <w:rPr>
          <w:rFonts w:hint="eastAsia" w:ascii="宋体" w:hAnsi="宋体" w:cs="宋体"/>
          <w:b/>
          <w:spacing w:val="6"/>
          <w:sz w:val="32"/>
          <w:szCs w:val="32"/>
        </w:rPr>
      </w:pPr>
    </w:p>
    <w:p w14:paraId="4D2D1773">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D2D1774">
      <w:pPr>
        <w:spacing w:line="360" w:lineRule="auto"/>
        <w:rPr>
          <w:rFonts w:hint="eastAsia" w:ascii="宋体" w:hAnsi="宋体" w:cs="宋体"/>
          <w:sz w:val="24"/>
          <w:u w:val="single"/>
        </w:rPr>
      </w:pPr>
    </w:p>
    <w:p w14:paraId="4D2D1775">
      <w:pPr>
        <w:spacing w:line="360" w:lineRule="auto"/>
        <w:rPr>
          <w:rFonts w:hint="eastAsia" w:ascii="宋体" w:hAnsi="宋体" w:cs="宋体"/>
          <w:sz w:val="24"/>
        </w:rPr>
      </w:pPr>
      <w:r>
        <w:rPr>
          <w:rFonts w:hint="eastAsia" w:ascii="宋体" w:hAnsi="宋体" w:cs="宋体"/>
          <w:sz w:val="24"/>
          <w:u w:val="single"/>
        </w:rPr>
        <w:t>（采购人）、（采购代理机构）：</w:t>
      </w:r>
    </w:p>
    <w:p w14:paraId="4D2D1776">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D2D1777">
      <w:pPr>
        <w:spacing w:line="360" w:lineRule="auto"/>
        <w:ind w:firstLine="480" w:firstLineChars="200"/>
        <w:rPr>
          <w:rFonts w:hint="eastAsia" w:ascii="宋体" w:hAnsi="宋体" w:cs="宋体"/>
          <w:sz w:val="24"/>
        </w:rPr>
      </w:pPr>
      <w:r>
        <w:rPr>
          <w:rFonts w:hint="eastAsia" w:ascii="宋体" w:hAnsi="宋体" w:cs="宋体"/>
          <w:sz w:val="24"/>
        </w:rPr>
        <w:t>特此说明。</w:t>
      </w:r>
    </w:p>
    <w:p w14:paraId="4D2D1778">
      <w:pPr>
        <w:spacing w:line="360" w:lineRule="auto"/>
        <w:ind w:firstLine="494"/>
        <w:rPr>
          <w:rFonts w:hint="eastAsia" w:ascii="宋体" w:hAnsi="宋体" w:cs="宋体"/>
          <w:sz w:val="24"/>
        </w:rPr>
      </w:pPr>
    </w:p>
    <w:p w14:paraId="4D2D1779">
      <w:pPr>
        <w:spacing w:line="360" w:lineRule="auto"/>
        <w:ind w:firstLine="494"/>
        <w:rPr>
          <w:rFonts w:hint="eastAsia" w:ascii="宋体" w:hAnsi="宋体" w:cs="宋体"/>
          <w:sz w:val="24"/>
        </w:rPr>
      </w:pPr>
    </w:p>
    <w:p w14:paraId="4D2D177A">
      <w:pPr>
        <w:spacing w:line="360" w:lineRule="auto"/>
        <w:ind w:firstLine="494"/>
        <w:rPr>
          <w:rFonts w:hint="eastAsia" w:ascii="宋体" w:hAnsi="宋体" w:cs="宋体"/>
          <w:sz w:val="24"/>
        </w:rPr>
      </w:pPr>
    </w:p>
    <w:p w14:paraId="4D2D177B">
      <w:pPr>
        <w:spacing w:line="360" w:lineRule="auto"/>
        <w:ind w:firstLine="494"/>
        <w:rPr>
          <w:rFonts w:hint="eastAsia" w:ascii="宋体" w:hAnsi="宋体" w:cs="宋体"/>
          <w:sz w:val="24"/>
        </w:rPr>
      </w:pPr>
    </w:p>
    <w:p w14:paraId="4D2D177C">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4D2D177D">
      <w:pPr>
        <w:ind w:right="1440" w:firstLine="494"/>
        <w:jc w:val="center"/>
        <w:rPr>
          <w:rFonts w:hint="eastAsia" w:ascii="宋体" w:hAnsi="宋体" w:cs="宋体"/>
          <w:sz w:val="24"/>
        </w:rPr>
      </w:pPr>
      <w:r>
        <w:rPr>
          <w:rFonts w:hint="eastAsia" w:ascii="宋体" w:hAnsi="宋体" w:cs="宋体"/>
          <w:sz w:val="24"/>
        </w:rPr>
        <w:t xml:space="preserve">                              日期：       年     月     日</w:t>
      </w:r>
    </w:p>
    <w:p w14:paraId="4D2D177E">
      <w:pPr>
        <w:rPr>
          <w:rFonts w:hint="eastAsia" w:ascii="宋体" w:hAnsi="宋体" w:cs="宋体"/>
          <w:sz w:val="24"/>
        </w:rPr>
      </w:pPr>
      <w:r>
        <w:rPr>
          <w:rFonts w:hint="eastAsia" w:ascii="宋体" w:hAnsi="宋体" w:cs="宋体"/>
          <w:b/>
          <w:bCs/>
          <w:sz w:val="24"/>
        </w:rPr>
        <w:t>附：</w:t>
      </w:r>
    </w:p>
    <w:p w14:paraId="4D2D177F">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4D2D182E">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4D2D182E">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4D2D182F">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4D2D182F">
                      <w:pPr>
                        <w:jc w:val="center"/>
                      </w:pPr>
                    </w:p>
                  </w:txbxContent>
                </v:textbox>
              </v:rect>
            </w:pict>
          </mc:Fallback>
        </mc:AlternateContent>
      </w:r>
      <w:r>
        <w:rPr>
          <w:rFonts w:hint="eastAsia" w:ascii="宋体" w:hAnsi="宋体" w:cs="宋体"/>
          <w:sz w:val="24"/>
        </w:rPr>
        <w:t>投标单位法定名称章（印模）                投标单位“XX专用章”（印模）</w:t>
      </w:r>
    </w:p>
    <w:p w14:paraId="4D2D1780">
      <w:pPr>
        <w:autoSpaceDE w:val="0"/>
        <w:autoSpaceDN w:val="0"/>
        <w:jc w:val="center"/>
        <w:rPr>
          <w:rFonts w:hint="eastAsia" w:ascii="宋体" w:hAnsi="宋体" w:cs="宋体"/>
          <w:b/>
          <w:spacing w:val="6"/>
          <w:sz w:val="32"/>
          <w:szCs w:val="32"/>
        </w:rPr>
      </w:pPr>
    </w:p>
    <w:p w14:paraId="4D2D1781">
      <w:pPr>
        <w:autoSpaceDE w:val="0"/>
        <w:autoSpaceDN w:val="0"/>
        <w:jc w:val="center"/>
        <w:rPr>
          <w:rFonts w:hint="eastAsia" w:ascii="宋体" w:hAnsi="宋体" w:cs="宋体"/>
          <w:b/>
          <w:spacing w:val="6"/>
          <w:sz w:val="32"/>
          <w:szCs w:val="32"/>
        </w:rPr>
      </w:pPr>
    </w:p>
    <w:p w14:paraId="4D2D1782">
      <w:pPr>
        <w:autoSpaceDE w:val="0"/>
        <w:autoSpaceDN w:val="0"/>
        <w:jc w:val="center"/>
        <w:rPr>
          <w:rFonts w:hint="eastAsia" w:ascii="宋体" w:hAnsi="宋体" w:cs="宋体"/>
          <w:b/>
          <w:spacing w:val="6"/>
          <w:sz w:val="32"/>
          <w:szCs w:val="32"/>
        </w:rPr>
      </w:pPr>
    </w:p>
    <w:p w14:paraId="4D2D1783">
      <w:pPr>
        <w:autoSpaceDE w:val="0"/>
        <w:autoSpaceDN w:val="0"/>
        <w:jc w:val="center"/>
        <w:rPr>
          <w:rFonts w:hint="eastAsia" w:ascii="宋体" w:hAnsi="宋体" w:cs="宋体"/>
          <w:b/>
          <w:spacing w:val="6"/>
          <w:sz w:val="32"/>
          <w:szCs w:val="32"/>
        </w:rPr>
      </w:pPr>
    </w:p>
    <w:p w14:paraId="4D2D1784">
      <w:pPr>
        <w:autoSpaceDE w:val="0"/>
        <w:autoSpaceDN w:val="0"/>
        <w:jc w:val="center"/>
        <w:rPr>
          <w:rFonts w:hint="eastAsia" w:ascii="宋体" w:hAnsi="宋体" w:cs="宋体"/>
          <w:b/>
          <w:spacing w:val="6"/>
          <w:sz w:val="32"/>
          <w:szCs w:val="32"/>
        </w:rPr>
      </w:pPr>
    </w:p>
    <w:p w14:paraId="4D2D1785">
      <w:pPr>
        <w:autoSpaceDE w:val="0"/>
        <w:autoSpaceDN w:val="0"/>
        <w:jc w:val="center"/>
        <w:rPr>
          <w:rFonts w:hint="eastAsia" w:ascii="宋体" w:hAnsi="宋体" w:cs="宋体"/>
          <w:b/>
          <w:spacing w:val="6"/>
          <w:sz w:val="32"/>
          <w:szCs w:val="32"/>
        </w:rPr>
      </w:pPr>
    </w:p>
    <w:p w14:paraId="4D2D1786">
      <w:pPr>
        <w:autoSpaceDE w:val="0"/>
        <w:autoSpaceDN w:val="0"/>
        <w:jc w:val="center"/>
        <w:rPr>
          <w:rFonts w:hint="eastAsia" w:ascii="宋体" w:hAnsi="宋体" w:cs="宋体"/>
          <w:b/>
          <w:spacing w:val="6"/>
          <w:sz w:val="32"/>
          <w:szCs w:val="32"/>
        </w:rPr>
      </w:pPr>
    </w:p>
    <w:p w14:paraId="4D2D1787">
      <w:pPr>
        <w:autoSpaceDE w:val="0"/>
        <w:autoSpaceDN w:val="0"/>
        <w:jc w:val="center"/>
        <w:rPr>
          <w:rFonts w:hint="eastAsia" w:ascii="宋体" w:hAnsi="宋体" w:cs="宋体"/>
          <w:b/>
          <w:spacing w:val="6"/>
          <w:sz w:val="32"/>
          <w:szCs w:val="32"/>
        </w:rPr>
      </w:pPr>
    </w:p>
    <w:p w14:paraId="4D2D1788">
      <w:pPr>
        <w:autoSpaceDE w:val="0"/>
        <w:autoSpaceDN w:val="0"/>
        <w:jc w:val="center"/>
        <w:rPr>
          <w:rFonts w:hint="eastAsia" w:ascii="宋体" w:hAnsi="宋体" w:cs="宋体"/>
          <w:b/>
          <w:spacing w:val="6"/>
          <w:sz w:val="32"/>
          <w:szCs w:val="32"/>
        </w:rPr>
      </w:pPr>
    </w:p>
    <w:p w14:paraId="4D2D1789">
      <w:pPr>
        <w:autoSpaceDE w:val="0"/>
        <w:autoSpaceDN w:val="0"/>
        <w:jc w:val="center"/>
        <w:rPr>
          <w:rFonts w:hint="eastAsia" w:ascii="宋体" w:hAnsi="宋体" w:cs="宋体"/>
          <w:b/>
          <w:spacing w:val="6"/>
          <w:sz w:val="32"/>
          <w:szCs w:val="32"/>
        </w:rPr>
      </w:pPr>
    </w:p>
    <w:p w14:paraId="4D2D178A">
      <w:pPr>
        <w:autoSpaceDE w:val="0"/>
        <w:autoSpaceDN w:val="0"/>
        <w:jc w:val="center"/>
        <w:rPr>
          <w:rFonts w:hint="eastAsia" w:ascii="宋体" w:hAnsi="宋体" w:cs="宋体"/>
          <w:b/>
          <w:spacing w:val="6"/>
          <w:sz w:val="32"/>
          <w:szCs w:val="32"/>
        </w:rPr>
      </w:pPr>
    </w:p>
    <w:p w14:paraId="4D2D178B">
      <w:pPr>
        <w:autoSpaceDE w:val="0"/>
        <w:autoSpaceDN w:val="0"/>
        <w:jc w:val="center"/>
        <w:rPr>
          <w:rFonts w:hint="eastAsia" w:ascii="宋体" w:hAnsi="宋体" w:cs="宋体"/>
          <w:b/>
          <w:spacing w:val="6"/>
          <w:sz w:val="32"/>
          <w:szCs w:val="32"/>
        </w:rPr>
      </w:pPr>
    </w:p>
    <w:p w14:paraId="4D2D178C">
      <w:pPr>
        <w:autoSpaceDE w:val="0"/>
        <w:autoSpaceDN w:val="0"/>
        <w:jc w:val="center"/>
        <w:rPr>
          <w:rFonts w:hint="eastAsia" w:ascii="宋体" w:hAnsi="宋体" w:cs="宋体"/>
          <w:b/>
          <w:spacing w:val="6"/>
          <w:sz w:val="32"/>
          <w:szCs w:val="32"/>
        </w:rPr>
      </w:pPr>
    </w:p>
    <w:p w14:paraId="4D2D178D">
      <w:pPr>
        <w:autoSpaceDE w:val="0"/>
        <w:autoSpaceDN w:val="0"/>
        <w:jc w:val="center"/>
        <w:rPr>
          <w:rFonts w:hint="eastAsia" w:ascii="宋体" w:hAnsi="宋体" w:cs="宋体"/>
          <w:b/>
          <w:spacing w:val="6"/>
          <w:sz w:val="32"/>
          <w:szCs w:val="32"/>
        </w:rPr>
      </w:pPr>
    </w:p>
    <w:p w14:paraId="4D2D178E">
      <w:pPr>
        <w:autoSpaceDE w:val="0"/>
        <w:autoSpaceDN w:val="0"/>
        <w:jc w:val="center"/>
        <w:rPr>
          <w:rFonts w:hint="eastAsia" w:ascii="宋体" w:hAnsi="宋体" w:cs="宋体"/>
          <w:b/>
          <w:spacing w:val="6"/>
          <w:sz w:val="32"/>
          <w:szCs w:val="32"/>
        </w:rPr>
      </w:pPr>
    </w:p>
    <w:p w14:paraId="4D2D178F">
      <w:pPr>
        <w:autoSpaceDE w:val="0"/>
        <w:autoSpaceDN w:val="0"/>
        <w:jc w:val="center"/>
        <w:rPr>
          <w:rFonts w:hint="eastAsia" w:ascii="宋体" w:hAnsi="宋体" w:cs="宋体"/>
          <w:b/>
          <w:spacing w:val="6"/>
          <w:sz w:val="32"/>
          <w:szCs w:val="32"/>
        </w:rPr>
      </w:pPr>
    </w:p>
    <w:p w14:paraId="4D2D1790">
      <w:pPr>
        <w:autoSpaceDE w:val="0"/>
        <w:autoSpaceDN w:val="0"/>
        <w:jc w:val="center"/>
        <w:rPr>
          <w:rFonts w:hint="eastAsia" w:ascii="宋体" w:hAnsi="宋体" w:cs="宋体"/>
          <w:b/>
          <w:spacing w:val="6"/>
          <w:sz w:val="32"/>
          <w:szCs w:val="32"/>
        </w:rPr>
      </w:pPr>
    </w:p>
    <w:p w14:paraId="4D2D1791">
      <w:pPr>
        <w:autoSpaceDE w:val="0"/>
        <w:autoSpaceDN w:val="0"/>
        <w:jc w:val="center"/>
        <w:rPr>
          <w:rFonts w:hint="eastAsia"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4D2D1792">
      <w:pPr>
        <w:widowControl/>
        <w:spacing w:line="288"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4D2D1793">
      <w:pPr>
        <w:snapToGrid w:val="0"/>
        <w:spacing w:line="288"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4D2D1794">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4D2D1795">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w:t>
      </w:r>
      <w:r>
        <w:rPr>
          <w:rFonts w:hint="eastAsia" w:ascii="宋体" w:hAnsi="宋体" w:cs="宋体"/>
          <w:kern w:val="0"/>
          <w:sz w:val="24"/>
        </w:rPr>
        <w:t>响应</w:t>
      </w:r>
      <w:r>
        <w:rPr>
          <w:rFonts w:hint="eastAsia" w:ascii="宋体" w:hAnsi="宋体" w:cs="宋体"/>
          <w:kern w:val="0"/>
          <w:sz w:val="24"/>
          <w:lang w:val="zh-CN"/>
        </w:rPr>
        <w:t>等均对联合投标各方产生约束力。</w:t>
      </w:r>
    </w:p>
    <w:p w14:paraId="4D2D1796">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4D2D1797">
      <w:pPr>
        <w:snapToGrid w:val="0"/>
        <w:spacing w:line="288" w:lineRule="auto"/>
        <w:ind w:firstLine="576"/>
        <w:rPr>
          <w:rFonts w:hint="eastAsia"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D2D1798">
      <w:pPr>
        <w:snapToGrid w:val="0"/>
        <w:spacing w:line="288"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D2D1799">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w:t>
      </w:r>
    </w:p>
    <w:p w14:paraId="4D2D179A">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4D2D179B">
      <w:pPr>
        <w:snapToGrid w:val="0"/>
        <w:spacing w:line="288"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03"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03"/>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04"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04"/>
      <w:r>
        <w:rPr>
          <w:rFonts w:hint="eastAsia" w:ascii="宋体" w:hAnsi="宋体" w:cs="宋体"/>
          <w:b/>
          <w:kern w:val="0"/>
          <w:sz w:val="24"/>
          <w:lang w:val="zh-CN"/>
        </w:rPr>
        <w:t>）</w:t>
      </w:r>
    </w:p>
    <w:p w14:paraId="4D2D179C">
      <w:pPr>
        <w:spacing w:line="288"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40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05"/>
    </w:p>
    <w:p w14:paraId="4D2D179D">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4D2D179E">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4D2D179F">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D2D17A0">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D2D17A1">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4D2D17A2">
      <w:pPr>
        <w:snapToGrid w:val="0"/>
        <w:spacing w:line="288"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D2D17A3">
      <w:pPr>
        <w:snapToGrid w:val="0"/>
        <w:spacing w:line="288"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D2D17A4">
      <w:pPr>
        <w:snapToGrid w:val="0"/>
        <w:spacing w:line="288"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4D2D17A5">
      <w:pPr>
        <w:snapToGrid w:val="0"/>
        <w:spacing w:line="288"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4D2D17A6">
      <w:pPr>
        <w:snapToGrid w:val="0"/>
        <w:spacing w:line="360" w:lineRule="auto"/>
        <w:rPr>
          <w:rFonts w:hint="eastAsia" w:ascii="宋体" w:hAnsi="宋体" w:cs="宋体"/>
          <w:b/>
          <w:spacing w:val="6"/>
          <w:sz w:val="32"/>
          <w:szCs w:val="32"/>
        </w:rPr>
      </w:pPr>
      <w:r>
        <w:rPr>
          <w:rFonts w:hint="eastAsia" w:ascii="宋体" w:hAnsi="宋体" w:cs="宋体"/>
          <w:sz w:val="24"/>
        </w:rPr>
        <w:t>注：按本格式和要求提供。</w:t>
      </w:r>
    </w:p>
    <w:p w14:paraId="4D2D17A7">
      <w:pPr>
        <w:widowControl/>
        <w:adjustRightInd/>
        <w:jc w:val="left"/>
        <w:rPr>
          <w:rFonts w:hint="eastAsia" w:ascii="宋体" w:hAnsi="宋体" w:cs="宋体"/>
          <w:b/>
          <w:spacing w:val="6"/>
          <w:sz w:val="32"/>
          <w:szCs w:val="32"/>
        </w:rPr>
      </w:pPr>
      <w:r>
        <w:rPr>
          <w:rFonts w:ascii="宋体" w:hAnsi="宋体" w:cs="宋体"/>
          <w:b/>
          <w:spacing w:val="6"/>
          <w:sz w:val="32"/>
          <w:szCs w:val="32"/>
        </w:rPr>
        <w:br w:type="page"/>
      </w:r>
    </w:p>
    <w:p w14:paraId="4D2D17A8">
      <w:pPr>
        <w:snapToGrid w:val="0"/>
        <w:spacing w:line="360" w:lineRule="auto"/>
        <w:jc w:val="center"/>
        <w:rPr>
          <w:rFonts w:hint="eastAsia"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4D2D17A9">
      <w:pPr>
        <w:widowControl/>
        <w:spacing w:line="288"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4D2D17AA">
      <w:pPr>
        <w:snapToGrid w:val="0"/>
        <w:spacing w:line="288"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4D2D17AB">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4D2D17AC">
      <w:pPr>
        <w:snapToGrid w:val="0"/>
        <w:spacing w:line="288"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4D2D17AD">
      <w:pPr>
        <w:keepNext/>
        <w:keepLines/>
        <w:adjustRightInd/>
        <w:spacing w:line="288" w:lineRule="auto"/>
        <w:ind w:left="664" w:leftChars="316" w:firstLine="229" w:firstLineChars="95"/>
        <w:jc w:val="left"/>
        <w:rPr>
          <w:rFonts w:hint="eastAsia" w:ascii="宋体" w:hAnsi="宋体" w:cs="宋体"/>
          <w:b/>
          <w:bCs/>
          <w:kern w:val="0"/>
          <w:sz w:val="24"/>
          <w:lang w:val="zh-CN"/>
        </w:rPr>
      </w:pPr>
      <w:r>
        <w:rPr>
          <w:rFonts w:hint="eastAsia" w:ascii="宋体" w:hAnsi="宋体" w:cs="宋体"/>
          <w:b/>
          <w:bCs/>
          <w:kern w:val="0"/>
          <w:sz w:val="24"/>
          <w:lang w:val="zh-CN"/>
        </w:rPr>
        <w:t>……</w:t>
      </w:r>
    </w:p>
    <w:p w14:paraId="4D2D17AE">
      <w:pPr>
        <w:spacing w:line="288" w:lineRule="auto"/>
      </w:pPr>
      <w:r>
        <w:rPr>
          <w:rFonts w:hint="eastAsia"/>
          <w:lang w:val="zh-CN"/>
        </w:rPr>
        <w:t xml:space="preserve"> </w:t>
      </w:r>
    </w:p>
    <w:p w14:paraId="4D2D17AF">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4D2D17B0">
      <w:pPr>
        <w:snapToGrid w:val="0"/>
        <w:spacing w:line="288"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D2D17B1">
      <w:pPr>
        <w:spacing w:line="288" w:lineRule="auto"/>
        <w:ind w:firstLine="480" w:firstLineChars="200"/>
        <w:rPr>
          <w:rFonts w:hint="eastAsia"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4D2D17B2">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4D2D17B3">
      <w:pPr>
        <w:snapToGrid w:val="0"/>
        <w:spacing w:line="288" w:lineRule="auto"/>
        <w:ind w:firstLine="576"/>
        <w:rPr>
          <w:rFonts w:hint="eastAsia" w:ascii="宋体" w:hAnsi="宋体" w:cs="宋体"/>
          <w:u w:val="single"/>
        </w:rPr>
      </w:pPr>
      <w:r>
        <w:rPr>
          <w:rFonts w:hint="eastAsia" w:ascii="宋体" w:hAnsi="宋体" w:cs="宋体"/>
          <w:u w:val="single"/>
        </w:rPr>
        <w:t xml:space="preserve">                                                                                  </w:t>
      </w:r>
    </w:p>
    <w:p w14:paraId="4D2D17B4">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4D2D17B5">
      <w:pPr>
        <w:snapToGrid w:val="0"/>
        <w:spacing w:line="288" w:lineRule="auto"/>
        <w:ind w:firstLine="576"/>
        <w:rPr>
          <w:rFonts w:hint="eastAsia" w:ascii="宋体" w:hAnsi="宋体" w:cs="宋体"/>
          <w:kern w:val="0"/>
          <w:sz w:val="24"/>
          <w:lang w:val="zh-CN"/>
        </w:rPr>
      </w:pPr>
      <w:r>
        <w:rPr>
          <w:rFonts w:hint="eastAsia" w:ascii="宋体" w:hAnsi="宋体" w:cs="宋体"/>
          <w:u w:val="single"/>
        </w:rPr>
        <w:t xml:space="preserve">                                                                                       </w:t>
      </w:r>
    </w:p>
    <w:p w14:paraId="4D2D17B6">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4D2D17B7">
      <w:pPr>
        <w:snapToGrid w:val="0"/>
        <w:spacing w:line="288"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4D2D17B8">
      <w:pPr>
        <w:snapToGrid w:val="0"/>
        <w:spacing w:line="288"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4D2D17B9">
      <w:pPr>
        <w:snapToGrid w:val="0"/>
        <w:spacing w:line="288" w:lineRule="auto"/>
        <w:ind w:firstLine="576"/>
        <w:rPr>
          <w:rFonts w:hint="eastAsia" w:ascii="宋体" w:hAnsi="宋体" w:cs="宋体"/>
          <w:kern w:val="0"/>
          <w:sz w:val="24"/>
          <w:lang w:val="zh-CN"/>
        </w:rPr>
      </w:pPr>
      <w:r>
        <w:rPr>
          <w:rFonts w:hint="eastAsia" w:ascii="宋体" w:hAnsi="宋体" w:cs="宋体"/>
          <w:u w:val="single"/>
        </w:rPr>
        <w:t xml:space="preserve">                                                                                     </w:t>
      </w:r>
    </w:p>
    <w:p w14:paraId="4D2D17BA">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4D2D17BB">
      <w:pPr>
        <w:snapToGrid w:val="0"/>
        <w:spacing w:line="288" w:lineRule="auto"/>
        <w:ind w:firstLine="576"/>
        <w:rPr>
          <w:rFonts w:hint="eastAsia" w:ascii="宋体" w:hAnsi="宋体" w:cs="宋体"/>
          <w:kern w:val="0"/>
          <w:sz w:val="24"/>
          <w:lang w:val="zh-CN"/>
        </w:rPr>
      </w:pPr>
      <w:r>
        <w:rPr>
          <w:rFonts w:hint="eastAsia" w:ascii="宋体" w:hAnsi="宋体" w:cs="宋体"/>
          <w:u w:val="single"/>
        </w:rPr>
        <w:t xml:space="preserve">                                                                                  </w:t>
      </w:r>
    </w:p>
    <w:p w14:paraId="4D2D17BC">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八、其他</w:t>
      </w:r>
    </w:p>
    <w:p w14:paraId="4D2D17BD">
      <w:pPr>
        <w:snapToGrid w:val="0"/>
        <w:spacing w:line="288" w:lineRule="auto"/>
        <w:ind w:left="5758" w:leftChars="342" w:hanging="5040" w:hangingChars="2100"/>
        <w:rPr>
          <w:rFonts w:hint="eastAsia"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4D2D17BE">
      <w:pPr>
        <w:snapToGrid w:val="0"/>
        <w:spacing w:line="288"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4D2D17BF">
      <w:pPr>
        <w:snapToGrid w:val="0"/>
        <w:spacing w:line="288" w:lineRule="auto"/>
        <w:ind w:firstLine="5760" w:firstLineChars="2400"/>
        <w:rPr>
          <w:rFonts w:hint="eastAsia" w:ascii="宋体" w:hAnsi="宋体" w:cs="宋体"/>
        </w:rPr>
      </w:pPr>
      <w:r>
        <w:rPr>
          <w:rFonts w:hint="eastAsia" w:ascii="宋体" w:hAnsi="宋体" w:cs="宋体"/>
          <w:kern w:val="0"/>
          <w:sz w:val="24"/>
          <w:lang w:val="zh-CN"/>
        </w:rPr>
        <w:t>……</w:t>
      </w:r>
    </w:p>
    <w:p w14:paraId="4D2D17C0">
      <w:pPr>
        <w:snapToGrid w:val="0"/>
        <w:spacing w:line="288"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4D2D17C1">
      <w:pPr>
        <w:spacing w:line="360" w:lineRule="auto"/>
        <w:jc w:val="left"/>
        <w:rPr>
          <w:rFonts w:hint="eastAsia" w:ascii="宋体" w:hAnsi="宋体" w:cs="宋体"/>
          <w:sz w:val="24"/>
        </w:rPr>
      </w:pPr>
      <w:r>
        <w:rPr>
          <w:rFonts w:hint="eastAsia" w:ascii="宋体" w:hAnsi="宋体" w:cs="宋体"/>
          <w:sz w:val="24"/>
        </w:rPr>
        <w:t>注：按本格式和要求提供。</w:t>
      </w:r>
    </w:p>
    <w:p w14:paraId="4D2D17C2">
      <w:pPr>
        <w:spacing w:line="360" w:lineRule="auto"/>
        <w:jc w:val="left"/>
        <w:rPr>
          <w:rFonts w:hint="eastAsia"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4D2D17C3">
      <w:pPr>
        <w:spacing w:line="288" w:lineRule="auto"/>
        <w:jc w:val="left"/>
        <w:rPr>
          <w:rFonts w:hint="eastAsia" w:ascii="宋体" w:hAnsi="宋体" w:cs="宋体"/>
          <w:b/>
          <w:sz w:val="32"/>
          <w:szCs w:val="32"/>
        </w:rPr>
      </w:pPr>
      <w:r>
        <w:rPr>
          <w:rFonts w:hint="eastAsia" w:ascii="宋体" w:hAnsi="宋体" w:cs="宋体"/>
          <w:b/>
          <w:sz w:val="32"/>
          <w:szCs w:val="32"/>
        </w:rPr>
        <w:t>标项一：</w:t>
      </w:r>
    </w:p>
    <w:p w14:paraId="4D2D17C4">
      <w:pPr>
        <w:spacing w:line="288" w:lineRule="auto"/>
        <w:jc w:val="center"/>
        <w:rPr>
          <w:rFonts w:hint="eastAsia" w:ascii="宋体" w:hAnsi="宋体" w:cs="宋体"/>
          <w:b/>
          <w:sz w:val="32"/>
          <w:szCs w:val="32"/>
        </w:rPr>
      </w:pPr>
      <w:r>
        <w:rPr>
          <w:rFonts w:hint="eastAsia" w:ascii="宋体" w:hAnsi="宋体" w:cs="宋体"/>
          <w:b/>
          <w:sz w:val="32"/>
          <w:szCs w:val="32"/>
        </w:rPr>
        <w:t>中小企业声明函（服务）</w:t>
      </w:r>
    </w:p>
    <w:p w14:paraId="4D2D17C5">
      <w:pPr>
        <w:spacing w:line="288" w:lineRule="auto"/>
        <w:ind w:firstLine="360" w:firstLineChars="150"/>
        <w:jc w:val="left"/>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4D2D17C6">
      <w:pPr>
        <w:spacing w:line="288"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（飞利浦1.5T磁共振维保）</w:t>
      </w:r>
      <w:r>
        <w:rPr>
          <w:rFonts w:hint="eastAsia" w:ascii="宋体" w:hAnsi="宋体" w:cs="宋体"/>
          <w:sz w:val="24"/>
        </w:rPr>
        <w:t>，属于</w:t>
      </w:r>
      <w:r>
        <w:rPr>
          <w:rFonts w:hint="eastAsia" w:ascii="宋体" w:hAnsi="宋体" w:cs="宋体"/>
          <w:sz w:val="24"/>
          <w:u w:val="single"/>
        </w:rPr>
        <w:t>（采购文件中明确的所属行业：工业）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4D2D17C7">
      <w:pPr>
        <w:spacing w:line="288" w:lineRule="auto"/>
        <w:ind w:firstLine="480" w:firstLineChars="200"/>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D2D17C8">
      <w:pPr>
        <w:spacing w:line="288" w:lineRule="auto"/>
        <w:ind w:firstLine="480" w:firstLineChars="200"/>
        <w:jc w:val="left"/>
        <w:rPr>
          <w:rFonts w:hint="eastAsia" w:ascii="宋体" w:hAnsi="宋体" w:cs="宋体"/>
          <w:sz w:val="24"/>
        </w:rPr>
      </w:pPr>
      <w:r>
        <w:rPr>
          <w:rFonts w:hint="eastAsia" w:ascii="宋体" w:hAnsi="宋体" w:cs="宋体"/>
          <w:sz w:val="24"/>
        </w:rPr>
        <w:t>本企业对上述声明内容的真实性负责。如有虚假，将依法承担相应责任。</w:t>
      </w:r>
    </w:p>
    <w:p w14:paraId="4D2D17C9">
      <w:pPr>
        <w:spacing w:line="288" w:lineRule="auto"/>
        <w:ind w:right="1760"/>
        <w:jc w:val="right"/>
        <w:rPr>
          <w:rFonts w:hint="eastAsia" w:ascii="宋体" w:hAnsi="宋体" w:cs="宋体"/>
          <w:sz w:val="24"/>
        </w:rPr>
      </w:pPr>
      <w:r>
        <w:rPr>
          <w:rFonts w:hint="eastAsia" w:ascii="宋体" w:hAnsi="宋体" w:cs="宋体"/>
          <w:sz w:val="24"/>
        </w:rPr>
        <w:t>投标人名称（电子签名）：</w:t>
      </w:r>
    </w:p>
    <w:p w14:paraId="4D2D17CA">
      <w:pPr>
        <w:spacing w:line="288" w:lineRule="auto"/>
        <w:ind w:right="1120" w:firstLine="4680" w:firstLineChars="1950"/>
        <w:rPr>
          <w:rFonts w:hint="eastAsia" w:ascii="宋体" w:hAnsi="宋体" w:cs="宋体"/>
          <w:sz w:val="24"/>
        </w:rPr>
      </w:pPr>
      <w:r>
        <w:rPr>
          <w:rFonts w:hint="eastAsia" w:ascii="宋体" w:hAnsi="宋体" w:cs="宋体"/>
          <w:sz w:val="24"/>
        </w:rPr>
        <w:t>日 期：</w:t>
      </w:r>
    </w:p>
    <w:p w14:paraId="4D2D17CB">
      <w:pPr>
        <w:spacing w:line="288" w:lineRule="auto"/>
        <w:ind w:firstLine="310" w:firstLineChars="147"/>
        <w:jc w:val="left"/>
        <w:rPr>
          <w:rFonts w:hint="eastAsia"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4D2D17CC">
      <w:pPr>
        <w:spacing w:line="288" w:lineRule="auto"/>
        <w:ind w:right="420"/>
        <w:rPr>
          <w:rFonts w:hint="eastAsia" w:ascii="宋体" w:hAnsi="宋体" w:cs="宋体"/>
          <w:sz w:val="24"/>
        </w:rPr>
      </w:pPr>
      <w:r>
        <w:rPr>
          <w:rFonts w:hint="eastAsia" w:ascii="宋体" w:hAnsi="宋体" w:cs="宋体"/>
          <w:sz w:val="24"/>
        </w:rPr>
        <w:t>注：</w:t>
      </w:r>
    </w:p>
    <w:p w14:paraId="4D2D17CD">
      <w:pPr>
        <w:spacing w:line="288" w:lineRule="auto"/>
        <w:ind w:right="420" w:firstLine="480" w:firstLineChars="200"/>
        <w:rPr>
          <w:rFonts w:hint="eastAsia"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声明内容不实的，属于提供虚假材料谋取中标、成交的，依法承担法律责任。</w:t>
      </w:r>
    </w:p>
    <w:p w14:paraId="4D2D17CE">
      <w:pPr>
        <w:spacing w:line="288" w:lineRule="auto"/>
        <w:ind w:right="420" w:firstLine="720" w:firstLineChars="3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D2D17CF">
      <w:pPr>
        <w:spacing w:line="288" w:lineRule="auto"/>
        <w:ind w:right="420" w:firstLine="720" w:firstLineChars="300"/>
        <w:rPr>
          <w:rFonts w:hint="eastAsia" w:ascii="宋体" w:hAnsi="宋体" w:cs="宋体"/>
          <w:sz w:val="24"/>
          <w:lang w:bidi="ar"/>
        </w:rPr>
      </w:pPr>
      <w:r>
        <w:rPr>
          <w:rFonts w:hint="eastAsia" w:ascii="宋体" w:hAnsi="宋体" w:cs="宋体"/>
          <w:sz w:val="24"/>
        </w:rPr>
        <w:t>3、</w:t>
      </w:r>
      <w:r>
        <w:rPr>
          <w:rFonts w:hint="eastAsia" w:ascii="宋体" w:hAnsi="宋体" w:cs="宋体"/>
          <w:sz w:val="24"/>
          <w:lang w:bidi="ar"/>
        </w:rPr>
        <w:t>本项目对应的中小企业划分标准所属行业：</w:t>
      </w:r>
      <w:r>
        <w:rPr>
          <w:rFonts w:hint="eastAsia" w:ascii="宋体" w:hAnsi="宋体" w:cs="宋体"/>
          <w:sz w:val="24"/>
          <w:u w:val="single"/>
        </w:rPr>
        <w:t>工业</w:t>
      </w:r>
      <w:r>
        <w:rPr>
          <w:rFonts w:hint="eastAsia" w:ascii="宋体" w:hAnsi="宋体" w:cs="宋体"/>
          <w:sz w:val="24"/>
          <w:lang w:bidi="ar"/>
        </w:rPr>
        <w:t>。 划分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D2D17D0">
      <w:pPr>
        <w:rPr>
          <w:rFonts w:hint="eastAsia" w:ascii="宋体" w:hAnsi="宋体" w:cs="宋体"/>
          <w:sz w:val="24"/>
          <w:lang w:bidi="ar"/>
        </w:rPr>
      </w:pPr>
      <w:r>
        <w:rPr>
          <w:rFonts w:hint="eastAsia" w:ascii="宋体" w:hAnsi="宋体" w:cs="宋体"/>
          <w:sz w:val="24"/>
          <w:lang w:bidi="ar"/>
        </w:rPr>
        <w:br w:type="page"/>
      </w:r>
    </w:p>
    <w:p w14:paraId="4D2D17D1">
      <w:pPr>
        <w:spacing w:line="288" w:lineRule="auto"/>
        <w:jc w:val="left"/>
        <w:rPr>
          <w:rFonts w:hint="eastAsia" w:ascii="宋体" w:hAnsi="宋体" w:cs="宋体"/>
          <w:b/>
          <w:sz w:val="32"/>
          <w:szCs w:val="32"/>
        </w:rPr>
      </w:pPr>
      <w:r>
        <w:rPr>
          <w:rFonts w:hint="eastAsia" w:ascii="宋体" w:hAnsi="宋体" w:cs="宋体"/>
          <w:b/>
          <w:sz w:val="32"/>
          <w:szCs w:val="32"/>
        </w:rPr>
        <w:t>标项二：</w:t>
      </w:r>
    </w:p>
    <w:p w14:paraId="4D2D17D2">
      <w:pPr>
        <w:spacing w:line="288" w:lineRule="auto"/>
        <w:jc w:val="center"/>
        <w:rPr>
          <w:rFonts w:hint="eastAsia" w:ascii="宋体" w:hAnsi="宋体" w:cs="宋体"/>
          <w:b/>
          <w:sz w:val="32"/>
          <w:szCs w:val="32"/>
        </w:rPr>
      </w:pPr>
      <w:r>
        <w:rPr>
          <w:rFonts w:hint="eastAsia" w:ascii="宋体" w:hAnsi="宋体" w:cs="宋体"/>
          <w:b/>
          <w:sz w:val="32"/>
          <w:szCs w:val="32"/>
        </w:rPr>
        <w:t>中小企业声明函（服务）</w:t>
      </w:r>
    </w:p>
    <w:p w14:paraId="4D2D17D3">
      <w:pPr>
        <w:spacing w:line="288" w:lineRule="auto"/>
        <w:ind w:firstLine="360" w:firstLineChars="150"/>
        <w:jc w:val="left"/>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4D2D17D4">
      <w:pPr>
        <w:spacing w:line="288"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（岛津X线机打包维保）</w:t>
      </w:r>
      <w:r>
        <w:rPr>
          <w:rFonts w:hint="eastAsia" w:ascii="宋体" w:hAnsi="宋体" w:cs="宋体"/>
          <w:sz w:val="24"/>
        </w:rPr>
        <w:t>，属于</w:t>
      </w:r>
      <w:r>
        <w:rPr>
          <w:rFonts w:hint="eastAsia" w:ascii="宋体" w:hAnsi="宋体" w:cs="宋体"/>
          <w:sz w:val="24"/>
          <w:u w:val="single"/>
        </w:rPr>
        <w:t>（采购文件中明确的所属行业：工业）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4D2D17D5">
      <w:pPr>
        <w:spacing w:line="288" w:lineRule="auto"/>
        <w:ind w:firstLine="480" w:firstLineChars="200"/>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D2D17D6">
      <w:pPr>
        <w:spacing w:line="288" w:lineRule="auto"/>
        <w:ind w:firstLine="480" w:firstLineChars="200"/>
        <w:jc w:val="left"/>
        <w:rPr>
          <w:rFonts w:hint="eastAsia" w:ascii="宋体" w:hAnsi="宋体" w:cs="宋体"/>
          <w:sz w:val="24"/>
        </w:rPr>
      </w:pPr>
      <w:r>
        <w:rPr>
          <w:rFonts w:hint="eastAsia" w:ascii="宋体" w:hAnsi="宋体" w:cs="宋体"/>
          <w:sz w:val="24"/>
        </w:rPr>
        <w:t>本企业对上述声明内容的真实性负责。如有虚假，将依法承担相应责任。</w:t>
      </w:r>
    </w:p>
    <w:p w14:paraId="4D2D17D7">
      <w:pPr>
        <w:spacing w:line="288" w:lineRule="auto"/>
        <w:ind w:right="1760"/>
        <w:jc w:val="right"/>
        <w:rPr>
          <w:rFonts w:hint="eastAsia" w:ascii="宋体" w:hAnsi="宋体" w:cs="宋体"/>
          <w:sz w:val="24"/>
        </w:rPr>
      </w:pPr>
      <w:r>
        <w:rPr>
          <w:rFonts w:hint="eastAsia" w:ascii="宋体" w:hAnsi="宋体" w:cs="宋体"/>
          <w:sz w:val="24"/>
        </w:rPr>
        <w:t>投标人名称（电子签名）：</w:t>
      </w:r>
    </w:p>
    <w:p w14:paraId="4D2D17D8">
      <w:pPr>
        <w:spacing w:line="288" w:lineRule="auto"/>
        <w:ind w:right="1120" w:firstLine="4680" w:firstLineChars="1950"/>
        <w:rPr>
          <w:rFonts w:hint="eastAsia" w:ascii="宋体" w:hAnsi="宋体" w:cs="宋体"/>
          <w:sz w:val="24"/>
        </w:rPr>
      </w:pPr>
      <w:r>
        <w:rPr>
          <w:rFonts w:hint="eastAsia" w:ascii="宋体" w:hAnsi="宋体" w:cs="宋体"/>
          <w:sz w:val="24"/>
        </w:rPr>
        <w:t>日 期：</w:t>
      </w:r>
    </w:p>
    <w:p w14:paraId="4D2D17D9">
      <w:pPr>
        <w:spacing w:line="288" w:lineRule="auto"/>
        <w:ind w:firstLine="310" w:firstLineChars="147"/>
        <w:jc w:val="left"/>
        <w:rPr>
          <w:rFonts w:hint="eastAsia"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4D2D17DA">
      <w:pPr>
        <w:spacing w:line="288" w:lineRule="auto"/>
        <w:ind w:right="420"/>
        <w:rPr>
          <w:rFonts w:hint="eastAsia" w:ascii="宋体" w:hAnsi="宋体" w:cs="宋体"/>
          <w:sz w:val="24"/>
        </w:rPr>
      </w:pPr>
      <w:r>
        <w:rPr>
          <w:rFonts w:hint="eastAsia" w:ascii="宋体" w:hAnsi="宋体" w:cs="宋体"/>
          <w:sz w:val="24"/>
        </w:rPr>
        <w:t>注：</w:t>
      </w:r>
    </w:p>
    <w:p w14:paraId="4D2D17DB">
      <w:pPr>
        <w:spacing w:line="288" w:lineRule="auto"/>
        <w:ind w:right="420" w:firstLine="480" w:firstLineChars="200"/>
        <w:rPr>
          <w:rFonts w:hint="eastAsia"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声明内容不实的，属于提供虚假材料谋取中标、成交的，依法承担法律责任。</w:t>
      </w:r>
    </w:p>
    <w:p w14:paraId="4D2D17DC">
      <w:pPr>
        <w:spacing w:line="288" w:lineRule="auto"/>
        <w:ind w:right="420" w:firstLine="720" w:firstLineChars="3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D2D17DD">
      <w:pPr>
        <w:spacing w:line="288" w:lineRule="auto"/>
        <w:ind w:right="420" w:firstLine="720" w:firstLineChars="300"/>
        <w:rPr>
          <w:rFonts w:hint="eastAsia" w:ascii="宋体" w:hAnsi="宋体" w:cs="宋体"/>
          <w:sz w:val="24"/>
          <w:lang w:bidi="ar"/>
        </w:rPr>
      </w:pPr>
      <w:r>
        <w:rPr>
          <w:rFonts w:hint="eastAsia" w:ascii="宋体" w:hAnsi="宋体" w:cs="宋体"/>
          <w:sz w:val="24"/>
        </w:rPr>
        <w:t>3、</w:t>
      </w:r>
      <w:r>
        <w:rPr>
          <w:rFonts w:hint="eastAsia" w:ascii="宋体" w:hAnsi="宋体" w:cs="宋体"/>
          <w:sz w:val="24"/>
          <w:lang w:bidi="ar"/>
        </w:rPr>
        <w:t>本项目对应的中小企业划分标准所属行业：</w:t>
      </w:r>
      <w:r>
        <w:rPr>
          <w:rFonts w:hint="eastAsia" w:ascii="宋体" w:hAnsi="宋体" w:cs="宋体"/>
          <w:sz w:val="24"/>
          <w:u w:val="single"/>
        </w:rPr>
        <w:t>工业</w:t>
      </w:r>
      <w:r>
        <w:rPr>
          <w:rFonts w:hint="eastAsia" w:ascii="宋体" w:hAnsi="宋体" w:cs="宋体"/>
          <w:sz w:val="24"/>
          <w:lang w:bidi="ar"/>
        </w:rPr>
        <w:t>。 划分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D17FB">
    <w:pPr>
      <w:pStyle w:val="39"/>
      <w:framePr w:wrap="around" w:vAnchor="text" w:hAnchor="margin" w:xAlign="right" w:y="1"/>
      <w:rPr>
        <w:rStyle w:val="73"/>
      </w:rPr>
    </w:pPr>
    <w:r>
      <w:fldChar w:fldCharType="begin"/>
    </w:r>
    <w:r>
      <w:rPr>
        <w:rStyle w:val="73"/>
      </w:rPr>
      <w:instrText xml:space="preserve">PAGE  </w:instrText>
    </w:r>
    <w:r>
      <w:fldChar w:fldCharType="end"/>
    </w:r>
  </w:p>
  <w:p w14:paraId="4D2D17FC">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D180D">
    <w:pP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D1839">
                          <w:pPr>
                            <w:pStyle w:val="3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4D2D1839">
                    <w:pPr>
                      <w:pStyle w:val="39"/>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D180F">
    <w:pP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D1838">
                          <w:pPr>
                            <w:pStyle w:val="39"/>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4D2D1838">
                    <w:pPr>
                      <w:pStyle w:val="39"/>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D1813">
    <w:pPr>
      <w:pStyle w:val="39"/>
      <w:rPr>
        <w:rFonts w:ascii="仿宋_GB2312" w:eastAsia="仿宋_GB2312"/>
        <w:szCs w:val="24"/>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D183B">
                          <w:pPr>
                            <w:pStyle w:val="39"/>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4D2D183B">
                    <w:pPr>
                      <w:pStyle w:val="39"/>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D1811">
    <w:pPr>
      <w:pStyle w:val="39"/>
      <w:framePr w:wrap="around" w:vAnchor="text" w:hAnchor="margin" w:xAlign="right" w:y="1"/>
      <w:rPr>
        <w:rStyle w:val="73"/>
      </w:rPr>
    </w:pPr>
    <w:r>
      <w:fldChar w:fldCharType="begin"/>
    </w:r>
    <w:r>
      <w:rPr>
        <w:rStyle w:val="73"/>
      </w:rPr>
      <w:instrText xml:space="preserve">PAGE  </w:instrText>
    </w:r>
    <w:r>
      <w:fldChar w:fldCharType="end"/>
    </w:r>
  </w:p>
  <w:p w14:paraId="4D2D1812">
    <w:pPr>
      <w:pStyle w:val="39"/>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D1815">
    <w:pPr>
      <w:pStyle w:val="39"/>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D183A">
                          <w:pPr>
                            <w:pStyle w:val="39"/>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4D2D183A">
                    <w:pPr>
                      <w:pStyle w:val="39"/>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D17FD">
    <w:pPr>
      <w:pStyle w:val="39"/>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D1831">
                          <w:pPr>
                            <w:pStyle w:val="3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D2D1831">
                    <w:pPr>
                      <w:pStyle w:val="3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D17FE">
    <w:pPr>
      <w:pStyle w:val="39"/>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D1830">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D2D1830">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D1800">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D1833">
                          <w:pPr>
                            <w:pStyle w:val="3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D2D1833">
                    <w:pPr>
                      <w:pStyle w:val="3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D1802">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D1832">
                          <w:pPr>
                            <w:pStyle w:val="3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D2D1832">
                    <w:pPr>
                      <w:pStyle w:val="3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D1805">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D1835">
                          <w:pPr>
                            <w:pStyle w:val="3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D2D1835">
                    <w:pPr>
                      <w:pStyle w:val="39"/>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D1807">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D1834">
                          <w:pPr>
                            <w:pStyle w:val="3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4D2D1834">
                    <w:pPr>
                      <w:pStyle w:val="3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D1809">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D1837">
                          <w:pPr>
                            <w:pStyle w:val="3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4D2D1837">
                    <w:pPr>
                      <w:pStyle w:val="3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D180B">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D1836">
                          <w:pPr>
                            <w:pStyle w:val="39"/>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4D2D1836">
                    <w:pPr>
                      <w:pStyle w:val="39"/>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D17FA">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D1810">
    <w:pPr>
      <w:pStyle w:val="40"/>
      <w:jc w:val="right"/>
      <w:rPr>
        <w:rFonts w:ascii="仿宋_GB2312" w:eastAsia="仿宋_GB2312"/>
        <w:b/>
        <w:i/>
        <w:iCs/>
        <w:u w:val="single"/>
      </w:rPr>
    </w:pP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D1814">
    <w:pPr>
      <w:pStyle w:val="40"/>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D17FF">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D1801">
    <w:pPr>
      <w:pStyle w:val="4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D1803">
    <w:pPr>
      <w:pBdr>
        <w:bottom w:val="single" w:color="auto" w:sz="6" w:space="1"/>
      </w:pBdr>
      <w:snapToGrid w:val="0"/>
      <w:jc w:val="center"/>
      <w:rPr>
        <w:rFonts w:ascii="仿宋_GB2312" w:eastAsia="仿宋_GB2312"/>
        <w:b/>
        <w:i/>
        <w:sz w:val="18"/>
        <w:szCs w:val="18"/>
        <w:u w:val="single"/>
      </w:rPr>
    </w:pPr>
    <w:r>
      <w:rPr>
        <w:sz w:val="18"/>
        <w:szCs w:val="18"/>
      </w:rPr>
      <w:t></w:t>
    </w:r>
    <w:r>
      <w:rPr>
        <w:rFonts w:hint="eastAsia"/>
        <w:sz w:val="18"/>
        <w:szCs w:val="18"/>
      </w:rPr>
      <w:t xml:space="preserve">                                                  </w:t>
    </w:r>
    <w:r>
      <w:rPr>
        <w:sz w:val="18"/>
        <w:szCs w:val="18"/>
      </w:rPr>
      <w:t xml:space="preserve">             </w:t>
    </w:r>
    <w:r>
      <w:rPr>
        <w:rFonts w:hint="eastAsia"/>
        <w:sz w:val="18"/>
        <w:szCs w:val="18"/>
      </w:rPr>
      <w:t xml:space="preserve">   </w:t>
    </w:r>
    <w:r>
      <w:rPr>
        <w:sz w:val="18"/>
        <w:szCs w:val="18"/>
      </w:rPr>
      <w:t>政府采购公开招标文件</w:t>
    </w:r>
  </w:p>
  <w:p w14:paraId="4D2D1804">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D1806">
    <w:pPr>
      <w:pStyle w:val="40"/>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D1808">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D180A">
    <w:pPr>
      <w:pStyle w:val="4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D180C">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D180E">
    <w:pPr>
      <w:pStyle w:val="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2FFBF8"/>
    <w:multiLevelType w:val="singleLevel"/>
    <w:tmpl w:val="AB2FFBF8"/>
    <w:lvl w:ilvl="0" w:tentative="0">
      <w:start w:val="1"/>
      <w:numFmt w:val="bullet"/>
      <w:lvlText w:val=""/>
      <w:lvlJc w:val="left"/>
      <w:pPr>
        <w:ind w:left="420" w:hanging="420"/>
      </w:pPr>
      <w:rPr>
        <w:rFonts w:hint="default" w:ascii="Wingdings" w:hAnsi="Wingdings"/>
      </w:rPr>
    </w:lvl>
  </w:abstractNum>
  <w:abstractNum w:abstractNumId="1">
    <w:nsid w:val="ADA57556"/>
    <w:multiLevelType w:val="singleLevel"/>
    <w:tmpl w:val="ADA57556"/>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ay">
    <w15:presenceInfo w15:providerId="None" w15:userId="M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MzU4ZjM3ZTdiYjQwMGU0MWYyMGFkYTZmMTY3MmMifQ=="/>
    <w:docVar w:name="KSO_WPS_MARK_KEY" w:val="2caabb78-dd7d-4915-b9aa-db80bf10b0a9"/>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3AB"/>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245"/>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129"/>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11"/>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096"/>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55B"/>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6EC"/>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559"/>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860"/>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396"/>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63D"/>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5B8"/>
    <w:rsid w:val="006C7E04"/>
    <w:rsid w:val="006C7F79"/>
    <w:rsid w:val="006D0004"/>
    <w:rsid w:val="006D015F"/>
    <w:rsid w:val="006D060E"/>
    <w:rsid w:val="006D0665"/>
    <w:rsid w:val="006D0681"/>
    <w:rsid w:val="006D0A80"/>
    <w:rsid w:val="006D0AE8"/>
    <w:rsid w:val="006D135C"/>
    <w:rsid w:val="006D2F72"/>
    <w:rsid w:val="006D43C1"/>
    <w:rsid w:val="006D5442"/>
    <w:rsid w:val="006D65FE"/>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6BA"/>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70A"/>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3B4B"/>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2C65"/>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2B7A"/>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6B0"/>
    <w:rsid w:val="00D21AAA"/>
    <w:rsid w:val="00D21E6F"/>
    <w:rsid w:val="00D2218A"/>
    <w:rsid w:val="00D22B13"/>
    <w:rsid w:val="00D2371E"/>
    <w:rsid w:val="00D237E0"/>
    <w:rsid w:val="00D23A17"/>
    <w:rsid w:val="00D25676"/>
    <w:rsid w:val="00D2579F"/>
    <w:rsid w:val="00D2580E"/>
    <w:rsid w:val="00D265A7"/>
    <w:rsid w:val="00D2690C"/>
    <w:rsid w:val="00D26BD8"/>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ADB"/>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C2B8C"/>
    <w:rsid w:val="017010B8"/>
    <w:rsid w:val="019F7441"/>
    <w:rsid w:val="01B37585"/>
    <w:rsid w:val="01D55165"/>
    <w:rsid w:val="01DF6BF8"/>
    <w:rsid w:val="01EC2C57"/>
    <w:rsid w:val="02493AD7"/>
    <w:rsid w:val="025F0711"/>
    <w:rsid w:val="026B2E25"/>
    <w:rsid w:val="02824D4D"/>
    <w:rsid w:val="02962683"/>
    <w:rsid w:val="02B85D88"/>
    <w:rsid w:val="02DC4B10"/>
    <w:rsid w:val="02DD76CE"/>
    <w:rsid w:val="02F36323"/>
    <w:rsid w:val="02F5619C"/>
    <w:rsid w:val="0326446A"/>
    <w:rsid w:val="032D5555"/>
    <w:rsid w:val="035308B6"/>
    <w:rsid w:val="036634D2"/>
    <w:rsid w:val="03DD35E4"/>
    <w:rsid w:val="04076900"/>
    <w:rsid w:val="041A5A3B"/>
    <w:rsid w:val="042311BA"/>
    <w:rsid w:val="042B157A"/>
    <w:rsid w:val="04870556"/>
    <w:rsid w:val="048F763B"/>
    <w:rsid w:val="049F330E"/>
    <w:rsid w:val="04AA775C"/>
    <w:rsid w:val="04AF1889"/>
    <w:rsid w:val="04F66F48"/>
    <w:rsid w:val="05251E14"/>
    <w:rsid w:val="055204AE"/>
    <w:rsid w:val="05A16594"/>
    <w:rsid w:val="05A7762D"/>
    <w:rsid w:val="05F558AF"/>
    <w:rsid w:val="060B66D9"/>
    <w:rsid w:val="060E5941"/>
    <w:rsid w:val="06110FAF"/>
    <w:rsid w:val="06493CA7"/>
    <w:rsid w:val="065A6178"/>
    <w:rsid w:val="066F1CF3"/>
    <w:rsid w:val="06930BB8"/>
    <w:rsid w:val="06F723B4"/>
    <w:rsid w:val="07245D42"/>
    <w:rsid w:val="07264C62"/>
    <w:rsid w:val="0748003D"/>
    <w:rsid w:val="0779354C"/>
    <w:rsid w:val="08061376"/>
    <w:rsid w:val="082F299A"/>
    <w:rsid w:val="08452D77"/>
    <w:rsid w:val="0854341D"/>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ED2B1B"/>
    <w:rsid w:val="0B30404E"/>
    <w:rsid w:val="0B4C6C14"/>
    <w:rsid w:val="0B547599"/>
    <w:rsid w:val="0B631A88"/>
    <w:rsid w:val="0B683D45"/>
    <w:rsid w:val="0B7F3F11"/>
    <w:rsid w:val="0B884417"/>
    <w:rsid w:val="0BF6188C"/>
    <w:rsid w:val="0BF73C91"/>
    <w:rsid w:val="0C170175"/>
    <w:rsid w:val="0C1B159F"/>
    <w:rsid w:val="0C571A41"/>
    <w:rsid w:val="0C5C1171"/>
    <w:rsid w:val="0C5E1CBC"/>
    <w:rsid w:val="0C615B50"/>
    <w:rsid w:val="0C8445DA"/>
    <w:rsid w:val="0C87121B"/>
    <w:rsid w:val="0CC007F7"/>
    <w:rsid w:val="0CC311CB"/>
    <w:rsid w:val="0CC617AC"/>
    <w:rsid w:val="0CE618DF"/>
    <w:rsid w:val="0CFE707A"/>
    <w:rsid w:val="0D063BDA"/>
    <w:rsid w:val="0D08375F"/>
    <w:rsid w:val="0D184CFB"/>
    <w:rsid w:val="0D3F78C3"/>
    <w:rsid w:val="0D4A7419"/>
    <w:rsid w:val="0D827401"/>
    <w:rsid w:val="0D84094E"/>
    <w:rsid w:val="0D8A00E9"/>
    <w:rsid w:val="0D8D589E"/>
    <w:rsid w:val="0DA01C73"/>
    <w:rsid w:val="0DD63300"/>
    <w:rsid w:val="0DF50604"/>
    <w:rsid w:val="0DF702FE"/>
    <w:rsid w:val="0E060E51"/>
    <w:rsid w:val="0E5604B2"/>
    <w:rsid w:val="0E641154"/>
    <w:rsid w:val="0E6D5D79"/>
    <w:rsid w:val="0E7D7110"/>
    <w:rsid w:val="0E9D0089"/>
    <w:rsid w:val="0EB803EE"/>
    <w:rsid w:val="0EF94D4B"/>
    <w:rsid w:val="0F4958DC"/>
    <w:rsid w:val="0F515DF7"/>
    <w:rsid w:val="0F596BA8"/>
    <w:rsid w:val="0F6248D2"/>
    <w:rsid w:val="0F693536"/>
    <w:rsid w:val="0F7B0511"/>
    <w:rsid w:val="0F7B76D9"/>
    <w:rsid w:val="0F816ACD"/>
    <w:rsid w:val="0F9832DB"/>
    <w:rsid w:val="0FA9345E"/>
    <w:rsid w:val="0FBF3FD2"/>
    <w:rsid w:val="0FBF7FF3"/>
    <w:rsid w:val="10646583"/>
    <w:rsid w:val="107D4B15"/>
    <w:rsid w:val="108A3C80"/>
    <w:rsid w:val="10C26171"/>
    <w:rsid w:val="10F33360"/>
    <w:rsid w:val="10FC16EA"/>
    <w:rsid w:val="110F1D40"/>
    <w:rsid w:val="11266F33"/>
    <w:rsid w:val="118963A1"/>
    <w:rsid w:val="11A622AD"/>
    <w:rsid w:val="11C6522A"/>
    <w:rsid w:val="11E104CC"/>
    <w:rsid w:val="11E20309"/>
    <w:rsid w:val="11EA07B6"/>
    <w:rsid w:val="11EB39F2"/>
    <w:rsid w:val="121D042A"/>
    <w:rsid w:val="12231F7B"/>
    <w:rsid w:val="12255233"/>
    <w:rsid w:val="12530213"/>
    <w:rsid w:val="127723A9"/>
    <w:rsid w:val="12862074"/>
    <w:rsid w:val="12883966"/>
    <w:rsid w:val="128D5FA8"/>
    <w:rsid w:val="129E45B4"/>
    <w:rsid w:val="12D81596"/>
    <w:rsid w:val="12F15A54"/>
    <w:rsid w:val="12F80212"/>
    <w:rsid w:val="13072A44"/>
    <w:rsid w:val="13422BBC"/>
    <w:rsid w:val="135F4BE2"/>
    <w:rsid w:val="13722265"/>
    <w:rsid w:val="139B1A0A"/>
    <w:rsid w:val="139D25C7"/>
    <w:rsid w:val="13BF3CE4"/>
    <w:rsid w:val="141008D8"/>
    <w:rsid w:val="14125FE6"/>
    <w:rsid w:val="144B29A7"/>
    <w:rsid w:val="146D271E"/>
    <w:rsid w:val="147449B9"/>
    <w:rsid w:val="148D758C"/>
    <w:rsid w:val="14982588"/>
    <w:rsid w:val="149A5AD9"/>
    <w:rsid w:val="14A7619D"/>
    <w:rsid w:val="14F34263"/>
    <w:rsid w:val="150536C3"/>
    <w:rsid w:val="150C1963"/>
    <w:rsid w:val="151447A0"/>
    <w:rsid w:val="154A6454"/>
    <w:rsid w:val="15762120"/>
    <w:rsid w:val="15C9366A"/>
    <w:rsid w:val="16096967"/>
    <w:rsid w:val="161D2412"/>
    <w:rsid w:val="169F4F40"/>
    <w:rsid w:val="16A8729C"/>
    <w:rsid w:val="16B33777"/>
    <w:rsid w:val="16BC70A7"/>
    <w:rsid w:val="16C6339E"/>
    <w:rsid w:val="172F2D79"/>
    <w:rsid w:val="17557BEF"/>
    <w:rsid w:val="17D349C1"/>
    <w:rsid w:val="1830729E"/>
    <w:rsid w:val="18461195"/>
    <w:rsid w:val="1870062C"/>
    <w:rsid w:val="18817102"/>
    <w:rsid w:val="18830A15"/>
    <w:rsid w:val="18852B28"/>
    <w:rsid w:val="188B5321"/>
    <w:rsid w:val="190E38B0"/>
    <w:rsid w:val="19932372"/>
    <w:rsid w:val="19A20DD5"/>
    <w:rsid w:val="19AE03F1"/>
    <w:rsid w:val="19BF6EF6"/>
    <w:rsid w:val="19EE5F3D"/>
    <w:rsid w:val="1A071A03"/>
    <w:rsid w:val="1A1F16AE"/>
    <w:rsid w:val="1A3B5C77"/>
    <w:rsid w:val="1A8540EF"/>
    <w:rsid w:val="1A984BAD"/>
    <w:rsid w:val="1AB8220E"/>
    <w:rsid w:val="1AE4166C"/>
    <w:rsid w:val="1AF06CFB"/>
    <w:rsid w:val="1AF11B8D"/>
    <w:rsid w:val="1B11359C"/>
    <w:rsid w:val="1B2A271F"/>
    <w:rsid w:val="1B530544"/>
    <w:rsid w:val="1B713184"/>
    <w:rsid w:val="1BA209CF"/>
    <w:rsid w:val="1BB4777D"/>
    <w:rsid w:val="1BC021BE"/>
    <w:rsid w:val="1BD75AB8"/>
    <w:rsid w:val="1C0459C2"/>
    <w:rsid w:val="1C1B3B4A"/>
    <w:rsid w:val="1C88086E"/>
    <w:rsid w:val="1D14290E"/>
    <w:rsid w:val="1D266CE1"/>
    <w:rsid w:val="1D3963AF"/>
    <w:rsid w:val="1D6A673C"/>
    <w:rsid w:val="1D9247AE"/>
    <w:rsid w:val="1DB567EC"/>
    <w:rsid w:val="1DF51A98"/>
    <w:rsid w:val="1E284DC7"/>
    <w:rsid w:val="1E3D060F"/>
    <w:rsid w:val="1E3F7D2E"/>
    <w:rsid w:val="1E4134E4"/>
    <w:rsid w:val="1E5062B3"/>
    <w:rsid w:val="1E523514"/>
    <w:rsid w:val="1E714A66"/>
    <w:rsid w:val="1E802593"/>
    <w:rsid w:val="1E8B6156"/>
    <w:rsid w:val="1EA703CC"/>
    <w:rsid w:val="1EB7330C"/>
    <w:rsid w:val="1ECE05F3"/>
    <w:rsid w:val="1F0A0FF3"/>
    <w:rsid w:val="1F5771FF"/>
    <w:rsid w:val="1F821052"/>
    <w:rsid w:val="1FB04915"/>
    <w:rsid w:val="1FD52DD5"/>
    <w:rsid w:val="1FE868A9"/>
    <w:rsid w:val="20034907"/>
    <w:rsid w:val="20173E4B"/>
    <w:rsid w:val="204E48BC"/>
    <w:rsid w:val="208921B3"/>
    <w:rsid w:val="20973DEB"/>
    <w:rsid w:val="20B26522"/>
    <w:rsid w:val="20B44310"/>
    <w:rsid w:val="211116EB"/>
    <w:rsid w:val="216133FC"/>
    <w:rsid w:val="2174683F"/>
    <w:rsid w:val="21B420FA"/>
    <w:rsid w:val="21D56769"/>
    <w:rsid w:val="21E52EF3"/>
    <w:rsid w:val="21FB5D7B"/>
    <w:rsid w:val="22015E94"/>
    <w:rsid w:val="220B1C3D"/>
    <w:rsid w:val="221D1D20"/>
    <w:rsid w:val="22334A87"/>
    <w:rsid w:val="22BE6801"/>
    <w:rsid w:val="233500BF"/>
    <w:rsid w:val="23377FF7"/>
    <w:rsid w:val="2363142E"/>
    <w:rsid w:val="236B425F"/>
    <w:rsid w:val="23836192"/>
    <w:rsid w:val="23901F29"/>
    <w:rsid w:val="239C0061"/>
    <w:rsid w:val="23B908A4"/>
    <w:rsid w:val="23E443FD"/>
    <w:rsid w:val="23E95BEF"/>
    <w:rsid w:val="23FD0064"/>
    <w:rsid w:val="241466D8"/>
    <w:rsid w:val="245375B0"/>
    <w:rsid w:val="24642C0A"/>
    <w:rsid w:val="24B22173"/>
    <w:rsid w:val="24B95AD9"/>
    <w:rsid w:val="24BE24DA"/>
    <w:rsid w:val="24CF5825"/>
    <w:rsid w:val="24D663E6"/>
    <w:rsid w:val="24D77F2B"/>
    <w:rsid w:val="258B00E2"/>
    <w:rsid w:val="258C1550"/>
    <w:rsid w:val="25A66A78"/>
    <w:rsid w:val="25A917A6"/>
    <w:rsid w:val="25BE27CC"/>
    <w:rsid w:val="25F74A5C"/>
    <w:rsid w:val="25FF0009"/>
    <w:rsid w:val="2628662C"/>
    <w:rsid w:val="262D45DE"/>
    <w:rsid w:val="26871DC8"/>
    <w:rsid w:val="26A53EF9"/>
    <w:rsid w:val="26A94201"/>
    <w:rsid w:val="26AC274F"/>
    <w:rsid w:val="26F443EF"/>
    <w:rsid w:val="27044A29"/>
    <w:rsid w:val="271D34C8"/>
    <w:rsid w:val="275525FD"/>
    <w:rsid w:val="276142BF"/>
    <w:rsid w:val="27783712"/>
    <w:rsid w:val="27907362"/>
    <w:rsid w:val="281E2337"/>
    <w:rsid w:val="28333E1D"/>
    <w:rsid w:val="28454BD6"/>
    <w:rsid w:val="28455253"/>
    <w:rsid w:val="28551971"/>
    <w:rsid w:val="285B1C53"/>
    <w:rsid w:val="28736156"/>
    <w:rsid w:val="289F7086"/>
    <w:rsid w:val="28C32028"/>
    <w:rsid w:val="28C411E9"/>
    <w:rsid w:val="28CC490F"/>
    <w:rsid w:val="28DE40AA"/>
    <w:rsid w:val="29345E77"/>
    <w:rsid w:val="294C65AD"/>
    <w:rsid w:val="29806583"/>
    <w:rsid w:val="298B3C4C"/>
    <w:rsid w:val="29F26D24"/>
    <w:rsid w:val="2A15033F"/>
    <w:rsid w:val="2A1662C1"/>
    <w:rsid w:val="2A1C7367"/>
    <w:rsid w:val="2A2815FA"/>
    <w:rsid w:val="2A6D6092"/>
    <w:rsid w:val="2A7D76B4"/>
    <w:rsid w:val="2B223791"/>
    <w:rsid w:val="2B437463"/>
    <w:rsid w:val="2B7807EE"/>
    <w:rsid w:val="2BA50BF7"/>
    <w:rsid w:val="2BB334D1"/>
    <w:rsid w:val="2BBF00EC"/>
    <w:rsid w:val="2BC37CFD"/>
    <w:rsid w:val="2BD5237F"/>
    <w:rsid w:val="2BE536CE"/>
    <w:rsid w:val="2BE758D9"/>
    <w:rsid w:val="2BEA2ED8"/>
    <w:rsid w:val="2C09049E"/>
    <w:rsid w:val="2C0A653C"/>
    <w:rsid w:val="2C191F85"/>
    <w:rsid w:val="2C873319"/>
    <w:rsid w:val="2CE82D6F"/>
    <w:rsid w:val="2D343236"/>
    <w:rsid w:val="2D3E3598"/>
    <w:rsid w:val="2D5C23F2"/>
    <w:rsid w:val="2DD15014"/>
    <w:rsid w:val="2DF72DE4"/>
    <w:rsid w:val="2E0220AF"/>
    <w:rsid w:val="2E093143"/>
    <w:rsid w:val="2E4B082A"/>
    <w:rsid w:val="2E5D4E86"/>
    <w:rsid w:val="2E5D790B"/>
    <w:rsid w:val="2E9A3C18"/>
    <w:rsid w:val="2EBB0FEE"/>
    <w:rsid w:val="2EC63002"/>
    <w:rsid w:val="2F0A6B38"/>
    <w:rsid w:val="2F7C2BC6"/>
    <w:rsid w:val="2F946CCB"/>
    <w:rsid w:val="2FD25781"/>
    <w:rsid w:val="2FDC745C"/>
    <w:rsid w:val="2FE73577"/>
    <w:rsid w:val="2FFD7934"/>
    <w:rsid w:val="30733ACD"/>
    <w:rsid w:val="308C3862"/>
    <w:rsid w:val="309379D8"/>
    <w:rsid w:val="30A270F7"/>
    <w:rsid w:val="30DF1478"/>
    <w:rsid w:val="30EC586F"/>
    <w:rsid w:val="312E1BDA"/>
    <w:rsid w:val="3137560B"/>
    <w:rsid w:val="314550B7"/>
    <w:rsid w:val="319B0ABF"/>
    <w:rsid w:val="319C6071"/>
    <w:rsid w:val="31AC537E"/>
    <w:rsid w:val="31E3230A"/>
    <w:rsid w:val="31E3679B"/>
    <w:rsid w:val="31E732FD"/>
    <w:rsid w:val="32517576"/>
    <w:rsid w:val="32BE5C2C"/>
    <w:rsid w:val="32FB6478"/>
    <w:rsid w:val="33263B3F"/>
    <w:rsid w:val="336963EB"/>
    <w:rsid w:val="337F3AE9"/>
    <w:rsid w:val="33816EEB"/>
    <w:rsid w:val="33EB55CD"/>
    <w:rsid w:val="33EC4C02"/>
    <w:rsid w:val="340D2360"/>
    <w:rsid w:val="3410665D"/>
    <w:rsid w:val="34211214"/>
    <w:rsid w:val="342E63AB"/>
    <w:rsid w:val="344423B0"/>
    <w:rsid w:val="34902BAD"/>
    <w:rsid w:val="34950E68"/>
    <w:rsid w:val="34986E94"/>
    <w:rsid w:val="34AF62C9"/>
    <w:rsid w:val="34CB4388"/>
    <w:rsid w:val="34FA6E12"/>
    <w:rsid w:val="35324DD8"/>
    <w:rsid w:val="35457E70"/>
    <w:rsid w:val="354D7158"/>
    <w:rsid w:val="358D5588"/>
    <w:rsid w:val="35EF7CA9"/>
    <w:rsid w:val="36186477"/>
    <w:rsid w:val="363A3B40"/>
    <w:rsid w:val="365302AE"/>
    <w:rsid w:val="36607A0A"/>
    <w:rsid w:val="366E227C"/>
    <w:rsid w:val="366F2E0D"/>
    <w:rsid w:val="367B6A5C"/>
    <w:rsid w:val="36A74ADA"/>
    <w:rsid w:val="36AD60D5"/>
    <w:rsid w:val="36B224F9"/>
    <w:rsid w:val="36B973A6"/>
    <w:rsid w:val="36EC0CC9"/>
    <w:rsid w:val="36F6277F"/>
    <w:rsid w:val="373F410B"/>
    <w:rsid w:val="37EE7094"/>
    <w:rsid w:val="38296C89"/>
    <w:rsid w:val="383002EB"/>
    <w:rsid w:val="38586797"/>
    <w:rsid w:val="38A92BBB"/>
    <w:rsid w:val="38BC0149"/>
    <w:rsid w:val="38D87D1C"/>
    <w:rsid w:val="3930188D"/>
    <w:rsid w:val="39636459"/>
    <w:rsid w:val="396B7F6C"/>
    <w:rsid w:val="39B417A9"/>
    <w:rsid w:val="39FC5695"/>
    <w:rsid w:val="3A006D8E"/>
    <w:rsid w:val="3A2E002F"/>
    <w:rsid w:val="3A3651E5"/>
    <w:rsid w:val="3A744481"/>
    <w:rsid w:val="3A751082"/>
    <w:rsid w:val="3A8C7BEF"/>
    <w:rsid w:val="3A906246"/>
    <w:rsid w:val="3AD77510"/>
    <w:rsid w:val="3B2349B7"/>
    <w:rsid w:val="3B38059C"/>
    <w:rsid w:val="3B616CFF"/>
    <w:rsid w:val="3B6259F6"/>
    <w:rsid w:val="3B976654"/>
    <w:rsid w:val="3BA64AD4"/>
    <w:rsid w:val="3BC01EFC"/>
    <w:rsid w:val="3BCA786A"/>
    <w:rsid w:val="3BD31E2F"/>
    <w:rsid w:val="3BF15831"/>
    <w:rsid w:val="3C105946"/>
    <w:rsid w:val="3C471448"/>
    <w:rsid w:val="3C5F759A"/>
    <w:rsid w:val="3C6C525A"/>
    <w:rsid w:val="3CBA5FB1"/>
    <w:rsid w:val="3CCE23CB"/>
    <w:rsid w:val="3CD17D17"/>
    <w:rsid w:val="3D163594"/>
    <w:rsid w:val="3D3C7F39"/>
    <w:rsid w:val="3D440F09"/>
    <w:rsid w:val="3D4504A0"/>
    <w:rsid w:val="3D8734BB"/>
    <w:rsid w:val="3D9A11D4"/>
    <w:rsid w:val="3DA16D89"/>
    <w:rsid w:val="3DA364BE"/>
    <w:rsid w:val="3DE041CB"/>
    <w:rsid w:val="3E0D48F6"/>
    <w:rsid w:val="3E125345"/>
    <w:rsid w:val="3E1868B4"/>
    <w:rsid w:val="3E377251"/>
    <w:rsid w:val="3E42664B"/>
    <w:rsid w:val="3E4B3BB9"/>
    <w:rsid w:val="3E5A7334"/>
    <w:rsid w:val="3E7B5D6B"/>
    <w:rsid w:val="3E843E66"/>
    <w:rsid w:val="3E8F51FE"/>
    <w:rsid w:val="3E926F87"/>
    <w:rsid w:val="3E9A59DE"/>
    <w:rsid w:val="3EAF4836"/>
    <w:rsid w:val="3EC33DFA"/>
    <w:rsid w:val="3F060E16"/>
    <w:rsid w:val="3F091DC6"/>
    <w:rsid w:val="3F1D1096"/>
    <w:rsid w:val="3F2F0234"/>
    <w:rsid w:val="3F6363FE"/>
    <w:rsid w:val="3F756B8F"/>
    <w:rsid w:val="3F95482B"/>
    <w:rsid w:val="3FB43E25"/>
    <w:rsid w:val="3FB67D68"/>
    <w:rsid w:val="4019356B"/>
    <w:rsid w:val="40545B64"/>
    <w:rsid w:val="40592157"/>
    <w:rsid w:val="406E1CAE"/>
    <w:rsid w:val="40A0133A"/>
    <w:rsid w:val="40AF2F08"/>
    <w:rsid w:val="40C31A53"/>
    <w:rsid w:val="40FF545D"/>
    <w:rsid w:val="410067C8"/>
    <w:rsid w:val="41100228"/>
    <w:rsid w:val="418F0D2A"/>
    <w:rsid w:val="41AA7055"/>
    <w:rsid w:val="41D01505"/>
    <w:rsid w:val="42474939"/>
    <w:rsid w:val="424C3C57"/>
    <w:rsid w:val="42613FF3"/>
    <w:rsid w:val="42660D96"/>
    <w:rsid w:val="428667D2"/>
    <w:rsid w:val="42CD1CE0"/>
    <w:rsid w:val="42E1381E"/>
    <w:rsid w:val="42ED6459"/>
    <w:rsid w:val="42FE58DD"/>
    <w:rsid w:val="43174B3D"/>
    <w:rsid w:val="434B790E"/>
    <w:rsid w:val="4359242C"/>
    <w:rsid w:val="4360274F"/>
    <w:rsid w:val="43977AB6"/>
    <w:rsid w:val="43A3342B"/>
    <w:rsid w:val="43C77C27"/>
    <w:rsid w:val="43DE09EE"/>
    <w:rsid w:val="44002FAD"/>
    <w:rsid w:val="449101DD"/>
    <w:rsid w:val="44DE1391"/>
    <w:rsid w:val="451A5F22"/>
    <w:rsid w:val="451B225C"/>
    <w:rsid w:val="452410C9"/>
    <w:rsid w:val="45317DFB"/>
    <w:rsid w:val="456D3CE4"/>
    <w:rsid w:val="4579042C"/>
    <w:rsid w:val="457F0571"/>
    <w:rsid w:val="45851176"/>
    <w:rsid w:val="45C63B94"/>
    <w:rsid w:val="460E7DA5"/>
    <w:rsid w:val="462E521F"/>
    <w:rsid w:val="46422483"/>
    <w:rsid w:val="464354AC"/>
    <w:rsid w:val="4659254A"/>
    <w:rsid w:val="465B0637"/>
    <w:rsid w:val="465E3F0D"/>
    <w:rsid w:val="466A16E6"/>
    <w:rsid w:val="466A4950"/>
    <w:rsid w:val="46893F2B"/>
    <w:rsid w:val="46930E55"/>
    <w:rsid w:val="46C4686E"/>
    <w:rsid w:val="477B778F"/>
    <w:rsid w:val="478203EC"/>
    <w:rsid w:val="47B025FA"/>
    <w:rsid w:val="47E17C37"/>
    <w:rsid w:val="4809698F"/>
    <w:rsid w:val="4811697D"/>
    <w:rsid w:val="483E5DD0"/>
    <w:rsid w:val="487A3E25"/>
    <w:rsid w:val="488B5503"/>
    <w:rsid w:val="48937E21"/>
    <w:rsid w:val="489A0361"/>
    <w:rsid w:val="48B94FF3"/>
    <w:rsid w:val="48E37AAB"/>
    <w:rsid w:val="48FD4B4C"/>
    <w:rsid w:val="490A68E0"/>
    <w:rsid w:val="491055FE"/>
    <w:rsid w:val="492D11F2"/>
    <w:rsid w:val="495F5B3E"/>
    <w:rsid w:val="496F77D7"/>
    <w:rsid w:val="497654FD"/>
    <w:rsid w:val="49A41C77"/>
    <w:rsid w:val="49B64211"/>
    <w:rsid w:val="49E54986"/>
    <w:rsid w:val="49E56AF9"/>
    <w:rsid w:val="49F6167F"/>
    <w:rsid w:val="4A064FA0"/>
    <w:rsid w:val="4A16615C"/>
    <w:rsid w:val="4A183041"/>
    <w:rsid w:val="4A4424D7"/>
    <w:rsid w:val="4A9425D2"/>
    <w:rsid w:val="4AB82D0F"/>
    <w:rsid w:val="4AEB7664"/>
    <w:rsid w:val="4AFD7C19"/>
    <w:rsid w:val="4B0567D1"/>
    <w:rsid w:val="4B236AAE"/>
    <w:rsid w:val="4B707271"/>
    <w:rsid w:val="4B9739F7"/>
    <w:rsid w:val="4B9C1507"/>
    <w:rsid w:val="4BCA1FA1"/>
    <w:rsid w:val="4BEE2503"/>
    <w:rsid w:val="4C245A30"/>
    <w:rsid w:val="4C4906A1"/>
    <w:rsid w:val="4C96179F"/>
    <w:rsid w:val="4CB6685F"/>
    <w:rsid w:val="4CC367FE"/>
    <w:rsid w:val="4D077F3C"/>
    <w:rsid w:val="4D123355"/>
    <w:rsid w:val="4D285609"/>
    <w:rsid w:val="4D2A3B31"/>
    <w:rsid w:val="4D312C52"/>
    <w:rsid w:val="4D905305"/>
    <w:rsid w:val="4D964A72"/>
    <w:rsid w:val="4D9C1254"/>
    <w:rsid w:val="4E052A44"/>
    <w:rsid w:val="4E355527"/>
    <w:rsid w:val="4E793892"/>
    <w:rsid w:val="4E800872"/>
    <w:rsid w:val="4E962786"/>
    <w:rsid w:val="4EC569ED"/>
    <w:rsid w:val="4ED50EA1"/>
    <w:rsid w:val="4EEC050C"/>
    <w:rsid w:val="4F0A30B5"/>
    <w:rsid w:val="4F104EC3"/>
    <w:rsid w:val="4F14352E"/>
    <w:rsid w:val="4F47354A"/>
    <w:rsid w:val="4F911C54"/>
    <w:rsid w:val="4FB72685"/>
    <w:rsid w:val="4FE625E0"/>
    <w:rsid w:val="5021480F"/>
    <w:rsid w:val="50962ECB"/>
    <w:rsid w:val="50A42E38"/>
    <w:rsid w:val="50A4577F"/>
    <w:rsid w:val="50B73D1F"/>
    <w:rsid w:val="50BD5BC9"/>
    <w:rsid w:val="50C11EEE"/>
    <w:rsid w:val="50E97CFC"/>
    <w:rsid w:val="50FA4028"/>
    <w:rsid w:val="510D65B7"/>
    <w:rsid w:val="511157AB"/>
    <w:rsid w:val="51232B84"/>
    <w:rsid w:val="5142540C"/>
    <w:rsid w:val="518832C8"/>
    <w:rsid w:val="519D3C50"/>
    <w:rsid w:val="51A0432A"/>
    <w:rsid w:val="51A86090"/>
    <w:rsid w:val="51B7396D"/>
    <w:rsid w:val="52134CFA"/>
    <w:rsid w:val="522E4CC3"/>
    <w:rsid w:val="5244713B"/>
    <w:rsid w:val="52615633"/>
    <w:rsid w:val="526F4DE4"/>
    <w:rsid w:val="52977FD4"/>
    <w:rsid w:val="52A25790"/>
    <w:rsid w:val="52A96B6F"/>
    <w:rsid w:val="52B45975"/>
    <w:rsid w:val="52C71AFA"/>
    <w:rsid w:val="52D94AA4"/>
    <w:rsid w:val="52EA3A62"/>
    <w:rsid w:val="52F50BB8"/>
    <w:rsid w:val="53097272"/>
    <w:rsid w:val="53544462"/>
    <w:rsid w:val="5397158E"/>
    <w:rsid w:val="54013861"/>
    <w:rsid w:val="54487265"/>
    <w:rsid w:val="544D6070"/>
    <w:rsid w:val="54605E1E"/>
    <w:rsid w:val="54A656ED"/>
    <w:rsid w:val="54B3506A"/>
    <w:rsid w:val="54CA0D16"/>
    <w:rsid w:val="54DD4057"/>
    <w:rsid w:val="54E7490F"/>
    <w:rsid w:val="550764A4"/>
    <w:rsid w:val="550B2BF6"/>
    <w:rsid w:val="550C49A4"/>
    <w:rsid w:val="55214EB5"/>
    <w:rsid w:val="553301C2"/>
    <w:rsid w:val="5535456D"/>
    <w:rsid w:val="55364EFD"/>
    <w:rsid w:val="555D4828"/>
    <w:rsid w:val="557A4C8B"/>
    <w:rsid w:val="558931E1"/>
    <w:rsid w:val="55923347"/>
    <w:rsid w:val="55925180"/>
    <w:rsid w:val="55983B1B"/>
    <w:rsid w:val="55A8376B"/>
    <w:rsid w:val="55DC0DE9"/>
    <w:rsid w:val="55DC29B6"/>
    <w:rsid w:val="55DD4241"/>
    <w:rsid w:val="55F11349"/>
    <w:rsid w:val="55F7389E"/>
    <w:rsid w:val="56190555"/>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91097"/>
    <w:rsid w:val="584B2834"/>
    <w:rsid w:val="58692ABC"/>
    <w:rsid w:val="588731B6"/>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C31523"/>
    <w:rsid w:val="5BD65097"/>
    <w:rsid w:val="5C02690E"/>
    <w:rsid w:val="5C196DA7"/>
    <w:rsid w:val="5C1E3C20"/>
    <w:rsid w:val="5C2A048C"/>
    <w:rsid w:val="5C80234E"/>
    <w:rsid w:val="5C8A680C"/>
    <w:rsid w:val="5CD57E78"/>
    <w:rsid w:val="5D0C4701"/>
    <w:rsid w:val="5D0F0395"/>
    <w:rsid w:val="5D221076"/>
    <w:rsid w:val="5D2B550E"/>
    <w:rsid w:val="5D397964"/>
    <w:rsid w:val="5D5A391C"/>
    <w:rsid w:val="5D5F10C0"/>
    <w:rsid w:val="5D891B7B"/>
    <w:rsid w:val="5DAD38EE"/>
    <w:rsid w:val="5DC745AD"/>
    <w:rsid w:val="5E006862"/>
    <w:rsid w:val="5E0207B9"/>
    <w:rsid w:val="5E1834A1"/>
    <w:rsid w:val="5E261785"/>
    <w:rsid w:val="5E4A7017"/>
    <w:rsid w:val="5E552BBA"/>
    <w:rsid w:val="5E611C10"/>
    <w:rsid w:val="5E7A0F3F"/>
    <w:rsid w:val="5EFC7377"/>
    <w:rsid w:val="5F06174D"/>
    <w:rsid w:val="5F337B7D"/>
    <w:rsid w:val="5F3A3602"/>
    <w:rsid w:val="5F45733B"/>
    <w:rsid w:val="5F6277C6"/>
    <w:rsid w:val="5F6D0B1D"/>
    <w:rsid w:val="5F8C07ED"/>
    <w:rsid w:val="5F8D0B82"/>
    <w:rsid w:val="5FCC0E51"/>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7448B6"/>
    <w:rsid w:val="62885958"/>
    <w:rsid w:val="62C236F2"/>
    <w:rsid w:val="62F40B65"/>
    <w:rsid w:val="62F87114"/>
    <w:rsid w:val="62FC2CFE"/>
    <w:rsid w:val="63024505"/>
    <w:rsid w:val="635600A5"/>
    <w:rsid w:val="635B1DB5"/>
    <w:rsid w:val="63711FED"/>
    <w:rsid w:val="63880DDC"/>
    <w:rsid w:val="638D750D"/>
    <w:rsid w:val="63AC6CC0"/>
    <w:rsid w:val="64055776"/>
    <w:rsid w:val="64240056"/>
    <w:rsid w:val="643E143A"/>
    <w:rsid w:val="64491666"/>
    <w:rsid w:val="648B6EEF"/>
    <w:rsid w:val="649E5612"/>
    <w:rsid w:val="64A03F2F"/>
    <w:rsid w:val="64C158BF"/>
    <w:rsid w:val="64CE2EAA"/>
    <w:rsid w:val="653C3090"/>
    <w:rsid w:val="65525F8C"/>
    <w:rsid w:val="65854376"/>
    <w:rsid w:val="658767BE"/>
    <w:rsid w:val="65892531"/>
    <w:rsid w:val="658960C3"/>
    <w:rsid w:val="65D6468E"/>
    <w:rsid w:val="66195831"/>
    <w:rsid w:val="662E75B1"/>
    <w:rsid w:val="66342C2E"/>
    <w:rsid w:val="663E784C"/>
    <w:rsid w:val="668B6A45"/>
    <w:rsid w:val="669609F8"/>
    <w:rsid w:val="67011F07"/>
    <w:rsid w:val="67222FC7"/>
    <w:rsid w:val="672F3F24"/>
    <w:rsid w:val="673E055F"/>
    <w:rsid w:val="6741783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8EC14C9"/>
    <w:rsid w:val="691664E5"/>
    <w:rsid w:val="693E15D3"/>
    <w:rsid w:val="69627681"/>
    <w:rsid w:val="6977531D"/>
    <w:rsid w:val="69C11987"/>
    <w:rsid w:val="69CC2BFF"/>
    <w:rsid w:val="69FD55B8"/>
    <w:rsid w:val="6A0B1C62"/>
    <w:rsid w:val="6A2406C8"/>
    <w:rsid w:val="6A535578"/>
    <w:rsid w:val="6ADE0BD1"/>
    <w:rsid w:val="6AE96859"/>
    <w:rsid w:val="6B147746"/>
    <w:rsid w:val="6B24787C"/>
    <w:rsid w:val="6B482CC7"/>
    <w:rsid w:val="6B573233"/>
    <w:rsid w:val="6B5B6274"/>
    <w:rsid w:val="6B653436"/>
    <w:rsid w:val="6B935D53"/>
    <w:rsid w:val="6C196F71"/>
    <w:rsid w:val="6C226FCB"/>
    <w:rsid w:val="6C31226F"/>
    <w:rsid w:val="6C53684F"/>
    <w:rsid w:val="6C552F0B"/>
    <w:rsid w:val="6C8C67B7"/>
    <w:rsid w:val="6C9423B9"/>
    <w:rsid w:val="6C9D744C"/>
    <w:rsid w:val="6D167928"/>
    <w:rsid w:val="6D26299B"/>
    <w:rsid w:val="6D4772EC"/>
    <w:rsid w:val="6D874887"/>
    <w:rsid w:val="6D9078AF"/>
    <w:rsid w:val="6DAA3FEF"/>
    <w:rsid w:val="6DC0172B"/>
    <w:rsid w:val="6DCB690C"/>
    <w:rsid w:val="6DD41A5B"/>
    <w:rsid w:val="6DF43C2E"/>
    <w:rsid w:val="6DF51CA3"/>
    <w:rsid w:val="6E3C1CF5"/>
    <w:rsid w:val="6E8335BD"/>
    <w:rsid w:val="6E8E12EF"/>
    <w:rsid w:val="6E972936"/>
    <w:rsid w:val="6ED446C5"/>
    <w:rsid w:val="6F2A7D94"/>
    <w:rsid w:val="6F7803BE"/>
    <w:rsid w:val="6F8331F1"/>
    <w:rsid w:val="6FAE1A09"/>
    <w:rsid w:val="6FD75BF8"/>
    <w:rsid w:val="707723D0"/>
    <w:rsid w:val="70ED5442"/>
    <w:rsid w:val="70F5661B"/>
    <w:rsid w:val="71360107"/>
    <w:rsid w:val="713B688E"/>
    <w:rsid w:val="718F50E7"/>
    <w:rsid w:val="71D43752"/>
    <w:rsid w:val="71F1796A"/>
    <w:rsid w:val="72154626"/>
    <w:rsid w:val="72262B5D"/>
    <w:rsid w:val="72283FF7"/>
    <w:rsid w:val="722E7212"/>
    <w:rsid w:val="723A0474"/>
    <w:rsid w:val="725923E4"/>
    <w:rsid w:val="72864BF7"/>
    <w:rsid w:val="729023FC"/>
    <w:rsid w:val="735A1725"/>
    <w:rsid w:val="73AB3D2F"/>
    <w:rsid w:val="73C0646E"/>
    <w:rsid w:val="742222F5"/>
    <w:rsid w:val="74476126"/>
    <w:rsid w:val="74706664"/>
    <w:rsid w:val="747F3682"/>
    <w:rsid w:val="749C4185"/>
    <w:rsid w:val="749D5D6D"/>
    <w:rsid w:val="75067759"/>
    <w:rsid w:val="752E6DCD"/>
    <w:rsid w:val="7551380D"/>
    <w:rsid w:val="75600BE5"/>
    <w:rsid w:val="7564475C"/>
    <w:rsid w:val="7583797F"/>
    <w:rsid w:val="75B275F6"/>
    <w:rsid w:val="75D20F1D"/>
    <w:rsid w:val="75DA2C18"/>
    <w:rsid w:val="75F54412"/>
    <w:rsid w:val="761471FC"/>
    <w:rsid w:val="761D08E0"/>
    <w:rsid w:val="76371C9A"/>
    <w:rsid w:val="765D347C"/>
    <w:rsid w:val="76826699"/>
    <w:rsid w:val="769D3D68"/>
    <w:rsid w:val="76C87133"/>
    <w:rsid w:val="76CD08D5"/>
    <w:rsid w:val="76DB4B92"/>
    <w:rsid w:val="76EFA586"/>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D26A7"/>
    <w:rsid w:val="7A3E5150"/>
    <w:rsid w:val="7A4670D6"/>
    <w:rsid w:val="7A534B63"/>
    <w:rsid w:val="7A615382"/>
    <w:rsid w:val="7A67303B"/>
    <w:rsid w:val="7AAB1D04"/>
    <w:rsid w:val="7AAE2E99"/>
    <w:rsid w:val="7ABA4368"/>
    <w:rsid w:val="7AD05746"/>
    <w:rsid w:val="7B130A4B"/>
    <w:rsid w:val="7B257FFD"/>
    <w:rsid w:val="7B273D20"/>
    <w:rsid w:val="7B343476"/>
    <w:rsid w:val="7B5A2978"/>
    <w:rsid w:val="7B5A7E4C"/>
    <w:rsid w:val="7B667AF9"/>
    <w:rsid w:val="7B7468F8"/>
    <w:rsid w:val="7B94487C"/>
    <w:rsid w:val="7BEE0103"/>
    <w:rsid w:val="7C0A0FE4"/>
    <w:rsid w:val="7C254906"/>
    <w:rsid w:val="7C326BF7"/>
    <w:rsid w:val="7C590818"/>
    <w:rsid w:val="7C7C10F6"/>
    <w:rsid w:val="7C853BEA"/>
    <w:rsid w:val="7C881368"/>
    <w:rsid w:val="7CE27788"/>
    <w:rsid w:val="7CE85FC4"/>
    <w:rsid w:val="7CFF73FD"/>
    <w:rsid w:val="7D0C32F1"/>
    <w:rsid w:val="7D0F408D"/>
    <w:rsid w:val="7D42559F"/>
    <w:rsid w:val="7D491C6C"/>
    <w:rsid w:val="7D5429C0"/>
    <w:rsid w:val="7D6E6D43"/>
    <w:rsid w:val="7DB57A34"/>
    <w:rsid w:val="7DE60973"/>
    <w:rsid w:val="7DEF0916"/>
    <w:rsid w:val="7E1E5218"/>
    <w:rsid w:val="7E910952"/>
    <w:rsid w:val="7E9A4E1F"/>
    <w:rsid w:val="7EA7723A"/>
    <w:rsid w:val="7EC0451B"/>
    <w:rsid w:val="7EEB4DC7"/>
    <w:rsid w:val="7EF56FBB"/>
    <w:rsid w:val="7F0768EB"/>
    <w:rsid w:val="7F143BEC"/>
    <w:rsid w:val="7F41056D"/>
    <w:rsid w:val="7F715AF2"/>
    <w:rsid w:val="7F726531"/>
    <w:rsid w:val="7F886E69"/>
    <w:rsid w:val="7FC248DA"/>
    <w:rsid w:val="B9FB63CF"/>
    <w:rsid w:val="BB7FA927"/>
    <w:rsid w:val="F5FFD31F"/>
    <w:rsid w:val="FF5D6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0"/>
    <w:autoRedefine/>
    <w:qFormat/>
    <w:uiPriority w:val="0"/>
    <w:pPr>
      <w:shd w:val="clear" w:color="auto" w:fill="000080"/>
    </w:pPr>
  </w:style>
  <w:style w:type="paragraph" w:styleId="19">
    <w:name w:val="annotation text"/>
    <w:basedOn w:val="1"/>
    <w:link w:val="342"/>
    <w:autoRedefine/>
    <w:qFormat/>
    <w:uiPriority w:val="99"/>
    <w:pPr>
      <w:jc w:val="left"/>
    </w:pPr>
  </w:style>
  <w:style w:type="paragraph" w:styleId="20">
    <w:name w:val="Salutation"/>
    <w:basedOn w:val="1"/>
    <w:next w:val="1"/>
    <w:link w:val="296"/>
    <w:autoRedefine/>
    <w:qFormat/>
    <w:uiPriority w:val="0"/>
    <w:rPr>
      <w:rFonts w:ascii="仿宋_GB2312" w:eastAsia="仿宋_GB2312"/>
      <w:sz w:val="28"/>
      <w:szCs w:val="20"/>
    </w:rPr>
  </w:style>
  <w:style w:type="paragraph" w:styleId="21">
    <w:name w:val="Body Text 3"/>
    <w:basedOn w:val="1"/>
    <w:link w:val="328"/>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3"/>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79"/>
    <w:autoRedefine/>
    <w:qFormat/>
    <w:uiPriority w:val="0"/>
    <w:pPr>
      <w:ind w:left="100" w:leftChars="2500"/>
    </w:pPr>
    <w:rPr>
      <w:rFonts w:ascii="宋体"/>
      <w:sz w:val="24"/>
      <w:szCs w:val="21"/>
      <w:lang w:val="zh-CN"/>
    </w:rPr>
  </w:style>
  <w:style w:type="paragraph" w:styleId="36">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0"/>
    <w:autoRedefine/>
    <w:qFormat/>
    <w:uiPriority w:val="0"/>
    <w:rPr>
      <w:lang w:val="zh-CN"/>
    </w:rPr>
  </w:style>
  <w:style w:type="paragraph" w:styleId="38">
    <w:name w:val="Balloon Text"/>
    <w:basedOn w:val="1"/>
    <w:link w:val="186"/>
    <w:autoRedefine/>
    <w:qFormat/>
    <w:uiPriority w:val="0"/>
    <w:rPr>
      <w:sz w:val="18"/>
      <w:szCs w:val="18"/>
    </w:rPr>
  </w:style>
  <w:style w:type="paragraph" w:styleId="39">
    <w:name w:val="footer"/>
    <w:basedOn w:val="1"/>
    <w:link w:val="381"/>
    <w:autoRedefine/>
    <w:qFormat/>
    <w:uiPriority w:val="99"/>
    <w:pPr>
      <w:tabs>
        <w:tab w:val="center" w:pos="4153"/>
        <w:tab w:val="right" w:pos="8306"/>
      </w:tabs>
      <w:snapToGrid w:val="0"/>
      <w:jc w:val="left"/>
    </w:pPr>
    <w:rPr>
      <w:sz w:val="18"/>
      <w:szCs w:val="18"/>
    </w:rPr>
  </w:style>
  <w:style w:type="paragraph" w:styleId="40">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3"/>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0"/>
    <w:autoRedefine/>
    <w:qFormat/>
    <w:uiPriority w:val="0"/>
    <w:pPr>
      <w:spacing w:after="120" w:line="480" w:lineRule="auto"/>
    </w:pPr>
  </w:style>
  <w:style w:type="paragraph" w:styleId="56">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autoRedefine/>
    <w:qFormat/>
    <w:uiPriority w:val="0"/>
    <w:rPr>
      <w:b/>
      <w:bCs/>
    </w:rPr>
  </w:style>
  <w:style w:type="paragraph" w:styleId="60">
    <w:name w:val="Body Text First Indent"/>
    <w:basedOn w:val="23"/>
    <w:next w:val="1"/>
    <w:link w:val="319"/>
    <w:autoRedefine/>
    <w:qFormat/>
    <w:uiPriority w:val="0"/>
    <w:pPr>
      <w:ind w:firstLine="420"/>
    </w:pPr>
    <w:rPr>
      <w:rFonts w:hAnsi="Calibri" w:cs="Times New Roman"/>
      <w:snapToGrid/>
      <w:szCs w:val="20"/>
    </w:rPr>
  </w:style>
  <w:style w:type="paragraph" w:styleId="61">
    <w:name w:val="Body Text First Indent 2"/>
    <w:basedOn w:val="24"/>
    <w:next w:val="62"/>
    <w:link w:val="119"/>
    <w:autoRedefine/>
    <w:qFormat/>
    <w:uiPriority w:val="0"/>
    <w:pPr>
      <w:adjustRightInd/>
      <w:spacing w:after="120" w:line="240" w:lineRule="auto"/>
      <w:ind w:left="420" w:leftChars="200" w:firstLine="210"/>
    </w:pPr>
    <w:rPr>
      <w:sz w:val="21"/>
    </w:rPr>
  </w:style>
  <w:style w:type="paragraph" w:customStyle="1" w:styleId="62">
    <w:name w:val="xl53"/>
    <w:basedOn w:val="1"/>
    <w:next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字符"/>
    <w:link w:val="59"/>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1"/>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字符"/>
    <w:link w:val="46"/>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字符"/>
    <w:link w:val="8"/>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3"/>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字符"/>
    <w:link w:val="35"/>
    <w:autoRedefine/>
    <w:qFormat/>
    <w:uiPriority w:val="0"/>
    <w:rPr>
      <w:rFonts w:ascii="宋体"/>
      <w:kern w:val="2"/>
      <w:sz w:val="24"/>
      <w:szCs w:val="21"/>
      <w:lang w:val="zh-CN"/>
    </w:rPr>
  </w:style>
  <w:style w:type="character" w:customStyle="1" w:styleId="180">
    <w:name w:val="标题 9 字符"/>
    <w:link w:val="11"/>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字符1"/>
    <w:link w:val="38"/>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字符"/>
    <w:link w:val="18"/>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字符"/>
    <w:link w:val="29"/>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6"/>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字符"/>
    <w:link w:val="16"/>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字符1"/>
    <w:link w:val="24"/>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字符1"/>
    <w:link w:val="2"/>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字符"/>
    <w:link w:val="58"/>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字符"/>
    <w:link w:val="7"/>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字符"/>
    <w:link w:val="20"/>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字符"/>
    <w:link w:val="56"/>
    <w:autoRedefine/>
    <w:qFormat/>
    <w:uiPriority w:val="0"/>
    <w:rPr>
      <w:rFonts w:ascii="黑体" w:hAnsi="Courier New" w:eastAsia="黑体"/>
    </w:rPr>
  </w:style>
  <w:style w:type="character" w:customStyle="1" w:styleId="300">
    <w:name w:val="正文文本 2 字符1"/>
    <w:link w:val="55"/>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6"/>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字符"/>
    <w:link w:val="9"/>
    <w:autoRedefine/>
    <w:qFormat/>
    <w:uiPriority w:val="0"/>
    <w:rPr>
      <w:b/>
      <w:bCs/>
      <w:kern w:val="2"/>
      <w:sz w:val="24"/>
      <w:szCs w:val="24"/>
    </w:rPr>
  </w:style>
  <w:style w:type="character" w:customStyle="1" w:styleId="306">
    <w:name w:val="正文文本缩进 2 字符"/>
    <w:link w:val="36"/>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字符"/>
    <w:link w:val="49"/>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文本首行缩进 字符"/>
    <w:link w:val="60"/>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字符1"/>
    <w:link w:val="6"/>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字符"/>
    <w:link w:val="21"/>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autoRedefine/>
    <w:qFormat/>
    <w:uiPriority w:val="99"/>
    <w:rPr>
      <w:kern w:val="2"/>
      <w:sz w:val="21"/>
      <w:szCs w:val="24"/>
    </w:rPr>
  </w:style>
  <w:style w:type="character" w:customStyle="1" w:styleId="343">
    <w:name w:val="签名 字符"/>
    <w:link w:val="41"/>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字符"/>
    <w:link w:val="52"/>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字符2"/>
    <w:link w:val="39"/>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字符2"/>
    <w:link w:val="40"/>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5"/>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4"/>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7"/>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2"/>
    <w:autoRedefine/>
    <w:qFormat/>
    <w:uiPriority w:val="0"/>
    <w:pPr>
      <w:tabs>
        <w:tab w:val="left" w:pos="840"/>
      </w:tabs>
      <w:adjustRightInd/>
      <w:ind w:left="840" w:hanging="420"/>
    </w:pPr>
  </w:style>
  <w:style w:type="paragraph" w:customStyle="1" w:styleId="624">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8"/>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autoRedefine/>
    <w:qFormat/>
    <w:uiPriority w:val="0"/>
    <w:pPr>
      <w:tabs>
        <w:tab w:val="left" w:pos="1080"/>
      </w:tabs>
      <w:ind w:left="1080" w:hanging="1080"/>
    </w:pPr>
  </w:style>
  <w:style w:type="paragraph" w:customStyle="1" w:styleId="895">
    <w:name w:val="数字标题1"/>
    <w:basedOn w:val="2"/>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1"/>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字符"/>
    <w:link w:val="37"/>
    <w:autoRedefine/>
    <w:qFormat/>
    <w:uiPriority w:val="0"/>
    <w:rPr>
      <w:kern w:val="2"/>
      <w:sz w:val="21"/>
      <w:szCs w:val="24"/>
      <w:lang w:val="zh-CN"/>
    </w:rPr>
  </w:style>
  <w:style w:type="character" w:customStyle="1" w:styleId="931">
    <w:name w:val="无间隔 字符"/>
    <w:link w:val="481"/>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6"/>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Body Text First Indent 21"/>
    <w:basedOn w:val="964"/>
    <w:autoRedefine/>
    <w:qFormat/>
    <w:uiPriority w:val="0"/>
    <w:pPr>
      <w:ind w:firstLine="420"/>
    </w:pPr>
    <w:rPr>
      <w:rFonts w:cs="宋体"/>
    </w:rPr>
  </w:style>
  <w:style w:type="paragraph" w:customStyle="1" w:styleId="964">
    <w:name w:val="Body Text Indent1"/>
    <w:basedOn w:val="1"/>
    <w:next w:val="1"/>
    <w:autoRedefine/>
    <w:qFormat/>
    <w:uiPriority w:val="0"/>
    <w:pPr>
      <w:spacing w:after="120"/>
      <w:ind w:left="420" w:leftChars="200"/>
    </w:pPr>
    <w:rPr>
      <w:color w:val="000000"/>
      <w:szCs w:val="21"/>
    </w:rPr>
  </w:style>
  <w:style w:type="paragraph" w:customStyle="1" w:styleId="965">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2" Type="http://schemas.microsoft.com/office/2011/relationships/people" Target="people.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67</Pages>
  <Words>17948</Words>
  <Characters>19230</Characters>
  <Lines>2172</Lines>
  <Paragraphs>2444</Paragraphs>
  <TotalTime>12</TotalTime>
  <ScaleCrop>false</ScaleCrop>
  <LinksUpToDate>false</LinksUpToDate>
  <CharactersWithSpaces>19501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cp:lastModifiedBy>
  <cp:lastPrinted>2025-06-19T04:03:00Z</cp:lastPrinted>
  <dcterms:modified xsi:type="dcterms:W3CDTF">2025-06-23T07:47:11Z</dcterms:modified>
  <dc:title>杭州市市民卡扩大发卡工程</dc:title>
  <cp:revision>321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C25D22AB11EC48DF90F963BB4F75ACD8_13</vt:lpwstr>
  </property>
  <property fmtid="{D5CDD505-2E9C-101B-9397-08002B2CF9AE}" pid="5" name="KSOTemplateDocerSaveRecord">
    <vt:lpwstr>eyJoZGlkIjoiNDBjMzU4ZjM3ZTdiYjQwMGU0MWYyMGFkYTZmMTY3MmMiLCJ1c2VySWQiOiI0MjY0Nzk3ODMifQ==</vt:lpwstr>
  </property>
</Properties>
</file>