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s="宋体"/>
        </w:rPr>
      </w:pPr>
      <w:bookmarkStart w:id="82" w:name="_GoBack"/>
      <w:bookmarkEnd w:id="82"/>
    </w:p>
    <w:p>
      <w:pPr>
        <w:rPr>
          <w:rFonts w:hint="eastAsia" w:ascii="宋体" w:hAnsi="宋体" w:cs="宋体"/>
        </w:rPr>
      </w:pPr>
    </w:p>
    <w:p>
      <w:pPr>
        <w:rPr>
          <w:rFonts w:hint="eastAsia" w:ascii="宋体" w:hAnsi="宋体" w:cs="宋体"/>
        </w:rPr>
      </w:pPr>
    </w:p>
    <w:p>
      <w:pPr>
        <w:tabs>
          <w:tab w:val="left" w:pos="420"/>
          <w:tab w:val="left" w:pos="6660"/>
        </w:tabs>
        <w:spacing w:line="1400" w:lineRule="atLeast"/>
        <w:jc w:val="center"/>
        <w:rPr>
          <w:rFonts w:hint="eastAsia" w:ascii="宋体" w:hAnsi="宋体" w:cs="宋体"/>
          <w:b/>
          <w:sz w:val="84"/>
          <w:szCs w:val="84"/>
        </w:rPr>
      </w:pPr>
    </w:p>
    <w:p>
      <w:pPr>
        <w:tabs>
          <w:tab w:val="left" w:pos="420"/>
          <w:tab w:val="left" w:pos="6660"/>
        </w:tabs>
        <w:spacing w:line="1400" w:lineRule="atLeast"/>
        <w:jc w:val="center"/>
        <w:rPr>
          <w:rFonts w:hint="eastAsia" w:ascii="宋体" w:hAnsi="宋体" w:cs="宋体"/>
          <w:b/>
          <w:sz w:val="96"/>
          <w:szCs w:val="96"/>
        </w:rPr>
      </w:pPr>
      <w:r>
        <w:rPr>
          <w:rFonts w:hint="eastAsia" w:ascii="宋体" w:hAnsi="宋体" w:cs="宋体"/>
          <w:b/>
          <w:sz w:val="96"/>
          <w:szCs w:val="96"/>
        </w:rPr>
        <w:t>公开招标采购文件</w:t>
      </w:r>
    </w:p>
    <w:p>
      <w:pPr>
        <w:rPr>
          <w:rFonts w:hint="eastAsia" w:ascii="宋体" w:hAnsi="宋体" w:cs="宋体"/>
        </w:rPr>
      </w:pPr>
    </w:p>
    <w:p>
      <w:pPr>
        <w:spacing w:line="500" w:lineRule="exact"/>
        <w:rPr>
          <w:rFonts w:hint="eastAsia" w:ascii="宋体" w:hAnsi="宋体" w:cs="宋体"/>
          <w:b/>
          <w:bCs/>
          <w:sz w:val="36"/>
          <w:szCs w:val="36"/>
        </w:rPr>
      </w:pPr>
    </w:p>
    <w:p>
      <w:pPr>
        <w:spacing w:line="500" w:lineRule="exact"/>
        <w:rPr>
          <w:rFonts w:hint="eastAsia" w:ascii="宋体" w:hAnsi="宋体" w:cs="宋体"/>
          <w:b/>
          <w:bCs/>
          <w:sz w:val="32"/>
          <w:szCs w:val="32"/>
        </w:rPr>
      </w:pPr>
      <w:r>
        <w:rPr>
          <w:rFonts w:hint="eastAsia" w:ascii="宋体" w:hAnsi="宋体" w:cs="宋体"/>
          <w:b/>
          <w:bCs/>
          <w:sz w:val="32"/>
          <w:szCs w:val="32"/>
        </w:rPr>
        <w:t xml:space="preserve">   </w:t>
      </w:r>
    </w:p>
    <w:p>
      <w:pPr>
        <w:spacing w:line="500" w:lineRule="exact"/>
        <w:rPr>
          <w:rFonts w:hint="eastAsia" w:ascii="宋体" w:hAnsi="宋体" w:cs="宋体"/>
          <w:b/>
          <w:bCs/>
          <w:sz w:val="32"/>
          <w:szCs w:val="32"/>
        </w:rPr>
      </w:pPr>
    </w:p>
    <w:p>
      <w:pPr>
        <w:pStyle w:val="21"/>
        <w:rPr>
          <w:rFonts w:hint="eastAsia"/>
        </w:rPr>
      </w:pPr>
    </w:p>
    <w:p>
      <w:pPr>
        <w:pStyle w:val="21"/>
        <w:rPr>
          <w:rFonts w:hint="eastAsia"/>
        </w:rPr>
      </w:pPr>
    </w:p>
    <w:p>
      <w:pPr>
        <w:pStyle w:val="21"/>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pStyle w:val="21"/>
        <w:ind w:firstLine="0"/>
        <w:rPr>
          <w:rFonts w:hint="eastAsia"/>
        </w:rPr>
      </w:pPr>
    </w:p>
    <w:p>
      <w:pPr>
        <w:widowControl w:val="0"/>
        <w:spacing w:line="360" w:lineRule="auto"/>
        <w:ind w:firstLine="643" w:firstLineChars="200"/>
        <w:jc w:val="both"/>
        <w:rPr>
          <w:rFonts w:hint="eastAsia" w:ascii="宋体" w:hAnsi="宋体" w:cs="宋体"/>
          <w:b/>
          <w:sz w:val="32"/>
          <w:szCs w:val="32"/>
        </w:rPr>
      </w:pPr>
    </w:p>
    <w:p>
      <w:pPr>
        <w:widowControl w:val="0"/>
        <w:spacing w:line="360" w:lineRule="auto"/>
        <w:ind w:firstLine="643" w:firstLineChars="200"/>
        <w:jc w:val="both"/>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秋实快速路（鄞州大道-环城南路）项目（集士港段）拆迁征收第三方服务采购项目</w:t>
      </w:r>
    </w:p>
    <w:p>
      <w:pPr>
        <w:widowControl w:val="0"/>
        <w:spacing w:line="360" w:lineRule="auto"/>
        <w:ind w:firstLine="643" w:firstLineChars="200"/>
        <w:jc w:val="both"/>
        <w:rPr>
          <w:rFonts w:hint="eastAsia" w:ascii="宋体" w:hAnsi="宋体" w:eastAsia="宋体" w:cs="宋体"/>
          <w:b/>
          <w:color w:val="000000"/>
          <w:sz w:val="32"/>
          <w:szCs w:val="32"/>
          <w:lang w:eastAsia="zh-CN"/>
        </w:rPr>
      </w:pPr>
      <w:r>
        <w:rPr>
          <w:rFonts w:hint="eastAsia" w:ascii="宋体" w:hAnsi="宋体" w:cs="宋体"/>
          <w:b/>
          <w:color w:val="000000"/>
          <w:sz w:val="32"/>
          <w:szCs w:val="32"/>
        </w:rPr>
        <w:t>采购单位：</w:t>
      </w:r>
      <w:r>
        <w:rPr>
          <w:rFonts w:hint="eastAsia" w:ascii="宋体" w:hAnsi="宋体" w:cs="宋体"/>
          <w:b/>
          <w:color w:val="000000"/>
          <w:sz w:val="32"/>
          <w:szCs w:val="32"/>
          <w:lang w:eastAsia="zh-CN"/>
        </w:rPr>
        <w:t>宁波市海曙区集士港镇人民政府</w:t>
      </w:r>
    </w:p>
    <w:p>
      <w:pPr>
        <w:widowControl w:val="0"/>
        <w:spacing w:line="360" w:lineRule="auto"/>
        <w:ind w:firstLine="643" w:firstLineChars="200"/>
        <w:jc w:val="both"/>
        <w:rPr>
          <w:rFonts w:hint="eastAsia" w:ascii="宋体" w:hAnsi="宋体" w:cs="宋体"/>
          <w:b/>
          <w:color w:val="000000"/>
          <w:sz w:val="32"/>
          <w:szCs w:val="32"/>
        </w:rPr>
      </w:pPr>
      <w:r>
        <w:rPr>
          <w:rFonts w:hint="eastAsia" w:ascii="宋体" w:hAnsi="宋体" w:cs="宋体"/>
          <w:b/>
          <w:color w:val="000000"/>
          <w:sz w:val="32"/>
          <w:szCs w:val="32"/>
        </w:rPr>
        <w:t>代理单位：宁波中磊工程管理咨询有限公司</w:t>
      </w:r>
    </w:p>
    <w:p>
      <w:pPr>
        <w:snapToGrid w:val="0"/>
        <w:spacing w:line="440" w:lineRule="exact"/>
        <w:jc w:val="center"/>
        <w:rPr>
          <w:rFonts w:hint="eastAsia" w:ascii="宋体" w:hAnsi="宋体" w:cs="宋体"/>
          <w:b/>
          <w:color w:val="000000"/>
          <w:sz w:val="32"/>
          <w:szCs w:val="32"/>
        </w:rPr>
      </w:pPr>
      <w:r>
        <w:rPr>
          <w:rFonts w:hint="eastAsia" w:ascii="宋体" w:hAnsi="宋体" w:cs="宋体"/>
          <w:b/>
          <w:color w:val="000000"/>
          <w:sz w:val="32"/>
          <w:szCs w:val="32"/>
        </w:rPr>
        <w:t>二〇二</w:t>
      </w:r>
      <w:r>
        <w:rPr>
          <w:rFonts w:hint="eastAsia" w:ascii="宋体" w:hAnsi="宋体" w:cs="宋体"/>
          <w:b/>
          <w:color w:val="000000"/>
          <w:sz w:val="32"/>
          <w:szCs w:val="32"/>
          <w:lang w:val="en-US" w:eastAsia="zh-CN"/>
        </w:rPr>
        <w:t>三</w:t>
      </w:r>
      <w:r>
        <w:rPr>
          <w:rFonts w:hint="eastAsia" w:ascii="宋体" w:hAnsi="宋体" w:cs="宋体"/>
          <w:b/>
          <w:color w:val="000000"/>
          <w:sz w:val="32"/>
          <w:szCs w:val="32"/>
        </w:rPr>
        <w:t>年</w:t>
      </w:r>
      <w:r>
        <w:rPr>
          <w:rFonts w:hint="eastAsia" w:ascii="宋体" w:hAnsi="宋体" w:cs="宋体"/>
          <w:b/>
          <w:color w:val="000000"/>
          <w:sz w:val="32"/>
          <w:szCs w:val="32"/>
          <w:lang w:val="en-US" w:eastAsia="zh-CN"/>
        </w:rPr>
        <w:t>十二</w:t>
      </w:r>
      <w:r>
        <w:rPr>
          <w:rFonts w:hint="eastAsia" w:ascii="宋体" w:hAnsi="宋体" w:cs="宋体"/>
          <w:b/>
          <w:color w:val="000000"/>
          <w:sz w:val="32"/>
          <w:szCs w:val="32"/>
        </w:rPr>
        <w:t>月</w:t>
      </w:r>
    </w:p>
    <w:p>
      <w:pPr>
        <w:pStyle w:val="21"/>
        <w:rPr>
          <w:rFonts w:hint="eastAsia" w:ascii="宋体" w:hAnsi="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720" w:footer="720" w:gutter="0"/>
          <w:pgNumType w:start="1"/>
          <w:cols w:space="720" w:num="1"/>
          <w:docGrid w:type="lines" w:linePitch="285" w:charSpace="0"/>
        </w:sectPr>
      </w:pPr>
    </w:p>
    <w:p>
      <w:pPr>
        <w:keepNext w:val="0"/>
        <w:keepLines w:val="0"/>
        <w:pageBreakBefore w:val="0"/>
        <w:widowControl/>
        <w:tabs>
          <w:tab w:val="center" w:pos="4819"/>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rPr>
      </w:pPr>
      <w:bookmarkStart w:id="0" w:name="_Toc268004446"/>
      <w:bookmarkStart w:id="1" w:name="_Toc273520765"/>
      <w:bookmarkStart w:id="2" w:name="_Toc272497407"/>
      <w:r>
        <w:rPr>
          <w:rFonts w:hint="eastAsia" w:ascii="宋体" w:hAnsi="宋体" w:eastAsia="宋体" w:cs="宋体"/>
          <w:b/>
          <w:bCs/>
          <w:sz w:val="32"/>
        </w:rPr>
        <w:t>目      录</w:t>
      </w:r>
    </w:p>
    <w:p>
      <w:pPr>
        <w:jc w:val="center"/>
        <w:rPr>
          <w:rFonts w:hint="eastAsia" w:ascii="宋体" w:hAnsi="宋体" w:cs="宋体"/>
        </w:rPr>
      </w:pP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TOC \o "1-1" \h \u </w:instrText>
      </w:r>
      <w:r>
        <w:rPr>
          <w:rFonts w:hint="eastAsia" w:ascii="宋体" w:hAnsi="宋体" w:cs="宋体"/>
          <w:b w:val="0"/>
          <w:sz w:val="28"/>
          <w:szCs w:val="28"/>
        </w:rPr>
        <w:fldChar w:fldCharType="separate"/>
      </w: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_Toc22512 </w:instrText>
      </w:r>
      <w:r>
        <w:rPr>
          <w:rFonts w:hint="eastAsia" w:ascii="宋体" w:hAnsi="宋体" w:cs="宋体"/>
          <w:b w:val="0"/>
          <w:sz w:val="28"/>
          <w:szCs w:val="28"/>
        </w:rPr>
        <w:fldChar w:fldCharType="separate"/>
      </w:r>
      <w:r>
        <w:rPr>
          <w:rFonts w:hint="eastAsia" w:ascii="宋体" w:hAnsi="宋体" w:cs="宋体"/>
          <w:b w:val="0"/>
          <w:sz w:val="28"/>
          <w:szCs w:val="28"/>
        </w:rPr>
        <w:t xml:space="preserve">第一章  </w:t>
      </w:r>
      <w:r>
        <w:rPr>
          <w:rFonts w:hint="eastAsia" w:ascii="宋体" w:hAnsi="宋体" w:cs="宋体"/>
          <w:b w:val="0"/>
          <w:sz w:val="28"/>
          <w:szCs w:val="28"/>
          <w:lang w:val="en-US" w:eastAsia="zh-CN"/>
        </w:rPr>
        <w:t>公开</w:t>
      </w:r>
      <w:r>
        <w:rPr>
          <w:rFonts w:hint="eastAsia" w:ascii="宋体" w:hAnsi="宋体" w:cs="宋体"/>
          <w:b w:val="0"/>
          <w:sz w:val="28"/>
          <w:szCs w:val="28"/>
          <w:lang w:val="en-US" w:eastAsia="zh-CN"/>
        </w:rPr>
        <w:t>招标</w:t>
      </w:r>
      <w:r>
        <w:rPr>
          <w:rFonts w:hint="eastAsia" w:ascii="宋体" w:hAnsi="宋体" w:cs="宋体"/>
          <w:b w:val="0"/>
          <w:sz w:val="28"/>
          <w:szCs w:val="28"/>
        </w:rPr>
        <w:t>公告</w:t>
      </w:r>
      <w:r>
        <w:rPr>
          <w:rFonts w:hint="eastAsia" w:ascii="宋体" w:hAnsi="宋体" w:cs="宋体"/>
          <w:b w:val="0"/>
          <w:sz w:val="28"/>
          <w:szCs w:val="28"/>
        </w:rPr>
        <w:tab/>
      </w:r>
      <w:r>
        <w:rPr>
          <w:rFonts w:hint="eastAsia" w:ascii="宋体" w:hAnsi="宋体" w:cs="宋体"/>
          <w:b w:val="0"/>
          <w:sz w:val="28"/>
          <w:szCs w:val="28"/>
        </w:rPr>
        <w:fldChar w:fldCharType="begin"/>
      </w:r>
      <w:r>
        <w:rPr>
          <w:rFonts w:hint="eastAsia" w:ascii="宋体" w:hAnsi="宋体" w:cs="宋体"/>
          <w:b w:val="0"/>
          <w:sz w:val="28"/>
          <w:szCs w:val="28"/>
        </w:rPr>
        <w:instrText xml:space="preserve"> PAGEREF _Toc22512 \h </w:instrText>
      </w:r>
      <w:r>
        <w:rPr>
          <w:rFonts w:hint="eastAsia" w:ascii="宋体" w:hAnsi="宋体" w:cs="宋体"/>
          <w:b w:val="0"/>
          <w:sz w:val="28"/>
          <w:szCs w:val="28"/>
        </w:rPr>
        <w:fldChar w:fldCharType="separate"/>
      </w:r>
      <w:r>
        <w:rPr>
          <w:rFonts w:hint="eastAsia" w:ascii="宋体" w:hAnsi="宋体" w:cs="宋体"/>
          <w:b w:val="0"/>
          <w:sz w:val="28"/>
          <w:szCs w:val="28"/>
        </w:rPr>
        <w:t>2</w:t>
      </w:r>
      <w:r>
        <w:rPr>
          <w:rFonts w:hint="eastAsia" w:ascii="宋体" w:hAnsi="宋体" w:cs="宋体"/>
          <w:b w:val="0"/>
          <w:sz w:val="28"/>
          <w:szCs w:val="28"/>
        </w:rPr>
        <w:fldChar w:fldCharType="end"/>
      </w:r>
      <w:r>
        <w:rPr>
          <w:rFonts w:hint="eastAsia" w:ascii="宋体" w:hAnsi="宋体" w:cs="宋体"/>
          <w:b w:val="0"/>
          <w:sz w:val="28"/>
          <w:szCs w:val="28"/>
        </w:rPr>
        <w:fldChar w:fldCharType="end"/>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_Toc29701 </w:instrText>
      </w:r>
      <w:r>
        <w:rPr>
          <w:rFonts w:hint="eastAsia" w:ascii="宋体" w:hAnsi="宋体" w:cs="宋体"/>
          <w:b w:val="0"/>
          <w:sz w:val="28"/>
          <w:szCs w:val="28"/>
        </w:rPr>
        <w:fldChar w:fldCharType="separate"/>
      </w:r>
      <w:r>
        <w:rPr>
          <w:rFonts w:hint="eastAsia" w:ascii="宋体" w:hAnsi="宋体" w:cs="宋体"/>
          <w:b w:val="0"/>
          <w:sz w:val="28"/>
          <w:szCs w:val="28"/>
        </w:rPr>
        <w:t>第二章  供应商须知及前附表</w:t>
      </w:r>
      <w:r>
        <w:rPr>
          <w:rFonts w:hint="eastAsia" w:ascii="宋体" w:hAnsi="宋体" w:cs="宋体"/>
          <w:b w:val="0"/>
          <w:sz w:val="28"/>
          <w:szCs w:val="28"/>
        </w:rPr>
        <w:tab/>
      </w:r>
      <w:r>
        <w:rPr>
          <w:rFonts w:hint="eastAsia" w:ascii="宋体" w:hAnsi="宋体" w:cs="宋体"/>
          <w:b w:val="0"/>
          <w:sz w:val="28"/>
          <w:szCs w:val="28"/>
        </w:rPr>
        <w:t>7</w:t>
      </w:r>
      <w:r>
        <w:rPr>
          <w:rFonts w:hint="eastAsia" w:ascii="宋体" w:hAnsi="宋体" w:cs="宋体"/>
          <w:b w:val="0"/>
          <w:sz w:val="28"/>
          <w:szCs w:val="28"/>
        </w:rPr>
        <w:fldChar w:fldCharType="end"/>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_Toc5854 </w:instrText>
      </w:r>
      <w:r>
        <w:rPr>
          <w:rFonts w:hint="eastAsia" w:ascii="宋体" w:hAnsi="宋体" w:cs="宋体"/>
          <w:b w:val="0"/>
          <w:sz w:val="28"/>
          <w:szCs w:val="28"/>
        </w:rPr>
        <w:fldChar w:fldCharType="separate"/>
      </w:r>
      <w:r>
        <w:rPr>
          <w:rFonts w:hint="eastAsia" w:ascii="宋体" w:hAnsi="宋体" w:cs="宋体"/>
          <w:b w:val="0"/>
          <w:sz w:val="28"/>
          <w:szCs w:val="28"/>
        </w:rPr>
        <w:t>第三章  采购需求</w:t>
      </w:r>
      <w:r>
        <w:rPr>
          <w:rFonts w:hint="eastAsia" w:ascii="宋体" w:hAnsi="宋体" w:cs="宋体"/>
          <w:b w:val="0"/>
          <w:sz w:val="28"/>
          <w:szCs w:val="28"/>
        </w:rPr>
        <w:tab/>
      </w:r>
      <w:r>
        <w:rPr>
          <w:rFonts w:hint="eastAsia" w:ascii="宋体" w:hAnsi="宋体" w:cs="宋体"/>
          <w:b w:val="0"/>
          <w:sz w:val="28"/>
          <w:szCs w:val="28"/>
        </w:rPr>
        <w:t>1</w:t>
      </w:r>
      <w:r>
        <w:rPr>
          <w:rFonts w:hint="eastAsia" w:ascii="宋体" w:hAnsi="宋体" w:cs="宋体"/>
          <w:b w:val="0"/>
          <w:sz w:val="28"/>
          <w:szCs w:val="28"/>
        </w:rPr>
        <w:fldChar w:fldCharType="end"/>
      </w:r>
      <w:r>
        <w:rPr>
          <w:rFonts w:hint="eastAsia" w:ascii="宋体" w:hAnsi="宋体" w:cs="宋体"/>
          <w:b w:val="0"/>
          <w:sz w:val="28"/>
          <w:szCs w:val="28"/>
        </w:rPr>
        <w:t>5</w:t>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_Toc12803 </w:instrText>
      </w:r>
      <w:r>
        <w:rPr>
          <w:rFonts w:hint="eastAsia" w:ascii="宋体" w:hAnsi="宋体" w:cs="宋体"/>
          <w:b w:val="0"/>
          <w:sz w:val="28"/>
          <w:szCs w:val="28"/>
        </w:rPr>
        <w:fldChar w:fldCharType="separate"/>
      </w:r>
      <w:r>
        <w:rPr>
          <w:rFonts w:hint="eastAsia" w:ascii="宋体" w:hAnsi="宋体" w:cs="宋体"/>
          <w:b w:val="0"/>
          <w:sz w:val="28"/>
          <w:szCs w:val="28"/>
        </w:rPr>
        <w:t>第四章  评标办法及评分标准</w:t>
      </w:r>
      <w:r>
        <w:rPr>
          <w:rFonts w:hint="eastAsia" w:ascii="宋体" w:hAnsi="宋体" w:cs="宋体"/>
          <w:b w:val="0"/>
          <w:sz w:val="28"/>
          <w:szCs w:val="28"/>
        </w:rPr>
        <w:tab/>
      </w:r>
      <w:r>
        <w:rPr>
          <w:rFonts w:hint="eastAsia" w:ascii="宋体" w:hAnsi="宋体" w:cs="宋体"/>
          <w:b w:val="0"/>
          <w:sz w:val="28"/>
          <w:szCs w:val="28"/>
        </w:rPr>
        <w:t>2</w:t>
      </w:r>
      <w:r>
        <w:rPr>
          <w:rFonts w:hint="eastAsia" w:ascii="宋体" w:hAnsi="宋体" w:cs="宋体"/>
          <w:b w:val="0"/>
          <w:sz w:val="28"/>
          <w:szCs w:val="28"/>
        </w:rPr>
        <w:fldChar w:fldCharType="end"/>
      </w:r>
      <w:r>
        <w:rPr>
          <w:rFonts w:hint="eastAsia" w:ascii="宋体" w:hAnsi="宋体" w:cs="宋体"/>
          <w:b w:val="0"/>
          <w:sz w:val="28"/>
          <w:szCs w:val="28"/>
        </w:rPr>
        <w:t>9</w:t>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_Toc5322 </w:instrText>
      </w:r>
      <w:r>
        <w:rPr>
          <w:rFonts w:hint="eastAsia" w:ascii="宋体" w:hAnsi="宋体" w:cs="宋体"/>
          <w:b w:val="0"/>
          <w:sz w:val="28"/>
          <w:szCs w:val="28"/>
        </w:rPr>
        <w:fldChar w:fldCharType="separate"/>
      </w:r>
      <w:r>
        <w:rPr>
          <w:rFonts w:hint="eastAsia" w:ascii="宋体" w:hAnsi="宋体" w:cs="宋体"/>
          <w:b w:val="0"/>
          <w:sz w:val="28"/>
          <w:szCs w:val="28"/>
        </w:rPr>
        <w:t>第五章  政府采购合同主要条款</w:t>
      </w:r>
      <w:r>
        <w:rPr>
          <w:rFonts w:hint="eastAsia" w:ascii="宋体" w:hAnsi="宋体" w:cs="宋体"/>
          <w:b w:val="0"/>
          <w:sz w:val="28"/>
          <w:szCs w:val="28"/>
        </w:rPr>
        <w:tab/>
      </w:r>
      <w:r>
        <w:rPr>
          <w:rFonts w:hint="eastAsia" w:ascii="宋体" w:hAnsi="宋体" w:cs="宋体"/>
          <w:b w:val="0"/>
          <w:sz w:val="28"/>
          <w:szCs w:val="28"/>
        </w:rPr>
        <w:t>3</w:t>
      </w:r>
      <w:r>
        <w:rPr>
          <w:rFonts w:hint="eastAsia" w:ascii="宋体" w:hAnsi="宋体" w:cs="宋体"/>
          <w:b w:val="0"/>
          <w:sz w:val="28"/>
          <w:szCs w:val="28"/>
        </w:rPr>
        <w:fldChar w:fldCharType="end"/>
      </w:r>
      <w:r>
        <w:rPr>
          <w:rFonts w:hint="eastAsia" w:ascii="宋体" w:hAnsi="宋体" w:cs="宋体"/>
          <w:b w:val="0"/>
          <w:sz w:val="28"/>
          <w:szCs w:val="28"/>
        </w:rPr>
        <w:t>3</w:t>
      </w:r>
    </w:p>
    <w:p>
      <w:pPr>
        <w:pStyle w:val="34"/>
        <w:tabs>
          <w:tab w:val="right" w:leader="dot" w:pos="8312"/>
          <w:tab w:val="clear" w:pos="9628"/>
        </w:tabs>
        <w:spacing w:before="0" w:after="0" w:line="360" w:lineRule="auto"/>
        <w:rPr>
          <w:rFonts w:hint="eastAsia" w:ascii="宋体" w:hAnsi="宋体" w:cs="宋体"/>
          <w:b w:val="0"/>
          <w:sz w:val="28"/>
          <w:szCs w:val="28"/>
        </w:rPr>
      </w:pPr>
      <w:r>
        <w:rPr>
          <w:rFonts w:hint="eastAsia" w:ascii="宋体" w:hAnsi="宋体" w:cs="宋体"/>
          <w:b w:val="0"/>
          <w:sz w:val="28"/>
          <w:szCs w:val="28"/>
        </w:rPr>
        <w:fldChar w:fldCharType="begin"/>
      </w:r>
      <w:r>
        <w:rPr>
          <w:rFonts w:hint="eastAsia" w:ascii="宋体" w:hAnsi="宋体" w:cs="宋体"/>
          <w:b w:val="0"/>
          <w:sz w:val="28"/>
          <w:szCs w:val="28"/>
        </w:rPr>
        <w:instrText xml:space="preserve"> HYPERLINK \l _Toc31616 </w:instrText>
      </w:r>
      <w:r>
        <w:rPr>
          <w:rFonts w:hint="eastAsia" w:ascii="宋体" w:hAnsi="宋体" w:cs="宋体"/>
          <w:b w:val="0"/>
          <w:sz w:val="28"/>
          <w:szCs w:val="28"/>
        </w:rPr>
        <w:fldChar w:fldCharType="separate"/>
      </w:r>
      <w:r>
        <w:rPr>
          <w:rFonts w:hint="eastAsia" w:ascii="宋体" w:hAnsi="宋体" w:cs="宋体"/>
          <w:b w:val="0"/>
          <w:sz w:val="28"/>
          <w:szCs w:val="28"/>
        </w:rPr>
        <w:t>第六章  投标文件格式</w:t>
      </w:r>
      <w:r>
        <w:rPr>
          <w:rFonts w:hint="eastAsia" w:ascii="宋体" w:hAnsi="宋体" w:cs="宋体"/>
          <w:b w:val="0"/>
          <w:sz w:val="28"/>
          <w:szCs w:val="28"/>
        </w:rPr>
        <w:tab/>
      </w:r>
      <w:r>
        <w:rPr>
          <w:rFonts w:hint="eastAsia" w:ascii="宋体" w:hAnsi="宋体" w:cs="宋体"/>
          <w:b w:val="0"/>
          <w:sz w:val="28"/>
          <w:szCs w:val="28"/>
        </w:rPr>
        <w:t>3</w:t>
      </w:r>
      <w:r>
        <w:rPr>
          <w:rFonts w:hint="eastAsia" w:ascii="宋体" w:hAnsi="宋体" w:cs="宋体"/>
          <w:b w:val="0"/>
          <w:sz w:val="28"/>
          <w:szCs w:val="28"/>
        </w:rPr>
        <w:fldChar w:fldCharType="end"/>
      </w:r>
      <w:r>
        <w:rPr>
          <w:rFonts w:hint="eastAsia" w:ascii="宋体" w:hAnsi="宋体" w:cs="宋体"/>
          <w:b w:val="0"/>
          <w:sz w:val="28"/>
          <w:szCs w:val="28"/>
        </w:rPr>
        <w:t>7</w:t>
      </w:r>
    </w:p>
    <w:p>
      <w:pPr>
        <w:spacing w:line="360" w:lineRule="auto"/>
        <w:jc w:val="center"/>
        <w:rPr>
          <w:rFonts w:hint="eastAsia" w:ascii="宋体" w:hAnsi="宋体" w:cs="宋体"/>
          <w:bCs/>
        </w:rPr>
      </w:pPr>
      <w:r>
        <w:rPr>
          <w:rFonts w:hint="eastAsia" w:ascii="宋体" w:hAnsi="宋体" w:cs="宋体"/>
          <w:bCs/>
          <w:sz w:val="28"/>
          <w:szCs w:val="28"/>
        </w:rPr>
        <w:fldChar w:fldCharType="end"/>
      </w:r>
    </w:p>
    <w:p>
      <w:pPr>
        <w:jc w:val="center"/>
        <w:rPr>
          <w:rFonts w:hint="eastAsia" w:ascii="宋体" w:hAnsi="宋体" w:cs="宋体"/>
        </w:rPr>
      </w:pPr>
    </w:p>
    <w:p>
      <w:pPr>
        <w:jc w:val="center"/>
        <w:rPr>
          <w:rFonts w:hint="eastAsia" w:ascii="宋体" w:hAnsi="宋体" w:cs="宋体"/>
        </w:rPr>
      </w:pPr>
    </w:p>
    <w:p>
      <w:pPr>
        <w:rPr>
          <w:rFonts w:hint="eastAsia" w:ascii="宋体" w:hAnsi="宋体" w:cs="宋体"/>
        </w:rPr>
      </w:pPr>
    </w:p>
    <w:bookmarkEnd w:id="0"/>
    <w:bookmarkEnd w:id="1"/>
    <w:bookmarkEnd w:id="2"/>
    <w:p>
      <w:pPr>
        <w:tabs>
          <w:tab w:val="center" w:pos="4819"/>
        </w:tabs>
        <w:spacing w:before="200" w:after="200" w:line="360" w:lineRule="auto"/>
        <w:ind w:firstLine="3193" w:firstLineChars="994"/>
        <w:outlineLvl w:val="0"/>
        <w:rPr>
          <w:rFonts w:hint="eastAsia" w:ascii="宋体" w:hAnsi="宋体" w:cs="宋体"/>
          <w:b/>
          <w:bCs/>
          <w:sz w:val="32"/>
        </w:rPr>
        <w:sectPr>
          <w:headerReference r:id="rId10" w:type="first"/>
          <w:footerReference r:id="rId12" w:type="first"/>
          <w:headerReference r:id="rId9" w:type="default"/>
          <w:footerReference r:id="rId11" w:type="default"/>
          <w:pgSz w:w="11906" w:h="16838"/>
          <w:pgMar w:top="1440" w:right="1797" w:bottom="1440" w:left="1797" w:header="851" w:footer="851" w:gutter="0"/>
          <w:pgNumType w:start="1"/>
          <w:cols w:space="720" w:num="1"/>
          <w:titlePg/>
          <w:docGrid w:linePitch="312" w:charSpace="0"/>
        </w:sectPr>
      </w:pPr>
      <w:bookmarkStart w:id="3" w:name="_Toc333832347"/>
      <w:bookmarkStart w:id="4" w:name="_Toc19094"/>
    </w:p>
    <w:bookmarkEnd w:id="3"/>
    <w:p>
      <w:pPr>
        <w:keepNext w:val="0"/>
        <w:keepLines w:val="0"/>
        <w:pageBreakBefore w:val="0"/>
        <w:widowControl/>
        <w:tabs>
          <w:tab w:val="center" w:pos="4819"/>
        </w:tabs>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bookmarkStart w:id="5" w:name="_Toc22512"/>
      <w:r>
        <w:rPr>
          <w:rFonts w:hint="eastAsia" w:ascii="宋体" w:hAnsi="宋体" w:cs="宋体"/>
          <w:b/>
          <w:bCs/>
          <w:sz w:val="32"/>
        </w:rPr>
        <w:t xml:space="preserve">第一章 </w:t>
      </w:r>
      <w:r>
        <w:rPr>
          <w:rFonts w:hint="eastAsia" w:ascii="宋体" w:hAnsi="宋体" w:cs="宋体"/>
          <w:b/>
          <w:bCs/>
          <w:sz w:val="32"/>
          <w:lang w:val="en-US" w:eastAsia="zh-CN"/>
        </w:rPr>
        <w:t>采购</w:t>
      </w:r>
      <w:r>
        <w:rPr>
          <w:rFonts w:hint="eastAsia" w:ascii="宋体" w:hAnsi="宋体" w:cs="宋体"/>
          <w:b/>
          <w:bCs/>
          <w:sz w:val="32"/>
        </w:rPr>
        <w:t>公告</w:t>
      </w:r>
      <w:bookmarkEnd w:id="4"/>
      <w:bookmarkEnd w:id="5"/>
    </w:p>
    <w:tbl>
      <w:tblPr>
        <w:tblStyle w:val="49"/>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4" w:type="dxa"/>
            <w:noWrap w:val="0"/>
            <w:vAlign w:val="top"/>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bCs/>
                <w:szCs w:val="21"/>
                <w:highlight w:val="none"/>
              </w:rPr>
            </w:pPr>
            <w:r>
              <w:rPr>
                <w:rFonts w:hint="eastAsia" w:ascii="宋体" w:hAnsi="宋体" w:cs="宋体"/>
                <w:bCs/>
                <w:szCs w:val="21"/>
                <w:highlight w:val="none"/>
              </w:rPr>
              <w:t>项目概况</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b/>
                <w:szCs w:val="21"/>
                <w:highlight w:val="none"/>
              </w:rPr>
            </w:pPr>
            <w:r>
              <w:rPr>
                <w:rFonts w:hint="eastAsia" w:ascii="宋体" w:hAnsi="宋体" w:cs="宋体"/>
                <w:bCs/>
                <w:szCs w:val="21"/>
                <w:highlight w:val="none"/>
                <w:lang w:eastAsia="zh-CN"/>
              </w:rPr>
              <w:t>秋实快速路（鄞州大道-环城南路）项目（集士港段）拆迁征收第三方服务采购项目</w:t>
            </w:r>
            <w:r>
              <w:rPr>
                <w:rFonts w:hint="eastAsia" w:ascii="宋体" w:hAnsi="宋体" w:cs="宋体"/>
                <w:szCs w:val="21"/>
                <w:highlight w:val="none"/>
              </w:rPr>
              <w:t>的潜在投标人应在政府采购云平台（www.zcygov.cn）获取（下载）招标文件，并于202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w:t>
            </w:r>
            <w:r>
              <w:rPr>
                <w:rFonts w:hint="eastAsia" w:ascii="宋体" w:hAnsi="宋体" w:cs="宋体"/>
                <w:szCs w:val="21"/>
                <w:highlight w:val="none"/>
                <w:lang w:val="en-US" w:eastAsia="zh-CN"/>
              </w:rPr>
              <w:t>9</w:t>
            </w:r>
            <w:r>
              <w:rPr>
                <w:rFonts w:hint="eastAsia" w:ascii="宋体" w:hAnsi="宋体" w:cs="宋体"/>
                <w:szCs w:val="21"/>
                <w:highlight w:val="none"/>
              </w:rPr>
              <w:t>:00（北京时间）前递交（上传）投标文件。</w:t>
            </w:r>
          </w:p>
        </w:tc>
      </w:tr>
    </w:tbl>
    <w:p>
      <w:pPr>
        <w:pStyle w:val="160"/>
        <w:keepNext w:val="0"/>
        <w:keepLines w:val="0"/>
        <w:pageBreakBefore w:val="0"/>
        <w:widowControl w:val="0"/>
        <w:kinsoku/>
        <w:wordWrap/>
        <w:overflowPunct/>
        <w:topLinePunct w:val="0"/>
        <w:autoSpaceDE/>
        <w:autoSpaceDN/>
        <w:bidi w:val="0"/>
        <w:adjustRightInd/>
        <w:snapToGrid w:val="0"/>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一、项目基本情况</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eastAsia="宋体"/>
          <w:sz w:val="21"/>
          <w:szCs w:val="21"/>
          <w:highlight w:val="none"/>
          <w:shd w:val="clear" w:color="auto" w:fill="FFFFFF"/>
          <w:lang w:val="en-US" w:eastAsia="zh-CN"/>
        </w:rPr>
      </w:pPr>
      <w:r>
        <w:rPr>
          <w:rFonts w:hint="eastAsia"/>
          <w:sz w:val="21"/>
          <w:szCs w:val="21"/>
          <w:highlight w:val="none"/>
          <w:shd w:val="clear" w:color="auto" w:fill="FFFFFF"/>
        </w:rPr>
        <w:t>项目编号：</w:t>
      </w:r>
      <w:r>
        <w:rPr>
          <w:rFonts w:hint="eastAsia"/>
          <w:sz w:val="21"/>
          <w:szCs w:val="21"/>
          <w:highlight w:val="none"/>
        </w:rPr>
        <w:t>202</w:t>
      </w:r>
      <w:r>
        <w:rPr>
          <w:rFonts w:hint="eastAsia"/>
          <w:sz w:val="21"/>
          <w:szCs w:val="21"/>
          <w:highlight w:val="none"/>
          <w:lang w:val="en-US" w:eastAsia="zh-CN"/>
        </w:rPr>
        <w:t>3</w:t>
      </w:r>
      <w:r>
        <w:rPr>
          <w:rFonts w:hint="eastAsia"/>
          <w:sz w:val="21"/>
          <w:szCs w:val="21"/>
          <w:highlight w:val="none"/>
        </w:rPr>
        <w:t>NBHSWT</w:t>
      </w:r>
      <w:r>
        <w:rPr>
          <w:rFonts w:hint="eastAsia"/>
          <w:sz w:val="21"/>
          <w:szCs w:val="21"/>
          <w:highlight w:val="none"/>
          <w:lang w:val="en-US" w:eastAsia="zh-CN"/>
        </w:rPr>
        <w:t xml:space="preserve">555  </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eastAsia="宋体"/>
          <w:sz w:val="21"/>
          <w:szCs w:val="21"/>
          <w:highlight w:val="none"/>
          <w:shd w:val="clear" w:color="auto" w:fill="FFFFFF"/>
          <w:lang w:eastAsia="zh-CN"/>
        </w:rPr>
      </w:pPr>
      <w:r>
        <w:rPr>
          <w:rFonts w:hint="eastAsia"/>
          <w:sz w:val="21"/>
          <w:szCs w:val="21"/>
          <w:highlight w:val="none"/>
          <w:shd w:val="clear" w:color="auto" w:fill="FFFFFF"/>
        </w:rPr>
        <w:t>项目名称：</w:t>
      </w:r>
      <w:r>
        <w:rPr>
          <w:rFonts w:hint="eastAsia"/>
          <w:sz w:val="21"/>
          <w:szCs w:val="21"/>
          <w:highlight w:val="none"/>
          <w:shd w:val="clear" w:color="auto" w:fill="FFFFFF"/>
          <w:lang w:eastAsia="zh-CN"/>
        </w:rPr>
        <w:t>秋实快速路（鄞州大道-环城南路）项目（集士港段）拆迁征收第三方服务采购项目</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eastAsia="宋体"/>
          <w:sz w:val="21"/>
          <w:szCs w:val="21"/>
          <w:highlight w:val="none"/>
          <w:shd w:val="clear" w:color="auto" w:fill="FFFFFF"/>
          <w:lang w:val="en-US" w:eastAsia="zh-CN"/>
        </w:rPr>
      </w:pPr>
      <w:r>
        <w:rPr>
          <w:rFonts w:hint="eastAsia"/>
          <w:sz w:val="21"/>
          <w:szCs w:val="21"/>
          <w:highlight w:val="none"/>
          <w:shd w:val="clear" w:color="auto" w:fill="FFFFFF"/>
        </w:rPr>
        <w:t>预算金额（元）：</w:t>
      </w:r>
      <w:r>
        <w:rPr>
          <w:rFonts w:hint="eastAsia" w:eastAsia="宋体" w:cs="宋体"/>
          <w:sz w:val="21"/>
          <w:szCs w:val="21"/>
          <w:highlight w:val="none"/>
          <w:lang w:val="en-US" w:eastAsia="zh-CN"/>
        </w:rPr>
        <w:t>1004192</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default"/>
          <w:sz w:val="21"/>
          <w:szCs w:val="21"/>
          <w:highlight w:val="none"/>
          <w:shd w:val="clear" w:color="auto" w:fill="FFFFFF"/>
          <w:lang w:val="en-US"/>
        </w:rPr>
      </w:pPr>
      <w:r>
        <w:rPr>
          <w:rFonts w:hint="eastAsia"/>
          <w:sz w:val="21"/>
          <w:szCs w:val="21"/>
          <w:highlight w:val="none"/>
          <w:shd w:val="clear" w:color="auto" w:fill="FFFFFF"/>
        </w:rPr>
        <w:t>最高限价（元）：</w:t>
      </w:r>
      <w:r>
        <w:rPr>
          <w:rFonts w:hint="eastAsia" w:eastAsia="宋体" w:cs="宋体"/>
          <w:sz w:val="21"/>
          <w:szCs w:val="21"/>
          <w:highlight w:val="none"/>
          <w:lang w:val="en-US" w:eastAsia="zh-CN"/>
        </w:rPr>
        <w:t>1004192</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采购需求：</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eastAsia="宋体"/>
          <w:sz w:val="21"/>
          <w:szCs w:val="21"/>
          <w:highlight w:val="none"/>
          <w:shd w:val="clear" w:color="auto" w:fill="FFFFFF"/>
          <w:lang w:eastAsia="zh-CN"/>
        </w:rPr>
      </w:pPr>
      <w:r>
        <w:rPr>
          <w:rFonts w:hint="eastAsia"/>
          <w:sz w:val="21"/>
          <w:szCs w:val="21"/>
          <w:highlight w:val="none"/>
          <w:shd w:val="clear" w:color="auto" w:fill="FFFFFF"/>
        </w:rPr>
        <w:t>标项名称：</w:t>
      </w:r>
      <w:r>
        <w:rPr>
          <w:rFonts w:hint="eastAsia"/>
          <w:sz w:val="21"/>
          <w:szCs w:val="21"/>
          <w:highlight w:val="none"/>
          <w:shd w:val="clear" w:color="auto" w:fill="FFFFFF"/>
          <w:lang w:eastAsia="zh-CN"/>
        </w:rPr>
        <w:t>秋实快速路（鄞州大道-环城南路）项目（集士港段）拆迁征收第三方服务采购项目</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sz w:val="21"/>
          <w:szCs w:val="21"/>
          <w:highlight w:val="none"/>
          <w:shd w:val="clear" w:color="auto" w:fill="FFFFFF"/>
        </w:rPr>
      </w:pPr>
      <w:r>
        <w:rPr>
          <w:rFonts w:hint="eastAsia"/>
          <w:sz w:val="21"/>
          <w:szCs w:val="21"/>
          <w:highlight w:val="none"/>
          <w:shd w:val="clear" w:color="auto" w:fill="FFFFFF"/>
        </w:rPr>
        <w:t>数量：1</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sz w:val="21"/>
          <w:szCs w:val="21"/>
          <w:highlight w:val="none"/>
          <w:shd w:val="clear" w:color="auto" w:fill="FFFFFF"/>
        </w:rPr>
        <w:t>预算金额（元）：</w:t>
      </w:r>
      <w:r>
        <w:rPr>
          <w:rFonts w:hint="eastAsia" w:eastAsia="宋体" w:cs="宋体"/>
          <w:sz w:val="21"/>
          <w:szCs w:val="21"/>
          <w:highlight w:val="none"/>
          <w:lang w:val="en-US" w:eastAsia="zh-CN"/>
        </w:rPr>
        <w:t>1004192</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简要规格描述或项目基本概况介绍、用途：</w:t>
      </w:r>
      <w:r>
        <w:rPr>
          <w:rFonts w:hint="eastAsia" w:ascii="宋体" w:hAnsi="宋体" w:eastAsia="宋体" w:cs="宋体"/>
          <w:sz w:val="21"/>
          <w:szCs w:val="21"/>
          <w:highlight w:val="none"/>
          <w:shd w:val="clear" w:color="auto" w:fill="FFFFFF"/>
          <w:lang w:eastAsia="zh-CN"/>
        </w:rPr>
        <w:t>详见采购文件《</w:t>
      </w:r>
      <w:r>
        <w:rPr>
          <w:rFonts w:hint="eastAsia" w:ascii="宋体" w:hAnsi="宋体" w:eastAsia="宋体" w:cs="宋体"/>
          <w:sz w:val="21"/>
          <w:szCs w:val="21"/>
          <w:highlight w:val="none"/>
          <w:shd w:val="clear" w:color="auto" w:fill="FFFFFF"/>
        </w:rPr>
        <w:t>第</w:t>
      </w:r>
      <w:r>
        <w:rPr>
          <w:rFonts w:hint="eastAsia" w:ascii="宋体" w:hAnsi="宋体" w:eastAsia="宋体" w:cs="宋体"/>
          <w:sz w:val="21"/>
          <w:szCs w:val="21"/>
          <w:highlight w:val="none"/>
          <w:shd w:val="clear" w:color="auto" w:fill="FFFFFF"/>
          <w:lang w:val="en-US" w:eastAsia="zh-CN"/>
        </w:rPr>
        <w:t>三</w:t>
      </w:r>
      <w:r>
        <w:rPr>
          <w:rFonts w:hint="eastAsia" w:ascii="宋体" w:hAnsi="宋体" w:eastAsia="宋体" w:cs="宋体"/>
          <w:sz w:val="21"/>
          <w:szCs w:val="21"/>
          <w:highlight w:val="none"/>
          <w:shd w:val="clear" w:color="auto" w:fill="FFFFFF"/>
        </w:rPr>
        <w:t>章</w:t>
      </w:r>
      <w:r>
        <w:rPr>
          <w:rFonts w:hint="eastAsia" w:ascii="宋体" w:hAnsi="宋体" w:eastAsia="宋体" w:cs="宋体"/>
          <w:sz w:val="21"/>
          <w:szCs w:val="21"/>
          <w:highlight w:val="none"/>
          <w:shd w:val="clear" w:color="auto" w:fill="FFFFFF"/>
          <w:lang w:val="en-US" w:eastAsia="zh-CN"/>
        </w:rPr>
        <w:t xml:space="preserve"> 采购</w:t>
      </w:r>
      <w:r>
        <w:rPr>
          <w:rFonts w:hint="eastAsia" w:ascii="宋体" w:hAnsi="宋体" w:eastAsia="宋体" w:cs="宋体"/>
          <w:sz w:val="21"/>
          <w:szCs w:val="21"/>
          <w:highlight w:val="none"/>
          <w:shd w:val="clear" w:color="auto" w:fill="FFFFFF"/>
        </w:rPr>
        <w:t>需求</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备注：住宅征收服务综合单价最高限价为</w:t>
      </w:r>
      <w:r>
        <w:rPr>
          <w:rFonts w:hint="eastAsia" w:ascii="宋体" w:hAnsi="宋体" w:eastAsia="宋体" w:cs="宋体"/>
          <w:sz w:val="21"/>
          <w:szCs w:val="21"/>
          <w:highlight w:val="none"/>
          <w:shd w:val="clear" w:color="auto" w:fill="FFFFFF"/>
          <w:lang w:val="en-US" w:eastAsia="zh-CN"/>
        </w:rPr>
        <w:t>32</w:t>
      </w:r>
      <w:r>
        <w:rPr>
          <w:rFonts w:hint="eastAsia" w:ascii="宋体" w:hAnsi="宋体" w:eastAsia="宋体" w:cs="宋体"/>
          <w:sz w:val="21"/>
          <w:szCs w:val="21"/>
          <w:highlight w:val="none"/>
          <w:shd w:val="clear" w:color="auto" w:fill="FFFFFF"/>
        </w:rPr>
        <w:t>元/平方米；非住宅征收服务综合单价最高限价为</w:t>
      </w:r>
      <w:r>
        <w:rPr>
          <w:rFonts w:hint="eastAsia" w:ascii="宋体" w:hAnsi="宋体" w:eastAsia="宋体" w:cs="宋体"/>
          <w:sz w:val="21"/>
          <w:szCs w:val="21"/>
          <w:highlight w:val="none"/>
          <w:shd w:val="clear" w:color="auto" w:fill="FFFFFF"/>
          <w:lang w:val="en-US" w:eastAsia="zh-CN"/>
        </w:rPr>
        <w:t>16</w:t>
      </w:r>
      <w:r>
        <w:rPr>
          <w:rFonts w:hint="eastAsia" w:ascii="宋体" w:hAnsi="宋体" w:eastAsia="宋体" w:cs="宋体"/>
          <w:sz w:val="21"/>
          <w:szCs w:val="21"/>
          <w:highlight w:val="none"/>
          <w:shd w:val="clear" w:color="auto" w:fill="FFFFFF"/>
        </w:rPr>
        <w:t>元/平方米</w:t>
      </w:r>
      <w:r>
        <w:rPr>
          <w:rFonts w:hint="eastAsia" w:ascii="宋体" w:hAnsi="宋体" w:eastAsia="宋体" w:cs="宋体"/>
          <w:sz w:val="21"/>
          <w:szCs w:val="21"/>
          <w:highlight w:val="none"/>
          <w:shd w:val="clear" w:color="auto" w:fill="FFFFFF"/>
          <w:lang w:eastAsia="zh-CN"/>
        </w:rPr>
        <w:t>。</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合同履行期限：自合同签订之日起至完成全部服务内容止。</w:t>
      </w:r>
    </w:p>
    <w:p>
      <w:pPr>
        <w:pStyle w:val="44"/>
        <w:keepNext w:val="0"/>
        <w:keepLines w:val="0"/>
        <w:pageBreakBefore w:val="0"/>
        <w:widowControl w:val="0"/>
        <w:kinsoku/>
        <w:wordWrap/>
        <w:overflowPunct/>
        <w:topLinePunct w:val="0"/>
        <w:autoSpaceDE/>
        <w:autoSpaceDN/>
        <w:bidi w:val="0"/>
        <w:spacing w:after="0" w:afterLines="0" w:line="360" w:lineRule="auto"/>
        <w:ind w:firstLine="420" w:firstLineChars="200"/>
        <w:jc w:val="both"/>
        <w:textAlignment w:val="auto"/>
        <w:rPr>
          <w:rFonts w:hint="eastAsia" w:ascii="宋体" w:hAnsi="宋体" w:eastAsia="宋体" w:cs="宋体"/>
        </w:rPr>
      </w:pPr>
      <w:r>
        <w:rPr>
          <w:rFonts w:hint="eastAsia" w:ascii="宋体" w:hAnsi="宋体" w:eastAsia="宋体" w:cs="宋体"/>
        </w:rPr>
        <w:t>本项目（否）接受联合体投标。</w:t>
      </w:r>
    </w:p>
    <w:p>
      <w:pPr>
        <w:pStyle w:val="160"/>
        <w:keepNext w:val="0"/>
        <w:keepLines w:val="0"/>
        <w:pageBreakBefore w:val="0"/>
        <w:widowControl w:val="0"/>
        <w:kinsoku/>
        <w:wordWrap/>
        <w:overflowPunct/>
        <w:topLinePunct w:val="0"/>
        <w:autoSpaceDE/>
        <w:autoSpaceDN/>
        <w:bidi w:val="0"/>
        <w:spacing w:after="0" w:afterLines="0" w:line="360" w:lineRule="auto"/>
        <w:ind w:firstLine="0" w:firstLineChars="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二、申请人的资格要求</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w:t>
      </w:r>
      <w:r>
        <w:rPr>
          <w:rFonts w:hint="eastAsia" w:ascii="宋体" w:hAnsi="宋体" w:eastAsia="宋体" w:cs="宋体"/>
          <w:szCs w:val="21"/>
          <w:highlight w:val="none"/>
          <w:lang w:val="en-US" w:eastAsia="zh-CN"/>
        </w:rPr>
        <w:t>本项目专门面向中小企业，供应商应为符合《政府采购促进中小企业发展管理办法》（财库﹝2020﹞46 号）规定的中小企业（中小企业包括视同为小型、微型企业的监狱企业、残疾人福利性单位）。</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3.本项目的特定资格要求：无。</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4.资格审查采用资格后审。</w:t>
      </w:r>
    </w:p>
    <w:p>
      <w:pPr>
        <w:pStyle w:val="160"/>
        <w:keepNext w:val="0"/>
        <w:keepLines w:val="0"/>
        <w:pageBreakBefore w:val="0"/>
        <w:widowControl w:val="0"/>
        <w:kinsoku/>
        <w:wordWrap/>
        <w:overflowPunct/>
        <w:topLinePunct w:val="0"/>
        <w:autoSpaceDE/>
        <w:autoSpaceDN/>
        <w:bidi w:val="0"/>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三、获取招标文件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时间：202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日至 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 xml:space="preserve">方式：供应商登录政采云平台https://www.zcygov.cn/在线申请获取采购文件（进入“项目采购”应用，在获取采购文件菜单中选择项目，申请获取采购文件）。供应商未在规定时间内或未按上述方式获取招标文件的，其投标无效。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售价（元）：0</w:t>
      </w:r>
    </w:p>
    <w:p>
      <w:pPr>
        <w:pStyle w:val="160"/>
        <w:keepNext w:val="0"/>
        <w:keepLines w:val="0"/>
        <w:pageBreakBefore w:val="0"/>
        <w:widowControl w:val="0"/>
        <w:kinsoku/>
        <w:wordWrap/>
        <w:overflowPunct/>
        <w:autoSpaceDE/>
        <w:autoSpaceDN/>
        <w:bidi w:val="0"/>
        <w:adjustRightInd/>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四、提交投标文件截止时间、开标时间和地点</w:t>
      </w:r>
    </w:p>
    <w:p>
      <w:pPr>
        <w:keepNext w:val="0"/>
        <w:keepLines w:val="0"/>
        <w:pageBreakBefore w:val="0"/>
        <w:widowControl w:val="0"/>
        <w:kinsoku/>
        <w:wordWrap/>
        <w:overflowPunct/>
        <w:autoSpaceDE/>
        <w:autoSpaceDN/>
        <w:bidi w:val="0"/>
        <w:adjustRightIn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提交投标文件截止时间：202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w:t>
      </w:r>
      <w:r>
        <w:rPr>
          <w:rFonts w:hint="eastAsia" w:ascii="宋体" w:hAnsi="宋体" w:cs="宋体"/>
          <w:szCs w:val="21"/>
          <w:highlight w:val="none"/>
          <w:lang w:val="en-US" w:eastAsia="zh-CN"/>
        </w:rPr>
        <w:t>9</w:t>
      </w:r>
      <w:r>
        <w:rPr>
          <w:rFonts w:hint="eastAsia" w:ascii="宋体" w:hAnsi="宋体" w:cs="宋体"/>
          <w:szCs w:val="21"/>
          <w:highlight w:val="none"/>
        </w:rPr>
        <w:t>：00（北京时间）。</w:t>
      </w:r>
    </w:p>
    <w:p>
      <w:pPr>
        <w:keepNext w:val="0"/>
        <w:keepLines w:val="0"/>
        <w:pageBreakBefore w:val="0"/>
        <w:widowControl w:val="0"/>
        <w:kinsoku/>
        <w:wordWrap/>
        <w:overflowPunct/>
        <w:autoSpaceDE/>
        <w:autoSpaceDN/>
        <w:bidi w:val="0"/>
        <w:adjustRightIn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投标地点（网址）：</w:t>
      </w:r>
      <w:r>
        <w:rPr>
          <w:rFonts w:hint="eastAsia" w:ascii="宋体" w:hAnsi="宋体" w:cs="宋体"/>
          <w:szCs w:val="21"/>
          <w:highlight w:val="none"/>
        </w:rPr>
        <w:t xml:space="preserve">请登录政采云投标客户端投标，本项目通过“政府采购云平台（www.zcygov.cn）”实行在线制作并提交投标文件（电子投标）。 </w:t>
      </w:r>
      <w:r>
        <w:rPr>
          <w:rFonts w:hint="eastAsia" w:ascii="宋体" w:hAnsi="宋体" w:cs="宋体"/>
          <w:szCs w:val="21"/>
          <w:highlight w:val="none"/>
          <w:lang w:eastAsia="zh-CN"/>
        </w:rPr>
        <w:t xml:space="preserve"> </w:t>
      </w:r>
    </w:p>
    <w:p>
      <w:pPr>
        <w:keepNext w:val="0"/>
        <w:keepLines w:val="0"/>
        <w:pageBreakBefore w:val="0"/>
        <w:widowControl w:val="0"/>
        <w:kinsoku/>
        <w:wordWrap/>
        <w:overflowPunct/>
        <w:autoSpaceDE/>
        <w:autoSpaceDN/>
        <w:bidi w:val="0"/>
        <w:adjustRightIn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开标时间：202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w:t>
      </w:r>
      <w:r>
        <w:rPr>
          <w:rFonts w:hint="eastAsia" w:ascii="宋体" w:hAnsi="宋体" w:cs="宋体"/>
          <w:szCs w:val="21"/>
          <w:highlight w:val="none"/>
          <w:lang w:val="en-US" w:eastAsia="zh-CN"/>
        </w:rPr>
        <w:t>9</w:t>
      </w:r>
      <w:r>
        <w:rPr>
          <w:rFonts w:hint="eastAsia" w:ascii="宋体" w:hAnsi="宋体" w:cs="宋体"/>
          <w:szCs w:val="21"/>
          <w:highlight w:val="none"/>
        </w:rPr>
        <w:t xml:space="preserve">：00   </w:t>
      </w:r>
    </w:p>
    <w:p>
      <w:pPr>
        <w:keepNext w:val="0"/>
        <w:keepLines w:val="0"/>
        <w:pageBreakBefore w:val="0"/>
        <w:widowControl w:val="0"/>
        <w:kinsoku/>
        <w:wordWrap/>
        <w:overflowPunct/>
        <w:autoSpaceDE/>
        <w:autoSpaceDN/>
        <w:bidi w:val="0"/>
        <w:adjustRightIn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开标地点（网址）：宁波市海曙区公共资源交易中心二楼开标室（</w:t>
      </w:r>
      <w:r>
        <w:rPr>
          <w:rFonts w:hint="eastAsia" w:ascii="宋体" w:hAnsi="宋体" w:cs="宋体"/>
          <w:szCs w:val="21"/>
          <w:highlight w:val="none"/>
          <w:lang w:val="en-US" w:eastAsia="zh-CN"/>
        </w:rPr>
        <w:t>三</w:t>
      </w:r>
      <w:r>
        <w:rPr>
          <w:rFonts w:hint="eastAsia" w:ascii="宋体" w:hAnsi="宋体" w:cs="宋体"/>
          <w:szCs w:val="21"/>
          <w:highlight w:val="none"/>
        </w:rPr>
        <w:t>）（南门上，宁波市海曙区气象路58号）</w:t>
      </w:r>
      <w:r>
        <w:rPr>
          <w:rFonts w:hint="eastAsia" w:ascii="宋体" w:hAnsi="宋体" w:cs="宋体"/>
          <w:szCs w:val="21"/>
          <w:highlight w:val="none"/>
          <w:lang w:eastAsia="zh-CN"/>
        </w:rPr>
        <w:t>（线上开启：政采云平台（www.zcygov.cn）</w:t>
      </w:r>
      <w:r>
        <w:rPr>
          <w:rFonts w:hint="eastAsia" w:ascii="宋体" w:hAnsi="宋体" w:cs="宋体"/>
          <w:szCs w:val="21"/>
          <w:highlight w:val="none"/>
        </w:rPr>
        <w:t>。</w:t>
      </w:r>
    </w:p>
    <w:p>
      <w:pPr>
        <w:pStyle w:val="160"/>
        <w:keepNext w:val="0"/>
        <w:keepLines w:val="0"/>
        <w:pageBreakBefore w:val="0"/>
        <w:widowControl w:val="0"/>
        <w:kinsoku/>
        <w:wordWrap/>
        <w:overflowPunct/>
        <w:autoSpaceDE/>
        <w:autoSpaceDN/>
        <w:bidi w:val="0"/>
        <w:adjustRightInd/>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五、公告期限</w:t>
      </w:r>
    </w:p>
    <w:p>
      <w:pPr>
        <w:keepNext w:val="0"/>
        <w:keepLines w:val="0"/>
        <w:pageBreakBefore w:val="0"/>
        <w:widowControl w:val="0"/>
        <w:kinsoku/>
        <w:wordWrap/>
        <w:overflowPunct/>
        <w:autoSpaceDE/>
        <w:autoSpaceDN/>
        <w:bidi w:val="0"/>
        <w:adjustRightInd/>
        <w:snapToGrid w:val="0"/>
        <w:spacing w:line="360" w:lineRule="auto"/>
        <w:ind w:firstLine="420" w:firstLineChars="200"/>
        <w:jc w:val="both"/>
        <w:textAlignment w:val="auto"/>
        <w:rPr>
          <w:rFonts w:hint="eastAsia" w:ascii="宋体" w:hAnsi="宋体" w:cs="宋体"/>
          <w:b/>
          <w:bCs/>
          <w:szCs w:val="21"/>
          <w:highlight w:val="none"/>
        </w:rPr>
      </w:pPr>
      <w:r>
        <w:rPr>
          <w:rFonts w:hint="eastAsia" w:ascii="宋体" w:hAnsi="宋体" w:cs="宋体"/>
          <w:szCs w:val="21"/>
          <w:highlight w:val="none"/>
        </w:rPr>
        <w:t>自本公告发布之日起</w:t>
      </w:r>
      <w:r>
        <w:rPr>
          <w:rFonts w:hint="eastAsia" w:ascii="宋体" w:hAnsi="宋体" w:cs="宋体"/>
          <w:szCs w:val="21"/>
          <w:highlight w:val="none"/>
          <w:shd w:val="clear" w:color="auto" w:fill="FFFFFF"/>
        </w:rPr>
        <w:t>5个工作日。</w:t>
      </w:r>
    </w:p>
    <w:p>
      <w:pPr>
        <w:pStyle w:val="160"/>
        <w:keepNext w:val="0"/>
        <w:keepLines w:val="0"/>
        <w:pageBreakBefore w:val="0"/>
        <w:widowControl w:val="0"/>
        <w:kinsoku/>
        <w:wordWrap/>
        <w:overflowPunct/>
        <w:autoSpaceDE/>
        <w:autoSpaceDN/>
        <w:bidi w:val="0"/>
        <w:adjustRightInd/>
        <w:spacing w:after="0" w:afterLines="0" w:line="360" w:lineRule="auto"/>
        <w:ind w:firstLine="0" w:firstLineChars="0"/>
        <w:jc w:val="both"/>
        <w:textAlignment w:val="auto"/>
        <w:rPr>
          <w:rFonts w:hint="eastAsia" w:ascii="宋体" w:hAnsi="宋体" w:cs="宋体"/>
          <w:b/>
          <w:bCs/>
          <w:sz w:val="21"/>
          <w:szCs w:val="21"/>
          <w:highlight w:val="none"/>
        </w:rPr>
      </w:pPr>
      <w:r>
        <w:rPr>
          <w:rFonts w:hint="eastAsia" w:ascii="宋体" w:hAnsi="宋体" w:cs="宋体"/>
          <w:b/>
          <w:bCs/>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highlight w:val="none"/>
        </w:rPr>
        <w:t>1.供应商认为采购文件使自己的权益受到损害的，可以自获取采购文件之日或者采购文件公告期限届满之日（公告期限届满后获取采购文件的，以公告期</w:t>
      </w:r>
      <w:r>
        <w:rPr>
          <w:rFonts w:hint="eastAsia" w:ascii="宋体" w:hAnsi="宋体" w:cs="宋体"/>
          <w:szCs w:val="21"/>
        </w:rPr>
        <w:t>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2.1落实的政策：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2.1.1《关于促进残疾人就业政府采购政策的通知》（财库[2017]141号）、《政府采购促进中小企业发展管理办法》（财库﹝2020﹞46 号）、《关于政府采购支持监狱企业发展有关问题的通知》(财库[2014]68号)；执行扶持不发达地区和少数民族地区的政策。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2.1.2海曙区“政采贷”助力中小企业金融服务，有需要的中标（成交）供应商请于网站http://haishu.nbggzy.cn/tzgg/360383.jhtml办理具体业务。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2.2投标与开标注意事项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（1）本项目实行网上投标，采用电子投标文件。若供应商参与投标，自行承担投标一切费用。</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（2）标前准备：各供应商应在开标前确保成为浙江政府采购网正式注册入库供应商，并完成CA数字证书办理。因未注册入库、未办理CA数字证书等原因造成无法投标或投标失败等后果由供应商自行承担。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（3）投标文件制作：</w:t>
      </w:r>
    </w:p>
    <w:p>
      <w:pPr>
        <w:pStyle w:val="47"/>
        <w:keepNext w:val="0"/>
        <w:keepLines w:val="0"/>
        <w:pageBreakBefore w:val="0"/>
        <w:widowControl w:val="0"/>
        <w:kinsoku/>
        <w:wordWrap/>
        <w:overflowPunct/>
        <w:topLinePunct w:val="0"/>
        <w:autoSpaceDE/>
        <w:autoSpaceDN/>
        <w:bidi w:val="0"/>
        <w:adjustRightIn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①应按照本项目招标文件和政府采购云平台的要求编制、加密并递交投标文件。供应商在使用系统进行投标的过程中遇到涉及平台使用的任何问题，可致电政府采购云平台技术支持热线咨询，联系方式：400-8817190。</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②供应商通过政府采购云平台电子投标工具制作投标文件，电子投标工具请供应商自行前往浙江政府采购网下载并安装，投标文件制作具体流程详见政府采购云平台。</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③以U盘存储的电子备份投标文件1份，需按政府采购云平台要求制作</w:t>
      </w:r>
      <w:r>
        <w:rPr>
          <w:rFonts w:hint="eastAsia" w:ascii="宋体" w:hAnsi="宋体" w:cs="宋体"/>
          <w:szCs w:val="21"/>
          <w:lang w:eastAsia="zh-CN"/>
        </w:rPr>
        <w:t>，</w:t>
      </w:r>
      <w:r>
        <w:rPr>
          <w:rFonts w:hint="eastAsia" w:ascii="宋体" w:hAnsi="宋体" w:cs="宋体"/>
          <w:szCs w:val="21"/>
        </w:rPr>
        <w:t>以用于在线解密不成功等异常情况处理。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bCs/>
          <w:szCs w:val="21"/>
        </w:rPr>
      </w:pPr>
      <w:r>
        <w:rPr>
          <w:rFonts w:hint="eastAsia" w:ascii="宋体" w:hAnsi="宋体" w:cs="宋体"/>
          <w:szCs w:val="21"/>
        </w:rPr>
        <w:t>（4）本</w:t>
      </w:r>
      <w:r>
        <w:rPr>
          <w:rFonts w:hint="eastAsia" w:ascii="宋体" w:hAnsi="宋体" w:cs="宋体"/>
          <w:szCs w:val="21"/>
          <w:lang w:val="en-US" w:eastAsia="zh-CN"/>
        </w:rPr>
        <w:t>招标</w:t>
      </w:r>
      <w:r>
        <w:rPr>
          <w:rFonts w:hint="eastAsia" w:ascii="宋体" w:hAnsi="宋体" w:cs="宋体"/>
          <w:szCs w:val="21"/>
        </w:rPr>
        <w:t>公告附件中的招标文件仅供阅览使用，供应商应在规定的招标文件获取期限内在政采云平台登录供应商注册的账号后获取招标文件，未按上述方式获取招标文件的，不得对招标文件提起质疑投诉。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供应商应于投标截止时间前将电子投标文件上传到政府采购云平台（www.zcygov.cn），未上传电子投标文件，视为供应商放弃投标。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供应商如提供备份投标文件的，应于提交投标文件截止时间前，将以U盘存储的电子备份投标文件密封，并递交至投标地点，逾期送达或未密封将予以拒收。供应商仅提供备份投标文件（包括以U盘存储的电子备份投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yellow"/>
        </w:rPr>
      </w:pPr>
      <w:r>
        <w:rPr>
          <w:rFonts w:hint="eastAsia" w:ascii="宋体" w:hAnsi="宋体" w:cs="宋体"/>
          <w:szCs w:val="21"/>
        </w:rPr>
        <w:t>（7）采购代理机构将在招标文件规定的开标时间通过政府采购云平台组织开标、开启投标文件，所有供应商均应准时在线参加。开标时间后30分钟内供应商可以登录政府采购云平台</w:t>
      </w:r>
      <w:r>
        <w:rPr>
          <w:rFonts w:hint="eastAsia" w:ascii="宋体" w:hAnsi="宋体" w:cs="宋体"/>
          <w:szCs w:val="21"/>
          <w:lang w:eastAsia="zh-CN"/>
        </w:rPr>
        <w:t>（</w:t>
      </w:r>
      <w:r>
        <w:rPr>
          <w:rFonts w:hint="eastAsia" w:ascii="宋体" w:hAnsi="宋体" w:cs="宋体"/>
          <w:szCs w:val="21"/>
        </w:rPr>
        <w:t>www.zcygov.cn</w:t>
      </w:r>
      <w:r>
        <w:rPr>
          <w:rFonts w:hint="eastAsia" w:ascii="宋体" w:hAnsi="宋体" w:cs="宋体"/>
          <w:szCs w:val="21"/>
          <w:lang w:eastAsia="zh-CN"/>
        </w:rPr>
        <w:t>）</w:t>
      </w:r>
      <w:r>
        <w:rPr>
          <w:rFonts w:hint="eastAsia" w:ascii="宋体" w:hAnsi="宋体" w:cs="宋体"/>
          <w:szCs w:val="21"/>
        </w:rPr>
        <w:t>，用“项目采购-开标评标”功能进行解密投标文件。若供应商在开标时间后30分钟内无法解密或解密失败，可使用备份电子投标文件进行线上评标。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Cs w:val="21"/>
        </w:rPr>
      </w:pPr>
      <w:r>
        <w:rPr>
          <w:rFonts w:hint="eastAsia" w:ascii="宋体" w:hAnsi="宋体" w:eastAsia="宋体" w:cs="宋体"/>
          <w:b w:val="0"/>
          <w:bCs w:val="0"/>
          <w:szCs w:val="21"/>
        </w:rPr>
        <w:t>2.</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供应商可采用邮寄（含快递）方式或现场方式递交备份投标文件。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（1）采用邮寄方式递交备份投标文件的，需按以下要求递交：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拟在202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日16:00（含）前到件的邮寄地址为：宁波市鄞州区</w:t>
      </w:r>
      <w:r>
        <w:rPr>
          <w:rFonts w:hint="eastAsia" w:ascii="宋体" w:hAnsi="宋体" w:eastAsia="宋体" w:cs="宋体"/>
          <w:szCs w:val="21"/>
          <w:highlight w:val="none"/>
          <w:lang w:val="en-US" w:eastAsia="zh-CN"/>
        </w:rPr>
        <w:t>蝶缘路218号</w:t>
      </w:r>
      <w:r>
        <w:rPr>
          <w:rFonts w:hint="eastAsia" w:ascii="宋体" w:hAnsi="宋体" w:eastAsia="宋体" w:cs="宋体"/>
          <w:szCs w:val="21"/>
          <w:highlight w:val="none"/>
        </w:rPr>
        <w:t>南洋大厦602室</w:t>
      </w:r>
      <w:r>
        <w:rPr>
          <w:rFonts w:hint="eastAsia" w:ascii="宋体" w:hAnsi="宋体" w:eastAsia="宋体" w:cs="宋体"/>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highlight w:val="none"/>
        </w:rPr>
        <w:t>拟在202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日16:00之后，202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24</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0之前到件的邮寄地址为</w:t>
      </w:r>
      <w:r>
        <w:rPr>
          <w:rFonts w:hint="eastAsia" w:ascii="宋体" w:hAnsi="宋体" w:eastAsia="宋体" w:cs="宋体"/>
          <w:szCs w:val="21"/>
        </w:rPr>
        <w:t>：</w:t>
      </w:r>
      <w:r>
        <w:rPr>
          <w:rFonts w:hint="eastAsia" w:ascii="宋体" w:hAnsi="宋体" w:eastAsia="宋体" w:cs="宋体"/>
          <w:szCs w:val="21"/>
          <w:highlight w:val="none"/>
        </w:rPr>
        <w:t>宁波市海曙区公共资源交易中心二楼开标室</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（南门上</w:t>
      </w:r>
      <w:r>
        <w:rPr>
          <w:rFonts w:hint="eastAsia" w:ascii="宋体" w:hAnsi="宋体" w:eastAsia="宋体" w:cs="宋体"/>
          <w:szCs w:val="21"/>
        </w:rPr>
        <w:t>，宁波市海曙区气象路58号）；</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收件人</w:t>
      </w:r>
      <w:r>
        <w:rPr>
          <w:rFonts w:hint="eastAsia" w:ascii="宋体" w:hAnsi="宋体" w:eastAsia="宋体" w:cs="宋体"/>
          <w:szCs w:val="21"/>
          <w:lang w:eastAsia="zh-CN"/>
        </w:rPr>
        <w:t>：</w:t>
      </w:r>
      <w:r>
        <w:rPr>
          <w:rFonts w:hint="eastAsia" w:ascii="宋体" w:hAnsi="宋体" w:eastAsia="宋体" w:cs="宋体"/>
          <w:szCs w:val="21"/>
        </w:rPr>
        <w:t>陈磊</w:t>
      </w:r>
      <w:r>
        <w:rPr>
          <w:rFonts w:hint="eastAsia" w:ascii="宋体" w:hAnsi="宋体" w:eastAsia="宋体" w:cs="宋体"/>
          <w:szCs w:val="21"/>
          <w:lang w:eastAsia="zh-CN"/>
        </w:rPr>
        <w:t>、</w:t>
      </w:r>
      <w:r>
        <w:rPr>
          <w:rFonts w:hint="eastAsia" w:ascii="宋体" w:hAnsi="宋体" w:eastAsia="宋体" w:cs="宋体"/>
          <w:szCs w:val="21"/>
          <w:lang w:val="en-US" w:eastAsia="zh-CN"/>
        </w:rPr>
        <w:t>徐小民</w:t>
      </w:r>
      <w:r>
        <w:rPr>
          <w:rFonts w:hint="eastAsia" w:ascii="宋体" w:hAnsi="宋体" w:eastAsia="宋体" w:cs="宋体"/>
          <w:szCs w:val="21"/>
          <w:lang w:eastAsia="zh-CN"/>
        </w:rPr>
        <w:t>；</w:t>
      </w:r>
      <w:r>
        <w:rPr>
          <w:rFonts w:hint="eastAsia" w:ascii="宋体" w:hAnsi="宋体" w:eastAsia="宋体" w:cs="宋体"/>
          <w:szCs w:val="21"/>
        </w:rPr>
        <w:t>联系方式</w:t>
      </w:r>
      <w:r>
        <w:rPr>
          <w:rFonts w:hint="eastAsia" w:ascii="宋体" w:hAnsi="宋体" w:eastAsia="宋体" w:cs="宋体"/>
          <w:szCs w:val="21"/>
          <w:lang w:eastAsia="zh-CN"/>
        </w:rPr>
        <w:t>：0574-87284375、</w:t>
      </w:r>
      <w:r>
        <w:rPr>
          <w:rFonts w:hint="eastAsia" w:ascii="宋体" w:hAnsi="宋体" w:eastAsia="宋体" w:cs="宋体"/>
          <w:szCs w:val="21"/>
        </w:rPr>
        <w:t>13777002370</w:t>
      </w:r>
      <w:r>
        <w:rPr>
          <w:rFonts w:hint="eastAsia" w:ascii="宋体" w:hAnsi="宋体" w:eastAsia="宋体" w:cs="宋体"/>
          <w:szCs w:val="21"/>
          <w:lang w:eastAsia="zh-CN"/>
        </w:rPr>
        <w:t>、</w:t>
      </w:r>
      <w:r>
        <w:rPr>
          <w:rFonts w:hint="eastAsia" w:ascii="宋体" w:hAnsi="宋体" w:eastAsia="宋体" w:cs="宋体"/>
          <w:szCs w:val="21"/>
          <w:lang w:val="en-US" w:eastAsia="zh-CN"/>
        </w:rPr>
        <w:t>15968040808</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b w:val="0"/>
          <w:bCs w:val="0"/>
          <w:szCs w:val="21"/>
        </w:rPr>
      </w:pPr>
      <w:r>
        <w:rPr>
          <w:rFonts w:hint="eastAsia" w:ascii="宋体" w:hAnsi="宋体" w:eastAsia="宋体" w:cs="宋体"/>
          <w:b w:val="0"/>
          <w:bCs w:val="0"/>
          <w:szCs w:val="21"/>
        </w:rPr>
        <w:t>注：请各供应商确保密封包装在邮寄过程密封包装完好，因邮寄过程的密封破损造成不符合开标要求的，本采购代理及采购人概不负责。</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（2）采用现场方式送达备份投标文件的，需按以下要求递交：</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lang w:val="en-US" w:eastAsia="zh-CN"/>
        </w:rPr>
        <w:t>可</w:t>
      </w:r>
      <w:r>
        <w:rPr>
          <w:rFonts w:hint="eastAsia" w:ascii="宋体" w:hAnsi="宋体" w:eastAsia="宋体" w:cs="宋体"/>
          <w:szCs w:val="21"/>
        </w:rPr>
        <w:t>安排相关人员（原则上不超过一名）在投标截止时间前将备份投标文件送至投标地点。投标文件递交时需同时递交供应商的法定代表人（或其委托代理人）联系方式，并保证开标期间联系方式的畅通。</w:t>
      </w:r>
    </w:p>
    <w:p>
      <w:pPr>
        <w:pStyle w:val="47"/>
        <w:keepNext w:val="0"/>
        <w:keepLines w:val="0"/>
        <w:pageBreakBefore w:val="0"/>
        <w:widowControl w:val="0"/>
        <w:kinsoku/>
        <w:wordWrap/>
        <w:overflowPunct/>
        <w:topLinePunct w:val="0"/>
        <w:autoSpaceDE/>
        <w:autoSpaceDN/>
        <w:bidi w:val="0"/>
        <w:adjustRightInd/>
        <w:spacing w:before="0" w:beforeLines="0" w:after="0" w:afterLines="0" w:line="360" w:lineRule="auto"/>
        <w:ind w:firstLine="420" w:firstLineChars="200"/>
        <w:jc w:val="both"/>
        <w:textAlignment w:val="auto"/>
        <w:outlineLvl w:val="9"/>
        <w:rPr>
          <w:rFonts w:hint="eastAsia" w:ascii="宋体" w:hAnsi="宋体" w:eastAsia="宋体" w:cs="宋体"/>
          <w:b w:val="0"/>
          <w:sz w:val="21"/>
          <w:szCs w:val="21"/>
        </w:rPr>
      </w:pPr>
      <w:r>
        <w:rPr>
          <w:rFonts w:hint="eastAsia" w:ascii="宋体" w:hAnsi="宋体" w:eastAsia="宋体" w:cs="宋体"/>
          <w:b w:val="0"/>
          <w:kern w:val="0"/>
          <w:sz w:val="21"/>
          <w:szCs w:val="21"/>
        </w:rPr>
        <w:t>2.</w:t>
      </w:r>
      <w:r>
        <w:rPr>
          <w:rFonts w:hint="eastAsia" w:ascii="宋体" w:hAnsi="宋体" w:eastAsia="宋体" w:cs="宋体"/>
          <w:b w:val="0"/>
          <w:kern w:val="0"/>
          <w:sz w:val="21"/>
          <w:szCs w:val="21"/>
          <w:lang w:val="en-US" w:eastAsia="zh-CN"/>
        </w:rPr>
        <w:t>4</w:t>
      </w:r>
      <w:r>
        <w:rPr>
          <w:rFonts w:hint="eastAsia" w:ascii="宋体" w:hAnsi="宋体" w:eastAsia="宋体" w:cs="宋体"/>
          <w:b w:val="0"/>
          <w:kern w:val="0"/>
          <w:sz w:val="21"/>
          <w:szCs w:val="21"/>
        </w:rPr>
        <w:t>如本项目改为电子备份文件评标，</w:t>
      </w:r>
      <w:r>
        <w:rPr>
          <w:rFonts w:hint="eastAsia" w:ascii="宋体" w:hAnsi="宋体" w:eastAsia="宋体" w:cs="宋体"/>
          <w:b w:val="0"/>
          <w:sz w:val="21"/>
          <w:szCs w:val="21"/>
        </w:rPr>
        <w:t>供应商须在</w:t>
      </w:r>
      <w:r>
        <w:rPr>
          <w:rFonts w:hint="eastAsia" w:ascii="宋体" w:hAnsi="宋体" w:eastAsia="宋体" w:cs="宋体"/>
          <w:b w:val="0"/>
          <w:sz w:val="21"/>
          <w:szCs w:val="21"/>
          <w:lang w:val="en-US" w:eastAsia="zh-CN"/>
        </w:rPr>
        <w:t>电子</w:t>
      </w:r>
      <w:r>
        <w:rPr>
          <w:rFonts w:hint="eastAsia" w:ascii="宋体" w:hAnsi="宋体" w:eastAsia="宋体" w:cs="宋体"/>
          <w:b w:val="0"/>
          <w:sz w:val="21"/>
          <w:szCs w:val="21"/>
        </w:rPr>
        <w:t>备份投标文件中提供（1）指定作出澄清、说明或补正的电子邮箱、传真号码；（2）法定代表人或授权代表的手机号；评审过程中有关澄清、说明或者补正，采购代理机构将通过电子邮箱（</w:t>
      </w:r>
      <w:r>
        <w:rPr>
          <w:rFonts w:hint="eastAsia" w:ascii="宋体" w:hAnsi="宋体" w:eastAsia="宋体" w:cs="宋体"/>
          <w:b w:val="0"/>
          <w:sz w:val="21"/>
          <w:szCs w:val="21"/>
          <w:lang w:val="en-US" w:eastAsia="zh-CN"/>
        </w:rPr>
        <w:t>4</w:t>
      </w:r>
      <w:r>
        <w:rPr>
          <w:rFonts w:hint="eastAsia" w:ascii="宋体" w:hAnsi="宋体" w:eastAsia="宋体" w:cs="宋体"/>
          <w:b w:val="0"/>
          <w:sz w:val="21"/>
          <w:szCs w:val="21"/>
          <w:lang w:val="en-US" w:eastAsia="zh-CN"/>
        </w:rPr>
        <w:t>51838762</w:t>
      </w:r>
      <w:r>
        <w:rPr>
          <w:rFonts w:hint="eastAsia" w:ascii="宋体" w:hAnsi="宋体" w:eastAsia="宋体" w:cs="宋体"/>
          <w:b w:val="0"/>
          <w:sz w:val="21"/>
          <w:szCs w:val="21"/>
        </w:rPr>
        <w:t>@qq.com）进行收发。</w:t>
      </w:r>
    </w:p>
    <w:p>
      <w:pPr>
        <w:keepNext w:val="0"/>
        <w:keepLines w:val="0"/>
        <w:pageBreakBefore w:val="0"/>
        <w:widowControl w:val="0"/>
        <w:tabs>
          <w:tab w:val="center" w:pos="4819"/>
        </w:tabs>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val="en-US" w:eastAsia="zh-CN"/>
        </w:rPr>
        <w:t>5</w:t>
      </w:r>
      <w:r>
        <w:rPr>
          <w:rFonts w:hint="eastAsia" w:ascii="宋体" w:hAnsi="宋体" w:eastAsia="宋体" w:cs="宋体"/>
          <w:bCs/>
          <w:szCs w:val="21"/>
        </w:rPr>
        <w:t>本公告发布媒体：浙江省公共资源交易服务平台(https://ggzy.zj.gov.cn)、浙江政府采购网（http://zfcg.czt.zj.gov.cn/）、宁波政府采购网（http://www.nbzfcg.cn/）及宁波市公共资源交易电子服务系统（</w:t>
      </w:r>
      <w:r>
        <w:rPr>
          <w:rFonts w:hint="eastAsia" w:ascii="宋体" w:hAnsi="宋体" w:eastAsia="宋体" w:cs="宋体"/>
          <w:bCs/>
          <w:szCs w:val="21"/>
          <w:lang w:val="en-US" w:eastAsia="zh-CN"/>
        </w:rPr>
        <w:t>甬易阳光</w:t>
      </w:r>
      <w:r>
        <w:rPr>
          <w:rFonts w:hint="eastAsia" w:ascii="宋体" w:hAnsi="宋体" w:eastAsia="宋体" w:cs="宋体"/>
          <w:bCs/>
          <w:szCs w:val="21"/>
        </w:rPr>
        <w:t>）（https://jyxt.zwb.ningbo.gov.cn:4011/website/home）。</w:t>
      </w:r>
    </w:p>
    <w:p>
      <w:pPr>
        <w:keepNext w:val="0"/>
        <w:keepLines w:val="0"/>
        <w:pageBreakBefore w:val="0"/>
        <w:widowControl w:val="0"/>
        <w:tabs>
          <w:tab w:val="center" w:pos="4819"/>
        </w:tabs>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p>
    <w:p>
      <w:pPr>
        <w:pStyle w:val="160"/>
        <w:keepNext w:val="0"/>
        <w:keepLines w:val="0"/>
        <w:pageBreakBefore w:val="0"/>
        <w:widowControl w:val="0"/>
        <w:kinsoku/>
        <w:wordWrap/>
        <w:overflowPunct/>
        <w:topLinePunct w:val="0"/>
        <w:autoSpaceDE/>
        <w:autoSpaceDN/>
        <w:bidi w:val="0"/>
        <w:adjustRightInd/>
        <w:spacing w:after="0" w:afterLines="0" w:line="360" w:lineRule="auto"/>
        <w:ind w:firstLine="0" w:firstLineChars="0"/>
        <w:jc w:val="both"/>
        <w:textAlignment w:val="auto"/>
        <w:rPr>
          <w:rFonts w:hint="eastAsia" w:ascii="宋体" w:hAnsi="宋体" w:cs="宋体"/>
          <w:b/>
          <w:bCs/>
          <w:sz w:val="21"/>
          <w:szCs w:val="21"/>
        </w:rPr>
      </w:pPr>
      <w:r>
        <w:rPr>
          <w:rFonts w:hint="eastAsia" w:ascii="宋体" w:hAnsi="宋体" w:cs="宋体"/>
          <w:b/>
          <w:bCs/>
          <w:sz w:val="21"/>
          <w:szCs w:val="21"/>
        </w:rPr>
        <w:t>七、对本次采购提出询问、质疑、投诉，请按以下方式联系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宁波市海曙区集士港镇人民政府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地    址：</w:t>
      </w:r>
      <w:r>
        <w:rPr>
          <w:rFonts w:hint="eastAsia" w:ascii="宋体" w:hAnsi="宋体" w:cs="宋体"/>
          <w:szCs w:val="21"/>
          <w:lang w:val="en-US" w:eastAsia="zh-CN"/>
        </w:rPr>
        <w:t>海曙区</w:t>
      </w:r>
      <w:r>
        <w:rPr>
          <w:rFonts w:hint="eastAsia" w:ascii="宋体" w:hAnsi="宋体" w:cs="宋体"/>
          <w:szCs w:val="21"/>
        </w:rPr>
        <w:t xml:space="preserve">菖蒲路150号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传    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项目联系人（询问）：</w:t>
      </w:r>
      <w:r>
        <w:rPr>
          <w:rFonts w:hint="eastAsia" w:ascii="宋体" w:hAnsi="宋体" w:cs="宋体"/>
          <w:szCs w:val="21"/>
          <w:highlight w:val="none"/>
          <w:lang w:val="en-US" w:eastAsia="zh-CN"/>
        </w:rPr>
        <w:t>张老师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 xml:space="preserve">项目联系方式（询问）：0574-88020756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质疑联系人：</w:t>
      </w:r>
      <w:r>
        <w:rPr>
          <w:rFonts w:hint="eastAsia" w:ascii="宋体" w:hAnsi="宋体" w:cs="宋体"/>
          <w:szCs w:val="21"/>
          <w:highlight w:val="none"/>
          <w:lang w:val="en-US" w:eastAsia="zh-CN"/>
        </w:rPr>
        <w:t>杨老师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质疑联系方式：0574-88020604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名    称：宁波中磊工程管理咨询有限公司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地    址：宁波市鄞州区</w:t>
      </w:r>
      <w:r>
        <w:rPr>
          <w:rFonts w:hint="eastAsia" w:ascii="宋体" w:hAnsi="宋体" w:cs="宋体"/>
          <w:szCs w:val="21"/>
          <w:lang w:val="en-US" w:eastAsia="zh-CN"/>
        </w:rPr>
        <w:t>蝶缘路218号</w:t>
      </w:r>
      <w:r>
        <w:rPr>
          <w:rFonts w:hint="eastAsia" w:ascii="宋体" w:hAnsi="宋体" w:cs="宋体"/>
          <w:szCs w:val="21"/>
        </w:rPr>
        <w:t>南洋大厦602室；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传    真：0574-88236376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项目联系人（询问）：陈磊</w:t>
      </w:r>
      <w:r>
        <w:rPr>
          <w:rFonts w:hint="eastAsia" w:ascii="宋体" w:hAnsi="宋体" w:cs="宋体"/>
          <w:szCs w:val="21"/>
          <w:lang w:eastAsia="zh-CN"/>
        </w:rPr>
        <w:t>、</w:t>
      </w:r>
      <w:r>
        <w:rPr>
          <w:rFonts w:hint="eastAsia" w:ascii="宋体" w:hAnsi="宋体" w:cs="宋体"/>
          <w:szCs w:val="21"/>
          <w:lang w:val="en-US" w:eastAsia="zh-CN"/>
        </w:rPr>
        <w:t>徐小民</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Cs w:val="21"/>
          <w:lang w:val="en-US" w:eastAsia="zh-CN"/>
        </w:rPr>
      </w:pPr>
      <w:r>
        <w:rPr>
          <w:rFonts w:hint="eastAsia" w:ascii="宋体" w:hAnsi="宋体" w:cs="宋体"/>
          <w:szCs w:val="21"/>
        </w:rPr>
        <w:t>项目联系方式（询问）：13777002370</w:t>
      </w:r>
      <w:r>
        <w:rPr>
          <w:rFonts w:hint="eastAsia" w:ascii="宋体" w:hAnsi="宋体" w:cs="宋体"/>
          <w:szCs w:val="21"/>
          <w:lang w:eastAsia="zh-CN"/>
        </w:rPr>
        <w:t>、</w:t>
      </w:r>
      <w:r>
        <w:rPr>
          <w:rFonts w:hint="eastAsia" w:ascii="宋体" w:hAnsi="宋体" w:cs="宋体"/>
          <w:szCs w:val="21"/>
          <w:lang w:val="en-US" w:eastAsia="zh-CN"/>
        </w:rPr>
        <w:t>15968040808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质疑联系人：杨秋云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质疑联系方式：0574-87284375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3.同级政府采购监督管理部门：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名    称：宁波市海曙区采购管理办公室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地    址：中山西路19号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 xml:space="preserve">传    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联系人 ：</w:t>
      </w:r>
      <w:r>
        <w:rPr>
          <w:rFonts w:hint="eastAsia" w:ascii="宋体" w:hAnsi="宋体" w:cs="宋体"/>
          <w:kern w:val="2"/>
          <w:szCs w:val="21"/>
          <w:lang w:val="en-US" w:eastAsia="zh-CN"/>
        </w:rPr>
        <w:t>王</w:t>
      </w:r>
      <w:r>
        <w:rPr>
          <w:rFonts w:hint="eastAsia" w:ascii="宋体" w:hAnsi="宋体" w:cs="宋体"/>
          <w:kern w:val="2"/>
          <w:szCs w:val="21"/>
        </w:rPr>
        <w:t>老师</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投诉电话：</w:t>
      </w:r>
      <w:r>
        <w:rPr>
          <w:rFonts w:hint="eastAsia" w:ascii="宋体" w:hAnsi="宋体" w:cs="宋体"/>
          <w:szCs w:val="21"/>
        </w:rPr>
        <w:t>0574-87297540</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若对项目采购电子交易系统操作有疑问，可登录政采云（https://www.zcygov.cn/），点击右侧咨询小采，获取采小蜜智能服务管家帮助，或拨打政采云服务热线400-881-7190获取热线服务帮助。</w:t>
      </w:r>
    </w:p>
    <w:p>
      <w:pPr>
        <w:widowControl w:val="0"/>
        <w:spacing w:line="360" w:lineRule="auto"/>
        <w:jc w:val="both"/>
        <w:rPr>
          <w:rFonts w:hint="eastAsia" w:ascii="宋体" w:hAnsi="宋体" w:cs="宋体"/>
          <w:szCs w:val="21"/>
        </w:rPr>
      </w:pPr>
      <w:r>
        <w:rPr>
          <w:rFonts w:hint="eastAsia" w:ascii="宋体" w:hAnsi="宋体" w:cs="宋体"/>
          <w:szCs w:val="21"/>
        </w:rPr>
        <w:t>CA问题联系电话（人工）：汇信CA 400-888-4636；天谷CA 400-087-8198。</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rPr>
      </w:pPr>
      <w:r>
        <w:rPr>
          <w:rFonts w:hint="eastAsia" w:ascii="宋体" w:hAnsi="宋体" w:cs="宋体"/>
        </w:rPr>
        <w:br w:type="page"/>
      </w:r>
      <w:bookmarkStart w:id="6" w:name="_Toc29701"/>
      <w:bookmarkStart w:id="7" w:name="_Toc2653"/>
      <w:bookmarkStart w:id="8" w:name="_Toc375060223"/>
      <w:r>
        <w:rPr>
          <w:rFonts w:hint="eastAsia" w:ascii="宋体" w:hAnsi="宋体" w:eastAsia="宋体" w:cs="宋体"/>
          <w:b/>
          <w:bCs/>
          <w:sz w:val="32"/>
        </w:rPr>
        <w:t>第</w:t>
      </w:r>
      <w:r>
        <w:rPr>
          <w:rFonts w:hint="eastAsia" w:ascii="宋体" w:hAnsi="宋体" w:eastAsia="宋体" w:cs="宋体"/>
          <w:b/>
          <w:bCs/>
          <w:sz w:val="32"/>
          <w:lang w:val="en-US" w:eastAsia="zh-CN"/>
        </w:rPr>
        <w:t>二</w:t>
      </w:r>
      <w:r>
        <w:rPr>
          <w:rFonts w:hint="eastAsia" w:ascii="宋体" w:hAnsi="宋体" w:eastAsia="宋体" w:cs="宋体"/>
          <w:b/>
          <w:bCs/>
          <w:sz w:val="32"/>
        </w:rPr>
        <w:t>章 供应商须知及前附表</w:t>
      </w:r>
    </w:p>
    <w:p>
      <w:pPr>
        <w:keepNext/>
        <w:keepLines/>
        <w:pageBreakBefore w:val="0"/>
        <w:widowControl w:val="0"/>
        <w:kinsoku/>
        <w:wordWrap/>
        <w:overflowPunct/>
        <w:topLinePunct w:val="0"/>
        <w:autoSpaceDE/>
        <w:autoSpaceDN/>
        <w:bidi w:val="0"/>
        <w:adjustRightInd w:val="0"/>
        <w:snapToGrid/>
        <w:jc w:val="center"/>
        <w:textAlignment w:val="baseline"/>
        <w:rPr>
          <w:rFonts w:hint="eastAsia" w:ascii="宋体" w:hAnsi="宋体" w:cs="宋体"/>
          <w:b/>
          <w:sz w:val="28"/>
          <w:szCs w:val="28"/>
        </w:rPr>
      </w:pPr>
      <w:bookmarkStart w:id="9" w:name="_Toc460356668"/>
      <w:r>
        <w:rPr>
          <w:rFonts w:hint="eastAsia" w:ascii="宋体" w:hAnsi="宋体" w:cs="宋体"/>
          <w:b/>
          <w:sz w:val="28"/>
          <w:szCs w:val="28"/>
        </w:rPr>
        <w:t>前 附 表</w:t>
      </w:r>
      <w:bookmarkEnd w:id="9"/>
    </w:p>
    <w:tbl>
      <w:tblPr>
        <w:tblStyle w:val="49"/>
        <w:tblW w:w="8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7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szCs w:val="21"/>
              </w:rPr>
            </w:pPr>
            <w:r>
              <w:rPr>
                <w:rFonts w:hint="eastAsia" w:ascii="宋体" w:hAnsi="宋体" w:cs="宋体"/>
                <w:b/>
                <w:bCs/>
                <w:szCs w:val="21"/>
              </w:rPr>
              <w:t>序号</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szCs w:val="21"/>
              </w:rPr>
            </w:pPr>
            <w:r>
              <w:rPr>
                <w:rFonts w:hint="eastAsia" w:ascii="宋体" w:hAnsi="宋体" w:cs="宋体"/>
                <w:b/>
                <w:bCs/>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9"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★1</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rPr>
            </w:pPr>
            <w:r>
              <w:rPr>
                <w:rFonts w:hint="eastAsia" w:ascii="宋体" w:hAnsi="宋体" w:eastAsia="宋体" w:cs="宋体"/>
              </w:rPr>
              <w:t>投标报价及费用：</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1）本项目</w:t>
            </w:r>
            <w:r>
              <w:rPr>
                <w:rFonts w:hint="eastAsia" w:ascii="宋体" w:hAnsi="宋体" w:eastAsia="宋体" w:cs="宋体"/>
                <w:lang w:val="en-US" w:eastAsia="zh-CN"/>
              </w:rPr>
              <w:t>投标报价方式：以单价（元/㎡）报价，拆迁建筑面积暂按采购需求计取，结算时以实际拆迁范围内的评估测绘面积为准。</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本项目投标报价应为完成拆迁征收第三方服务服务可能发生的全部费用及投标供应商的利润和应交纳的税金等（包括人员工资、奖金、各种加班费、夜餐费、各种社会保险、餐饮与交通必需的一切本身和不可或缺的所有工作开支、政策性文件规定及合同包含的所有风险、责任等、专用设备、消耗材料、服装、安全、管理费用、税费、利润、招标代理服务费、完成合同所需各项费用并承担一切风险责任）</w:t>
            </w:r>
            <w:r>
              <w:rPr>
                <w:rFonts w:hint="eastAsia" w:ascii="宋体" w:hAnsi="宋体" w:eastAsia="宋体" w:cs="宋体"/>
                <w:lang w:eastAsia="zh-CN"/>
              </w:rPr>
              <w:t>；</w:t>
            </w:r>
            <w:r>
              <w:rPr>
                <w:rFonts w:hint="eastAsia" w:ascii="宋体" w:hAnsi="宋体" w:eastAsia="宋体" w:cs="宋体"/>
                <w:lang w:val="en-US" w:eastAsia="zh-CN"/>
              </w:rPr>
              <w:t>项目</w:t>
            </w:r>
            <w:r>
              <w:rPr>
                <w:rFonts w:hint="eastAsia" w:ascii="宋体" w:hAnsi="宋体" w:eastAsia="宋体" w:cs="宋体"/>
                <w:lang w:eastAsia="zh-CN"/>
              </w:rPr>
              <w:t>实行固定单价包干，供应商应根据上述因素自行考虑含入投标报价。投标供应商对合同内容的费用、质量等实行全面承包。</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）投标报价超过最高限价（</w:t>
            </w:r>
            <w:r>
              <w:rPr>
                <w:rFonts w:hint="eastAsia" w:ascii="宋体" w:hAnsi="宋体" w:eastAsia="宋体" w:cs="宋体"/>
                <w:lang w:val="en-US" w:eastAsia="zh-CN"/>
              </w:rPr>
              <w:t>单价或合价</w:t>
            </w:r>
            <w:r>
              <w:rPr>
                <w:rFonts w:hint="eastAsia" w:ascii="宋体" w:hAnsi="宋体" w:eastAsia="宋体" w:cs="宋体"/>
                <w:lang w:eastAsia="zh-CN"/>
              </w:rPr>
              <w:t>）的，</w:t>
            </w:r>
            <w:r>
              <w:rPr>
                <w:rFonts w:hint="eastAsia" w:ascii="宋体" w:hAnsi="宋体" w:eastAsia="宋体" w:cs="宋体"/>
                <w:lang w:val="en-US" w:eastAsia="zh-CN"/>
              </w:rPr>
              <w:t>均</w:t>
            </w:r>
            <w:r>
              <w:rPr>
                <w:rFonts w:hint="eastAsia" w:ascii="宋体" w:hAnsi="宋体" w:eastAsia="宋体" w:cs="宋体"/>
                <w:lang w:eastAsia="zh-CN"/>
              </w:rPr>
              <w:t>作无效标处理。</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rPr>
              <w:t>）不论投标结果如何，供应商均应自行承担所有与投标有关的全部费用。</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rPr>
              <w:t>）中标服务费的收取：</w:t>
            </w:r>
            <w:r>
              <w:rPr>
                <w:rFonts w:hint="eastAsia" w:ascii="宋体" w:hAnsi="宋体" w:eastAsia="宋体" w:cs="宋体"/>
                <w:lang w:val="en-US" w:eastAsia="zh-CN"/>
              </w:rPr>
              <w:t>招标</w:t>
            </w:r>
            <w:r>
              <w:rPr>
                <w:rFonts w:hint="eastAsia" w:ascii="宋体" w:hAnsi="宋体" w:eastAsia="宋体" w:cs="宋体"/>
              </w:rPr>
              <w:t>代理机构</w:t>
            </w:r>
            <w:r>
              <w:rPr>
                <w:rFonts w:hint="eastAsia" w:ascii="宋体" w:hAnsi="宋体" w:eastAsia="宋体" w:cs="宋体"/>
                <w:lang w:val="en-US" w:eastAsia="zh-CN"/>
              </w:rPr>
              <w:t>分别向</w:t>
            </w:r>
            <w:r>
              <w:rPr>
                <w:rFonts w:hint="eastAsia" w:ascii="宋体" w:hAnsi="宋体" w:eastAsia="宋体" w:cs="宋体"/>
              </w:rPr>
              <w:t>中标人</w:t>
            </w:r>
            <w:r>
              <w:rPr>
                <w:rFonts w:hint="eastAsia" w:ascii="宋体" w:hAnsi="宋体" w:eastAsia="宋体" w:cs="宋体"/>
                <w:lang w:val="en-US" w:eastAsia="zh-CN"/>
              </w:rPr>
              <w:t>一次性</w:t>
            </w:r>
            <w:r>
              <w:rPr>
                <w:rFonts w:hint="eastAsia" w:ascii="宋体" w:hAnsi="宋体" w:eastAsia="宋体" w:cs="宋体"/>
              </w:rPr>
              <w:t>收取中标服务费</w:t>
            </w:r>
            <w:r>
              <w:rPr>
                <w:rFonts w:hint="eastAsia" w:ascii="宋体" w:hAnsi="宋体" w:eastAsia="宋体" w:cs="宋体"/>
                <w:lang w:val="en-US" w:eastAsia="zh-CN"/>
              </w:rPr>
              <w:t>15034元</w:t>
            </w:r>
            <w:r>
              <w:rPr>
                <w:rFonts w:hint="eastAsia" w:ascii="宋体" w:hAnsi="宋体" w:eastAsia="宋体" w:cs="宋体"/>
                <w:lang w:eastAsia="zh-CN"/>
              </w:rPr>
              <w:t>；</w:t>
            </w:r>
            <w:r>
              <w:rPr>
                <w:rFonts w:hint="eastAsia" w:ascii="宋体" w:hAnsi="宋体" w:eastAsia="宋体" w:cs="宋体"/>
                <w:lang w:val="en-US" w:eastAsia="zh-CN"/>
              </w:rPr>
              <w:t>中标服务费只收现金、银行票汇款、电汇款。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2</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Cs w:val="21"/>
              </w:rPr>
            </w:pPr>
            <w:r>
              <w:rPr>
                <w:rFonts w:hint="eastAsia" w:ascii="宋体" w:hAnsi="宋体" w:cs="宋体"/>
                <w:szCs w:val="21"/>
              </w:rPr>
              <w:t>投标文件组成与份数：</w:t>
            </w:r>
          </w:p>
          <w:p>
            <w:pPr>
              <w:jc w:val="both"/>
              <w:rPr>
                <w:rFonts w:hint="eastAsia" w:ascii="宋体" w:hAnsi="宋体" w:cs="宋体"/>
              </w:rPr>
            </w:pPr>
            <w:r>
              <w:rPr>
                <w:rFonts w:hint="eastAsia" w:ascii="宋体" w:hAnsi="宋体" w:cs="宋体"/>
              </w:rPr>
              <w:t>（1）上传到政府采购云平台的电子投标文件（</w:t>
            </w:r>
            <w:r>
              <w:rPr>
                <w:rFonts w:hint="eastAsia" w:ascii="宋体" w:hAnsi="宋体" w:cs="宋体"/>
                <w:snapToGrid w:val="0"/>
                <w:szCs w:val="21"/>
              </w:rPr>
              <w:t>资格文件、商务技术文件</w:t>
            </w:r>
            <w:r>
              <w:rPr>
                <w:rFonts w:hint="eastAsia" w:ascii="宋体" w:hAnsi="宋体" w:cs="宋体"/>
              </w:rPr>
              <w:t>、报价文件）1份；</w:t>
            </w:r>
          </w:p>
          <w:p>
            <w:pPr>
              <w:jc w:val="both"/>
              <w:rPr>
                <w:rFonts w:hint="eastAsia" w:ascii="宋体" w:hAnsi="宋体" w:cs="宋体"/>
              </w:rPr>
            </w:pPr>
            <w:r>
              <w:rPr>
                <w:rFonts w:hint="eastAsia" w:ascii="宋体" w:hAnsi="宋体" w:cs="宋体"/>
              </w:rPr>
              <w:t>（2）以U盘存储的电子备份投标文件（资格文件、商务技术文件、报价文件）1份；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3</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lang w:val="en-US" w:eastAsia="zh-CN"/>
              </w:rPr>
            </w:pPr>
            <w:r>
              <w:rPr>
                <w:rFonts w:hint="eastAsia" w:ascii="宋体" w:hAnsi="宋体" w:cs="宋体"/>
                <w:bCs/>
                <w:szCs w:val="21"/>
                <w:highlight w:val="none"/>
              </w:rPr>
              <w:t>投标保证金：无</w:t>
            </w:r>
            <w:r>
              <w:rPr>
                <w:rFonts w:hint="eastAsia" w:ascii="宋体" w:hAnsi="宋体" w:cs="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lang w:val="en-US" w:eastAsia="zh-CN"/>
              </w:rPr>
              <w:t>4</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rPr>
              <w:t>评标办法及评分标准：详见“第四章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lang w:val="en-US" w:eastAsia="zh-CN"/>
              </w:rPr>
              <w:t>5</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rPr>
              <w:t>评标结果公示：评标结束后，经采购</w:t>
            </w:r>
            <w:r>
              <w:rPr>
                <w:rFonts w:hint="eastAsia" w:ascii="宋体" w:hAnsi="宋体" w:cs="宋体"/>
                <w:lang w:val="en-US" w:eastAsia="zh-CN"/>
              </w:rPr>
              <w:t>人</w:t>
            </w:r>
            <w:r>
              <w:rPr>
                <w:rFonts w:hint="eastAsia" w:ascii="宋体" w:hAnsi="宋体" w:cs="宋体"/>
              </w:rPr>
              <w:t>确认，评标结果公示于招标公告发布网站。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lang w:val="en-US" w:eastAsia="zh-CN"/>
              </w:rPr>
              <w:t>6</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snapToGrid w:val="0"/>
                <w:szCs w:val="21"/>
              </w:rPr>
              <w:t>合同签订时间：中标通知书发出30日内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lang w:val="en-US" w:eastAsia="zh-CN"/>
              </w:rPr>
              <w:t>7</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8</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Cs w:val="21"/>
              </w:rPr>
            </w:pPr>
            <w:r>
              <w:rPr>
                <w:rFonts w:hint="eastAsia" w:ascii="宋体" w:hAnsi="宋体" w:eastAsia="宋体" w:cs="宋体"/>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9</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rPr>
            </w:pPr>
            <w:r>
              <w:rPr>
                <w:rFonts w:hint="eastAsia" w:ascii="宋体" w:hAnsi="宋体" w:eastAsia="宋体" w:cs="宋体"/>
                <w:snapToGrid w:val="0"/>
                <w:szCs w:val="21"/>
              </w:rPr>
              <w:t>现场踏勘：自行踏勘现场，费用自理。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napToGrid w:val="0"/>
                <w:szCs w:val="21"/>
              </w:rPr>
            </w:pPr>
            <w:r>
              <w:rPr>
                <w:rFonts w:hint="eastAsia" w:ascii="宋体" w:hAnsi="宋体" w:eastAsia="宋体" w:cs="宋体"/>
                <w:snapToGrid w:val="0"/>
                <w:szCs w:val="21"/>
              </w:rPr>
              <w:t>中标候选人及中标供应商数量：由评标委员会推荐1名中标候选人，由采购人按照推荐顺序确定1名中标单位。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lang w:val="en-US" w:eastAsia="zh-CN"/>
              </w:rPr>
            </w:pPr>
            <w:r>
              <w:rPr>
                <w:rFonts w:hint="eastAsia" w:ascii="宋体" w:hAnsi="宋体" w:cs="宋体"/>
              </w:rPr>
              <w:t>★</w:t>
            </w:r>
            <w:r>
              <w:rPr>
                <w:rFonts w:hint="eastAsia" w:ascii="宋体" w:hAnsi="宋体" w:cs="宋体"/>
                <w:lang w:val="en-US" w:eastAsia="zh-CN"/>
              </w:rPr>
              <w:t>11</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napToGrid w:val="0"/>
                <w:szCs w:val="21"/>
              </w:rPr>
            </w:pPr>
            <w:r>
              <w:rPr>
                <w:rFonts w:hint="eastAsia" w:ascii="宋体" w:hAnsi="宋体" w:cs="宋体"/>
                <w:snapToGrid w:val="0"/>
                <w:szCs w:val="21"/>
              </w:rPr>
              <w:t>履约担保金额：</w:t>
            </w:r>
            <w:r>
              <w:rPr>
                <w:rFonts w:hint="eastAsia" w:ascii="宋体" w:hAnsi="宋体" w:cs="宋体"/>
                <w:snapToGrid w:val="0"/>
                <w:szCs w:val="21"/>
                <w:lang w:val="en-US" w:eastAsia="zh-CN"/>
              </w:rPr>
              <w:t>标项</w:t>
            </w:r>
            <w:r>
              <w:rPr>
                <w:rFonts w:hint="eastAsia" w:ascii="宋体" w:hAnsi="宋体" w:cs="宋体"/>
                <w:snapToGrid w:val="0"/>
                <w:szCs w:val="21"/>
              </w:rPr>
              <w:t xml:space="preserve">合同价款的1% </w:t>
            </w:r>
          </w:p>
          <w:p>
            <w:pPr>
              <w:jc w:val="both"/>
              <w:rPr>
                <w:rFonts w:hint="eastAsia" w:ascii="宋体" w:hAnsi="宋体" w:eastAsia="宋体" w:cs="宋体"/>
                <w:snapToGrid w:val="0"/>
                <w:szCs w:val="21"/>
                <w:lang w:eastAsia="zh-CN"/>
              </w:rPr>
            </w:pPr>
            <w:r>
              <w:rPr>
                <w:rFonts w:hint="eastAsia" w:ascii="宋体" w:hAnsi="宋体" w:cs="宋体"/>
                <w:snapToGrid w:val="0"/>
                <w:szCs w:val="21"/>
              </w:rPr>
              <w:t>履约担保形式：履约保证金（对公账户的转帐支票、汇票、电汇）、履约担保保函（银行、保险公司出具）</w:t>
            </w:r>
            <w:r>
              <w:rPr>
                <w:rFonts w:hint="eastAsia" w:ascii="宋体" w:hAnsi="宋体" w:cs="宋体"/>
                <w:snapToGrid w:val="0"/>
                <w:szCs w:val="21"/>
                <w:lang w:eastAsia="zh-CN"/>
              </w:rPr>
              <w:t>。</w:t>
            </w:r>
          </w:p>
          <w:p>
            <w:pPr>
              <w:jc w:val="both"/>
              <w:rPr>
                <w:rFonts w:hint="eastAsia" w:ascii="宋体" w:hAnsi="宋体" w:cs="宋体"/>
                <w:snapToGrid w:val="0"/>
                <w:szCs w:val="21"/>
              </w:rPr>
            </w:pPr>
            <w:r>
              <w:rPr>
                <w:rFonts w:hint="eastAsia" w:ascii="宋体" w:hAnsi="宋体" w:cs="宋体"/>
                <w:snapToGrid w:val="0"/>
                <w:szCs w:val="21"/>
              </w:rPr>
              <w:t>履约担保在中标通知书发出后7天内，合同签订之前缴纳给采购人。项目经相关部门进行现场检查、检验、综合评定</w:t>
            </w:r>
            <w:r>
              <w:rPr>
                <w:rFonts w:hint="eastAsia" w:ascii="宋体" w:hAnsi="宋体" w:cs="宋体"/>
                <w:snapToGrid w:val="0"/>
                <w:szCs w:val="21"/>
                <w:lang w:val="en-US" w:eastAsia="zh-CN"/>
              </w:rPr>
              <w:t>并</w:t>
            </w:r>
            <w:r>
              <w:rPr>
                <w:rFonts w:hint="eastAsia" w:ascii="宋体" w:hAnsi="宋体" w:cs="宋体"/>
                <w:snapToGrid w:val="0"/>
                <w:szCs w:val="21"/>
              </w:rPr>
              <w:t>验收合格后退回。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2</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napToGrid w:val="0"/>
                <w:szCs w:val="21"/>
                <w:lang w:val="en-US" w:eastAsia="zh-CN"/>
              </w:rPr>
            </w:pPr>
            <w:r>
              <w:rPr>
                <w:rFonts w:hint="eastAsia" w:ascii="宋体" w:hAnsi="宋体" w:cs="宋体"/>
                <w:snapToGrid w:val="0"/>
                <w:szCs w:val="21"/>
              </w:rPr>
              <w:t>其它：不允许有投标备选方案</w:t>
            </w:r>
            <w:r>
              <w:rPr>
                <w:rFonts w:hint="eastAsia" w:ascii="宋体" w:hAnsi="宋体" w:cs="宋体"/>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1"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3</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snapToGrid w:val="0"/>
                <w:szCs w:val="21"/>
              </w:rPr>
            </w:pPr>
            <w:r>
              <w:rPr>
                <w:rFonts w:hint="eastAsia" w:ascii="宋体" w:hAnsi="宋体" w:cs="宋体"/>
                <w:b w:val="0"/>
                <w:bCs w:val="0"/>
              </w:rPr>
              <w:t>解释：项目名称、公告标题等不影响对项目性质的认定；本采购文件的解释权属于招标采购单位。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投标邀请书）、</w:t>
            </w:r>
            <w:r>
              <w:rPr>
                <w:rFonts w:hint="eastAsia" w:ascii="宋体" w:hAnsi="宋体" w:cs="宋体"/>
                <w:szCs w:val="21"/>
              </w:rPr>
              <w:t>供应商</w:t>
            </w:r>
            <w:r>
              <w:rPr>
                <w:rFonts w:hint="eastAsia" w:ascii="宋体" w:hAnsi="宋体" w:cs="宋体"/>
                <w:b w:val="0"/>
                <w:bCs w:val="0"/>
              </w:rPr>
              <w:t>须知前附表、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cs="宋体"/>
                <w:szCs w:val="21"/>
              </w:rPr>
              <w:t>★</w:t>
            </w:r>
            <w:r>
              <w:rPr>
                <w:rFonts w:hint="eastAsia" w:ascii="宋体" w:hAnsi="宋体" w:cs="宋体"/>
              </w:rPr>
              <w:t>1</w:t>
            </w:r>
            <w:r>
              <w:rPr>
                <w:rFonts w:hint="eastAsia" w:ascii="宋体" w:hAnsi="宋体" w:cs="宋体"/>
                <w:lang w:val="en-US" w:eastAsia="zh-CN"/>
              </w:rPr>
              <w:t>4</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rPr>
            </w:pPr>
            <w:r>
              <w:rPr>
                <w:rFonts w:hint="eastAsia" w:ascii="宋体" w:hAnsi="宋体" w:cs="宋体"/>
                <w:snapToGrid w:val="0"/>
                <w:szCs w:val="21"/>
              </w:rPr>
              <w:t>不同供应商的投标文件出自同一终端设备或在相同Internet主机分配地址（相同IP地址）网上报名投标的作无效标处理。</w:t>
            </w:r>
          </w:p>
        </w:tc>
      </w:tr>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szCs w:val="21"/>
        </w:rPr>
      </w:pPr>
      <w:r>
        <w:rPr>
          <w:rFonts w:hint="eastAsia" w:ascii="宋体" w:hAnsi="宋体" w:cs="宋体"/>
        </w:rPr>
        <w:br w:type="page"/>
      </w:r>
      <w:bookmarkStart w:id="10" w:name="_Toc460356669"/>
      <w:r>
        <w:rPr>
          <w:rFonts w:hint="eastAsia" w:ascii="宋体" w:hAnsi="宋体" w:eastAsia="宋体" w:cs="宋体"/>
          <w:b/>
          <w:szCs w:val="21"/>
        </w:rPr>
        <w:t>一、总则</w:t>
      </w:r>
      <w:bookmarkEnd w:id="10"/>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（一） 适用范围</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本采购文件适用于本项目的招标、投标、评标、定标、验收、合同履约、付款等行为（法律、法规另有规定的，从其规定）。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（二）定义</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1.“招标采购单位”系指组织本次招标的采购代理机构和采购人。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2.“供应商”系指向采购人提交投标文件的单位。</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3.“服务”系指招标文件规定供应商须承担的</w:t>
      </w:r>
      <w:r>
        <w:rPr>
          <w:rFonts w:hint="eastAsia" w:ascii="宋体" w:hAnsi="宋体" w:eastAsia="宋体" w:cs="宋体"/>
          <w:szCs w:val="21"/>
          <w:lang w:eastAsia="zh-CN"/>
        </w:rPr>
        <w:t>秋实快速路（鄞州大道-环城南路）项目（集士港段）</w:t>
      </w:r>
      <w:r>
        <w:rPr>
          <w:rFonts w:hint="eastAsia" w:ascii="宋体" w:hAnsi="宋体" w:eastAsia="宋体" w:cs="宋体"/>
          <w:szCs w:val="21"/>
        </w:rPr>
        <w:t>拆迁征收第三方服务。</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.“项目”系指供应商按招标文件规定向采购人提供的产品和服务。</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.“书面形式”包括信函、传真、电函等。</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.“★”系指实质性要求条款，供应商的投标对任何带“★”号的重要商务和技术条款的偏离和未作实质性响应都将直接导致投标无效。</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（三）招标方式</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本次招标采用公开招标方式进行。</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（四）投标委托</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如供应商派授权代表出席开标会议，授权代表须携带有效身份证件。如供应商代表不是法定代表人，须有法定代表人出具的授权委托书。</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（五）投标费用</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不论投标结果如何，供应商均应自行承担所有与投标有关的全部费用（</w:t>
      </w:r>
      <w:r>
        <w:rPr>
          <w:rFonts w:hint="eastAsia" w:ascii="宋体" w:hAnsi="宋体" w:eastAsia="宋体" w:cs="宋体"/>
          <w:szCs w:val="21"/>
          <w:lang w:val="en-US" w:eastAsia="zh-CN"/>
        </w:rPr>
        <w:t>招标</w:t>
      </w:r>
      <w:r>
        <w:rPr>
          <w:rFonts w:hint="eastAsia" w:ascii="宋体" w:hAnsi="宋体" w:eastAsia="宋体" w:cs="宋体"/>
          <w:szCs w:val="21"/>
        </w:rPr>
        <w:t>文件有</w:t>
      </w:r>
      <w:r>
        <w:rPr>
          <w:rFonts w:hint="eastAsia" w:ascii="宋体" w:hAnsi="宋体" w:eastAsia="宋体" w:cs="宋体"/>
          <w:szCs w:val="21"/>
          <w:lang w:val="en-US" w:eastAsia="zh-CN"/>
        </w:rPr>
        <w:t>其他</w:t>
      </w:r>
      <w:r>
        <w:rPr>
          <w:rFonts w:hint="eastAsia" w:ascii="宋体" w:hAnsi="宋体" w:eastAsia="宋体" w:cs="宋体"/>
          <w:szCs w:val="21"/>
        </w:rPr>
        <w:t>规定除外）。</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（六）联合体投标</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本项目不接受联合体投标。</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（七）转包与分包</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本项目不得转包，未经采购人同意，不允许分包。</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（八）特别说明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.供应商投标所使用的资格、信誉、荣誉、业绩与企业认证必须为本法人所拥有。供应商投标所使用的采购项目实施人员必须为本法人员工（或必须为本法人或控股公司正式员工）。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.供应商应仔细阅读招标文件的所有内容，按照招标文件的要求提交投标文件，并对所提供的全部资料的真实性承担法律责任。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.供应商在投标活动中提供任何虚假材料,其投标无效，并报监管部门查处；中标后发现的,中标人须依照相关规定赔偿采购人，且民事赔偿并不免除违法供应商的行政与刑事责任。</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（九）询问、质疑和投诉</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1.询问</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（1）供应商对政府采购活动事项有疑问的，可以向采购代理机构提出询问，询问可以口头方式提出，也可以书面方式提出。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（2）采购代理机构在三个工作日内对供应商依法提出的询问作出答复，但答复的内容不涉及商业秘密。</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供应商认为招标文件、招标过程或中标结果使自己的合法权益受到损害的，应当在知道或者应知其权益受到损害之日起七个工作日内，以书面形式向采购人、采购代理机构提出质疑。供应商对采购人、采购代理机构的答复不满意或者采购人、采购代理机构未在规定的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.政府采购法第五十二条规定的供应商应知其权益受到损害之日，是指：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（3）对中标或者成交结果提出质疑的，为中标或者成交结果公告期限届满之日。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（十）关于分公司投标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总公司取得的相关资质、荣誉等对分公司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（十一）关于知识产权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2.投标报价应包含所有应向所有权人支付的专利权、商标权或其它知识产权的一切相关费用。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宋体" w:hAnsi="宋体" w:eastAsia="宋体" w:cs="宋体"/>
          <w:szCs w:val="21"/>
          <w:lang w:val="en-US" w:eastAsia="zh-CN"/>
        </w:rPr>
        <w:t>3.系统软件、通用软件必须是具有在中国境内的合法使用权或版权的正版软件，涉及到第三方提出侵权或知识产权的起诉及支付版税等费用由投标人承担所有责任及费用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二、</w:t>
      </w:r>
      <w:r>
        <w:rPr>
          <w:rFonts w:hint="eastAsia" w:ascii="宋体" w:hAnsi="宋体" w:eastAsia="宋体" w:cs="宋体"/>
          <w:b/>
          <w:szCs w:val="21"/>
          <w:lang w:val="en-US" w:eastAsia="zh-CN"/>
        </w:rPr>
        <w:t>采购</w:t>
      </w:r>
      <w:r>
        <w:rPr>
          <w:rFonts w:hint="eastAsia" w:ascii="宋体" w:hAnsi="宋体" w:eastAsia="宋体" w:cs="宋体"/>
          <w:b/>
          <w:szCs w:val="21"/>
        </w:rPr>
        <w:t>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（一）</w:t>
      </w:r>
      <w:r>
        <w:rPr>
          <w:rFonts w:hint="eastAsia" w:ascii="宋体" w:hAnsi="宋体" w:eastAsia="宋体" w:cs="宋体"/>
          <w:b/>
          <w:bCs/>
          <w:szCs w:val="21"/>
          <w:lang w:val="en-US" w:eastAsia="zh-CN"/>
        </w:rPr>
        <w:t>采购</w:t>
      </w:r>
      <w:r>
        <w:rPr>
          <w:rFonts w:hint="eastAsia" w:ascii="宋体" w:hAnsi="宋体" w:eastAsia="宋体" w:cs="宋体"/>
          <w:b/>
          <w:bCs/>
          <w:szCs w:val="21"/>
        </w:rPr>
        <w:t>文件的构成。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本</w:t>
      </w:r>
      <w:r>
        <w:rPr>
          <w:rFonts w:hint="eastAsia" w:ascii="宋体" w:hAnsi="宋体" w:eastAsia="宋体" w:cs="宋体"/>
          <w:szCs w:val="21"/>
          <w:lang w:val="en-US" w:eastAsia="zh-CN"/>
        </w:rPr>
        <w:t>采购</w:t>
      </w:r>
      <w:r>
        <w:rPr>
          <w:rFonts w:hint="eastAsia" w:ascii="宋体" w:hAnsi="宋体" w:eastAsia="宋体" w:cs="宋体"/>
          <w:szCs w:val="21"/>
        </w:rPr>
        <w:t xml:space="preserve">文件由以下部分组成：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采购</w:t>
      </w:r>
      <w:r>
        <w:rPr>
          <w:rFonts w:hint="eastAsia" w:ascii="宋体" w:hAnsi="宋体" w:eastAsia="宋体" w:cs="宋体"/>
          <w:szCs w:val="21"/>
        </w:rPr>
        <w:t>公告</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2、供应商须知及前附表</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3、采购需求</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4、评标办法及评分标准</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5、政府采购合同主要条款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6、投标文件格式</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7、本项目采购文件的澄清、答复、修改、补充的内容</w:t>
      </w:r>
    </w:p>
    <w:p>
      <w:pPr>
        <w:keepNext w:val="0"/>
        <w:keepLines w:val="0"/>
        <w:pageBreakBefore w:val="0"/>
        <w:widowControl w:val="0"/>
        <w:kinsoku/>
        <w:wordWrap/>
        <w:overflowPunct/>
        <w:topLinePunct w:val="0"/>
        <w:autoSpaceDE/>
        <w:autoSpaceDN/>
        <w:bidi w:val="0"/>
        <w:adjustRightIn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（二）供应商的风险</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供应商没有按照采购文件要求提供全部资料，或者供应商没有对采购文件在各方面作出实质性响应是供应商的风险，并可能导致其投标被拒绝。</w:t>
      </w:r>
    </w:p>
    <w:p>
      <w:pPr>
        <w:keepNext w:val="0"/>
        <w:keepLines w:val="0"/>
        <w:pageBreakBefore w:val="0"/>
        <w:widowControl w:val="0"/>
        <w:kinsoku/>
        <w:wordWrap/>
        <w:overflowPunct/>
        <w:topLinePunct w:val="0"/>
        <w:autoSpaceDE/>
        <w:autoSpaceDN/>
        <w:bidi w:val="0"/>
        <w:adjustRightInd/>
        <w:snapToGrid w:val="0"/>
        <w:spacing w:before="0" w:after="0" w:line="360" w:lineRule="auto"/>
        <w:ind w:firstLine="422" w:firstLineChars="2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（三）招标文件的澄清与修改 </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采购单位、采购代理机构对已发出的招标文件进行必要的澄清或者修改时，澄清或者修改的内容可能影响投标文件编制的，将在招标公告规定的投标截止时间十五日前，以书面形式或在规定信息发布网站上通知所有已获取招标文件的潜在供应商，并要求潜在供应商进行传真或书面确认澄清和修改已收悉，澄清和修改的内容作为招标文件的组成部分。采购人或招标代理机构根据实际情况，延长投标截止时间的，在投标截止时间三日前告知所有已获取招标文件的潜在供应商，并要求回执确认。</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2.招标文件澄清、答复、修改、补充的内容为招标文件的组成部分。当招标文件与招标文件的答复、澄清、修改、补充通知就同一内容的表述不一致时，以最后发出的书面文件为准。</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3.招标文件的澄清、答复、修改或补充都应该通过本代理机构以法定形式发布，采购人非通过本机构，不得擅自澄清、答复、修改或补充招标文件。</w:t>
      </w:r>
    </w:p>
    <w:p>
      <w:pPr>
        <w:keepNext w:val="0"/>
        <w:keepLines w:val="0"/>
        <w:pageBreakBefore w:val="0"/>
        <w:widowControl w:val="0"/>
        <w:kinsoku/>
        <w:wordWrap/>
        <w:overflowPunct/>
        <w:topLinePunct w:val="0"/>
        <w:autoSpaceDE/>
        <w:autoSpaceDN/>
        <w:bidi w:val="0"/>
        <w:adjustRightInd/>
        <w:snapToGrid w:val="0"/>
        <w:spacing w:before="0" w:after="0" w:line="360" w:lineRule="auto"/>
        <w:ind w:firstLine="422" w:firstLineChars="2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（四）对招标文件的异议</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已获取招标文件的潜在供应商对招标文件有异议，应知其权益受到损害之日起七个工作日内书面提出。逾期提出的将不予受理。对招标文件的异议应有法定代表人或其委托代理人签字，并盖供应商公章和注明日期。</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2.没有提出异议且又参与了该项目投标的供应商将被视为完全认同招标文件。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三、投标文件的编制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（一）投标文件的组成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投标文件由资格文件、商务技术文件和报价文件三部分组成；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1.资格文件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（1）供应商资格声明函；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（2）有效的企业法人营业执照（或事业法人登记证）、其他组织（个体工商户）的营业执照或者民办非企业单位登记证书复印件；投标供应商如果有名称变更的，应提供由行政主管部门出具的变更证明文件；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 xml:space="preserve">（3）供应商特定资格条件的证明文件：详见“第一章 </w:t>
      </w:r>
      <w:r>
        <w:rPr>
          <w:rFonts w:hint="eastAsia" w:ascii="宋体" w:hAnsi="宋体" w:eastAsia="宋体" w:cs="宋体"/>
          <w:szCs w:val="21"/>
          <w:lang w:val="en-US" w:eastAsia="zh-CN"/>
        </w:rPr>
        <w:t>公开招标</w:t>
      </w:r>
      <w:r>
        <w:rPr>
          <w:rFonts w:hint="eastAsia" w:ascii="宋体" w:hAnsi="宋体" w:eastAsia="宋体" w:cs="宋体"/>
          <w:szCs w:val="21"/>
        </w:rPr>
        <w:t>公告 二、申请人的资格要求：3.本项目的特定资格要求”；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供应商自觉抵制政府采购领域商业贿赂行为承诺书；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）招标文件要求的其他资格条件证明材料</w:t>
      </w:r>
      <w:r>
        <w:rPr>
          <w:rFonts w:hint="eastAsia" w:ascii="宋体" w:hAnsi="宋体" w:eastAsia="宋体" w:cs="宋体"/>
          <w:szCs w:val="21"/>
          <w:lang w:val="en-US" w:eastAsia="zh-CN"/>
        </w:rPr>
        <w:t>。</w:t>
      </w:r>
    </w:p>
    <w:p>
      <w:pPr>
        <w:keepNext w:val="0"/>
        <w:keepLines w:val="0"/>
        <w:pageBreakBefore w:val="0"/>
        <w:kinsoku/>
        <w:wordWrap/>
        <w:overflowPunct/>
        <w:topLinePunct w:val="0"/>
        <w:autoSpaceDE/>
        <w:autoSpaceDN/>
        <w:bidi w:val="0"/>
        <w:adjustRightIn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2.商务技术文件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（1）评分标准对应页码；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（2）投标函；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（3）法定代表人身份证明或法定代表人授权委托书；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（4）供应商基本情况表；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（5）政府采购统计基础信息表；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（6）商务技术条款响应（偏离）表；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）技术部分：针对本项目第</w:t>
      </w:r>
      <w:r>
        <w:rPr>
          <w:rFonts w:hint="eastAsia" w:ascii="宋体" w:hAnsi="宋体" w:eastAsia="宋体" w:cs="宋体"/>
          <w:szCs w:val="21"/>
          <w:lang w:val="en-US" w:eastAsia="zh-CN"/>
        </w:rPr>
        <w:t>三</w:t>
      </w:r>
      <w:r>
        <w:rPr>
          <w:rFonts w:hint="eastAsia" w:ascii="宋体" w:hAnsi="宋体" w:eastAsia="宋体" w:cs="宋体"/>
          <w:szCs w:val="21"/>
        </w:rPr>
        <w:t>章采购需求及第四章评分标准中的条款拟定各种方案，格式自拟；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）拟派本项目人员配备汇总表；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）类似项目业绩表；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）根据招标文件或评分标准提供的商务技术材料；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）供应商认为有需要提供的其它证明资料。</w:t>
      </w:r>
    </w:p>
    <w:p>
      <w:pPr>
        <w:keepNext w:val="0"/>
        <w:keepLines w:val="0"/>
        <w:pageBreakBefore w:val="0"/>
        <w:kinsoku/>
        <w:wordWrap/>
        <w:overflowPunct/>
        <w:topLinePunct w:val="0"/>
        <w:autoSpaceDE/>
        <w:autoSpaceDN/>
        <w:bidi w:val="0"/>
        <w:adjustRightIn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3.报价文件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（1）开标一览表；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（2）供应商针对报价需要说明的其他文件和说明。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）中小企业声明函（如有）；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）残疾人福利性单位声明函（如有）；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）供应商针对报价需要说明的其他文件和说明。</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4.注意事项：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电子投标文件中所须加盖公章部分均采用CA签章。</w:t>
      </w:r>
    </w:p>
    <w:p>
      <w:pPr>
        <w:pStyle w:val="47"/>
        <w:keepNext w:val="0"/>
        <w:keepLines w:val="0"/>
        <w:pageBreakBefore w:val="0"/>
        <w:kinsoku/>
        <w:wordWrap/>
        <w:overflowPunct/>
        <w:topLinePunct w:val="0"/>
        <w:autoSpaceDE/>
        <w:autoSpaceDN/>
        <w:bidi w:val="0"/>
        <w:adjustRightIn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（2）上述组成投标文件的各项资料中本采购文件的第六章有规定格式的，应统一按本采购文件的规定格式填写。未提供格式的由供应商自拟，但至少要包含以上要求的内容。</w:t>
      </w:r>
    </w:p>
    <w:p>
      <w:pPr>
        <w:pStyle w:val="47"/>
        <w:keepNext w:val="0"/>
        <w:keepLines w:val="0"/>
        <w:pageBreakBefore w:val="0"/>
        <w:kinsoku/>
        <w:wordWrap/>
        <w:overflowPunct/>
        <w:topLinePunct w:val="0"/>
        <w:autoSpaceDE/>
        <w:autoSpaceDN/>
        <w:bidi w:val="0"/>
        <w:adjustRightIn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投标文件在提供对投标产品技术条款响应表的应答时，对投标文件有技术数值要求的参数，必须以投标货物的具体技术数值据实应答；对于招标文件无数值要求的参数的应答，必须作出明确、直接、无导致两种理解可能的应答。</w:t>
      </w:r>
    </w:p>
    <w:p>
      <w:pPr>
        <w:pStyle w:val="44"/>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（二）投标文件的语言及计量</w:t>
      </w:r>
    </w:p>
    <w:p>
      <w:pPr>
        <w:pStyle w:val="4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★2.投标计量单位，采购文件已有明确规定的，使用采购文件规定的计量单位；采购文件没有规定的，应采用中华人民共和国法定计量单位（货币单位：人民币元），否则视同未响应。</w:t>
      </w:r>
    </w:p>
    <w:p>
      <w:pPr>
        <w:pageBreakBefore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（三）投标报价</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1.投标报价应按招标文件中相关附表格式填写。</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★2.投标文件只允许有一个报价，有选择的或有条件的报价将不予接受。</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3.所有投标报价必须以人民币报价，对用外汇支付部分，须折合成人民币计入总价，总报价不受汇率变动影响。不接受外币报价，除非招标文件另有要求。</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4.本项目投标应以含税人民币报价，投标报价是履行合同的最终价格，应包括完成采购内容涉及的所有费用。</w:t>
      </w:r>
    </w:p>
    <w:p>
      <w:pPr>
        <w:pageBreakBefore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（四）投标文件的有效期</w:t>
      </w:r>
    </w:p>
    <w:p>
      <w:pPr>
        <w:pageBreakBefore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★1.自投标截止日起</w:t>
      </w:r>
      <w:r>
        <w:rPr>
          <w:rFonts w:hint="eastAsia" w:ascii="宋体" w:hAnsi="宋体" w:eastAsia="宋体" w:cs="宋体"/>
          <w:szCs w:val="21"/>
          <w:u w:val="single"/>
        </w:rPr>
        <w:t>90</w:t>
      </w:r>
      <w:r>
        <w:rPr>
          <w:rFonts w:hint="eastAsia" w:ascii="宋体" w:hAnsi="宋体" w:eastAsia="宋体" w:cs="宋体"/>
          <w:szCs w:val="21"/>
        </w:rPr>
        <w:t>天投标文件应保持有效。有效期不足的投标文件将被拒绝。</w:t>
      </w:r>
    </w:p>
    <w:p>
      <w:pPr>
        <w:pageBreakBefore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2.在特殊情况下，采购人可与供应商协商延长投标书的有效期，这种要求和答复均以书面形式进行。</w:t>
      </w:r>
    </w:p>
    <w:p>
      <w:pPr>
        <w:pageBreakBefore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 xml:space="preserve">3.供应商可拒绝接受延期要求而不会导致投标保证金被没收。同意延长有效期的供应商需要相应延长投标保证金的有效期，但不能修改投标文件。 </w:t>
      </w:r>
    </w:p>
    <w:p>
      <w:pPr>
        <w:pageBreakBefore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4.中标供应商的投标文件自开标之日起至合同履行完毕止均应保持有效。</w:t>
      </w:r>
    </w:p>
    <w:p>
      <w:pPr>
        <w:pageBreakBefore w:val="0"/>
        <w:widowControl w:val="0"/>
        <w:kinsoku/>
        <w:wordWrap/>
        <w:overflowPunct/>
        <w:topLinePunct w:val="0"/>
        <w:autoSpaceDE/>
        <w:autoSpaceDN/>
        <w:bidi w:val="0"/>
        <w:snapToGrid w:val="0"/>
        <w:spacing w:before="0" w:beforeLines="0" w:after="0" w:afterLines="0" w:line="360" w:lineRule="auto"/>
        <w:ind w:firstLine="422" w:firstLineChars="2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（五）投标保证金：本项目不收取投标保证金。</w:t>
      </w:r>
    </w:p>
    <w:p>
      <w:pPr>
        <w:pageBreakBefore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（六）投标文件的签署和份数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1.供应商应按本采购文件规定的格式和顺序编制、装订投标文件并标注页码，投标文件内容不完整、编排混乱导致投标文件被误读、漏读或者查找不到相关内容的，是供应商的责任。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电子投标文件：供应商应根据政府采购云平台的要求及本采购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注：投标文件中由委托代理人签字的，投标文件应附法定代表人签署的授权委托书。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3</w:t>
      </w:r>
      <w:r>
        <w:rPr>
          <w:rFonts w:hint="eastAsia" w:ascii="宋体" w:hAnsi="宋体" w:eastAsia="宋体" w:cs="宋体"/>
          <w:b/>
          <w:bCs/>
          <w:szCs w:val="21"/>
          <w:lang w:val="en-US" w:eastAsia="zh-CN"/>
        </w:rPr>
        <w:t>.</w:t>
      </w:r>
      <w:r>
        <w:rPr>
          <w:rFonts w:hint="eastAsia" w:ascii="宋体" w:hAnsi="宋体" w:eastAsia="宋体" w:cs="宋体"/>
          <w:b/>
          <w:bCs/>
          <w:szCs w:val="21"/>
        </w:rPr>
        <w:t>以U盘存储的备份投标文件部分：电子投标文件的备份文件，以U盘形式存储，并单独密封递交。电子备份投标文件不作实质性要求，是否提交由供应商自行决定。</w:t>
      </w:r>
    </w:p>
    <w:p>
      <w:pPr>
        <w:pageBreakBefore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（七）投标文件的包装、递交、修改和撤回</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电子备份投标文件：单独包封，外包装封面上应注明供应商名称、供应商地址、投标文件名称（电子备份投标文件）、投标项目名称、项目编号、标项号及“投标截止时间前不得启封”字样，并加盖供应商公章。</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2.未按规定密封或标记的投标文件，招标人有权拒绝接受其投标。</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.如果供应商未按上述要求密封或标记而造成投标文件被误投或提前拆封的风险由供应商承担。</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keepNext w:val="0"/>
        <w:keepLines w:val="0"/>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（八）投标文件的形式和效力</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1.投标文件分为电子投标文件</w:t>
      </w:r>
      <w:r>
        <w:rPr>
          <w:rFonts w:hint="eastAsia" w:ascii="宋体" w:hAnsi="宋体" w:eastAsia="宋体" w:cs="宋体"/>
          <w:b w:val="0"/>
          <w:bCs/>
          <w:sz w:val="21"/>
          <w:szCs w:val="21"/>
          <w:lang w:val="en-US" w:eastAsia="zh-CN"/>
        </w:rPr>
        <w:t>和</w:t>
      </w:r>
      <w:r>
        <w:rPr>
          <w:rFonts w:hint="eastAsia" w:ascii="宋体" w:hAnsi="宋体" w:eastAsia="宋体" w:cs="宋体"/>
          <w:b w:val="0"/>
          <w:bCs/>
          <w:sz w:val="21"/>
          <w:szCs w:val="21"/>
        </w:rPr>
        <w:t>电子备份投标文件。</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2.“电子投标文件”是指通过“政采云电子交易客户端”完成投标文件编制后生成并加密的数据电文形式的投标文件（文件后缀为：jmbs）。</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“电子备份投标文件”是指与“电子投标文件”同时生成的数据电文形式的电子文件文件后缀为：bfbs（备份标书），其他方式编制的备份投标文件视为无效备份投标文件。</w:t>
      </w:r>
    </w:p>
    <w:p>
      <w:pPr>
        <w:pStyle w:val="4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投标文件的效力：投标文件的启用，按先后顺位分别为电子投标文件、以U盘存储的电子备份投标文件。在下一顺位的投标文件启用时，前一顺位的投标文件自动失效。电子投标文件未能按时解密，供应商提供了电子备份投标文件以电子备份投标文件作为评标依据。电子投标文件已按时解密的，电子备份投标文件自动失效。</w:t>
      </w:r>
    </w:p>
    <w:p>
      <w:pPr>
        <w:keepNext w:val="0"/>
        <w:keepLines w:val="0"/>
        <w:pageBreakBefore w:val="0"/>
        <w:widowControl w:val="0"/>
        <w:kinsoku/>
        <w:wordWrap/>
        <w:overflowPunct/>
        <w:topLinePunct w:val="0"/>
        <w:bidi w:val="0"/>
        <w:snapToGrid/>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（九）投标无效的情形</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实质上没有响应招标文件要求的投标将被视为无效投标。供应商不得通过修正或撤消不合要求的偏离或保留从而使其投标成为实质上响应的投标。</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1.在资格审查、符合性审查和商务评审时，如发现下列情形之一的，投标文件将被视为无效：</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（1）资格文件不全的或者不符合招标文件标明的资格要求的；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（2）供应商资格声明函填写项目不齐全的；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（3）未按招标文件要求盖章或签字的；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（4）投标文件格式不规范或者内容虚假的；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（5）投标文件的实质性内容未使用中文表述、意思表述不明确、前后矛盾或者使用计量单位不符合采购文件要求的（经评标委员会认定并允许其当场更正的笔误除外）；</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（6）投标有效期不能满足招标文件要求的；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（7）带“★”的条款不能满足招标文件要求、未实质性响应招标文件要求或者投标文件有采购方不能接受的附加条件的。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（8）不同供应商的投标文件出自同一终端设备（同一网卡地址或同一IP地址的）或在相同Internet主机分配地址（相同IP地址）网上报名投标。</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2.在技术评审时，如发现下列情形之一的，投标文件将被视为无效：</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（1）投标文件标明的响应或偏离与事实不符或虚假投标的；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（2）明显不符合招标文件要求的，或者与招标文件中标“★”的条款发生实质性负偏离的；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（3）投标技术方案不明确，存在一个或一个以上备选（替代）投标方案的；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（4）与其他参加本次投标供应商的投标文件（技术文件）的文字表述内容相同连续20行以上或者差错相同2处以上且经评标委员会多数成员认为有恶意串通情形的。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3.在报价评审时，如发现下列情形之一的，投标文件将被视为无效：</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（1）未采用投标文件要求的报价形式报价或报价超过各标项最高限价的；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（2）评标委员会认为供应商的报价明显低于其他通过符合性审查供应商的报价，有可能影响产品质量或者不能诚信履约的，而供应商又不能证明其报价合理性的；</w:t>
      </w:r>
    </w:p>
    <w:p>
      <w:pPr>
        <w:pStyle w:val="47"/>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20" w:firstLineChars="20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（3）投标报价具有选择性的；或投标文件中对同一项目（</w:t>
      </w:r>
      <w:r>
        <w:rPr>
          <w:rFonts w:hint="eastAsia" w:ascii="宋体" w:hAnsi="宋体" w:eastAsia="宋体" w:cs="宋体"/>
          <w:b w:val="0"/>
          <w:bCs/>
          <w:sz w:val="21"/>
          <w:szCs w:val="21"/>
          <w:lang w:val="en-US" w:eastAsia="zh-CN"/>
        </w:rPr>
        <w:t>标项</w:t>
      </w:r>
      <w:r>
        <w:rPr>
          <w:rFonts w:hint="eastAsia" w:ascii="宋体" w:hAnsi="宋体" w:eastAsia="宋体" w:cs="宋体"/>
          <w:b w:val="0"/>
          <w:bCs/>
          <w:sz w:val="21"/>
          <w:szCs w:val="21"/>
        </w:rPr>
        <w:t>）有两个或多个报价，且未声明哪个为有效的，或投标报价中出现重大漏项、漏量的。</w:t>
      </w:r>
    </w:p>
    <w:p>
      <w:pPr>
        <w:pStyle w:val="47"/>
        <w:keepNext w:val="0"/>
        <w:keepLines w:val="0"/>
        <w:pageBreakBefore w:val="0"/>
        <w:widowControl w:val="0"/>
        <w:kinsoku/>
        <w:wordWrap/>
        <w:overflowPunct/>
        <w:topLinePunct w:val="0"/>
        <w:autoSpaceDE w:val="0"/>
        <w:autoSpaceDN w:val="0"/>
        <w:bidi w:val="0"/>
        <w:adjustRightInd w:val="0"/>
        <w:spacing w:before="0" w:beforeLines="0" w:after="0" w:afterLines="0" w:line="360" w:lineRule="auto"/>
        <w:ind w:firstLine="422"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被拒绝的投标文件为无效。</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四、开标</w:t>
      </w:r>
    </w:p>
    <w:p>
      <w:pPr>
        <w:keepNext w:val="0"/>
        <w:keepLines w:val="0"/>
        <w:pageBreakBefore w:val="0"/>
        <w:widowControl w:val="0"/>
        <w:kinsoku/>
        <w:wordWrap/>
        <w:overflowPunct/>
        <w:topLinePunct w:val="0"/>
        <w:bidi w:val="0"/>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lang w:val="en-US" w:eastAsia="zh-CN"/>
        </w:rPr>
        <w:t>（一）</w:t>
      </w:r>
      <w:r>
        <w:rPr>
          <w:rFonts w:hint="eastAsia" w:ascii="宋体" w:hAnsi="宋体" w:eastAsia="宋体" w:cs="宋体"/>
          <w:b/>
          <w:szCs w:val="21"/>
        </w:rPr>
        <w:t>开标准备</w:t>
      </w:r>
    </w:p>
    <w:p>
      <w:pPr>
        <w:keepNext w:val="0"/>
        <w:keepLines w:val="0"/>
        <w:pageBreakBefore w:val="0"/>
        <w:widowControl w:val="0"/>
        <w:tabs>
          <w:tab w:val="left" w:pos="0"/>
          <w:tab w:val="left" w:pos="723"/>
        </w:tabs>
        <w:kinsoku/>
        <w:wordWrap/>
        <w:overflowPunct/>
        <w:topLinePunct w:val="0"/>
        <w:bidi w:val="0"/>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本项目为政采云平台电子交易全流程项目，供应商无需派代表出席开标会议。</w:t>
      </w:r>
    </w:p>
    <w:p>
      <w:pPr>
        <w:keepNext w:val="0"/>
        <w:keepLines w:val="0"/>
        <w:pageBreakBefore w:val="0"/>
        <w:widowControl w:val="0"/>
        <w:tabs>
          <w:tab w:val="left" w:pos="0"/>
          <w:tab w:val="left" w:pos="723"/>
        </w:tabs>
        <w:kinsoku/>
        <w:wordWrap/>
        <w:overflowPunct/>
        <w:topLinePunct w:val="0"/>
        <w:bidi w:val="0"/>
        <w:spacing w:line="360" w:lineRule="auto"/>
        <w:ind w:firstLine="422" w:firstLineChars="200"/>
        <w:jc w:val="both"/>
        <w:textAlignment w:val="auto"/>
        <w:outlineLvl w:val="9"/>
        <w:rPr>
          <w:rFonts w:hint="eastAsia" w:ascii="宋体" w:hAnsi="宋体" w:eastAsia="宋体" w:cs="宋体"/>
          <w:b/>
          <w:bCs/>
        </w:rPr>
      </w:pPr>
      <w:r>
        <w:rPr>
          <w:rFonts w:hint="eastAsia" w:ascii="宋体" w:hAnsi="宋体" w:eastAsia="宋体" w:cs="宋体"/>
          <w:b/>
          <w:bCs/>
          <w:lang w:val="en-US" w:eastAsia="zh-CN"/>
        </w:rPr>
        <w:t>（二）</w:t>
      </w:r>
      <w:r>
        <w:rPr>
          <w:rFonts w:hint="eastAsia" w:ascii="宋体" w:hAnsi="宋体" w:eastAsia="宋体" w:cs="宋体"/>
          <w:b/>
          <w:bCs/>
        </w:rPr>
        <w:t>电子招投标开标程序：</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第一阶段：</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投标截止时间后，供应商登录政府采购云平台，用“项目采购-开标评标”功能对电子投标文件进行在线解密，在线解密电子投标文件时间为开标时间后30分钟内。</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在政府采购云平台按标项顺序开启已解密供应商的“资格文件、商务技术文件”，并做开标记录；</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第二阶段：</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（1）在政府采购云平台宣告第一阶段评审无效供应商名单及理由；</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（2）公布经第一阶段评审符合招标文件要求的供应商的商务技术得分情况；</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（3）在政府采购云平台按标项顺序开启除第一阶段无效标外的供应商的“报价文件”，并做开标记录；</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（4）在政府采购云平台公布评审结果。</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（5）开标会议结束。</w:t>
      </w:r>
    </w:p>
    <w:p>
      <w:pPr>
        <w:keepNext w:val="0"/>
        <w:keepLines w:val="0"/>
        <w:pageBreakBefore w:val="0"/>
        <w:widowControl w:val="0"/>
        <w:tabs>
          <w:tab w:val="left" w:pos="0"/>
          <w:tab w:val="left" w:pos="723"/>
        </w:tabs>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注：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Cs w:val="21"/>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三</w:t>
      </w:r>
      <w:r>
        <w:rPr>
          <w:rFonts w:hint="eastAsia" w:ascii="宋体" w:hAnsi="宋体" w:eastAsia="宋体" w:cs="宋体"/>
          <w:b w:val="0"/>
          <w:bCs w:val="0"/>
          <w:szCs w:val="21"/>
          <w:lang w:eastAsia="zh-CN"/>
        </w:rPr>
        <w:t>）</w:t>
      </w:r>
      <w:r>
        <w:rPr>
          <w:rFonts w:hint="eastAsia" w:ascii="宋体" w:hAnsi="宋体" w:eastAsia="宋体" w:cs="宋体"/>
          <w:b w:val="0"/>
          <w:bCs w:val="0"/>
          <w:szCs w:val="21"/>
        </w:rPr>
        <w:t>特别说明：政府采购云平台如对电子化开标及评审程序有调整的，按调整后的程序操作。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本项目原则上采用政采云电子招投标开标程序，但有以下情形之一的按以下情况处理：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若有供应商在规定时间内无法解密或解密失败，代理机构将开启该供应商递交的以U盘存储的电子备份投标文件，上传至政采云平台项目采购模块，以完成开标，电子投标文件自动失效。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 xml:space="preserve">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因政府采购云平台原因无法读取或电子开评标无法正常进行的；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lang w:eastAsia="zh-CN"/>
        </w:rPr>
        <w:t>）</w:t>
      </w:r>
      <w:r>
        <w:rPr>
          <w:rFonts w:hint="eastAsia" w:ascii="宋体" w:hAnsi="宋体" w:eastAsia="宋体" w:cs="宋体"/>
          <w:szCs w:val="21"/>
        </w:rPr>
        <w:t xml:space="preserve">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lang w:eastAsia="zh-CN"/>
        </w:rPr>
        <w:t>）</w:t>
      </w:r>
      <w:r>
        <w:rPr>
          <w:rFonts w:hint="eastAsia" w:ascii="宋体" w:hAnsi="宋体" w:eastAsia="宋体" w:cs="宋体"/>
          <w:szCs w:val="21"/>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snapToGrid w:val="0"/>
        <w:spacing w:before="0" w:beforeLines="0" w:after="0" w:afterLines="0" w:line="360" w:lineRule="auto"/>
        <w:ind w:firstLine="422" w:firstLineChars="200"/>
        <w:jc w:val="both"/>
        <w:textAlignment w:val="auto"/>
        <w:outlineLvl w:val="9"/>
        <w:rPr>
          <w:rFonts w:hint="eastAsia" w:ascii="宋体" w:hAnsi="宋体" w:eastAsia="宋体" w:cs="宋体"/>
          <w:b/>
          <w:bCs/>
          <w:sz w:val="21"/>
          <w:szCs w:val="21"/>
        </w:rPr>
      </w:pPr>
      <w:bookmarkStart w:id="11" w:name="_Toc463726810"/>
      <w:bookmarkStart w:id="12" w:name="_Toc11761"/>
      <w:bookmarkStart w:id="13" w:name="_Toc29849"/>
      <w:r>
        <w:rPr>
          <w:rFonts w:hint="eastAsia" w:ascii="宋体" w:hAnsi="宋体" w:eastAsia="宋体" w:cs="宋体"/>
          <w:b/>
          <w:bCs/>
          <w:sz w:val="21"/>
          <w:szCs w:val="21"/>
        </w:rPr>
        <w:t>五、评标</w:t>
      </w:r>
      <w:bookmarkEnd w:id="11"/>
      <w:bookmarkEnd w:id="12"/>
      <w:bookmarkEnd w:id="13"/>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2" w:firstLineChars="200"/>
        <w:jc w:val="both"/>
        <w:textAlignment w:val="auto"/>
        <w:outlineLvl w:val="9"/>
        <w:rPr>
          <w:rFonts w:hint="eastAsia" w:ascii="宋体" w:hAnsi="宋体" w:eastAsia="宋体" w:cs="宋体"/>
          <w:b/>
          <w:bCs/>
          <w:sz w:val="21"/>
          <w:szCs w:val="21"/>
        </w:rPr>
      </w:pPr>
      <w:bookmarkStart w:id="14" w:name="_Toc26788"/>
      <w:bookmarkStart w:id="15" w:name="_Toc463726811"/>
      <w:bookmarkStart w:id="16" w:name="_Toc25132"/>
      <w:r>
        <w:rPr>
          <w:rFonts w:hint="eastAsia" w:ascii="宋体" w:hAnsi="宋体" w:eastAsia="宋体" w:cs="宋体"/>
          <w:b/>
          <w:bCs/>
          <w:sz w:val="21"/>
          <w:szCs w:val="21"/>
        </w:rPr>
        <w:t>（一）组建评标委员会</w:t>
      </w:r>
      <w:bookmarkEnd w:id="14"/>
      <w:bookmarkEnd w:id="15"/>
      <w:bookmarkEnd w:id="16"/>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评标委员会：采购人和采购代理机构根据采购项目的内容特点按照规定组建评标委员会，评标委员会由采购人代表和评审专家组成。</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主持人宣布评标期间的有关事项，告知应当回避的情形，提请有关人员回避。</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2" w:firstLineChars="200"/>
        <w:jc w:val="both"/>
        <w:textAlignment w:val="auto"/>
        <w:outlineLvl w:val="9"/>
        <w:rPr>
          <w:rFonts w:hint="eastAsia" w:ascii="宋体" w:hAnsi="宋体" w:eastAsia="宋体" w:cs="宋体"/>
          <w:b/>
          <w:bCs/>
          <w:sz w:val="21"/>
          <w:szCs w:val="21"/>
        </w:rPr>
      </w:pPr>
      <w:bookmarkStart w:id="17" w:name="_Toc22910"/>
      <w:bookmarkStart w:id="18" w:name="_Toc4592"/>
      <w:bookmarkStart w:id="19" w:name="_Toc463726812"/>
      <w:r>
        <w:rPr>
          <w:rFonts w:hint="eastAsia" w:ascii="宋体" w:hAnsi="宋体" w:eastAsia="宋体" w:cs="宋体"/>
          <w:b/>
          <w:bCs/>
          <w:sz w:val="21"/>
          <w:szCs w:val="21"/>
        </w:rPr>
        <w:t>（二）评标的方式</w:t>
      </w:r>
      <w:bookmarkEnd w:id="17"/>
      <w:bookmarkEnd w:id="18"/>
      <w:bookmarkEnd w:id="19"/>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本项目采用不公开方式评标，评标的依据为招标文件和投标文件。</w:t>
      </w:r>
      <w:bookmarkStart w:id="20" w:name="_Toc25360"/>
      <w:bookmarkStart w:id="21" w:name="_Toc463726813"/>
      <w:bookmarkStart w:id="22" w:name="_Toc6683"/>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（三）评标程序</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1.资格</w:t>
      </w:r>
      <w:r>
        <w:rPr>
          <w:rFonts w:hint="eastAsia" w:ascii="宋体" w:hAnsi="宋体" w:eastAsia="宋体" w:cs="宋体"/>
          <w:bCs/>
          <w:szCs w:val="21"/>
          <w:lang w:val="en-US" w:eastAsia="zh-CN"/>
        </w:rPr>
        <w:t>条件</w:t>
      </w:r>
      <w:r>
        <w:rPr>
          <w:rFonts w:hint="eastAsia" w:ascii="宋体" w:hAnsi="宋体" w:eastAsia="宋体" w:cs="宋体"/>
          <w:bCs/>
          <w:szCs w:val="21"/>
        </w:rPr>
        <w:t>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rPr>
        <w:t>采购人代表或代理机构工作人员对供应商的资格进行审查；</w:t>
      </w:r>
      <w:r>
        <w:rPr>
          <w:rFonts w:hint="eastAsia" w:ascii="宋体" w:hAnsi="宋体" w:eastAsia="宋体" w:cs="宋体"/>
          <w:bCs/>
          <w:szCs w:val="21"/>
          <w:lang w:val="en-US" w:eastAsia="zh-CN"/>
        </w:rPr>
        <w:t>标项</w:t>
      </w:r>
      <w:r>
        <w:rPr>
          <w:rFonts w:hint="eastAsia" w:ascii="宋体" w:hAnsi="宋体" w:eastAsia="宋体" w:cs="宋体"/>
          <w:bCs/>
          <w:szCs w:val="21"/>
        </w:rPr>
        <w:t>合格供应商不足3家的，</w:t>
      </w:r>
      <w:r>
        <w:rPr>
          <w:rFonts w:hint="eastAsia" w:ascii="宋体" w:hAnsi="宋体" w:eastAsia="宋体" w:cs="宋体"/>
          <w:bCs/>
          <w:szCs w:val="21"/>
          <w:lang w:val="en-US" w:eastAsia="zh-CN"/>
        </w:rPr>
        <w:t>该标项</w:t>
      </w:r>
      <w:r>
        <w:rPr>
          <w:rFonts w:hint="eastAsia" w:ascii="宋体" w:hAnsi="宋体" w:eastAsia="宋体" w:cs="宋体"/>
          <w:bCs/>
          <w:szCs w:val="21"/>
        </w:rPr>
        <w:t>评标程序不进行。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lang w:val="en-US" w:eastAsia="zh-CN"/>
        </w:rPr>
      </w:pPr>
      <w:r>
        <w:rPr>
          <w:rFonts w:hint="eastAsia"/>
          <w:b/>
          <w:bCs/>
        </w:rPr>
        <w:t>资格审查</w:t>
      </w:r>
      <w:r>
        <w:rPr>
          <w:rFonts w:hint="eastAsia"/>
          <w:b/>
          <w:bCs/>
          <w:lang w:val="en-US" w:eastAsia="zh-CN"/>
        </w:rPr>
        <w:t>表</w:t>
      </w:r>
    </w:p>
    <w:tbl>
      <w:tblPr>
        <w:tblStyle w:val="49"/>
        <w:tblW w:w="85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b/>
                <w:szCs w:val="21"/>
              </w:rPr>
            </w:pPr>
            <w:r>
              <w:rPr>
                <w:rFonts w:hint="eastAsia" w:ascii="宋体" w:hAnsi="宋体"/>
                <w:b/>
                <w:szCs w:val="21"/>
              </w:rPr>
              <w:t>审查类别</w:t>
            </w: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b/>
                <w:szCs w:val="21"/>
              </w:rPr>
            </w:pPr>
            <w:r>
              <w:rPr>
                <w:rFonts w:hint="eastAsia" w:ascii="宋体" w:hAnsi="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7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szCs w:val="21"/>
              </w:rPr>
            </w:pPr>
            <w:r>
              <w:rPr>
                <w:rFonts w:hint="eastAsia" w:ascii="宋体" w:hAnsi="宋体"/>
                <w:szCs w:val="21"/>
              </w:rPr>
              <w:t>资格条件审查</w:t>
            </w: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szCs w:val="21"/>
              </w:rPr>
            </w:pPr>
            <w:r>
              <w:rPr>
                <w:rFonts w:hint="eastAsia" w:ascii="宋体" w:hAnsi="宋体" w:eastAsia="宋体" w:cs="宋体"/>
                <w:szCs w:val="21"/>
              </w:rPr>
              <w:t>满足《中华人民共和国政府采购法》第二十二条规定</w:t>
            </w:r>
            <w:r>
              <w:rPr>
                <w:rFonts w:hint="eastAsia" w:ascii="宋体" w:hAnsi="宋体" w:eastAsia="宋体" w:cs="宋体"/>
                <w:szCs w:val="21"/>
                <w:lang w:val="en-US" w:eastAsia="zh-CN"/>
              </w:rPr>
              <w:t>[提供《</w:t>
            </w:r>
            <w:r>
              <w:rPr>
                <w:rFonts w:hint="eastAsia" w:ascii="宋体" w:hAnsi="宋体" w:eastAsia="宋体" w:cs="宋体"/>
                <w:color w:val="000000"/>
                <w:szCs w:val="21"/>
              </w:rPr>
              <w:t>供应商资格声明函</w:t>
            </w:r>
            <w:r>
              <w:rPr>
                <w:rFonts w:hint="eastAsia" w:ascii="宋体" w:hAnsi="宋体" w:eastAsia="宋体" w:cs="宋体"/>
                <w:szCs w:val="21"/>
                <w:lang w:val="en-US" w:eastAsia="zh-CN"/>
              </w:rPr>
              <w:t>》]</w:t>
            </w:r>
            <w:r>
              <w:rPr>
                <w:rFonts w:hint="eastAsia" w:ascii="宋体" w:hAnsi="宋体" w:eastAsia="宋体" w:cs="宋体"/>
                <w:szCs w:val="21"/>
              </w:rPr>
              <w:t>；</w:t>
            </w:r>
            <w:r>
              <w:rPr>
                <w:rFonts w:hint="eastAsia" w:ascii="宋体" w:hAnsi="宋体" w:eastAsia="宋体" w:cs="宋体"/>
                <w:szCs w:val="21"/>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Cs w:val="21"/>
              </w:rPr>
            </w:pPr>
            <w:r>
              <w:rPr>
                <w:rFonts w:hint="eastAsia" w:ascii="宋体" w:hAnsi="宋体" w:eastAsia="宋体" w:cs="宋体"/>
                <w:szCs w:val="21"/>
              </w:rPr>
              <w:t>有效的企业法人营业执照（或事业法人登记证）、其他组织（个体工商户）的营业执照或者民办非企业单位登记证书复印件；投标供应商如果有名称变更的，应提供由行政主管部门出具的变更证明文件</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落实政府采购政策需满足的资格要求：供应商为中小企业/小微企业或监狱企业或残疾人福利企业。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Cs w:val="21"/>
                <w:lang w:val="en-US" w:eastAsia="zh-CN"/>
              </w:rPr>
            </w:pPr>
            <w:r>
              <w:rPr>
                <w:rFonts w:hint="eastAsia" w:ascii="宋体" w:hAnsi="宋体" w:cs="宋体"/>
              </w:rPr>
              <w:t>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pStyle w:val="4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rPr>
              <w:t>供应商自觉抵制政府采购领域商业贿赂行为承诺书</w:t>
            </w:r>
            <w:r>
              <w:rPr>
                <w:rFonts w:hint="eastAsia"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8" w:type="dxa"/>
            <w:vMerge w:val="continue"/>
            <w:noWrap w:val="0"/>
            <w:vAlign w:val="center"/>
          </w:tcPr>
          <w:p>
            <w:pPr>
              <w:adjustRightInd w:val="0"/>
              <w:snapToGrid w:val="0"/>
              <w:spacing w:line="440" w:lineRule="exact"/>
              <w:jc w:val="center"/>
              <w:rPr>
                <w:rFonts w:hint="eastAsia" w:ascii="宋体" w:hAnsi="宋体"/>
                <w:szCs w:val="21"/>
              </w:rPr>
            </w:pPr>
          </w:p>
        </w:tc>
        <w:tc>
          <w:tcPr>
            <w:tcW w:w="7296" w:type="dxa"/>
            <w:noWrap w:val="0"/>
            <w:vAlign w:val="center"/>
          </w:tcPr>
          <w:p>
            <w:pPr>
              <w:keepNext w:val="0"/>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本项目不接受联合体投标，实行资格后审。</w:t>
            </w:r>
          </w:p>
        </w:tc>
      </w:tr>
    </w:tbl>
    <w:p>
      <w:pPr>
        <w:pageBreakBefore w:val="0"/>
        <w:kinsoku/>
        <w:wordWrap/>
        <w:overflowPunct/>
        <w:topLinePunct w:val="0"/>
        <w:autoSpaceDE/>
        <w:autoSpaceDN/>
        <w:bidi w:val="0"/>
        <w:spacing w:line="360" w:lineRule="auto"/>
        <w:ind w:firstLine="420" w:firstLineChars="200"/>
        <w:jc w:val="both"/>
        <w:textAlignment w:val="auto"/>
        <w:outlineLvl w:val="9"/>
        <w:rPr>
          <w:rFonts w:hint="default" w:ascii="宋体" w:hAnsi="宋体" w:eastAsia="宋体" w:cs="宋体"/>
          <w:bCs/>
          <w:szCs w:val="21"/>
          <w:lang w:val="en-US" w:eastAsia="zh-CN"/>
        </w:rPr>
      </w:pPr>
      <w:r>
        <w:rPr>
          <w:rFonts w:hint="default" w:ascii="宋体" w:hAnsi="宋体" w:eastAsia="宋体" w:cs="宋体"/>
          <w:bCs/>
          <w:szCs w:val="21"/>
          <w:lang w:val="en-US" w:eastAsia="zh-CN"/>
        </w:rPr>
        <w:t>2.符合性检查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default" w:ascii="宋体" w:hAnsi="宋体" w:eastAsia="宋体" w:cs="宋体"/>
          <w:bCs/>
          <w:szCs w:val="21"/>
          <w:lang w:val="en-US" w:eastAsia="zh-CN"/>
        </w:rPr>
      </w:pPr>
      <w:r>
        <w:rPr>
          <w:rFonts w:hint="default" w:ascii="宋体" w:hAnsi="宋体" w:eastAsia="宋体" w:cs="宋体"/>
          <w:bCs/>
          <w:szCs w:val="21"/>
          <w:lang w:val="en-US" w:eastAsia="zh-CN"/>
        </w:rPr>
        <w:t>评标委员会应当对符合资格的</w:t>
      </w:r>
      <w:r>
        <w:rPr>
          <w:rFonts w:hint="eastAsia" w:ascii="宋体" w:hAnsi="宋体" w:eastAsia="宋体" w:cs="宋体"/>
          <w:bCs/>
          <w:szCs w:val="21"/>
          <w:lang w:val="en-US" w:eastAsia="zh-CN"/>
        </w:rPr>
        <w:t>供应商</w:t>
      </w:r>
      <w:r>
        <w:rPr>
          <w:rFonts w:hint="default" w:ascii="宋体" w:hAnsi="宋体" w:eastAsia="宋体" w:cs="宋体"/>
          <w:bCs/>
          <w:szCs w:val="21"/>
          <w:lang w:val="en-US" w:eastAsia="zh-CN"/>
        </w:rPr>
        <w:t>的投标文件进行符合性审查，以确定其是否满足</w:t>
      </w:r>
      <w:r>
        <w:rPr>
          <w:rFonts w:hint="eastAsia" w:ascii="宋体" w:hAnsi="宋体" w:eastAsia="宋体" w:cs="宋体"/>
          <w:bCs/>
          <w:szCs w:val="21"/>
          <w:lang w:val="en-US" w:eastAsia="zh-CN"/>
        </w:rPr>
        <w:t>招标</w:t>
      </w:r>
      <w:r>
        <w:rPr>
          <w:rFonts w:hint="default" w:ascii="宋体" w:hAnsi="宋体" w:eastAsia="宋体" w:cs="宋体"/>
          <w:bCs/>
          <w:szCs w:val="21"/>
          <w:lang w:val="en-US" w:eastAsia="zh-CN"/>
        </w:rPr>
        <w:t>文件的实质性要求。</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rPr>
        <w:t>符合性检查</w:t>
      </w:r>
      <w:r>
        <w:rPr>
          <w:rFonts w:hint="eastAsia" w:ascii="Times New Roman" w:hAnsi="Times New Roman" w:eastAsia="宋体" w:cs="Times New Roman"/>
          <w:b/>
          <w:bCs/>
          <w:lang w:val="en-US" w:eastAsia="zh-CN"/>
        </w:rPr>
        <w:t>表</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2"/>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szCs w:val="21"/>
              </w:rPr>
            </w:pPr>
            <w:r>
              <w:rPr>
                <w:rFonts w:hint="eastAsia" w:ascii="宋体" w:hAnsi="宋体"/>
                <w:b/>
                <w:szCs w:val="21"/>
              </w:rPr>
              <w:t>审查类别</w:t>
            </w:r>
          </w:p>
        </w:tc>
        <w:tc>
          <w:tcPr>
            <w:tcW w:w="697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szCs w:val="21"/>
              </w:rPr>
            </w:pPr>
            <w:r>
              <w:rPr>
                <w:rFonts w:hint="eastAsia" w:ascii="宋体" w:hAnsi="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符合性审查</w:t>
            </w:r>
          </w:p>
        </w:tc>
        <w:tc>
          <w:tcPr>
            <w:tcW w:w="1452" w:type="dxa"/>
            <w:vMerge w:val="restart"/>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有效性审查</w:t>
            </w: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bidi="ar-SA"/>
              </w:rPr>
            </w:pPr>
            <w:r>
              <w:rPr>
                <w:rFonts w:hint="eastAsia" w:ascii="宋体" w:hAnsi="宋体"/>
                <w:sz w:val="21"/>
                <w:szCs w:val="21"/>
                <w:lang w:val="en-US" w:eastAsia="zh-CN" w:bidi="ar-SA"/>
              </w:rPr>
              <w:t>投标文件签署</w:t>
            </w:r>
            <w:r>
              <w:rPr>
                <w:rFonts w:hint="eastAsia" w:ascii="宋体" w:hAnsi="宋体"/>
                <w:szCs w:val="21"/>
              </w:rPr>
              <w:t>按照采购文件规定要求盖章或签字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bidi="ar-SA"/>
              </w:rPr>
            </w:pPr>
            <w:r>
              <w:rPr>
                <w:rFonts w:hint="eastAsia" w:ascii="宋体" w:hAnsi="宋体"/>
                <w:sz w:val="21"/>
                <w:szCs w:val="21"/>
                <w:lang w:val="en-US" w:eastAsia="zh-CN" w:bidi="ar-SA"/>
              </w:rPr>
              <w:t>一个标项只能有一个方案投标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szCs w:val="21"/>
                <w:lang w:eastAsia="zh-CN"/>
              </w:rPr>
            </w:pPr>
            <w:r>
              <w:rPr>
                <w:rFonts w:hint="eastAsia" w:ascii="宋体" w:hAnsi="宋体"/>
                <w:szCs w:val="21"/>
              </w:rPr>
              <w:t>报价唯一</w:t>
            </w:r>
            <w:r>
              <w:rPr>
                <w:rFonts w:hint="eastAsia" w:ascii="宋体" w:hAnsi="宋体"/>
                <w:szCs w:val="21"/>
                <w:lang w:eastAsia="zh-CN"/>
              </w:rPr>
              <w:t>：只能在采购预算范围内报价，</w:t>
            </w:r>
            <w:r>
              <w:rPr>
                <w:rFonts w:hint="eastAsia" w:ascii="宋体" w:hAnsi="宋体"/>
                <w:sz w:val="21"/>
                <w:szCs w:val="21"/>
                <w:lang w:val="en-US" w:eastAsia="zh-CN" w:bidi="ar-SA"/>
              </w:rPr>
              <w:t>一个标项</w:t>
            </w:r>
            <w:r>
              <w:rPr>
                <w:rFonts w:hint="eastAsia" w:ascii="宋体" w:hAnsi="宋体"/>
                <w:szCs w:val="21"/>
                <w:lang w:eastAsia="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投标报价</w:t>
            </w:r>
            <w:r>
              <w:rPr>
                <w:rFonts w:hint="eastAsia" w:ascii="宋体" w:hAnsi="宋体"/>
                <w:szCs w:val="21"/>
                <w:lang w:val="en-US" w:eastAsia="zh-CN"/>
              </w:rPr>
              <w:t>未</w:t>
            </w:r>
            <w:r>
              <w:rPr>
                <w:rFonts w:hint="eastAsia" w:ascii="宋体" w:hAnsi="宋体"/>
                <w:szCs w:val="21"/>
              </w:rPr>
              <w:t>超过各标项最高限价（单价或合价）的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szCs w:val="21"/>
                <w:lang w:eastAsia="zh-CN"/>
              </w:rPr>
            </w:pPr>
            <w:r>
              <w:rPr>
                <w:rFonts w:hint="eastAsia" w:ascii="宋体" w:hAnsi="宋体" w:eastAsia="宋体"/>
                <w:sz w:val="21"/>
                <w:szCs w:val="24"/>
              </w:rPr>
              <w:t>报价合理性</w:t>
            </w:r>
            <w:r>
              <w:rPr>
                <w:rFonts w:hint="eastAsia" w:ascii="宋体" w:hAnsi="宋体" w:eastAsia="宋体"/>
                <w:sz w:val="21"/>
                <w:szCs w:val="24"/>
                <w:lang w:eastAsia="zh-CN"/>
              </w:rPr>
              <w:t>：评标委员会认为供应商的报价明显低于其他通过符合性审查供应商的报价，有可能影响服务质量或者不能诚信履约的，且不能在评标委员会规定的时间内提供相关证明材料说明其报价的合理性的，供应商不能证明其报价合理性的，评标委员会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restart"/>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完整性审查</w:t>
            </w: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lang w:val="en-US" w:eastAsia="zh-CN"/>
              </w:rPr>
              <w:t>投标文件格式</w:t>
            </w:r>
            <w:r>
              <w:rPr>
                <w:rFonts w:hint="eastAsia" w:ascii="宋体" w:hAnsi="宋体"/>
                <w:szCs w:val="21"/>
              </w:rPr>
              <w:t>按照采购文件规定</w:t>
            </w:r>
            <w:r>
              <w:rPr>
                <w:rFonts w:hint="eastAsia" w:ascii="宋体" w:hAnsi="宋体"/>
                <w:szCs w:val="21"/>
                <w:lang w:val="en-US" w:eastAsia="zh-CN"/>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restart"/>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jc w:val="both"/>
              <w:textAlignment w:val="auto"/>
              <w:rPr>
                <w:rFonts w:hint="eastAsia" w:ascii="宋体" w:hAnsi="宋体"/>
                <w:kern w:val="0"/>
                <w:szCs w:val="21"/>
              </w:rPr>
            </w:pPr>
            <w:r>
              <w:rPr>
                <w:rFonts w:hint="eastAsia" w:ascii="宋体" w:hAnsi="宋体"/>
                <w:kern w:val="0"/>
                <w:szCs w:val="21"/>
              </w:rPr>
              <w:t>采购文件响应</w:t>
            </w:r>
            <w:r>
              <w:rPr>
                <w:rFonts w:hint="eastAsia" w:ascii="宋体" w:hAnsi="宋体"/>
                <w:kern w:val="0"/>
                <w:szCs w:val="21"/>
                <w:lang w:val="en-US" w:eastAsia="zh-CN"/>
              </w:rPr>
              <w:t>性</w:t>
            </w:r>
            <w:r>
              <w:rPr>
                <w:rFonts w:hint="eastAsia" w:ascii="宋体" w:hAnsi="宋体"/>
                <w:kern w:val="0"/>
                <w:szCs w:val="21"/>
              </w:rPr>
              <w:t>审查</w:t>
            </w: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投标文件完全满足采购文件的实质性条款（即带“★”的条款）无负偏离的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kern w:val="0"/>
                <w:szCs w:val="21"/>
              </w:rPr>
            </w:pPr>
          </w:p>
        </w:tc>
        <w:tc>
          <w:tcPr>
            <w:tcW w:w="5520" w:type="dxa"/>
            <w:noWrap w:val="0"/>
            <w:vAlign w:val="center"/>
          </w:tcPr>
          <w:p>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bidi="ar-SA"/>
              </w:rPr>
            </w:pPr>
            <w:r>
              <w:rPr>
                <w:rFonts w:hint="eastAsia" w:ascii="宋体" w:hAnsi="宋体"/>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14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Cs w:val="21"/>
              </w:rPr>
            </w:pPr>
          </w:p>
        </w:tc>
        <w:tc>
          <w:tcPr>
            <w:tcW w:w="55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bidi="ar-SA"/>
              </w:rPr>
            </w:pPr>
            <w:r>
              <w:rPr>
                <w:rFonts w:hint="eastAsia" w:ascii="宋体" w:hAnsi="宋体"/>
                <w:szCs w:val="21"/>
              </w:rPr>
              <w:t>按有关法律、法规、规章不属于投标无效的</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lang w:val="en-US" w:eastAsia="zh-CN"/>
        </w:rPr>
        <w:t>3.实质审查与比较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lang w:val="en-US" w:eastAsia="zh-CN"/>
        </w:rPr>
      </w:pPr>
      <w:r>
        <w:rPr>
          <w:rFonts w:hint="eastAsia" w:ascii="宋体" w:hAnsi="宋体" w:eastAsia="宋体" w:cs="宋体"/>
          <w:bCs/>
          <w:szCs w:val="21"/>
          <w:lang w:val="en-US" w:eastAsia="zh-CN"/>
        </w:rPr>
        <w:t>（1）评标委员会审查投标文件的实质性内容是否符合招标文件的实质性要求。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rPr>
      </w:pPr>
      <w:r>
        <w:rPr>
          <w:rFonts w:hint="eastAsia" w:ascii="宋体" w:hAnsi="宋体" w:eastAsia="宋体" w:cs="宋体"/>
          <w:bCs/>
          <w:szCs w:val="21"/>
          <w:lang w:val="en-US" w:eastAsia="zh-CN"/>
        </w:rPr>
        <w:t>（2）评标委员会将根据供应商的投标文件进行审查、核对,如有疑问,将对供应商进行询标,供应商要向评标委员会澄清有关问题。</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（四）澄清问题的形式</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对投标文件中含义不明确、同类问题表述不一致或者有明显文字和计算错误的内容，评标委员会可要求供应商作出必要的澄清、说明或者纠正。供应商的澄清、说明或者补正不得超出投标文件的范围或者改变投标文件的实质性内容。电子投标文件的，澄清、说明或者补正通过电子交易平台交换数据电子文件，供应商提交澄清说明或补正的时间为30分钟。</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（五）错误修正</w:t>
      </w:r>
    </w:p>
    <w:p>
      <w:pPr>
        <w:keepNext w:val="0"/>
        <w:keepLines w:val="0"/>
        <w:pageBreakBefore w:val="0"/>
        <w:widowControl w:val="0"/>
        <w:kinsoku/>
        <w:wordWrap/>
        <w:overflowPunct/>
        <w:topLinePunct w:val="0"/>
        <w:autoSpaceDE/>
        <w:autoSpaceDN/>
        <w:bidi w:val="0"/>
        <w:spacing w:before="0" w:after="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投标文件如果出现计算或表达上的错误，修正错误的原则如下：</w:t>
      </w:r>
    </w:p>
    <w:p>
      <w:pPr>
        <w:keepNext w:val="0"/>
        <w:keepLines w:val="0"/>
        <w:pageBreakBefore w:val="0"/>
        <w:widowControl w:val="0"/>
        <w:kinsoku/>
        <w:wordWrap/>
        <w:overflowPunct/>
        <w:topLinePunct w:val="0"/>
        <w:autoSpaceDE/>
        <w:autoSpaceDN/>
        <w:bidi w:val="0"/>
        <w:spacing w:before="0" w:after="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1.投标文件中开标一览表内容与投标文件中相应内容不一致的，以开标一览表为准；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spacing w:before="0" w:after="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2.大写金额和小写金额不一致的，以大写金额为准；</w:t>
      </w:r>
    </w:p>
    <w:p>
      <w:pPr>
        <w:keepNext w:val="0"/>
        <w:keepLines w:val="0"/>
        <w:pageBreakBefore w:val="0"/>
        <w:widowControl w:val="0"/>
        <w:kinsoku/>
        <w:wordWrap/>
        <w:overflowPunct/>
        <w:topLinePunct w:val="0"/>
        <w:autoSpaceDE/>
        <w:autoSpaceDN/>
        <w:bidi w:val="0"/>
        <w:spacing w:before="0" w:beforeLines="0" w:after="0" w:afterLines="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spacing w:before="0" w:beforeLines="0" w:after="0" w:afterLines="0" w:line="360" w:lineRule="auto"/>
        <w:ind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.总价金额与按单价汇总金额不一致的，以单价金额计算结果为准。</w:t>
      </w:r>
    </w:p>
    <w:p>
      <w:pPr>
        <w:keepNext w:val="0"/>
        <w:keepLines w:val="0"/>
        <w:pageBreakBefore w:val="0"/>
        <w:widowControl w:val="0"/>
        <w:kinsoku/>
        <w:wordWrap/>
        <w:overflowPunct/>
        <w:topLinePunct w:val="0"/>
        <w:autoSpaceDE/>
        <w:autoSpaceDN/>
        <w:bidi w:val="0"/>
        <w:spacing w:before="0" w:beforeLines="0" w:after="0" w:afterLines="0"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w:t>
      </w:r>
    </w:p>
    <w:p>
      <w:pPr>
        <w:keepNext w:val="0"/>
        <w:keepLines w:val="0"/>
        <w:pageBreakBefore w:val="0"/>
        <w:widowControl w:val="0"/>
        <w:kinsoku/>
        <w:wordWrap/>
        <w:overflowPunct/>
        <w:topLinePunct w:val="0"/>
        <w:autoSpaceDE/>
        <w:autoSpaceDN/>
        <w:bidi w:val="0"/>
        <w:spacing w:before="0" w:beforeLines="0" w:after="0" w:afterLines="0" w:line="360" w:lineRule="auto"/>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按上述修正错误的原则及方法调整或修正投标文件的投标报价，供应商同意并签字确认后，调整后的投标报价对供应商具有约束作用。如果供应商不接受修正后的报价，则其投标将作为无效投标处理。对不同文字文本投标文件的解释发生异议的，以中文文本为准。</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（六）评标原则和评标办法</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hAnsi="宋体" w:cs="宋体"/>
          <w:szCs w:val="21"/>
          <w:lang w:val="en-US" w:eastAsia="zh-CN"/>
        </w:rPr>
        <w:t>1.</w:t>
      </w:r>
      <w:r>
        <w:rPr>
          <w:rFonts w:hint="eastAsia" w:ascii="宋体" w:hAnsi="宋体" w:eastAsia="宋体" w:cs="宋体"/>
          <w:szCs w:val="21"/>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szCs w:val="21"/>
          <w:lang w:val="en-US" w:eastAsia="zh-CN"/>
        </w:rPr>
        <w:t>供应商</w:t>
      </w:r>
      <w:r>
        <w:rPr>
          <w:rFonts w:hint="eastAsia" w:ascii="宋体" w:hAnsi="宋体" w:eastAsia="宋体" w:cs="宋体"/>
          <w:szCs w:val="21"/>
        </w:rPr>
        <w:t>接触。</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hAnsi="宋体" w:cs="宋体"/>
          <w:szCs w:val="21"/>
          <w:lang w:val="en-US" w:eastAsia="zh-CN"/>
        </w:rPr>
        <w:t>2.</w:t>
      </w:r>
      <w:r>
        <w:rPr>
          <w:rFonts w:hint="eastAsia" w:ascii="宋体" w:hAnsi="宋体" w:eastAsia="宋体" w:cs="宋体"/>
          <w:szCs w:val="21"/>
        </w:rPr>
        <w:t>评标办法：本项目评标办法是</w:t>
      </w:r>
      <w:r>
        <w:rPr>
          <w:rFonts w:hint="eastAsia" w:ascii="宋体" w:hAnsi="宋体" w:eastAsia="宋体" w:cs="宋体"/>
          <w:b/>
          <w:bCs/>
          <w:szCs w:val="21"/>
          <w:u w:val="single"/>
        </w:rPr>
        <w:t>综合评分法</w:t>
      </w:r>
      <w:r>
        <w:rPr>
          <w:rFonts w:hint="eastAsia" w:ascii="宋体" w:hAnsi="宋体" w:eastAsia="宋体" w:cs="宋体"/>
          <w:szCs w:val="21"/>
        </w:rPr>
        <w:t>，具体评标内容及评分标准等详见本</w:t>
      </w:r>
      <w:r>
        <w:rPr>
          <w:rFonts w:hint="eastAsia" w:hAnsi="宋体" w:cs="宋体"/>
          <w:szCs w:val="21"/>
          <w:lang w:val="en-US" w:eastAsia="zh-CN"/>
        </w:rPr>
        <w:t>招标</w:t>
      </w:r>
      <w:r>
        <w:rPr>
          <w:rFonts w:hint="eastAsia" w:ascii="宋体" w:hAnsi="宋体" w:eastAsia="宋体" w:cs="宋体"/>
          <w:szCs w:val="21"/>
        </w:rPr>
        <w:t>文件第四章《评标办法及评分标准》。</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ascii="宋体" w:hAnsi="宋体" w:eastAsia="宋体" w:cs="宋体"/>
          <w:b/>
          <w:bCs/>
          <w:szCs w:val="21"/>
        </w:rPr>
        <w:t>六、采购方式变更</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政府采购的国内公开招标，采购投标截止时间止或评审期间，出现参与采购响应或者对采购文件作出实质性响应的供应商不足3家的情况，采购人有权全部或部分终止招标。</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both"/>
        <w:textAlignment w:val="auto"/>
        <w:outlineLvl w:val="9"/>
        <w:rPr>
          <w:rFonts w:hint="eastAsia" w:ascii="宋体" w:hAnsi="宋体" w:eastAsia="宋体" w:cs="宋体"/>
          <w:b/>
          <w:bCs/>
          <w:szCs w:val="21"/>
        </w:rPr>
      </w:pPr>
      <w:r>
        <w:rPr>
          <w:rFonts w:hint="eastAsia" w:hAnsi="宋体" w:cs="宋体"/>
          <w:b/>
          <w:bCs/>
          <w:szCs w:val="21"/>
          <w:lang w:val="en-US" w:eastAsia="zh-CN"/>
        </w:rPr>
        <w:t>七</w:t>
      </w:r>
      <w:r>
        <w:rPr>
          <w:rFonts w:hint="eastAsia" w:ascii="宋体" w:hAnsi="宋体" w:eastAsia="宋体" w:cs="宋体"/>
          <w:b/>
          <w:bCs/>
          <w:szCs w:val="21"/>
        </w:rPr>
        <w:t>、定标</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hAnsi="宋体" w:cs="宋体"/>
          <w:szCs w:val="21"/>
          <w:lang w:val="en-US" w:eastAsia="zh-CN"/>
        </w:rPr>
      </w:pPr>
      <w:r>
        <w:rPr>
          <w:rFonts w:hint="eastAsia" w:hAnsi="宋体" w:cs="宋体"/>
          <w:szCs w:val="21"/>
          <w:lang w:val="en-US" w:eastAsia="zh-CN"/>
        </w:rPr>
        <w:t>1.采购代理机构应当自评审结束之日起2个工作日内将评审报告送交采购人确认，采购人应当自收到评审报告之日起5个工作日内在评审报告推荐的中标或者成交候选人中按顺序确定中标或成交人，并在发布招标公告的网站上公告中标结果，中标公告期限为1个工作日。</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default" w:ascii="宋体" w:hAnsi="宋体" w:eastAsia="宋体" w:cs="宋体"/>
          <w:szCs w:val="21"/>
          <w:lang w:val="en-US" w:eastAsia="zh-CN"/>
        </w:rPr>
      </w:pPr>
      <w:r>
        <w:rPr>
          <w:rFonts w:hint="eastAsia" w:hAnsi="宋体" w:cs="宋体"/>
          <w:szCs w:val="21"/>
          <w:lang w:val="en-US" w:eastAsia="zh-CN"/>
        </w:rPr>
        <w:t>2.中标人无正当理由不得放弃中标；若中标人放弃中标、或因不可抗力提出不能履行合同，或不按招标文件规定提交履约保证金或其它原因被依法撤销中标资格，采购人有权进行处罚，并可选择该项目（标项）综合得分排名下一位的中标候选人或重新组织招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kern w:val="2"/>
          <w:szCs w:val="21"/>
        </w:rPr>
      </w:pPr>
      <w:r>
        <w:rPr>
          <w:rFonts w:hint="eastAsia" w:ascii="宋体" w:hAnsi="宋体" w:eastAsia="宋体" w:cs="宋体"/>
          <w:b/>
          <w:bCs/>
          <w:kern w:val="2"/>
          <w:szCs w:val="21"/>
          <w:lang w:val="en-US" w:eastAsia="zh-CN"/>
        </w:rPr>
        <w:t>八</w:t>
      </w:r>
      <w:r>
        <w:rPr>
          <w:rFonts w:hint="eastAsia" w:ascii="宋体" w:hAnsi="宋体" w:eastAsia="宋体" w:cs="宋体"/>
          <w:b/>
          <w:bCs/>
          <w:kern w:val="2"/>
          <w:szCs w:val="21"/>
        </w:rPr>
        <w:t>、合同授予及履约验收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（一）签订合同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1.采购人与中标人应当在《中标通知书》发出之日起30日内签订合同。同时采购代理机构对合同内容进行审查，如发现与采购结果和投标承诺内容不一致的，应予以纠正。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2.中标人如不遵守招标文件或投标文件各项条款的邀约与要约，或在接到中标通知书后借故拖延，拒签合同的，采购人将按《浙江省政府采购投标人注册及诚信管理暂行办法》的规定上报诚信状况，并取消中标资格，给采购人造成损失的还应当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3.中标人拒绝与采购人签订合同的，采购人可以按照评审报告推荐的中标或成交候选人名单排序，确定下一候选人为中标人或成交人，也可以重新开展政府采购活动。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（二）履约保证金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中标人应按采购代理机构根据</w:t>
      </w:r>
      <w:r>
        <w:rPr>
          <w:rFonts w:hint="eastAsia" w:ascii="宋体" w:hAnsi="宋体" w:eastAsia="宋体" w:cs="宋体"/>
          <w:bCs/>
          <w:szCs w:val="21"/>
          <w:lang w:val="en-US" w:eastAsia="zh-CN"/>
        </w:rPr>
        <w:t>招标</w:t>
      </w:r>
      <w:r>
        <w:rPr>
          <w:rFonts w:hint="eastAsia" w:ascii="宋体" w:hAnsi="宋体" w:eastAsia="宋体" w:cs="宋体"/>
          <w:bCs/>
          <w:szCs w:val="21"/>
        </w:rPr>
        <w:t>文件确定的履约保证金的金额，向采购人交纳履约保证金。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签订合同后，如中标人不按双方合同约定履约，则没收其全部履约保证金，履约保证金不足以赔偿损失的，按实际损失赔偿。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（三）履约验收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采购人负责对中标供应商的履约行为进行验收。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九、知识产权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供应商应保证，采购人在中华人民共和国使用该招标内容所包含的任何一部分时，免受第三方有关侵犯其专利权、商标权或其它知识产权的指控。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倘若此类指控发生，供应商应负责与第三方交涉并承担与此有关的一切费用和法律责任。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lang w:eastAsia="zh-CN"/>
        </w:rPr>
        <w:t>.</w:t>
      </w:r>
      <w:r>
        <w:rPr>
          <w:rFonts w:hint="eastAsia" w:ascii="宋体" w:hAnsi="宋体" w:eastAsia="宋体" w:cs="宋体"/>
          <w:bCs/>
          <w:szCs w:val="21"/>
        </w:rPr>
        <w:t>采购人声明保护有关方面的知识产权，维护其有关合法权益，但这不是采购人的基本义务。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Cs w:val="21"/>
        </w:rPr>
      </w:pPr>
      <w:r>
        <w:rPr>
          <w:rFonts w:hint="eastAsia" w:ascii="宋体" w:hAnsi="宋体" w:eastAsia="宋体" w:cs="宋体"/>
          <w:b/>
          <w:szCs w:val="21"/>
        </w:rPr>
        <w:t>十、政府采购政策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1.执行财政部、工业和信息化部《政府采购促进中小企业发展管理办法》（财库</w:t>
      </w:r>
      <w:r>
        <w:rPr>
          <w:rFonts w:hint="eastAsia" w:ascii="宋体" w:hAnsi="宋体" w:eastAsia="宋体" w:cs="宋体"/>
          <w:b w:val="0"/>
          <w:bCs/>
          <w:szCs w:val="21"/>
          <w:lang w:val="en-US" w:eastAsia="zh-CN"/>
        </w:rPr>
        <w:t>[</w:t>
      </w:r>
      <w:r>
        <w:rPr>
          <w:rFonts w:hint="eastAsia" w:ascii="宋体" w:hAnsi="宋体" w:eastAsia="宋体" w:cs="宋体"/>
          <w:b w:val="0"/>
          <w:bCs/>
          <w:szCs w:val="21"/>
        </w:rPr>
        <w:t>2020</w:t>
      </w:r>
      <w:r>
        <w:rPr>
          <w:rFonts w:hint="eastAsia" w:ascii="宋体" w:hAnsi="宋体" w:eastAsia="宋体" w:cs="宋体"/>
          <w:b w:val="0"/>
          <w:bCs/>
          <w:szCs w:val="21"/>
          <w:lang w:val="en-US" w:eastAsia="zh-CN"/>
        </w:rPr>
        <w:t>]</w:t>
      </w:r>
      <w:r>
        <w:rPr>
          <w:rFonts w:hint="eastAsia" w:ascii="宋体" w:hAnsi="宋体" w:eastAsia="宋体" w:cs="宋体"/>
          <w:b w:val="0"/>
          <w:bCs/>
          <w:szCs w:val="21"/>
        </w:rPr>
        <w:t>46号）。政府采购活动中有关小微企业的相关规定如下：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1.1小微企业，是指在中华人民共和国境内依法设立，依据国务院批准的中小企业划分标准确定的小型企业和微型企业，但与大企业的负责人为同一人，或者与大企业存在直接控股、管理关系的除外。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国务院批准的中小企业划分标准：具体见工信部联企业[2011]300号。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lang w:eastAsia="zh-CN"/>
        </w:rPr>
      </w:pPr>
      <w:r>
        <w:rPr>
          <w:rFonts w:hint="eastAsia" w:ascii="宋体" w:hAnsi="宋体" w:eastAsia="宋体" w:cs="宋体"/>
          <w:b w:val="0"/>
          <w:bCs/>
          <w:szCs w:val="21"/>
        </w:rPr>
        <w:t>1.2</w:t>
      </w:r>
      <w:r>
        <w:rPr>
          <w:rFonts w:hint="eastAsia" w:ascii="宋体" w:hAnsi="宋体" w:eastAsia="宋体" w:cs="宋体"/>
          <w:b/>
          <w:bCs w:val="0"/>
          <w:szCs w:val="21"/>
          <w:highlight w:val="none"/>
        </w:rPr>
        <w:t>本项目</w:t>
      </w:r>
      <w:r>
        <w:rPr>
          <w:rFonts w:hint="eastAsia" w:ascii="宋体" w:hAnsi="宋体" w:eastAsia="宋体" w:cs="宋体"/>
          <w:b/>
          <w:bCs w:val="0"/>
          <w:szCs w:val="21"/>
          <w:highlight w:val="none"/>
          <w:u w:val="single"/>
          <w:lang w:val="en-US" w:eastAsia="zh-CN"/>
        </w:rPr>
        <w:t>是</w:t>
      </w:r>
      <w:r>
        <w:rPr>
          <w:rFonts w:hint="eastAsia" w:ascii="宋体" w:hAnsi="宋体" w:eastAsia="宋体" w:cs="宋体"/>
          <w:b/>
          <w:bCs w:val="0"/>
          <w:szCs w:val="21"/>
          <w:highlight w:val="none"/>
        </w:rPr>
        <w:t>专门面向</w:t>
      </w:r>
      <w:r>
        <w:rPr>
          <w:rFonts w:hint="eastAsia" w:ascii="宋体" w:hAnsi="宋体" w:eastAsia="宋体" w:cs="宋体"/>
          <w:b/>
          <w:bCs w:val="0"/>
          <w:szCs w:val="21"/>
          <w:highlight w:val="none"/>
          <w:lang w:val="en-US" w:eastAsia="zh-CN"/>
        </w:rPr>
        <w:t>中小</w:t>
      </w:r>
      <w:r>
        <w:rPr>
          <w:rFonts w:hint="eastAsia" w:ascii="宋体" w:hAnsi="宋体" w:eastAsia="宋体" w:cs="宋体"/>
          <w:b/>
          <w:bCs w:val="0"/>
          <w:szCs w:val="21"/>
          <w:highlight w:val="none"/>
        </w:rPr>
        <w:t>企业采购</w:t>
      </w:r>
      <w:r>
        <w:rPr>
          <w:rFonts w:hint="eastAsia" w:ascii="宋体" w:hAnsi="宋体" w:eastAsia="宋体" w:cs="宋体"/>
          <w:b/>
          <w:bCs w:val="0"/>
          <w:szCs w:val="21"/>
          <w:highlight w:val="none"/>
        </w:rPr>
        <w:t>（本项目为服务采购项目）</w:t>
      </w:r>
      <w:r>
        <w:rPr>
          <w:rFonts w:hint="eastAsia" w:ascii="宋体" w:hAnsi="宋体" w:eastAsia="宋体" w:cs="宋体"/>
          <w:b/>
          <w:bCs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highlight w:val="none"/>
        </w:rPr>
      </w:pPr>
      <w:r>
        <w:rPr>
          <w:rFonts w:hint="eastAsia" w:ascii="宋体" w:hAnsi="宋体" w:eastAsia="宋体" w:cs="宋体"/>
          <w:bCs/>
          <w:szCs w:val="21"/>
          <w:lang w:val="en-US" w:eastAsia="zh-CN"/>
        </w:rPr>
        <w:t>1.3</w:t>
      </w:r>
      <w:r>
        <w:rPr>
          <w:rFonts w:hint="eastAsia" w:ascii="宋体" w:hAnsi="宋体" w:eastAsia="宋体" w:cs="宋体"/>
          <w:bCs/>
          <w:szCs w:val="21"/>
        </w:rPr>
        <w:t>本项目对应的中小企业划分标准所属行业：</w:t>
      </w:r>
      <w:r>
        <w:rPr>
          <w:rFonts w:hint="eastAsia" w:ascii="宋体" w:hAnsi="宋体" w:eastAsia="宋体" w:cs="宋体"/>
          <w:b/>
          <w:bCs w:val="0"/>
          <w:szCs w:val="21"/>
          <w:highlight w:val="none"/>
          <w:u w:val="single"/>
          <w:lang w:val="en-US" w:eastAsia="zh-CN"/>
        </w:rPr>
        <w:t>科学研究和技术服务业</w:t>
      </w:r>
      <w:r>
        <w:rPr>
          <w:rFonts w:hint="eastAsia" w:ascii="宋体" w:hAnsi="宋体" w:eastAsia="宋体" w:cs="宋体"/>
          <w:bCs/>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w:t>
      </w:r>
      <w:r>
        <w:rPr>
          <w:rFonts w:hint="eastAsia" w:ascii="宋体" w:hAnsi="宋体" w:eastAsia="宋体" w:cs="宋体"/>
          <w:b w:val="0"/>
          <w:bCs/>
          <w:szCs w:val="21"/>
          <w:lang w:val="en-US" w:eastAsia="zh-CN"/>
        </w:rPr>
        <w:t>4</w:t>
      </w:r>
      <w:r>
        <w:rPr>
          <w:rFonts w:hint="eastAsia" w:ascii="宋体" w:hAnsi="宋体" w:eastAsia="宋体" w:cs="宋体"/>
          <w:b w:val="0"/>
          <w:bCs/>
          <w:szCs w:val="21"/>
        </w:rPr>
        <w:t>在政府采购活动中，供应商提供的货物、工程或者服务符合下列情形的，享受《政府采购促进中小企业发展管理办法》规定的小微企业扶持政策：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（2）在工程采购项目中，工程由小微企业承建，即工程施工单位为小微企业；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（3）在服务采购项目中，服务由小微企业承接，即提供服务的人员为小微企业依照《中华人民共和国劳动法》订立劳动合同的从业人员。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在货物采购项目中，供应商提供的货物既有小微企业制造货物，也有</w:t>
      </w:r>
      <w:r>
        <w:rPr>
          <w:rFonts w:hint="eastAsia" w:ascii="宋体" w:hAnsi="宋体" w:eastAsia="宋体" w:cs="宋体"/>
          <w:b w:val="0"/>
          <w:bCs/>
          <w:szCs w:val="21"/>
          <w:lang w:val="en-US" w:eastAsia="zh-CN"/>
        </w:rPr>
        <w:t>中</w:t>
      </w:r>
      <w:r>
        <w:rPr>
          <w:rFonts w:hint="eastAsia" w:ascii="宋体" w:hAnsi="宋体" w:eastAsia="宋体" w:cs="宋体"/>
          <w:b w:val="0"/>
          <w:bCs/>
          <w:szCs w:val="21"/>
        </w:rPr>
        <w:t>大型企业制造货物的，不享受《政府采购促进中小企业发展管理办法》规定的小微企业扶持政策。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以联合体形式参加政府采购活动，联合体各方均为小微企业的，联合体视同小微企业。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w:t>
      </w:r>
      <w:r>
        <w:rPr>
          <w:rFonts w:hint="eastAsia" w:ascii="宋体" w:hAnsi="宋体" w:eastAsia="宋体" w:cs="宋体"/>
          <w:b w:val="0"/>
          <w:bCs/>
          <w:szCs w:val="21"/>
          <w:lang w:val="en-US" w:eastAsia="zh-CN"/>
        </w:rPr>
        <w:t>5</w:t>
      </w:r>
      <w:r>
        <w:rPr>
          <w:rFonts w:hint="eastAsia" w:ascii="宋体" w:hAnsi="宋体" w:eastAsia="宋体" w:cs="宋体"/>
          <w:b w:val="0"/>
          <w:bCs/>
          <w:szCs w:val="21"/>
        </w:rPr>
        <w:t>小微企业应按照招标文件格式要求提供《中小企业声明函》。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1.</w:t>
      </w:r>
      <w:r>
        <w:rPr>
          <w:rFonts w:hint="eastAsia" w:ascii="宋体" w:hAnsi="宋体" w:eastAsia="宋体" w:cs="宋体"/>
          <w:b w:val="0"/>
          <w:bCs/>
          <w:szCs w:val="21"/>
          <w:lang w:val="en-US" w:eastAsia="zh-CN"/>
        </w:rPr>
        <w:t>6</w:t>
      </w:r>
      <w:r>
        <w:rPr>
          <w:rFonts w:hint="eastAsia" w:ascii="宋体" w:hAnsi="宋体" w:eastAsia="宋体" w:cs="宋体"/>
          <w:b w:val="0"/>
          <w:bCs/>
          <w:szCs w:val="21"/>
        </w:rPr>
        <w:t>采购活动过程中，对供应商的“小微企业”资格认定，以供应商提交的《中小企业声明函》为准，供应商必须实事求是地提交声明函，如有虚假，将依法承担法律责任。如果在采购活动过程中相关采购当事人对供应商“小微企业”资格有异议的，由货物制造商或者工程、服务供应商注册登记所在地的县级以上人民政府中小企业主管部门负责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适用招标投标法的政府采购工程建设项目，投标人提供声明函内容不实的，属于弄虚作假骗取中标，依照《中华人民共和国招标投标法》等国家有关规定追究相应责任。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2.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szCs w:val="21"/>
        </w:rPr>
      </w:pPr>
      <w:r>
        <w:rPr>
          <w:rFonts w:hint="eastAsia" w:ascii="宋体" w:hAnsi="宋体" w:eastAsia="宋体" w:cs="宋体"/>
          <w:b w:val="0"/>
          <w:bCs/>
          <w:szCs w:val="21"/>
        </w:rPr>
        <w:t>3.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lang w:val="en-US" w:eastAsia="zh-CN"/>
        </w:rPr>
        <w:t>4</w:t>
      </w:r>
      <w:r>
        <w:rPr>
          <w:rFonts w:hint="eastAsia" w:ascii="宋体" w:hAnsi="宋体" w:eastAsia="宋体" w:cs="宋体"/>
          <w:bCs/>
          <w:szCs w:val="21"/>
          <w:lang w:eastAsia="zh-CN"/>
        </w:rPr>
        <w:t>.</w:t>
      </w:r>
      <w:r>
        <w:rPr>
          <w:rFonts w:hint="eastAsia" w:ascii="宋体" w:hAnsi="宋体" w:eastAsia="宋体" w:cs="宋体"/>
          <w:bCs/>
          <w:szCs w:val="21"/>
        </w:rPr>
        <w:t>按规定享受扶持政策获得政府采购合同的，小微企业不得将合同分包给大中型企业。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lang w:eastAsia="zh-CN"/>
        </w:rPr>
        <w:t>.</w:t>
      </w:r>
      <w:r>
        <w:rPr>
          <w:rFonts w:hint="eastAsia" w:ascii="宋体" w:hAnsi="宋体" w:eastAsia="宋体" w:cs="宋体"/>
          <w:bCs/>
          <w:szCs w:val="21"/>
        </w:rPr>
        <w:t>供应商按照《政府采购促进中小企业发展管理办法》[财库（2020）46号]规定提供声明函内容不实的，属于提供虚假材料谋取中标、成交，依照《中华人民共和国政府采购法》等国家有关规定追究相应责任。</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z w:val="32"/>
        </w:rPr>
      </w:pPr>
      <w:r>
        <w:rPr>
          <w:rFonts w:hint="eastAsia" w:ascii="宋体" w:hAnsi="宋体" w:cs="宋体"/>
          <w:b/>
          <w:bCs/>
          <w:sz w:val="32"/>
        </w:rPr>
        <w:t>第</w:t>
      </w:r>
      <w:r>
        <w:rPr>
          <w:rFonts w:hint="eastAsia" w:ascii="宋体" w:hAnsi="宋体" w:cs="宋体"/>
          <w:b/>
          <w:bCs/>
          <w:sz w:val="32"/>
          <w:lang w:val="en-US" w:eastAsia="zh-CN"/>
        </w:rPr>
        <w:t>三</w:t>
      </w:r>
      <w:r>
        <w:rPr>
          <w:rFonts w:hint="eastAsia" w:ascii="宋体" w:hAnsi="宋体" w:cs="宋体"/>
          <w:b/>
          <w:bCs/>
          <w:sz w:val="32"/>
        </w:rPr>
        <w:t>章 采购需求</w:t>
      </w:r>
      <w:bookmarkEnd w:id="6"/>
      <w:bookmarkEnd w:id="7"/>
      <w:bookmarkEnd w:id="8"/>
      <w:bookmarkStart w:id="23" w:name="_Toc317685546"/>
      <w:bookmarkStart w:id="24" w:name="_Toc304292160"/>
    </w:p>
    <w:bookmarkEnd w:id="23"/>
    <w:bookmarkEnd w:id="24"/>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both"/>
        <w:textAlignment w:val="auto"/>
        <w:rPr>
          <w:rFonts w:hint="eastAsia" w:ascii="宋体" w:hAnsi="宋体" w:eastAsia="宋体" w:cs="宋体"/>
          <w:b/>
          <w:bCs/>
          <w:kern w:val="0"/>
          <w:szCs w:val="21"/>
          <w:highlight w:val="none"/>
          <w:lang w:bidi="ar"/>
        </w:rPr>
      </w:pPr>
      <w:bookmarkStart w:id="25" w:name="_Toc333832348"/>
      <w:bookmarkStart w:id="26" w:name="_Toc29951"/>
      <w:bookmarkStart w:id="27" w:name="_Toc5854"/>
      <w:r>
        <w:rPr>
          <w:rFonts w:hint="eastAsia" w:ascii="宋体" w:hAnsi="宋体" w:eastAsia="宋体" w:cs="宋体"/>
          <w:b/>
          <w:bCs/>
          <w:kern w:val="0"/>
          <w:szCs w:val="21"/>
          <w:highlight w:val="none"/>
          <w:lang w:bidi="ar"/>
        </w:rPr>
        <w:t>一、项目概况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本项目采购单位为宁波市海曙区集士港镇人民政府，拟通过公开招标选取1家秋实快速路（鄞州大道-环城南路）项目（集士港段）拆迁征收第三方服务采购项目咨询服务单位。</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本项目红线内涉及住宅房屋建筑面积约5151㎡；非住宅房屋建筑面积约52460㎡，土地面积约55623.8㎡，即83.5亩，</w:t>
      </w:r>
      <w:r>
        <w:rPr>
          <w:rFonts w:hint="eastAsia" w:ascii="宋体" w:hAnsi="宋体" w:eastAsia="宋体" w:cs="宋体"/>
          <w:color w:val="auto"/>
          <w:szCs w:val="21"/>
          <w:highlight w:val="none"/>
          <w:lang w:val="en-US" w:eastAsia="zh-CN"/>
        </w:rPr>
        <w:t>集士港镇秋实路沿线，北至杭甬高速，南至联丰路,</w:t>
      </w:r>
      <w:r>
        <w:rPr>
          <w:rFonts w:hint="eastAsia" w:ascii="宋体" w:hAnsi="宋体" w:eastAsia="宋体" w:cs="宋体"/>
          <w:color w:val="auto"/>
          <w:szCs w:val="21"/>
          <w:highlight w:val="none"/>
          <w:lang w:val="en-US" w:eastAsia="zh-CN"/>
        </w:rPr>
        <w:t>最终以实际拆迁范围内的评估测绘面积为准。</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bCs/>
          <w:szCs w:val="21"/>
          <w:highlight w:val="none"/>
          <w:lang w:val="en-US" w:eastAsia="zh-CN"/>
        </w:rPr>
        <w:t>本项目各标项均设置最高限价（单价或合价），各区块住宅征收服务综合单价最高限价均为32元/平方米，非住宅征收服务综合单价最高限价均为16元/平方米；超过采购预算或最高限价（单价或合价）的均作无效标处理。</w:t>
      </w:r>
    </w:p>
    <w:tbl>
      <w:tblPr>
        <w:tblStyle w:val="50"/>
        <w:tblW w:w="823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1308"/>
        <w:gridCol w:w="1416"/>
        <w:gridCol w:w="166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21"/>
                <w:szCs w:val="21"/>
                <w:vertAlign w:val="baseline"/>
                <w:lang w:val="en-US" w:eastAsia="zh-CN"/>
              </w:rPr>
            </w:pPr>
            <w:bookmarkStart w:id="28" w:name="OLE_LINK1" w:colFirst="0" w:colLast="3"/>
            <w:r>
              <w:rPr>
                <w:rFonts w:hint="eastAsia" w:ascii="宋体" w:hAnsi="宋体" w:eastAsia="宋体" w:cs="宋体"/>
                <w:b/>
                <w:bCs/>
                <w:sz w:val="21"/>
                <w:szCs w:val="21"/>
                <w:vertAlign w:val="baseline"/>
                <w:lang w:val="en-US" w:eastAsia="zh-CN"/>
              </w:rPr>
              <w:t>标项</w:t>
            </w:r>
          </w:p>
        </w:tc>
        <w:tc>
          <w:tcPr>
            <w:tcW w:w="13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住宅征拆建筑面积</w:t>
            </w:r>
          </w:p>
        </w:tc>
        <w:tc>
          <w:tcPr>
            <w:tcW w:w="14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非住宅征拆建筑面积</w:t>
            </w:r>
          </w:p>
        </w:tc>
        <w:tc>
          <w:tcPr>
            <w:tcW w:w="166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预算价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（总价，元）</w:t>
            </w:r>
          </w:p>
        </w:tc>
        <w:tc>
          <w:tcPr>
            <w:tcW w:w="16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w:t>
            </w:r>
            <w:r>
              <w:rPr>
                <w:rFonts w:hint="eastAsia" w:ascii="宋体" w:hAnsi="宋体" w:eastAsia="宋体" w:cs="宋体"/>
                <w:b/>
                <w:bCs/>
                <w:sz w:val="21"/>
                <w:szCs w:val="21"/>
                <w:lang w:val="en-US" w:eastAsia="zh-CN"/>
              </w:rPr>
              <w:t>总价，</w:t>
            </w:r>
            <w:r>
              <w:rPr>
                <w:rFonts w:hint="eastAsia" w:ascii="宋体" w:hAnsi="宋体" w:eastAsia="宋体" w:cs="宋体"/>
                <w:b/>
                <w:bCs/>
                <w:sz w:val="21"/>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lang w:val="en-US" w:eastAsia="zh-CN"/>
              </w:rPr>
            </w:pPr>
            <w:bookmarkStart w:id="29" w:name="OLE_LINK5" w:colFirst="0" w:colLast="2"/>
            <w:r>
              <w:rPr>
                <w:rFonts w:hint="eastAsia" w:ascii="宋体" w:hAnsi="宋体" w:eastAsia="宋体" w:cs="宋体"/>
                <w:b/>
                <w:bCs/>
                <w:sz w:val="21"/>
                <w:szCs w:val="21"/>
                <w:lang w:val="en-US" w:eastAsia="zh-CN"/>
              </w:rPr>
              <w:t>预算价（</w:t>
            </w:r>
            <w:r>
              <w:rPr>
                <w:rFonts w:hint="eastAsia" w:ascii="宋体" w:hAnsi="宋体" w:eastAsia="宋体" w:cs="宋体"/>
                <w:b/>
                <w:bCs/>
                <w:szCs w:val="21"/>
                <w:highlight w:val="none"/>
                <w:lang w:val="en-US" w:eastAsia="zh-CN"/>
              </w:rPr>
              <w:t>最高限价）</w:t>
            </w:r>
          </w:p>
        </w:tc>
        <w:tc>
          <w:tcPr>
            <w:tcW w:w="13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32元/㎡</w:t>
            </w:r>
          </w:p>
        </w:tc>
        <w:tc>
          <w:tcPr>
            <w:tcW w:w="14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16元/㎡</w:t>
            </w:r>
          </w:p>
        </w:tc>
        <w:tc>
          <w:tcPr>
            <w:tcW w:w="1668"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1004192</w:t>
            </w:r>
          </w:p>
        </w:tc>
        <w:tc>
          <w:tcPr>
            <w:tcW w:w="1644"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1004192</w:t>
            </w:r>
          </w:p>
        </w:tc>
      </w:tr>
      <w:bookmarkEnd w:id="28"/>
      <w:bookmarkEnd w:id="29"/>
    </w:tbl>
    <w:p>
      <w:pPr>
        <w:keepNext w:val="0"/>
        <w:keepLines w:val="0"/>
        <w:pageBreakBefore w:val="0"/>
        <w:widowControl/>
        <w:tabs>
          <w:tab w:val="left" w:pos="3134"/>
        </w:tabs>
        <w:kinsoku/>
        <w:wordWrap/>
        <w:overflowPunct/>
        <w:topLinePunct w:val="0"/>
        <w:autoSpaceDE/>
        <w:autoSpaceDN/>
        <w:bidi w:val="0"/>
        <w:adjustRightInd w:val="0"/>
        <w:snapToGrid w:val="0"/>
        <w:spacing w:line="360" w:lineRule="auto"/>
        <w:ind w:firstLine="422" w:firstLineChars="200"/>
        <w:jc w:val="both"/>
        <w:textAlignment w:val="auto"/>
        <w:rPr>
          <w:rFonts w:hint="eastAsia" w:ascii="宋体" w:hAnsi="宋体" w:eastAsia="宋体" w:cs="宋体"/>
          <w:b/>
          <w:bCs/>
          <w:kern w:val="0"/>
          <w:szCs w:val="21"/>
          <w:highlight w:val="none"/>
          <w:lang w:bidi="ar"/>
        </w:rPr>
      </w:pPr>
      <w:r>
        <w:rPr>
          <w:rFonts w:hint="eastAsia" w:ascii="宋体" w:hAnsi="宋体" w:eastAsia="宋体" w:cs="宋体"/>
          <w:b/>
          <w:bCs/>
          <w:kern w:val="0"/>
          <w:szCs w:val="21"/>
          <w:highlight w:val="none"/>
          <w:lang w:val="en-US" w:eastAsia="zh-CN" w:bidi="ar"/>
        </w:rPr>
        <w:t>二</w:t>
      </w:r>
      <w:r>
        <w:rPr>
          <w:rFonts w:hint="eastAsia" w:ascii="宋体" w:hAnsi="宋体" w:eastAsia="宋体" w:cs="宋体"/>
          <w:b/>
          <w:bCs/>
          <w:kern w:val="0"/>
          <w:szCs w:val="21"/>
          <w:highlight w:val="none"/>
          <w:lang w:bidi="ar"/>
        </w:rPr>
        <w:t>、</w:t>
      </w:r>
      <w:r>
        <w:rPr>
          <w:rFonts w:hint="eastAsia" w:ascii="宋体" w:hAnsi="宋体" w:eastAsia="宋体" w:cs="宋体"/>
          <w:b/>
          <w:bCs/>
          <w:kern w:val="0"/>
          <w:szCs w:val="21"/>
          <w:highlight w:val="none"/>
          <w:lang w:val="en-US" w:eastAsia="zh-CN" w:bidi="ar"/>
        </w:rPr>
        <w:t>服务</w:t>
      </w:r>
      <w:r>
        <w:rPr>
          <w:rFonts w:hint="eastAsia" w:ascii="宋体" w:hAnsi="宋体" w:eastAsia="宋体" w:cs="宋体"/>
          <w:b/>
          <w:bCs/>
          <w:kern w:val="0"/>
          <w:szCs w:val="21"/>
          <w:highlight w:val="none"/>
          <w:lang w:bidi="ar"/>
        </w:rPr>
        <w:t>内容</w:t>
      </w:r>
      <w:r>
        <w:rPr>
          <w:rFonts w:hint="eastAsia" w:ascii="宋体" w:hAnsi="宋体" w:eastAsia="宋体" w:cs="宋体"/>
          <w:b/>
          <w:bCs/>
          <w:kern w:val="0"/>
          <w:szCs w:val="21"/>
          <w:highlight w:val="none"/>
          <w:lang w:bidi="ar"/>
        </w:rPr>
        <w:tab/>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szCs w:val="21"/>
          <w:highlight w:val="none"/>
        </w:rPr>
      </w:pPr>
      <w:r>
        <w:rPr>
          <w:rFonts w:hint="eastAsia" w:ascii="宋体" w:hAnsi="宋体" w:eastAsia="宋体" w:cs="宋体"/>
          <w:b/>
          <w:bCs w:val="0"/>
          <w:szCs w:val="21"/>
          <w:highlight w:val="none"/>
        </w:rPr>
        <w:t>（一）前期确权确户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对被拆迁人的房屋、人口、意愿三类信息进行调查；</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走访不动产登记、规划、***等部门搜集房屋权属和安置人口等信息，协助委托方做好确权确户；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3.协助委托方核查测绘面积和评估结果</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协助委托方制定完善房屋拆迁补偿方案；</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协助委托方对拆迁补偿方案、评估结果、测绘面积结果、确权确户结果等信息的公示，记录被拆迁户的诉求和投诉，进行信息汇总反馈。</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（二）中期签约结算</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协助委托方做好签约前准备工作（将调查数据录入独立的房屋拆迁服务软件系统，做安置补偿协议模板配置，汇总表模板配置）；</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集中协助签约，协助委托方做好政策、确权确户解释工作并根据委托方要求做好各类报表的数据汇总；</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协助委托方做好房屋腾空，做好安置补偿结算工作；</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对确权确户、评估、签约、结算四大资料进行整理，如有缺失协助委托方进行催交补充、初步建立一户一档；</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被拆迁户涉及法律纠纷等相关问题的跟踪服务。</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（三）后期安置及档案管理</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协助委托方安置房源管理、抽签定位、交付、资金结算；</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按一户一档完善拆迁户的电子及纸质档案；</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完成</w:t>
      </w:r>
      <w:r>
        <w:rPr>
          <w:rFonts w:hint="eastAsia" w:ascii="宋体" w:hAnsi="宋体" w:eastAsia="宋体" w:cs="宋体"/>
          <w:bCs/>
          <w:color w:val="auto"/>
          <w:szCs w:val="21"/>
          <w:highlight w:val="none"/>
        </w:rPr>
        <w:t>《房屋所有权证》、《国有土地使用证》</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《不动产权证》</w:t>
      </w:r>
      <w:r>
        <w:rPr>
          <w:rFonts w:hint="eastAsia" w:ascii="宋体" w:hAnsi="宋体" w:eastAsia="宋体" w:cs="宋体"/>
          <w:bCs/>
          <w:color w:val="auto"/>
          <w:szCs w:val="21"/>
          <w:highlight w:val="none"/>
          <w:lang w:val="en-US" w:eastAsia="zh-CN"/>
        </w:rPr>
        <w:t>等相关产权证</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收集</w:t>
      </w:r>
      <w:r>
        <w:rPr>
          <w:rFonts w:hint="eastAsia" w:ascii="宋体" w:hAnsi="宋体" w:eastAsia="宋体" w:cs="宋体"/>
          <w:bCs/>
          <w:color w:val="auto"/>
          <w:szCs w:val="21"/>
          <w:highlight w:val="none"/>
        </w:rPr>
        <w:t>和注销</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szCs w:val="21"/>
          <w:highlight w:val="none"/>
        </w:rPr>
      </w:pPr>
      <w:r>
        <w:rPr>
          <w:rFonts w:hint="eastAsia" w:ascii="宋体" w:hAnsi="宋体" w:eastAsia="宋体" w:cs="宋体"/>
          <w:b/>
          <w:bCs w:val="0"/>
          <w:szCs w:val="21"/>
          <w:highlight w:val="none"/>
        </w:rPr>
        <w:t>（四）负责完成甲方交办的与本项目征地房屋补偿和房屋征收工作相关的其他工作。</w:t>
      </w:r>
    </w:p>
    <w:p>
      <w:pPr>
        <w:keepNext w:val="0"/>
        <w:keepLines w:val="0"/>
        <w:pageBreakBefore w:val="0"/>
        <w:widowControl/>
        <w:tabs>
          <w:tab w:val="left" w:pos="3134"/>
        </w:tabs>
        <w:kinsoku/>
        <w:wordWrap/>
        <w:overflowPunct/>
        <w:topLinePunct w:val="0"/>
        <w:autoSpaceDE/>
        <w:autoSpaceDN/>
        <w:bidi w:val="0"/>
        <w:adjustRightInd w:val="0"/>
        <w:snapToGrid w:val="0"/>
        <w:spacing w:line="360" w:lineRule="auto"/>
        <w:ind w:firstLine="422" w:firstLineChars="200"/>
        <w:jc w:val="both"/>
        <w:textAlignment w:val="auto"/>
        <w:rPr>
          <w:rFonts w:hint="eastAsia" w:ascii="宋体" w:hAnsi="宋体" w:eastAsia="宋体" w:cs="宋体"/>
          <w:b/>
          <w:bCs/>
          <w:kern w:val="0"/>
          <w:szCs w:val="21"/>
          <w:highlight w:val="none"/>
          <w:lang w:val="en-US" w:eastAsia="zh-CN" w:bidi="ar"/>
        </w:rPr>
      </w:pPr>
      <w:r>
        <w:rPr>
          <w:rFonts w:hint="eastAsia" w:ascii="宋体" w:hAnsi="宋体" w:eastAsia="宋体" w:cs="宋体"/>
          <w:b/>
          <w:bCs/>
          <w:kern w:val="0"/>
          <w:szCs w:val="21"/>
          <w:highlight w:val="none"/>
          <w:lang w:val="en-US" w:eastAsia="zh-CN" w:bidi="ar"/>
        </w:rPr>
        <w:t>三、服务期限</w:t>
      </w:r>
    </w:p>
    <w:p>
      <w:pPr>
        <w:keepNext w:val="0"/>
        <w:keepLines w:val="0"/>
        <w:pageBreakBefore w:val="0"/>
        <w:widowControl/>
        <w:tabs>
          <w:tab w:val="left" w:pos="3134"/>
        </w:tabs>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kern w:val="0"/>
          <w:szCs w:val="21"/>
          <w:highlight w:val="none"/>
          <w:lang w:val="en-US" w:eastAsia="zh-CN" w:bidi="ar"/>
        </w:rPr>
      </w:pPr>
      <w:r>
        <w:rPr>
          <w:rFonts w:hint="eastAsia" w:ascii="宋体" w:hAnsi="宋体" w:eastAsia="宋体" w:cs="宋体"/>
          <w:b w:val="0"/>
          <w:bCs w:val="0"/>
          <w:kern w:val="0"/>
          <w:szCs w:val="21"/>
          <w:highlight w:val="none"/>
          <w:lang w:val="en-US" w:eastAsia="zh-CN" w:bidi="ar"/>
        </w:rPr>
        <w:t>自合同签订之日起至完成全部服务内容止。</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highlight w:val="none"/>
          <w:lang w:val="en-US" w:eastAsia="zh-CN" w:bidi="ar"/>
        </w:rPr>
      </w:pPr>
    </w:p>
    <w:p>
      <w:pPr>
        <w:pStyle w:val="20"/>
        <w:rPr>
          <w:rFonts w:hint="eastAsia" w:ascii="宋体" w:hAnsi="宋体" w:eastAsia="宋体" w:cs="宋体"/>
          <w:color w:val="000000"/>
          <w:kern w:val="0"/>
          <w:sz w:val="21"/>
          <w:szCs w:val="21"/>
          <w:highlight w:val="none"/>
          <w:lang w:val="en-US" w:eastAsia="zh-CN" w:bidi="ar"/>
        </w:rPr>
      </w:pPr>
    </w:p>
    <w:p>
      <w:pPr>
        <w:pStyle w:val="21"/>
        <w:rPr>
          <w:rFonts w:hint="eastAsia" w:ascii="宋体" w:hAnsi="宋体" w:eastAsia="宋体" w:cs="宋体"/>
          <w:color w:val="000000"/>
          <w:kern w:val="0"/>
          <w:sz w:val="21"/>
          <w:szCs w:val="21"/>
          <w:highlight w:val="none"/>
          <w:lang w:val="en-US" w:eastAsia="zh-CN" w:bidi="ar"/>
        </w:rPr>
      </w:pPr>
    </w:p>
    <w:p>
      <w:pPr>
        <w:rPr>
          <w:rFonts w:hint="eastAsia" w:ascii="宋体" w:hAnsi="宋体" w:eastAsia="宋体" w:cs="宋体"/>
          <w:color w:val="000000"/>
          <w:kern w:val="0"/>
          <w:sz w:val="21"/>
          <w:szCs w:val="21"/>
          <w:highlight w:val="none"/>
          <w:lang w:val="en-US" w:eastAsia="zh-CN" w:bidi="ar"/>
        </w:rPr>
      </w:pPr>
    </w:p>
    <w:p>
      <w:pPr>
        <w:pStyle w:val="20"/>
        <w:rPr>
          <w:rFonts w:hint="eastAsia" w:ascii="宋体" w:hAnsi="宋体" w:eastAsia="宋体" w:cs="宋体"/>
          <w:color w:val="000000"/>
          <w:kern w:val="0"/>
          <w:sz w:val="21"/>
          <w:szCs w:val="21"/>
          <w:highlight w:val="none"/>
          <w:lang w:val="en-US" w:eastAsia="zh-CN" w:bidi="ar"/>
        </w:rPr>
      </w:pPr>
    </w:p>
    <w:p>
      <w:pPr>
        <w:pStyle w:val="21"/>
        <w:rPr>
          <w:rFonts w:hint="eastAsia" w:ascii="宋体" w:hAnsi="宋体" w:eastAsia="宋体" w:cs="宋体"/>
          <w:color w:val="000000"/>
          <w:kern w:val="0"/>
          <w:sz w:val="21"/>
          <w:szCs w:val="21"/>
          <w:highlight w:val="none"/>
          <w:lang w:val="en-US" w:eastAsia="zh-CN" w:bidi="ar"/>
        </w:rPr>
      </w:pPr>
    </w:p>
    <w:p>
      <w:pPr>
        <w:rPr>
          <w:rFonts w:hint="eastAsia" w:ascii="宋体" w:hAnsi="宋体" w:eastAsia="宋体" w:cs="宋体"/>
          <w:color w:val="000000"/>
          <w:kern w:val="0"/>
          <w:sz w:val="21"/>
          <w:szCs w:val="21"/>
          <w:highlight w:val="none"/>
          <w:lang w:val="en-US" w:eastAsia="zh-CN" w:bidi="ar"/>
        </w:rPr>
      </w:pPr>
    </w:p>
    <w:p>
      <w:pPr>
        <w:pStyle w:val="20"/>
        <w:rPr>
          <w:rFonts w:hint="eastAsia" w:ascii="宋体" w:hAnsi="宋体" w:eastAsia="宋体" w:cs="宋体"/>
          <w:color w:val="000000"/>
          <w:kern w:val="0"/>
          <w:sz w:val="21"/>
          <w:szCs w:val="21"/>
          <w:highlight w:val="none"/>
          <w:lang w:val="en-US" w:eastAsia="zh-CN" w:bidi="ar"/>
        </w:rPr>
      </w:pPr>
    </w:p>
    <w:p>
      <w:pPr>
        <w:pStyle w:val="21"/>
        <w:rPr>
          <w:rFonts w:hint="eastAsia" w:ascii="宋体" w:hAnsi="宋体" w:eastAsia="宋体" w:cs="宋体"/>
          <w:color w:val="000000"/>
          <w:kern w:val="0"/>
          <w:sz w:val="21"/>
          <w:szCs w:val="21"/>
          <w:highlight w:val="none"/>
          <w:lang w:val="en-US" w:eastAsia="zh-CN" w:bidi="ar"/>
        </w:rPr>
      </w:pPr>
    </w:p>
    <w:p>
      <w:pPr>
        <w:rPr>
          <w:rFonts w:hint="eastAsia"/>
          <w:lang w:val="en-US" w:eastAsia="zh-CN"/>
        </w:rPr>
      </w:pPr>
    </w:p>
    <w:p>
      <w:pPr>
        <w:rPr>
          <w:rFonts w:hint="eastAsia" w:ascii="宋体" w:hAnsi="宋体" w:eastAsia="宋体" w:cs="宋体"/>
          <w:color w:val="000000"/>
          <w:kern w:val="0"/>
          <w:sz w:val="21"/>
          <w:szCs w:val="21"/>
          <w:highlight w:val="none"/>
          <w:lang w:val="en-US" w:eastAsia="zh-CN" w:bidi="ar"/>
        </w:rPr>
      </w:pPr>
    </w:p>
    <w:p>
      <w:pPr>
        <w:pStyle w:val="20"/>
        <w:rPr>
          <w:rFonts w:hint="eastAsia"/>
          <w:lang w:val="en-US" w:eastAsia="zh-CN"/>
        </w:rPr>
      </w:pPr>
    </w:p>
    <w:p>
      <w:pPr>
        <w:pStyle w:val="21"/>
        <w:rPr>
          <w:rFonts w:hint="eastAsia"/>
          <w:lang w:val="en-US" w:eastAsia="zh-CN"/>
        </w:rPr>
      </w:pPr>
    </w:p>
    <w:p>
      <w:pPr>
        <w:rPr>
          <w:rFonts w:hint="eastAsia"/>
          <w:lang w:val="en-US" w:eastAsia="zh-CN"/>
        </w:rPr>
      </w:pPr>
    </w:p>
    <w:p>
      <w:pPr>
        <w:pStyle w:val="20"/>
        <w:rPr>
          <w:rFonts w:hint="eastAsia"/>
          <w:lang w:val="en-US" w:eastAsia="zh-CN"/>
        </w:rPr>
      </w:pPr>
    </w:p>
    <w:p>
      <w:pPr>
        <w:pStyle w:val="21"/>
        <w:rPr>
          <w:rFonts w:hint="eastAsia"/>
          <w:lang w:val="en-US" w:eastAsia="zh-CN"/>
        </w:rPr>
      </w:pPr>
    </w:p>
    <w:p>
      <w:pPr>
        <w:rPr>
          <w:rFonts w:hint="eastAsia"/>
          <w:lang w:val="en-US" w:eastAsia="zh-CN"/>
        </w:rPr>
      </w:pPr>
    </w:p>
    <w:p>
      <w:pPr>
        <w:pStyle w:val="20"/>
        <w:rPr>
          <w:rFonts w:hint="eastAsia"/>
          <w:lang w:val="en-US" w:eastAsia="zh-CN"/>
        </w:rPr>
      </w:pPr>
    </w:p>
    <w:p>
      <w:pPr>
        <w:pStyle w:val="21"/>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bookmarkEnd w:id="25"/>
    <w:bookmarkEnd w:id="26"/>
    <w:bookmarkEnd w:id="27"/>
    <w:p>
      <w:pPr>
        <w:spacing w:line="360" w:lineRule="auto"/>
        <w:jc w:val="both"/>
        <w:outlineLvl w:val="0"/>
        <w:rPr>
          <w:rFonts w:hint="eastAsia" w:ascii="宋体" w:hAnsi="宋体" w:cs="宋体"/>
          <w:b/>
          <w:bCs/>
          <w:sz w:val="32"/>
          <w:szCs w:val="32"/>
        </w:rPr>
      </w:pPr>
      <w:bookmarkStart w:id="30" w:name="_Toc375060225"/>
      <w:bookmarkStart w:id="31" w:name="_Toc12803"/>
      <w:bookmarkStart w:id="32" w:name="_Toc32385"/>
    </w:p>
    <w:p>
      <w:pPr>
        <w:spacing w:line="360" w:lineRule="auto"/>
        <w:jc w:val="center"/>
        <w:outlineLvl w:val="0"/>
        <w:rPr>
          <w:rFonts w:hint="eastAsia" w:ascii="宋体" w:hAnsi="宋体" w:cs="宋体"/>
          <w:b/>
          <w:bCs/>
          <w:sz w:val="32"/>
          <w:szCs w:val="32"/>
        </w:rPr>
      </w:pPr>
      <w:r>
        <w:rPr>
          <w:rFonts w:hint="eastAsia" w:ascii="宋体" w:hAnsi="宋体" w:cs="宋体"/>
          <w:b/>
          <w:bCs/>
          <w:sz w:val="32"/>
          <w:szCs w:val="32"/>
        </w:rPr>
        <w:t>第四章 评标办法及评分标准</w:t>
      </w:r>
      <w:bookmarkEnd w:id="30"/>
      <w:bookmarkEnd w:id="31"/>
      <w:bookmarkEnd w:id="32"/>
    </w:p>
    <w:p>
      <w:pPr>
        <w:spacing w:line="360" w:lineRule="auto"/>
        <w:ind w:firstLine="420" w:firstLineChars="200"/>
        <w:jc w:val="both"/>
        <w:rPr>
          <w:rFonts w:hint="eastAsia" w:ascii="宋体" w:hAnsi="宋体" w:cs="宋体"/>
        </w:rPr>
      </w:pPr>
      <w:r>
        <w:rPr>
          <w:rFonts w:hint="eastAsia" w:ascii="宋体" w:hAnsi="宋体" w:cs="宋体"/>
        </w:rPr>
        <w:t>本办法严格遵照《中华人民共和国政府采购法》、《中华人民共和国政府采购法实施条例》</w:t>
      </w:r>
      <w:r>
        <w:rPr>
          <w:rFonts w:hint="eastAsia" w:ascii="宋体" w:hAnsi="宋体" w:cs="宋体"/>
          <w:lang w:eastAsia="zh-CN"/>
        </w:rPr>
        <w:t>、</w:t>
      </w:r>
      <w:r>
        <w:rPr>
          <w:rFonts w:hint="eastAsia" w:ascii="宋体" w:hAnsi="宋体" w:cs="宋体"/>
        </w:rPr>
        <w:t>《政府采购货物和服务招标投标管理办法》，结合项目所在地政府有关政府采购规定和项目的实际情况制定。</w:t>
      </w:r>
    </w:p>
    <w:p>
      <w:pPr>
        <w:tabs>
          <w:tab w:val="left" w:pos="0"/>
          <w:tab w:val="left" w:pos="723"/>
        </w:tabs>
        <w:spacing w:line="360" w:lineRule="auto"/>
        <w:ind w:firstLine="422" w:firstLineChars="200"/>
        <w:jc w:val="both"/>
        <w:rPr>
          <w:rFonts w:hint="eastAsia" w:ascii="宋体" w:hAnsi="宋体" w:cs="宋体"/>
          <w:b/>
        </w:rPr>
      </w:pPr>
      <w:r>
        <w:rPr>
          <w:rFonts w:hint="eastAsia" w:ascii="宋体" w:hAnsi="宋体" w:cs="宋体"/>
          <w:b/>
        </w:rPr>
        <w:t>一、总则</w:t>
      </w:r>
    </w:p>
    <w:p>
      <w:pPr>
        <w:tabs>
          <w:tab w:val="left" w:pos="0"/>
          <w:tab w:val="left" w:pos="723"/>
        </w:tabs>
        <w:spacing w:line="360" w:lineRule="auto"/>
        <w:ind w:firstLine="420" w:firstLineChars="200"/>
        <w:jc w:val="both"/>
        <w:rPr>
          <w:rFonts w:hint="eastAsia" w:ascii="宋体" w:hAnsi="宋体" w:cs="宋体"/>
        </w:rPr>
      </w:pPr>
      <w:r>
        <w:rPr>
          <w:rFonts w:hint="eastAsia" w:ascii="宋体" w:hAnsi="宋体" w:cs="宋体"/>
        </w:rPr>
        <w:t>招标活动遵循公平、公正、科学、择优的原则依法进行，招标活动及当事人接受依法实施的监督。</w:t>
      </w:r>
    </w:p>
    <w:p>
      <w:pPr>
        <w:tabs>
          <w:tab w:val="left" w:pos="0"/>
          <w:tab w:val="left" w:pos="723"/>
        </w:tabs>
        <w:spacing w:line="360" w:lineRule="auto"/>
        <w:ind w:firstLine="420" w:firstLineChars="200"/>
        <w:jc w:val="both"/>
        <w:rPr>
          <w:rFonts w:hint="eastAsia" w:ascii="宋体" w:hAnsi="宋体" w:cs="宋体"/>
          <w:highlight w:val="yellow"/>
        </w:rPr>
      </w:pPr>
      <w:r>
        <w:rPr>
          <w:rFonts w:hint="eastAsia" w:ascii="宋体" w:hAnsi="宋体" w:cs="宋体"/>
        </w:rPr>
        <w:t>本次招标</w:t>
      </w:r>
      <w:r>
        <w:rPr>
          <w:rFonts w:hint="eastAsia" w:ascii="宋体" w:hAnsi="宋体" w:cs="宋体"/>
          <w:lang w:val="en-US" w:eastAsia="zh-CN"/>
        </w:rPr>
        <w:t>采购</w:t>
      </w:r>
      <w:r>
        <w:rPr>
          <w:rFonts w:hint="eastAsia" w:ascii="宋体" w:hAnsi="宋体" w:cs="宋体"/>
        </w:rPr>
        <w:t>采用综合评分法。</w:t>
      </w:r>
    </w:p>
    <w:p>
      <w:pPr>
        <w:tabs>
          <w:tab w:val="left" w:pos="0"/>
          <w:tab w:val="left" w:pos="723"/>
        </w:tabs>
        <w:spacing w:line="360" w:lineRule="auto"/>
        <w:ind w:firstLine="422" w:firstLineChars="200"/>
        <w:jc w:val="both"/>
        <w:rPr>
          <w:rFonts w:hint="eastAsia" w:ascii="宋体" w:hAnsi="宋体" w:cs="宋体"/>
          <w:b/>
        </w:rPr>
      </w:pPr>
      <w:r>
        <w:rPr>
          <w:rFonts w:hint="eastAsia" w:ascii="宋体" w:hAnsi="宋体" w:cs="宋体"/>
          <w:b/>
        </w:rPr>
        <w:t>二、评标组织</w:t>
      </w:r>
    </w:p>
    <w:p>
      <w:pPr>
        <w:spacing w:line="360" w:lineRule="auto"/>
        <w:ind w:firstLine="420" w:firstLineChars="200"/>
        <w:jc w:val="both"/>
        <w:rPr>
          <w:rFonts w:hint="eastAsia" w:ascii="宋体" w:hAnsi="宋体" w:cs="宋体"/>
        </w:rPr>
      </w:pPr>
      <w:r>
        <w:rPr>
          <w:rFonts w:hint="eastAsia" w:ascii="宋体" w:hAnsi="宋体" w:cs="宋体"/>
        </w:rPr>
        <w:t>1.评标委员会组成：采购人和采购代理机构根据采购项目的内容特点按照规定组建评标委员会。评标委员会由采购人代表和评审专家共5人及以上单数组成。</w:t>
      </w:r>
    </w:p>
    <w:p>
      <w:pPr>
        <w:spacing w:line="360" w:lineRule="auto"/>
        <w:ind w:firstLine="420" w:firstLineChars="200"/>
        <w:jc w:val="both"/>
        <w:rPr>
          <w:rFonts w:hint="eastAsia" w:ascii="宋体" w:hAnsi="宋体" w:cs="宋体"/>
        </w:rPr>
      </w:pPr>
      <w:r>
        <w:rPr>
          <w:rFonts w:hint="eastAsia" w:ascii="宋体" w:hAnsi="宋体" w:cs="宋体"/>
        </w:rPr>
        <w:t>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ind w:firstLine="420" w:firstLineChars="200"/>
        <w:jc w:val="both"/>
        <w:rPr>
          <w:rFonts w:hint="eastAsia" w:ascii="宋体" w:hAnsi="宋体" w:cs="宋体"/>
        </w:rPr>
      </w:pPr>
      <w:r>
        <w:rPr>
          <w:rFonts w:hint="eastAsia" w:ascii="宋体" w:hAnsi="宋体" w:cs="宋体"/>
        </w:rPr>
        <w:t>3.主持人宣布评标期间的有关事项，告知应当回避的情形，提请有关人员回避。</w:t>
      </w:r>
    </w:p>
    <w:p>
      <w:pPr>
        <w:pStyle w:val="5"/>
        <w:widowControl w:val="0"/>
        <w:snapToGrid w:val="0"/>
        <w:spacing w:before="0" w:after="0" w:line="360" w:lineRule="auto"/>
        <w:ind w:firstLine="422"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三、评标程序</w:t>
      </w:r>
    </w:p>
    <w:p>
      <w:pPr>
        <w:widowControl w:val="0"/>
        <w:spacing w:line="360" w:lineRule="auto"/>
        <w:ind w:firstLine="420" w:firstLineChars="200"/>
        <w:jc w:val="both"/>
        <w:rPr>
          <w:rFonts w:hint="eastAsia" w:ascii="宋体" w:hAnsi="宋体" w:cs="宋体"/>
          <w:color w:val="000000"/>
          <w:kern w:val="2"/>
          <w:szCs w:val="21"/>
        </w:rPr>
      </w:pPr>
      <w:r>
        <w:rPr>
          <w:rFonts w:hint="eastAsia" w:ascii="宋体" w:hAnsi="宋体" w:cs="宋体"/>
          <w:color w:val="000000"/>
          <w:kern w:val="2"/>
          <w:szCs w:val="21"/>
        </w:rPr>
        <w:t>1.采购代理机构按招标文件规定的时间、地点组织公开开标。开标会议由采购代理机构组织，按招标文件的规定对</w:t>
      </w:r>
      <w:r>
        <w:rPr>
          <w:rFonts w:hint="eastAsia" w:ascii="宋体" w:hAnsi="宋体" w:cs="宋体"/>
          <w:color w:val="000000"/>
          <w:kern w:val="2"/>
          <w:szCs w:val="21"/>
          <w:lang w:val="en-US" w:eastAsia="zh-CN"/>
        </w:rPr>
        <w:t>供应商</w:t>
      </w:r>
      <w:r>
        <w:rPr>
          <w:rFonts w:hint="eastAsia" w:ascii="宋体" w:hAnsi="宋体" w:cs="宋体"/>
          <w:color w:val="000000"/>
          <w:kern w:val="2"/>
          <w:szCs w:val="21"/>
        </w:rPr>
        <w:t>的资格情况进行审核。</w:t>
      </w:r>
    </w:p>
    <w:p>
      <w:pPr>
        <w:widowControl w:val="0"/>
        <w:spacing w:line="360" w:lineRule="auto"/>
        <w:ind w:firstLine="420" w:firstLineChars="200"/>
        <w:jc w:val="both"/>
        <w:rPr>
          <w:rFonts w:hint="eastAsia" w:ascii="宋体" w:hAnsi="宋体" w:cs="宋体"/>
          <w:color w:val="000000"/>
          <w:kern w:val="2"/>
          <w:szCs w:val="21"/>
        </w:rPr>
      </w:pPr>
      <w:r>
        <w:rPr>
          <w:rFonts w:hint="eastAsia" w:ascii="宋体" w:hAnsi="宋体" w:cs="宋体"/>
          <w:color w:val="000000"/>
          <w:kern w:val="2"/>
          <w:szCs w:val="21"/>
        </w:rPr>
        <w:t>2.评标委员会根据采购文件规定对</w:t>
      </w:r>
      <w:r>
        <w:rPr>
          <w:rFonts w:hint="eastAsia" w:ascii="宋体" w:hAnsi="宋体" w:cs="宋体"/>
          <w:color w:val="000000"/>
          <w:kern w:val="2"/>
          <w:szCs w:val="21"/>
          <w:lang w:val="en-US" w:eastAsia="zh-CN"/>
        </w:rPr>
        <w:t>供应商</w:t>
      </w:r>
      <w:r>
        <w:rPr>
          <w:rFonts w:hint="eastAsia" w:ascii="宋体" w:hAnsi="宋体" w:cs="宋体"/>
          <w:color w:val="000000"/>
          <w:kern w:val="2"/>
          <w:szCs w:val="21"/>
        </w:rPr>
        <w:t>的投标文件进行初步评审。对投标文件中含义不明确、同类问题表述不一致或者有明显文字和计算错误的内容，评标委员会可要求供应商作出必要的澄清、说明或者纠正。最终评标委员会将对各供应商进行详细评审和打分、并进行汇总。</w:t>
      </w:r>
    </w:p>
    <w:p>
      <w:pPr>
        <w:widowControl w:val="0"/>
        <w:spacing w:line="360" w:lineRule="auto"/>
        <w:ind w:firstLine="420" w:firstLineChars="200"/>
        <w:jc w:val="both"/>
        <w:rPr>
          <w:rFonts w:hint="eastAsia" w:ascii="宋体" w:hAnsi="宋体" w:cs="宋体"/>
          <w:color w:val="000000"/>
          <w:kern w:val="2"/>
          <w:szCs w:val="21"/>
        </w:rPr>
      </w:pPr>
      <w:r>
        <w:rPr>
          <w:rFonts w:hint="eastAsia" w:ascii="宋体" w:hAnsi="宋体" w:cs="宋体"/>
          <w:color w:val="000000"/>
          <w:kern w:val="2"/>
          <w:szCs w:val="21"/>
        </w:rPr>
        <w:t>3.按照供应商的综合得分（商务技术分与价格分之和）排名，评标委员会推荐中标候选人，并在招标公告发布的网站上公布评标结果。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color w:val="000000"/>
          <w:szCs w:val="21"/>
        </w:rPr>
      </w:pPr>
      <w:r>
        <w:rPr>
          <w:rFonts w:hint="eastAsia" w:ascii="宋体" w:hAnsi="宋体" w:cs="宋体"/>
          <w:b/>
          <w:bCs/>
          <w:color w:val="000000"/>
          <w:szCs w:val="21"/>
        </w:rPr>
        <w:t>四、评标过程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1.初步审查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初步审查分为资格检查和符合性检查。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资格审查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采购人或者采购代理机构对供应商的资格进行审查。依据法律法规和招标文件的规定，对投标文件中的资格文件</w:t>
      </w:r>
      <w:r>
        <w:rPr>
          <w:rFonts w:hint="eastAsia" w:ascii="宋体" w:hAnsi="宋体" w:cs="宋体"/>
          <w:szCs w:val="21"/>
          <w:lang w:val="en-US" w:eastAsia="zh-CN"/>
        </w:rPr>
        <w:t>等</w:t>
      </w:r>
      <w:r>
        <w:rPr>
          <w:rFonts w:hint="eastAsia" w:ascii="宋体" w:hAnsi="宋体" w:cs="宋体"/>
          <w:szCs w:val="21"/>
        </w:rPr>
        <w:t>进行审查，以确定</w:t>
      </w:r>
      <w:r>
        <w:rPr>
          <w:rFonts w:hint="eastAsia" w:ascii="宋体" w:hAnsi="宋体" w:cs="宋体"/>
          <w:szCs w:val="21"/>
          <w:lang w:val="en-US" w:eastAsia="zh-CN"/>
        </w:rPr>
        <w:t>投标</w:t>
      </w:r>
      <w:r>
        <w:rPr>
          <w:rFonts w:hint="eastAsia" w:ascii="宋体" w:hAnsi="宋体" w:cs="宋体"/>
          <w:szCs w:val="21"/>
        </w:rPr>
        <w:t>供应商是否具备投标资格。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szCs w:val="21"/>
        </w:rPr>
      </w:pPr>
      <w:r>
        <w:rPr>
          <w:rFonts w:hint="eastAsia" w:ascii="宋体" w:hAnsi="宋体" w:cs="宋体"/>
          <w:szCs w:val="21"/>
        </w:rPr>
        <w:t>符合性审查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依据招标文件的规定，从供应商投标文件的有效性、完整性和对招标文件的响应程度进行审查，以确定是否对招标文件的实质性要求作出响应。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2.澄清问题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对于投标文件中含义不明确、同类问题表述不一致或者有明显文字和计算错误的内容，评标委员会可要求供应商以书面形式作出必要的澄清、说明或者补正。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lang w:val="en-US" w:eastAsia="zh-CN"/>
        </w:rPr>
        <w:t>投标人</w:t>
      </w:r>
      <w:r>
        <w:rPr>
          <w:rFonts w:hint="eastAsia" w:ascii="宋体" w:hAnsi="宋体" w:cs="宋体"/>
          <w:szCs w:val="21"/>
        </w:rPr>
        <w:t>的澄清、说明或者补正不得超出投标文件的范围或者改变投标文件的实质性内容。</w:t>
      </w:r>
      <w:r>
        <w:rPr>
          <w:rFonts w:hint="eastAsia" w:ascii="宋体" w:hAnsi="宋体" w:cs="宋体"/>
          <w:szCs w:val="21"/>
        </w:rPr>
        <w:t>电子投标文件的，澄清、说明或者补正通过电子交易平台交换数据电子文件，</w:t>
      </w:r>
      <w:r>
        <w:rPr>
          <w:rFonts w:hint="eastAsia" w:ascii="宋体" w:hAnsi="宋体" w:cs="宋体"/>
          <w:szCs w:val="21"/>
          <w:lang w:val="en-US" w:eastAsia="zh-CN"/>
        </w:rPr>
        <w:t>投标人</w:t>
      </w:r>
      <w:r>
        <w:rPr>
          <w:rFonts w:hint="eastAsia" w:ascii="宋体" w:hAnsi="宋体" w:cs="宋体"/>
          <w:szCs w:val="21"/>
        </w:rPr>
        <w:t>提交澄清说明或补正的时间为30分钟。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3.详细评审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评标委员会对初步评审合格的投标文件，依照本办法对技术、资信内容作进一步评审、比较。评标委员会成员经过阅标、审标和询标，对各供应商进行打分。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szCs w:val="21"/>
        </w:rPr>
      </w:pPr>
      <w:r>
        <w:rPr>
          <w:rFonts w:hint="eastAsia" w:ascii="宋体" w:hAnsi="宋体" w:cs="宋体"/>
          <w:b/>
          <w:bCs/>
          <w:szCs w:val="21"/>
        </w:rPr>
        <w:t>评委打分</w:t>
      </w:r>
      <w:r>
        <w:rPr>
          <w:rFonts w:hint="eastAsia" w:ascii="宋体" w:hAnsi="宋体" w:cs="宋体"/>
          <w:b/>
          <w:bCs/>
          <w:szCs w:val="21"/>
          <w:lang w:val="en-US" w:eastAsia="zh-CN"/>
        </w:rPr>
        <w:t>根据</w:t>
      </w:r>
      <w:r>
        <w:rPr>
          <w:rFonts w:hint="eastAsia" w:ascii="宋体" w:hAnsi="宋体" w:cs="宋体"/>
          <w:b/>
          <w:bCs/>
          <w:szCs w:val="21"/>
        </w:rPr>
        <w:t>本章“五、评分标准”。</w:t>
      </w:r>
      <w:r>
        <w:rPr>
          <w:rFonts w:hint="eastAsia" w:ascii="宋体" w:hAnsi="宋体" w:cs="宋体"/>
          <w:szCs w:val="21"/>
        </w:rPr>
        <w:t>商务技术得分由评标委员会成员根据各</w:t>
      </w:r>
      <w:r>
        <w:rPr>
          <w:rFonts w:hint="eastAsia" w:ascii="宋体" w:hAnsi="宋体" w:cs="宋体"/>
          <w:szCs w:val="21"/>
          <w:lang w:val="en-US" w:eastAsia="zh-CN"/>
        </w:rPr>
        <w:t>供应商</w:t>
      </w:r>
      <w:r>
        <w:rPr>
          <w:rFonts w:hint="eastAsia" w:ascii="宋体" w:hAnsi="宋体" w:cs="宋体"/>
          <w:szCs w:val="21"/>
        </w:rPr>
        <w:t>的投标文件进行独立打分（小数点后保留一位小数），评委打分采用记名方式，取算术平均分（小数点后保留二位小数）。报价分经评标委员会评审后按评分标准表进行统一计算（小数点后保留二位小数）。如出现招标文件及评标办法未及事宜，由评标小组依据有关法律法规及规章执行并讨论确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注：评标委员会成员独立评审。评标委员会对拟认定为投标文件无效、供应商资格不符合的，应组织相关供应商代表进行陈述、澄清或申辩；采购代理机构可协助评标委员会主任评委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4.报价合理性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评标委员会认为该标项的</w:t>
      </w:r>
      <w:r>
        <w:rPr>
          <w:rFonts w:hint="eastAsia" w:ascii="宋体" w:hAnsi="宋体" w:cs="宋体"/>
          <w:szCs w:val="21"/>
          <w:lang w:val="en-US" w:eastAsia="zh-CN"/>
        </w:rPr>
        <w:t>供应商</w:t>
      </w:r>
      <w:r>
        <w:rPr>
          <w:rFonts w:hint="eastAsia" w:ascii="宋体" w:hAnsi="宋体" w:cs="宋体"/>
          <w:szCs w:val="21"/>
        </w:rPr>
        <w:t>的报价明显低于其他通过符合性审查</w:t>
      </w:r>
      <w:r>
        <w:rPr>
          <w:rFonts w:hint="eastAsia" w:ascii="宋体" w:hAnsi="宋体" w:cs="宋体"/>
          <w:szCs w:val="21"/>
          <w:lang w:val="en-US" w:eastAsia="zh-CN"/>
        </w:rPr>
        <w:t>供应商</w:t>
      </w:r>
      <w:r>
        <w:rPr>
          <w:rFonts w:hint="eastAsia" w:ascii="宋体" w:hAnsi="宋体" w:cs="宋体"/>
          <w:szCs w:val="21"/>
        </w:rPr>
        <w:t>的报价，有可能影响产品质量或者不能诚信履约的，且不能在评标现场合理时间内提供相关证明材料说明其报价合理性的，则投标文件将被视为无效。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5.中标原则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rPr>
      </w:pPr>
      <w:r>
        <w:rPr>
          <w:rFonts w:hint="eastAsia" w:ascii="宋体" w:hAnsi="宋体" w:cs="宋体"/>
          <w:szCs w:val="21"/>
        </w:rPr>
        <w:t>评标委员会根据供应商的综合得分（商务技术得分和</w:t>
      </w:r>
      <w:r>
        <w:rPr>
          <w:rFonts w:hint="eastAsia" w:ascii="宋体" w:hAnsi="宋体" w:cs="宋体"/>
          <w:szCs w:val="21"/>
          <w:lang w:val="en-US" w:eastAsia="zh-CN"/>
        </w:rPr>
        <w:t>价格</w:t>
      </w:r>
      <w:r>
        <w:rPr>
          <w:rFonts w:hint="eastAsia" w:ascii="宋体" w:hAnsi="宋体" w:cs="宋体"/>
          <w:szCs w:val="21"/>
        </w:rPr>
        <w:t>分之和）由高到低排定顺序，并推荐综合得分排名第一的供应商为本项目的第一中标候选人。如供应商综合得分相同的，则投标报价低者优先；若投标报价也相同，则由采购人抽签决定，先抽中者排名靠前。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如评标过程中出现本招标文件未尽事宜，则由评标委员会讨论决定。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cs="宋体"/>
          <w:b/>
          <w:bCs/>
          <w:szCs w:val="21"/>
        </w:rPr>
      </w:pPr>
      <w:r>
        <w:rPr>
          <w:rFonts w:hint="eastAsia" w:ascii="宋体" w:hAnsi="宋体" w:cs="宋体"/>
          <w:b/>
          <w:bCs/>
          <w:szCs w:val="21"/>
        </w:rPr>
        <w:t>6.中标结果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szCs w:val="21"/>
        </w:rPr>
      </w:pPr>
      <w:r>
        <w:rPr>
          <w:rFonts w:hint="eastAsia" w:ascii="宋体" w:hAnsi="宋体" w:cs="宋体"/>
          <w:szCs w:val="21"/>
        </w:rPr>
        <w:t>采购机构将中标结果在政府采购指定媒体上公示，并根据中标结果和公告，同时向中标发出中标通知书。</w:t>
      </w:r>
    </w:p>
    <w:p>
      <w:pPr>
        <w:numPr>
          <w:ilvl w:val="0"/>
          <w:numId w:val="3"/>
        </w:numPr>
        <w:spacing w:line="360" w:lineRule="auto"/>
        <w:ind w:firstLine="422" w:firstLineChars="200"/>
        <w:jc w:val="both"/>
        <w:rPr>
          <w:rFonts w:hint="eastAsia" w:ascii="宋体" w:hAnsi="宋体" w:cs="宋体"/>
          <w:b/>
          <w:szCs w:val="21"/>
        </w:rPr>
      </w:pPr>
      <w:r>
        <w:rPr>
          <w:rFonts w:hint="eastAsia" w:ascii="宋体" w:hAnsi="宋体" w:cs="宋体"/>
          <w:b/>
          <w:szCs w:val="21"/>
        </w:rPr>
        <w:t>评分标准</w:t>
      </w:r>
    </w:p>
    <w:tbl>
      <w:tblPr>
        <w:tblStyle w:val="49"/>
        <w:tblpPr w:leftFromText="180" w:rightFromText="180" w:vertAnchor="text" w:horzAnchor="page" w:tblpX="1797" w:tblpY="387"/>
        <w:tblOverlap w:val="never"/>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86"/>
        <w:gridCol w:w="619"/>
        <w:gridCol w:w="562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89" w:type="pct"/>
            <w:noWrap w:val="0"/>
            <w:vAlign w:val="center"/>
          </w:tcPr>
          <w:p>
            <w:pPr>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序号</w:t>
            </w:r>
          </w:p>
        </w:tc>
        <w:tc>
          <w:tcPr>
            <w:tcW w:w="571" w:type="pct"/>
            <w:noWrap/>
            <w:vAlign w:val="center"/>
          </w:tcPr>
          <w:p>
            <w:pPr>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评分项</w:t>
            </w:r>
          </w:p>
        </w:tc>
        <w:tc>
          <w:tcPr>
            <w:tcW w:w="358" w:type="pct"/>
            <w:noWrap/>
            <w:vAlign w:val="center"/>
          </w:tcPr>
          <w:p>
            <w:pPr>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类别</w:t>
            </w:r>
          </w:p>
        </w:tc>
        <w:tc>
          <w:tcPr>
            <w:tcW w:w="3262" w:type="pct"/>
            <w:noWrap/>
            <w:vAlign w:val="center"/>
          </w:tcPr>
          <w:p>
            <w:pPr>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评审内容及评分标准</w:t>
            </w:r>
          </w:p>
        </w:tc>
        <w:tc>
          <w:tcPr>
            <w:tcW w:w="418" w:type="pct"/>
            <w:noWrap/>
            <w:vAlign w:val="center"/>
          </w:tcPr>
          <w:p>
            <w:pPr>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19" w:type="pct"/>
            <w:gridSpan w:val="3"/>
            <w:noWrap w:val="0"/>
            <w:vAlign w:val="center"/>
          </w:tcPr>
          <w:p>
            <w:pPr>
              <w:widowControl w:val="0"/>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一</w:t>
            </w:r>
          </w:p>
        </w:tc>
        <w:tc>
          <w:tcPr>
            <w:tcW w:w="3262" w:type="pct"/>
            <w:noWrap/>
            <w:vAlign w:val="center"/>
          </w:tcPr>
          <w:p>
            <w:pPr>
              <w:widowControl w:val="0"/>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商务技术分</w:t>
            </w:r>
          </w:p>
        </w:tc>
        <w:tc>
          <w:tcPr>
            <w:tcW w:w="418" w:type="pct"/>
            <w:noWrap/>
            <w:vAlign w:val="center"/>
          </w:tcPr>
          <w:p>
            <w:pPr>
              <w:widowControl w:val="0"/>
              <w:jc w:val="center"/>
              <w:textAlignment w:val="center"/>
              <w:rPr>
                <w:rFonts w:hint="eastAsia" w:ascii="宋体" w:hAnsi="宋体" w:cs="宋体"/>
                <w:b/>
                <w:bCs/>
                <w:color w:val="000000"/>
                <w:szCs w:val="21"/>
                <w:highlight w:val="none"/>
              </w:rPr>
            </w:pPr>
            <w:r>
              <w:rPr>
                <w:rFonts w:hint="eastAsia" w:ascii="宋体" w:hAnsi="宋体" w:cs="宋体"/>
                <w:b/>
                <w:bCs/>
                <w:color w:val="000000"/>
                <w:szCs w:val="21"/>
                <w:highlight w:val="none"/>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9" w:type="pct"/>
            <w:vMerge w:val="restart"/>
            <w:noWrap w:val="0"/>
            <w:vAlign w:val="center"/>
          </w:tcPr>
          <w:p>
            <w:pPr>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571" w:type="pct"/>
            <w:vMerge w:val="restart"/>
            <w:noWrap w:val="0"/>
            <w:vAlign w:val="center"/>
          </w:tcPr>
          <w:p>
            <w:pPr>
              <w:widowControl w:val="0"/>
              <w:jc w:val="center"/>
              <w:textAlignment w:val="center"/>
              <w:rPr>
                <w:rFonts w:hint="eastAsia" w:ascii="宋体" w:hAnsi="宋体" w:cs="宋体"/>
                <w:b/>
                <w:bCs/>
                <w:color w:val="000000"/>
                <w:szCs w:val="21"/>
                <w:highlight w:val="none"/>
              </w:rPr>
            </w:pPr>
            <w:r>
              <w:rPr>
                <w:rFonts w:hint="eastAsia" w:ascii="宋体" w:hAnsi="宋体" w:cs="宋体"/>
                <w:color w:val="000000"/>
                <w:szCs w:val="21"/>
                <w:highlight w:val="none"/>
              </w:rPr>
              <w:t>项目熟悉程度</w:t>
            </w:r>
          </w:p>
        </w:tc>
        <w:tc>
          <w:tcPr>
            <w:tcW w:w="358" w:type="pct"/>
            <w:vMerge w:val="restart"/>
            <w:noWrap w:val="0"/>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widowControl w:val="0"/>
              <w:jc w:val="center"/>
              <w:textAlignment w:val="center"/>
              <w:rPr>
                <w:rFonts w:hint="eastAsia" w:ascii="宋体" w:hAnsi="宋体" w:cs="宋体"/>
                <w:b/>
                <w:bCs/>
                <w:color w:val="000000"/>
                <w:szCs w:val="21"/>
                <w:highlight w:val="none"/>
              </w:rPr>
            </w:pPr>
            <w:r>
              <w:rPr>
                <w:rFonts w:hint="eastAsia" w:ascii="宋体" w:hAnsi="宋体" w:cs="宋体"/>
                <w:szCs w:val="21"/>
                <w:highlight w:val="none"/>
              </w:rPr>
              <w:t>评价</w:t>
            </w:r>
          </w:p>
        </w:tc>
        <w:tc>
          <w:tcPr>
            <w:tcW w:w="3262" w:type="pct"/>
            <w:noWrap/>
            <w:vAlign w:val="center"/>
          </w:tcPr>
          <w:p>
            <w:pPr>
              <w:widowControl w:val="0"/>
              <w:jc w:val="left"/>
              <w:textAlignment w:val="center"/>
              <w:rPr>
                <w:rFonts w:hint="eastAsia" w:ascii="宋体" w:hAnsi="宋体" w:cs="宋体"/>
                <w:szCs w:val="21"/>
                <w:highlight w:val="none"/>
                <w:lang w:eastAsia="zh-CN"/>
              </w:rPr>
            </w:pPr>
            <w:r>
              <w:rPr>
                <w:rFonts w:hint="eastAsia" w:ascii="宋体" w:hAnsi="宋体" w:cs="宋体"/>
                <w:szCs w:val="21"/>
                <w:highlight w:val="none"/>
              </w:rPr>
              <w:t>根据供应商针对项目所在地的现场环境熟悉程度进行评议对现场熟悉程度较高了解分析透彻得</w:t>
            </w:r>
            <w:r>
              <w:rPr>
                <w:rFonts w:ascii="宋体" w:hAnsi="宋体" w:cs="宋体"/>
                <w:szCs w:val="21"/>
                <w:highlight w:val="none"/>
              </w:rPr>
              <w:t>5</w:t>
            </w:r>
            <w:r>
              <w:rPr>
                <w:rFonts w:hint="eastAsia" w:ascii="宋体" w:hAnsi="宋体" w:cs="宋体"/>
                <w:szCs w:val="21"/>
                <w:highlight w:val="none"/>
              </w:rPr>
              <w:t>分</w:t>
            </w:r>
            <w:r>
              <w:rPr>
                <w:rFonts w:hint="eastAsia" w:ascii="宋体" w:hAnsi="宋体" w:cs="宋体"/>
                <w:szCs w:val="21"/>
                <w:highlight w:val="none"/>
                <w:lang w:eastAsia="zh-CN"/>
              </w:rPr>
              <w:t>；</w:t>
            </w:r>
          </w:p>
          <w:p>
            <w:pPr>
              <w:widowControl w:val="0"/>
              <w:jc w:val="left"/>
              <w:textAlignment w:val="center"/>
              <w:rPr>
                <w:rFonts w:hint="eastAsia" w:ascii="宋体" w:hAnsi="宋体" w:cs="宋体"/>
                <w:szCs w:val="21"/>
                <w:highlight w:val="none"/>
                <w:lang w:eastAsia="zh-CN"/>
              </w:rPr>
            </w:pPr>
            <w:r>
              <w:rPr>
                <w:rFonts w:hint="eastAsia" w:ascii="宋体" w:hAnsi="宋体" w:cs="宋体"/>
                <w:szCs w:val="21"/>
                <w:highlight w:val="none"/>
              </w:rPr>
              <w:t>对现场熟悉程度较为熟悉了解得3分</w:t>
            </w:r>
            <w:r>
              <w:rPr>
                <w:rFonts w:hint="eastAsia" w:ascii="宋体" w:hAnsi="宋体" w:cs="宋体"/>
                <w:szCs w:val="21"/>
                <w:highlight w:val="none"/>
                <w:lang w:eastAsia="zh-CN"/>
              </w:rPr>
              <w:t>；</w:t>
            </w:r>
          </w:p>
          <w:p>
            <w:pPr>
              <w:widowControl w:val="0"/>
              <w:jc w:val="left"/>
              <w:textAlignment w:val="center"/>
              <w:rPr>
                <w:rFonts w:hint="eastAsia" w:ascii="宋体" w:hAnsi="宋体" w:cs="宋体"/>
                <w:szCs w:val="21"/>
                <w:highlight w:val="none"/>
                <w:lang w:eastAsia="zh-CN"/>
              </w:rPr>
            </w:pPr>
            <w:r>
              <w:rPr>
                <w:rFonts w:hint="eastAsia" w:ascii="宋体" w:hAnsi="宋体" w:cs="宋体"/>
                <w:szCs w:val="21"/>
                <w:highlight w:val="none"/>
              </w:rPr>
              <w:t>对现场不熟悉得1分</w:t>
            </w:r>
            <w:r>
              <w:rPr>
                <w:rFonts w:hint="eastAsia" w:ascii="宋体" w:hAnsi="宋体" w:cs="宋体"/>
                <w:szCs w:val="21"/>
                <w:highlight w:val="none"/>
                <w:lang w:eastAsia="zh-CN"/>
              </w:rPr>
              <w:t>；</w:t>
            </w:r>
          </w:p>
          <w:p>
            <w:pPr>
              <w:widowControl w:val="0"/>
              <w:jc w:val="left"/>
              <w:textAlignment w:val="center"/>
              <w:rPr>
                <w:rFonts w:hint="eastAsia" w:ascii="宋体" w:hAnsi="宋体" w:cs="宋体"/>
                <w:b/>
                <w:bCs/>
                <w:color w:val="000000"/>
                <w:szCs w:val="21"/>
                <w:highlight w:val="none"/>
              </w:rPr>
            </w:pPr>
            <w:r>
              <w:rPr>
                <w:rFonts w:hint="eastAsia" w:ascii="宋体" w:hAnsi="宋体" w:cs="宋体"/>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9" w:type="pct"/>
            <w:vMerge w:val="continue"/>
            <w:noWrap w:val="0"/>
            <w:vAlign w:val="center"/>
          </w:tcPr>
          <w:p>
            <w:pPr>
              <w:jc w:val="center"/>
              <w:textAlignment w:val="center"/>
              <w:rPr>
                <w:rFonts w:hint="eastAsia" w:ascii="宋体" w:hAnsi="宋体" w:cs="宋体"/>
                <w:color w:val="000000"/>
                <w:szCs w:val="21"/>
                <w:highlight w:val="none"/>
              </w:rPr>
            </w:pPr>
          </w:p>
        </w:tc>
        <w:tc>
          <w:tcPr>
            <w:tcW w:w="571" w:type="pct"/>
            <w:vMerge w:val="continue"/>
            <w:noWrap w:val="0"/>
            <w:vAlign w:val="center"/>
          </w:tcPr>
          <w:p>
            <w:pPr>
              <w:widowControl w:val="0"/>
              <w:jc w:val="center"/>
              <w:textAlignment w:val="center"/>
              <w:rPr>
                <w:rFonts w:hint="eastAsia" w:ascii="宋体" w:hAnsi="宋体" w:cs="宋体"/>
                <w:color w:val="000000"/>
                <w:szCs w:val="21"/>
                <w:highlight w:val="none"/>
              </w:rPr>
            </w:pPr>
          </w:p>
        </w:tc>
        <w:tc>
          <w:tcPr>
            <w:tcW w:w="358" w:type="pct"/>
            <w:vMerge w:val="continue"/>
            <w:noWrap w:val="0"/>
            <w:vAlign w:val="center"/>
          </w:tcPr>
          <w:p>
            <w:pPr>
              <w:jc w:val="center"/>
              <w:textAlignment w:val="center"/>
              <w:rPr>
                <w:rFonts w:hint="eastAsia" w:ascii="宋体" w:hAnsi="宋体" w:cs="宋体"/>
                <w:szCs w:val="21"/>
                <w:highlight w:val="none"/>
              </w:rPr>
            </w:pPr>
          </w:p>
        </w:tc>
        <w:tc>
          <w:tcPr>
            <w:tcW w:w="3262" w:type="pct"/>
            <w:noWrap/>
            <w:vAlign w:val="center"/>
          </w:tcPr>
          <w:p>
            <w:pPr>
              <w:widowControl w:val="0"/>
              <w:jc w:val="left"/>
              <w:textAlignment w:val="center"/>
              <w:rPr>
                <w:rFonts w:hint="eastAsia" w:ascii="宋体" w:hAnsi="宋体" w:cs="宋体"/>
                <w:szCs w:val="21"/>
                <w:highlight w:val="none"/>
              </w:rPr>
            </w:pPr>
            <w:r>
              <w:rPr>
                <w:rFonts w:hint="eastAsia" w:ascii="宋体" w:hAnsi="宋体" w:cs="宋体"/>
                <w:szCs w:val="21"/>
                <w:highlight w:val="none"/>
              </w:rPr>
              <w:t>根据供应商针对宁波市最新征拆相关政策了解熟悉程度，分析解读情况等进行综合评议</w:t>
            </w:r>
          </w:p>
          <w:p>
            <w:pPr>
              <w:widowControl w:val="0"/>
              <w:jc w:val="left"/>
              <w:textAlignment w:val="center"/>
              <w:rPr>
                <w:rFonts w:hint="eastAsia" w:ascii="宋体" w:hAnsi="宋体" w:cs="宋体"/>
                <w:szCs w:val="21"/>
                <w:highlight w:val="none"/>
                <w:lang w:eastAsia="zh-CN"/>
              </w:rPr>
            </w:pPr>
            <w:r>
              <w:rPr>
                <w:rFonts w:hint="eastAsia" w:ascii="宋体" w:hAnsi="宋体" w:cs="宋体"/>
                <w:szCs w:val="21"/>
                <w:highlight w:val="none"/>
              </w:rPr>
              <w:t>对相关政策完全熟悉，分析解读到位的得</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szCs w:val="21"/>
                <w:highlight w:val="none"/>
                <w:lang w:eastAsia="zh-CN"/>
              </w:rPr>
              <w:t>；</w:t>
            </w:r>
          </w:p>
          <w:p>
            <w:pPr>
              <w:widowControl w:val="0"/>
              <w:jc w:val="left"/>
              <w:textAlignment w:val="center"/>
              <w:rPr>
                <w:rFonts w:hint="eastAsia" w:ascii="宋体" w:hAnsi="宋体" w:cs="宋体"/>
                <w:szCs w:val="21"/>
                <w:highlight w:val="none"/>
              </w:rPr>
            </w:pPr>
            <w:r>
              <w:rPr>
                <w:rFonts w:hint="eastAsia" w:ascii="宋体" w:hAnsi="宋体" w:cs="宋体"/>
                <w:szCs w:val="21"/>
                <w:highlight w:val="none"/>
              </w:rPr>
              <w:t>对相关政策基本较熟悉，分析解读基本到位得3分</w:t>
            </w:r>
          </w:p>
          <w:p>
            <w:pPr>
              <w:widowControl w:val="0"/>
              <w:jc w:val="left"/>
              <w:textAlignment w:val="center"/>
              <w:rPr>
                <w:rFonts w:hint="eastAsia" w:ascii="宋体" w:hAnsi="宋体" w:cs="宋体"/>
                <w:szCs w:val="21"/>
                <w:highlight w:val="none"/>
                <w:lang w:eastAsia="zh-CN"/>
              </w:rPr>
            </w:pPr>
            <w:r>
              <w:rPr>
                <w:rFonts w:hint="eastAsia" w:ascii="宋体" w:hAnsi="宋体" w:cs="宋体"/>
                <w:szCs w:val="21"/>
                <w:highlight w:val="none"/>
              </w:rPr>
              <w:t>对相关政策不了解的得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widowControl w:val="0"/>
              <w:jc w:val="left"/>
              <w:textAlignment w:val="center"/>
              <w:rPr>
                <w:rFonts w:hint="eastAsia" w:ascii="宋体" w:hAnsi="宋体" w:cs="宋体"/>
                <w:szCs w:val="21"/>
                <w:highlight w:val="none"/>
              </w:rPr>
            </w:pPr>
            <w:r>
              <w:rPr>
                <w:rFonts w:hint="eastAsia" w:ascii="宋体" w:hAnsi="宋体" w:cs="宋体"/>
                <w:szCs w:val="21"/>
                <w:highlight w:val="none"/>
              </w:rPr>
              <w:t>未提供不得分。</w:t>
            </w:r>
          </w:p>
        </w:tc>
        <w:tc>
          <w:tcPr>
            <w:tcW w:w="418" w:type="pct"/>
            <w:noWrap/>
            <w:vAlign w:val="center"/>
          </w:tcPr>
          <w:p>
            <w:pPr>
              <w:jc w:val="center"/>
              <w:textAlignment w:val="center"/>
              <w:rPr>
                <w:rFonts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89" w:type="pct"/>
            <w:vMerge w:val="restart"/>
            <w:noWrap w:val="0"/>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2</w:t>
            </w:r>
          </w:p>
        </w:tc>
        <w:tc>
          <w:tcPr>
            <w:tcW w:w="571" w:type="pct"/>
            <w:vMerge w:val="restart"/>
            <w:noWrap/>
            <w:vAlign w:val="center"/>
          </w:tcPr>
          <w:p>
            <w:pPr>
              <w:jc w:val="both"/>
              <w:textAlignment w:val="center"/>
              <w:rPr>
                <w:rFonts w:hint="eastAsia" w:ascii="宋体" w:hAnsi="宋体" w:cs="宋体"/>
                <w:szCs w:val="21"/>
                <w:highlight w:val="none"/>
              </w:rPr>
            </w:pPr>
            <w:r>
              <w:rPr>
                <w:rFonts w:hint="eastAsia" w:ascii="宋体" w:hAnsi="宋体" w:cs="宋体"/>
                <w:szCs w:val="21"/>
                <w:highlight w:val="none"/>
              </w:rPr>
              <w:t>项目实施方案</w:t>
            </w:r>
          </w:p>
        </w:tc>
        <w:tc>
          <w:tcPr>
            <w:tcW w:w="358" w:type="pct"/>
            <w:vMerge w:val="restar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jc w:val="center"/>
              <w:textAlignment w:val="center"/>
              <w:rPr>
                <w:rFonts w:hint="eastAsia" w:ascii="宋体" w:hAnsi="宋体" w:cs="宋体"/>
                <w:szCs w:val="21"/>
                <w:highlight w:val="none"/>
              </w:rPr>
            </w:pPr>
            <w:r>
              <w:rPr>
                <w:rFonts w:hint="eastAsia" w:ascii="宋体" w:hAnsi="宋体" w:cs="宋体"/>
                <w:szCs w:val="21"/>
                <w:highlight w:val="none"/>
              </w:rPr>
              <w:t>评价</w:t>
            </w:r>
          </w:p>
        </w:tc>
        <w:tc>
          <w:tcPr>
            <w:tcW w:w="3262" w:type="pct"/>
            <w:noWrap/>
            <w:vAlign w:val="center"/>
          </w:tcPr>
          <w:p>
            <w:pPr>
              <w:pStyle w:val="272"/>
              <w:jc w:val="left"/>
              <w:rPr>
                <w:rFonts w:hint="eastAsia" w:ascii="宋体" w:hAnsi="宋体" w:cs="宋体"/>
                <w:sz w:val="21"/>
                <w:szCs w:val="21"/>
                <w:highlight w:val="none"/>
              </w:rPr>
            </w:pPr>
            <w:r>
              <w:rPr>
                <w:rFonts w:hint="eastAsia" w:ascii="宋体" w:hAnsi="宋体" w:cs="宋体"/>
                <w:sz w:val="21"/>
                <w:szCs w:val="21"/>
                <w:highlight w:val="none"/>
              </w:rPr>
              <w:t>根据供应商针对前期确权确户提供的工作计划安排（包括内容、时间、程序、方式方法等）进行评议</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工作安排合理、先进、完善得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工作安排欠合理得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工作安排不合理得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highlight w:val="none"/>
              </w:rPr>
            </w:pPr>
            <w:r>
              <w:rPr>
                <w:rFonts w:hint="eastAsia" w:ascii="宋体" w:hAnsi="宋体" w:cs="宋体"/>
                <w:sz w:val="21"/>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389" w:type="pct"/>
            <w:vMerge w:val="continue"/>
            <w:noWrap w:val="0"/>
            <w:vAlign w:val="center"/>
          </w:tcPr>
          <w:p>
            <w:pPr>
              <w:jc w:val="center"/>
              <w:textAlignment w:val="center"/>
              <w:rPr>
                <w:rFonts w:hint="eastAsia" w:ascii="宋体" w:hAnsi="宋体" w:cs="宋体"/>
                <w:color w:val="000000"/>
                <w:szCs w:val="21"/>
                <w:highlight w:val="none"/>
              </w:rPr>
            </w:pPr>
          </w:p>
        </w:tc>
        <w:tc>
          <w:tcPr>
            <w:tcW w:w="571" w:type="pct"/>
            <w:vMerge w:val="continue"/>
            <w:noWrap/>
            <w:vAlign w:val="center"/>
          </w:tcPr>
          <w:p>
            <w:pPr>
              <w:jc w:val="both"/>
              <w:textAlignment w:val="center"/>
              <w:rPr>
                <w:rFonts w:hint="eastAsia" w:ascii="宋体" w:hAnsi="宋体" w:cs="宋体"/>
                <w:szCs w:val="21"/>
                <w:highlight w:val="none"/>
              </w:rPr>
            </w:pPr>
          </w:p>
        </w:tc>
        <w:tc>
          <w:tcPr>
            <w:tcW w:w="358" w:type="pct"/>
            <w:vMerge w:val="continue"/>
            <w:noWrap/>
            <w:vAlign w:val="center"/>
          </w:tcPr>
          <w:p>
            <w:pPr>
              <w:jc w:val="center"/>
              <w:textAlignment w:val="center"/>
              <w:rPr>
                <w:rFonts w:hint="eastAsia" w:ascii="宋体" w:hAnsi="宋体" w:cs="宋体"/>
                <w:szCs w:val="21"/>
                <w:highlight w:val="none"/>
              </w:rPr>
            </w:pPr>
          </w:p>
        </w:tc>
        <w:tc>
          <w:tcPr>
            <w:tcW w:w="3262" w:type="pct"/>
            <w:noWrap/>
            <w:vAlign w:val="center"/>
          </w:tcPr>
          <w:p>
            <w:pPr>
              <w:pStyle w:val="272"/>
              <w:jc w:val="left"/>
              <w:rPr>
                <w:rFonts w:hint="eastAsia" w:ascii="宋体" w:hAnsi="宋体" w:cs="宋体"/>
                <w:sz w:val="21"/>
                <w:szCs w:val="21"/>
                <w:highlight w:val="none"/>
              </w:rPr>
            </w:pPr>
            <w:r>
              <w:rPr>
                <w:rFonts w:hint="eastAsia" w:ascii="宋体" w:hAnsi="宋体" w:cs="宋体"/>
                <w:sz w:val="21"/>
                <w:szCs w:val="21"/>
                <w:highlight w:val="none"/>
              </w:rPr>
              <w:t>根据供应商针对中期签约结算提供的工作计划安排（包括内容、时间、程序、方式方法等）进行评议</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工作安排合理、先进、完善得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工作安排欠合理得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工作安排不合理得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rPr>
            </w:pPr>
            <w:r>
              <w:rPr>
                <w:rFonts w:hint="eastAsia" w:ascii="宋体" w:hAnsi="宋体" w:cs="宋体"/>
                <w:sz w:val="21"/>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Merge w:val="continue"/>
            <w:noWrap w:val="0"/>
            <w:vAlign w:val="center"/>
          </w:tcPr>
          <w:p>
            <w:pPr>
              <w:jc w:val="center"/>
              <w:textAlignment w:val="center"/>
              <w:rPr>
                <w:rFonts w:hint="eastAsia" w:ascii="宋体" w:hAnsi="宋体" w:cs="宋体"/>
                <w:color w:val="000000"/>
                <w:szCs w:val="21"/>
                <w:highlight w:val="none"/>
              </w:rPr>
            </w:pPr>
          </w:p>
        </w:tc>
        <w:tc>
          <w:tcPr>
            <w:tcW w:w="571" w:type="pct"/>
            <w:vMerge w:val="continue"/>
            <w:noWrap/>
            <w:vAlign w:val="center"/>
          </w:tcPr>
          <w:p>
            <w:pPr>
              <w:jc w:val="both"/>
              <w:textAlignment w:val="center"/>
              <w:rPr>
                <w:rFonts w:hint="eastAsia" w:ascii="宋体" w:hAnsi="宋体" w:cs="宋体"/>
                <w:szCs w:val="21"/>
                <w:highlight w:val="none"/>
              </w:rPr>
            </w:pPr>
          </w:p>
        </w:tc>
        <w:tc>
          <w:tcPr>
            <w:tcW w:w="358" w:type="pct"/>
            <w:vMerge w:val="continue"/>
            <w:noWrap/>
            <w:vAlign w:val="center"/>
          </w:tcPr>
          <w:p>
            <w:pPr>
              <w:jc w:val="center"/>
              <w:textAlignment w:val="center"/>
              <w:rPr>
                <w:rFonts w:hint="eastAsia" w:ascii="宋体" w:hAnsi="宋体" w:cs="宋体"/>
                <w:szCs w:val="21"/>
                <w:highlight w:val="none"/>
              </w:rPr>
            </w:pPr>
          </w:p>
        </w:tc>
        <w:tc>
          <w:tcPr>
            <w:tcW w:w="3262" w:type="pct"/>
            <w:noWrap/>
            <w:vAlign w:val="center"/>
          </w:tcPr>
          <w:p>
            <w:pPr>
              <w:pStyle w:val="272"/>
              <w:jc w:val="left"/>
              <w:rPr>
                <w:rFonts w:hint="eastAsia" w:ascii="宋体" w:hAnsi="宋体" w:cs="宋体"/>
                <w:sz w:val="21"/>
                <w:szCs w:val="21"/>
                <w:highlight w:val="none"/>
              </w:rPr>
            </w:pPr>
            <w:r>
              <w:rPr>
                <w:rFonts w:hint="eastAsia" w:ascii="宋体" w:hAnsi="宋体" w:cs="宋体"/>
                <w:sz w:val="21"/>
                <w:szCs w:val="21"/>
                <w:highlight w:val="none"/>
              </w:rPr>
              <w:t>根据供应商针对后期安置及档案管理提供的工作计划安排（包括内容、时间、程序、方式方法等）进行评议</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档案管理及安置方案合理、先进、完善得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档案管理及安置方案欠合理得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档案管理及安置方案不合理得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rPr>
            </w:pPr>
            <w:r>
              <w:rPr>
                <w:rFonts w:hint="eastAsia" w:ascii="宋体" w:hAnsi="宋体" w:cs="宋体"/>
                <w:sz w:val="21"/>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389" w:type="pct"/>
            <w:vMerge w:val="continue"/>
            <w:noWrap w:val="0"/>
            <w:vAlign w:val="center"/>
          </w:tcPr>
          <w:p>
            <w:pPr>
              <w:jc w:val="center"/>
              <w:textAlignment w:val="center"/>
              <w:rPr>
                <w:rFonts w:hint="eastAsia" w:ascii="宋体" w:hAnsi="宋体" w:cs="宋体"/>
                <w:color w:val="000000"/>
                <w:szCs w:val="21"/>
                <w:highlight w:val="none"/>
              </w:rPr>
            </w:pPr>
          </w:p>
        </w:tc>
        <w:tc>
          <w:tcPr>
            <w:tcW w:w="571" w:type="pct"/>
            <w:vMerge w:val="continue"/>
            <w:noWrap/>
            <w:vAlign w:val="center"/>
          </w:tcPr>
          <w:p>
            <w:pPr>
              <w:jc w:val="both"/>
              <w:textAlignment w:val="center"/>
              <w:rPr>
                <w:rFonts w:hint="eastAsia" w:ascii="宋体" w:hAnsi="宋体" w:cs="宋体"/>
                <w:szCs w:val="21"/>
                <w:highlight w:val="none"/>
              </w:rPr>
            </w:pPr>
          </w:p>
        </w:tc>
        <w:tc>
          <w:tcPr>
            <w:tcW w:w="358" w:type="pct"/>
            <w:vMerge w:val="continue"/>
            <w:noWrap/>
            <w:vAlign w:val="center"/>
          </w:tcPr>
          <w:p>
            <w:pPr>
              <w:jc w:val="center"/>
              <w:textAlignment w:val="center"/>
              <w:rPr>
                <w:rFonts w:hint="eastAsia" w:ascii="宋体" w:hAnsi="宋体" w:cs="宋体"/>
                <w:szCs w:val="21"/>
                <w:highlight w:val="none"/>
              </w:rPr>
            </w:pPr>
          </w:p>
        </w:tc>
        <w:tc>
          <w:tcPr>
            <w:tcW w:w="3262" w:type="pct"/>
            <w:noWrap/>
            <w:vAlign w:val="center"/>
          </w:tcPr>
          <w:p>
            <w:pPr>
              <w:pStyle w:val="272"/>
              <w:jc w:val="left"/>
              <w:rPr>
                <w:rFonts w:hint="eastAsia" w:ascii="宋体" w:hAnsi="宋体" w:cs="宋体"/>
                <w:sz w:val="21"/>
                <w:szCs w:val="21"/>
                <w:highlight w:val="none"/>
              </w:rPr>
            </w:pPr>
            <w:r>
              <w:rPr>
                <w:rFonts w:hint="eastAsia" w:ascii="宋体" w:hAnsi="宋体" w:cs="宋体"/>
                <w:sz w:val="21"/>
                <w:szCs w:val="21"/>
                <w:highlight w:val="none"/>
              </w:rPr>
              <w:t>根据供应商提供项目实施方案的完整度、详细度、科学性、可行性进行评议</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方案完整、详细、可行性强得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方案较为完整、较详细、可行性欠佳得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lang w:eastAsia="zh-CN"/>
              </w:rPr>
            </w:pPr>
            <w:r>
              <w:rPr>
                <w:rFonts w:hint="eastAsia" w:ascii="宋体" w:hAnsi="宋体" w:cs="宋体"/>
                <w:sz w:val="21"/>
                <w:szCs w:val="21"/>
                <w:highlight w:val="none"/>
              </w:rPr>
              <w:t>方案不合理可行性差得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72"/>
              <w:jc w:val="left"/>
              <w:rPr>
                <w:rFonts w:hint="eastAsia" w:ascii="宋体" w:hAnsi="宋体" w:cs="宋体"/>
                <w:sz w:val="21"/>
                <w:szCs w:val="21"/>
                <w:highlight w:val="none"/>
              </w:rPr>
            </w:pPr>
            <w:r>
              <w:rPr>
                <w:rFonts w:hint="eastAsia" w:ascii="宋体" w:hAnsi="宋体" w:cs="宋体"/>
                <w:sz w:val="21"/>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89" w:type="pct"/>
            <w:vMerge w:val="restart"/>
            <w:noWrap w:val="0"/>
            <w:vAlign w:val="center"/>
          </w:tcPr>
          <w:p>
            <w:pPr>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571" w:type="pct"/>
            <w:vMerge w:val="restart"/>
            <w:noWrap/>
            <w:vAlign w:val="center"/>
          </w:tcPr>
          <w:p>
            <w:pPr>
              <w:jc w:val="both"/>
              <w:textAlignment w:val="center"/>
              <w:rPr>
                <w:rFonts w:hint="eastAsia" w:ascii="宋体" w:hAnsi="宋体" w:cs="宋体"/>
                <w:szCs w:val="21"/>
                <w:highlight w:val="none"/>
              </w:rPr>
            </w:pPr>
            <w:r>
              <w:rPr>
                <w:rFonts w:hint="eastAsia" w:ascii="宋体" w:hAnsi="宋体" w:cs="宋体"/>
                <w:color w:val="000000"/>
                <w:szCs w:val="21"/>
                <w:highlight w:val="none"/>
              </w:rPr>
              <w:t>重难点分析及解决措施情况</w:t>
            </w:r>
          </w:p>
        </w:tc>
        <w:tc>
          <w:tcPr>
            <w:tcW w:w="358" w:type="pct"/>
            <w:vMerge w:val="restar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jc w:val="center"/>
              <w:textAlignment w:val="center"/>
              <w:rPr>
                <w:rFonts w:hint="eastAsia" w:ascii="宋体" w:hAnsi="宋体" w:cs="宋体"/>
                <w:szCs w:val="21"/>
                <w:highlight w:val="none"/>
              </w:rPr>
            </w:pPr>
            <w:r>
              <w:rPr>
                <w:rFonts w:hint="eastAsia" w:ascii="宋体" w:hAnsi="宋体" w:cs="宋体"/>
                <w:szCs w:val="21"/>
                <w:highlight w:val="none"/>
              </w:rPr>
              <w:t>评价</w:t>
            </w:r>
          </w:p>
        </w:tc>
        <w:tc>
          <w:tcPr>
            <w:tcW w:w="3262" w:type="pct"/>
            <w:noWrap/>
            <w:vAlign w:val="center"/>
          </w:tcPr>
          <w:p>
            <w:pPr>
              <w:jc w:val="left"/>
              <w:textAlignment w:val="center"/>
              <w:rPr>
                <w:rFonts w:hint="eastAsia" w:ascii="宋体" w:hAnsi="宋体" w:cs="宋体"/>
                <w:highlight w:val="none"/>
              </w:rPr>
            </w:pPr>
            <w:r>
              <w:rPr>
                <w:rFonts w:hint="eastAsia" w:ascii="宋体" w:hAnsi="宋体" w:cs="宋体"/>
                <w:highlight w:val="none"/>
              </w:rPr>
              <w:t>根据供应商提供的针对本项目的特点和难点分析情况进行综合评议，</w:t>
            </w:r>
          </w:p>
          <w:p>
            <w:pPr>
              <w:jc w:val="left"/>
              <w:textAlignment w:val="center"/>
              <w:rPr>
                <w:rFonts w:hint="eastAsia" w:ascii="宋体" w:hAnsi="宋体" w:cs="宋体"/>
                <w:highlight w:val="none"/>
                <w:lang w:eastAsia="zh-CN"/>
              </w:rPr>
            </w:pPr>
            <w:r>
              <w:rPr>
                <w:rFonts w:hint="eastAsia" w:ascii="宋体" w:hAnsi="宋体" w:cs="宋体"/>
                <w:highlight w:val="none"/>
              </w:rPr>
              <w:t>项目特点难点分析准确、针对性强的得5分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项目特点难点分析较为准确、针对性一般的得3分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项目特点难点分析不准确、针对性差的得1分</w:t>
            </w:r>
            <w:r>
              <w:rPr>
                <w:rFonts w:hint="eastAsia" w:ascii="宋体" w:hAnsi="宋体" w:cs="宋体"/>
                <w:highlight w:val="none"/>
                <w:lang w:eastAsia="zh-CN"/>
              </w:rPr>
              <w:t>；</w:t>
            </w:r>
          </w:p>
          <w:p>
            <w:pPr>
              <w:jc w:val="left"/>
              <w:textAlignment w:val="center"/>
              <w:rPr>
                <w:rFonts w:hint="eastAsia" w:ascii="宋体" w:hAnsi="宋体" w:cs="宋体"/>
                <w:highlight w:val="none"/>
              </w:rPr>
            </w:pPr>
            <w:r>
              <w:rPr>
                <w:rFonts w:hint="eastAsia" w:ascii="宋体" w:hAnsi="宋体" w:cs="宋体"/>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89" w:type="pct"/>
            <w:vMerge w:val="continue"/>
            <w:noWrap w:val="0"/>
            <w:vAlign w:val="center"/>
          </w:tcPr>
          <w:p>
            <w:pPr>
              <w:jc w:val="center"/>
              <w:textAlignment w:val="center"/>
              <w:rPr>
                <w:rFonts w:hint="eastAsia" w:ascii="宋体" w:hAnsi="宋体" w:cs="宋体"/>
                <w:color w:val="000000"/>
                <w:szCs w:val="21"/>
                <w:highlight w:val="none"/>
              </w:rPr>
            </w:pPr>
          </w:p>
        </w:tc>
        <w:tc>
          <w:tcPr>
            <w:tcW w:w="571" w:type="pct"/>
            <w:vMerge w:val="continue"/>
            <w:noWrap/>
            <w:vAlign w:val="center"/>
          </w:tcPr>
          <w:p>
            <w:pPr>
              <w:jc w:val="both"/>
              <w:textAlignment w:val="center"/>
              <w:rPr>
                <w:rFonts w:hint="eastAsia" w:ascii="宋体" w:hAnsi="宋体" w:cs="宋体"/>
                <w:szCs w:val="21"/>
                <w:highlight w:val="none"/>
              </w:rPr>
            </w:pPr>
          </w:p>
        </w:tc>
        <w:tc>
          <w:tcPr>
            <w:tcW w:w="358" w:type="pct"/>
            <w:vMerge w:val="continue"/>
            <w:noWrap/>
            <w:vAlign w:val="center"/>
          </w:tcPr>
          <w:p>
            <w:pPr>
              <w:jc w:val="center"/>
              <w:textAlignment w:val="center"/>
              <w:rPr>
                <w:rFonts w:hint="eastAsia" w:ascii="宋体" w:hAnsi="宋体" w:cs="宋体"/>
                <w:szCs w:val="21"/>
                <w:highlight w:val="none"/>
              </w:rPr>
            </w:pPr>
          </w:p>
        </w:tc>
        <w:tc>
          <w:tcPr>
            <w:tcW w:w="3262" w:type="pct"/>
            <w:noWrap/>
            <w:vAlign w:val="center"/>
          </w:tcPr>
          <w:p>
            <w:pPr>
              <w:jc w:val="left"/>
              <w:textAlignment w:val="center"/>
              <w:rPr>
                <w:rFonts w:hint="eastAsia" w:ascii="宋体" w:hAnsi="宋体" w:cs="宋体"/>
                <w:highlight w:val="none"/>
              </w:rPr>
            </w:pPr>
            <w:r>
              <w:rPr>
                <w:rFonts w:hint="eastAsia" w:ascii="宋体" w:hAnsi="宋体" w:cs="宋体"/>
                <w:highlight w:val="none"/>
              </w:rPr>
              <w:t>根据供应商提供的针对本项目特点和难点对应的解决方法和措施进行综合评议</w:t>
            </w:r>
          </w:p>
          <w:p>
            <w:pPr>
              <w:jc w:val="left"/>
              <w:textAlignment w:val="center"/>
              <w:rPr>
                <w:rFonts w:hint="eastAsia" w:ascii="宋体" w:hAnsi="宋体" w:cs="宋体"/>
                <w:highlight w:val="none"/>
                <w:lang w:eastAsia="zh-CN"/>
              </w:rPr>
            </w:pPr>
            <w:r>
              <w:rPr>
                <w:rFonts w:hint="eastAsia" w:ascii="宋体" w:hAnsi="宋体" w:cs="宋体"/>
                <w:highlight w:val="none"/>
              </w:rPr>
              <w:t>项目特点难点解决措施科学合理的得5分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项目特点难点解决措施较合理的得3分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项目特点难点解决措施不合理的得1分</w:t>
            </w:r>
            <w:r>
              <w:rPr>
                <w:rFonts w:hint="eastAsia" w:ascii="宋体" w:hAnsi="宋体" w:cs="宋体"/>
                <w:highlight w:val="none"/>
                <w:lang w:eastAsia="zh-CN"/>
              </w:rPr>
              <w:t>；</w:t>
            </w:r>
          </w:p>
          <w:p>
            <w:pPr>
              <w:jc w:val="left"/>
              <w:textAlignment w:val="center"/>
              <w:rPr>
                <w:rFonts w:hint="eastAsia" w:ascii="宋体" w:hAnsi="宋体" w:cs="宋体"/>
                <w:highlight w:val="none"/>
              </w:rPr>
            </w:pPr>
            <w:r>
              <w:rPr>
                <w:rFonts w:hint="eastAsia" w:ascii="宋体" w:hAnsi="宋体" w:cs="宋体"/>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89" w:type="pct"/>
            <w:vMerge w:val="restart"/>
            <w:noWrap w:val="0"/>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4</w:t>
            </w:r>
          </w:p>
        </w:tc>
        <w:tc>
          <w:tcPr>
            <w:tcW w:w="571" w:type="pct"/>
            <w:vMerge w:val="restart"/>
            <w:noWrap/>
            <w:vAlign w:val="center"/>
          </w:tcPr>
          <w:p>
            <w:pPr>
              <w:jc w:val="both"/>
              <w:textAlignment w:val="center"/>
              <w:rPr>
                <w:rFonts w:hint="eastAsia" w:ascii="宋体" w:hAnsi="宋体" w:cs="宋体"/>
                <w:szCs w:val="21"/>
                <w:highlight w:val="none"/>
              </w:rPr>
            </w:pPr>
            <w:r>
              <w:rPr>
                <w:rFonts w:hint="eastAsia" w:ascii="宋体" w:hAnsi="宋体" w:cs="宋体"/>
                <w:szCs w:val="21"/>
                <w:highlight w:val="none"/>
              </w:rPr>
              <w:t>项目全流程信息化解决方案</w:t>
            </w:r>
          </w:p>
        </w:tc>
        <w:tc>
          <w:tcPr>
            <w:tcW w:w="358" w:type="pct"/>
            <w:vMerge w:val="restar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jc w:val="center"/>
              <w:textAlignment w:val="center"/>
              <w:rPr>
                <w:rFonts w:hint="eastAsia" w:ascii="宋体" w:hAnsi="宋体" w:cs="宋体"/>
                <w:highlight w:val="none"/>
              </w:rPr>
            </w:pPr>
            <w:r>
              <w:rPr>
                <w:rFonts w:hint="eastAsia" w:ascii="宋体" w:hAnsi="宋体" w:cs="宋体"/>
                <w:szCs w:val="21"/>
                <w:highlight w:val="none"/>
              </w:rPr>
              <w:t>评价</w:t>
            </w:r>
          </w:p>
        </w:tc>
        <w:tc>
          <w:tcPr>
            <w:tcW w:w="3262" w:type="pct"/>
            <w:noWrap/>
            <w:vAlign w:val="center"/>
          </w:tcPr>
          <w:p>
            <w:pPr>
              <w:jc w:val="left"/>
              <w:textAlignment w:val="center"/>
              <w:rPr>
                <w:rFonts w:hint="eastAsia" w:ascii="宋体" w:hAnsi="宋体" w:cs="宋体"/>
                <w:szCs w:val="21"/>
                <w:highlight w:val="none"/>
              </w:rPr>
            </w:pPr>
            <w:r>
              <w:rPr>
                <w:rFonts w:hint="eastAsia" w:ascii="宋体" w:hAnsi="宋体" w:cs="宋体"/>
                <w:szCs w:val="21"/>
                <w:highlight w:val="none"/>
              </w:rPr>
              <w:t>根据供应商提供的项目全流程信息化解决方案的</w:t>
            </w:r>
            <w:r>
              <w:rPr>
                <w:rFonts w:hint="eastAsia" w:ascii="宋体" w:hAnsi="宋体" w:cs="宋体"/>
                <w:highlight w:val="none"/>
              </w:rPr>
              <w:t>实时掌控项目进度、统计分析</w:t>
            </w:r>
            <w:r>
              <w:rPr>
                <w:rFonts w:hint="eastAsia" w:ascii="宋体" w:hAnsi="宋体" w:cs="宋体"/>
                <w:szCs w:val="21"/>
                <w:highlight w:val="none"/>
              </w:rPr>
              <w:t>进行评议</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实时掌控项目进度计划合理可行、统计分析内容完整得</w:t>
            </w:r>
            <w:r>
              <w:rPr>
                <w:rFonts w:ascii="宋体" w:hAnsi="宋体" w:cs="宋体"/>
                <w:szCs w:val="21"/>
                <w:highlight w:val="none"/>
              </w:rPr>
              <w:t>5</w:t>
            </w:r>
            <w:r>
              <w:rPr>
                <w:rFonts w:hint="eastAsia" w:ascii="宋体" w:hAnsi="宋体" w:cs="宋体"/>
                <w:szCs w:val="21"/>
                <w:highlight w:val="none"/>
              </w:rPr>
              <w:t>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实时掌控项目进度计划基本符合项目需求，但实施难度高的得3分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实时掌控项目进度计划简单、统计分析内容与项目需求存在偏差的得1分</w:t>
            </w:r>
            <w:r>
              <w:rPr>
                <w:rFonts w:hint="eastAsia" w:ascii="宋体" w:hAnsi="宋体" w:cs="宋体"/>
                <w:szCs w:val="21"/>
                <w:highlight w:val="none"/>
                <w:lang w:eastAsia="zh-CN"/>
              </w:rPr>
              <w:t>；</w:t>
            </w:r>
          </w:p>
          <w:p>
            <w:pPr>
              <w:jc w:val="left"/>
              <w:textAlignment w:val="center"/>
              <w:rPr>
                <w:rFonts w:hint="eastAsia" w:ascii="宋体" w:hAnsi="宋体" w:cs="宋体"/>
                <w:highlight w:val="none"/>
              </w:rPr>
            </w:pPr>
            <w:r>
              <w:rPr>
                <w:rFonts w:hint="eastAsia" w:ascii="宋体" w:hAnsi="宋体" w:cs="宋体"/>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389" w:type="pct"/>
            <w:vMerge w:val="continue"/>
            <w:noWrap w:val="0"/>
            <w:vAlign w:val="center"/>
          </w:tcPr>
          <w:p>
            <w:pPr>
              <w:jc w:val="center"/>
              <w:textAlignment w:val="center"/>
              <w:rPr>
                <w:rFonts w:hint="eastAsia" w:ascii="宋体" w:hAnsi="宋体" w:cs="宋体"/>
                <w:color w:val="000000"/>
                <w:szCs w:val="21"/>
                <w:highlight w:val="none"/>
              </w:rPr>
            </w:pPr>
          </w:p>
        </w:tc>
        <w:tc>
          <w:tcPr>
            <w:tcW w:w="571" w:type="pct"/>
            <w:vMerge w:val="continue"/>
            <w:noWrap/>
            <w:vAlign w:val="center"/>
          </w:tcPr>
          <w:p>
            <w:pPr>
              <w:jc w:val="both"/>
              <w:textAlignment w:val="center"/>
              <w:rPr>
                <w:rFonts w:hint="eastAsia" w:ascii="宋体" w:hAnsi="宋体" w:cs="宋体"/>
                <w:szCs w:val="21"/>
                <w:highlight w:val="none"/>
              </w:rPr>
            </w:pPr>
          </w:p>
        </w:tc>
        <w:tc>
          <w:tcPr>
            <w:tcW w:w="358" w:type="pct"/>
            <w:vMerge w:val="continue"/>
            <w:noWrap/>
            <w:vAlign w:val="center"/>
          </w:tcPr>
          <w:p>
            <w:pPr>
              <w:jc w:val="center"/>
              <w:textAlignment w:val="center"/>
              <w:rPr>
                <w:rFonts w:hint="eastAsia" w:ascii="宋体" w:hAnsi="宋体" w:cs="宋体"/>
                <w:szCs w:val="21"/>
                <w:highlight w:val="none"/>
              </w:rPr>
            </w:pPr>
          </w:p>
        </w:tc>
        <w:tc>
          <w:tcPr>
            <w:tcW w:w="3262" w:type="pct"/>
            <w:noWrap/>
            <w:vAlign w:val="center"/>
          </w:tcPr>
          <w:p>
            <w:pPr>
              <w:jc w:val="left"/>
              <w:textAlignment w:val="center"/>
              <w:rPr>
                <w:rFonts w:hint="eastAsia" w:ascii="宋体" w:hAnsi="宋体" w:cs="宋体"/>
                <w:szCs w:val="21"/>
                <w:highlight w:val="none"/>
              </w:rPr>
            </w:pPr>
            <w:r>
              <w:rPr>
                <w:rFonts w:hint="eastAsia" w:ascii="宋体" w:hAnsi="宋体" w:cs="宋体"/>
                <w:szCs w:val="21"/>
                <w:highlight w:val="none"/>
              </w:rPr>
              <w:t>根据供应商提供的项目全流程信息化解决方案的</w:t>
            </w:r>
            <w:r>
              <w:rPr>
                <w:rFonts w:hint="eastAsia" w:ascii="宋体" w:hAnsi="宋体" w:cs="宋体"/>
                <w:highlight w:val="none"/>
              </w:rPr>
              <w:t>信息化覆盖全流程（摸底调查、成本测算、项目立项、确权确户、评估作业、安置补偿、财务结算、项目归档）</w:t>
            </w:r>
            <w:r>
              <w:rPr>
                <w:rFonts w:hint="eastAsia" w:ascii="宋体" w:hAnsi="宋体" w:cs="宋体"/>
                <w:szCs w:val="21"/>
                <w:highlight w:val="none"/>
              </w:rPr>
              <w:t>进行评议</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信息化覆盖全流程方案完整可行得</w:t>
            </w:r>
            <w:r>
              <w:rPr>
                <w:rFonts w:ascii="宋体" w:hAnsi="宋体" w:cs="宋体"/>
                <w:szCs w:val="21"/>
                <w:highlight w:val="none"/>
              </w:rPr>
              <w:t>5</w:t>
            </w:r>
            <w:r>
              <w:rPr>
                <w:rFonts w:hint="eastAsia" w:ascii="宋体" w:hAnsi="宋体" w:cs="宋体"/>
                <w:szCs w:val="21"/>
                <w:highlight w:val="none"/>
              </w:rPr>
              <w:t>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信息化覆盖全流程方案较为完整，但实施难度高得3分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信息化覆盖全流程方案内容缺失，与采购人需求存在偏差的得1分</w:t>
            </w:r>
            <w:r>
              <w:rPr>
                <w:rFonts w:hint="eastAsia" w:ascii="宋体" w:hAnsi="宋体" w:cs="宋体"/>
                <w:szCs w:val="21"/>
                <w:highlight w:val="none"/>
                <w:lang w:eastAsia="zh-CN"/>
              </w:rPr>
              <w:t>；</w:t>
            </w:r>
          </w:p>
          <w:p>
            <w:pPr>
              <w:jc w:val="left"/>
              <w:textAlignment w:val="center"/>
              <w:rPr>
                <w:rFonts w:hint="eastAsia" w:ascii="宋体" w:hAnsi="宋体" w:cs="宋体"/>
                <w:highlight w:val="none"/>
              </w:rPr>
            </w:pPr>
            <w:r>
              <w:rPr>
                <w:rFonts w:hint="eastAsia" w:ascii="宋体" w:hAnsi="宋体" w:cs="宋体"/>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89" w:type="pct"/>
            <w:vMerge w:val="continue"/>
            <w:noWrap w:val="0"/>
            <w:vAlign w:val="center"/>
          </w:tcPr>
          <w:p>
            <w:pPr>
              <w:jc w:val="both"/>
              <w:textAlignment w:val="center"/>
            </w:pPr>
          </w:p>
        </w:tc>
        <w:tc>
          <w:tcPr>
            <w:tcW w:w="571" w:type="pct"/>
            <w:vMerge w:val="continue"/>
            <w:noWrap/>
            <w:vAlign w:val="center"/>
          </w:tcPr>
          <w:p>
            <w:pPr>
              <w:jc w:val="both"/>
              <w:textAlignment w:val="center"/>
            </w:pPr>
          </w:p>
        </w:tc>
        <w:tc>
          <w:tcPr>
            <w:tcW w:w="358" w:type="pct"/>
            <w:vMerge w:val="continue"/>
            <w:noWrap/>
            <w:vAlign w:val="center"/>
          </w:tcPr>
          <w:p>
            <w:pPr>
              <w:jc w:val="both"/>
              <w:textAlignment w:val="center"/>
            </w:pPr>
          </w:p>
        </w:tc>
        <w:tc>
          <w:tcPr>
            <w:tcW w:w="3262" w:type="pct"/>
            <w:noWrap/>
            <w:vAlign w:val="center"/>
          </w:tcPr>
          <w:p>
            <w:pPr>
              <w:jc w:val="left"/>
              <w:textAlignment w:val="center"/>
              <w:rPr>
                <w:rFonts w:hint="eastAsia" w:ascii="宋体" w:hAnsi="宋体" w:cs="宋体"/>
                <w:szCs w:val="21"/>
                <w:highlight w:val="none"/>
              </w:rPr>
            </w:pPr>
            <w:r>
              <w:rPr>
                <w:rFonts w:hint="eastAsia" w:ascii="宋体" w:hAnsi="宋体" w:cs="宋体"/>
                <w:szCs w:val="21"/>
                <w:highlight w:val="none"/>
              </w:rPr>
              <w:t>根据供应商提供的项目全流程信息化解决方案的数字地图服务进行评议，数字地图服务应包括正射影像图、三维模型制作、后期修复、VR集成等技术方案进行评议</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方案内容完整得5分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方案基本符合项目需求，但实施难度高的得3分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方案计划简单、项目需求存在偏差的得1分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rPr>
            </w:pPr>
            <w:r>
              <w:rPr>
                <w:rFonts w:hint="eastAsia" w:ascii="宋体" w:hAnsi="宋体" w:cs="宋体"/>
                <w:szCs w:val="21"/>
                <w:highlight w:val="none"/>
              </w:rPr>
              <w:t>未提供不得分。</w:t>
            </w:r>
          </w:p>
        </w:tc>
        <w:tc>
          <w:tcPr>
            <w:tcW w:w="418" w:type="pct"/>
            <w:noWrap/>
            <w:vAlign w:val="center"/>
          </w:tcPr>
          <w:p>
            <w:pPr>
              <w:jc w:val="center"/>
              <w:textAlignment w:val="center"/>
              <w:rPr>
                <w:rFonts w:hint="eastAsia" w:ascii="宋体" w:hAnsi="宋体" w:eastAsia="宋体" w:cs="宋体"/>
                <w:color w:val="000000"/>
                <w:szCs w:val="21"/>
                <w:highlight w:val="none"/>
              </w:rPr>
            </w:pPr>
            <w:r>
              <w:rPr>
                <w:rFonts w:ascii="宋体" w:hAnsi="宋体" w:eastAsia="宋体" w:cs="宋体"/>
                <w:color w:val="000000"/>
                <w:szCs w:val="21"/>
                <w:highlight w:val="none"/>
              </w:rPr>
              <w:t>5</w:t>
            </w:r>
            <w:r>
              <w:rPr>
                <w:rFonts w:hint="eastAsia" w:ascii="宋体" w:hAnsi="宋体" w:eastAsia="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389" w:type="pct"/>
            <w:vMerge w:val="restart"/>
            <w:noWrap w:val="0"/>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5</w:t>
            </w:r>
          </w:p>
        </w:tc>
        <w:tc>
          <w:tcPr>
            <w:tcW w:w="571" w:type="pct"/>
            <w:vMerge w:val="restart"/>
            <w:noWrap/>
            <w:vAlign w:val="center"/>
          </w:tcPr>
          <w:p>
            <w:pPr>
              <w:jc w:val="both"/>
              <w:textAlignment w:val="center"/>
              <w:rPr>
                <w:rFonts w:hint="eastAsia" w:ascii="宋体" w:hAnsi="宋体" w:cs="宋体"/>
                <w:szCs w:val="21"/>
                <w:highlight w:val="none"/>
              </w:rPr>
            </w:pPr>
            <w:r>
              <w:rPr>
                <w:rFonts w:hint="eastAsia" w:ascii="宋体" w:hAnsi="宋体" w:cs="宋体"/>
                <w:szCs w:val="21"/>
                <w:highlight w:val="none"/>
              </w:rPr>
              <w:t>项目组人员配备</w:t>
            </w:r>
          </w:p>
        </w:tc>
        <w:tc>
          <w:tcPr>
            <w:tcW w:w="358" w:type="pct"/>
            <w:vMerge w:val="restar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jc w:val="center"/>
              <w:textAlignment w:val="center"/>
              <w:rPr>
                <w:rFonts w:hint="eastAsia" w:ascii="宋体" w:hAnsi="宋体" w:cs="宋体"/>
                <w:szCs w:val="21"/>
                <w:highlight w:val="none"/>
              </w:rPr>
            </w:pPr>
            <w:r>
              <w:rPr>
                <w:rFonts w:hint="eastAsia" w:ascii="宋体" w:hAnsi="宋体" w:cs="宋体"/>
                <w:szCs w:val="21"/>
                <w:highlight w:val="none"/>
              </w:rPr>
              <w:t>评价</w:t>
            </w:r>
          </w:p>
        </w:tc>
        <w:tc>
          <w:tcPr>
            <w:tcW w:w="3262" w:type="pct"/>
            <w:noWrap/>
            <w:vAlign w:val="center"/>
          </w:tcPr>
          <w:p>
            <w:pPr>
              <w:jc w:val="left"/>
              <w:textAlignment w:val="center"/>
              <w:rPr>
                <w:rFonts w:hint="eastAsia" w:ascii="宋体" w:hAnsi="宋体" w:cs="宋体"/>
                <w:color w:val="000000"/>
                <w:highlight w:val="none"/>
              </w:rPr>
            </w:pPr>
            <w:r>
              <w:rPr>
                <w:rFonts w:hint="eastAsia" w:ascii="宋体" w:hAnsi="宋体" w:cs="宋体"/>
                <w:color w:val="000000"/>
                <w:highlight w:val="none"/>
              </w:rPr>
              <w:t>根据供应商提供的项目组组织设置情况进行综合评议</w:t>
            </w:r>
          </w:p>
          <w:p>
            <w:pPr>
              <w:jc w:val="left"/>
              <w:textAlignment w:val="center"/>
              <w:rPr>
                <w:rFonts w:hint="eastAsia" w:ascii="宋体" w:hAnsi="宋体" w:cs="宋体"/>
                <w:color w:val="000000"/>
                <w:highlight w:val="none"/>
                <w:lang w:eastAsia="zh-CN"/>
              </w:rPr>
            </w:pPr>
            <w:r>
              <w:rPr>
                <w:rFonts w:hint="eastAsia" w:ascii="宋体" w:hAnsi="宋体" w:cs="宋体"/>
                <w:color w:val="000000"/>
                <w:highlight w:val="none"/>
              </w:rPr>
              <w:t>人员配备合理，组织架构明确的得5分</w:t>
            </w:r>
            <w:r>
              <w:rPr>
                <w:rFonts w:hint="eastAsia" w:ascii="宋体" w:hAnsi="宋体" w:cs="宋体"/>
                <w:color w:val="000000"/>
                <w:highlight w:val="none"/>
                <w:lang w:eastAsia="zh-CN"/>
              </w:rPr>
              <w:t>；</w:t>
            </w:r>
          </w:p>
          <w:p>
            <w:pPr>
              <w:jc w:val="left"/>
              <w:textAlignment w:val="center"/>
              <w:rPr>
                <w:rFonts w:hint="eastAsia" w:ascii="宋体" w:hAnsi="宋体" w:cs="宋体"/>
                <w:color w:val="000000"/>
                <w:highlight w:val="none"/>
                <w:lang w:eastAsia="zh-CN"/>
              </w:rPr>
            </w:pPr>
            <w:r>
              <w:rPr>
                <w:rFonts w:hint="eastAsia" w:ascii="宋体" w:hAnsi="宋体" w:cs="宋体"/>
                <w:color w:val="000000"/>
                <w:highlight w:val="none"/>
              </w:rPr>
              <w:t>人员配备较为合理，组织架构基本可行的得3分</w:t>
            </w:r>
            <w:r>
              <w:rPr>
                <w:rFonts w:hint="eastAsia" w:ascii="宋体" w:hAnsi="宋体" w:cs="宋体"/>
                <w:color w:val="000000"/>
                <w:highlight w:val="none"/>
                <w:lang w:eastAsia="zh-CN"/>
              </w:rPr>
              <w:t>；</w:t>
            </w:r>
          </w:p>
          <w:p>
            <w:pPr>
              <w:jc w:val="left"/>
              <w:textAlignment w:val="center"/>
              <w:rPr>
                <w:rFonts w:hint="eastAsia" w:ascii="宋体" w:hAnsi="宋体" w:cs="宋体"/>
                <w:color w:val="000000"/>
                <w:highlight w:val="none"/>
                <w:lang w:eastAsia="zh-CN"/>
              </w:rPr>
            </w:pPr>
            <w:r>
              <w:rPr>
                <w:rFonts w:hint="eastAsia" w:ascii="宋体" w:hAnsi="宋体" w:cs="宋体"/>
                <w:color w:val="000000"/>
                <w:highlight w:val="none"/>
              </w:rPr>
              <w:t>人员配备不合理，可能影响项目实施人的得1分</w:t>
            </w:r>
            <w:r>
              <w:rPr>
                <w:rFonts w:hint="eastAsia" w:ascii="宋体" w:hAnsi="宋体" w:cs="宋体"/>
                <w:color w:val="000000"/>
                <w:highlight w:val="none"/>
                <w:lang w:eastAsia="zh-CN"/>
              </w:rPr>
              <w:t>；</w:t>
            </w:r>
          </w:p>
          <w:p>
            <w:pPr>
              <w:jc w:val="left"/>
              <w:textAlignment w:val="center"/>
              <w:rPr>
                <w:rFonts w:hint="eastAsia" w:ascii="宋体" w:hAnsi="宋体" w:cs="宋体"/>
                <w:highlight w:val="none"/>
              </w:rPr>
            </w:pPr>
            <w:r>
              <w:rPr>
                <w:rFonts w:hint="eastAsia" w:ascii="宋体" w:hAnsi="宋体" w:cs="宋体"/>
                <w:color w:val="000000"/>
                <w:highlight w:val="none"/>
              </w:rPr>
              <w:t>未提供不得分。</w:t>
            </w:r>
          </w:p>
        </w:tc>
        <w:tc>
          <w:tcPr>
            <w:tcW w:w="418" w:type="pct"/>
            <w:noWrap/>
            <w:vAlign w:val="center"/>
          </w:tcPr>
          <w:p>
            <w:pPr>
              <w:jc w:val="center"/>
              <w:textAlignment w:val="center"/>
              <w:rPr>
                <w:rFonts w:hint="eastAsia" w:ascii="宋体" w:hAnsi="宋体" w:cs="宋体"/>
                <w:color w:val="FF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89" w:type="pct"/>
            <w:vMerge w:val="continue"/>
            <w:noWrap w:val="0"/>
            <w:vAlign w:val="center"/>
          </w:tcPr>
          <w:p>
            <w:pPr>
              <w:jc w:val="center"/>
              <w:textAlignment w:val="center"/>
              <w:rPr>
                <w:rFonts w:hint="eastAsia" w:ascii="宋体" w:hAnsi="宋体" w:cs="宋体"/>
                <w:color w:val="000000"/>
                <w:szCs w:val="21"/>
                <w:highlight w:val="none"/>
              </w:rPr>
            </w:pPr>
          </w:p>
        </w:tc>
        <w:tc>
          <w:tcPr>
            <w:tcW w:w="571" w:type="pct"/>
            <w:vMerge w:val="continue"/>
            <w:noWrap/>
            <w:vAlign w:val="center"/>
          </w:tcPr>
          <w:p>
            <w:pPr>
              <w:jc w:val="both"/>
              <w:textAlignment w:val="center"/>
              <w:rPr>
                <w:rFonts w:hint="eastAsia" w:ascii="宋体" w:hAnsi="宋体" w:cs="宋体"/>
                <w:szCs w:val="21"/>
                <w:highlight w:val="none"/>
              </w:rPr>
            </w:pPr>
          </w:p>
        </w:tc>
        <w:tc>
          <w:tcPr>
            <w:tcW w:w="358" w:type="pct"/>
            <w:vMerge w:val="continue"/>
            <w:noWrap/>
            <w:vAlign w:val="center"/>
          </w:tcPr>
          <w:p>
            <w:pPr>
              <w:jc w:val="center"/>
              <w:textAlignment w:val="center"/>
              <w:rPr>
                <w:rFonts w:hint="eastAsia" w:ascii="宋体" w:hAnsi="宋体" w:cs="宋体"/>
                <w:szCs w:val="21"/>
                <w:highlight w:val="none"/>
              </w:rPr>
            </w:pPr>
          </w:p>
        </w:tc>
        <w:tc>
          <w:tcPr>
            <w:tcW w:w="3262" w:type="pct"/>
            <w:noWrap/>
            <w:vAlign w:val="center"/>
          </w:tcPr>
          <w:p>
            <w:pPr>
              <w:jc w:val="left"/>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根据供应商投入本项目的专业技术人员的素质和技术能力进行综合评议</w:t>
            </w:r>
          </w:p>
          <w:p>
            <w:pPr>
              <w:jc w:val="left"/>
              <w:textAlignment w:val="center"/>
              <w:rPr>
                <w:rFonts w:hint="eastAsia" w:ascii="宋体" w:hAnsi="宋体" w:cs="宋体"/>
                <w:bCs/>
                <w:color w:val="000000"/>
                <w:szCs w:val="21"/>
                <w:highlight w:val="none"/>
                <w:lang w:eastAsia="zh-CN"/>
              </w:rPr>
            </w:pPr>
            <w:r>
              <w:rPr>
                <w:rFonts w:hint="eastAsia" w:ascii="宋体" w:hAnsi="宋体" w:cs="宋体"/>
                <w:bCs/>
                <w:color w:val="000000"/>
                <w:szCs w:val="21"/>
                <w:highlight w:val="none"/>
              </w:rPr>
              <w:t>拟投入项目的人员对本项目情况完全了解，专业素质能力强的得5分</w:t>
            </w:r>
            <w:r>
              <w:rPr>
                <w:rFonts w:hint="eastAsia" w:ascii="宋体" w:hAnsi="宋体" w:cs="宋体"/>
                <w:bCs/>
                <w:color w:val="000000"/>
                <w:szCs w:val="21"/>
                <w:highlight w:val="none"/>
                <w:lang w:eastAsia="zh-CN"/>
              </w:rPr>
              <w:t>；</w:t>
            </w:r>
          </w:p>
          <w:p>
            <w:pPr>
              <w:jc w:val="left"/>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拟投入的人员技术过关，接触过同类项目，但专业素质一般的得3分</w:t>
            </w:r>
          </w:p>
          <w:p>
            <w:pPr>
              <w:jc w:val="left"/>
              <w:textAlignment w:val="center"/>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拟投入的人员技术素质差的得1分</w:t>
            </w:r>
            <w:r>
              <w:rPr>
                <w:rFonts w:hint="eastAsia" w:ascii="宋体" w:hAnsi="宋体" w:cs="宋体"/>
                <w:bCs/>
                <w:color w:val="000000"/>
                <w:szCs w:val="21"/>
                <w:highlight w:val="none"/>
                <w:lang w:eastAsia="zh-CN"/>
              </w:rPr>
              <w:t>；</w:t>
            </w:r>
          </w:p>
          <w:p>
            <w:pPr>
              <w:jc w:val="left"/>
              <w:textAlignment w:val="center"/>
              <w:rPr>
                <w:rFonts w:hint="eastAsia" w:ascii="宋体" w:hAnsi="宋体" w:cs="宋体"/>
                <w:color w:val="000000"/>
                <w:highlight w:val="none"/>
              </w:rPr>
            </w:pPr>
            <w:r>
              <w:rPr>
                <w:rFonts w:hint="eastAsia" w:ascii="宋体" w:hAnsi="宋体" w:cs="宋体"/>
                <w:bCs/>
                <w:color w:val="000000"/>
                <w:szCs w:val="21"/>
                <w:highlight w:val="none"/>
              </w:rPr>
              <w:t>未提供不得分。</w:t>
            </w:r>
          </w:p>
        </w:tc>
        <w:tc>
          <w:tcPr>
            <w:tcW w:w="418" w:type="pct"/>
            <w:noWrap/>
            <w:vAlign w:val="center"/>
          </w:tcPr>
          <w:p>
            <w:pPr>
              <w:jc w:val="center"/>
              <w:textAlignment w:val="center"/>
              <w:rPr>
                <w:rFonts w:hint="eastAsia" w:ascii="宋体" w:hAnsi="宋体" w:cs="宋体"/>
                <w:color w:val="FF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389" w:type="pct"/>
            <w:noWrap w:val="0"/>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6</w:t>
            </w:r>
          </w:p>
        </w:tc>
        <w:tc>
          <w:tcPr>
            <w:tcW w:w="571" w:type="pct"/>
            <w:noWrap/>
            <w:vAlign w:val="center"/>
          </w:tcPr>
          <w:p>
            <w:pPr>
              <w:jc w:val="center"/>
              <w:textAlignment w:val="center"/>
              <w:rPr>
                <w:rFonts w:hint="eastAsia" w:ascii="宋体" w:hAnsi="宋体" w:cs="宋体"/>
                <w:szCs w:val="21"/>
                <w:highlight w:val="none"/>
              </w:rPr>
            </w:pPr>
            <w:r>
              <w:rPr>
                <w:rFonts w:hint="eastAsia" w:ascii="宋体" w:hAnsi="宋体" w:cs="宋体"/>
                <w:color w:val="000000"/>
                <w:szCs w:val="21"/>
                <w:highlight w:val="none"/>
              </w:rPr>
              <w:t>内部管理制度</w:t>
            </w:r>
          </w:p>
        </w:tc>
        <w:tc>
          <w:tcPr>
            <w:tcW w:w="358" w:type="pc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jc w:val="center"/>
              <w:textAlignment w:val="center"/>
              <w:rPr>
                <w:rFonts w:hint="eastAsia" w:ascii="宋体" w:hAnsi="宋体" w:cs="宋体"/>
                <w:szCs w:val="21"/>
                <w:highlight w:val="none"/>
              </w:rPr>
            </w:pPr>
            <w:r>
              <w:rPr>
                <w:rFonts w:hint="eastAsia" w:ascii="宋体" w:hAnsi="宋体" w:cs="宋体"/>
                <w:szCs w:val="21"/>
                <w:highlight w:val="none"/>
              </w:rPr>
              <w:t>评价</w:t>
            </w:r>
          </w:p>
        </w:tc>
        <w:tc>
          <w:tcPr>
            <w:tcW w:w="3262" w:type="pct"/>
            <w:noWrap/>
            <w:vAlign w:val="center"/>
          </w:tcPr>
          <w:p>
            <w:pPr>
              <w:jc w:val="left"/>
              <w:textAlignment w:val="center"/>
              <w:rPr>
                <w:rFonts w:hint="eastAsia" w:ascii="宋体" w:hAnsi="宋体" w:cs="宋体"/>
                <w:szCs w:val="21"/>
                <w:highlight w:val="none"/>
              </w:rPr>
            </w:pPr>
            <w:r>
              <w:rPr>
                <w:rFonts w:hint="eastAsia" w:ascii="宋体" w:hAnsi="宋体" w:cs="宋体"/>
                <w:szCs w:val="21"/>
                <w:highlight w:val="none"/>
              </w:rPr>
              <w:t>根据供应商针对本项目服务提供的内部管理制度进行综合评议</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内部管理制度完善，具有可操作性的得5分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内部管理制度较为完善，基本可操作的得3分</w:t>
            </w:r>
            <w:r>
              <w:rPr>
                <w:rFonts w:hint="eastAsia" w:ascii="宋体" w:hAnsi="宋体" w:cs="宋体"/>
                <w:szCs w:val="21"/>
                <w:highlight w:val="none"/>
                <w:lang w:eastAsia="zh-CN"/>
              </w:rPr>
              <w:t>；</w:t>
            </w:r>
          </w:p>
          <w:p>
            <w:pPr>
              <w:jc w:val="left"/>
              <w:textAlignment w:val="center"/>
              <w:rPr>
                <w:rFonts w:hint="eastAsia" w:ascii="宋体" w:hAnsi="宋体" w:cs="宋体"/>
                <w:szCs w:val="21"/>
                <w:highlight w:val="none"/>
                <w:lang w:eastAsia="zh-CN"/>
              </w:rPr>
            </w:pPr>
            <w:r>
              <w:rPr>
                <w:rFonts w:hint="eastAsia" w:ascii="宋体" w:hAnsi="宋体" w:cs="宋体"/>
                <w:szCs w:val="21"/>
                <w:highlight w:val="none"/>
              </w:rPr>
              <w:t>内部管理制度不够完善，不具有可操作性的得1分</w:t>
            </w:r>
            <w:r>
              <w:rPr>
                <w:rFonts w:hint="eastAsia" w:ascii="宋体" w:hAnsi="宋体" w:cs="宋体"/>
                <w:szCs w:val="21"/>
                <w:highlight w:val="none"/>
                <w:lang w:eastAsia="zh-CN"/>
              </w:rPr>
              <w:t>；</w:t>
            </w:r>
          </w:p>
          <w:p>
            <w:pPr>
              <w:jc w:val="left"/>
              <w:textAlignment w:val="center"/>
              <w:rPr>
                <w:rFonts w:hint="eastAsia" w:ascii="宋体" w:hAnsi="宋体" w:cs="宋体"/>
                <w:highlight w:val="none"/>
              </w:rPr>
            </w:pPr>
            <w:r>
              <w:rPr>
                <w:rFonts w:hint="eastAsia" w:ascii="宋体" w:hAnsi="宋体" w:cs="宋体"/>
                <w:szCs w:val="21"/>
                <w:highlight w:val="none"/>
              </w:rPr>
              <w:t>未提供不得分。</w:t>
            </w:r>
          </w:p>
        </w:tc>
        <w:tc>
          <w:tcPr>
            <w:tcW w:w="418" w:type="pct"/>
            <w:noWrap/>
            <w:vAlign w:val="center"/>
          </w:tcPr>
          <w:p>
            <w:pPr>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89" w:type="pct"/>
            <w:noWrap w:val="0"/>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7</w:t>
            </w:r>
          </w:p>
        </w:tc>
        <w:tc>
          <w:tcPr>
            <w:tcW w:w="571" w:type="pct"/>
            <w:noWrap/>
            <w:vAlign w:val="center"/>
          </w:tcPr>
          <w:p>
            <w:pPr>
              <w:jc w:val="both"/>
              <w:textAlignment w:val="center"/>
              <w:rPr>
                <w:rFonts w:hint="eastAsia" w:ascii="宋体" w:hAnsi="宋体" w:cs="宋体"/>
                <w:szCs w:val="21"/>
                <w:highlight w:val="none"/>
              </w:rPr>
            </w:pPr>
            <w:r>
              <w:rPr>
                <w:rFonts w:hint="eastAsia" w:ascii="宋体" w:hAnsi="宋体" w:cs="宋体"/>
                <w:highlight w:val="none"/>
              </w:rPr>
              <w:t>质量保障措施</w:t>
            </w:r>
          </w:p>
        </w:tc>
        <w:tc>
          <w:tcPr>
            <w:tcW w:w="358" w:type="pc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jc w:val="center"/>
              <w:textAlignment w:val="center"/>
              <w:rPr>
                <w:rFonts w:hint="eastAsia" w:ascii="宋体" w:hAnsi="宋体" w:cs="宋体"/>
                <w:szCs w:val="21"/>
                <w:highlight w:val="none"/>
              </w:rPr>
            </w:pPr>
            <w:r>
              <w:rPr>
                <w:rFonts w:hint="eastAsia" w:ascii="宋体" w:hAnsi="宋体" w:cs="宋体"/>
                <w:szCs w:val="21"/>
                <w:highlight w:val="none"/>
              </w:rPr>
              <w:t>评价</w:t>
            </w:r>
          </w:p>
        </w:tc>
        <w:tc>
          <w:tcPr>
            <w:tcW w:w="3262" w:type="pct"/>
            <w:noWrap/>
            <w:vAlign w:val="center"/>
          </w:tcPr>
          <w:p>
            <w:pPr>
              <w:jc w:val="left"/>
              <w:textAlignment w:val="center"/>
              <w:rPr>
                <w:rFonts w:hint="eastAsia" w:ascii="宋体" w:hAnsi="宋体" w:cs="宋体"/>
                <w:highlight w:val="none"/>
              </w:rPr>
            </w:pPr>
            <w:r>
              <w:rPr>
                <w:rFonts w:hint="eastAsia" w:ascii="宋体" w:hAnsi="宋体" w:cs="宋体"/>
                <w:highlight w:val="none"/>
              </w:rPr>
              <w:t>根据供应商针对本项目服务质量保障措施进行综合评分</w:t>
            </w:r>
          </w:p>
          <w:p>
            <w:pPr>
              <w:jc w:val="left"/>
              <w:textAlignment w:val="center"/>
              <w:rPr>
                <w:rFonts w:hint="eastAsia" w:ascii="宋体" w:hAnsi="宋体" w:cs="宋体"/>
                <w:highlight w:val="none"/>
                <w:lang w:eastAsia="zh-CN"/>
              </w:rPr>
            </w:pPr>
            <w:r>
              <w:rPr>
                <w:rFonts w:hint="eastAsia" w:ascii="宋体" w:hAnsi="宋体" w:cs="宋体"/>
                <w:highlight w:val="none"/>
              </w:rPr>
              <w:t>保障措施合理、完整、高效的得</w:t>
            </w:r>
            <w:r>
              <w:rPr>
                <w:rFonts w:ascii="宋体" w:hAnsi="宋体" w:cs="宋体"/>
                <w:highlight w:val="none"/>
              </w:rPr>
              <w:t>5</w:t>
            </w:r>
            <w:r>
              <w:rPr>
                <w:rFonts w:hint="eastAsia" w:ascii="宋体" w:hAnsi="宋体" w:cs="宋体"/>
                <w:highlight w:val="none"/>
              </w:rPr>
              <w:t>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保障措施较合理、较完整、有效的得3分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保障措施不合理、不完整、效果低下的得1分</w:t>
            </w:r>
            <w:r>
              <w:rPr>
                <w:rFonts w:hint="eastAsia" w:ascii="宋体" w:hAnsi="宋体" w:cs="宋体"/>
                <w:highlight w:val="none"/>
                <w:lang w:eastAsia="zh-CN"/>
              </w:rPr>
              <w:t>；</w:t>
            </w:r>
          </w:p>
          <w:p>
            <w:pPr>
              <w:jc w:val="left"/>
              <w:textAlignment w:val="center"/>
              <w:rPr>
                <w:rFonts w:hint="eastAsia" w:ascii="宋体" w:hAnsi="宋体" w:cs="宋体"/>
                <w:highlight w:val="none"/>
              </w:rPr>
            </w:pPr>
            <w:r>
              <w:rPr>
                <w:rFonts w:hint="eastAsia" w:ascii="宋体" w:hAnsi="宋体" w:cs="宋体"/>
                <w:szCs w:val="21"/>
                <w:highlight w:val="none"/>
              </w:rPr>
              <w:t>未提供不得分</w:t>
            </w:r>
            <w:r>
              <w:rPr>
                <w:rFonts w:hint="eastAsia" w:ascii="宋体" w:hAnsi="宋体" w:cs="宋体"/>
                <w:highlight w:val="none"/>
              </w:rPr>
              <w:t>。</w:t>
            </w:r>
          </w:p>
        </w:tc>
        <w:tc>
          <w:tcPr>
            <w:tcW w:w="418" w:type="pct"/>
            <w:noWrap/>
            <w:vAlign w:val="center"/>
          </w:tcPr>
          <w:p>
            <w:pPr>
              <w:jc w:val="center"/>
              <w:textAlignment w:val="center"/>
              <w:rPr>
                <w:rFonts w:hint="eastAsia" w:ascii="宋体" w:hAnsi="宋体" w:cs="宋体"/>
                <w:color w:val="FF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89" w:type="pct"/>
            <w:noWrap w:val="0"/>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8</w:t>
            </w:r>
          </w:p>
        </w:tc>
        <w:tc>
          <w:tcPr>
            <w:tcW w:w="571" w:type="pct"/>
            <w:noWrap/>
            <w:vAlign w:val="center"/>
          </w:tcPr>
          <w:p>
            <w:pPr>
              <w:jc w:val="both"/>
              <w:textAlignment w:val="center"/>
              <w:rPr>
                <w:rFonts w:hint="eastAsia" w:ascii="宋体" w:hAnsi="宋体" w:cs="宋体"/>
                <w:szCs w:val="21"/>
                <w:highlight w:val="none"/>
              </w:rPr>
            </w:pPr>
            <w:r>
              <w:rPr>
                <w:rFonts w:hint="eastAsia" w:ascii="宋体" w:hAnsi="宋体" w:cs="宋体"/>
                <w:highlight w:val="none"/>
              </w:rPr>
              <w:t>进度保障措施</w:t>
            </w:r>
          </w:p>
        </w:tc>
        <w:tc>
          <w:tcPr>
            <w:tcW w:w="358" w:type="pc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jc w:val="center"/>
              <w:textAlignment w:val="center"/>
              <w:rPr>
                <w:rFonts w:hint="eastAsia" w:ascii="宋体" w:hAnsi="宋体" w:cs="宋体"/>
                <w:szCs w:val="21"/>
                <w:highlight w:val="none"/>
              </w:rPr>
            </w:pPr>
            <w:r>
              <w:rPr>
                <w:rFonts w:hint="eastAsia" w:ascii="宋体" w:hAnsi="宋体" w:cs="宋体"/>
                <w:szCs w:val="21"/>
                <w:highlight w:val="none"/>
              </w:rPr>
              <w:t>评价</w:t>
            </w:r>
          </w:p>
        </w:tc>
        <w:tc>
          <w:tcPr>
            <w:tcW w:w="3262" w:type="pct"/>
            <w:noWrap/>
            <w:vAlign w:val="center"/>
          </w:tcPr>
          <w:p>
            <w:pPr>
              <w:jc w:val="left"/>
              <w:textAlignment w:val="center"/>
              <w:rPr>
                <w:rFonts w:hint="eastAsia" w:ascii="宋体" w:hAnsi="宋体" w:cs="宋体"/>
                <w:highlight w:val="none"/>
              </w:rPr>
            </w:pPr>
            <w:r>
              <w:rPr>
                <w:rFonts w:hint="eastAsia" w:ascii="宋体" w:hAnsi="宋体" w:cs="宋体"/>
                <w:highlight w:val="none"/>
              </w:rPr>
              <w:t>根据供应商针对本项目服务提供的进度保障措施进行综合评议</w:t>
            </w:r>
          </w:p>
          <w:p>
            <w:pPr>
              <w:jc w:val="left"/>
              <w:textAlignment w:val="center"/>
              <w:rPr>
                <w:rFonts w:hint="eastAsia" w:ascii="宋体" w:hAnsi="宋体" w:cs="宋体"/>
                <w:highlight w:val="none"/>
                <w:lang w:eastAsia="zh-CN"/>
              </w:rPr>
            </w:pPr>
            <w:r>
              <w:rPr>
                <w:rFonts w:hint="eastAsia" w:ascii="宋体" w:hAnsi="宋体" w:cs="宋体"/>
                <w:highlight w:val="none"/>
              </w:rPr>
              <w:t>项目进度计划安排科学合理，进度保障措施完整可行的得</w:t>
            </w:r>
            <w:r>
              <w:rPr>
                <w:rFonts w:ascii="宋体" w:hAnsi="宋体" w:cs="宋体"/>
                <w:highlight w:val="none"/>
              </w:rPr>
              <w:t>5</w:t>
            </w:r>
            <w:r>
              <w:rPr>
                <w:rFonts w:hint="eastAsia" w:ascii="宋体" w:hAnsi="宋体" w:cs="宋体"/>
                <w:highlight w:val="none"/>
              </w:rPr>
              <w:t>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项目进度计划安排较为合理，进度保障措施基本有效，符合项目进度要求的得3分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项目进度计划不合理，进度保障措施内容不完整的得1分</w:t>
            </w:r>
            <w:r>
              <w:rPr>
                <w:rFonts w:hint="eastAsia" w:ascii="宋体" w:hAnsi="宋体" w:cs="宋体"/>
                <w:highlight w:val="none"/>
                <w:lang w:eastAsia="zh-CN"/>
              </w:rPr>
              <w:t>；</w:t>
            </w:r>
          </w:p>
          <w:p>
            <w:pPr>
              <w:jc w:val="left"/>
              <w:textAlignment w:val="center"/>
              <w:rPr>
                <w:rFonts w:hint="eastAsia" w:ascii="宋体" w:hAnsi="宋体" w:cs="宋体"/>
                <w:highlight w:val="none"/>
              </w:rPr>
            </w:pPr>
            <w:r>
              <w:rPr>
                <w:rFonts w:hint="eastAsia" w:ascii="宋体" w:hAnsi="宋体" w:cs="宋体"/>
                <w:szCs w:val="21"/>
                <w:highlight w:val="none"/>
              </w:rPr>
              <w:t>未提供不得分</w:t>
            </w:r>
            <w:r>
              <w:rPr>
                <w:rFonts w:hint="eastAsia" w:ascii="宋体" w:hAnsi="宋体" w:cs="宋体"/>
                <w:highlight w:val="none"/>
              </w:rPr>
              <w:t>。</w:t>
            </w:r>
          </w:p>
        </w:tc>
        <w:tc>
          <w:tcPr>
            <w:tcW w:w="418" w:type="pct"/>
            <w:noWrap/>
            <w:vAlign w:val="center"/>
          </w:tcPr>
          <w:p>
            <w:pPr>
              <w:jc w:val="center"/>
              <w:textAlignment w:val="center"/>
              <w:rPr>
                <w:rFonts w:hint="eastAsia" w:ascii="宋体" w:hAnsi="宋体" w:cs="宋体"/>
                <w:color w:val="FF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89" w:type="pct"/>
            <w:noWrap w:val="0"/>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9</w:t>
            </w:r>
          </w:p>
        </w:tc>
        <w:tc>
          <w:tcPr>
            <w:tcW w:w="571" w:type="pct"/>
            <w:noWrap/>
            <w:vAlign w:val="center"/>
          </w:tcPr>
          <w:p>
            <w:pPr>
              <w:jc w:val="both"/>
              <w:textAlignment w:val="center"/>
              <w:rPr>
                <w:rFonts w:hint="eastAsia" w:ascii="宋体" w:hAnsi="宋体" w:cs="宋体"/>
                <w:highlight w:val="none"/>
              </w:rPr>
            </w:pPr>
            <w:r>
              <w:rPr>
                <w:rFonts w:hint="eastAsia" w:ascii="宋体" w:hAnsi="宋体" w:cs="宋体"/>
                <w:highlight w:val="none"/>
              </w:rPr>
              <w:t>服务响应</w:t>
            </w:r>
          </w:p>
        </w:tc>
        <w:tc>
          <w:tcPr>
            <w:tcW w:w="358" w:type="pc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主观</w:t>
            </w:r>
          </w:p>
          <w:p>
            <w:pPr>
              <w:jc w:val="center"/>
              <w:textAlignment w:val="center"/>
              <w:rPr>
                <w:rFonts w:hint="eastAsia" w:ascii="宋体" w:hAnsi="宋体" w:cs="宋体"/>
                <w:szCs w:val="21"/>
                <w:highlight w:val="none"/>
              </w:rPr>
            </w:pPr>
            <w:r>
              <w:rPr>
                <w:rFonts w:hint="eastAsia" w:ascii="宋体" w:hAnsi="宋体" w:cs="宋体"/>
                <w:szCs w:val="21"/>
                <w:highlight w:val="none"/>
              </w:rPr>
              <w:t>评价</w:t>
            </w:r>
          </w:p>
        </w:tc>
        <w:tc>
          <w:tcPr>
            <w:tcW w:w="3262" w:type="pct"/>
            <w:noWrap/>
            <w:vAlign w:val="center"/>
          </w:tcPr>
          <w:p>
            <w:pPr>
              <w:jc w:val="left"/>
              <w:textAlignment w:val="center"/>
              <w:rPr>
                <w:rFonts w:hint="eastAsia" w:ascii="宋体" w:hAnsi="宋体" w:cs="宋体"/>
                <w:highlight w:val="none"/>
              </w:rPr>
            </w:pPr>
            <w:r>
              <w:rPr>
                <w:rFonts w:hint="eastAsia" w:ascii="宋体" w:hAnsi="宋体" w:cs="宋体"/>
                <w:highlight w:val="none"/>
              </w:rPr>
              <w:t>根据供应商针对本项目服务提供的服务响应情况和便捷性进行综合评议</w:t>
            </w:r>
          </w:p>
          <w:p>
            <w:pPr>
              <w:jc w:val="left"/>
              <w:textAlignment w:val="center"/>
              <w:rPr>
                <w:rFonts w:hint="eastAsia" w:ascii="宋体" w:hAnsi="宋体" w:cs="宋体"/>
                <w:highlight w:val="none"/>
                <w:lang w:eastAsia="zh-CN"/>
              </w:rPr>
            </w:pPr>
            <w:r>
              <w:rPr>
                <w:rFonts w:hint="eastAsia" w:ascii="宋体" w:hAnsi="宋体" w:cs="宋体"/>
                <w:highlight w:val="none"/>
              </w:rPr>
              <w:t>服务响应便捷有效、承诺合理可行的得</w:t>
            </w:r>
            <w:r>
              <w:rPr>
                <w:rFonts w:ascii="宋体" w:hAnsi="宋体" w:cs="宋体"/>
                <w:highlight w:val="none"/>
              </w:rPr>
              <w:t>5</w:t>
            </w:r>
            <w:r>
              <w:rPr>
                <w:rFonts w:hint="eastAsia" w:ascii="宋体" w:hAnsi="宋体" w:cs="宋体"/>
                <w:highlight w:val="none"/>
              </w:rPr>
              <w:t>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服务响应较为便捷合理，承诺可行的得3分</w:t>
            </w:r>
            <w:r>
              <w:rPr>
                <w:rFonts w:hint="eastAsia" w:ascii="宋体" w:hAnsi="宋体" w:cs="宋体"/>
                <w:highlight w:val="none"/>
                <w:lang w:eastAsia="zh-CN"/>
              </w:rPr>
              <w:t>；</w:t>
            </w:r>
          </w:p>
          <w:p>
            <w:pPr>
              <w:jc w:val="left"/>
              <w:textAlignment w:val="center"/>
              <w:rPr>
                <w:rFonts w:hint="eastAsia" w:ascii="宋体" w:hAnsi="宋体" w:cs="宋体"/>
                <w:highlight w:val="none"/>
                <w:lang w:eastAsia="zh-CN"/>
              </w:rPr>
            </w:pPr>
            <w:r>
              <w:rPr>
                <w:rFonts w:hint="eastAsia" w:ascii="宋体" w:hAnsi="宋体" w:cs="宋体"/>
                <w:highlight w:val="none"/>
              </w:rPr>
              <w:t>服务响应不足，承诺不切实际的得1分</w:t>
            </w:r>
            <w:r>
              <w:rPr>
                <w:rFonts w:hint="eastAsia" w:ascii="宋体" w:hAnsi="宋体" w:cs="宋体"/>
                <w:highlight w:val="none"/>
                <w:lang w:eastAsia="zh-CN"/>
              </w:rPr>
              <w:t>；</w:t>
            </w:r>
          </w:p>
          <w:p>
            <w:pPr>
              <w:jc w:val="left"/>
              <w:textAlignment w:val="center"/>
              <w:rPr>
                <w:rFonts w:hint="eastAsia" w:ascii="宋体" w:hAnsi="宋体" w:cs="宋体"/>
                <w:highlight w:val="none"/>
              </w:rPr>
            </w:pPr>
            <w:r>
              <w:rPr>
                <w:rFonts w:hint="eastAsia" w:ascii="宋体" w:hAnsi="宋体" w:cs="宋体"/>
                <w:szCs w:val="21"/>
                <w:highlight w:val="none"/>
              </w:rPr>
              <w:t>未提供不得分</w:t>
            </w:r>
            <w:r>
              <w:rPr>
                <w:rFonts w:hint="eastAsia" w:ascii="宋体" w:hAnsi="宋体" w:cs="宋体"/>
                <w:highlight w:val="none"/>
              </w:rPr>
              <w:t>。</w:t>
            </w:r>
          </w:p>
        </w:tc>
        <w:tc>
          <w:tcPr>
            <w:tcW w:w="418" w:type="pct"/>
            <w:noWrap/>
            <w:vAlign w:val="center"/>
          </w:tcPr>
          <w:p>
            <w:pPr>
              <w:jc w:val="center"/>
              <w:textAlignment w:val="center"/>
              <w:rPr>
                <w:rFonts w:hint="eastAsia" w:ascii="宋体" w:hAnsi="宋体" w:cs="宋体"/>
                <w:color w:val="FF0000"/>
                <w:szCs w:val="21"/>
                <w:highlight w:val="none"/>
              </w:rPr>
            </w:pPr>
            <w:r>
              <w:rPr>
                <w:rFonts w:ascii="宋体" w:hAnsi="宋体" w:cs="宋体"/>
                <w:color w:val="000000"/>
                <w:szCs w:val="21"/>
                <w:highlight w:val="none"/>
              </w:rPr>
              <w:t>5</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89" w:type="pct"/>
            <w:noWrap w:val="0"/>
            <w:vAlign w:val="center"/>
          </w:tcPr>
          <w:p>
            <w:pPr>
              <w:jc w:val="center"/>
              <w:textAlignment w:val="center"/>
              <w:rPr>
                <w:rFonts w:hint="eastAsia" w:ascii="宋体" w:hAnsi="宋体" w:cs="宋体"/>
                <w:color w:val="000000"/>
                <w:szCs w:val="21"/>
                <w:highlight w:val="none"/>
              </w:rPr>
            </w:pPr>
            <w:r>
              <w:rPr>
                <w:rFonts w:ascii="宋体" w:hAnsi="宋体" w:cs="宋体"/>
                <w:color w:val="000000"/>
                <w:szCs w:val="21"/>
                <w:highlight w:val="none"/>
              </w:rPr>
              <w:t>10</w:t>
            </w:r>
          </w:p>
        </w:tc>
        <w:tc>
          <w:tcPr>
            <w:tcW w:w="571" w:type="pct"/>
            <w:noWrap/>
            <w:vAlign w:val="center"/>
          </w:tcPr>
          <w:p>
            <w:pPr>
              <w:jc w:val="both"/>
              <w:textAlignment w:val="center"/>
              <w:rPr>
                <w:rFonts w:hint="eastAsia" w:ascii="宋体" w:hAnsi="宋体" w:cs="宋体"/>
                <w:bCs/>
                <w:szCs w:val="21"/>
                <w:highlight w:val="none"/>
              </w:rPr>
            </w:pPr>
            <w:r>
              <w:rPr>
                <w:rFonts w:hint="eastAsia" w:ascii="宋体" w:hAnsi="宋体" w:cs="宋体"/>
                <w:highlight w:val="none"/>
              </w:rPr>
              <w:t>项目业绩</w:t>
            </w:r>
          </w:p>
        </w:tc>
        <w:tc>
          <w:tcPr>
            <w:tcW w:w="358" w:type="pc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客观评价</w:t>
            </w:r>
          </w:p>
        </w:tc>
        <w:tc>
          <w:tcPr>
            <w:tcW w:w="3262" w:type="pct"/>
            <w:noWrap/>
            <w:vAlign w:val="center"/>
          </w:tcPr>
          <w:p>
            <w:pPr>
              <w:jc w:val="left"/>
              <w:rPr>
                <w:rFonts w:hint="eastAsia" w:ascii="宋体" w:hAnsi="宋体" w:cs="宋体"/>
                <w:szCs w:val="21"/>
                <w:highlight w:val="none"/>
              </w:rPr>
            </w:pPr>
            <w:r>
              <w:rPr>
                <w:rFonts w:hint="eastAsia" w:ascii="宋体" w:hAnsi="宋体" w:cs="宋体"/>
                <w:szCs w:val="21"/>
                <w:highlight w:val="none"/>
              </w:rPr>
              <w:t>2020年7月1日至今，供应商具有拆迁征收第三方服务的类似项目业绩的，每提供一个得0.5分，最高得1分。</w:t>
            </w:r>
          </w:p>
          <w:p>
            <w:pPr>
              <w:jc w:val="left"/>
              <w:textAlignment w:val="center"/>
              <w:rPr>
                <w:rFonts w:hint="eastAsia" w:ascii="宋体" w:hAnsi="宋体" w:cs="宋体"/>
                <w:highlight w:val="none"/>
              </w:rPr>
            </w:pPr>
            <w:r>
              <w:rPr>
                <w:rFonts w:hint="eastAsia" w:ascii="宋体" w:hAnsi="宋体" w:cs="宋体"/>
                <w:szCs w:val="21"/>
                <w:highlight w:val="none"/>
              </w:rPr>
              <w:t>备注：业绩时间以合同签订时间为准，须提供合同扫描件等证明材料并加盖供应商公章。</w:t>
            </w:r>
          </w:p>
        </w:tc>
        <w:tc>
          <w:tcPr>
            <w:tcW w:w="418" w:type="pct"/>
            <w:noWrap/>
            <w:vAlign w:val="center"/>
          </w:tcPr>
          <w:p>
            <w:pPr>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9" w:type="pct"/>
            <w:gridSpan w:val="3"/>
            <w:noWrap w:val="0"/>
            <w:vAlign w:val="center"/>
          </w:tcPr>
          <w:p>
            <w:pPr>
              <w:widowControl w:val="0"/>
              <w:jc w:val="center"/>
              <w:textAlignment w:val="center"/>
              <w:rPr>
                <w:rFonts w:hint="eastAsia" w:ascii="宋体" w:hAnsi="宋体" w:cs="宋体"/>
                <w:szCs w:val="21"/>
                <w:highlight w:val="none"/>
              </w:rPr>
            </w:pPr>
            <w:r>
              <w:rPr>
                <w:rFonts w:hint="eastAsia" w:ascii="宋体" w:hAnsi="宋体" w:cs="宋体"/>
                <w:b/>
                <w:bCs/>
                <w:color w:val="000000"/>
                <w:szCs w:val="21"/>
                <w:highlight w:val="none"/>
              </w:rPr>
              <w:t>二</w:t>
            </w:r>
          </w:p>
        </w:tc>
        <w:tc>
          <w:tcPr>
            <w:tcW w:w="3262" w:type="pct"/>
            <w:noWrap/>
            <w:vAlign w:val="center"/>
          </w:tcPr>
          <w:p>
            <w:pPr>
              <w:widowControl w:val="0"/>
              <w:jc w:val="center"/>
              <w:textAlignment w:val="center"/>
              <w:rPr>
                <w:rFonts w:hint="eastAsia" w:ascii="宋体" w:hAnsi="宋体" w:cs="宋体"/>
                <w:highlight w:val="none"/>
              </w:rPr>
            </w:pPr>
            <w:r>
              <w:rPr>
                <w:rFonts w:hint="eastAsia" w:ascii="宋体" w:hAnsi="宋体" w:cs="宋体"/>
                <w:b/>
                <w:bCs/>
                <w:color w:val="000000"/>
                <w:szCs w:val="21"/>
                <w:highlight w:val="none"/>
              </w:rPr>
              <w:t>价格分</w:t>
            </w:r>
          </w:p>
        </w:tc>
        <w:tc>
          <w:tcPr>
            <w:tcW w:w="418" w:type="pct"/>
            <w:noWrap/>
            <w:vAlign w:val="center"/>
          </w:tcPr>
          <w:p>
            <w:pPr>
              <w:widowControl w:val="0"/>
              <w:jc w:val="center"/>
              <w:textAlignment w:val="center"/>
              <w:rPr>
                <w:rFonts w:hint="eastAsia" w:ascii="宋体" w:hAnsi="宋体" w:cs="宋体"/>
                <w:color w:val="FF0000"/>
                <w:szCs w:val="21"/>
                <w:highlight w:val="none"/>
              </w:rPr>
            </w:pPr>
            <w:r>
              <w:rPr>
                <w:rFonts w:hint="eastAsia" w:ascii="宋体" w:hAnsi="宋体" w:cs="宋体"/>
                <w:b/>
                <w:bCs/>
                <w:color w:val="00000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89" w:type="pct"/>
            <w:noWrap w:val="0"/>
            <w:vAlign w:val="center"/>
          </w:tcPr>
          <w:p>
            <w:pPr>
              <w:spacing w:line="400" w:lineRule="exact"/>
              <w:jc w:val="center"/>
              <w:rPr>
                <w:rFonts w:hint="eastAsia" w:ascii="宋体" w:hAnsi="宋体" w:cs="宋体"/>
                <w:highlight w:val="none"/>
              </w:rPr>
            </w:pPr>
            <w:r>
              <w:rPr>
                <w:rFonts w:hint="eastAsia" w:ascii="宋体" w:hAnsi="宋体" w:cs="宋体"/>
                <w:highlight w:val="none"/>
              </w:rPr>
              <w:t>1</w:t>
            </w:r>
            <w:r>
              <w:rPr>
                <w:rFonts w:ascii="宋体" w:hAnsi="宋体" w:cs="宋体"/>
                <w:highlight w:val="none"/>
              </w:rPr>
              <w:t>1</w:t>
            </w:r>
          </w:p>
        </w:tc>
        <w:tc>
          <w:tcPr>
            <w:tcW w:w="4192" w:type="pct"/>
            <w:gridSpan w:val="3"/>
            <w:noWrap w:val="0"/>
            <w:vAlign w:val="center"/>
          </w:tcPr>
          <w:p>
            <w:pPr>
              <w:jc w:val="both"/>
              <w:rPr>
                <w:rFonts w:hint="eastAsia" w:ascii="宋体" w:hAnsi="宋体" w:cs="宋体"/>
                <w:highlight w:val="none"/>
              </w:rPr>
            </w:pPr>
            <w:r>
              <w:rPr>
                <w:rFonts w:hint="eastAsia" w:ascii="宋体" w:hAnsi="宋体" w:cs="宋体"/>
                <w:highlight w:val="none"/>
              </w:rPr>
              <w:t>价格分为参与评审的价格得分，参与评审的价格=各标项投标报价（总价）；</w:t>
            </w:r>
          </w:p>
          <w:p>
            <w:pPr>
              <w:jc w:val="both"/>
              <w:rPr>
                <w:rFonts w:hint="eastAsia" w:ascii="宋体" w:hAnsi="宋体" w:cs="宋体"/>
                <w:highlight w:val="none"/>
              </w:rPr>
            </w:pPr>
            <w:r>
              <w:rPr>
                <w:rFonts w:hint="eastAsia" w:ascii="宋体" w:hAnsi="宋体" w:cs="宋体"/>
                <w:highlight w:val="none"/>
              </w:rPr>
              <w:t>评标基准价=满足招标文件要求且“参与评审的价格”中最低的价格；</w:t>
            </w:r>
          </w:p>
          <w:p>
            <w:pPr>
              <w:jc w:val="both"/>
              <w:rPr>
                <w:rFonts w:hint="eastAsia" w:ascii="宋体" w:hAnsi="宋体" w:cs="宋体"/>
                <w:highlight w:val="none"/>
              </w:rPr>
            </w:pPr>
            <w:r>
              <w:rPr>
                <w:rFonts w:hint="eastAsia" w:ascii="宋体" w:hAnsi="宋体" w:cs="宋体"/>
                <w:highlight w:val="none"/>
              </w:rPr>
              <w:t>参与评审的价格为评标基准价的，其价格得分为满分10分；</w:t>
            </w:r>
          </w:p>
          <w:p>
            <w:pPr>
              <w:jc w:val="both"/>
              <w:rPr>
                <w:rFonts w:hint="eastAsia" w:ascii="宋体" w:hAnsi="宋体" w:cs="宋体"/>
                <w:highlight w:val="none"/>
              </w:rPr>
            </w:pPr>
            <w:r>
              <w:rPr>
                <w:rFonts w:hint="eastAsia" w:ascii="宋体" w:hAnsi="宋体" w:cs="宋体"/>
                <w:highlight w:val="none"/>
              </w:rPr>
              <w:t>其他供应商的价格得分计算公式如下：</w:t>
            </w:r>
          </w:p>
          <w:p>
            <w:pPr>
              <w:jc w:val="both"/>
              <w:rPr>
                <w:rFonts w:hint="eastAsia" w:ascii="宋体" w:hAnsi="宋体" w:cs="宋体"/>
                <w:highlight w:val="none"/>
              </w:rPr>
            </w:pPr>
            <w:r>
              <w:rPr>
                <w:rFonts w:hint="eastAsia" w:ascii="宋体" w:hAnsi="宋体" w:cs="宋体"/>
                <w:highlight w:val="none"/>
              </w:rPr>
              <w:t>价格得分=（评标基准价/各供应商参与评审的价格）×10%×100</w:t>
            </w:r>
          </w:p>
          <w:p>
            <w:pPr>
              <w:pStyle w:val="2"/>
              <w:spacing w:after="0"/>
              <w:ind w:left="0" w:leftChars="0" w:firstLine="0" w:firstLineChars="0"/>
              <w:rPr>
                <w:rFonts w:hint="eastAsia" w:ascii="宋体" w:hAnsi="宋体" w:cs="宋体"/>
                <w:highlight w:val="none"/>
              </w:rPr>
            </w:pPr>
            <w:r>
              <w:rPr>
                <w:rFonts w:hint="eastAsia" w:ascii="宋体" w:hAnsi="宋体" w:cs="宋体"/>
                <w:highlight w:val="none"/>
              </w:rPr>
              <w:t>备注：价格得分小数点后保留2位小数，第3位小数四舍五入。</w:t>
            </w:r>
          </w:p>
        </w:tc>
        <w:tc>
          <w:tcPr>
            <w:tcW w:w="418" w:type="pct"/>
            <w:noWrap/>
            <w:vAlign w:val="center"/>
          </w:tcPr>
          <w:p>
            <w:pPr>
              <w:jc w:val="center"/>
              <w:textAlignment w:val="center"/>
              <w:rPr>
                <w:rFonts w:hint="eastAsia" w:ascii="宋体" w:hAnsi="宋体" w:cs="宋体"/>
                <w:szCs w:val="21"/>
                <w:highlight w:val="none"/>
              </w:rPr>
            </w:pPr>
            <w:r>
              <w:rPr>
                <w:rFonts w:hint="eastAsia" w:ascii="宋体" w:hAnsi="宋体" w:cs="宋体"/>
                <w:szCs w:val="21"/>
                <w:highlight w:val="none"/>
              </w:rPr>
              <w:t>10分</w:t>
            </w:r>
          </w:p>
        </w:tc>
      </w:tr>
    </w:tbl>
    <w:p>
      <w:pPr>
        <w:pStyle w:val="2"/>
        <w:numPr>
          <w:ilvl w:val="0"/>
          <w:numId w:val="0"/>
        </w:numPr>
        <w:rPr>
          <w:rFonts w:hint="eastAsia"/>
          <w:lang w:eastAsia="zh-CN"/>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bookmarkStart w:id="33" w:name="_Toc5322"/>
      <w:bookmarkStart w:id="34" w:name="_Toc10714"/>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hAnsi="宋体"/>
          <w:color w:val="auto"/>
          <w:sz w:val="21"/>
          <w:szCs w:val="21"/>
        </w:rPr>
      </w:pPr>
    </w:p>
    <w:p>
      <w:pPr>
        <w:tabs>
          <w:tab w:val="center" w:pos="4819"/>
        </w:tabs>
        <w:spacing w:line="360" w:lineRule="auto"/>
        <w:jc w:val="center"/>
        <w:outlineLvl w:val="0"/>
        <w:rPr>
          <w:rFonts w:hint="eastAsia" w:ascii="宋体" w:hAnsi="宋体" w:cs="宋体"/>
          <w:sz w:val="32"/>
        </w:rPr>
      </w:pPr>
      <w:r>
        <w:rPr>
          <w:rFonts w:hint="eastAsia" w:ascii="宋体" w:hAnsi="宋体" w:cs="宋体"/>
          <w:b/>
          <w:bCs/>
          <w:sz w:val="32"/>
        </w:rPr>
        <w:t xml:space="preserve">第五章 </w:t>
      </w:r>
      <w:bookmarkEnd w:id="33"/>
      <w:bookmarkEnd w:id="34"/>
      <w:r>
        <w:rPr>
          <w:rFonts w:hint="eastAsia" w:ascii="宋体" w:hAnsi="宋体" w:cs="宋体"/>
          <w:b/>
          <w:bCs/>
          <w:sz w:val="32"/>
        </w:rPr>
        <w:t>政府采购合同主要条款</w:t>
      </w:r>
    </w:p>
    <w:p>
      <w:pPr>
        <w:spacing w:line="360" w:lineRule="auto"/>
        <w:jc w:val="center"/>
        <w:rPr>
          <w:rFonts w:hint="eastAsia" w:ascii="宋体" w:hAnsi="宋体" w:cs="宋体"/>
          <w:b/>
          <w:szCs w:val="21"/>
          <w:lang w:bidi="ar"/>
        </w:rPr>
      </w:pPr>
      <w:bookmarkStart w:id="35" w:name="_Toc32547"/>
      <w:r>
        <w:rPr>
          <w:rFonts w:hint="eastAsia" w:ascii="宋体" w:hAnsi="宋体" w:cs="宋体"/>
          <w:b/>
          <w:szCs w:val="21"/>
          <w:lang w:bidi="ar"/>
        </w:rPr>
        <w:t>（仅供参考以最终签订的合同为准）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委托人（甲方）：</w:t>
      </w:r>
      <w:r>
        <w:rPr>
          <w:rFonts w:hint="eastAsia" w:ascii="宋体" w:hAnsi="宋体" w:eastAsia="宋体" w:cs="宋体"/>
          <w:spacing w:val="0"/>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受托人（乙方）：</w:t>
      </w:r>
      <w:r>
        <w:rPr>
          <w:rFonts w:hint="eastAsia" w:ascii="宋体" w:hAnsi="宋体" w:eastAsia="宋体" w:cs="宋体"/>
          <w:spacing w:val="0"/>
          <w:sz w:val="21"/>
          <w:szCs w:val="21"/>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lang w:bidi="ar"/>
        </w:rPr>
        <w:t>根据《中华人民共和国政府采购法》、《中华人民共和国民法典》等有关法律法规精神，甲方经过</w:t>
      </w:r>
      <w:r>
        <w:rPr>
          <w:rFonts w:hint="eastAsia" w:ascii="宋体" w:hAnsi="宋体" w:eastAsia="宋体" w:cs="宋体"/>
          <w:szCs w:val="21"/>
          <w:u w:val="single"/>
          <w:lang w:bidi="ar"/>
        </w:rPr>
        <w:t>公开招标</w:t>
      </w:r>
      <w:r>
        <w:rPr>
          <w:rFonts w:hint="eastAsia" w:ascii="宋体" w:hAnsi="宋体" w:eastAsia="宋体" w:cs="宋体"/>
          <w:szCs w:val="21"/>
          <w:lang w:bidi="ar"/>
        </w:rPr>
        <w:t>的招标方式确定乙方为</w:t>
      </w:r>
      <w:r>
        <w:rPr>
          <w:rFonts w:hint="eastAsia" w:ascii="宋体" w:hAnsi="宋体" w:eastAsia="宋体" w:cs="宋体"/>
          <w:szCs w:val="21"/>
          <w:u w:val="single"/>
          <w:lang w:val="en-US" w:eastAsia="zh-CN" w:bidi="ar"/>
        </w:rPr>
        <w:t xml:space="preserve">   （项目名称）    </w:t>
      </w:r>
      <w:r>
        <w:rPr>
          <w:rFonts w:hint="eastAsia" w:ascii="宋体" w:hAnsi="宋体" w:eastAsia="宋体" w:cs="宋体"/>
          <w:szCs w:val="21"/>
          <w:lang w:bidi="ar"/>
        </w:rPr>
        <w:t>（项目编号：</w:t>
      </w:r>
      <w:r>
        <w:rPr>
          <w:rFonts w:hint="eastAsia" w:ascii="宋体" w:hAnsi="宋体" w:eastAsia="宋体" w:cs="宋体"/>
          <w:szCs w:val="21"/>
          <w:u w:val="single"/>
          <w:lang w:bidi="ar"/>
        </w:rPr>
        <w:t xml:space="preserve">          </w:t>
      </w:r>
      <w:r>
        <w:rPr>
          <w:rFonts w:hint="eastAsia" w:ascii="宋体" w:hAnsi="宋体" w:eastAsia="宋体" w:cs="宋体"/>
          <w:szCs w:val="21"/>
          <w:lang w:bidi="ar"/>
        </w:rPr>
        <w:t>）提供服务，双方本着平等互利和诚实信用的原则，经协商一致同意签订本合同。</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第一条  项目概况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szCs w:val="21"/>
        </w:rPr>
        <w:t>本项目红线内涉及住宅房屋建筑面积约5151㎡；非住宅房屋建筑面积约52460㎡，土地面积约55623.8㎡，即83.5亩，最终以实际拆迁范围内的评估测绘面积为准。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color w:val="auto"/>
          <w:szCs w:val="21"/>
        </w:rPr>
      </w:pPr>
      <w:r>
        <w:rPr>
          <w:rFonts w:hint="eastAsia" w:ascii="宋体" w:hAnsi="宋体" w:eastAsia="宋体" w:cs="宋体"/>
          <w:b/>
          <w:color w:val="auto"/>
          <w:szCs w:val="21"/>
        </w:rPr>
        <w:t>单价按乙方中标单价执行</w:t>
      </w:r>
      <w:r>
        <w:rPr>
          <w:rFonts w:hint="eastAsia" w:ascii="宋体" w:hAnsi="宋体" w:eastAsia="宋体" w:cs="宋体"/>
          <w:b/>
          <w:color w:val="auto"/>
          <w:szCs w:val="21"/>
          <w:lang w:eastAsia="zh-CN"/>
        </w:rPr>
        <w:t>，</w:t>
      </w:r>
      <w:r>
        <w:rPr>
          <w:rFonts w:hint="eastAsia" w:ascii="宋体" w:hAnsi="宋体" w:eastAsia="宋体" w:cs="宋体"/>
          <w:b/>
          <w:color w:val="auto"/>
          <w:szCs w:val="21"/>
        </w:rPr>
        <w:t>即住宅征收服务综合单价</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none"/>
        </w:rPr>
        <w:t>元</w:t>
      </w:r>
      <w:r>
        <w:rPr>
          <w:rFonts w:hint="eastAsia" w:ascii="宋体" w:hAnsi="宋体" w:eastAsia="宋体" w:cs="宋体"/>
          <w:b/>
          <w:color w:val="auto"/>
          <w:szCs w:val="21"/>
        </w:rPr>
        <w:t>/平方米；非住宅征收服务综合单价</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rPr>
        <w:t>元/平方米</w:t>
      </w:r>
      <w:r>
        <w:rPr>
          <w:rFonts w:hint="eastAsia" w:ascii="宋体" w:hAnsi="宋体" w:eastAsia="宋体" w:cs="宋体"/>
          <w:b/>
          <w:color w:val="auto"/>
          <w:szCs w:val="21"/>
          <w:lang w:eastAsia="zh-CN"/>
        </w:rPr>
        <w:t>，</w:t>
      </w:r>
      <w:r>
        <w:rPr>
          <w:rFonts w:hint="eastAsia" w:ascii="宋体" w:hAnsi="宋体" w:eastAsia="宋体" w:cs="宋体"/>
          <w:b/>
          <w:color w:val="auto"/>
          <w:szCs w:val="21"/>
        </w:rPr>
        <w:t>结算时不管何种原因单价均不</w:t>
      </w:r>
      <w:r>
        <w:rPr>
          <w:rFonts w:hint="eastAsia" w:ascii="宋体" w:hAnsi="宋体" w:eastAsia="宋体" w:cs="宋体"/>
          <w:b/>
          <w:color w:val="auto"/>
          <w:szCs w:val="21"/>
          <w:lang w:val="en-US" w:eastAsia="zh-CN"/>
        </w:rPr>
        <w:t>作</w:t>
      </w:r>
      <w:r>
        <w:rPr>
          <w:rFonts w:hint="eastAsia" w:ascii="宋体" w:hAnsi="宋体" w:eastAsia="宋体" w:cs="宋体"/>
          <w:b/>
          <w:color w:val="auto"/>
          <w:szCs w:val="21"/>
        </w:rPr>
        <w:t>调整,按实际拆迁范围内的评估测绘面积调整总价</w:t>
      </w:r>
      <w:r>
        <w:rPr>
          <w:rFonts w:hint="eastAsia" w:ascii="宋体" w:hAnsi="宋体" w:eastAsia="宋体" w:cs="宋体"/>
          <w:b/>
          <w:color w:val="auto"/>
          <w:szCs w:val="21"/>
          <w:lang w:val="en-US" w:eastAsia="zh-CN"/>
        </w:rPr>
        <w:t>。</w:t>
      </w:r>
      <w:r>
        <w:rPr>
          <w:rFonts w:hint="eastAsia" w:ascii="宋体" w:hAnsi="宋体" w:eastAsia="宋体" w:cs="宋体"/>
          <w:b/>
          <w:color w:val="auto"/>
          <w:szCs w:val="21"/>
        </w:rPr>
        <w:t>总价暂定</w:t>
      </w:r>
      <w:r>
        <w:rPr>
          <w:rFonts w:hint="eastAsia" w:ascii="宋体" w:hAnsi="宋体" w:eastAsia="宋体" w:cs="宋体"/>
          <w:b/>
          <w:color w:val="auto"/>
          <w:szCs w:val="21"/>
          <w:lang w:eastAsia="zh-CN"/>
        </w:rPr>
        <w:t>为</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元（总价仅作为付款依据）。</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第二条  委托事项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乙方应按照房屋征收（征地房屋补偿）法定程序协助甲方完成</w:t>
      </w:r>
      <w:r>
        <w:rPr>
          <w:rFonts w:hint="eastAsia" w:ascii="宋体" w:hAnsi="宋体" w:eastAsia="宋体" w:cs="宋体"/>
          <w:szCs w:val="21"/>
          <w:u w:val="single"/>
        </w:rPr>
        <w:t xml:space="preserve">         </w:t>
      </w:r>
      <w:r>
        <w:rPr>
          <w:rFonts w:hint="eastAsia" w:ascii="宋体" w:hAnsi="宋体" w:eastAsia="宋体" w:cs="宋体"/>
          <w:szCs w:val="21"/>
        </w:rPr>
        <w:t>（①前期确权确户；②中期签约结算；③后期安置及档案管理）阶段相关工作，主要内容包括：</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szCs w:val="21"/>
          <w:highlight w:val="none"/>
        </w:rPr>
      </w:pPr>
      <w:r>
        <w:rPr>
          <w:rFonts w:hint="eastAsia" w:ascii="宋体" w:hAnsi="宋体" w:eastAsia="宋体" w:cs="宋体"/>
          <w:b/>
          <w:bCs w:val="0"/>
          <w:szCs w:val="21"/>
          <w:highlight w:val="none"/>
        </w:rPr>
        <w:t>（一）前期确权确户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对被拆迁人的房屋、人口、意愿三类信息进行调查；</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走访不动产登记、规划、***等部门搜集房屋权属和安置人口等信息，协助委托方做好确权确户；</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3.协助委托方核查测绘面积和评估结果</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协助委托方制定完善房屋拆迁补偿方案；</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协助委托方对拆迁补偿方案、评估结果、测绘面积结果、确权确户结果等信息的公示，记录被拆迁户的诉求和投诉，进行信息汇总反馈。</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（二）中期签约结算</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协助委托方做好签约前准备工作（将调查数据录入独立的房屋拆迁服务软件系统，做安置补偿协议模板配置，汇总表模板配置）；</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集中协助签约，协助委托方做好政策、确权确户解释工作并根据委托方要求做好各类报表的数据汇总；</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协助委托方做好房屋腾空，做好安置补偿结算工作；</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对确权确户、评估、签约、结算四大资料进行整理，如有缺失协助委托方进行催交补充、初步建立一户一档；</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被拆迁户涉及法律纠纷等相关问题的跟踪服务。</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（三）后期安置及档案管理</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协助委托方安置房源管理、抽签定位、交付、资金结算；</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按一户一档完善拆迁户的电子及纸质档案；</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完成</w:t>
      </w:r>
      <w:r>
        <w:rPr>
          <w:rFonts w:hint="eastAsia" w:ascii="宋体" w:hAnsi="宋体" w:eastAsia="宋体" w:cs="宋体"/>
          <w:bCs/>
          <w:color w:val="auto"/>
          <w:szCs w:val="21"/>
          <w:highlight w:val="none"/>
        </w:rPr>
        <w:t>《房屋所有权证》、《国有土地使用证》</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《不动产权证》</w:t>
      </w:r>
      <w:r>
        <w:rPr>
          <w:rFonts w:hint="eastAsia" w:ascii="宋体" w:hAnsi="宋体" w:eastAsia="宋体" w:cs="宋体"/>
          <w:bCs/>
          <w:color w:val="auto"/>
          <w:szCs w:val="21"/>
          <w:highlight w:val="none"/>
          <w:lang w:val="en-US" w:eastAsia="zh-CN"/>
        </w:rPr>
        <w:t>等相关产权证</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收集</w:t>
      </w:r>
      <w:r>
        <w:rPr>
          <w:rFonts w:hint="eastAsia" w:ascii="宋体" w:hAnsi="宋体" w:eastAsia="宋体" w:cs="宋体"/>
          <w:bCs/>
          <w:color w:val="auto"/>
          <w:szCs w:val="21"/>
          <w:highlight w:val="none"/>
        </w:rPr>
        <w:t>和注销</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2" w:firstLineChars="200"/>
        <w:jc w:val="both"/>
        <w:textAlignment w:val="auto"/>
        <w:rPr>
          <w:rFonts w:hint="eastAsia" w:ascii="宋体" w:hAnsi="宋体" w:eastAsia="宋体" w:cs="宋体"/>
          <w:b/>
          <w:bCs w:val="0"/>
          <w:szCs w:val="21"/>
          <w:highlight w:val="none"/>
        </w:rPr>
      </w:pPr>
      <w:r>
        <w:rPr>
          <w:rFonts w:hint="eastAsia" w:ascii="宋体" w:hAnsi="宋体" w:eastAsia="宋体" w:cs="宋体"/>
          <w:b/>
          <w:bCs w:val="0"/>
          <w:szCs w:val="21"/>
          <w:highlight w:val="none"/>
        </w:rPr>
        <w:t>（四）负责完成甲方交办的与本项目征地房屋补偿和房屋征收工作相关的其他工作。</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第三条  劳务服务人员编排</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（一）乙方现场负责人为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，联系方式：</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（二）乙方配备从业人员名单如下：</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第四条  服务期限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乙方应于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前完成前期确权确户；于</w:t>
      </w:r>
      <w:r>
        <w:rPr>
          <w:rFonts w:hint="eastAsia" w:ascii="宋体" w:hAnsi="宋体" w:eastAsia="宋体" w:cs="宋体"/>
          <w:szCs w:val="21"/>
          <w:u w:val="single"/>
        </w:rPr>
        <w:t xml:space="preserve">              </w:t>
      </w:r>
      <w:r>
        <w:rPr>
          <w:rFonts w:hint="eastAsia" w:ascii="宋体" w:hAnsi="宋体" w:eastAsia="宋体" w:cs="宋体"/>
          <w:szCs w:val="21"/>
        </w:rPr>
        <w:t>前完成中期签约结算；于</w:t>
      </w:r>
      <w:r>
        <w:rPr>
          <w:rFonts w:hint="eastAsia" w:ascii="宋体" w:hAnsi="宋体" w:eastAsia="宋体" w:cs="宋体"/>
          <w:szCs w:val="21"/>
          <w:u w:val="single"/>
        </w:rPr>
        <w:t xml:space="preserve">                    </w:t>
      </w:r>
      <w:r>
        <w:rPr>
          <w:rFonts w:hint="eastAsia" w:ascii="宋体" w:hAnsi="宋体" w:eastAsia="宋体" w:cs="宋体"/>
          <w:szCs w:val="21"/>
        </w:rPr>
        <w:t>前完成后期安置及档案管理。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第五条  劳务费用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（一）计价方式：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实行固定单价包干计价方式，</w:t>
      </w:r>
      <w:r>
        <w:rPr>
          <w:rFonts w:hint="eastAsia" w:ascii="宋体" w:hAnsi="宋体" w:eastAsia="宋体" w:cs="宋体"/>
          <w:color w:val="auto"/>
          <w:szCs w:val="21"/>
          <w:lang w:val="en-US" w:eastAsia="zh-CN"/>
        </w:rPr>
        <w:t>包含</w:t>
      </w:r>
      <w:r>
        <w:rPr>
          <w:rFonts w:hint="eastAsia" w:ascii="宋体" w:hAnsi="宋体" w:eastAsia="宋体" w:cs="宋体"/>
          <w:color w:val="auto"/>
          <w:szCs w:val="21"/>
        </w:rPr>
        <w:t xml:space="preserve">完成本区块拆迁征收第三方服务服务可能发生的全部费用及投标供应商的利润和应交纳的税金等（包括人员工资、奖金、各种加班费、夜餐费、各种社会保险、餐饮与交通必需的一切本身和不可或缺的所有工作开支、政策性文件规定及合同包含的所有风险、责任等、专用设备、消耗材料、服装、安全、管理费用、税费、利润、招标代理服务费、完成合同所需各项费用并承担一切风险责任）。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如在合同执行期间内，遇到社保缴费基数、比例及最低工资标准上调等情况时，甲方均不作综合单价的调整；因征收建筑面积的变更，合同金额根据“住宅实际建筑面积×住宅中标综合单价+非住宅实际建筑面积×非住宅中标综合单价”结算，且符合政府采购监督管理部门的要求</w:t>
      </w:r>
      <w:r>
        <w:rPr>
          <w:rFonts w:hint="eastAsia" w:ascii="宋体" w:hAnsi="宋体" w:eastAsia="宋体" w:cs="宋体"/>
          <w:color w:val="auto"/>
          <w:szCs w:val="21"/>
          <w:lang w:eastAsia="zh-CN"/>
        </w:rPr>
        <w:t>；结算时不管何种原因单价均不作调整,按区块实际拆迁范围内的评估测绘面积调整总价，但不得高于本区块预算价，高于区块预算价的，按本区块预算价支付。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（二）支付方式：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w:t>
      </w:r>
      <w:r>
        <w:rPr>
          <w:rFonts w:hint="eastAsia" w:ascii="宋体" w:hAnsi="宋体" w:eastAsia="宋体" w:cs="宋体"/>
          <w:color w:val="auto"/>
          <w:szCs w:val="21"/>
        </w:rPr>
        <w:t>前期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（1）乙方完成入户调查人员配置到位后，支付合同价款的20%</w:t>
      </w:r>
      <w:r>
        <w:rPr>
          <w:rFonts w:hint="eastAsia" w:ascii="宋体" w:hAnsi="宋体" w:eastAsia="宋体" w:cs="宋体"/>
          <w:color w:val="auto"/>
          <w:szCs w:val="21"/>
          <w:lang w:val="en-US" w:eastAsia="zh-CN"/>
        </w:rPr>
        <w:t>作为预付款</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（2）乙方完成入户调查全部工作，出台征迁具体实施方案后，支付合同价款的10%（累计</w:t>
      </w:r>
      <w:r>
        <w:rPr>
          <w:rFonts w:hint="eastAsia" w:ascii="宋体" w:hAnsi="宋体" w:eastAsia="宋体" w:cs="宋体"/>
          <w:color w:val="auto"/>
          <w:szCs w:val="21"/>
          <w:lang w:val="en-US" w:eastAsia="zh-CN"/>
        </w:rPr>
        <w:t>支付</w:t>
      </w:r>
      <w:r>
        <w:rPr>
          <w:rFonts w:hint="eastAsia" w:ascii="宋体" w:hAnsi="宋体" w:eastAsia="宋体" w:cs="宋体"/>
          <w:color w:val="auto"/>
          <w:szCs w:val="21"/>
        </w:rPr>
        <w:t>至合同价款的30%）。</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w:t>
      </w:r>
      <w:r>
        <w:rPr>
          <w:rFonts w:hint="eastAsia" w:ascii="宋体" w:hAnsi="宋体" w:eastAsia="宋体" w:cs="宋体"/>
          <w:color w:val="auto"/>
          <w:szCs w:val="21"/>
        </w:rPr>
        <w:t>中期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 w:val="21"/>
          <w:szCs w:val="21"/>
        </w:rPr>
        <w:t>①</w:t>
      </w:r>
      <w:r>
        <w:rPr>
          <w:rFonts w:hint="eastAsia" w:ascii="宋体" w:hAnsi="宋体" w:eastAsia="宋体" w:cs="宋体"/>
          <w:color w:val="auto"/>
          <w:szCs w:val="21"/>
        </w:rPr>
        <w:t>在征迁方案规定的签约期限内，协议签约率未达到92%的暂停合同，甲方支付合同价款的10%（累计支付至合同价款的40%），当项目继续启动时，乙方继续服务并按中标要求继续履约，无二次收费；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②在征迁方案规定的签约期限内，</w:t>
      </w:r>
      <w:r>
        <w:rPr>
          <w:rFonts w:hint="eastAsia" w:ascii="宋体" w:hAnsi="宋体" w:eastAsia="宋体" w:cs="宋体"/>
          <w:color w:val="auto"/>
          <w:szCs w:val="21"/>
          <w:lang w:val="en-US" w:eastAsia="zh-CN"/>
        </w:rPr>
        <w:t>协议</w:t>
      </w:r>
      <w:r>
        <w:rPr>
          <w:rFonts w:hint="eastAsia" w:ascii="宋体" w:hAnsi="宋体" w:eastAsia="宋体" w:cs="宋体"/>
          <w:color w:val="auto"/>
          <w:szCs w:val="21"/>
        </w:rPr>
        <w:t>签约率达到9</w:t>
      </w:r>
      <w:r>
        <w:rPr>
          <w:rFonts w:hint="eastAsia" w:ascii="宋体" w:hAnsi="宋体" w:eastAsia="宋体" w:cs="宋体"/>
          <w:color w:val="auto"/>
          <w:szCs w:val="21"/>
          <w:lang w:val="en-US" w:eastAsia="zh-CN"/>
        </w:rPr>
        <w:t>2</w:t>
      </w:r>
      <w:r>
        <w:rPr>
          <w:rFonts w:hint="eastAsia" w:ascii="宋体" w:hAnsi="宋体" w:eastAsia="宋体" w:cs="宋体"/>
          <w:color w:val="auto"/>
          <w:szCs w:val="21"/>
        </w:rPr>
        <w:t>%但未达到</w:t>
      </w:r>
      <w:r>
        <w:rPr>
          <w:rFonts w:hint="eastAsia" w:ascii="宋体" w:hAnsi="宋体" w:cs="宋体"/>
          <w:color w:val="auto"/>
          <w:szCs w:val="21"/>
          <w:lang w:val="en-US" w:eastAsia="zh-CN"/>
        </w:rPr>
        <w:t>100</w:t>
      </w:r>
      <w:r>
        <w:rPr>
          <w:rFonts w:hint="eastAsia" w:ascii="宋体" w:hAnsi="宋体" w:eastAsia="宋体" w:cs="宋体"/>
          <w:color w:val="auto"/>
          <w:szCs w:val="21"/>
        </w:rPr>
        <w:t>%的，甲方支付合同价款的</w:t>
      </w:r>
      <w:r>
        <w:rPr>
          <w:rFonts w:hint="eastAsia" w:ascii="宋体" w:hAnsi="宋体" w:cs="宋体"/>
          <w:color w:val="auto"/>
          <w:szCs w:val="21"/>
          <w:lang w:val="en-US" w:eastAsia="zh-CN"/>
        </w:rPr>
        <w:t>4</w:t>
      </w:r>
      <w:r>
        <w:rPr>
          <w:rFonts w:hint="eastAsia" w:ascii="宋体" w:hAnsi="宋体" w:eastAsia="宋体" w:cs="宋体"/>
          <w:color w:val="auto"/>
          <w:szCs w:val="21"/>
        </w:rPr>
        <w:t>0%（累计支付至合同价款的</w:t>
      </w:r>
      <w:r>
        <w:rPr>
          <w:rFonts w:hint="eastAsia" w:ascii="宋体" w:hAnsi="宋体" w:cs="宋体"/>
          <w:color w:val="auto"/>
          <w:szCs w:val="21"/>
          <w:lang w:val="en-US" w:eastAsia="zh-CN"/>
        </w:rPr>
        <w:t>7</w:t>
      </w:r>
      <w:r>
        <w:rPr>
          <w:rFonts w:hint="eastAsia" w:ascii="宋体" w:hAnsi="宋体" w:eastAsia="宋体" w:cs="宋体"/>
          <w:color w:val="auto"/>
          <w:szCs w:val="21"/>
        </w:rPr>
        <w:t>0%）</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③</w:t>
      </w:r>
      <w:r>
        <w:rPr>
          <w:rFonts w:hint="eastAsia" w:ascii="宋体" w:hAnsi="宋体" w:eastAsia="宋体" w:cs="宋体"/>
          <w:color w:val="auto"/>
          <w:szCs w:val="21"/>
        </w:rPr>
        <w:t>在征迁方案规定的签约期限内，</w:t>
      </w:r>
      <w:r>
        <w:rPr>
          <w:rFonts w:hint="eastAsia" w:ascii="宋体" w:hAnsi="宋体" w:eastAsia="宋体" w:cs="宋体"/>
          <w:color w:val="auto"/>
          <w:szCs w:val="21"/>
          <w:lang w:val="en-US" w:eastAsia="zh-CN"/>
        </w:rPr>
        <w:t>协议</w:t>
      </w:r>
      <w:r>
        <w:rPr>
          <w:rFonts w:hint="eastAsia" w:ascii="宋体" w:hAnsi="宋体" w:eastAsia="宋体" w:cs="宋体"/>
          <w:color w:val="auto"/>
          <w:szCs w:val="21"/>
        </w:rPr>
        <w:t>签约率达到达到</w:t>
      </w:r>
      <w:r>
        <w:rPr>
          <w:rFonts w:hint="eastAsia" w:ascii="宋体" w:hAnsi="宋体" w:eastAsia="宋体" w:cs="宋体"/>
          <w:color w:val="auto"/>
          <w:szCs w:val="21"/>
          <w:lang w:val="en-US" w:eastAsia="zh-CN"/>
        </w:rPr>
        <w:t>100</w:t>
      </w:r>
      <w:r>
        <w:rPr>
          <w:rFonts w:hint="eastAsia" w:ascii="宋体" w:hAnsi="宋体" w:eastAsia="宋体" w:cs="宋体"/>
          <w:color w:val="auto"/>
          <w:szCs w:val="21"/>
        </w:rPr>
        <w:t>%的，甲方支付合同价款的</w:t>
      </w:r>
      <w:r>
        <w:rPr>
          <w:rFonts w:hint="eastAsia" w:ascii="宋体" w:hAnsi="宋体" w:cs="宋体"/>
          <w:color w:val="auto"/>
          <w:szCs w:val="21"/>
          <w:lang w:val="en-US" w:eastAsia="zh-CN"/>
        </w:rPr>
        <w:t>55</w:t>
      </w:r>
      <w:r>
        <w:rPr>
          <w:rFonts w:hint="eastAsia" w:ascii="宋体" w:hAnsi="宋体" w:eastAsia="宋体" w:cs="宋体"/>
          <w:color w:val="auto"/>
          <w:szCs w:val="21"/>
        </w:rPr>
        <w:t>%（累计支付至合同价款的</w:t>
      </w:r>
      <w:r>
        <w:rPr>
          <w:rFonts w:hint="eastAsia" w:ascii="宋体" w:hAnsi="宋体" w:cs="宋体"/>
          <w:color w:val="auto"/>
          <w:szCs w:val="21"/>
          <w:lang w:val="en-US" w:eastAsia="zh-CN"/>
        </w:rPr>
        <w:t>85</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后期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（1）规定时间内，完成房屋腾空搬迁后，支付合同价款的</w:t>
      </w:r>
      <w:r>
        <w:rPr>
          <w:rFonts w:hint="eastAsia" w:ascii="宋体" w:hAnsi="宋体" w:cs="宋体"/>
          <w:szCs w:val="21"/>
          <w:lang w:val="en-US" w:eastAsia="zh-CN"/>
        </w:rPr>
        <w:t>2.</w:t>
      </w:r>
      <w:r>
        <w:rPr>
          <w:rFonts w:hint="eastAsia" w:ascii="宋体" w:hAnsi="宋体" w:eastAsia="宋体" w:cs="宋体"/>
          <w:szCs w:val="21"/>
        </w:rPr>
        <w:t>5%（最高累计至合同价款的8</w:t>
      </w:r>
      <w:r>
        <w:rPr>
          <w:rFonts w:hint="eastAsia" w:ascii="宋体" w:hAnsi="宋体" w:cs="宋体"/>
          <w:szCs w:val="21"/>
          <w:lang w:val="en-US" w:eastAsia="zh-CN"/>
        </w:rPr>
        <w:t>7.5</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（2）完成项目审计、档案移交后，支付合同价款的</w:t>
      </w:r>
      <w:r>
        <w:rPr>
          <w:rFonts w:hint="eastAsia" w:ascii="宋体" w:hAnsi="宋体" w:cs="宋体"/>
          <w:szCs w:val="21"/>
          <w:lang w:val="en-US" w:eastAsia="zh-CN"/>
        </w:rPr>
        <w:t>2.</w:t>
      </w:r>
      <w:r>
        <w:rPr>
          <w:rFonts w:hint="eastAsia" w:ascii="宋体" w:hAnsi="宋体" w:eastAsia="宋体" w:cs="宋体"/>
          <w:szCs w:val="21"/>
        </w:rPr>
        <w:t>5%（最高累计至合同价款的90%）</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）房屋安置房抽签、定位、结算</w:t>
      </w:r>
      <w:r>
        <w:rPr>
          <w:rFonts w:hint="eastAsia" w:ascii="宋体" w:hAnsi="宋体" w:eastAsia="宋体" w:cs="宋体"/>
          <w:szCs w:val="21"/>
          <w:lang w:val="en-US" w:eastAsia="zh-CN"/>
        </w:rPr>
        <w:t>等全部服务内容</w:t>
      </w:r>
      <w:r>
        <w:rPr>
          <w:rFonts w:hint="eastAsia" w:ascii="宋体" w:hAnsi="宋体" w:eastAsia="宋体" w:cs="宋体"/>
          <w:szCs w:val="21"/>
        </w:rPr>
        <w:t xml:space="preserve">完成且归档移交后，根据调整后的总价支付剩余结算价款。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注：每</w:t>
      </w:r>
      <w:r>
        <w:rPr>
          <w:rFonts w:hint="eastAsia" w:ascii="宋体" w:hAnsi="宋体" w:eastAsia="宋体" w:cs="宋体"/>
          <w:b/>
          <w:bCs/>
          <w:szCs w:val="21"/>
          <w:lang w:val="en-US" w:eastAsia="zh-CN"/>
        </w:rPr>
        <w:t>期</w:t>
      </w:r>
      <w:r>
        <w:rPr>
          <w:rFonts w:hint="eastAsia" w:ascii="宋体" w:hAnsi="宋体" w:eastAsia="宋体" w:cs="宋体"/>
          <w:b/>
          <w:bCs/>
          <w:szCs w:val="21"/>
        </w:rPr>
        <w:t>付款前，乙方均需向甲方开具增值税专用发票，方可办理相关申报支付手续；否则由此引起的款项支付时间延长风险均由乙方自行承担。</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 xml:space="preserve"> 履约担保</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（一）乙方需在</w:t>
      </w:r>
      <w:r>
        <w:rPr>
          <w:rFonts w:hint="eastAsia" w:ascii="宋体" w:hAnsi="宋体" w:eastAsia="宋体" w:cs="宋体"/>
          <w:szCs w:val="21"/>
          <w:u w:val="single"/>
        </w:rPr>
        <w:t xml:space="preserve"> </w:t>
      </w:r>
      <w:r>
        <w:rPr>
          <w:rFonts w:hint="eastAsia" w:ascii="宋体" w:hAnsi="宋体" w:eastAsia="宋体" w:cs="宋体"/>
          <w:b/>
          <w:bCs/>
          <w:szCs w:val="21"/>
          <w:u w:val="single"/>
        </w:rPr>
        <w:t>本协议生效之日起 5个工作日</w:t>
      </w:r>
      <w:r>
        <w:rPr>
          <w:rFonts w:hint="eastAsia" w:ascii="宋体" w:hAnsi="宋体" w:eastAsia="宋体" w:cs="宋体"/>
          <w:szCs w:val="21"/>
        </w:rPr>
        <w:t>内缴纳</w:t>
      </w:r>
      <w:bookmarkStart w:id="36" w:name="OLE_LINK3"/>
      <w:r>
        <w:rPr>
          <w:rFonts w:hint="eastAsia" w:ascii="宋体" w:hAnsi="宋体" w:eastAsia="宋体" w:cs="宋体"/>
          <w:szCs w:val="21"/>
        </w:rPr>
        <w:t>履约</w:t>
      </w:r>
      <w:bookmarkEnd w:id="36"/>
      <w:r>
        <w:rPr>
          <w:rFonts w:hint="eastAsia" w:ascii="宋体" w:hAnsi="宋体" w:eastAsia="宋体" w:cs="宋体"/>
          <w:szCs w:val="21"/>
        </w:rPr>
        <w:t>担保，金额人民币</w:t>
      </w:r>
      <w:r>
        <w:rPr>
          <w:rFonts w:hint="eastAsia" w:ascii="宋体" w:hAnsi="宋体" w:eastAsia="宋体" w:cs="宋体"/>
          <w:b/>
          <w:bCs/>
          <w:szCs w:val="21"/>
          <w:u w:val="single"/>
        </w:rPr>
        <w:t xml:space="preserve">     </w:t>
      </w:r>
      <w:r>
        <w:rPr>
          <w:rFonts w:hint="eastAsia" w:ascii="宋体" w:hAnsi="宋体" w:eastAsia="宋体" w:cs="宋体"/>
          <w:szCs w:val="21"/>
        </w:rPr>
        <w:t>元（合同价款的1%），履约担保交由甲方保管。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（二）乙方未按时缴纳</w:t>
      </w:r>
      <w:bookmarkStart w:id="37" w:name="OLE_LINK9"/>
      <w:r>
        <w:rPr>
          <w:rFonts w:hint="eastAsia" w:ascii="宋体" w:hAnsi="宋体" w:eastAsia="宋体" w:cs="宋体"/>
          <w:szCs w:val="21"/>
        </w:rPr>
        <w:t>履约</w:t>
      </w:r>
      <w:bookmarkEnd w:id="37"/>
      <w:r>
        <w:rPr>
          <w:rFonts w:hint="eastAsia" w:ascii="宋体" w:hAnsi="宋体" w:eastAsia="宋体" w:cs="宋体"/>
          <w:szCs w:val="21"/>
        </w:rPr>
        <w:t>担保的，本合同自动解除，且乙方应按履约担保总额赔偿甲方的经济损失。甲方根据有关规定</w:t>
      </w:r>
      <w:bookmarkStart w:id="38" w:name="OLE_LINK7"/>
      <w:bookmarkStart w:id="39" w:name="OLE_LINK8"/>
      <w:r>
        <w:rPr>
          <w:rFonts w:hint="eastAsia" w:ascii="宋体" w:hAnsi="宋体" w:eastAsia="宋体" w:cs="宋体"/>
          <w:szCs w:val="21"/>
        </w:rPr>
        <w:t>就本合同所涉项目房屋征收（征地房屋补偿）事务</w:t>
      </w:r>
      <w:bookmarkEnd w:id="38"/>
      <w:r>
        <w:rPr>
          <w:rFonts w:hint="eastAsia" w:ascii="宋体" w:hAnsi="宋体" w:eastAsia="宋体" w:cs="宋体"/>
          <w:szCs w:val="21"/>
        </w:rPr>
        <w:t>重新选定代理机构</w:t>
      </w:r>
      <w:bookmarkEnd w:id="39"/>
      <w:r>
        <w:rPr>
          <w:rFonts w:hint="eastAsia" w:ascii="宋体" w:hAnsi="宋体" w:eastAsia="宋体" w:cs="宋体"/>
          <w:szCs w:val="21"/>
        </w:rPr>
        <w:t>时，乙方不得再成为备选代理机构。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（三）乙方不依法依规、未按照约定</w:t>
      </w:r>
      <w:bookmarkStart w:id="40" w:name="OLE_LINK10"/>
      <w:r>
        <w:rPr>
          <w:rFonts w:hint="eastAsia" w:ascii="宋体" w:hAnsi="宋体" w:eastAsia="宋体" w:cs="宋体"/>
          <w:szCs w:val="21"/>
        </w:rPr>
        <w:t>履行本合同</w:t>
      </w:r>
      <w:bookmarkEnd w:id="40"/>
      <w:r>
        <w:rPr>
          <w:rFonts w:hint="eastAsia" w:ascii="宋体" w:hAnsi="宋体" w:eastAsia="宋体" w:cs="宋体"/>
          <w:szCs w:val="21"/>
        </w:rPr>
        <w:t>，或者无故停止履行本合同的，甲方有权没收</w:t>
      </w:r>
      <w:bookmarkStart w:id="41" w:name="OLE_LINK11"/>
      <w:r>
        <w:rPr>
          <w:rFonts w:hint="eastAsia" w:ascii="宋体" w:hAnsi="宋体" w:eastAsia="宋体" w:cs="宋体"/>
          <w:szCs w:val="21"/>
        </w:rPr>
        <w:t>履约</w:t>
      </w:r>
      <w:bookmarkEnd w:id="41"/>
      <w:r>
        <w:rPr>
          <w:rFonts w:hint="eastAsia" w:ascii="宋体" w:hAnsi="宋体" w:eastAsia="宋体" w:cs="宋体"/>
          <w:szCs w:val="21"/>
        </w:rPr>
        <w:t>担保。</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（四）</w:t>
      </w:r>
      <w:bookmarkStart w:id="42" w:name="OLE_LINK15"/>
      <w:r>
        <w:rPr>
          <w:rFonts w:hint="eastAsia" w:ascii="宋体" w:hAnsi="宋体" w:eastAsia="宋体" w:cs="宋体"/>
          <w:szCs w:val="21"/>
        </w:rPr>
        <w:t>履约</w:t>
      </w:r>
      <w:bookmarkEnd w:id="42"/>
      <w:bookmarkStart w:id="43" w:name="OLE_LINK12"/>
      <w:r>
        <w:rPr>
          <w:rFonts w:hint="eastAsia" w:ascii="宋体" w:hAnsi="宋体" w:eastAsia="宋体" w:cs="宋体"/>
          <w:szCs w:val="21"/>
        </w:rPr>
        <w:t>担保在本</w:t>
      </w:r>
      <w:bookmarkEnd w:id="43"/>
      <w:r>
        <w:rPr>
          <w:rFonts w:hint="eastAsia" w:ascii="宋体" w:hAnsi="宋体" w:eastAsia="宋体" w:cs="宋体"/>
          <w:szCs w:val="21"/>
        </w:rPr>
        <w:t>合同履行完毕或经甲、乙双方协商一致提前终止本合同后，且乙方没有违规违约的情况下给予无息退还。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（五）甲方指定保管履约担保的帐户如下：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户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名：</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账   </w:t>
      </w:r>
      <w:r>
        <w:rPr>
          <w:rFonts w:hint="eastAsia" w:ascii="宋体" w:hAnsi="宋体" w:eastAsia="宋体" w:cs="宋体"/>
          <w:szCs w:val="21"/>
          <w:lang w:val="en-US" w:eastAsia="zh-CN"/>
        </w:rPr>
        <w:t xml:space="preserve"> </w:t>
      </w:r>
      <w:r>
        <w:rPr>
          <w:rFonts w:hint="eastAsia" w:ascii="宋体" w:hAnsi="宋体" w:eastAsia="宋体" w:cs="宋体"/>
          <w:szCs w:val="21"/>
        </w:rPr>
        <w:t>号：</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u w:val="single"/>
        </w:rPr>
      </w:pPr>
      <w:r>
        <w:rPr>
          <w:rFonts w:hint="eastAsia" w:ascii="宋体" w:hAnsi="宋体" w:eastAsia="宋体" w:cs="宋体"/>
          <w:szCs w:val="21"/>
        </w:rPr>
        <w:t>开 户</w:t>
      </w:r>
      <w:r>
        <w:rPr>
          <w:rFonts w:hint="eastAsia" w:ascii="宋体" w:hAnsi="宋体" w:eastAsia="宋体" w:cs="宋体"/>
          <w:szCs w:val="21"/>
          <w:lang w:val="en-US" w:eastAsia="zh-CN"/>
        </w:rPr>
        <w:t xml:space="preserve"> </w:t>
      </w:r>
      <w:r>
        <w:rPr>
          <w:rFonts w:hint="eastAsia" w:ascii="宋体" w:hAnsi="宋体" w:eastAsia="宋体" w:cs="宋体"/>
          <w:szCs w:val="21"/>
        </w:rPr>
        <w:t>行：</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第七条  双方的权利义务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bCs/>
          <w:szCs w:val="21"/>
        </w:rPr>
        <w:t>（一）</w:t>
      </w:r>
      <w:r>
        <w:rPr>
          <w:rFonts w:hint="eastAsia" w:ascii="宋体" w:hAnsi="宋体" w:eastAsia="宋体" w:cs="宋体"/>
          <w:szCs w:val="21"/>
        </w:rPr>
        <w:t>甲方的权利义务：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1.应提供有关补偿安置政策依据；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2.应办理征地房屋补偿和房屋征收等有关报批手续；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3.应协调处理好与有关部门的关系，确保房屋征收（征地房屋补偿）工作顺利进行；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4.应及时做好未经登记建筑的认定及手续查证工作；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5.应及时做好协议的鉴证、各项数据的审定及抽检工作；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6.应派工作人员与乙方加强联系，并及时解决工作中的问题，促使房屋征收（征地房屋补偿）工作顺利进行；</w:t>
      </w:r>
    </w:p>
    <w:p>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7.甲方为乙方无偿提供办公场所、认购安置会场等力所能及的支持；</w:t>
      </w:r>
    </w:p>
    <w:p>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8.甲方应按时支付劳务服务费，如甲方原因拖延支付劳务服务费造成乙方损失的，</w:t>
      </w:r>
      <w:bookmarkStart w:id="44" w:name="OLE_LINK4"/>
      <w:r>
        <w:rPr>
          <w:rFonts w:hint="eastAsia" w:ascii="宋体" w:hAnsi="宋体" w:eastAsia="宋体" w:cs="宋体"/>
          <w:szCs w:val="21"/>
        </w:rPr>
        <w:t>乙方有权</w:t>
      </w:r>
      <w:bookmarkEnd w:id="44"/>
      <w:r>
        <w:rPr>
          <w:rFonts w:hint="eastAsia" w:ascii="宋体" w:hAnsi="宋体" w:eastAsia="宋体" w:cs="宋体"/>
          <w:szCs w:val="21"/>
        </w:rPr>
        <w:t>提出赔偿，经乙方书面催告后仍拖延支付的，乙方有权终止本合同；</w:t>
      </w:r>
    </w:p>
    <w:p>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9.甲方及区房屋征收部门有权对乙方的从业人员在岗在位率、现场组织管理情况、服务态度、工作质量等情况进行抽查；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10.乙方从业人员不能胜任岗位工作或不服从甲方现场指挥与管理的，甲方可以要求更换从业人员。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（二）乙方的权利义务：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1.在本合同履行期间，乙方应当严格遵守有关法律法规，配备素质过硬的从业人员和管理人员，严明纪律、严格管理，做到规范化操作，不得以任何方式损害国家利益或房屋所有权人的利益；</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2.乙方现场负责人必须固定，如需变动，需提前向甲方提出申请，经甲方书面同意后方可变更；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3.乙方应按甲方工作计划安排，落实工作人员，保证甲方相关工作顺利开展；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4.在本合同履行期间，如遇少量疑难户确属无法化解的，乙方可与甲方协商提前终止合同。经甲方同意的，双方可对已履行完毕的内容结算劳务费用；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5.乙方应当自</w:t>
      </w:r>
      <w:r>
        <w:rPr>
          <w:rFonts w:hint="eastAsia" w:ascii="宋体" w:hAnsi="宋体" w:eastAsia="宋体" w:cs="宋体"/>
          <w:b/>
          <w:bCs/>
          <w:szCs w:val="21"/>
          <w:u w:val="single"/>
        </w:rPr>
        <w:t>本合同签订之日起10日内</w:t>
      </w:r>
      <w:r>
        <w:rPr>
          <w:rFonts w:hint="eastAsia" w:ascii="宋体" w:hAnsi="宋体" w:eastAsia="宋体" w:cs="宋体"/>
          <w:szCs w:val="21"/>
        </w:rPr>
        <w:t>将本合同副本报海曙区房屋征收部门备案</w:t>
      </w:r>
      <w:r>
        <w:rPr>
          <w:rFonts w:hint="eastAsia" w:ascii="宋体" w:hAnsi="宋体" w:eastAsia="宋体" w:cs="宋体"/>
          <w:szCs w:val="21"/>
          <w:lang w:eastAsia="zh-CN"/>
        </w:rPr>
        <w:t>（</w:t>
      </w:r>
      <w:r>
        <w:rPr>
          <w:rFonts w:hint="eastAsia" w:ascii="宋体" w:hAnsi="宋体" w:eastAsia="宋体" w:cs="宋体"/>
          <w:szCs w:val="21"/>
          <w:lang w:val="en-US" w:eastAsia="zh-CN"/>
        </w:rPr>
        <w:t>如需</w:t>
      </w:r>
      <w:r>
        <w:rPr>
          <w:rFonts w:hint="eastAsia" w:ascii="宋体" w:hAnsi="宋体" w:eastAsia="宋体" w:cs="宋体"/>
          <w:szCs w:val="21"/>
          <w:lang w:eastAsia="zh-CN"/>
        </w:rPr>
        <w:t>）</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第八条  违约责任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（一）房屋调查、协议签订及安置结算等完成合格率须达95%。经甲方第一次检查完成合格率未达标的，乙方应立即纠正。如经甲方再次检查后仍未达标的，甲方有权单方解除合同，并不再支付乙方任何</w:t>
      </w:r>
      <w:bookmarkStart w:id="45" w:name="OLE_LINK16"/>
      <w:r>
        <w:rPr>
          <w:rFonts w:hint="eastAsia" w:ascii="宋体" w:hAnsi="宋体" w:eastAsia="宋体" w:cs="宋体"/>
          <w:szCs w:val="21"/>
        </w:rPr>
        <w:t>劳务服务</w:t>
      </w:r>
      <w:bookmarkEnd w:id="45"/>
      <w:r>
        <w:rPr>
          <w:rFonts w:hint="eastAsia" w:ascii="宋体" w:hAnsi="宋体" w:eastAsia="宋体" w:cs="宋体"/>
          <w:szCs w:val="21"/>
        </w:rPr>
        <w:t>费，所造成的损失由乙方自行承担。</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（二）如乙方无故终止合同，或者因乙方原因合同被解除的，乙方无权要求甲方支付劳务服务费，且应赔偿甲方全部经济损失，甲方并有权没收履约担保。</w:t>
      </w:r>
    </w:p>
    <w:p>
      <w:pPr>
        <w:pStyle w:val="20"/>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rPr>
          <w:rFonts w:hint="eastAsia" w:ascii="宋体" w:hAnsi="宋体" w:eastAsia="宋体" w:cs="宋体"/>
        </w:rPr>
      </w:pPr>
      <w:r>
        <w:rPr>
          <w:rFonts w:hint="eastAsia" w:ascii="宋体" w:hAnsi="宋体" w:eastAsia="宋体" w:cs="宋体"/>
        </w:rPr>
        <w:t>（三）乙方违约时甲方有权单方解除合同，且乙方应向甲方支付合同金额30%的违约金（履约</w:t>
      </w:r>
      <w:r>
        <w:rPr>
          <w:rFonts w:hint="eastAsia" w:ascii="宋体" w:hAnsi="宋体" w:eastAsia="宋体" w:cs="宋体"/>
          <w:szCs w:val="21"/>
        </w:rPr>
        <w:t>担保</w:t>
      </w:r>
      <w:r>
        <w:rPr>
          <w:rFonts w:hint="eastAsia" w:ascii="宋体" w:hAnsi="宋体" w:eastAsia="宋体" w:cs="宋体"/>
        </w:rPr>
        <w:t>可折抵违约金），承担甲方实现债权的费用包括但不限于律师费、鉴定费、诉讼费、评估费、保全费等。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szCs w:val="21"/>
        </w:rPr>
      </w:pPr>
      <w:r>
        <w:rPr>
          <w:rFonts w:hint="eastAsia" w:ascii="宋体" w:hAnsi="宋体" w:eastAsia="宋体" w:cs="宋体"/>
          <w:b/>
          <w:szCs w:val="21"/>
        </w:rPr>
        <w:t>第九条  其他约定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u w:val="single"/>
        </w:rPr>
      </w:pPr>
      <w:r>
        <w:rPr>
          <w:rFonts w:hint="eastAsia" w:ascii="宋体" w:hAnsi="宋体" w:eastAsia="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第十条  不可抗力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由于国家政策因素和不可抗力造成本项目不能实施或继续实施有困难的，甲、乙双方可协商解除合同，不作违约论处。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szCs w:val="21"/>
          <w:shd w:val="clear" w:color="auto" w:fill="FFFFFF"/>
        </w:rPr>
      </w:pPr>
      <w:r>
        <w:rPr>
          <w:rFonts w:hint="eastAsia" w:ascii="宋体" w:hAnsi="宋体" w:eastAsia="宋体" w:cs="宋体"/>
          <w:b/>
          <w:bCs/>
          <w:szCs w:val="21"/>
        </w:rPr>
        <w:t>第十一条  争议的解决</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 甲、乙双方在本合同履行过程中发生争议，由双方当事人协商解决；协商不成，通过向甲方所在地人民法院提起诉讼解决。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szCs w:val="21"/>
        </w:rPr>
      </w:pPr>
      <w:r>
        <w:rPr>
          <w:rFonts w:hint="eastAsia" w:ascii="宋体" w:hAnsi="宋体" w:eastAsia="宋体" w:cs="宋体"/>
          <w:b/>
          <w:bCs/>
          <w:szCs w:val="21"/>
        </w:rPr>
        <w:t>第十二条  其他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 （一）本合同未尽事宜，由甲、乙双方协商一致后另行签订补充合同，补充合同作为本合同的不可分割部分具有同等法律效力。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 xml:space="preserve"> （二）本合同自甲、乙双方签章后生效。一式</w:t>
      </w:r>
      <w:r>
        <w:rPr>
          <w:rFonts w:hint="eastAsia" w:ascii="宋体" w:hAnsi="宋体" w:eastAsia="宋体" w:cs="宋体"/>
          <w:szCs w:val="21"/>
          <w:u w:val="single"/>
        </w:rPr>
        <w:t xml:space="preserve">    </w:t>
      </w:r>
      <w:r>
        <w:rPr>
          <w:rFonts w:hint="eastAsia" w:ascii="宋体" w:hAnsi="宋体" w:eastAsia="宋体" w:cs="宋体"/>
          <w:szCs w:val="21"/>
        </w:rPr>
        <w:t>份，正本</w:t>
      </w:r>
      <w:r>
        <w:rPr>
          <w:rFonts w:hint="eastAsia" w:ascii="宋体" w:hAnsi="宋体" w:eastAsia="宋体" w:cs="宋体"/>
          <w:szCs w:val="21"/>
          <w:u w:val="single"/>
        </w:rPr>
        <w:t xml:space="preserve"> 贰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份。甲方持正本</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份；乙方持正本</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份；区房屋征收部门副本备案</w:t>
      </w:r>
      <w:r>
        <w:rPr>
          <w:rFonts w:hint="eastAsia" w:ascii="宋体" w:hAnsi="宋体" w:eastAsia="宋体" w:cs="宋体"/>
          <w:szCs w:val="21"/>
          <w:u w:val="single"/>
        </w:rPr>
        <w:t xml:space="preserve"> 壹 </w:t>
      </w:r>
      <w:r>
        <w:rPr>
          <w:rFonts w:hint="eastAsia" w:ascii="宋体" w:hAnsi="宋体" w:eastAsia="宋体" w:cs="宋体"/>
          <w:szCs w:val="21"/>
        </w:rPr>
        <w:t>份。正、副本具有同等法律效力，遇争议时以正本为准。</w:t>
      </w:r>
    </w:p>
    <w:p>
      <w:pPr>
        <w:pStyle w:val="2"/>
        <w:ind w:left="0" w:leftChars="0" w:firstLine="0" w:firstLineChars="0"/>
        <w:rPr>
          <w:rFonts w:hint="eastAsia" w:ascii="宋体" w:hAnsi="宋体" w:eastAsia="宋体" w:cs="宋体"/>
          <w:kern w:val="0"/>
          <w:sz w:val="21"/>
          <w:szCs w:val="21"/>
          <w:highlight w:val="none"/>
          <w:lang w:bidi="ar"/>
        </w:rPr>
      </w:pPr>
    </w:p>
    <w:p>
      <w:pPr>
        <w:rPr>
          <w:rFonts w:hint="eastAsia"/>
        </w:rPr>
      </w:pPr>
    </w:p>
    <w:tbl>
      <w:tblPr>
        <w:tblStyle w:val="49"/>
        <w:tblW w:w="0" w:type="auto"/>
        <w:jc w:val="center"/>
        <w:tblLayout w:type="autofit"/>
        <w:tblCellMar>
          <w:top w:w="0" w:type="dxa"/>
          <w:left w:w="108" w:type="dxa"/>
          <w:bottom w:w="0" w:type="dxa"/>
          <w:right w:w="108" w:type="dxa"/>
        </w:tblCellMar>
      </w:tblPr>
      <w:tblGrid>
        <w:gridCol w:w="4235"/>
        <w:gridCol w:w="4236"/>
      </w:tblGrid>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甲 方（盖章）：</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乙 方（盖章）：</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地 址：</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地 址：</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法人代表或代表人（签字）：</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法人代表或代表人（签字）：</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电 话：</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电 话：</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开户银行：</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开户银行：</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账 号：</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账 号：</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邮政编码：</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邮政编码：</w:t>
            </w:r>
          </w:p>
        </w:tc>
      </w:tr>
      <w:tr>
        <w:tblPrEx>
          <w:tblCellMar>
            <w:top w:w="0" w:type="dxa"/>
            <w:left w:w="108" w:type="dxa"/>
            <w:bottom w:w="0" w:type="dxa"/>
            <w:right w:w="108" w:type="dxa"/>
          </w:tblCellMar>
        </w:tblPrEx>
        <w:trPr>
          <w:trHeight w:val="567" w:hRule="atLeast"/>
          <w:jc w:val="center"/>
        </w:trPr>
        <w:tc>
          <w:tcPr>
            <w:tcW w:w="4235" w:type="dxa"/>
            <w:noWrap w:val="0"/>
            <w:vAlign w:val="center"/>
          </w:tcPr>
          <w:p>
            <w:pPr>
              <w:rPr>
                <w:rFonts w:hint="eastAsia" w:ascii="宋体" w:hAnsi="宋体" w:cs="宋体"/>
                <w:szCs w:val="21"/>
                <w:highlight w:val="none"/>
              </w:rPr>
            </w:pPr>
            <w:r>
              <w:rPr>
                <w:rFonts w:hint="eastAsia" w:ascii="宋体" w:hAnsi="宋体" w:cs="宋体"/>
                <w:szCs w:val="21"/>
                <w:highlight w:val="none"/>
              </w:rPr>
              <w:t>日 期：     年   月   日</w:t>
            </w:r>
          </w:p>
        </w:tc>
        <w:tc>
          <w:tcPr>
            <w:tcW w:w="4236" w:type="dxa"/>
            <w:noWrap w:val="0"/>
            <w:vAlign w:val="center"/>
          </w:tcPr>
          <w:p>
            <w:pPr>
              <w:rPr>
                <w:rFonts w:hint="eastAsia" w:ascii="宋体" w:hAnsi="宋体" w:cs="宋体"/>
                <w:szCs w:val="21"/>
                <w:highlight w:val="none"/>
              </w:rPr>
            </w:pPr>
            <w:r>
              <w:rPr>
                <w:rFonts w:hint="eastAsia" w:ascii="宋体" w:hAnsi="宋体" w:cs="宋体"/>
                <w:szCs w:val="21"/>
                <w:highlight w:val="none"/>
              </w:rPr>
              <w:t>日 期：     年   月   日</w:t>
            </w:r>
          </w:p>
        </w:tc>
      </w:tr>
    </w:tbl>
    <w:p>
      <w:pPr>
        <w:tabs>
          <w:tab w:val="center" w:pos="4819"/>
        </w:tabs>
        <w:spacing w:line="360" w:lineRule="auto"/>
        <w:jc w:val="center"/>
        <w:outlineLvl w:val="0"/>
        <w:rPr>
          <w:rFonts w:hint="eastAsia" w:ascii="宋体" w:hAnsi="宋体" w:cs="宋体"/>
          <w:b/>
          <w:bCs/>
          <w:sz w:val="32"/>
        </w:rPr>
      </w:pPr>
      <w:bookmarkStart w:id="46" w:name="_Toc31616"/>
    </w:p>
    <w:p>
      <w:pPr>
        <w:pStyle w:val="2"/>
        <w:rPr>
          <w:rFonts w:hint="eastAsia"/>
        </w:rPr>
      </w:pPr>
    </w:p>
    <w:p>
      <w:pPr>
        <w:tabs>
          <w:tab w:val="center" w:pos="4819"/>
        </w:tabs>
        <w:spacing w:line="360" w:lineRule="auto"/>
        <w:jc w:val="center"/>
        <w:outlineLvl w:val="0"/>
        <w:rPr>
          <w:rFonts w:hint="eastAsia" w:ascii="宋体" w:hAnsi="宋体" w:cs="宋体"/>
          <w:b/>
          <w:bCs/>
          <w:sz w:val="32"/>
        </w:rPr>
      </w:pPr>
      <w:r>
        <w:rPr>
          <w:rFonts w:hint="eastAsia" w:ascii="宋体" w:hAnsi="宋体" w:cs="宋体"/>
          <w:b/>
          <w:bCs/>
          <w:sz w:val="32"/>
        </w:rPr>
        <w:br w:type="page"/>
      </w:r>
    </w:p>
    <w:p>
      <w:pPr>
        <w:tabs>
          <w:tab w:val="center" w:pos="4819"/>
        </w:tabs>
        <w:spacing w:line="360" w:lineRule="auto"/>
        <w:jc w:val="center"/>
        <w:outlineLvl w:val="0"/>
        <w:rPr>
          <w:rFonts w:hint="eastAsia" w:ascii="宋体" w:hAnsi="宋体" w:cs="宋体"/>
          <w:sz w:val="32"/>
        </w:rPr>
      </w:pPr>
      <w:r>
        <w:rPr>
          <w:rFonts w:hint="eastAsia" w:ascii="宋体" w:hAnsi="宋体" w:cs="宋体"/>
          <w:b/>
          <w:bCs/>
          <w:sz w:val="32"/>
        </w:rPr>
        <w:t>第六章 投标文件格式</w:t>
      </w:r>
      <w:bookmarkEnd w:id="35"/>
      <w:bookmarkEnd w:id="46"/>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1.电子备份投标文件的外包装封面格式：</w:t>
      </w:r>
    </w:p>
    <w:p>
      <w:pPr>
        <w:rPr>
          <w:rFonts w:hint="eastAsia" w:ascii="宋体" w:hAnsi="宋体" w:cs="宋体"/>
        </w:rPr>
      </w:pPr>
    </w:p>
    <w:p>
      <w:pPr>
        <w:rPr>
          <w:rFonts w:hint="eastAsia" w:ascii="宋体" w:hAnsi="宋体" w:cs="宋体"/>
        </w:rPr>
      </w:pPr>
    </w:p>
    <w:p>
      <w:pPr>
        <w:snapToGrid w:val="0"/>
        <w:spacing w:before="120" w:beforeLines="50" w:after="50"/>
        <w:jc w:val="center"/>
        <w:rPr>
          <w:rFonts w:hint="eastAsia" w:ascii="宋体" w:hAnsi="宋体" w:cs="宋体"/>
          <w:szCs w:val="21"/>
        </w:rPr>
      </w:pPr>
      <w:r>
        <w:rPr>
          <w:rFonts w:hint="eastAsia" w:ascii="宋体" w:hAnsi="宋体" w:cs="宋体"/>
          <w:szCs w:val="21"/>
        </w:rPr>
        <w:t>电子备份投标文件</w:t>
      </w:r>
    </w:p>
    <w:p>
      <w:pPr>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项目名称：                        </w:t>
      </w:r>
    </w:p>
    <w:p>
      <w:pPr>
        <w:spacing w:line="360" w:lineRule="auto"/>
        <w:rPr>
          <w:rFonts w:hint="eastAsia" w:ascii="宋体" w:hAnsi="宋体" w:cs="宋体"/>
        </w:rPr>
      </w:pPr>
      <w:r>
        <w:rPr>
          <w:rFonts w:hint="eastAsia" w:ascii="宋体" w:hAnsi="宋体" w:cs="宋体"/>
        </w:rPr>
        <w:t xml:space="preserve">项目编号：                            </w:t>
      </w:r>
    </w:p>
    <w:p>
      <w:pPr>
        <w:spacing w:line="360" w:lineRule="auto"/>
        <w:rPr>
          <w:rFonts w:hint="eastAsia" w:ascii="宋体" w:hAnsi="宋体" w:cs="宋体"/>
        </w:rPr>
      </w:pPr>
      <w:r>
        <w:rPr>
          <w:rFonts w:hint="eastAsia" w:ascii="宋体" w:hAnsi="宋体" w:cs="宋体"/>
        </w:rPr>
        <w:t>供应商名称（加盖公章）：</w:t>
      </w:r>
    </w:p>
    <w:p>
      <w:pPr>
        <w:spacing w:line="360" w:lineRule="auto"/>
        <w:rPr>
          <w:rFonts w:hint="eastAsia" w:ascii="宋体" w:hAnsi="宋体" w:cs="宋体"/>
        </w:rPr>
      </w:pPr>
      <w:r>
        <w:rPr>
          <w:rFonts w:hint="eastAsia" w:ascii="宋体" w:hAnsi="宋体" w:cs="宋体"/>
        </w:rPr>
        <w:t>供应商地址：</w:t>
      </w:r>
    </w:p>
    <w:p>
      <w:pPr>
        <w:pStyle w:val="9"/>
        <w:snapToGrid w:val="0"/>
        <w:spacing w:before="50" w:after="50"/>
        <w:ind w:firstLine="0"/>
        <w:jc w:val="center"/>
        <w:rPr>
          <w:rFonts w:hint="eastAsia" w:ascii="宋体" w:hAnsi="宋体" w:cs="宋体"/>
          <w:b/>
          <w:bCs/>
          <w:szCs w:val="21"/>
        </w:rPr>
      </w:pPr>
      <w:r>
        <w:rPr>
          <w:rFonts w:hint="eastAsia" w:ascii="宋体" w:hAnsi="宋体" w:cs="宋体"/>
          <w:b/>
          <w:bCs/>
        </w:rPr>
        <w:t>开标时启封</w:t>
      </w: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r>
        <w:rPr>
          <w:rFonts w:hint="eastAsia" w:ascii="宋体" w:hAnsi="宋体" w:cs="宋体"/>
        </w:rPr>
        <w:t xml:space="preserve">                                                      年  月  日</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2.投标文件封面格式：</w:t>
      </w:r>
    </w:p>
    <w:p>
      <w:pPr>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p>
    <w:p>
      <w:pPr>
        <w:snapToGrid w:val="0"/>
        <w:spacing w:before="120" w:beforeLines="50" w:after="50"/>
        <w:jc w:val="center"/>
        <w:rPr>
          <w:rFonts w:hint="eastAsia" w:ascii="宋体" w:hAnsi="宋体" w:cs="宋体"/>
          <w:szCs w:val="21"/>
        </w:rPr>
      </w:pPr>
      <w:r>
        <w:rPr>
          <w:rFonts w:hint="eastAsia" w:ascii="宋体" w:hAnsi="宋体" w:cs="宋体"/>
          <w:szCs w:val="21"/>
        </w:rPr>
        <w:t>资格</w:t>
      </w:r>
      <w:r>
        <w:rPr>
          <w:rFonts w:hint="eastAsia" w:ascii="宋体" w:hAnsi="宋体" w:cs="宋体"/>
          <w:szCs w:val="21"/>
        </w:rPr>
        <w:t>/</w:t>
      </w:r>
      <w:r>
        <w:rPr>
          <w:rFonts w:hint="eastAsia" w:ascii="宋体" w:hAnsi="宋体" w:cs="宋体"/>
          <w:szCs w:val="21"/>
        </w:rPr>
        <w:t>商务技术文件/报价文件</w:t>
      </w:r>
    </w:p>
    <w:p>
      <w:pPr>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项目名称：                       </w:t>
      </w:r>
    </w:p>
    <w:p>
      <w:pPr>
        <w:spacing w:line="360" w:lineRule="auto"/>
        <w:rPr>
          <w:rFonts w:hint="eastAsia" w:ascii="宋体" w:hAnsi="宋体" w:cs="宋体"/>
        </w:rPr>
      </w:pPr>
      <w:r>
        <w:rPr>
          <w:rFonts w:hint="eastAsia" w:ascii="宋体" w:hAnsi="宋体" w:cs="宋体"/>
        </w:rPr>
        <w:t xml:space="preserve">项目编号： </w:t>
      </w:r>
      <w:r>
        <w:rPr>
          <w:rFonts w:hint="eastAsia" w:ascii="宋体" w:hAnsi="宋体" w:cs="宋体"/>
        </w:rPr>
        <w:t xml:space="preserve">       </w:t>
      </w:r>
    </w:p>
    <w:p>
      <w:pPr>
        <w:spacing w:line="360" w:lineRule="auto"/>
        <w:rPr>
          <w:rFonts w:hint="eastAsia" w:ascii="宋体" w:hAnsi="宋体" w:cs="宋体"/>
        </w:rPr>
      </w:pPr>
      <w:r>
        <w:rPr>
          <w:rFonts w:hint="eastAsia" w:ascii="宋体" w:hAnsi="宋体" w:cs="宋体"/>
        </w:rPr>
        <w:t>供应商名称（加盖公章）：</w:t>
      </w:r>
    </w:p>
    <w:p>
      <w:pPr>
        <w:spacing w:line="360" w:lineRule="auto"/>
        <w:rPr>
          <w:rFonts w:hint="eastAsia" w:ascii="宋体" w:hAnsi="宋体" w:cs="宋体"/>
        </w:rPr>
      </w:pPr>
      <w:r>
        <w:rPr>
          <w:rFonts w:hint="eastAsia" w:ascii="宋体" w:hAnsi="宋体" w:cs="宋体"/>
        </w:rPr>
        <w:t>供应商地址：</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                                                       年  月  日</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jc w:val="both"/>
        <w:rPr>
          <w:rFonts w:hint="eastAsia" w:ascii="宋体" w:hAnsi="宋体" w:cs="宋体"/>
          <w:b/>
        </w:rPr>
      </w:pPr>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sz w:val="24"/>
          <w:szCs w:val="22"/>
          <w:lang w:val="en-US" w:eastAsia="zh-CN" w:bidi="ar-SA"/>
        </w:rPr>
      </w:pPr>
      <w:bookmarkStart w:id="47" w:name="_Toc249"/>
      <w:bookmarkStart w:id="48" w:name="_Toc6368"/>
      <w:bookmarkStart w:id="49" w:name="_Toc13174"/>
      <w:r>
        <w:rPr>
          <w:rFonts w:hint="eastAsia" w:ascii="宋体" w:hAnsi="宋体" w:eastAsia="宋体" w:cs="宋体"/>
          <w:b/>
          <w:bCs/>
          <w:sz w:val="24"/>
          <w:szCs w:val="22"/>
          <w:lang w:val="en-US" w:eastAsia="zh-CN" w:bidi="ar-SA"/>
        </w:rPr>
        <w:t>3.评分标准对应页码</w:t>
      </w:r>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评分标准对应页码</w:t>
      </w:r>
    </w:p>
    <w:tbl>
      <w:tblPr>
        <w:tblStyle w:val="49"/>
        <w:tblW w:w="8256"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6"/>
        <w:gridCol w:w="2156"/>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jc w:val="center"/>
              <w:rPr>
                <w:rFonts w:hint="eastAsia" w:ascii="宋体" w:hAnsi="宋体" w:cs="宋体"/>
                <w:b/>
                <w:color w:val="000000"/>
                <w:szCs w:val="21"/>
              </w:rPr>
            </w:pPr>
            <w:r>
              <w:rPr>
                <w:rFonts w:hint="eastAsia" w:ascii="宋体" w:hAnsi="宋体" w:cs="宋体"/>
                <w:b/>
                <w:color w:val="000000"/>
                <w:szCs w:val="21"/>
              </w:rPr>
              <w:t>招标文件对应评分项</w:t>
            </w:r>
          </w:p>
        </w:tc>
        <w:tc>
          <w:tcPr>
            <w:tcW w:w="2156" w:type="dxa"/>
            <w:noWrap w:val="0"/>
            <w:vAlign w:val="center"/>
          </w:tcPr>
          <w:p>
            <w:pPr>
              <w:widowControl w:val="0"/>
              <w:adjustRightInd w:val="0"/>
              <w:snapToGrid w:val="0"/>
              <w:jc w:val="center"/>
              <w:rPr>
                <w:rFonts w:hint="eastAsia" w:ascii="宋体" w:hAnsi="宋体" w:cs="宋体"/>
                <w:b/>
                <w:color w:val="000000"/>
                <w:szCs w:val="21"/>
              </w:rPr>
            </w:pPr>
            <w:r>
              <w:rPr>
                <w:rFonts w:hint="eastAsia" w:ascii="宋体" w:hAnsi="宋体" w:cs="宋体"/>
                <w:b/>
                <w:color w:val="000000"/>
                <w:szCs w:val="21"/>
              </w:rPr>
              <w:t>投标文件对应页码</w:t>
            </w:r>
          </w:p>
        </w:tc>
        <w:tc>
          <w:tcPr>
            <w:tcW w:w="1624" w:type="dxa"/>
            <w:noWrap w:val="0"/>
            <w:vAlign w:val="center"/>
          </w:tcPr>
          <w:p>
            <w:pPr>
              <w:widowControl w:val="0"/>
              <w:adjustRightInd w:val="0"/>
              <w:snapToGrid w:val="0"/>
              <w:jc w:val="center"/>
              <w:rPr>
                <w:rFonts w:hint="eastAsia" w:ascii="宋体" w:hAnsi="宋体" w:cs="宋体"/>
                <w:b/>
                <w:color w:val="000000"/>
                <w:szCs w:val="21"/>
              </w:rPr>
            </w:pPr>
            <w:r>
              <w:rPr>
                <w:rFonts w:hint="eastAsia" w:ascii="宋体" w:hAnsi="宋体" w:cs="宋体"/>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bCs/>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129"/>
              </w:tabs>
              <w:adjustRightInd w:val="0"/>
              <w:snapToGrid w:val="0"/>
              <w:rPr>
                <w:rFonts w:hint="eastAsia" w:ascii="宋体" w:hAnsi="宋体" w:cs="宋体"/>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662"/>
              </w:tabs>
              <w:adjustRightInd w:val="0"/>
              <w:snapToGrid w:val="0"/>
              <w:rPr>
                <w:rFonts w:hint="eastAsia" w:ascii="宋体" w:hAnsi="宋体" w:cs="宋体"/>
                <w:b/>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662"/>
              </w:tabs>
              <w:adjustRightInd w:val="0"/>
              <w:snapToGrid w:val="0"/>
              <w:rPr>
                <w:rFonts w:hint="eastAsia" w:ascii="宋体" w:hAnsi="宋体" w:cs="宋体"/>
                <w:b/>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widowControl w:val="0"/>
              <w:adjustRightInd w:val="0"/>
              <w:snapToGrid w:val="0"/>
              <w:rPr>
                <w:rFonts w:hint="eastAsia" w:ascii="宋体" w:hAnsi="宋体" w:cs="宋体"/>
                <w:szCs w:val="21"/>
              </w:rPr>
            </w:pPr>
          </w:p>
        </w:tc>
        <w:tc>
          <w:tcPr>
            <w:tcW w:w="2156" w:type="dxa"/>
            <w:noWrap w:val="0"/>
            <w:vAlign w:val="center"/>
          </w:tcPr>
          <w:p>
            <w:pPr>
              <w:widowControl w:val="0"/>
              <w:tabs>
                <w:tab w:val="left" w:pos="5662"/>
              </w:tabs>
              <w:adjustRightInd w:val="0"/>
              <w:snapToGrid w:val="0"/>
              <w:rPr>
                <w:rFonts w:hint="eastAsia" w:ascii="宋体" w:hAnsi="宋体" w:cs="宋体"/>
                <w:b/>
                <w:color w:val="000000"/>
                <w:szCs w:val="21"/>
              </w:rPr>
            </w:pPr>
          </w:p>
        </w:tc>
        <w:tc>
          <w:tcPr>
            <w:tcW w:w="1624" w:type="dxa"/>
            <w:noWrap w:val="0"/>
            <w:vAlign w:val="center"/>
          </w:tcPr>
          <w:p>
            <w:pPr>
              <w:widowControl w:val="0"/>
              <w:adjustRightInd w:val="0"/>
              <w:snapToGrid w:val="0"/>
              <w:rPr>
                <w:rFonts w:hint="eastAsia"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476" w:type="dxa"/>
            <w:noWrap w:val="0"/>
            <w:vAlign w:val="center"/>
          </w:tcPr>
          <w:p>
            <w:pPr>
              <w:pStyle w:val="2"/>
              <w:spacing w:after="0"/>
              <w:ind w:left="0" w:leftChars="0"/>
              <w:jc w:val="left"/>
              <w:rPr>
                <w:rFonts w:hint="eastAsia" w:ascii="宋体" w:hAnsi="宋体" w:cs="宋体"/>
                <w:color w:val="000000"/>
                <w:szCs w:val="21"/>
              </w:rPr>
            </w:pPr>
          </w:p>
        </w:tc>
        <w:tc>
          <w:tcPr>
            <w:tcW w:w="2156" w:type="dxa"/>
            <w:noWrap w:val="0"/>
            <w:vAlign w:val="top"/>
          </w:tcPr>
          <w:p>
            <w:pPr>
              <w:widowControl w:val="0"/>
              <w:tabs>
                <w:tab w:val="left" w:pos="5662"/>
              </w:tabs>
              <w:adjustRightInd w:val="0"/>
              <w:snapToGrid w:val="0"/>
              <w:rPr>
                <w:rFonts w:hint="eastAsia" w:ascii="宋体" w:hAnsi="宋体" w:cs="宋体"/>
                <w:b/>
                <w:color w:val="000000"/>
                <w:szCs w:val="21"/>
              </w:rPr>
            </w:pPr>
          </w:p>
        </w:tc>
        <w:tc>
          <w:tcPr>
            <w:tcW w:w="1624" w:type="dxa"/>
            <w:noWrap w:val="0"/>
            <w:vAlign w:val="top"/>
          </w:tcPr>
          <w:p>
            <w:pPr>
              <w:widowControl w:val="0"/>
              <w:adjustRightInd w:val="0"/>
              <w:snapToGrid w:val="0"/>
              <w:rPr>
                <w:rFonts w:hint="eastAsia" w:ascii="宋体" w:hAnsi="宋体" w:cs="宋体"/>
                <w:b/>
                <w:color w:val="000000"/>
                <w:szCs w:val="21"/>
              </w:rPr>
            </w:pPr>
          </w:p>
        </w:tc>
      </w:tr>
    </w:tbl>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sz w:val="24"/>
          <w:szCs w:val="22"/>
          <w:lang w:val="en-US" w:eastAsia="zh-CN" w:bidi="ar-SA"/>
        </w:rPr>
        <w:t>4.供应商资格声明函</w:t>
      </w:r>
      <w:bookmarkEnd w:id="47"/>
      <w:bookmarkEnd w:id="48"/>
      <w:bookmarkEnd w:id="49"/>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供应商资格声明函</w:t>
      </w:r>
    </w:p>
    <w:p>
      <w:pPr>
        <w:widowControl w:val="0"/>
        <w:snapToGrid w:val="0"/>
        <w:spacing w:line="360" w:lineRule="auto"/>
        <w:rPr>
          <w:rFonts w:hint="eastAsia" w:ascii="宋体" w:hAnsi="宋体" w:cs="宋体"/>
          <w:color w:val="000000"/>
          <w:szCs w:val="21"/>
          <w:u w:val="single"/>
        </w:rPr>
      </w:pPr>
      <w:r>
        <w:rPr>
          <w:rFonts w:hint="eastAsia" w:ascii="宋体" w:hAnsi="宋体" w:cs="宋体"/>
          <w:b/>
          <w:bCs/>
          <w:color w:val="000000"/>
          <w:szCs w:val="21"/>
        </w:rPr>
        <w:t>致</w:t>
      </w:r>
      <w:r>
        <w:rPr>
          <w:rFonts w:hint="eastAsia" w:ascii="宋体" w:hAnsi="宋体" w:cs="宋体"/>
          <w:b/>
          <w:bCs/>
          <w:color w:val="000000"/>
          <w:szCs w:val="21"/>
          <w:lang w:eastAsia="zh-CN"/>
        </w:rPr>
        <w:t>宁波市海曙区集士港镇人民政府</w:t>
      </w:r>
      <w:r>
        <w:rPr>
          <w:rFonts w:hint="eastAsia" w:ascii="宋体" w:hAnsi="宋体" w:cs="宋体"/>
          <w:b/>
          <w:bCs/>
          <w:color w:val="000000"/>
          <w:szCs w:val="21"/>
        </w:rPr>
        <w:t>：</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（供应商名称）系中华人民共和国合法企业，经营地址</w:t>
      </w:r>
      <w:r>
        <w:rPr>
          <w:rFonts w:hint="eastAsia" w:ascii="宋体" w:hAnsi="宋体" w:cs="宋体"/>
          <w:color w:val="000000"/>
          <w:szCs w:val="21"/>
          <w:u w:val="single"/>
        </w:rPr>
        <w:t xml:space="preserve">                               </w:t>
      </w:r>
      <w:r>
        <w:rPr>
          <w:rFonts w:hint="eastAsia" w:ascii="宋体" w:hAnsi="宋体" w:cs="宋体"/>
          <w:color w:val="000000"/>
          <w:szCs w:val="21"/>
        </w:rPr>
        <w:t>。</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我 </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（供应商名称）的法定代表人，我方愿意参加贵方组织的</w:t>
      </w:r>
      <w:r>
        <w:rPr>
          <w:rFonts w:hint="eastAsia" w:ascii="宋体" w:hAnsi="宋体" w:cs="宋体"/>
          <w:color w:val="000000"/>
          <w:szCs w:val="21"/>
          <w:u w:val="single"/>
        </w:rPr>
        <w:t xml:space="preserve">                            </w:t>
      </w:r>
      <w:r>
        <w:rPr>
          <w:rFonts w:hint="eastAsia" w:ascii="宋体" w:hAnsi="宋体" w:cs="宋体"/>
          <w:color w:val="000000"/>
          <w:szCs w:val="21"/>
        </w:rPr>
        <w:t>项目的投标，为便于贵方公正、择优地确定中标人及其投标产品和服务，我方就本次投标有关事项郑重声明如下：</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1、我方向贵方提交的所有投标文件、资料都是准确的和真实的。</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2、本公司（企业）具备《中华人民共和国政府采购法》第二十二条资格条件，并已清楚招标文件的要求及有关文件规定。</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3、本公司（企业）的法定代表人或单位负责人与所参投的本采购项目的其他投标人的法定代表人或单位负责人不为同一人且与其他投标人之间不存在直接控股、管理关系。</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根据《中华人民共和国政府采购法实施条例》的规定，本公司（企业）如为本采购项目提供整体设计、规范编制或者项目管理、监理、检测等服务的投标人，不得再参加本项目的采购活动。否则，由此所造成的损失、不良后果及法律责任，一律由我公司（企业）承担。</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5、本公司（企业）具有履行合同所必需的设备和专业技术能力，且本公司（企业）参加政府采购活动前3年内在经营活动中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（有或没有）重大违法记录。否则，由此所造成的损失、不良后果及法律责任，一律由我公司（企业）承担。</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widowControl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7、本次招标采购活动中，如有违法、违规、弄虚作假行为，所造成的损失、不良后果及法律责任，一律由我公司（企业）承担。</w:t>
      </w:r>
    </w:p>
    <w:p>
      <w:pPr>
        <w:pStyle w:val="2"/>
        <w:rPr>
          <w:rFonts w:hint="eastAsia" w:ascii="宋体" w:hAnsi="宋体" w:cs="宋体"/>
          <w:color w:val="000000"/>
          <w:szCs w:val="21"/>
        </w:rPr>
      </w:pPr>
    </w:p>
    <w:p>
      <w:pPr>
        <w:pStyle w:val="2"/>
        <w:rPr>
          <w:rFonts w:hint="eastAsia" w:ascii="宋体" w:hAnsi="宋体" w:cs="宋体"/>
          <w:color w:val="000000"/>
          <w:szCs w:val="21"/>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bookmarkStart w:id="50" w:name="_Toc21452"/>
      <w:bookmarkStart w:id="51" w:name="_Toc26543"/>
      <w:bookmarkStart w:id="52" w:name="_Toc9887"/>
      <w:r>
        <w:rPr>
          <w:rFonts w:hint="eastAsia" w:ascii="宋体" w:hAnsi="宋体" w:eastAsia="宋体" w:cs="宋体"/>
          <w:color w:val="000000"/>
          <w:sz w:val="24"/>
          <w:szCs w:val="24"/>
        </w:rPr>
        <w:br w:type="page"/>
      </w:r>
      <w:r>
        <w:rPr>
          <w:rFonts w:hint="eastAsia" w:ascii="宋体" w:hAnsi="宋体" w:eastAsia="宋体" w:cs="宋体"/>
          <w:b/>
          <w:bCs/>
          <w:sz w:val="24"/>
          <w:szCs w:val="22"/>
          <w:lang w:val="en-US" w:eastAsia="zh-CN" w:bidi="ar-SA"/>
        </w:rPr>
        <w:t>5.供应商自觉抵制政府采购领域商业贿赂行为承诺书</w:t>
      </w:r>
    </w:p>
    <w:p>
      <w:pPr>
        <w:keepNext/>
        <w:keepLines/>
        <w:widowControl w:val="0"/>
        <w:snapToGrid w:val="0"/>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供应商自觉抵制政府采购领域商业贿赂行为承诺书</w:t>
      </w:r>
    </w:p>
    <w:p>
      <w:pPr>
        <w:pStyle w:val="5"/>
        <w:widowControl w:val="0"/>
        <w:snapToGrid w:val="0"/>
        <w:spacing w:before="0" w:after="0" w:line="360" w:lineRule="auto"/>
        <w:jc w:val="both"/>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致：</w:t>
      </w:r>
      <w:r>
        <w:rPr>
          <w:rFonts w:hint="eastAsia" w:ascii="宋体" w:hAnsi="宋体" w:eastAsia="宋体" w:cs="宋体"/>
          <w:b w:val="0"/>
          <w:bCs w:val="0"/>
          <w:color w:val="000000"/>
          <w:sz w:val="21"/>
          <w:szCs w:val="21"/>
          <w:lang w:eastAsia="zh-CN"/>
        </w:rPr>
        <w:t>宁波市海曙区集士港镇人民政府</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一、依法参与政府采购活动，遵纪守法，诚信经营，公平竞争。</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二、不向采购单位、采购代理机构和政府采购评审专家提供任何形式的商业贿赂；对索取或接受商业贿赂的单位和个人，及时向财政部门和纪检监察机关举报。</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三、不以提供虚假资质文件等形式参与政府采购活动，不以虚假材料谋取中标。</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四、不采取不正当手段诋毁、排挤其他供应商，与其他参与政府采购活动供应商保持良性的竞争关系。</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五、不与采购单位、采购代理机构和政府采购评审专家恶意串通，自觉维护政府采购公平竞争的市场秩序。</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六、不与其他供应商串通采取围标、陪标等商业欺诈手段谋取中标，积极维护国家利益、社会公共利益和采购单位的合法权益。</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七、严格履行政府采购合同约定义务，不在政府采购合同执行过程中采取降低质量或标准、减少数量、拖延交付时间等方式损害采购单位的利益，并自觉承担违约责任。</w:t>
      </w:r>
    </w:p>
    <w:p>
      <w:pPr>
        <w:pStyle w:val="5"/>
        <w:widowControl w:val="0"/>
        <w:snapToGrid w:val="0"/>
        <w:spacing w:before="0" w:after="0" w:line="360" w:lineRule="auto"/>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八、自觉接受并积极配合财政部门和纪检监察机关依法实施的监督检查，如实反映情况，及时提供有关证明材料。</w:t>
      </w:r>
    </w:p>
    <w:p>
      <w:pPr>
        <w:pStyle w:val="5"/>
        <w:widowControl w:val="0"/>
        <w:snapToGrid w:val="0"/>
        <w:spacing w:before="0" w:after="0" w:line="360" w:lineRule="auto"/>
        <w:rPr>
          <w:rFonts w:hint="eastAsia" w:ascii="宋体" w:hAnsi="宋体" w:eastAsia="宋体" w:cs="宋体"/>
          <w:b w:val="0"/>
          <w:bCs w:val="0"/>
          <w:color w:val="000000"/>
          <w:sz w:val="21"/>
          <w:szCs w:val="21"/>
        </w:rPr>
      </w:pPr>
    </w:p>
    <w:p>
      <w:pPr>
        <w:rPr>
          <w:rFonts w:hint="eastAsia" w:ascii="宋体" w:hAnsi="宋体" w:cs="宋体"/>
          <w:color w:val="000000"/>
          <w:szCs w:val="21"/>
        </w:rPr>
      </w:pPr>
    </w:p>
    <w:p>
      <w:pPr>
        <w:pStyle w:val="6"/>
        <w:rPr>
          <w:rFonts w:hint="eastAsia" w:ascii="宋体" w:hAnsi="宋体" w:cs="宋体"/>
          <w:b w:val="0"/>
          <w:bCs w:val="0"/>
          <w:color w:val="000000"/>
          <w:sz w:val="21"/>
          <w:szCs w:val="21"/>
        </w:rPr>
      </w:pPr>
    </w:p>
    <w:p>
      <w:pPr>
        <w:rPr>
          <w:rFonts w:hint="eastAsia"/>
        </w:rPr>
      </w:pPr>
    </w:p>
    <w:p>
      <w:pPr>
        <w:pStyle w:val="5"/>
        <w:widowControl w:val="0"/>
        <w:snapToGrid w:val="0"/>
        <w:spacing w:before="0" w:after="0"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供应商名称（并加盖公章）：                             </w:t>
      </w:r>
    </w:p>
    <w:p>
      <w:pPr>
        <w:pStyle w:val="5"/>
        <w:widowControl w:val="0"/>
        <w:snapToGrid w:val="0"/>
        <w:spacing w:before="0" w:after="0"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法定代表人或其授权委托人（签名或印章）：                     </w:t>
      </w:r>
    </w:p>
    <w:p>
      <w:pPr>
        <w:pStyle w:val="5"/>
        <w:widowControl w:val="0"/>
        <w:snapToGrid w:val="0"/>
        <w:spacing w:before="0" w:after="0"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签署日期：          年        月        日</w:t>
      </w:r>
    </w:p>
    <w:p>
      <w:pPr>
        <w:rPr>
          <w:rFonts w:hint="eastAsia" w:ascii="宋体" w:hAnsi="宋体" w:cs="宋体"/>
          <w:color w:val="000000"/>
          <w:szCs w:val="21"/>
        </w:rPr>
      </w:pPr>
    </w:p>
    <w:p>
      <w:pPr>
        <w:pStyle w:val="2"/>
        <w:rPr>
          <w:rFonts w:hint="eastAsia" w:ascii="宋体" w:hAnsi="宋体" w:cs="宋体"/>
          <w:color w:val="000000"/>
          <w:szCs w:val="21"/>
        </w:rPr>
      </w:pPr>
    </w:p>
    <w:p>
      <w:pPr>
        <w:rPr>
          <w:rFonts w:hint="eastAsia" w:ascii="宋体" w:hAnsi="宋体" w:cs="宋体"/>
          <w:color w:val="000000"/>
          <w:szCs w:val="21"/>
        </w:rPr>
      </w:pPr>
    </w:p>
    <w:p>
      <w:pPr>
        <w:pStyle w:val="2"/>
        <w:rPr>
          <w:rFonts w:hint="eastAsia"/>
        </w:rPr>
      </w:pPr>
    </w:p>
    <w:p>
      <w:pPr>
        <w:widowControl w:val="0"/>
        <w:spacing w:line="360" w:lineRule="auto"/>
        <w:ind w:firstLine="480" w:firstLineChars="200"/>
        <w:jc w:val="both"/>
        <w:rPr>
          <w:rFonts w:hint="eastAsia" w:ascii="宋体" w:hAnsi="宋体" w:cs="宋体"/>
          <w:sz w:val="24"/>
          <w:szCs w:val="24"/>
        </w:rPr>
      </w:pPr>
    </w:p>
    <w:p>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6.投标函</w:t>
      </w:r>
      <w:bookmarkEnd w:id="50"/>
      <w:bookmarkEnd w:id="51"/>
      <w:bookmarkEnd w:id="52"/>
    </w:p>
    <w:p>
      <w:pPr>
        <w:widowControl w:val="0"/>
        <w:snapToGrid w:val="0"/>
        <w:spacing w:line="360" w:lineRule="auto"/>
        <w:jc w:val="center"/>
        <w:rPr>
          <w:rFonts w:hint="eastAsia" w:ascii="宋体" w:hAnsi="宋体" w:cs="宋体"/>
          <w:b/>
          <w:bCs/>
          <w:color w:val="000000"/>
          <w:sz w:val="24"/>
          <w:szCs w:val="24"/>
        </w:rPr>
      </w:pPr>
      <w:r>
        <w:rPr>
          <w:rFonts w:hint="eastAsia" w:ascii="宋体" w:hAnsi="宋体" w:cs="宋体"/>
          <w:b/>
          <w:color w:val="000000"/>
          <w:sz w:val="24"/>
          <w:szCs w:val="24"/>
        </w:rPr>
        <w:t>投标函</w:t>
      </w:r>
    </w:p>
    <w:p>
      <w:pPr>
        <w:widowControl w:val="0"/>
        <w:snapToGrid w:val="0"/>
        <w:spacing w:line="360" w:lineRule="auto"/>
        <w:rPr>
          <w:rFonts w:hint="eastAsia" w:ascii="宋体" w:hAnsi="宋体" w:cs="宋体"/>
          <w:color w:val="000000"/>
          <w:szCs w:val="21"/>
        </w:rPr>
      </w:pPr>
      <w:r>
        <w:rPr>
          <w:rFonts w:hint="eastAsia" w:ascii="宋体" w:hAnsi="宋体" w:cs="宋体"/>
          <w:b/>
          <w:bCs/>
          <w:color w:val="000000"/>
          <w:szCs w:val="21"/>
        </w:rPr>
        <w:t>致</w:t>
      </w:r>
      <w:r>
        <w:rPr>
          <w:rFonts w:hint="eastAsia" w:ascii="宋体" w:hAnsi="宋体" w:cs="宋体"/>
          <w:b/>
          <w:bCs/>
          <w:color w:val="000000"/>
          <w:szCs w:val="21"/>
          <w:lang w:eastAsia="zh-CN"/>
        </w:rPr>
        <w:t>宁波市海曙区集士港镇人民政府</w:t>
      </w:r>
      <w:r>
        <w:rPr>
          <w:rFonts w:hint="eastAsia" w:ascii="宋体" w:hAnsi="宋体" w:cs="宋体"/>
          <w:b/>
          <w:bCs/>
          <w:color w:val="00000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lang w:eastAsia="zh-CN"/>
        </w:rPr>
        <w:t>秋实快速路（鄞州大道-环城南路）项目（集士港段）拆迁征收第三方服务采购项目</w:t>
      </w:r>
      <w:r>
        <w:rPr>
          <w:rFonts w:hint="eastAsia" w:ascii="宋体" w:hAnsi="宋体" w:cs="宋体"/>
          <w:color w:val="000000"/>
          <w:szCs w:val="21"/>
        </w:rPr>
        <w:t>的公开招标公告（项目编号：</w:t>
      </w:r>
      <w:r>
        <w:rPr>
          <w:rFonts w:hint="eastAsia" w:ascii="宋体" w:hAnsi="宋体" w:cs="宋体"/>
          <w:color w:val="000000"/>
          <w:szCs w:val="21"/>
          <w:u w:val="single"/>
        </w:rPr>
        <w:t xml:space="preserve">          </w:t>
      </w:r>
      <w:r>
        <w:rPr>
          <w:rFonts w:hint="eastAsia" w:ascii="宋体" w:hAnsi="宋体" w:cs="宋体"/>
          <w:color w:val="000000"/>
          <w:szCs w:val="21"/>
        </w:rPr>
        <w:t>），签字代表</w:t>
      </w:r>
      <w:r>
        <w:rPr>
          <w:rFonts w:hint="eastAsia" w:ascii="宋体" w:hAnsi="宋体" w:cs="宋体"/>
          <w:color w:val="000000"/>
          <w:szCs w:val="21"/>
          <w:u w:val="single"/>
        </w:rPr>
        <w:t xml:space="preserve">      </w:t>
      </w:r>
      <w:r>
        <w:rPr>
          <w:rFonts w:hint="eastAsia" w:ascii="宋体" w:hAnsi="宋体" w:cs="宋体"/>
          <w:color w:val="000000"/>
          <w:szCs w:val="21"/>
        </w:rPr>
        <w:t>（全名）经正式授权并代表</w:t>
      </w:r>
      <w:r>
        <w:rPr>
          <w:rFonts w:hint="eastAsia" w:ascii="宋体" w:hAnsi="宋体" w:cs="宋体"/>
          <w:color w:val="000000"/>
          <w:szCs w:val="21"/>
          <w:lang w:val="en-US" w:eastAsia="zh-CN"/>
        </w:rPr>
        <w:t>供应商</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供应商</w:t>
      </w:r>
      <w:r>
        <w:rPr>
          <w:rFonts w:hint="eastAsia" w:ascii="宋体" w:hAnsi="宋体" w:cs="宋体"/>
          <w:color w:val="000000"/>
          <w:szCs w:val="21"/>
          <w:u w:val="single"/>
        </w:rPr>
        <w:t>名称）</w:t>
      </w:r>
      <w:r>
        <w:rPr>
          <w:rFonts w:hint="eastAsia" w:ascii="宋体" w:hAnsi="宋体" w:cs="宋体"/>
          <w:color w:val="000000"/>
          <w:szCs w:val="21"/>
        </w:rPr>
        <w:t>提交电子投标文件</w:t>
      </w:r>
      <w:r>
        <w:rPr>
          <w:rFonts w:hint="eastAsia" w:ascii="宋体" w:hAnsi="宋体" w:cs="宋体"/>
          <w:color w:val="000000"/>
          <w:szCs w:val="21"/>
          <w:u w:val="single"/>
        </w:rPr>
        <w:t xml:space="preserve"> </w:t>
      </w:r>
      <w:r>
        <w:rPr>
          <w:rFonts w:hint="eastAsia" w:ascii="宋体" w:hAnsi="宋体" w:cs="宋体"/>
          <w:b/>
          <w:bCs/>
          <w:color w:val="000000"/>
          <w:szCs w:val="21"/>
          <w:u w:val="single"/>
        </w:rPr>
        <w:t>壹</w:t>
      </w:r>
      <w:r>
        <w:rPr>
          <w:rFonts w:hint="eastAsia" w:ascii="宋体" w:hAnsi="宋体" w:cs="宋体"/>
          <w:color w:val="000000"/>
          <w:szCs w:val="21"/>
          <w:u w:val="single"/>
        </w:rPr>
        <w:t xml:space="preserve"> </w:t>
      </w:r>
      <w:r>
        <w:rPr>
          <w:rFonts w:hint="eastAsia" w:ascii="宋体" w:hAnsi="宋体" w:cs="宋体"/>
          <w:color w:val="000000"/>
          <w:szCs w:val="21"/>
        </w:rPr>
        <w:t>份、电子备份投标文件</w:t>
      </w:r>
      <w:r>
        <w:rPr>
          <w:rFonts w:hint="eastAsia" w:ascii="宋体" w:hAnsi="宋体" w:cs="宋体"/>
          <w:color w:val="000000"/>
          <w:szCs w:val="21"/>
          <w:u w:val="single"/>
        </w:rPr>
        <w:t xml:space="preserve"> </w:t>
      </w:r>
      <w:r>
        <w:rPr>
          <w:rFonts w:hint="eastAsia" w:ascii="宋体" w:hAnsi="宋体" w:cs="宋体"/>
          <w:b/>
          <w:bCs/>
          <w:color w:val="000000"/>
          <w:szCs w:val="21"/>
          <w:u w:val="single"/>
        </w:rPr>
        <w:t>壹</w:t>
      </w:r>
      <w:r>
        <w:rPr>
          <w:rFonts w:hint="eastAsia" w:ascii="宋体" w:hAnsi="宋体" w:cs="宋体"/>
          <w:color w:val="000000"/>
          <w:szCs w:val="21"/>
          <w:u w:val="single"/>
        </w:rPr>
        <w:t xml:space="preserve"> </w:t>
      </w:r>
      <w:r>
        <w:rPr>
          <w:rFonts w:hint="eastAsia" w:ascii="宋体" w:hAnsi="宋体" w:cs="宋体"/>
          <w:color w:val="000000"/>
          <w:szCs w:val="21"/>
        </w:rPr>
        <w:t>份。</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1.据此函，签字代表宣布并承诺：</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（1）我方对招标项目愿以承诺的投标</w:t>
      </w:r>
      <w:r>
        <w:rPr>
          <w:rFonts w:hint="eastAsia" w:ascii="宋体" w:hAnsi="宋体" w:cs="宋体"/>
          <w:color w:val="000000"/>
          <w:szCs w:val="21"/>
          <w:lang w:val="en-US" w:eastAsia="zh-CN"/>
        </w:rPr>
        <w:t>报</w:t>
      </w:r>
      <w:r>
        <w:rPr>
          <w:rFonts w:hint="eastAsia" w:ascii="宋体" w:hAnsi="宋体" w:cs="宋体"/>
          <w:color w:val="000000"/>
          <w:szCs w:val="21"/>
        </w:rPr>
        <w:t>价承担采购文件规定内容的服务。</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（2）本报价已经包含了所提供服务应纳的税金及采购文件规定的报价方式应包含的其它费用。本报价在投标有效期内固定不变，并在合同有效期内不受市场价变化的影响。</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（3）本投标自开标之日起</w:t>
      </w:r>
      <w:r>
        <w:rPr>
          <w:rFonts w:hint="eastAsia" w:ascii="宋体" w:hAnsi="宋体" w:cs="宋体"/>
          <w:color w:val="000000"/>
          <w:szCs w:val="21"/>
          <w:u w:val="single"/>
        </w:rPr>
        <w:t xml:space="preserve">     </w:t>
      </w:r>
      <w:r>
        <w:rPr>
          <w:rFonts w:hint="eastAsia" w:ascii="宋体" w:hAnsi="宋体" w:cs="宋体"/>
          <w:color w:val="000000"/>
          <w:szCs w:val="21"/>
        </w:rPr>
        <w:t>天内有效。</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（4）我们已详细审查全部招标文件及有关的澄清/修改文件(如有)，我们完全理解并同意放弃对这方面提出任何异议的权利。保证遵守招标文件有关条款规定。</w:t>
      </w:r>
    </w:p>
    <w:p>
      <w:pPr>
        <w:pStyle w:val="3"/>
        <w:keepNext w:val="0"/>
        <w:keepLines w:val="0"/>
        <w:pageBreakBefore w:val="0"/>
        <w:widowControl w:val="0"/>
        <w:tabs>
          <w:tab w:val="left" w:pos="993"/>
        </w:tabs>
        <w:kinsoku/>
        <w:wordWrap/>
        <w:overflowPunct/>
        <w:topLinePunct w:val="0"/>
        <w:autoSpaceDE/>
        <w:autoSpaceDN/>
        <w:bidi w:val="0"/>
        <w:snapToGrid w:val="0"/>
        <w:spacing w:after="0" w:afterLines="0" w:line="360" w:lineRule="auto"/>
        <w:ind w:left="0" w:leftChars="0" w:firstLine="420" w:firstLineChars="200"/>
        <w:jc w:val="both"/>
        <w:textAlignment w:val="auto"/>
        <w:rPr>
          <w:rFonts w:hint="eastAsia" w:ascii="宋体" w:hAnsi="宋体" w:cs="宋体"/>
          <w:color w:val="000000"/>
          <w:szCs w:val="21"/>
        </w:rPr>
      </w:pPr>
      <w:r>
        <w:rPr>
          <w:rFonts w:hint="eastAsia" w:ascii="宋体" w:hAnsi="宋体" w:cs="宋体"/>
          <w:color w:val="000000"/>
          <w:szCs w:val="21"/>
        </w:rPr>
        <w:t>（5）保证在中标后忠实地执行与采购人所签署的合同，并承担合同规定的责任义务。保证在中标后按照招标文件的规定支付采购代理服务费。</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cs="宋体"/>
        </w:rPr>
      </w:pPr>
      <w:r>
        <w:rPr>
          <w:rFonts w:hint="eastAsia" w:ascii="宋体" w:hAnsi="宋体" w:cs="宋体"/>
        </w:rPr>
        <w:t>2.供应商同意按照贵方要求提供与投标有关的一切数据或资料。</w:t>
      </w:r>
    </w:p>
    <w:p>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cs="宋体"/>
        </w:rPr>
      </w:pPr>
      <w:r>
        <w:rPr>
          <w:rFonts w:hint="eastAsia" w:ascii="宋体" w:hAnsi="宋体" w:cs="宋体"/>
        </w:rPr>
        <w:t>3.我们郑重声明：本投标文件提供的情况和文件完全是真实的。</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4.与本投标有关的一切正式往来信函请寄：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 xml:space="preserve">供应商名称（加盖公章）： </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邮编：__________   </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传真：__________</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u w:val="single"/>
        </w:rPr>
      </w:pPr>
      <w:r>
        <w:rPr>
          <w:rFonts w:hint="eastAsia" w:ascii="宋体" w:hAnsi="宋体" w:cs="宋体"/>
          <w:color w:val="000000"/>
          <w:szCs w:val="21"/>
        </w:rPr>
        <w:t>电子邮箱：</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rPr>
          <w:rFonts w:hint="eastAsia" w:ascii="宋体" w:hAnsi="宋体" w:cs="宋体"/>
          <w:color w:val="000000"/>
          <w:szCs w:val="21"/>
          <w:u w:val="single"/>
        </w:rPr>
      </w:pPr>
      <w:r>
        <w:rPr>
          <w:rFonts w:hint="eastAsia" w:ascii="宋体" w:hAnsi="宋体" w:cs="宋体"/>
          <w:color w:val="000000"/>
          <w:szCs w:val="21"/>
          <w:lang w:val="en-US" w:eastAsia="zh-CN"/>
        </w:rPr>
        <w:t>供应商</w:t>
      </w:r>
      <w:r>
        <w:rPr>
          <w:rFonts w:hint="eastAsia" w:ascii="宋体" w:hAnsi="宋体" w:cs="宋体"/>
          <w:color w:val="000000"/>
          <w:szCs w:val="21"/>
        </w:rPr>
        <w:t>代表姓名 ___________  职务：</w:t>
      </w:r>
      <w:r>
        <w:rPr>
          <w:rFonts w:hint="eastAsia" w:ascii="宋体" w:hAnsi="宋体" w:cs="宋体"/>
          <w:color w:val="000000"/>
          <w:szCs w:val="21"/>
          <w:u w:val="single"/>
        </w:rPr>
        <w:t xml:space="preserve">              </w:t>
      </w:r>
    </w:p>
    <w:p>
      <w:pPr>
        <w:widowControl w:val="0"/>
        <w:snapToGrid w:val="0"/>
        <w:spacing w:line="360" w:lineRule="auto"/>
        <w:ind w:firstLine="420" w:firstLineChars="200"/>
        <w:jc w:val="both"/>
        <w:rPr>
          <w:rFonts w:hint="eastAsia" w:ascii="宋体" w:hAnsi="宋体" w:cs="宋体"/>
          <w:color w:val="000000"/>
          <w:szCs w:val="21"/>
        </w:rPr>
      </w:pPr>
    </w:p>
    <w:p>
      <w:pPr>
        <w:widowControl w:val="0"/>
        <w:snapToGrid w:val="0"/>
        <w:spacing w:line="360" w:lineRule="auto"/>
        <w:ind w:firstLine="420" w:firstLineChars="200"/>
        <w:jc w:val="both"/>
        <w:rPr>
          <w:rFonts w:hint="eastAsia"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 xml:space="preserve">                         法定代表人或其委托代理人（签字或盖章）：</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cs="宋体"/>
          <w:color w:val="000000"/>
          <w:szCs w:val="21"/>
        </w:rPr>
      </w:pPr>
      <w:r>
        <w:rPr>
          <w:rFonts w:hint="eastAsia" w:ascii="宋体" w:hAnsi="宋体" w:cs="宋体"/>
          <w:color w:val="000000"/>
          <w:szCs w:val="21"/>
        </w:rPr>
        <w:t xml:space="preserve">                         日期：_____年___月___日</w:t>
      </w:r>
    </w:p>
    <w:p>
      <w:pPr>
        <w:snapToGrid w:val="0"/>
        <w:spacing w:line="440" w:lineRule="exact"/>
        <w:rPr>
          <w:rFonts w:hint="eastAsia" w:ascii="宋体" w:hAnsi="宋体" w:cs="宋体"/>
          <w:color w:val="000000"/>
          <w:sz w:val="24"/>
          <w:szCs w:val="24"/>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3" w:name="_Toc11347"/>
      <w:bookmarkStart w:id="54" w:name="_Toc6495"/>
      <w:bookmarkStart w:id="55" w:name="_Toc5981"/>
      <w:r>
        <w:rPr>
          <w:rFonts w:hint="eastAsia" w:ascii="宋体" w:hAnsi="宋体" w:eastAsia="宋体" w:cs="宋体"/>
          <w:b/>
          <w:bCs/>
          <w:sz w:val="24"/>
          <w:szCs w:val="22"/>
          <w:lang w:val="en-US" w:eastAsia="zh-CN" w:bidi="ar-SA"/>
        </w:rPr>
        <w:t>7.法定代表人身份证明、法定代表人授权委托书</w:t>
      </w:r>
      <w:bookmarkEnd w:id="53"/>
      <w:bookmarkEnd w:id="54"/>
      <w:bookmarkEnd w:id="55"/>
    </w:p>
    <w:p>
      <w:pPr>
        <w:snapToGrid w:val="0"/>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法定代表人身份证明</w:t>
      </w:r>
    </w:p>
    <w:p>
      <w:pPr>
        <w:snapToGrid w:val="0"/>
        <w:spacing w:line="440" w:lineRule="exact"/>
        <w:jc w:val="center"/>
        <w:rPr>
          <w:rFonts w:hint="eastAsia" w:ascii="宋体" w:hAnsi="宋体" w:cs="宋体"/>
          <w:b/>
          <w:color w:val="000000"/>
          <w:szCs w:val="21"/>
        </w:rPr>
      </w:pPr>
      <w:r>
        <w:rPr>
          <w:rFonts w:hint="eastAsia" w:ascii="宋体" w:hAnsi="宋体" w:cs="宋体"/>
          <w:b/>
          <w:color w:val="000000"/>
          <w:szCs w:val="21"/>
        </w:rPr>
        <w:t>（适用于法定代表人来投标）</w:t>
      </w:r>
    </w:p>
    <w:p>
      <w:pPr>
        <w:snapToGrid w:val="0"/>
        <w:spacing w:line="440" w:lineRule="exact"/>
        <w:jc w:val="center"/>
        <w:rPr>
          <w:rFonts w:hint="eastAsia" w:ascii="宋体" w:hAnsi="宋体" w:cs="宋体"/>
          <w:b/>
          <w:color w:val="000000"/>
          <w:szCs w:val="21"/>
        </w:rPr>
      </w:pP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单位性质：</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成立时间：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经营期限：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周岁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_</w:t>
      </w:r>
    </w:p>
    <w:p>
      <w:pPr>
        <w:widowControl w:val="0"/>
        <w:wordWrap w:val="0"/>
        <w:topLinePunct/>
        <w:snapToGrid w:val="0"/>
        <w:spacing w:line="360"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身份证号码：</w:t>
      </w:r>
      <w:r>
        <w:rPr>
          <w:rFonts w:hint="eastAsia" w:ascii="宋体" w:hAnsi="宋体" w:cs="宋体"/>
          <w:color w:val="000000"/>
          <w:sz w:val="24"/>
          <w:szCs w:val="24"/>
          <w:u w:val="single"/>
        </w:rPr>
        <w:t xml:space="preserve">                   </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w:t>
      </w:r>
    </w:p>
    <w:p>
      <w:pPr>
        <w:widowControl w:val="0"/>
        <w:wordWrap w:val="0"/>
        <w:topLinePunct/>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特此证明。</w:t>
      </w:r>
    </w:p>
    <w:p>
      <w:pPr>
        <w:wordWrap w:val="0"/>
        <w:topLinePunct/>
        <w:snapToGrid w:val="0"/>
        <w:spacing w:line="440" w:lineRule="exact"/>
        <w:ind w:firstLine="420" w:firstLineChars="200"/>
        <w:rPr>
          <w:rFonts w:hint="eastAsia" w:ascii="宋体" w:hAnsi="宋体" w:cs="宋体"/>
          <w:color w:val="000000"/>
          <w:szCs w:val="21"/>
        </w:rPr>
      </w:pPr>
    </w:p>
    <w:p>
      <w:pPr>
        <w:wordWrap w:val="0"/>
        <w:topLinePunct/>
        <w:snapToGrid w:val="0"/>
        <w:spacing w:line="440" w:lineRule="exact"/>
        <w:ind w:firstLine="420" w:firstLineChars="200"/>
        <w:rPr>
          <w:rFonts w:hint="eastAsia" w:ascii="宋体" w:hAnsi="宋体" w:cs="宋体"/>
          <w:color w:val="000000"/>
          <w:szCs w:val="21"/>
        </w:rPr>
      </w:pPr>
    </w:p>
    <w:p>
      <w:pPr>
        <w:wordWrap w:val="0"/>
        <w:topLinePunct/>
        <w:snapToGrid w:val="0"/>
        <w:spacing w:line="440" w:lineRule="exact"/>
        <w:jc w:val="right"/>
        <w:rPr>
          <w:rFonts w:hint="eastAsia" w:ascii="宋体" w:hAnsi="宋体" w:cs="宋体"/>
          <w:color w:val="000000"/>
          <w:sz w:val="24"/>
          <w:szCs w:val="24"/>
        </w:rPr>
      </w:pPr>
      <w:r>
        <w:rPr>
          <w:rFonts w:hint="eastAsia" w:ascii="宋体" w:hAnsi="宋体" w:cs="宋体"/>
          <w:color w:val="000000"/>
          <w:sz w:val="24"/>
          <w:szCs w:val="24"/>
        </w:rPr>
        <w:t>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wordWrap w:val="0"/>
        <w:topLinePunct/>
        <w:snapToGrid w:val="0"/>
        <w:spacing w:line="440" w:lineRule="exact"/>
        <w:ind w:firstLine="5160" w:firstLineChars="2150"/>
        <w:rPr>
          <w:rFonts w:hint="eastAsia" w:ascii="宋体" w:hAnsi="宋体" w:cs="宋体"/>
          <w:color w:val="000000"/>
          <w:sz w:val="24"/>
          <w:szCs w:val="24"/>
          <w:u w:val="single"/>
        </w:rPr>
      </w:pPr>
    </w:p>
    <w:p>
      <w:pPr>
        <w:wordWrap w:val="0"/>
        <w:topLinePunct/>
        <w:snapToGrid w:val="0"/>
        <w:spacing w:line="440" w:lineRule="exact"/>
        <w:ind w:firstLine="4200" w:firstLineChars="175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napToGrid w:val="0"/>
        <w:spacing w:line="440" w:lineRule="exact"/>
        <w:rPr>
          <w:rFonts w:hint="eastAsia" w:ascii="宋体" w:hAnsi="宋体" w:cs="宋体"/>
          <w:color w:val="000000"/>
          <w:szCs w:val="21"/>
        </w:rPr>
      </w:pPr>
    </w:p>
    <w:p>
      <w:pPr>
        <w:snapToGrid w:val="0"/>
        <w:spacing w:line="440" w:lineRule="exact"/>
        <w:rPr>
          <w:rFonts w:hint="eastAsia" w:ascii="宋体" w:hAnsi="宋体" w:cs="宋体"/>
          <w:b/>
          <w:color w:val="000000"/>
          <w:szCs w:val="21"/>
        </w:rPr>
      </w:pPr>
    </w:p>
    <w:p>
      <w:pPr>
        <w:snapToGrid w:val="0"/>
        <w:spacing w:line="440" w:lineRule="exact"/>
        <w:rPr>
          <w:rFonts w:hint="eastAsia" w:ascii="宋体" w:hAnsi="宋体" w:cs="宋体"/>
          <w:b/>
          <w:color w:val="000000"/>
          <w:szCs w:val="21"/>
        </w:rPr>
      </w:pPr>
    </w:p>
    <w:p>
      <w:pPr>
        <w:widowControl w:val="0"/>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注：后附法定代表人的身份证复印件（正反两面）。</w:t>
      </w:r>
    </w:p>
    <w:p>
      <w:pPr>
        <w:widowControl w:val="0"/>
        <w:snapToGrid w:val="0"/>
        <w:spacing w:line="360" w:lineRule="auto"/>
        <w:ind w:firstLine="420" w:firstLineChars="200"/>
        <w:rPr>
          <w:rFonts w:hint="eastAsia" w:ascii="宋体" w:hAnsi="宋体" w:cs="宋体"/>
          <w:color w:val="000000"/>
          <w:szCs w:val="21"/>
        </w:rPr>
      </w:pPr>
    </w:p>
    <w:p>
      <w:pPr>
        <w:snapToGrid w:val="0"/>
        <w:spacing w:line="440" w:lineRule="exact"/>
        <w:rPr>
          <w:rFonts w:hint="eastAsia" w:ascii="宋体" w:hAnsi="宋体" w:cs="宋体"/>
          <w:b/>
          <w:color w:val="000000"/>
          <w:sz w:val="24"/>
          <w:szCs w:val="24"/>
        </w:rPr>
      </w:pPr>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color w:val="000000"/>
          <w:sz w:val="24"/>
          <w:szCs w:val="24"/>
        </w:rPr>
        <w:br w:type="page"/>
      </w:r>
      <w:r>
        <w:rPr>
          <w:rFonts w:hint="eastAsia" w:ascii="宋体" w:hAnsi="宋体" w:cs="宋体"/>
          <w:b/>
          <w:color w:val="000000"/>
          <w:sz w:val="24"/>
          <w:szCs w:val="24"/>
        </w:rPr>
        <w:t>法定代表人授权委托书</w:t>
      </w:r>
    </w:p>
    <w:p>
      <w:pPr>
        <w:widowControl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（适用于授权委托代表来投标）</w:t>
      </w:r>
    </w:p>
    <w:p>
      <w:pPr>
        <w:widowControl w:val="0"/>
        <w:snapToGrid w:val="0"/>
        <w:spacing w:line="360" w:lineRule="auto"/>
        <w:rPr>
          <w:rFonts w:hint="eastAsia" w:ascii="宋体" w:hAnsi="宋体" w:cs="宋体"/>
          <w:b/>
          <w:bCs/>
          <w:color w:val="000000"/>
          <w:sz w:val="24"/>
          <w:szCs w:val="24"/>
        </w:rPr>
      </w:pPr>
      <w:r>
        <w:rPr>
          <w:rFonts w:hint="eastAsia" w:ascii="宋体" w:hAnsi="宋体" w:cs="宋体"/>
          <w:b/>
          <w:color w:val="000000"/>
          <w:sz w:val="24"/>
          <w:szCs w:val="24"/>
        </w:rPr>
        <w:t>致</w:t>
      </w:r>
      <w:r>
        <w:rPr>
          <w:rFonts w:hint="eastAsia" w:ascii="宋体" w:hAnsi="宋体" w:cs="宋体"/>
          <w:b/>
          <w:color w:val="000000"/>
          <w:sz w:val="24"/>
          <w:szCs w:val="24"/>
          <w:lang w:eastAsia="zh-CN"/>
        </w:rPr>
        <w:t>宁波市海曙区集士港镇人民政府</w:t>
      </w:r>
      <w:r>
        <w:rPr>
          <w:rFonts w:hint="eastAsia" w:ascii="宋体" w:hAnsi="宋体" w:cs="宋体"/>
          <w:b/>
          <w:color w:val="000000"/>
          <w:sz w:val="24"/>
          <w:szCs w:val="24"/>
        </w:rPr>
        <w:t>：</w:t>
      </w:r>
    </w:p>
    <w:p>
      <w:pPr>
        <w:widowControl w:val="0"/>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 xml:space="preserve">我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（姓名）系</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（供应商名称）的法定代表人，现授权委托本单位在职职工</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（姓名）以我方的名义参加</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项目的投标活动，并代表我方全权办理针对上述项目的投标、开标、评标、签约等具体事务和签署相关文件。</w:t>
      </w:r>
    </w:p>
    <w:p>
      <w:pPr>
        <w:widowControl w:val="0"/>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我方对被授权人的签名事项负全部责任。</w:t>
      </w:r>
    </w:p>
    <w:p>
      <w:pPr>
        <w:widowControl w:val="0"/>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u w:val="single"/>
        </w:rPr>
        <w:t>在撤销授权的书面通知以前，本授权书一直有效。</w:t>
      </w:r>
      <w:r>
        <w:rPr>
          <w:rFonts w:hint="eastAsia" w:ascii="宋体" w:hAnsi="宋体" w:cs="宋体"/>
          <w:color w:val="000000"/>
          <w:sz w:val="24"/>
          <w:szCs w:val="24"/>
        </w:rPr>
        <w:t>被授权人在授权书有效期内签署的所有文件不因授权的撤销而失效。</w:t>
      </w:r>
    </w:p>
    <w:p>
      <w:pPr>
        <w:widowControl w:val="0"/>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被授权人无转委托权，特此委托。</w:t>
      </w:r>
    </w:p>
    <w:p>
      <w:pPr>
        <w:widowControl w:val="0"/>
        <w:snapToGrid w:val="0"/>
        <w:spacing w:line="360" w:lineRule="auto"/>
        <w:ind w:firstLine="480" w:firstLineChars="200"/>
        <w:jc w:val="both"/>
        <w:rPr>
          <w:rFonts w:hint="eastAsia" w:ascii="宋体" w:hAnsi="宋体" w:cs="宋体"/>
          <w:color w:val="000000"/>
          <w:sz w:val="24"/>
          <w:szCs w:val="24"/>
        </w:rPr>
      </w:pPr>
    </w:p>
    <w:p>
      <w:pPr>
        <w:widowControl w:val="0"/>
        <w:wordWrap w:val="0"/>
        <w:topLinePunct/>
        <w:snapToGrid w:val="0"/>
        <w:spacing w:line="360" w:lineRule="auto"/>
        <w:ind w:firstLine="480" w:firstLineChars="200"/>
        <w:jc w:val="both"/>
        <w:rPr>
          <w:rFonts w:hint="eastAsia" w:ascii="宋体" w:hAnsi="宋体" w:cs="宋体"/>
          <w:color w:val="000000"/>
          <w:sz w:val="24"/>
          <w:szCs w:val="24"/>
          <w:u w:val="single"/>
        </w:rPr>
      </w:pPr>
      <w:r>
        <w:rPr>
          <w:rFonts w:hint="eastAsia" w:ascii="宋体" w:hAnsi="宋体" w:cs="宋体"/>
          <w:color w:val="000000"/>
          <w:sz w:val="24"/>
          <w:szCs w:val="24"/>
        </w:rPr>
        <w:t>被授权人签名：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法定代表人（签名或盖章）：</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widowControl w:val="0"/>
        <w:wordWrap w:val="0"/>
        <w:topLinePunct/>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widowControl w:val="0"/>
        <w:wordWrap w:val="0"/>
        <w:topLinePunct/>
        <w:snapToGrid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被授权人身份证号码：</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widowControl w:val="0"/>
        <w:wordWrap w:val="0"/>
        <w:topLinePunct/>
        <w:snapToGrid w:val="0"/>
        <w:spacing w:line="360" w:lineRule="auto"/>
        <w:ind w:firstLine="480" w:firstLineChars="200"/>
        <w:jc w:val="both"/>
        <w:rPr>
          <w:rFonts w:hint="eastAsia" w:ascii="宋体" w:hAnsi="宋体" w:cs="宋体"/>
          <w:color w:val="000000"/>
          <w:sz w:val="24"/>
          <w:szCs w:val="24"/>
        </w:rPr>
      </w:pPr>
    </w:p>
    <w:p>
      <w:pPr>
        <w:pStyle w:val="6"/>
        <w:rPr>
          <w:rFonts w:hint="eastAsia" w:ascii="宋体" w:hAnsi="宋体" w:cs="宋体"/>
          <w:color w:val="000000"/>
          <w:sz w:val="24"/>
          <w:szCs w:val="24"/>
        </w:rPr>
      </w:pPr>
    </w:p>
    <w:p>
      <w:pPr>
        <w:rPr>
          <w:rFonts w:hint="eastAsia" w:ascii="宋体" w:hAnsi="宋体" w:cs="宋体"/>
          <w:color w:val="000000"/>
          <w:sz w:val="24"/>
          <w:szCs w:val="24"/>
        </w:rPr>
      </w:pPr>
    </w:p>
    <w:p>
      <w:pPr>
        <w:pStyle w:val="6"/>
        <w:rPr>
          <w:rFonts w:hint="eastAsia"/>
        </w:rPr>
      </w:pPr>
    </w:p>
    <w:p>
      <w:pPr>
        <w:widowControl w:val="0"/>
        <w:wordWrap w:val="0"/>
        <w:topLinePunct/>
        <w:snapToGrid w:val="0"/>
        <w:spacing w:line="360"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供应商名称（加盖公章）：</w:t>
      </w:r>
    </w:p>
    <w:p>
      <w:pPr>
        <w:widowControl w:val="0"/>
        <w:wordWrap w:val="0"/>
        <w:topLinePunct/>
        <w:snapToGrid w:val="0"/>
        <w:spacing w:line="360" w:lineRule="auto"/>
        <w:ind w:firstLine="6240" w:firstLineChars="2600"/>
        <w:jc w:val="both"/>
        <w:rPr>
          <w:rFonts w:hint="eastAsia" w:ascii="宋体" w:hAnsi="宋体" w:cs="宋体"/>
          <w:color w:val="000000"/>
          <w:sz w:val="24"/>
          <w:szCs w:val="24"/>
        </w:rPr>
      </w:pPr>
      <w:r>
        <w:rPr>
          <w:rFonts w:hint="eastAsia" w:ascii="宋体" w:hAnsi="宋体" w:cs="宋体"/>
          <w:color w:val="000000"/>
          <w:sz w:val="24"/>
          <w:szCs w:val="24"/>
        </w:rPr>
        <w:t>年    月    日</w:t>
      </w:r>
    </w:p>
    <w:p>
      <w:pPr>
        <w:snapToGrid w:val="0"/>
        <w:spacing w:line="440" w:lineRule="exact"/>
        <w:ind w:firstLine="3150" w:firstLineChars="1500"/>
        <w:rPr>
          <w:rFonts w:hint="eastAsia" w:ascii="宋体" w:hAnsi="宋体" w:cs="宋体"/>
          <w:color w:val="000000"/>
          <w:szCs w:val="21"/>
        </w:rPr>
      </w:pPr>
    </w:p>
    <w:p>
      <w:pPr>
        <w:snapToGrid w:val="0"/>
        <w:spacing w:line="440" w:lineRule="exact"/>
        <w:rPr>
          <w:rFonts w:hint="eastAsia" w:ascii="宋体" w:hAnsi="宋体" w:cs="宋体"/>
          <w:color w:val="000000"/>
          <w:sz w:val="24"/>
          <w:szCs w:val="24"/>
        </w:rPr>
      </w:pPr>
    </w:p>
    <w:p>
      <w:pPr>
        <w:snapToGrid w:val="0"/>
        <w:spacing w:line="440" w:lineRule="exact"/>
        <w:rPr>
          <w:rFonts w:hint="eastAsia" w:ascii="宋体" w:hAnsi="宋体" w:cs="宋体"/>
          <w:color w:val="000000"/>
          <w:sz w:val="24"/>
          <w:szCs w:val="24"/>
        </w:rPr>
      </w:pPr>
    </w:p>
    <w:p>
      <w:pPr>
        <w:snapToGrid w:val="0"/>
        <w:spacing w:line="440" w:lineRule="exact"/>
        <w:rPr>
          <w:rFonts w:hint="eastAsia" w:ascii="宋体" w:hAnsi="宋体" w:cs="宋体"/>
          <w:color w:val="000000"/>
          <w:sz w:val="24"/>
          <w:szCs w:val="24"/>
        </w:rPr>
      </w:pPr>
    </w:p>
    <w:p>
      <w:pPr>
        <w:snapToGrid w:val="0"/>
        <w:spacing w:line="440" w:lineRule="exact"/>
        <w:rPr>
          <w:rFonts w:hint="eastAsia" w:ascii="宋体" w:hAnsi="宋体" w:cs="宋体"/>
          <w:b/>
          <w:color w:val="000000"/>
          <w:szCs w:val="21"/>
        </w:rPr>
      </w:pPr>
      <w:r>
        <w:rPr>
          <w:rFonts w:hint="eastAsia" w:ascii="宋体" w:hAnsi="宋体" w:cs="宋体"/>
          <w:b/>
          <w:color w:val="000000"/>
          <w:szCs w:val="21"/>
        </w:rPr>
        <w:t>注：后附法定代表人和被授权人的身份证复印件（正反两面）。</w:t>
      </w:r>
    </w:p>
    <w:p>
      <w:pPr>
        <w:pStyle w:val="5"/>
        <w:snapToGrid w:val="0"/>
        <w:spacing w:before="0" w:after="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6" w:name="_Toc10075"/>
      <w:bookmarkStart w:id="57" w:name="_Toc23443"/>
      <w:bookmarkStart w:id="58" w:name="_Toc20666"/>
      <w:r>
        <w:rPr>
          <w:rFonts w:hint="eastAsia" w:ascii="宋体" w:hAnsi="宋体" w:eastAsia="宋体" w:cs="宋体"/>
          <w:b/>
          <w:bCs/>
          <w:sz w:val="24"/>
          <w:szCs w:val="22"/>
          <w:lang w:val="en-US" w:eastAsia="zh-CN" w:bidi="ar-SA"/>
        </w:rPr>
        <w:t>8.供应商基本情况表</w:t>
      </w:r>
      <w:bookmarkEnd w:id="56"/>
      <w:bookmarkEnd w:id="57"/>
      <w:bookmarkEnd w:id="58"/>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供应商基本情况表</w:t>
      </w:r>
    </w:p>
    <w:tbl>
      <w:tblPr>
        <w:tblStyle w:val="49"/>
        <w:tblW w:w="8244"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908"/>
        <w:gridCol w:w="8"/>
        <w:gridCol w:w="1561"/>
        <w:gridCol w:w="952"/>
        <w:gridCol w:w="307"/>
        <w:gridCol w:w="20"/>
        <w:gridCol w:w="1001"/>
        <w:gridCol w:w="9"/>
        <w:gridCol w:w="500"/>
        <w:gridCol w:w="26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单位名称</w:t>
            </w:r>
          </w:p>
        </w:tc>
        <w:tc>
          <w:tcPr>
            <w:tcW w:w="6603" w:type="dxa"/>
            <w:gridSpan w:val="11"/>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注册地址</w:t>
            </w:r>
          </w:p>
        </w:tc>
        <w:tc>
          <w:tcPr>
            <w:tcW w:w="3736" w:type="dxa"/>
            <w:gridSpan w:val="5"/>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邮政编码</w:t>
            </w:r>
          </w:p>
        </w:tc>
        <w:tc>
          <w:tcPr>
            <w:tcW w:w="1846"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vMerge w:val="restart"/>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联系方式</w:t>
            </w:r>
          </w:p>
        </w:tc>
        <w:tc>
          <w:tcPr>
            <w:tcW w:w="90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联系人</w:t>
            </w:r>
          </w:p>
        </w:tc>
        <w:tc>
          <w:tcPr>
            <w:tcW w:w="2828"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电话</w:t>
            </w:r>
          </w:p>
        </w:tc>
        <w:tc>
          <w:tcPr>
            <w:tcW w:w="1846"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0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传真</w:t>
            </w:r>
          </w:p>
        </w:tc>
        <w:tc>
          <w:tcPr>
            <w:tcW w:w="2828"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网址</w:t>
            </w:r>
          </w:p>
        </w:tc>
        <w:tc>
          <w:tcPr>
            <w:tcW w:w="1846" w:type="dxa"/>
            <w:gridSpan w:val="4"/>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组织结构</w:t>
            </w:r>
          </w:p>
        </w:tc>
        <w:tc>
          <w:tcPr>
            <w:tcW w:w="6603" w:type="dxa"/>
            <w:gridSpan w:val="11"/>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法定代表人</w:t>
            </w:r>
          </w:p>
        </w:tc>
        <w:tc>
          <w:tcPr>
            <w:tcW w:w="916"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姓名</w:t>
            </w:r>
          </w:p>
        </w:tc>
        <w:tc>
          <w:tcPr>
            <w:tcW w:w="156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279"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技术职称</w:t>
            </w:r>
          </w:p>
        </w:tc>
        <w:tc>
          <w:tcPr>
            <w:tcW w:w="1010"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768"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电话</w:t>
            </w:r>
          </w:p>
        </w:tc>
        <w:tc>
          <w:tcPr>
            <w:tcW w:w="1069"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技术负责人</w:t>
            </w:r>
          </w:p>
        </w:tc>
        <w:tc>
          <w:tcPr>
            <w:tcW w:w="916"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姓名</w:t>
            </w:r>
          </w:p>
        </w:tc>
        <w:tc>
          <w:tcPr>
            <w:tcW w:w="156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279"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技术职称</w:t>
            </w:r>
          </w:p>
        </w:tc>
        <w:tc>
          <w:tcPr>
            <w:tcW w:w="1010"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768"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电话</w:t>
            </w:r>
          </w:p>
        </w:tc>
        <w:tc>
          <w:tcPr>
            <w:tcW w:w="1069"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成立时间</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4126" w:type="dxa"/>
            <w:gridSpan w:val="8"/>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企业资质等级</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restart"/>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其中</w:t>
            </w: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高级职称人员</w:t>
            </w:r>
          </w:p>
        </w:tc>
        <w:tc>
          <w:tcPr>
            <w:tcW w:w="1337"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营业执照号</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中级职称人员</w:t>
            </w:r>
          </w:p>
        </w:tc>
        <w:tc>
          <w:tcPr>
            <w:tcW w:w="1337"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注册资金</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初级职称人员</w:t>
            </w:r>
          </w:p>
        </w:tc>
        <w:tc>
          <w:tcPr>
            <w:tcW w:w="1337" w:type="dxa"/>
            <w:gridSpan w:val="2"/>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开户银行</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837" w:type="dxa"/>
            <w:gridSpan w:val="5"/>
            <w:vMerge w:val="restart"/>
            <w:noWrap w:val="0"/>
            <w:tcMar>
              <w:left w:w="28" w:type="dxa"/>
              <w:right w:w="28" w:type="dxa"/>
            </w:tcMar>
            <w:vAlign w:val="center"/>
          </w:tcPr>
          <w:p>
            <w:pPr>
              <w:snapToGrid w:val="0"/>
              <w:spacing w:line="44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其他人员</w:t>
            </w:r>
          </w:p>
        </w:tc>
        <w:tc>
          <w:tcPr>
            <w:tcW w:w="1337" w:type="dxa"/>
            <w:gridSpan w:val="2"/>
            <w:vMerge w:val="restart"/>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账号</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837" w:type="dxa"/>
            <w:gridSpan w:val="5"/>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337" w:type="dxa"/>
            <w:gridSpan w:val="2"/>
            <w:vMerge w:val="continue"/>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经营范围</w:t>
            </w:r>
          </w:p>
        </w:tc>
        <w:tc>
          <w:tcPr>
            <w:tcW w:w="6603" w:type="dxa"/>
            <w:gridSpan w:val="11"/>
            <w:noWrap w:val="0"/>
            <w:tcMar>
              <w:left w:w="28" w:type="dxa"/>
              <w:right w:w="28" w:type="dxa"/>
            </w:tcMar>
            <w:vAlign w:val="center"/>
          </w:tcPr>
          <w:p>
            <w:pPr>
              <w:snapToGrid w:val="0"/>
              <w:spacing w:line="44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41"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备注</w:t>
            </w:r>
          </w:p>
        </w:tc>
        <w:tc>
          <w:tcPr>
            <w:tcW w:w="6603" w:type="dxa"/>
            <w:gridSpan w:val="11"/>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bl>
    <w:p>
      <w:pPr>
        <w:snapToGrid w:val="0"/>
        <w:spacing w:line="440" w:lineRule="exact"/>
        <w:rPr>
          <w:rFonts w:hint="eastAsia" w:ascii="宋体" w:hAnsi="宋体" w:cs="宋体"/>
          <w:color w:val="000000"/>
          <w:sz w:val="24"/>
          <w:szCs w:val="24"/>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9" w:name="_Toc22221"/>
      <w:bookmarkStart w:id="60" w:name="_Toc433039358"/>
      <w:bookmarkStart w:id="61" w:name="_Toc20894"/>
      <w:bookmarkStart w:id="62" w:name="_Toc18454"/>
      <w:r>
        <w:rPr>
          <w:rFonts w:hint="eastAsia" w:ascii="宋体" w:hAnsi="宋体" w:eastAsia="宋体" w:cs="宋体"/>
          <w:b/>
          <w:bCs/>
          <w:sz w:val="24"/>
          <w:szCs w:val="22"/>
          <w:lang w:val="en-US" w:eastAsia="zh-CN" w:bidi="ar-SA"/>
        </w:rPr>
        <w:t>9.政府采购统计基础信息表</w:t>
      </w:r>
      <w:bookmarkEnd w:id="59"/>
      <w:bookmarkEnd w:id="60"/>
      <w:bookmarkEnd w:id="61"/>
      <w:bookmarkEnd w:id="62"/>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政府采购统计基础信息表</w:t>
      </w:r>
    </w:p>
    <w:tbl>
      <w:tblPr>
        <w:tblStyle w:val="49"/>
        <w:tblW w:w="8239" w:type="dxa"/>
        <w:tblInd w:w="108" w:type="dxa"/>
        <w:tblLayout w:type="fixed"/>
        <w:tblCellMar>
          <w:top w:w="0" w:type="dxa"/>
          <w:left w:w="108" w:type="dxa"/>
          <w:bottom w:w="0" w:type="dxa"/>
          <w:right w:w="108" w:type="dxa"/>
        </w:tblCellMar>
      </w:tblPr>
      <w:tblGrid>
        <w:gridCol w:w="4947"/>
        <w:gridCol w:w="3292"/>
      </w:tblGrid>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采购人及采购项目名称</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投（中）标单位名称</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是否国内企业</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是否宁波企业</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企业划分标准类型（大型、中型、小型、微型）</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提供的货物是否本企业制造</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货物原产地是否是中国境内</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货物原产地是否是宁波</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是节能清单产品</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提供的货物是否是环境标志清单产品</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承担的工程或服务是否本企业提供</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4" w:firstLineChars="200"/>
              <w:jc w:val="center"/>
              <w:rPr>
                <w:rFonts w:hint="eastAsia" w:ascii="宋体" w:hAnsi="宋体" w:cs="宋体"/>
                <w:color w:val="000000"/>
                <w:spacing w:val="6"/>
                <w:szCs w:val="21"/>
              </w:rPr>
            </w:pP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本项目预算</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6" w:firstLineChars="200"/>
              <w:jc w:val="center"/>
              <w:rPr>
                <w:rFonts w:hint="eastAsia" w:ascii="宋体" w:hAnsi="宋体" w:cs="宋体"/>
                <w:b/>
                <w:bCs/>
                <w:color w:val="000000"/>
                <w:spacing w:val="6"/>
                <w:szCs w:val="21"/>
              </w:rPr>
            </w:pPr>
            <w:r>
              <w:rPr>
                <w:rFonts w:hint="eastAsia" w:ascii="宋体" w:hAnsi="宋体" w:cs="宋体"/>
                <w:b/>
                <w:bCs/>
                <w:color w:val="000000"/>
                <w:spacing w:val="6"/>
                <w:szCs w:val="21"/>
              </w:rPr>
              <w:t>/（无须填写）</w:t>
            </w: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本项目是否专门面向中小企业采购</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6" w:firstLineChars="200"/>
              <w:jc w:val="center"/>
              <w:rPr>
                <w:rFonts w:hint="eastAsia" w:ascii="宋体" w:hAnsi="宋体" w:cs="宋体"/>
                <w:b/>
                <w:bCs/>
                <w:color w:val="000000"/>
                <w:spacing w:val="6"/>
                <w:szCs w:val="21"/>
              </w:rPr>
            </w:pPr>
            <w:r>
              <w:rPr>
                <w:rFonts w:hint="eastAsia" w:ascii="宋体" w:hAnsi="宋体" w:cs="宋体"/>
                <w:b/>
                <w:bCs/>
                <w:color w:val="000000"/>
                <w:spacing w:val="6"/>
                <w:szCs w:val="21"/>
              </w:rPr>
              <w:t>/（无须填写）</w:t>
            </w:r>
          </w:p>
        </w:tc>
      </w:tr>
      <w:tr>
        <w:tblPrEx>
          <w:tblCellMar>
            <w:top w:w="0" w:type="dxa"/>
            <w:left w:w="108" w:type="dxa"/>
            <w:bottom w:w="0" w:type="dxa"/>
            <w:right w:w="108" w:type="dxa"/>
          </w:tblCellMar>
        </w:tblPrEx>
        <w:trPr>
          <w:trHeight w:val="680" w:hRule="atLeast"/>
        </w:trPr>
        <w:tc>
          <w:tcPr>
            <w:tcW w:w="4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40" w:lineRule="exact"/>
              <w:rPr>
                <w:rFonts w:hint="eastAsia" w:ascii="宋体" w:hAnsi="宋体" w:cs="宋体"/>
                <w:color w:val="000000"/>
                <w:spacing w:val="6"/>
                <w:szCs w:val="21"/>
              </w:rPr>
            </w:pPr>
            <w:r>
              <w:rPr>
                <w:rFonts w:hint="eastAsia" w:ascii="宋体" w:hAnsi="宋体" w:cs="宋体"/>
                <w:color w:val="000000"/>
                <w:spacing w:val="6"/>
                <w:szCs w:val="21"/>
              </w:rPr>
              <w:t>投（中）标金额（万元）</w:t>
            </w:r>
          </w:p>
        </w:tc>
        <w:tc>
          <w:tcPr>
            <w:tcW w:w="3292" w:type="dxa"/>
            <w:tcBorders>
              <w:top w:val="single" w:color="000000" w:sz="4" w:space="0"/>
              <w:left w:val="nil"/>
              <w:bottom w:val="single" w:color="000000" w:sz="4" w:space="0"/>
              <w:right w:val="single" w:color="000000" w:sz="4" w:space="0"/>
            </w:tcBorders>
            <w:noWrap w:val="0"/>
            <w:vAlign w:val="center"/>
          </w:tcPr>
          <w:p>
            <w:pPr>
              <w:snapToGrid w:val="0"/>
              <w:spacing w:line="440" w:lineRule="exact"/>
              <w:ind w:firstLine="446" w:firstLineChars="200"/>
              <w:jc w:val="center"/>
              <w:rPr>
                <w:rFonts w:hint="eastAsia" w:ascii="宋体" w:hAnsi="宋体" w:cs="宋体"/>
                <w:b/>
                <w:bCs/>
                <w:color w:val="000000"/>
                <w:spacing w:val="6"/>
                <w:szCs w:val="21"/>
              </w:rPr>
            </w:pPr>
            <w:r>
              <w:rPr>
                <w:rFonts w:hint="eastAsia" w:ascii="宋体" w:hAnsi="宋体" w:cs="宋体"/>
                <w:b/>
                <w:bCs/>
                <w:color w:val="000000"/>
                <w:spacing w:val="6"/>
                <w:szCs w:val="21"/>
              </w:rPr>
              <w:t>/（无须填写）</w:t>
            </w:r>
          </w:p>
        </w:tc>
      </w:tr>
    </w:tbl>
    <w:p>
      <w:pPr>
        <w:snapToGrid w:val="0"/>
        <w:spacing w:line="440" w:lineRule="exact"/>
        <w:rPr>
          <w:rFonts w:hint="eastAsia" w:ascii="宋体" w:hAnsi="宋体" w:cs="宋体"/>
          <w:b/>
          <w:bCs/>
          <w:color w:val="000000"/>
          <w:szCs w:val="21"/>
        </w:rPr>
      </w:pPr>
      <w:r>
        <w:rPr>
          <w:rFonts w:hint="eastAsia" w:ascii="宋体" w:hAnsi="宋体" w:cs="宋体"/>
          <w:b/>
          <w:bCs/>
          <w:color w:val="000000"/>
          <w:szCs w:val="21"/>
        </w:rPr>
        <w:t>备注：请各供应商务必填写此表作为投标文件的组成部分。</w:t>
      </w:r>
    </w:p>
    <w:p>
      <w:pPr>
        <w:snapToGrid w:val="0"/>
        <w:spacing w:line="440" w:lineRule="exact"/>
        <w:rPr>
          <w:rFonts w:hint="eastAsia" w:ascii="宋体" w:hAnsi="宋体" w:cs="宋体"/>
          <w:color w:val="000000"/>
          <w:szCs w:val="21"/>
          <w:shd w:val="pct10" w:color="auto" w:fill="FFFFFF"/>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63" w:name="_Toc9246"/>
      <w:bookmarkStart w:id="64" w:name="_Toc29762"/>
      <w:bookmarkStart w:id="65" w:name="_Toc13935"/>
      <w:bookmarkStart w:id="66" w:name="_Toc9503"/>
      <w:bookmarkStart w:id="67" w:name="_Toc463726850"/>
      <w:bookmarkStart w:id="68" w:name="_Toc20749"/>
      <w:bookmarkStart w:id="69" w:name="_Toc11493"/>
      <w:bookmarkStart w:id="70" w:name="_Toc17862"/>
      <w:bookmarkStart w:id="71" w:name="_Toc10346"/>
      <w:r>
        <w:rPr>
          <w:rFonts w:hint="eastAsia" w:ascii="宋体" w:hAnsi="宋体" w:eastAsia="宋体" w:cs="宋体"/>
          <w:b/>
          <w:bCs/>
          <w:sz w:val="24"/>
          <w:szCs w:val="22"/>
          <w:lang w:val="en-US" w:eastAsia="zh-CN" w:bidi="ar-SA"/>
        </w:rPr>
        <w:t>10.商务技术条款偏离表</w:t>
      </w:r>
      <w:bookmarkEnd w:id="63"/>
      <w:bookmarkEnd w:id="64"/>
      <w:bookmarkEnd w:id="65"/>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商务技术条款响应（偏离）表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标项号：</w:t>
      </w:r>
    </w:p>
    <w:tbl>
      <w:tblPr>
        <w:tblStyle w:val="49"/>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823"/>
        <w:gridCol w:w="2908"/>
        <w:gridCol w:w="15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widowControl w:val="0"/>
              <w:jc w:val="center"/>
              <w:rPr>
                <w:rFonts w:hint="eastAsia" w:ascii="宋体" w:hAnsi="宋体"/>
                <w:b/>
                <w:bCs/>
              </w:rPr>
            </w:pPr>
            <w:r>
              <w:rPr>
                <w:rFonts w:hint="eastAsia" w:ascii="宋体" w:hAnsi="宋体"/>
                <w:b/>
                <w:bCs/>
              </w:rPr>
              <w:t>序号</w:t>
            </w:r>
          </w:p>
        </w:tc>
        <w:tc>
          <w:tcPr>
            <w:tcW w:w="2823" w:type="dxa"/>
            <w:noWrap w:val="0"/>
            <w:vAlign w:val="center"/>
          </w:tcPr>
          <w:p>
            <w:pPr>
              <w:widowControl w:val="0"/>
              <w:jc w:val="center"/>
              <w:rPr>
                <w:rFonts w:hint="eastAsia" w:ascii="宋体" w:hAnsi="宋体"/>
                <w:b/>
                <w:bCs/>
              </w:rPr>
            </w:pPr>
            <w:r>
              <w:rPr>
                <w:rFonts w:hint="eastAsia" w:ascii="宋体" w:hAnsi="宋体"/>
                <w:b/>
                <w:bCs/>
              </w:rPr>
              <w:t>招标文件要求</w:t>
            </w:r>
          </w:p>
        </w:tc>
        <w:tc>
          <w:tcPr>
            <w:tcW w:w="2908" w:type="dxa"/>
            <w:noWrap w:val="0"/>
            <w:vAlign w:val="center"/>
          </w:tcPr>
          <w:p>
            <w:pPr>
              <w:widowControl w:val="0"/>
              <w:jc w:val="center"/>
              <w:rPr>
                <w:rFonts w:hint="eastAsia" w:ascii="宋体" w:hAnsi="宋体"/>
                <w:b/>
                <w:bCs/>
              </w:rPr>
            </w:pPr>
            <w:r>
              <w:rPr>
                <w:rFonts w:hint="eastAsia" w:ascii="宋体" w:hAnsi="宋体"/>
                <w:b/>
                <w:bCs/>
              </w:rPr>
              <w:t>投标文件响应</w:t>
            </w:r>
          </w:p>
        </w:tc>
        <w:tc>
          <w:tcPr>
            <w:tcW w:w="1524" w:type="dxa"/>
            <w:noWrap w:val="0"/>
            <w:vAlign w:val="center"/>
          </w:tcPr>
          <w:p>
            <w:pPr>
              <w:widowControl w:val="0"/>
              <w:jc w:val="center"/>
              <w:rPr>
                <w:rFonts w:hint="eastAsia" w:ascii="宋体" w:hAnsi="宋体"/>
                <w:b/>
                <w:bCs/>
              </w:rPr>
            </w:pPr>
            <w:r>
              <w:rPr>
                <w:rFonts w:hint="eastAsia" w:ascii="宋体" w:hAnsi="宋体"/>
                <w:b/>
                <w:bCs/>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44" w:type="dxa"/>
            <w:noWrap w:val="0"/>
            <w:vAlign w:val="center"/>
          </w:tcPr>
          <w:p>
            <w:pPr>
              <w:spacing w:line="400" w:lineRule="exact"/>
              <w:jc w:val="center"/>
              <w:rPr>
                <w:rFonts w:hint="eastAsia" w:ascii="宋体" w:hAnsi="宋体"/>
              </w:rPr>
            </w:pPr>
          </w:p>
        </w:tc>
        <w:tc>
          <w:tcPr>
            <w:tcW w:w="2823" w:type="dxa"/>
            <w:noWrap w:val="0"/>
            <w:vAlign w:val="center"/>
          </w:tcPr>
          <w:p>
            <w:pPr>
              <w:spacing w:line="400" w:lineRule="exact"/>
              <w:jc w:val="center"/>
              <w:rPr>
                <w:rFonts w:hint="eastAsia" w:ascii="宋体" w:hAnsi="宋体"/>
              </w:rPr>
            </w:pPr>
          </w:p>
        </w:tc>
        <w:tc>
          <w:tcPr>
            <w:tcW w:w="2908" w:type="dxa"/>
            <w:noWrap w:val="0"/>
            <w:vAlign w:val="center"/>
          </w:tcPr>
          <w:p>
            <w:pPr>
              <w:spacing w:line="400" w:lineRule="exact"/>
              <w:jc w:val="center"/>
              <w:rPr>
                <w:rFonts w:hint="eastAsia" w:ascii="宋体" w:hAnsi="宋体"/>
              </w:rPr>
            </w:pPr>
          </w:p>
        </w:tc>
        <w:tc>
          <w:tcPr>
            <w:tcW w:w="1524" w:type="dxa"/>
            <w:noWrap w:val="0"/>
            <w:vAlign w:val="center"/>
          </w:tcPr>
          <w:p>
            <w:pPr>
              <w:spacing w:line="400" w:lineRule="exact"/>
              <w:jc w:val="center"/>
              <w:rPr>
                <w:rFonts w:hint="eastAsia" w:ascii="宋体" w:hAnsi="宋体"/>
              </w:rPr>
            </w:pPr>
          </w:p>
        </w:tc>
      </w:tr>
    </w:tbl>
    <w:p>
      <w:pPr>
        <w:snapToGrid w:val="0"/>
        <w:spacing w:line="440" w:lineRule="exact"/>
        <w:ind w:left="645" w:hanging="644" w:hangingChars="307"/>
        <w:rPr>
          <w:rFonts w:hint="eastAsia" w:ascii="宋体" w:hAnsi="宋体" w:cs="宋体"/>
          <w:color w:val="000000"/>
          <w:szCs w:val="21"/>
        </w:rPr>
      </w:pPr>
      <w:r>
        <w:rPr>
          <w:rFonts w:hint="eastAsia" w:ascii="宋体" w:hAnsi="宋体" w:cs="宋体"/>
          <w:color w:val="000000"/>
          <w:szCs w:val="21"/>
        </w:rPr>
        <w:t>注：根据招标文件要求实质性响应，如均未偏离可统一响应。</w:t>
      </w:r>
    </w:p>
    <w:p>
      <w:pPr>
        <w:snapToGrid w:val="0"/>
        <w:spacing w:line="440" w:lineRule="exact"/>
        <w:jc w:val="right"/>
        <w:rPr>
          <w:rFonts w:hint="eastAsia" w:ascii="宋体" w:hAnsi="宋体" w:cs="宋体"/>
          <w:color w:val="000000"/>
          <w:szCs w:val="21"/>
        </w:rPr>
      </w:pPr>
    </w:p>
    <w:p>
      <w:pPr>
        <w:snapToGrid w:val="0"/>
        <w:spacing w:line="440" w:lineRule="exact"/>
        <w:jc w:val="right"/>
        <w:rPr>
          <w:rFonts w:hint="eastAsia" w:ascii="宋体" w:hAnsi="宋体" w:cs="宋体"/>
          <w:color w:val="000000"/>
          <w:szCs w:val="21"/>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72" w:name="_Toc31108"/>
      <w:bookmarkStart w:id="73" w:name="_Toc11285"/>
      <w:bookmarkStart w:id="74" w:name="_Toc23961"/>
      <w:bookmarkStart w:id="75" w:name="_Toc23997"/>
      <w:bookmarkStart w:id="76" w:name="_Toc7941"/>
      <w:bookmarkStart w:id="77" w:name="_Toc6256"/>
      <w:bookmarkStart w:id="78" w:name="_Toc463726852"/>
      <w:r>
        <w:rPr>
          <w:rFonts w:hint="eastAsia" w:ascii="宋体" w:hAnsi="宋体" w:eastAsia="宋体" w:cs="宋体"/>
          <w:b/>
          <w:bCs/>
          <w:sz w:val="24"/>
          <w:szCs w:val="22"/>
          <w:lang w:val="en-US" w:eastAsia="zh-CN" w:bidi="ar-SA"/>
        </w:rPr>
        <w:t>11.拟派本项目人员配备汇总表</w:t>
      </w:r>
      <w:bookmarkEnd w:id="72"/>
      <w:bookmarkEnd w:id="73"/>
      <w:bookmarkEnd w:id="74"/>
      <w:bookmarkEnd w:id="75"/>
      <w:bookmarkEnd w:id="76"/>
      <w:bookmarkEnd w:id="77"/>
      <w:bookmarkEnd w:id="78"/>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拟派本项目人员配备汇总表</w:t>
      </w:r>
    </w:p>
    <w:tbl>
      <w:tblPr>
        <w:tblStyle w:val="49"/>
        <w:tblW w:w="8256"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17"/>
        <w:gridCol w:w="996"/>
        <w:gridCol w:w="1584"/>
        <w:gridCol w:w="1056"/>
        <w:gridCol w:w="202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序号</w:t>
            </w:r>
          </w:p>
        </w:tc>
        <w:tc>
          <w:tcPr>
            <w:tcW w:w="1117"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姓名</w:t>
            </w:r>
          </w:p>
        </w:tc>
        <w:tc>
          <w:tcPr>
            <w:tcW w:w="996" w:type="dxa"/>
            <w:noWrap w:val="0"/>
            <w:tcMar>
              <w:left w:w="28" w:type="dxa"/>
              <w:right w:w="28" w:type="dxa"/>
            </w:tcMar>
            <w:vAlign w:val="center"/>
          </w:tcPr>
          <w:p>
            <w:pPr>
              <w:widowControl w:val="0"/>
              <w:snapToGrid w:val="0"/>
              <w:jc w:val="center"/>
              <w:rPr>
                <w:rFonts w:ascii="宋体" w:hAnsi="宋体" w:cs="宋体"/>
                <w:b/>
                <w:bCs/>
                <w:color w:val="000000"/>
                <w:szCs w:val="21"/>
              </w:rPr>
            </w:pPr>
            <w:r>
              <w:rPr>
                <w:rFonts w:hint="eastAsia" w:ascii="宋体" w:hAnsi="宋体" w:cs="宋体"/>
                <w:b/>
                <w:bCs/>
                <w:color w:val="000000"/>
                <w:szCs w:val="21"/>
              </w:rPr>
              <w:t>出生年月</w:t>
            </w:r>
          </w:p>
        </w:tc>
        <w:tc>
          <w:tcPr>
            <w:tcW w:w="1584"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身份证号码</w:t>
            </w:r>
          </w:p>
        </w:tc>
        <w:tc>
          <w:tcPr>
            <w:tcW w:w="1056"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职位</w:t>
            </w:r>
          </w:p>
        </w:tc>
        <w:tc>
          <w:tcPr>
            <w:tcW w:w="2028"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本项目拟担任职务</w:t>
            </w:r>
          </w:p>
        </w:tc>
        <w:tc>
          <w:tcPr>
            <w:tcW w:w="828" w:type="dxa"/>
            <w:noWrap w:val="0"/>
            <w:tcMar>
              <w:left w:w="28" w:type="dxa"/>
              <w:right w:w="28" w:type="dxa"/>
            </w:tcMar>
            <w:vAlign w:val="center"/>
          </w:tcPr>
          <w:p>
            <w:pPr>
              <w:widowControl w:val="0"/>
              <w:snapToGrid w:val="0"/>
              <w:jc w:val="center"/>
              <w:rPr>
                <w:rFonts w:hint="eastAsia"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1</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2</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3</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4</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5</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6</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7</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8</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9</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7" w:type="dxa"/>
            <w:noWrap w:val="0"/>
            <w:tcMar>
              <w:left w:w="28" w:type="dxa"/>
              <w:right w:w="28" w:type="dxa"/>
            </w:tcMar>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10</w:t>
            </w:r>
          </w:p>
        </w:tc>
        <w:tc>
          <w:tcPr>
            <w:tcW w:w="1117"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99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584"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1056"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20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c>
          <w:tcPr>
            <w:tcW w:w="828" w:type="dxa"/>
            <w:noWrap w:val="0"/>
            <w:tcMar>
              <w:left w:w="28" w:type="dxa"/>
              <w:right w:w="28" w:type="dxa"/>
            </w:tcMar>
            <w:vAlign w:val="center"/>
          </w:tcPr>
          <w:p>
            <w:pPr>
              <w:snapToGrid w:val="0"/>
              <w:spacing w:line="440" w:lineRule="exact"/>
              <w:jc w:val="center"/>
              <w:rPr>
                <w:rFonts w:hint="eastAsia" w:ascii="宋体" w:hAnsi="宋体" w:cs="宋体"/>
                <w:color w:val="000000"/>
                <w:szCs w:val="21"/>
              </w:rPr>
            </w:pPr>
          </w:p>
        </w:tc>
      </w:tr>
    </w:tbl>
    <w:p>
      <w:pPr>
        <w:snapToGrid w:val="0"/>
        <w:spacing w:line="440" w:lineRule="exact"/>
        <w:ind w:left="339" w:hanging="339" w:hangingChars="161"/>
        <w:rPr>
          <w:rFonts w:hint="eastAsia" w:ascii="宋体" w:hAnsi="宋体" w:cs="宋体"/>
          <w:b/>
          <w:bCs/>
          <w:color w:val="000000"/>
          <w:szCs w:val="21"/>
        </w:rPr>
      </w:pPr>
      <w:r>
        <w:rPr>
          <w:rFonts w:hint="eastAsia" w:ascii="宋体" w:hAnsi="宋体" w:cs="宋体"/>
          <w:b/>
          <w:bCs/>
          <w:color w:val="000000"/>
          <w:szCs w:val="21"/>
        </w:rPr>
        <w:t>注：根据采购需求及评分标准要求提供相关证明材料。</w:t>
      </w:r>
    </w:p>
    <w:p>
      <w:pPr>
        <w:snapToGrid w:val="0"/>
        <w:spacing w:line="440" w:lineRule="exact"/>
        <w:rPr>
          <w:rFonts w:hint="eastAsia" w:ascii="宋体" w:hAnsi="宋体" w:cs="宋体"/>
          <w:color w:val="000000"/>
          <w:szCs w:val="21"/>
          <w:shd w:val="pct10" w:color="auto" w:fill="FFFFFF"/>
        </w:rPr>
      </w:pPr>
    </w:p>
    <w:p>
      <w:pPr>
        <w:snapToGrid w:val="0"/>
        <w:spacing w:line="440" w:lineRule="exact"/>
        <w:rPr>
          <w:rFonts w:hint="eastAsia" w:ascii="宋体" w:hAnsi="宋体" w:cs="宋体"/>
          <w:color w:val="000000"/>
          <w:szCs w:val="21"/>
          <w:shd w:val="pct10" w:color="auto" w:fill="FFFFFF"/>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snapToGrid w:val="0"/>
        <w:spacing w:line="440" w:lineRule="exact"/>
        <w:rPr>
          <w:rFonts w:hint="eastAsia" w:ascii="宋体" w:hAnsi="宋体" w:cs="宋体"/>
          <w:b/>
          <w:bCs/>
          <w:color w:val="000000"/>
          <w:sz w:val="24"/>
          <w:szCs w:val="24"/>
        </w:rPr>
      </w:pPr>
    </w:p>
    <w:p>
      <w:pPr>
        <w:snapToGrid w:val="0"/>
        <w:spacing w:line="440" w:lineRule="exact"/>
        <w:ind w:left="386" w:hanging="386" w:hangingChars="161"/>
        <w:rPr>
          <w:rFonts w:hint="eastAsia" w:ascii="宋体" w:hAnsi="宋体" w:cs="宋体"/>
          <w:color w:val="000000"/>
          <w:sz w:val="24"/>
          <w:szCs w:val="24"/>
          <w:shd w:val="pct10" w:color="auto" w:fill="FFFFFF"/>
        </w:rPr>
      </w:pPr>
    </w:p>
    <w:p>
      <w:pPr>
        <w:adjustRightInd w:val="0"/>
        <w:snapToGrid w:val="0"/>
        <w:spacing w:line="460" w:lineRule="exact"/>
        <w:outlineLvl w:val="1"/>
        <w:rPr>
          <w:rFonts w:hint="eastAsia" w:ascii="宋体" w:hAnsi="宋体" w:cs="宋体"/>
          <w:color w:val="000000"/>
          <w:sz w:val="24"/>
          <w:szCs w:val="24"/>
          <w:shd w:val="pct10" w:color="auto" w:fill="FFFFFF"/>
        </w:rPr>
        <w:sectPr>
          <w:headerReference r:id="rId13" w:type="default"/>
          <w:footerReference r:id="rId14" w:type="default"/>
          <w:pgSz w:w="11849" w:h="16781"/>
          <w:pgMar w:top="1440" w:right="1797" w:bottom="1440" w:left="1797" w:header="720" w:footer="720" w:gutter="0"/>
          <w:cols w:space="720" w:num="1"/>
          <w:docGrid w:linePitch="286" w:charSpace="0"/>
        </w:sectPr>
      </w:pPr>
    </w:p>
    <w:bookmarkEnd w:id="66"/>
    <w:bookmarkEnd w:id="67"/>
    <w:bookmarkEnd w:id="68"/>
    <w:bookmarkEnd w:id="69"/>
    <w:bookmarkEnd w:id="70"/>
    <w:bookmarkEnd w:id="71"/>
    <w:p>
      <w:pPr>
        <w:pStyle w:val="5"/>
        <w:snapToGrid w:val="0"/>
        <w:spacing w:before="0" w:after="0" w:line="440" w:lineRule="exact"/>
        <w:rPr>
          <w:rFonts w:hint="eastAsia" w:ascii="宋体" w:hAnsi="宋体" w:eastAsia="宋体" w:cs="宋体"/>
          <w:color w:val="000000"/>
          <w:sz w:val="24"/>
          <w:szCs w:val="24"/>
        </w:rPr>
      </w:pPr>
      <w:bookmarkStart w:id="79" w:name="_Toc1987"/>
      <w:bookmarkStart w:id="80" w:name="_Toc5498"/>
      <w:bookmarkStart w:id="81" w:name="_Toc25555"/>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类似项目业绩一览表</w:t>
      </w:r>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类似项目业绩一览表</w:t>
      </w:r>
    </w:p>
    <w:tbl>
      <w:tblPr>
        <w:tblStyle w:val="49"/>
        <w:tblW w:w="825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722"/>
        <w:gridCol w:w="2258"/>
        <w:gridCol w:w="1337"/>
        <w:gridCol w:w="1566"/>
        <w:gridCol w:w="73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41"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序号</w:t>
            </w:r>
          </w:p>
        </w:tc>
        <w:tc>
          <w:tcPr>
            <w:tcW w:w="1722"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项目名称</w:t>
            </w:r>
          </w:p>
        </w:tc>
        <w:tc>
          <w:tcPr>
            <w:tcW w:w="2258"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委托方名称</w:t>
            </w:r>
          </w:p>
        </w:tc>
        <w:tc>
          <w:tcPr>
            <w:tcW w:w="1337"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项目合同金额</w:t>
            </w:r>
          </w:p>
        </w:tc>
        <w:tc>
          <w:tcPr>
            <w:tcW w:w="1566"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合同签订时间</w:t>
            </w:r>
          </w:p>
        </w:tc>
        <w:tc>
          <w:tcPr>
            <w:tcW w:w="732" w:type="dxa"/>
            <w:tcBorders>
              <w:top w:val="single" w:color="auto" w:sz="4" w:space="0"/>
              <w:bottom w:val="single" w:color="auto" w:sz="4" w:space="0"/>
            </w:tcBorders>
            <w:noWrap w:val="0"/>
            <w:tcMar>
              <w:left w:w="0" w:type="dxa"/>
              <w:right w:w="0" w:type="dxa"/>
            </w:tcMar>
            <w:vAlign w:val="center"/>
          </w:tcPr>
          <w:p>
            <w:pPr>
              <w:widowControl w:val="0"/>
              <w:snapToGrid w:val="0"/>
              <w:jc w:val="center"/>
              <w:rPr>
                <w:rFonts w:hint="eastAsia"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1566"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c>
          <w:tcPr>
            <w:tcW w:w="732" w:type="dxa"/>
            <w:noWrap w:val="0"/>
            <w:tcMar>
              <w:left w:w="0" w:type="dxa"/>
              <w:right w:w="0" w:type="dxa"/>
            </w:tcMar>
            <w:vAlign w:val="center"/>
          </w:tcPr>
          <w:p>
            <w:pPr>
              <w:snapToGrid w:val="0"/>
              <w:spacing w:line="440" w:lineRule="exact"/>
              <w:jc w:val="center"/>
              <w:rPr>
                <w:rFonts w:hint="eastAsia" w:ascii="宋体" w:hAnsi="宋体" w:cs="宋体"/>
                <w:color w:val="000000"/>
                <w:szCs w:val="21"/>
              </w:rPr>
            </w:pPr>
          </w:p>
        </w:tc>
      </w:tr>
    </w:tbl>
    <w:p>
      <w:pPr>
        <w:snapToGrid w:val="0"/>
        <w:spacing w:line="440" w:lineRule="exact"/>
        <w:ind w:left="339" w:hanging="339" w:hangingChars="161"/>
        <w:rPr>
          <w:rFonts w:hint="eastAsia" w:ascii="宋体" w:hAnsi="宋体" w:cs="宋体"/>
          <w:b/>
          <w:bCs/>
          <w:color w:val="000000"/>
          <w:szCs w:val="21"/>
        </w:rPr>
      </w:pPr>
      <w:r>
        <w:rPr>
          <w:rFonts w:hint="eastAsia" w:ascii="宋体" w:hAnsi="宋体" w:cs="宋体"/>
          <w:b/>
          <w:bCs/>
          <w:color w:val="000000"/>
          <w:szCs w:val="21"/>
        </w:rPr>
        <w:t>注：根据评分标准要求提供相关证明材料。</w:t>
      </w:r>
    </w:p>
    <w:p>
      <w:pPr>
        <w:snapToGrid w:val="0"/>
        <w:spacing w:line="440" w:lineRule="exact"/>
        <w:ind w:firstLine="200"/>
        <w:rPr>
          <w:rFonts w:hint="eastAsia" w:ascii="宋体" w:hAnsi="宋体" w:cs="宋体"/>
          <w:color w:val="000000"/>
          <w:szCs w:val="21"/>
        </w:rPr>
      </w:pPr>
    </w:p>
    <w:p>
      <w:pPr>
        <w:snapToGrid w:val="0"/>
        <w:spacing w:line="440" w:lineRule="exact"/>
        <w:jc w:val="right"/>
        <w:rPr>
          <w:rFonts w:hint="eastAsia" w:ascii="宋体" w:hAnsi="宋体" w:cs="宋体"/>
          <w:color w:val="000000"/>
          <w:szCs w:val="21"/>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cs="宋体"/>
          <w:color w:val="000000"/>
          <w:szCs w:val="21"/>
        </w:rPr>
      </w:pPr>
      <w:r>
        <w:rPr>
          <w:rFonts w:hint="eastAsia" w:ascii="宋体" w:hAnsi="宋体" w:cs="宋体"/>
          <w:color w:val="000000"/>
          <w:szCs w:val="21"/>
        </w:rPr>
        <w:t xml:space="preserve">                                              年    月    日</w:t>
      </w:r>
    </w:p>
    <w:p>
      <w:pPr>
        <w:snapToGrid w:val="0"/>
        <w:spacing w:line="440" w:lineRule="exact"/>
        <w:rPr>
          <w:rFonts w:hint="eastAsia" w:ascii="宋体" w:hAnsi="宋体" w:cs="宋体"/>
          <w:color w:val="000000"/>
          <w:sz w:val="24"/>
          <w:szCs w:val="24"/>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color w:val="000000"/>
          <w:sz w:val="24"/>
          <w:szCs w:val="24"/>
        </w:rPr>
      </w:pPr>
    </w:p>
    <w:p>
      <w:pPr>
        <w:pStyle w:val="2"/>
        <w:rPr>
          <w:rFonts w:hint="eastAsia"/>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开标一览表</w:t>
      </w:r>
      <w:bookmarkEnd w:id="79"/>
      <w:bookmarkEnd w:id="80"/>
      <w:bookmarkEnd w:id="81"/>
    </w:p>
    <w:p>
      <w:pPr>
        <w:widowControl w:val="0"/>
        <w:snapToGrid w:val="0"/>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开标一览表</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u w:val="single"/>
          <w:lang w:bidi="ar"/>
        </w:rPr>
      </w:pPr>
      <w:r>
        <w:rPr>
          <w:rFonts w:hint="eastAsia" w:ascii="宋体" w:hAnsi="宋体" w:cs="宋体"/>
          <w:lang w:bidi="ar"/>
        </w:rPr>
        <w:t>项目名称：</w:t>
      </w:r>
      <w:r>
        <w:rPr>
          <w:rFonts w:hint="eastAsia" w:ascii="宋体" w:hAnsi="宋体" w:cs="宋体"/>
          <w:u w:val="single"/>
          <w:lang w:bidi="ar"/>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lang w:bidi="ar"/>
        </w:rPr>
      </w:pPr>
      <w:r>
        <w:rPr>
          <w:rFonts w:hint="eastAsia" w:ascii="宋体" w:hAnsi="宋体" w:cs="宋体"/>
          <w:lang w:bidi="ar"/>
        </w:rPr>
        <w:t>项目编号：</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single"/>
          <w:lang w:bidi="ar"/>
        </w:rPr>
        <w:t xml:space="preserve">         </w:t>
      </w:r>
      <w:r>
        <w:rPr>
          <w:rFonts w:hint="eastAsia" w:ascii="宋体" w:hAnsi="宋体" w:cs="宋体"/>
          <w:lang w:bidi="ar"/>
        </w:rPr>
        <w:t xml:space="preserve"> </w:t>
      </w:r>
    </w:p>
    <w:tbl>
      <w:tblPr>
        <w:tblStyle w:val="4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627"/>
        <w:gridCol w:w="174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2627" w:type="dxa"/>
            <w:noWrap w:val="0"/>
            <w:vAlign w:val="center"/>
          </w:tcPr>
          <w:p>
            <w:pPr>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服务类别</w:t>
            </w:r>
          </w:p>
        </w:tc>
        <w:tc>
          <w:tcPr>
            <w:tcW w:w="1740"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投标报价</w:t>
            </w:r>
          </w:p>
          <w:p>
            <w:pPr>
              <w:jc w:val="center"/>
              <w:rPr>
                <w:rFonts w:hint="eastAsia" w:ascii="宋体" w:hAnsi="宋体" w:cs="宋体"/>
                <w:b/>
                <w:bCs/>
                <w:szCs w:val="21"/>
                <w:highlight w:val="none"/>
              </w:rPr>
            </w:pPr>
            <w:r>
              <w:rPr>
                <w:rFonts w:hint="eastAsia" w:ascii="宋体" w:hAnsi="宋体" w:cs="宋体"/>
                <w:b/>
                <w:bCs/>
                <w:szCs w:val="21"/>
                <w:highlight w:val="none"/>
              </w:rPr>
              <w:t>（元/平方米）</w:t>
            </w:r>
          </w:p>
        </w:tc>
        <w:tc>
          <w:tcPr>
            <w:tcW w:w="2786" w:type="dxa"/>
            <w:noWrap w:val="0"/>
            <w:vAlign w:val="center"/>
          </w:tcPr>
          <w:p>
            <w:pPr>
              <w:jc w:val="center"/>
              <w:rPr>
                <w:rFonts w:hint="eastAsia" w:ascii="宋体" w:hAnsi="宋体" w:cs="宋体"/>
                <w:b/>
                <w:bCs/>
                <w:szCs w:val="21"/>
                <w:highlight w:val="none"/>
              </w:rPr>
            </w:pPr>
            <w:r>
              <w:rPr>
                <w:rFonts w:hint="eastAsia" w:ascii="宋体" w:hAnsi="宋体" w:cs="宋体"/>
                <w:b/>
                <w:bCs/>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2627" w:type="dxa"/>
            <w:noWrap w:val="0"/>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住宅</w:t>
            </w:r>
            <w:r>
              <w:rPr>
                <w:rFonts w:hint="eastAsia" w:ascii="宋体" w:hAnsi="宋体" w:cs="宋体"/>
                <w:b w:val="0"/>
                <w:bCs/>
                <w:i w:val="0"/>
                <w:iCs w:val="0"/>
                <w:szCs w:val="21"/>
                <w:lang w:val="en-US" w:eastAsia="zh-CN"/>
              </w:rPr>
              <w:t>征收服务综合单价</w:t>
            </w:r>
          </w:p>
        </w:tc>
        <w:tc>
          <w:tcPr>
            <w:tcW w:w="1740" w:type="dxa"/>
            <w:noWrap w:val="0"/>
            <w:vAlign w:val="center"/>
          </w:tcPr>
          <w:p>
            <w:pPr>
              <w:jc w:val="center"/>
              <w:rPr>
                <w:rFonts w:hint="eastAsia" w:ascii="宋体" w:hAnsi="宋体" w:cs="宋体"/>
                <w:szCs w:val="21"/>
                <w:highlight w:val="none"/>
              </w:rPr>
            </w:pPr>
          </w:p>
        </w:tc>
        <w:tc>
          <w:tcPr>
            <w:tcW w:w="2786" w:type="dxa"/>
            <w:vMerge w:val="restart"/>
            <w:noWrap w:val="0"/>
            <w:vAlign w:val="center"/>
          </w:tcPr>
          <w:p>
            <w:pPr>
              <w:spacing w:before="120" w:beforeLines="50" w:line="360" w:lineRule="auto"/>
              <w:rPr>
                <w:rFonts w:hint="eastAsia"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2627"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b w:val="0"/>
                <w:bCs/>
                <w:i w:val="0"/>
                <w:iCs w:val="0"/>
                <w:szCs w:val="21"/>
                <w:lang w:val="en-US" w:eastAsia="zh-CN"/>
              </w:rPr>
              <w:t>非住宅征收服务综合单价</w:t>
            </w:r>
          </w:p>
        </w:tc>
        <w:tc>
          <w:tcPr>
            <w:tcW w:w="1740" w:type="dxa"/>
            <w:noWrap w:val="0"/>
            <w:vAlign w:val="center"/>
          </w:tcPr>
          <w:p>
            <w:pPr>
              <w:jc w:val="center"/>
              <w:rPr>
                <w:rFonts w:hint="eastAsia" w:ascii="宋体" w:hAnsi="宋体" w:cs="宋体"/>
                <w:szCs w:val="21"/>
                <w:highlight w:val="none"/>
              </w:rPr>
            </w:pPr>
          </w:p>
        </w:tc>
        <w:tc>
          <w:tcPr>
            <w:tcW w:w="2786" w:type="dxa"/>
            <w:vMerge w:val="continue"/>
            <w:noWrap w:val="0"/>
            <w:vAlign w:val="center"/>
          </w:tcPr>
          <w:p>
            <w:pPr>
              <w:spacing w:before="120" w:beforeLines="50" w:line="360" w:lineRule="auto"/>
              <w:rPr>
                <w:rFonts w:hint="eastAsia"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合计</w:t>
            </w:r>
          </w:p>
        </w:tc>
        <w:tc>
          <w:tcPr>
            <w:tcW w:w="4367" w:type="dxa"/>
            <w:gridSpan w:val="2"/>
            <w:noWrap w:val="0"/>
            <w:vAlign w:val="center"/>
          </w:tcPr>
          <w:p>
            <w:pPr>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投标报价（总价，元）</w:t>
            </w:r>
          </w:p>
        </w:tc>
        <w:tc>
          <w:tcPr>
            <w:tcW w:w="2786" w:type="dxa"/>
            <w:noWrap w:val="0"/>
            <w:vAlign w:val="center"/>
          </w:tcPr>
          <w:p>
            <w:pPr>
              <w:spacing w:before="120" w:beforeLines="50" w:line="360" w:lineRule="auto"/>
              <w:rPr>
                <w:rFonts w:hint="eastAsia"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14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报价声明</w:t>
            </w:r>
          </w:p>
        </w:tc>
        <w:tc>
          <w:tcPr>
            <w:tcW w:w="7153" w:type="dxa"/>
            <w:gridSpan w:val="3"/>
            <w:noWrap w:val="0"/>
            <w:vAlign w:val="center"/>
          </w:tcPr>
          <w:p>
            <w:pPr>
              <w:rPr>
                <w:rFonts w:hint="eastAsia" w:ascii="宋体" w:hAnsi="宋体" w:cs="宋体"/>
                <w:szCs w:val="21"/>
                <w:highlight w:val="none"/>
              </w:rPr>
            </w:pP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val="0"/>
          <w:bCs/>
          <w:i w:val="0"/>
          <w:iCs w:val="0"/>
          <w:szCs w:val="21"/>
          <w:highlight w:val="none"/>
        </w:rPr>
      </w:pPr>
      <w:r>
        <w:rPr>
          <w:rFonts w:hint="eastAsia" w:ascii="宋体" w:hAnsi="宋体" w:cs="宋体"/>
          <w:b w:val="0"/>
          <w:bCs/>
          <w:i w:val="0"/>
          <w:iCs w:val="0"/>
          <w:szCs w:val="21"/>
          <w:highlight w:val="none"/>
        </w:rPr>
        <w:t>注</w:t>
      </w:r>
      <w:r>
        <w:rPr>
          <w:rFonts w:hint="eastAsia" w:ascii="宋体" w:hAnsi="宋体" w:cs="宋体"/>
          <w:b w:val="0"/>
          <w:bCs/>
          <w:i w:val="0"/>
          <w:iCs w:val="0"/>
          <w:szCs w:val="21"/>
          <w:highlight w:val="none"/>
          <w:lang w:eastAsia="zh-CN"/>
        </w:rPr>
        <w:t>：</w:t>
      </w:r>
      <w:r>
        <w:rPr>
          <w:rFonts w:hint="eastAsia" w:ascii="宋体" w:hAnsi="宋体" w:cs="宋体"/>
          <w:b w:val="0"/>
          <w:bCs/>
          <w:i w:val="0"/>
          <w:iCs w:val="0"/>
          <w:szCs w:val="21"/>
          <w:highlight w:val="none"/>
        </w:rPr>
        <w:t>1</w:t>
      </w:r>
      <w:r>
        <w:rPr>
          <w:rFonts w:hint="eastAsia" w:ascii="宋体" w:hAnsi="宋体" w:cs="宋体"/>
          <w:b w:val="0"/>
          <w:bCs/>
          <w:i w:val="0"/>
          <w:iCs w:val="0"/>
          <w:szCs w:val="21"/>
          <w:highlight w:val="none"/>
          <w:lang w:val="en-US" w:eastAsia="zh-CN"/>
        </w:rPr>
        <w:t>.</w:t>
      </w:r>
      <w:r>
        <w:rPr>
          <w:rFonts w:hint="eastAsia" w:ascii="宋体" w:hAnsi="宋体" w:cs="宋体"/>
          <w:b w:val="0"/>
          <w:bCs/>
          <w:i w:val="0"/>
          <w:iCs w:val="0"/>
          <w:szCs w:val="21"/>
          <w:highlight w:val="none"/>
        </w:rPr>
        <w:t>报价一经涂改，应在涂改处加盖单位公章或者由法定代表人或授权委托人签名或盖章，否则其投标作无效标处理。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i w:val="0"/>
          <w:iCs w:val="0"/>
          <w:szCs w:val="21"/>
          <w:highlight w:val="none"/>
          <w:lang w:val="en-US" w:eastAsia="zh-CN"/>
        </w:rPr>
      </w:pPr>
      <w:r>
        <w:rPr>
          <w:rFonts w:hint="eastAsia" w:ascii="宋体" w:hAnsi="宋体" w:cs="宋体"/>
          <w:b w:val="0"/>
          <w:bCs/>
          <w:i w:val="0"/>
          <w:iCs w:val="0"/>
          <w:szCs w:val="21"/>
          <w:highlight w:val="none"/>
          <w:lang w:val="en-US" w:eastAsia="zh-CN"/>
        </w:rPr>
        <w:t>2.本项目住宅征收服务综合单价最高限价均为32元/平方米、非住宅征收服务综合单价最高限价均为16元/平方米；超过采购预算或最高限价（单价或合价）的均作无效标处理。</w:t>
      </w:r>
    </w:p>
    <w:p>
      <w:pPr>
        <w:snapToGrid w:val="0"/>
        <w:spacing w:line="440" w:lineRule="exact"/>
        <w:ind w:left="308"/>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rPr>
          <w:rFonts w:hint="eastAsia" w:ascii="宋体" w:hAnsi="宋体" w:cs="宋体"/>
          <w:color w:val="000000"/>
          <w:szCs w:val="21"/>
          <w:highlight w:val="none"/>
        </w:rPr>
      </w:pPr>
    </w:p>
    <w:p>
      <w:pPr>
        <w:pStyle w:val="2"/>
        <w:rPr>
          <w:rFonts w:hint="eastAsia"/>
        </w:rPr>
      </w:pPr>
    </w:p>
    <w:p>
      <w:pPr>
        <w:snapToGrid w:val="0"/>
        <w:spacing w:line="440" w:lineRule="exact"/>
        <w:ind w:firstLine="210" w:firstLineChars="100"/>
        <w:rPr>
          <w:rFonts w:hint="eastAsia" w:ascii="宋体" w:hAnsi="宋体" w:cs="宋体"/>
          <w:color w:val="000000"/>
          <w:szCs w:val="21"/>
          <w:u w:val="single"/>
        </w:rPr>
      </w:pPr>
      <w:r>
        <w:rPr>
          <w:rFonts w:hint="eastAsia" w:ascii="宋体" w:hAnsi="宋体" w:cs="宋体"/>
          <w:color w:val="000000"/>
          <w:szCs w:val="21"/>
        </w:rPr>
        <w:t xml:space="preserve">                       供应商名称（加盖公章）：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line="440" w:lineRule="exact"/>
        <w:ind w:firstLine="200"/>
        <w:rPr>
          <w:rFonts w:hint="eastAsia" w:ascii="宋体" w:hAnsi="宋体" w:cs="宋体"/>
          <w:color w:val="000000"/>
          <w:szCs w:val="21"/>
          <w:u w:val="single"/>
        </w:rPr>
      </w:pPr>
      <w:r>
        <w:rPr>
          <w:rFonts w:hint="eastAsia" w:ascii="宋体" w:hAnsi="宋体" w:cs="宋体"/>
          <w:color w:val="000000"/>
          <w:szCs w:val="21"/>
        </w:rPr>
        <w:t xml:space="preserve">                       法定代表人或其委托代理人（签字或盖章）：</w:t>
      </w:r>
      <w:r>
        <w:rPr>
          <w:rFonts w:hint="eastAsia" w:ascii="宋体" w:hAnsi="宋体" w:cs="宋体"/>
          <w:color w:val="000000"/>
          <w:szCs w:val="21"/>
          <w:u w:val="single"/>
        </w:rPr>
        <w:t xml:space="preserve">             </w:t>
      </w:r>
    </w:p>
    <w:p>
      <w:pPr>
        <w:snapToGrid w:val="0"/>
        <w:spacing w:line="440" w:lineRule="exact"/>
        <w:ind w:firstLine="210" w:firstLineChars="100"/>
        <w:rPr>
          <w:rFonts w:hint="eastAsia" w:ascii="宋体" w:hAnsi="宋体" w:eastAsia="宋体" w:cs="宋体"/>
          <w:b/>
          <w:bCs/>
          <w:color w:val="000000"/>
          <w:sz w:val="24"/>
          <w:szCs w:val="24"/>
          <w:lang w:val="en-US" w:eastAsia="zh-CN"/>
        </w:rPr>
      </w:pPr>
      <w:r>
        <w:rPr>
          <w:rFonts w:hint="eastAsia" w:ascii="宋体" w:hAnsi="宋体" w:cs="宋体"/>
          <w:color w:val="000000"/>
          <w:szCs w:val="21"/>
        </w:rPr>
        <w:t xml:space="preserve">                                              年    月    日</w:t>
      </w: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br w:type="page"/>
      </w:r>
      <w:r>
        <w:rPr>
          <w:rFonts w:hint="eastAsia" w:ascii="宋体" w:hAnsi="宋体" w:eastAsia="宋体" w:cs="宋体"/>
          <w:b/>
          <w:bCs/>
          <w:color w:val="000000"/>
          <w:sz w:val="24"/>
          <w:szCs w:val="24"/>
          <w:lang w:val="en-US" w:eastAsia="zh-CN"/>
        </w:rPr>
        <w:t>14</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中小企业声明函</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b/>
          <w:color w:val="000000"/>
          <w:sz w:val="24"/>
          <w:szCs w:val="24"/>
        </w:rPr>
      </w:pPr>
      <w:r>
        <w:rPr>
          <w:rFonts w:hint="eastAsia" w:ascii="宋体" w:hAnsi="宋体" w:cs="宋体"/>
          <w:b/>
          <w:color w:val="000000"/>
          <w:sz w:val="24"/>
          <w:szCs w:val="24"/>
        </w:rPr>
        <w:t>中小企业声明函</w:t>
      </w:r>
    </w:p>
    <w:p>
      <w:pPr>
        <w:widowControl w:val="0"/>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pPr>
        <w:widowControl w:val="0"/>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widowControl w:val="0"/>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widowControl w:val="0"/>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pPr>
        <w:widowControl w:val="0"/>
        <w:autoSpaceDE w:val="0"/>
        <w:autoSpaceDN w:val="0"/>
        <w:spacing w:line="360" w:lineRule="auto"/>
        <w:ind w:firstLine="5250" w:firstLineChars="2500"/>
        <w:rPr>
          <w:rFonts w:hint="eastAsia" w:ascii="宋体" w:hAnsi="宋体" w:cs="宋体"/>
          <w:szCs w:val="21"/>
        </w:rPr>
      </w:pPr>
    </w:p>
    <w:p>
      <w:pPr>
        <w:widowControl w:val="0"/>
        <w:autoSpaceDE w:val="0"/>
        <w:autoSpaceDN w:val="0"/>
        <w:spacing w:line="360" w:lineRule="auto"/>
        <w:ind w:firstLine="3990" w:firstLineChars="1900"/>
        <w:rPr>
          <w:rFonts w:hint="eastAsia" w:ascii="宋体" w:hAnsi="宋体" w:cs="宋体"/>
          <w:szCs w:val="21"/>
        </w:rPr>
      </w:pPr>
      <w:r>
        <w:rPr>
          <w:rFonts w:hint="eastAsia" w:ascii="宋体" w:hAnsi="宋体" w:cs="宋体"/>
          <w:szCs w:val="21"/>
        </w:rPr>
        <w:t>企业名称（盖章）：</w:t>
      </w:r>
    </w:p>
    <w:p>
      <w:pPr>
        <w:widowControl w:val="0"/>
        <w:autoSpaceDE w:val="0"/>
        <w:autoSpaceDN w:val="0"/>
        <w:spacing w:line="360" w:lineRule="auto"/>
        <w:ind w:firstLine="3990" w:firstLineChars="1900"/>
        <w:rPr>
          <w:rFonts w:hint="eastAsia" w:ascii="宋体" w:hAnsi="宋体" w:cs="宋体"/>
          <w:szCs w:val="21"/>
        </w:rPr>
      </w:pPr>
      <w:r>
        <w:rPr>
          <w:rFonts w:hint="eastAsia" w:ascii="宋体" w:hAnsi="宋体" w:cs="宋体"/>
          <w:szCs w:val="21"/>
        </w:rPr>
        <w:t>日 期：</w:t>
      </w:r>
    </w:p>
    <w:p>
      <w:pPr>
        <w:widowControl w:val="0"/>
        <w:autoSpaceDE w:val="0"/>
        <w:autoSpaceDN w:val="0"/>
        <w:spacing w:line="360" w:lineRule="auto"/>
        <w:rPr>
          <w:rFonts w:hint="eastAsia" w:ascii="宋体" w:hAnsi="宋体" w:cs="宋体"/>
          <w:szCs w:val="21"/>
        </w:rPr>
      </w:pPr>
    </w:p>
    <w:p>
      <w:pPr>
        <w:autoSpaceDE w:val="0"/>
        <w:autoSpaceDN w:val="0"/>
        <w:spacing w:line="360" w:lineRule="auto"/>
        <w:rPr>
          <w:rFonts w:hint="eastAsia" w:ascii="宋体" w:hAnsi="宋体" w:cs="宋体"/>
          <w:szCs w:val="21"/>
          <w:lang w:val="zh-CN"/>
        </w:rPr>
      </w:pPr>
    </w:p>
    <w:p>
      <w:pPr>
        <w:widowControl w:val="0"/>
        <w:snapToGrid w:val="0"/>
        <w:spacing w:line="360" w:lineRule="auto"/>
        <w:ind w:firstLine="420" w:firstLineChars="200"/>
        <w:rPr>
          <w:rFonts w:hint="eastAsia" w:ascii="宋体" w:hAnsi="宋体" w:cs="宋体"/>
          <w:bCs/>
          <w:szCs w:val="21"/>
        </w:rPr>
      </w:pPr>
      <w:r>
        <w:rPr>
          <w:rFonts w:hint="eastAsia" w:ascii="宋体" w:hAnsi="宋体" w:cs="宋体"/>
          <w:bCs/>
          <w:szCs w:val="21"/>
        </w:rPr>
        <w:t>说明：</w:t>
      </w:r>
    </w:p>
    <w:p>
      <w:pPr>
        <w:widowControl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1、从业人员、营业收入、资产总额填报上一年度数据，无上一年度数据的新成立企业可不填报。</w:t>
      </w:r>
    </w:p>
    <w:p>
      <w:pPr>
        <w:widowControl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20"/>
        <w:widowControl w:val="0"/>
        <w:spacing w:after="0" w:line="360" w:lineRule="auto"/>
        <w:ind w:firstLine="422" w:firstLineChars="200"/>
        <w:rPr>
          <w:rFonts w:hint="eastAsia" w:ascii="宋体" w:hAnsi="宋体" w:cs="宋体"/>
          <w:b/>
          <w:bCs/>
          <w:szCs w:val="21"/>
        </w:rPr>
      </w:pPr>
    </w:p>
    <w:p>
      <w:pPr>
        <w:pStyle w:val="20"/>
        <w:rPr>
          <w:rFonts w:hint="eastAsia" w:ascii="宋体" w:hAnsi="宋体" w:cs="宋体"/>
          <w:b/>
          <w:bCs/>
          <w:sz w:val="24"/>
          <w:szCs w:val="24"/>
        </w:rPr>
      </w:pPr>
    </w:p>
    <w:p>
      <w:pPr>
        <w:pStyle w:val="20"/>
        <w:rPr>
          <w:rFonts w:hint="eastAsia" w:ascii="宋体" w:hAnsi="宋体" w:cs="宋体"/>
          <w:b/>
          <w:bCs/>
          <w:sz w:val="24"/>
          <w:szCs w:val="24"/>
        </w:rPr>
      </w:pPr>
    </w:p>
    <w:p>
      <w:pPr>
        <w:pStyle w:val="5"/>
        <w:snapToGrid w:val="0"/>
        <w:spacing w:before="0" w:after="0" w:line="440" w:lineRule="exact"/>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2"/>
        <w:rPr>
          <w:rFonts w:hint="eastAsia"/>
        </w:rPr>
      </w:pPr>
    </w:p>
    <w:p>
      <w:pPr>
        <w:keepNext/>
        <w:keepLines/>
        <w:pageBreakBefore w:val="0"/>
        <w:widowControl/>
        <w:kinsoku/>
        <w:wordWrap/>
        <w:overflowPunct/>
        <w:topLinePunct w:val="0"/>
        <w:autoSpaceDE/>
        <w:autoSpaceDN/>
        <w:bidi w:val="0"/>
        <w:adjustRightInd/>
        <w:snapToGrid w:val="0"/>
        <w:spacing w:before="0" w:after="0" w:line="360" w:lineRule="auto"/>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15.</w:t>
      </w:r>
      <w:r>
        <w:rPr>
          <w:rFonts w:hint="eastAsia" w:ascii="宋体" w:hAnsi="宋体" w:eastAsia="宋体" w:cs="宋体"/>
          <w:b/>
          <w:bCs/>
          <w:color w:val="000000"/>
          <w:sz w:val="24"/>
          <w:szCs w:val="24"/>
        </w:rPr>
        <w:t>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残疾人福利性单位声明函（非残疾人福利性单位无需提供此函）</w:t>
      </w:r>
    </w:p>
    <w:p>
      <w:pPr>
        <w:pageBreakBefore w:val="0"/>
        <w:widowControl w:val="0"/>
        <w:kinsoku/>
        <w:wordWrap/>
        <w:overflowPunct/>
        <w:topLinePunct w:val="0"/>
        <w:autoSpaceDE/>
        <w:autoSpaceDN/>
        <w:bidi w:val="0"/>
        <w:adjustRightInd/>
        <w:snapToGrid w:val="0"/>
        <w:spacing w:line="360" w:lineRule="auto"/>
        <w:ind w:firstLine="444" w:firstLineChars="200"/>
        <w:jc w:val="both"/>
        <w:textAlignment w:val="auto"/>
        <w:outlineLvl w:val="9"/>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本单位郑重声明，根据《财政部 民政部 中国残疾人联合会关于促进残疾人就业政府采购政策的通知》（财库</w:t>
      </w:r>
      <w:r>
        <w:rPr>
          <w:rFonts w:hint="eastAsia" w:ascii="宋体" w:hAnsi="宋体" w:eastAsia="宋体" w:cs="宋体"/>
          <w:color w:val="000000"/>
          <w:sz w:val="21"/>
          <w:szCs w:val="21"/>
        </w:rPr>
        <w:t>〔2017〕141</w:t>
      </w:r>
      <w:r>
        <w:rPr>
          <w:rFonts w:hint="eastAsia" w:ascii="宋体" w:hAnsi="宋体" w:eastAsia="宋体" w:cs="宋体"/>
          <w:color w:val="000000"/>
          <w:spacing w:val="6"/>
          <w:sz w:val="21"/>
          <w:szCs w:val="21"/>
        </w:rPr>
        <w:t>号）的规定，本单位为符合条件的残疾人福利性单位，且本单位参加</w:t>
      </w:r>
      <w:r>
        <w:rPr>
          <w:rFonts w:hint="eastAsia" w:ascii="宋体" w:hAnsi="宋体" w:eastAsia="宋体" w:cs="宋体"/>
          <w:color w:val="000000"/>
          <w:spacing w:val="6"/>
          <w:sz w:val="21"/>
          <w:szCs w:val="21"/>
          <w:u w:val="single"/>
        </w:rPr>
        <w:t xml:space="preserve">     </w:t>
      </w:r>
      <w:r>
        <w:rPr>
          <w:rFonts w:hint="eastAsia" w:ascii="宋体" w:hAnsi="宋体" w:eastAsia="宋体" w:cs="宋体"/>
          <w:color w:val="000000"/>
          <w:spacing w:val="6"/>
          <w:sz w:val="21"/>
          <w:szCs w:val="21"/>
        </w:rPr>
        <w:t>单位（采购人）的</w:t>
      </w:r>
      <w:r>
        <w:rPr>
          <w:rFonts w:hint="eastAsia" w:ascii="宋体" w:hAnsi="宋体" w:eastAsia="宋体" w:cs="宋体"/>
          <w:color w:val="000000"/>
          <w:spacing w:val="6"/>
          <w:sz w:val="21"/>
          <w:szCs w:val="21"/>
          <w:u w:val="single"/>
        </w:rPr>
        <w:t xml:space="preserve">             </w:t>
      </w:r>
      <w:r>
        <w:rPr>
          <w:rFonts w:hint="eastAsia" w:ascii="宋体" w:hAnsi="宋体" w:eastAsia="宋体" w:cs="宋体"/>
          <w:color w:val="000000"/>
          <w:spacing w:val="6"/>
          <w:sz w:val="21"/>
          <w:szCs w:val="21"/>
        </w:rPr>
        <w:t>项目采购活动提供本单位制造的货物（由本单位承担工程/提供服务），或者提供其他残疾人福利性单位制造的货物（不包括使用非残疾人福利性单位注册商标的货物）。</w:t>
      </w:r>
    </w:p>
    <w:p>
      <w:pPr>
        <w:pageBreakBefore w:val="0"/>
        <w:widowControl w:val="0"/>
        <w:kinsoku/>
        <w:wordWrap/>
        <w:overflowPunct/>
        <w:topLinePunct w:val="0"/>
        <w:autoSpaceDE/>
        <w:autoSpaceDN/>
        <w:bidi w:val="0"/>
        <w:adjustRightInd/>
        <w:snapToGrid w:val="0"/>
        <w:spacing w:line="360" w:lineRule="auto"/>
        <w:ind w:firstLine="444" w:firstLineChars="200"/>
        <w:jc w:val="both"/>
        <w:textAlignment w:val="auto"/>
        <w:outlineLvl w:val="9"/>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本单位对上述声明的真实性负责。如有虚假，将依法承担相应责任。</w:t>
      </w:r>
    </w:p>
    <w:p>
      <w:pPr>
        <w:pageBreakBefore w:val="0"/>
        <w:widowControl w:val="0"/>
        <w:kinsoku/>
        <w:wordWrap/>
        <w:overflowPunct/>
        <w:topLinePunct w:val="0"/>
        <w:autoSpaceDE/>
        <w:autoSpaceDN/>
        <w:bidi w:val="0"/>
        <w:adjustRightInd/>
        <w:snapToGrid w:val="0"/>
        <w:spacing w:line="360" w:lineRule="auto"/>
        <w:ind w:firstLine="444" w:firstLineChars="200"/>
        <w:jc w:val="both"/>
        <w:textAlignment w:val="auto"/>
        <w:outlineLvl w:val="9"/>
        <w:rPr>
          <w:rFonts w:hint="eastAsia" w:ascii="宋体" w:hAnsi="宋体" w:eastAsia="宋体" w:cs="宋体"/>
          <w:color w:val="000000"/>
          <w:spacing w:val="6"/>
          <w:sz w:val="21"/>
          <w:szCs w:val="21"/>
        </w:rPr>
      </w:pP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注：1、如供应商为非残疾人福利性单位的可不提供本声明函。</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2、享受政府采购支持政策的残疾人福利性单位应当同时满足以下条件：</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（1）安置的残疾人占本单位在职职工人数的比例不低于25%（含25%），并且安置的残疾人人数不少于10人（含10人）；</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（2）依法与安置的每位残疾人签订了一年以上（含一年）的劳动合同或服务协议；</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（3）为安置的每位残疾人按月足额缴纳了基本养老保险、基本医疗保险、失业保险、工伤保险和生育保险等社会保险费；</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（4）通过银行等金融机构向安置的每位残疾人，按月支付了不低于单位所在区县适用的经省级人民政府批准的月最低工资标准的工资；</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（5）提供本单位制造的货物、承担的工程或者服务（以下简称产品），或者提供其他残疾人福利性单位制造的货物（不包括使用非残疾人福利性单位注册商标的货物）。</w:t>
      </w:r>
    </w:p>
    <w:p>
      <w:pPr>
        <w:pageBreakBefore w:val="0"/>
        <w:widowControl w:val="0"/>
        <w:kinsoku/>
        <w:wordWrap/>
        <w:overflowPunct/>
        <w:topLinePunct w:val="0"/>
        <w:autoSpaceDE/>
        <w:autoSpaceDN/>
        <w:bidi w:val="0"/>
        <w:adjustRightInd/>
        <w:snapToGrid w:val="0"/>
        <w:spacing w:before="0" w:beforeLines="0" w:after="0" w:afterLines="0" w:line="360" w:lineRule="auto"/>
        <w:ind w:firstLine="444" w:firstLineChars="200"/>
        <w:jc w:val="both"/>
        <w:textAlignment w:val="auto"/>
        <w:outlineLvl w:val="9"/>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
        <w:rPr>
          <w:rFonts w:hint="eastAsia"/>
          <w:sz w:val="21"/>
          <w:szCs w:val="21"/>
        </w:rPr>
      </w:pPr>
    </w:p>
    <w:p>
      <w:pPr>
        <w:rPr>
          <w:rFonts w:hint="eastAsia"/>
        </w:rPr>
      </w:pPr>
    </w:p>
    <w:p>
      <w:pPr>
        <w:widowControl w:val="0"/>
        <w:wordWrap w:val="0"/>
        <w:snapToGrid w:val="0"/>
        <w:spacing w:line="360" w:lineRule="auto"/>
        <w:ind w:firstLine="420" w:firstLineChars="200"/>
        <w:jc w:val="both"/>
        <w:rPr>
          <w:rFonts w:hint="eastAsia" w:ascii="宋体" w:hAnsi="宋体" w:cs="宋体"/>
          <w:snapToGrid w:val="0"/>
          <w:color w:val="000000"/>
          <w:szCs w:val="21"/>
        </w:rPr>
      </w:pPr>
      <w:r>
        <w:rPr>
          <w:rFonts w:hint="eastAsia" w:ascii="宋体" w:hAnsi="宋体" w:cs="宋体"/>
          <w:snapToGrid w:val="0"/>
          <w:color w:val="000000"/>
          <w:szCs w:val="21"/>
        </w:rPr>
        <w:t xml:space="preserve">供应商名称（盖章）：                                   </w:t>
      </w:r>
    </w:p>
    <w:p>
      <w:pPr>
        <w:widowControl w:val="0"/>
        <w:wordWrap w:val="0"/>
        <w:snapToGrid w:val="0"/>
        <w:spacing w:line="360" w:lineRule="auto"/>
        <w:ind w:firstLine="420" w:firstLineChars="200"/>
        <w:jc w:val="both"/>
        <w:rPr>
          <w:rFonts w:hint="eastAsia" w:ascii="宋体" w:hAnsi="宋体" w:cs="宋体"/>
          <w:snapToGrid w:val="0"/>
          <w:color w:val="000000"/>
          <w:szCs w:val="21"/>
        </w:rPr>
      </w:pPr>
      <w:r>
        <w:rPr>
          <w:rFonts w:hint="eastAsia" w:ascii="宋体" w:hAnsi="宋体" w:cs="宋体"/>
          <w:snapToGrid w:val="0"/>
          <w:color w:val="000000"/>
          <w:szCs w:val="21"/>
        </w:rPr>
        <w:t xml:space="preserve">法定代表人或其委托代理人（签字或盖章）：               </w:t>
      </w:r>
    </w:p>
    <w:p>
      <w:pPr>
        <w:widowControl w:val="0"/>
        <w:wordWrap w:val="0"/>
        <w:snapToGrid w:val="0"/>
        <w:spacing w:line="360" w:lineRule="auto"/>
        <w:ind w:firstLine="420" w:firstLineChars="200"/>
        <w:jc w:val="both"/>
        <w:rPr>
          <w:rFonts w:hint="eastAsia" w:ascii="宋体" w:hAnsi="宋体" w:cs="宋体"/>
          <w:snapToGrid w:val="0"/>
          <w:color w:val="000000"/>
          <w:szCs w:val="21"/>
        </w:rPr>
      </w:pPr>
      <w:r>
        <w:rPr>
          <w:rFonts w:hint="eastAsia" w:ascii="宋体" w:hAnsi="宋体" w:cs="宋体"/>
          <w:snapToGrid w:val="0"/>
          <w:color w:val="000000"/>
          <w:szCs w:val="21"/>
        </w:rPr>
        <w:t>日期：</w:t>
      </w:r>
    </w:p>
    <w:p>
      <w:pPr>
        <w:adjustRightInd w:val="0"/>
        <w:snapToGrid w:val="0"/>
        <w:spacing w:line="460" w:lineRule="exact"/>
        <w:rPr>
          <w:rFonts w:hint="eastAsia" w:ascii="宋体" w:hAnsi="宋体" w:cs="宋体"/>
          <w:b/>
          <w:color w:val="000000"/>
          <w:sz w:val="24"/>
          <w:szCs w:val="24"/>
        </w:rPr>
      </w:pPr>
    </w:p>
    <w:sectPr>
      <w:headerReference r:id="rId16" w:type="first"/>
      <w:footerReference r:id="rId18" w:type="first"/>
      <w:headerReference r:id="rId15" w:type="default"/>
      <w:footerReference r:id="rId17" w:type="default"/>
      <w:pgSz w:w="11906" w:h="16838"/>
      <w:pgMar w:top="1417" w:right="1797" w:bottom="1417" w:left="1797" w:header="720" w:footer="720" w:gutter="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中圆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微软大黑体">
    <w:altName w:val="宋体"/>
    <w:panose1 w:val="0201060900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Dutch801 XBd BT">
    <w:altName w:val="Microsoft YaHei UI"/>
    <w:panose1 w:val="02020903060505020304"/>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54"/>
      </w:rPr>
    </w:pPr>
  </w:p>
  <w:p>
    <w:pPr>
      <w:pStyle w:val="30"/>
      <w:ind w:firstLine="270" w:firstLineChars="1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p>
  <w:p>
    <w:pPr>
      <w:pStyle w:val="30"/>
      <w:ind w:firstLine="90" w:firstLineChars="50"/>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XQVC7RAQAApAMAAA4AAABkcnMvZTJvRG9jLnhtbK1TS27bMBDd F8gdCO5ryQbSCoLloIWRoEDRFkhzAJoiLQL8gUNb8gXaG3TVTfc9l8/RISU5QbLJohtqfnwz73G0 vhmMJkcRQDnb0OWipERY7lpl9w19+H77tqIEIrMt086Khp4E0JvN1Zt172uxcp3TrQgEQSzUvW9o F6OviwJ4JwyDhfPCYlK6YFhEN+yLNrAe0Y0uVmX5ruhdaH1wXABgdDsm6YQYXgPopFRcbB0/GGHj iBqEZhEpQac80E2eVkrB41cpQUSiG4pMYz6xCdq7dBabNav3gflO8WkE9poRnnEyTFlseoHassjI IagXUEbx4MDJuODOFCORrAiyWJbPtLnvmBeZC0oN/iI6/D9Y/uX4LRDV4iZQYpnBBz//+nn+/ff8 5wdZrpI+vYcay+49FsbhoxtS7RQHDCbagwwmfZEQwTyqe7qoK4ZIeLpUraqqxBTH3OwgTvF43QeI d8IZkoyGBny+rCo7foY4ls4lqZt1t0prjLNaW9Ij6nX1/jrfuKQQXVtskliM0yYrDrthorBz7QmZ 9bgDDbW48pToTxYlTusyG2E2drNx8EHtu7xPqT/4D4eI4+QpU4cRdmqMj5d5TouWtuOpn6sef67N P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AV0FQu0QEAAKQDAAAOAAAAAAAAAAEAIAAAACIB AABkcnMvZTJvRG9jLnhtbFBLBQYAAAAABgAGAFkBAABlBQAAAAA= ">
              <v:fill on="f" focussize="0,0"/>
              <v:stroke on="f" weight="1.25pt"/>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COqqHTAQAApAMAAA4AAABkcnMvZTJvRG9jLnhtbK1TzY7TMBC+ I/EOlu80aVcLUdR0BaoWISFA2uUBXMduLPlPHrdJXwDegBMX7jxXn4Oxk3TR7mUPe3FmPONv5vtm sr4ZjCZHEUA529DloqREWO5aZfcN/X5/+6aiBCKzLdPOioaeBNCbzetX697XYuU6p1sRCIJYqHvf 0C5GXxcF8E4YBgvnhcWgdMGwiG7YF21gPaIbXazK8m3Ru9D64LgAwNvtGKQTYngOoJNScbF1/GCE jSNqEJpFpASd8kA3uVspBY9fpQQRiW4oMo35xCJo79JZbNas3gfmO8WnFthzWnjEyTBlsegFassi I4egnkAZxYMDJ+OCO1OMRLIiyGJZPtLmrmNeZC4oNfiL6PBysPzL8Vsgqm3oFSWWGRz4+dfP8++/ 5z8/yPIq6dN7qDHtzmNiHD64Abdmvge8TLQHGUz6IiGCcVT3dFFXDJHw9KhaVVWJIY6x2UH84uG5 DxA/CmdIMhoacHxZVXb8DHFMnVNSNetuldZ5hNqSHlGvq3f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COqqHTAQAApAMAAA4AAAAAAAAAAQAgAAAA IgEAAGRycy9lMm9Eb2MueG1sUEsFBgAAAAAGAAYAWQEAAGcFAAAAAA== ">
              <v:fill on="f" focussize="0,0"/>
              <v:stroke on="f" weight="1.25pt"/>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47</w:t>
                          </w:r>
                          <w:r>
                            <w:rPr>
                              <w:rFonts w:hint="eastAsia"/>
                            </w:rPr>
                            <w:fldChar w:fldCharType="end"/>
                          </w:r>
                        </w:p>
                      </w:txbxContent>
                    </wps:txbx>
                    <wps:bodyPr wrap="none" lIns="0" tIns="0" rIns="0" bIns="0" upright="0">
                      <a:spAutoFit/>
                    </wps:bodyPr>
                  </wps:wsp>
                </a:graphicData>
              </a:graphic>
            </wp:anchor>
          </w:drawing>
        </mc:Choice>
        <mc:Fallback>
          <w:pict>
            <v:shape id="文本框 206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TB8t8sBAACcAwAADgAAAGRycy9lMm9Eb2MueG1srVPNjtMwEL4j8Q6W 79TZCq1K1HS1qFqEhABp4QFcx24s+U8et0lfAN6AExfuPFefg7GTdGG57GEvznhm/M1830zWN4M1 5CgjaO8aerWoKJFO+Fa7fUO/frl7taIEEnctN97Jhp4k0JvNyxfrPtRy6TtvWhkJgjio+9DQLqVQ Mwaik5bDwgfpMKh8tDzhNe5ZG3mP6NawZVVds97HNkQvJAB6t2OQTojxKYBeKS3k1ouDlS6NqFEa npASdDoA3ZRulZIifVIKZCKmocg0lROLoL3LJ9useb2PPHRaTC3wp7TwiJPl2mHRC9SWJ04OUf8H ZbWIHrxKC+EtG4kURZDFVfVIm/uOB1m4oNQQLqLD88GKj8fPkei2oa8pcdziwM8/vp9//j7/+kaW 1fWbrFAfoMbE+4CpaXjrB9yb2Q/ozMQHFW3+IiWCcdT3dNFXDomI/Gi1XK0qDAmMzRfEZw/PQ4T0 TnpLstHQiAMsuvLjB0hj6pySqzl/p40pQzTuHwdiZg/LvY89ZisNu2EitPPtCfn0OPuGOlx1Ssx7 h9LmNZmNOBu72TiEqPdd2aNcD8LtIWETpbdcYYSdCuPQCrtpwfJW/H0vWQ8/1eY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kwfLfLAQAAnAMAAA4AAAAAAAAAAQAgAAAAHgEAAGRycy9lMm9E b2MueG1sUEsFBgAAAAAGAAYAWQEAAFsFAAAAAA== ">
              <v:fill on="f" focussize="0,0"/>
              <v:stroke on="f"/>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69</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zvlXXSAQAApAMAAA4AAABkcnMvZTJvRG9jLnhtbK1TzY7TMBC+ I/EOlu80aaUtUdR0tatqERICpIUHcB27seQ/edwmfQF4A05cuPNcfQ7GTtJFy2UPXJwZz/ib+b6Z bG4Ho8lJBFDONnS5KCkRlrtW2UNDv355eFNRApHZlmlnRUPPAujt9vWrTe9rsXKd060IBEEs1L1v aBejr4sCeCcMg4XzwmJQumBYRDccijawHtGNLlZluS56F1ofHBcAeLsbg3RCDC8BdFIqLnaOH42w cUQNQrOIlKBTHug2dyul4PGTlCAi0Q1FpjGfWATtfTqL7YbVh8B8p/jUAntJC884GaYsFr1C7Vhk 5BjUP1BG8eDAybjgzhQjkawIsliWz7R57JgXmQtKDf4qOvw/WP7x9DkQ1TZ0TYllBgd++fH98vP3 5dc3slwnfXoPNaY9ekyMw70bcGvme8DLRHuQwaQvEiIYR3XPV3XFEAlPj6pVVZUY4hibHcQvnp77 APGdcIYko6EBx5dVZacPEMfUOSVVs+5BaZ1HqC3pEfWmenuTX1xDiK4tFkksxm6TFYf9MFHbu/aM zHrcgYZaXHlK9HuLEqd1mY0wG/vZOPqgDl3ep9QK+LtjxHZyl6nCCDsVxuFlntOipe34289ZTz/X 9g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jO+VddIBAACkAwAADgAAAAAAAAABACAAAAAi AQAAZHJzL2Uyb0RvYy54bWxQSwUGAAAAAAYABgBZAQAAZgUAAAAA ">
              <v:fill on="f" focussize="0,0"/>
              <v:stroke on="f" weight="1.25pt"/>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67</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gWT9/SAQAApAMAAA4AAABkcnMvZTJvRG9jLnhtbK1TzY7TMBC+ I/EOlu80aaWyUdR0tatqERICpIUHcB27seQ/edwmfQF4A05cuPNcfQ7GTtJFy2UPXJwZz/ib+b6Z bG4Ho8lJBFDONnS5KCkRlrtW2UNDv355eFNRApHZlmlnRUPPAujt9vWrTe9rsXKd060IBEEs1L1v aBejr4sCeCcMg4XzwmJQumBYRDccijawHtGNLlZl+bboXWh9cFwA4O1uDNIJMbwE0EmpuNg5fjTC xhE1CM0iUoJOeaDb3K2UgsdPUoKIRDcUmcZ8YhG09+ksthtWHwLzneJTC+wlLTzjZJiyWPQKtWOR kWNQ/0AZxYMDJ+OCO1OMRLIiyGJZPtPmsWNeZC4oNfir6PD/YPnH0+dAVNvQNSWWGRz45cf3y8/f l1/fyPIm6dN7qDHt0WNiHO7dgFsz3wNeJtqDDCZ9kRDBOKp7vqorhkh4elStqqrEEMfY7CB+8fTc B4jvhDMkGQ0NOL6sKjt9gDimzimpmnUPSus8Qm1Jj6jr6madX1xDiK4tFkksxm6TFYf9MFHbu/aM zHrcgYZaXHlK9HuLEqd1mY0wG/vZOPqgDl3ep9QK+LtjxHZyl6nCCDsVxuFlntOipe34289ZTz/X 9g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aBZP39IBAACkAwAADgAAAAAAAAABACAAAAAi AQAAZHJzL2Uyb0RvYy54bWxQSwUGAAAAAAYABgBZAQAAZgUAAAAA ">
              <v:fill on="f" focussize="0,0"/>
              <v:stroke on="f" weight="1.25pt"/>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67</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 AQAADwAAAGRycy9kb3ducmV2LnhtbE2PwWrDMBBE74X8g9hCb43sUFrjWM4hkEtvTUuht421sUyl lZEUx/77Kr20l4Vhhpm3zW52VkwU4uBZQbkuQBB3Xg/cK/h4PzxWIGJC1mg9k4KFIuza1V2DtfZX fqPpmHqRSzjWqMCkNNZSxs6Qw7j2I3H2zj44TFmGXuqA11zurNwUxbN0OHBeMDjS3lD3fbw4BS/z p6cx0p6+zlMXzLBU9nVR6uG+LLYgEs3pLww3/IwObWY6+QvrKKyC/Ej6vTevKkGcFGyeSpBtI/+z tz9QSwMEFAAAAAgAh07iQJPYTZrNAQAAlwMAAA4AAABkcnMvZTJvRG9jLnhtbK1TS27bMBDdF8gd CO5jyk5SNILloIWRoEDRFkh7AJqiLAL8gUNb8gXaG3TVTfc9l8+RISU5n26y6IYazgzfzHszWt70 RpO9DKCcreh8VlAirXC1stuKfv92e/6OEojc1lw7Kyt6kEBvVmdvlp0v5cK1TtcyEASxUHa+om2M vmQMRCsNh5nz0mKwccHwiNewZXXgHaIbzRZF8ZZ1LtQ+OCEB0LsegnREDK8BdE2jhFw7sTPSxgE1 SM0jUoJWeaCr3G3TSBG/NA3ISHRFkWnMJxZBe5NOtlrychu4b5UYW+CvaeEFJ8OVxaInqDWPnOyC +gfKKBEcuCbOhDNsIJIVQRbz4oU29y33MnNBqcGfRIf/Bys+778GouqKLiix3ODAj79+Hn//Pf75 Qa6TPJ2HErPuPebF/oPrcWkmP6Azse6bYNIX+RCMo7iHk7iyj0SkR/PL64srSgSG5lcXBdqIzh4f +wDxTjpDklHRgLPLkvL9J4hD6pSSall3q7TO89P2mQMxk4elzocOkxX7TT/S2bj6gGw6HHtFLW45 JfqjRVXThkxGmIzNZOx8UNs2r1CqB/79LmITubdUYYAdC+O8Mrtxt9JCPL3nrMf/afUA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CQVPmtAAAAADAQAADwAAAAAAAAABACAAAAAiAAAAZHJzL2Rvd25y ZXYueG1sUEsBAhQAFAAAAAgAh07iQJPYTZrNAQAAlwMAAA4AAAAAAAAAAQAgAAAAHwEAAGRycy9l Mm9Eb2MueG1sUEsFBgAAAAAGAAYAWQEAAF4FAAAAAA== ">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2B3BB"/>
    <w:multiLevelType w:val="singleLevel"/>
    <w:tmpl w:val="CBB2B3BB"/>
    <w:lvl w:ilvl="0" w:tentative="0">
      <w:start w:val="1"/>
      <w:numFmt w:val="decimal"/>
      <w:suff w:val="nothing"/>
      <w:lvlText w:val="（%1）"/>
      <w:lvlJc w:val="left"/>
    </w:lvl>
  </w:abstractNum>
  <w:abstractNum w:abstractNumId="1">
    <w:nsid w:val="00000002"/>
    <w:multiLevelType w:val="singleLevel"/>
    <w:tmpl w:val="00000002"/>
    <w:lvl w:ilvl="0" w:tentative="0">
      <w:start w:val="9"/>
      <w:numFmt w:val="decimal"/>
      <w:pStyle w:val="133"/>
      <w:suff w:val="space"/>
      <w:lvlText w:val="%1."/>
      <w:lvlJc w:val="left"/>
    </w:lvl>
  </w:abstractNum>
  <w:abstractNum w:abstractNumId="2">
    <w:nsid w:val="396AEDAC"/>
    <w:multiLevelType w:val="singleLevel"/>
    <w:tmpl w:val="396AEDAC"/>
    <w:lvl w:ilvl="0" w:tentative="0">
      <w:start w:val="5"/>
      <w:numFmt w:val="chineseCounting"/>
      <w:suff w:val="nothing"/>
      <w:lvlText w:val="%1、"/>
      <w:lvlJc w:val="left"/>
      <w:rPr>
        <w:rFonts w:hint="eastAsia"/>
      </w:rPr>
    </w:lvl>
  </w:abstractNum>
  <w:abstractNum w:abstractNumId="3">
    <w:nsid w:val="57B56D15"/>
    <w:multiLevelType w:val="singleLevel"/>
    <w:tmpl w:val="57B56D15"/>
    <w:lvl w:ilvl="0" w:tentative="0">
      <w:start w:val="6"/>
      <w:numFmt w:val="chineseCounting"/>
      <w:suff w:val="space"/>
      <w:lvlText w:val="第%1条"/>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jljMzE4ZWI5MmY0MzA1NDljNTA5ZjYyMWFkNzgifQ=="/>
  </w:docVars>
  <w:rsids>
    <w:rsidRoot w:val="00172A27"/>
    <w:rsid w:val="0004766D"/>
    <w:rsid w:val="000A2C6F"/>
    <w:rsid w:val="000E3FC3"/>
    <w:rsid w:val="00151264"/>
    <w:rsid w:val="00151837"/>
    <w:rsid w:val="001C476D"/>
    <w:rsid w:val="001D2578"/>
    <w:rsid w:val="001D2E74"/>
    <w:rsid w:val="0021145B"/>
    <w:rsid w:val="002161D8"/>
    <w:rsid w:val="00224F97"/>
    <w:rsid w:val="00263FB3"/>
    <w:rsid w:val="00266CF4"/>
    <w:rsid w:val="002A5568"/>
    <w:rsid w:val="002C47E0"/>
    <w:rsid w:val="00381F38"/>
    <w:rsid w:val="00397FB0"/>
    <w:rsid w:val="003D0404"/>
    <w:rsid w:val="003D21B2"/>
    <w:rsid w:val="004672B9"/>
    <w:rsid w:val="00477A8C"/>
    <w:rsid w:val="004C3D7B"/>
    <w:rsid w:val="004E1D37"/>
    <w:rsid w:val="004E616D"/>
    <w:rsid w:val="004F6BE2"/>
    <w:rsid w:val="0055726C"/>
    <w:rsid w:val="00561108"/>
    <w:rsid w:val="00580453"/>
    <w:rsid w:val="005A4C53"/>
    <w:rsid w:val="005F2BF0"/>
    <w:rsid w:val="005F52EE"/>
    <w:rsid w:val="0060068C"/>
    <w:rsid w:val="006336EF"/>
    <w:rsid w:val="00694006"/>
    <w:rsid w:val="006972B6"/>
    <w:rsid w:val="006C1A0E"/>
    <w:rsid w:val="00720478"/>
    <w:rsid w:val="00726022"/>
    <w:rsid w:val="00741CFC"/>
    <w:rsid w:val="007513AB"/>
    <w:rsid w:val="00751B28"/>
    <w:rsid w:val="007557FF"/>
    <w:rsid w:val="0079626F"/>
    <w:rsid w:val="00796E16"/>
    <w:rsid w:val="007A41CE"/>
    <w:rsid w:val="007A6F63"/>
    <w:rsid w:val="007B15A6"/>
    <w:rsid w:val="007E4CA5"/>
    <w:rsid w:val="008310A5"/>
    <w:rsid w:val="00845C4E"/>
    <w:rsid w:val="008552E8"/>
    <w:rsid w:val="0086583A"/>
    <w:rsid w:val="00882AEA"/>
    <w:rsid w:val="008A3E84"/>
    <w:rsid w:val="008E61DB"/>
    <w:rsid w:val="0090270C"/>
    <w:rsid w:val="00914048"/>
    <w:rsid w:val="00957249"/>
    <w:rsid w:val="00975D66"/>
    <w:rsid w:val="009853DD"/>
    <w:rsid w:val="009A363C"/>
    <w:rsid w:val="009C3E16"/>
    <w:rsid w:val="00A50956"/>
    <w:rsid w:val="00A51D29"/>
    <w:rsid w:val="00A54B29"/>
    <w:rsid w:val="00A559F6"/>
    <w:rsid w:val="00A82F8F"/>
    <w:rsid w:val="00AA4733"/>
    <w:rsid w:val="00AB7A64"/>
    <w:rsid w:val="00AC0A74"/>
    <w:rsid w:val="00AC2F30"/>
    <w:rsid w:val="00AF69B4"/>
    <w:rsid w:val="00B11A45"/>
    <w:rsid w:val="00B20D05"/>
    <w:rsid w:val="00BB3D69"/>
    <w:rsid w:val="00BE03FD"/>
    <w:rsid w:val="00C06997"/>
    <w:rsid w:val="00C428B5"/>
    <w:rsid w:val="00C763E7"/>
    <w:rsid w:val="00C9437F"/>
    <w:rsid w:val="00C960F2"/>
    <w:rsid w:val="00CB3C62"/>
    <w:rsid w:val="00CC1B1A"/>
    <w:rsid w:val="00CC43A7"/>
    <w:rsid w:val="00D27B1B"/>
    <w:rsid w:val="00D416B3"/>
    <w:rsid w:val="00D8232D"/>
    <w:rsid w:val="00D87824"/>
    <w:rsid w:val="00D96801"/>
    <w:rsid w:val="00DA01B7"/>
    <w:rsid w:val="00DB51DD"/>
    <w:rsid w:val="00DB70A9"/>
    <w:rsid w:val="00DD47A5"/>
    <w:rsid w:val="00DF2332"/>
    <w:rsid w:val="00E147A1"/>
    <w:rsid w:val="00E1706A"/>
    <w:rsid w:val="00E225FA"/>
    <w:rsid w:val="00E371FE"/>
    <w:rsid w:val="00E426BF"/>
    <w:rsid w:val="00EA67FE"/>
    <w:rsid w:val="00EB1C0E"/>
    <w:rsid w:val="00F246A5"/>
    <w:rsid w:val="00F37B23"/>
    <w:rsid w:val="00F907CF"/>
    <w:rsid w:val="00F9257D"/>
    <w:rsid w:val="00FA32A5"/>
    <w:rsid w:val="00FA34F2"/>
    <w:rsid w:val="0100390C"/>
    <w:rsid w:val="010827C0"/>
    <w:rsid w:val="011A60E3"/>
    <w:rsid w:val="011C626C"/>
    <w:rsid w:val="01213882"/>
    <w:rsid w:val="012313A8"/>
    <w:rsid w:val="01233A9E"/>
    <w:rsid w:val="01255120"/>
    <w:rsid w:val="012D0479"/>
    <w:rsid w:val="013519FD"/>
    <w:rsid w:val="01422176"/>
    <w:rsid w:val="01444DD9"/>
    <w:rsid w:val="015369BF"/>
    <w:rsid w:val="015567CC"/>
    <w:rsid w:val="015B3238"/>
    <w:rsid w:val="016D30C9"/>
    <w:rsid w:val="0176597C"/>
    <w:rsid w:val="017B3FF0"/>
    <w:rsid w:val="017C407C"/>
    <w:rsid w:val="0185140C"/>
    <w:rsid w:val="019404F8"/>
    <w:rsid w:val="01973031"/>
    <w:rsid w:val="01C85C1D"/>
    <w:rsid w:val="01CA5CC8"/>
    <w:rsid w:val="01E07C01"/>
    <w:rsid w:val="01F11E89"/>
    <w:rsid w:val="01F93C74"/>
    <w:rsid w:val="02025461"/>
    <w:rsid w:val="020C62E0"/>
    <w:rsid w:val="0228102D"/>
    <w:rsid w:val="023F2212"/>
    <w:rsid w:val="024873C8"/>
    <w:rsid w:val="02555ED9"/>
    <w:rsid w:val="025D0434"/>
    <w:rsid w:val="0281282A"/>
    <w:rsid w:val="028440C8"/>
    <w:rsid w:val="0293255D"/>
    <w:rsid w:val="029D5AA9"/>
    <w:rsid w:val="02A67A28"/>
    <w:rsid w:val="02B04EBD"/>
    <w:rsid w:val="02C10646"/>
    <w:rsid w:val="02D347AB"/>
    <w:rsid w:val="02E9473E"/>
    <w:rsid w:val="02F01CBD"/>
    <w:rsid w:val="02F079B0"/>
    <w:rsid w:val="02FE3E7B"/>
    <w:rsid w:val="03092820"/>
    <w:rsid w:val="031418F0"/>
    <w:rsid w:val="03142DDF"/>
    <w:rsid w:val="031511C4"/>
    <w:rsid w:val="03343D40"/>
    <w:rsid w:val="03355BD3"/>
    <w:rsid w:val="033A63BF"/>
    <w:rsid w:val="033C49A3"/>
    <w:rsid w:val="03421103"/>
    <w:rsid w:val="034877EC"/>
    <w:rsid w:val="035D37EA"/>
    <w:rsid w:val="03635D61"/>
    <w:rsid w:val="036839EA"/>
    <w:rsid w:val="0375327A"/>
    <w:rsid w:val="037800D1"/>
    <w:rsid w:val="038220B5"/>
    <w:rsid w:val="038A7E04"/>
    <w:rsid w:val="03991DF6"/>
    <w:rsid w:val="039D4548"/>
    <w:rsid w:val="039E740C"/>
    <w:rsid w:val="03A52548"/>
    <w:rsid w:val="03B22EB7"/>
    <w:rsid w:val="03BE2891"/>
    <w:rsid w:val="03D35307"/>
    <w:rsid w:val="03D746CC"/>
    <w:rsid w:val="03E07287"/>
    <w:rsid w:val="03EA43FF"/>
    <w:rsid w:val="03F75056"/>
    <w:rsid w:val="041358F2"/>
    <w:rsid w:val="04221DEB"/>
    <w:rsid w:val="04253689"/>
    <w:rsid w:val="042A3990"/>
    <w:rsid w:val="04365896"/>
    <w:rsid w:val="04441D61"/>
    <w:rsid w:val="04454A76"/>
    <w:rsid w:val="04504BAA"/>
    <w:rsid w:val="046C3066"/>
    <w:rsid w:val="04710B23"/>
    <w:rsid w:val="048815ED"/>
    <w:rsid w:val="048A17E0"/>
    <w:rsid w:val="04974587"/>
    <w:rsid w:val="049A05B6"/>
    <w:rsid w:val="04B05649"/>
    <w:rsid w:val="04BD6A50"/>
    <w:rsid w:val="04D72D2F"/>
    <w:rsid w:val="05033D8D"/>
    <w:rsid w:val="051200B1"/>
    <w:rsid w:val="053F077B"/>
    <w:rsid w:val="054E305A"/>
    <w:rsid w:val="05706B86"/>
    <w:rsid w:val="057A04AB"/>
    <w:rsid w:val="05832D5D"/>
    <w:rsid w:val="05971DCF"/>
    <w:rsid w:val="05A531A2"/>
    <w:rsid w:val="05A54A82"/>
    <w:rsid w:val="05B25E08"/>
    <w:rsid w:val="05B60A3D"/>
    <w:rsid w:val="05D067AE"/>
    <w:rsid w:val="05D162E8"/>
    <w:rsid w:val="05D4303C"/>
    <w:rsid w:val="05D435B9"/>
    <w:rsid w:val="05D80C81"/>
    <w:rsid w:val="05DD246D"/>
    <w:rsid w:val="05DD7EF2"/>
    <w:rsid w:val="05DE7F94"/>
    <w:rsid w:val="05E2791F"/>
    <w:rsid w:val="05E530D0"/>
    <w:rsid w:val="05E7509A"/>
    <w:rsid w:val="05EA7983"/>
    <w:rsid w:val="05F04676"/>
    <w:rsid w:val="05F20AC9"/>
    <w:rsid w:val="06035C4C"/>
    <w:rsid w:val="06053772"/>
    <w:rsid w:val="060F639F"/>
    <w:rsid w:val="061439B5"/>
    <w:rsid w:val="06252BFE"/>
    <w:rsid w:val="062A31D9"/>
    <w:rsid w:val="0636765B"/>
    <w:rsid w:val="06383B48"/>
    <w:rsid w:val="063F06FE"/>
    <w:rsid w:val="064268D3"/>
    <w:rsid w:val="06570328"/>
    <w:rsid w:val="06615B03"/>
    <w:rsid w:val="0666368D"/>
    <w:rsid w:val="066F6E3E"/>
    <w:rsid w:val="06744454"/>
    <w:rsid w:val="067A5F0E"/>
    <w:rsid w:val="068C45C5"/>
    <w:rsid w:val="069D1BFD"/>
    <w:rsid w:val="069F7A54"/>
    <w:rsid w:val="06B12060"/>
    <w:rsid w:val="06B94682"/>
    <w:rsid w:val="06C74ECC"/>
    <w:rsid w:val="06C91B51"/>
    <w:rsid w:val="06D15B4F"/>
    <w:rsid w:val="06D23F27"/>
    <w:rsid w:val="06D80E87"/>
    <w:rsid w:val="06E635A4"/>
    <w:rsid w:val="06F37A6F"/>
    <w:rsid w:val="06F51521"/>
    <w:rsid w:val="070B2804"/>
    <w:rsid w:val="070B6B66"/>
    <w:rsid w:val="070C12BA"/>
    <w:rsid w:val="070E7A21"/>
    <w:rsid w:val="071A149F"/>
    <w:rsid w:val="07350087"/>
    <w:rsid w:val="07365059"/>
    <w:rsid w:val="0742682B"/>
    <w:rsid w:val="07437D0A"/>
    <w:rsid w:val="074958E1"/>
    <w:rsid w:val="074B1659"/>
    <w:rsid w:val="07554285"/>
    <w:rsid w:val="07591D19"/>
    <w:rsid w:val="075C3866"/>
    <w:rsid w:val="07660241"/>
    <w:rsid w:val="077D4FF6"/>
    <w:rsid w:val="077E2852"/>
    <w:rsid w:val="079511E1"/>
    <w:rsid w:val="07AB0349"/>
    <w:rsid w:val="07AC3908"/>
    <w:rsid w:val="07C22B6F"/>
    <w:rsid w:val="07C75183"/>
    <w:rsid w:val="07CE491D"/>
    <w:rsid w:val="07E5385B"/>
    <w:rsid w:val="07FD560A"/>
    <w:rsid w:val="08071A24"/>
    <w:rsid w:val="08123F24"/>
    <w:rsid w:val="08230F87"/>
    <w:rsid w:val="08231BEF"/>
    <w:rsid w:val="083420ED"/>
    <w:rsid w:val="08347997"/>
    <w:rsid w:val="084542FA"/>
    <w:rsid w:val="08460C1D"/>
    <w:rsid w:val="08601DDB"/>
    <w:rsid w:val="086956BA"/>
    <w:rsid w:val="087E0086"/>
    <w:rsid w:val="088A4403"/>
    <w:rsid w:val="088E0EB7"/>
    <w:rsid w:val="089D33C6"/>
    <w:rsid w:val="08A21D0D"/>
    <w:rsid w:val="08B17BE1"/>
    <w:rsid w:val="08C16076"/>
    <w:rsid w:val="08C622F4"/>
    <w:rsid w:val="08DB07BA"/>
    <w:rsid w:val="08F17FDE"/>
    <w:rsid w:val="090005F8"/>
    <w:rsid w:val="09012917"/>
    <w:rsid w:val="09067F2D"/>
    <w:rsid w:val="09077801"/>
    <w:rsid w:val="09130E85"/>
    <w:rsid w:val="091B0642"/>
    <w:rsid w:val="092E2FE0"/>
    <w:rsid w:val="09442803"/>
    <w:rsid w:val="095C28B2"/>
    <w:rsid w:val="09622CCD"/>
    <w:rsid w:val="09624B8B"/>
    <w:rsid w:val="0970405B"/>
    <w:rsid w:val="097202B5"/>
    <w:rsid w:val="09756E61"/>
    <w:rsid w:val="097D17FC"/>
    <w:rsid w:val="098F0B0A"/>
    <w:rsid w:val="09905A49"/>
    <w:rsid w:val="09A8153B"/>
    <w:rsid w:val="09AB5AC4"/>
    <w:rsid w:val="09AD1FA7"/>
    <w:rsid w:val="09AF704D"/>
    <w:rsid w:val="09BA6BAC"/>
    <w:rsid w:val="09BB76AA"/>
    <w:rsid w:val="09BF0A65"/>
    <w:rsid w:val="09C3197A"/>
    <w:rsid w:val="09C83435"/>
    <w:rsid w:val="09D41E2C"/>
    <w:rsid w:val="09D86A10"/>
    <w:rsid w:val="09EF2B40"/>
    <w:rsid w:val="09FC4E8C"/>
    <w:rsid w:val="0A074B23"/>
    <w:rsid w:val="0A0F4281"/>
    <w:rsid w:val="0A122902"/>
    <w:rsid w:val="0A2763AD"/>
    <w:rsid w:val="0A3463D4"/>
    <w:rsid w:val="0A4707FD"/>
    <w:rsid w:val="0A5151D8"/>
    <w:rsid w:val="0A516F86"/>
    <w:rsid w:val="0A54036B"/>
    <w:rsid w:val="0A5D1DCF"/>
    <w:rsid w:val="0A5F5027"/>
    <w:rsid w:val="0A6E35B5"/>
    <w:rsid w:val="0A7B2255"/>
    <w:rsid w:val="0A8530D4"/>
    <w:rsid w:val="0A8833A3"/>
    <w:rsid w:val="0A8B7D05"/>
    <w:rsid w:val="0A8C6210"/>
    <w:rsid w:val="0A96708F"/>
    <w:rsid w:val="0A9D666F"/>
    <w:rsid w:val="0AA67BB0"/>
    <w:rsid w:val="0AB459D7"/>
    <w:rsid w:val="0ACB31DC"/>
    <w:rsid w:val="0AD11E75"/>
    <w:rsid w:val="0AF420C0"/>
    <w:rsid w:val="0B071D3B"/>
    <w:rsid w:val="0B100BEF"/>
    <w:rsid w:val="0B200592"/>
    <w:rsid w:val="0B291EED"/>
    <w:rsid w:val="0B2A7125"/>
    <w:rsid w:val="0B380146"/>
    <w:rsid w:val="0B3A3C21"/>
    <w:rsid w:val="0B3B3792"/>
    <w:rsid w:val="0B444D3D"/>
    <w:rsid w:val="0B4B1C27"/>
    <w:rsid w:val="0B5317AD"/>
    <w:rsid w:val="0B5C2086"/>
    <w:rsid w:val="0B6E5916"/>
    <w:rsid w:val="0B725406"/>
    <w:rsid w:val="0B73117E"/>
    <w:rsid w:val="0B7F5D75"/>
    <w:rsid w:val="0B812BDC"/>
    <w:rsid w:val="0B8D2381"/>
    <w:rsid w:val="0B903ADE"/>
    <w:rsid w:val="0BA94BA0"/>
    <w:rsid w:val="0BB7146C"/>
    <w:rsid w:val="0BBC0D77"/>
    <w:rsid w:val="0BC1638D"/>
    <w:rsid w:val="0BC35C62"/>
    <w:rsid w:val="0BCF7C99"/>
    <w:rsid w:val="0BDB3B19"/>
    <w:rsid w:val="0BEA7692"/>
    <w:rsid w:val="0BEC5774"/>
    <w:rsid w:val="0BF70F73"/>
    <w:rsid w:val="0BFA364D"/>
    <w:rsid w:val="0BFE6C9A"/>
    <w:rsid w:val="0C0F70F9"/>
    <w:rsid w:val="0C104C1F"/>
    <w:rsid w:val="0C1B382B"/>
    <w:rsid w:val="0C1C7A68"/>
    <w:rsid w:val="0C2A5CE1"/>
    <w:rsid w:val="0C2F1549"/>
    <w:rsid w:val="0C3845C3"/>
    <w:rsid w:val="0C394176"/>
    <w:rsid w:val="0C3B1C9C"/>
    <w:rsid w:val="0C5D1102"/>
    <w:rsid w:val="0C786914"/>
    <w:rsid w:val="0C7B653C"/>
    <w:rsid w:val="0C803B53"/>
    <w:rsid w:val="0C8527EA"/>
    <w:rsid w:val="0C8B41A2"/>
    <w:rsid w:val="0C915D60"/>
    <w:rsid w:val="0C9526EF"/>
    <w:rsid w:val="0C965124"/>
    <w:rsid w:val="0C9D4705"/>
    <w:rsid w:val="0CAC2B9A"/>
    <w:rsid w:val="0CBA12FE"/>
    <w:rsid w:val="0CBB4B8B"/>
    <w:rsid w:val="0CBD6B55"/>
    <w:rsid w:val="0CC2416B"/>
    <w:rsid w:val="0CD8398F"/>
    <w:rsid w:val="0CEE6D0E"/>
    <w:rsid w:val="0CF87B8D"/>
    <w:rsid w:val="0D122004"/>
    <w:rsid w:val="0D1424ED"/>
    <w:rsid w:val="0D330BC5"/>
    <w:rsid w:val="0D4E59FF"/>
    <w:rsid w:val="0D5A43A4"/>
    <w:rsid w:val="0D5B2395"/>
    <w:rsid w:val="0D5D7FBA"/>
    <w:rsid w:val="0D662D48"/>
    <w:rsid w:val="0D6A70B2"/>
    <w:rsid w:val="0D6C6406"/>
    <w:rsid w:val="0D725B91"/>
    <w:rsid w:val="0D8465E1"/>
    <w:rsid w:val="0D8B27AF"/>
    <w:rsid w:val="0D9342CD"/>
    <w:rsid w:val="0D95362E"/>
    <w:rsid w:val="0D98311E"/>
    <w:rsid w:val="0DA379C4"/>
    <w:rsid w:val="0DA4527B"/>
    <w:rsid w:val="0DA6378E"/>
    <w:rsid w:val="0DA7345B"/>
    <w:rsid w:val="0DAE46EF"/>
    <w:rsid w:val="0DB461AA"/>
    <w:rsid w:val="0DD759F4"/>
    <w:rsid w:val="0DDA7292"/>
    <w:rsid w:val="0DDC125D"/>
    <w:rsid w:val="0DE63E89"/>
    <w:rsid w:val="0DFE11D3"/>
    <w:rsid w:val="0DFF319D"/>
    <w:rsid w:val="0E0A51F9"/>
    <w:rsid w:val="0E0C73D2"/>
    <w:rsid w:val="0E112458"/>
    <w:rsid w:val="0E252C04"/>
    <w:rsid w:val="0E3B2427"/>
    <w:rsid w:val="0E3E4B0D"/>
    <w:rsid w:val="0E3E5A73"/>
    <w:rsid w:val="0E4F40DB"/>
    <w:rsid w:val="0E576B35"/>
    <w:rsid w:val="0E654924"/>
    <w:rsid w:val="0E807E3A"/>
    <w:rsid w:val="0E9C279A"/>
    <w:rsid w:val="0EB775D4"/>
    <w:rsid w:val="0EBE6BB4"/>
    <w:rsid w:val="0EE33A01"/>
    <w:rsid w:val="0EE95084"/>
    <w:rsid w:val="0EF41EF0"/>
    <w:rsid w:val="0EF83E74"/>
    <w:rsid w:val="0F0C5B71"/>
    <w:rsid w:val="0F1C3AAB"/>
    <w:rsid w:val="0F220886"/>
    <w:rsid w:val="0F331350"/>
    <w:rsid w:val="0F3550C8"/>
    <w:rsid w:val="0F3A1C87"/>
    <w:rsid w:val="0F41676A"/>
    <w:rsid w:val="0F476BAA"/>
    <w:rsid w:val="0F4C5F6E"/>
    <w:rsid w:val="0F5F2145"/>
    <w:rsid w:val="0F67483F"/>
    <w:rsid w:val="0F6C54D9"/>
    <w:rsid w:val="0F763231"/>
    <w:rsid w:val="0F7F45C1"/>
    <w:rsid w:val="0F84395A"/>
    <w:rsid w:val="0F855469"/>
    <w:rsid w:val="0FB029A1"/>
    <w:rsid w:val="0FC25956"/>
    <w:rsid w:val="0FC30926"/>
    <w:rsid w:val="0FC621C4"/>
    <w:rsid w:val="0FC85F3C"/>
    <w:rsid w:val="0FDC19E8"/>
    <w:rsid w:val="0FFA1E6E"/>
    <w:rsid w:val="101747CE"/>
    <w:rsid w:val="101C0036"/>
    <w:rsid w:val="10354D50"/>
    <w:rsid w:val="10374E70"/>
    <w:rsid w:val="103B574F"/>
    <w:rsid w:val="10423AAD"/>
    <w:rsid w:val="10636656"/>
    <w:rsid w:val="10855BDB"/>
    <w:rsid w:val="10861954"/>
    <w:rsid w:val="10A047C3"/>
    <w:rsid w:val="10AE30CB"/>
    <w:rsid w:val="10C26F56"/>
    <w:rsid w:val="10CF66B7"/>
    <w:rsid w:val="10CF6E57"/>
    <w:rsid w:val="10E71C08"/>
    <w:rsid w:val="10E877DC"/>
    <w:rsid w:val="10E97D3F"/>
    <w:rsid w:val="10EC17B7"/>
    <w:rsid w:val="10EF574B"/>
    <w:rsid w:val="11001706"/>
    <w:rsid w:val="1101035E"/>
    <w:rsid w:val="1103503F"/>
    <w:rsid w:val="11091E97"/>
    <w:rsid w:val="11160F29"/>
    <w:rsid w:val="11241BC8"/>
    <w:rsid w:val="112847B9"/>
    <w:rsid w:val="11292A0B"/>
    <w:rsid w:val="113B273E"/>
    <w:rsid w:val="11533ED6"/>
    <w:rsid w:val="11634536"/>
    <w:rsid w:val="11671785"/>
    <w:rsid w:val="116B2626"/>
    <w:rsid w:val="116C0B49"/>
    <w:rsid w:val="116F23E8"/>
    <w:rsid w:val="117F04CD"/>
    <w:rsid w:val="11A000FE"/>
    <w:rsid w:val="11AF6FAB"/>
    <w:rsid w:val="11B5579F"/>
    <w:rsid w:val="11C070D3"/>
    <w:rsid w:val="11C421F5"/>
    <w:rsid w:val="11C52008"/>
    <w:rsid w:val="11C86376"/>
    <w:rsid w:val="11CB047A"/>
    <w:rsid w:val="11D64215"/>
    <w:rsid w:val="11DD37F5"/>
    <w:rsid w:val="11DF5718"/>
    <w:rsid w:val="11F272A1"/>
    <w:rsid w:val="11FA7F03"/>
    <w:rsid w:val="11FC2B60"/>
    <w:rsid w:val="120174E4"/>
    <w:rsid w:val="12033A9B"/>
    <w:rsid w:val="120F7A29"/>
    <w:rsid w:val="12107727"/>
    <w:rsid w:val="12266F4A"/>
    <w:rsid w:val="122907E8"/>
    <w:rsid w:val="122E5DFF"/>
    <w:rsid w:val="12370FBD"/>
    <w:rsid w:val="125053DB"/>
    <w:rsid w:val="12652C9E"/>
    <w:rsid w:val="126B6F53"/>
    <w:rsid w:val="12700652"/>
    <w:rsid w:val="127E259C"/>
    <w:rsid w:val="128250AE"/>
    <w:rsid w:val="129412AA"/>
    <w:rsid w:val="12951EF8"/>
    <w:rsid w:val="129569F8"/>
    <w:rsid w:val="12A3059B"/>
    <w:rsid w:val="12B92926"/>
    <w:rsid w:val="12C10A21"/>
    <w:rsid w:val="12C27A9B"/>
    <w:rsid w:val="12CC73B7"/>
    <w:rsid w:val="12CD208F"/>
    <w:rsid w:val="12D22C2E"/>
    <w:rsid w:val="12DE15D3"/>
    <w:rsid w:val="12E3308D"/>
    <w:rsid w:val="12E806A4"/>
    <w:rsid w:val="12EA3E8D"/>
    <w:rsid w:val="12EB3CF0"/>
    <w:rsid w:val="12F42BA4"/>
    <w:rsid w:val="13060609"/>
    <w:rsid w:val="13082AF4"/>
    <w:rsid w:val="13143247"/>
    <w:rsid w:val="13165211"/>
    <w:rsid w:val="131B309E"/>
    <w:rsid w:val="131C339B"/>
    <w:rsid w:val="13347445"/>
    <w:rsid w:val="133B6A25"/>
    <w:rsid w:val="13427DB4"/>
    <w:rsid w:val="13497394"/>
    <w:rsid w:val="1356385F"/>
    <w:rsid w:val="136B73A3"/>
    <w:rsid w:val="137A7DDB"/>
    <w:rsid w:val="13800407"/>
    <w:rsid w:val="138441FE"/>
    <w:rsid w:val="13857CA0"/>
    <w:rsid w:val="138A52B7"/>
    <w:rsid w:val="13912AE9"/>
    <w:rsid w:val="13933E49"/>
    <w:rsid w:val="13A54AE5"/>
    <w:rsid w:val="13A6407E"/>
    <w:rsid w:val="13C407C9"/>
    <w:rsid w:val="13D12EE6"/>
    <w:rsid w:val="13D676C8"/>
    <w:rsid w:val="13DC32B1"/>
    <w:rsid w:val="13EF3D04"/>
    <w:rsid w:val="13F35552"/>
    <w:rsid w:val="13F53078"/>
    <w:rsid w:val="13F55C7C"/>
    <w:rsid w:val="13FA068E"/>
    <w:rsid w:val="13FA68E0"/>
    <w:rsid w:val="14057536"/>
    <w:rsid w:val="141D1B28"/>
    <w:rsid w:val="141F1EA3"/>
    <w:rsid w:val="14226E0F"/>
    <w:rsid w:val="143336DA"/>
    <w:rsid w:val="143771ED"/>
    <w:rsid w:val="143F3A5E"/>
    <w:rsid w:val="1454109D"/>
    <w:rsid w:val="14563F45"/>
    <w:rsid w:val="14567901"/>
    <w:rsid w:val="146B333A"/>
    <w:rsid w:val="14726477"/>
    <w:rsid w:val="14740441"/>
    <w:rsid w:val="14783DE9"/>
    <w:rsid w:val="147A17CF"/>
    <w:rsid w:val="14865B95"/>
    <w:rsid w:val="14916E3F"/>
    <w:rsid w:val="149D00E3"/>
    <w:rsid w:val="14B7657F"/>
    <w:rsid w:val="14C20446"/>
    <w:rsid w:val="14C33176"/>
    <w:rsid w:val="14D013EF"/>
    <w:rsid w:val="14D7277E"/>
    <w:rsid w:val="14E153AA"/>
    <w:rsid w:val="14E242BD"/>
    <w:rsid w:val="14F41582"/>
    <w:rsid w:val="1505553D"/>
    <w:rsid w:val="15067F8B"/>
    <w:rsid w:val="15115C90"/>
    <w:rsid w:val="151E08D7"/>
    <w:rsid w:val="153D4CD7"/>
    <w:rsid w:val="15406575"/>
    <w:rsid w:val="154F41E3"/>
    <w:rsid w:val="155362A8"/>
    <w:rsid w:val="156B3E19"/>
    <w:rsid w:val="159E5049"/>
    <w:rsid w:val="15AF54A9"/>
    <w:rsid w:val="15DC0690"/>
    <w:rsid w:val="15DF5D8E"/>
    <w:rsid w:val="15ED0301"/>
    <w:rsid w:val="15FB0A7F"/>
    <w:rsid w:val="160B0931"/>
    <w:rsid w:val="160C14E1"/>
    <w:rsid w:val="161517B0"/>
    <w:rsid w:val="161F618A"/>
    <w:rsid w:val="16442095"/>
    <w:rsid w:val="16554514"/>
    <w:rsid w:val="1659321F"/>
    <w:rsid w:val="1663076D"/>
    <w:rsid w:val="1665643A"/>
    <w:rsid w:val="16660238"/>
    <w:rsid w:val="166D15EC"/>
    <w:rsid w:val="166E423E"/>
    <w:rsid w:val="167C74F9"/>
    <w:rsid w:val="167F30CD"/>
    <w:rsid w:val="16827960"/>
    <w:rsid w:val="1686445B"/>
    <w:rsid w:val="168A4784"/>
    <w:rsid w:val="169301DA"/>
    <w:rsid w:val="16AF0E7C"/>
    <w:rsid w:val="16B502E2"/>
    <w:rsid w:val="16B74615"/>
    <w:rsid w:val="16BC3DA8"/>
    <w:rsid w:val="16C3393B"/>
    <w:rsid w:val="16C46D32"/>
    <w:rsid w:val="16C62491"/>
    <w:rsid w:val="16D03928"/>
    <w:rsid w:val="16DA250D"/>
    <w:rsid w:val="16DA6212"/>
    <w:rsid w:val="16DE6045"/>
    <w:rsid w:val="16E6314C"/>
    <w:rsid w:val="16E66CA8"/>
    <w:rsid w:val="16F05D79"/>
    <w:rsid w:val="16FD4D8F"/>
    <w:rsid w:val="17045380"/>
    <w:rsid w:val="171922A8"/>
    <w:rsid w:val="171D319A"/>
    <w:rsid w:val="172D2B29"/>
    <w:rsid w:val="173C182A"/>
    <w:rsid w:val="174F6F43"/>
    <w:rsid w:val="17516817"/>
    <w:rsid w:val="17575DF8"/>
    <w:rsid w:val="17652F6D"/>
    <w:rsid w:val="176A78D9"/>
    <w:rsid w:val="176C69FB"/>
    <w:rsid w:val="176F4EEF"/>
    <w:rsid w:val="17884203"/>
    <w:rsid w:val="17942BA8"/>
    <w:rsid w:val="17944956"/>
    <w:rsid w:val="17984446"/>
    <w:rsid w:val="17AE14DE"/>
    <w:rsid w:val="17C01E38"/>
    <w:rsid w:val="17CE60BA"/>
    <w:rsid w:val="17E254F2"/>
    <w:rsid w:val="17E260D7"/>
    <w:rsid w:val="17F81389"/>
    <w:rsid w:val="18143B22"/>
    <w:rsid w:val="1815147F"/>
    <w:rsid w:val="181E2472"/>
    <w:rsid w:val="18273A1C"/>
    <w:rsid w:val="182D3DB9"/>
    <w:rsid w:val="18303F83"/>
    <w:rsid w:val="183D23CB"/>
    <w:rsid w:val="1849489E"/>
    <w:rsid w:val="184A3267"/>
    <w:rsid w:val="185760AF"/>
    <w:rsid w:val="18581E27"/>
    <w:rsid w:val="1867206B"/>
    <w:rsid w:val="186746E5"/>
    <w:rsid w:val="18674BA2"/>
    <w:rsid w:val="186C0202"/>
    <w:rsid w:val="186C580B"/>
    <w:rsid w:val="186E164B"/>
    <w:rsid w:val="187D188E"/>
    <w:rsid w:val="18842C1C"/>
    <w:rsid w:val="188624F1"/>
    <w:rsid w:val="18972950"/>
    <w:rsid w:val="189F2045"/>
    <w:rsid w:val="189F7A56"/>
    <w:rsid w:val="18B4025E"/>
    <w:rsid w:val="18BB3882"/>
    <w:rsid w:val="18BF5C95"/>
    <w:rsid w:val="18C474BD"/>
    <w:rsid w:val="18CB25F9"/>
    <w:rsid w:val="18D300F0"/>
    <w:rsid w:val="18E57D96"/>
    <w:rsid w:val="18EF453A"/>
    <w:rsid w:val="18F41B50"/>
    <w:rsid w:val="191E4E1F"/>
    <w:rsid w:val="19371A3D"/>
    <w:rsid w:val="19556E9F"/>
    <w:rsid w:val="195C5947"/>
    <w:rsid w:val="196071E6"/>
    <w:rsid w:val="196640D0"/>
    <w:rsid w:val="196B7D6D"/>
    <w:rsid w:val="197248ED"/>
    <w:rsid w:val="197607B7"/>
    <w:rsid w:val="197C7623"/>
    <w:rsid w:val="1981715C"/>
    <w:rsid w:val="198E24CB"/>
    <w:rsid w:val="19955468"/>
    <w:rsid w:val="19A90B8D"/>
    <w:rsid w:val="19AA66B3"/>
    <w:rsid w:val="19B65058"/>
    <w:rsid w:val="19BC1F42"/>
    <w:rsid w:val="19D509CC"/>
    <w:rsid w:val="19D616B6"/>
    <w:rsid w:val="19DD0836"/>
    <w:rsid w:val="19E611EA"/>
    <w:rsid w:val="19ED039C"/>
    <w:rsid w:val="19F31E08"/>
    <w:rsid w:val="19F416DC"/>
    <w:rsid w:val="19F636A6"/>
    <w:rsid w:val="19FE1F8E"/>
    <w:rsid w:val="1A057D8D"/>
    <w:rsid w:val="1A09570F"/>
    <w:rsid w:val="1A1378DA"/>
    <w:rsid w:val="1A163D48"/>
    <w:rsid w:val="1A1F2BFD"/>
    <w:rsid w:val="1A240213"/>
    <w:rsid w:val="1A385A6D"/>
    <w:rsid w:val="1A4A57A0"/>
    <w:rsid w:val="1A4C59BC"/>
    <w:rsid w:val="1A4F2DB6"/>
    <w:rsid w:val="1A5328A6"/>
    <w:rsid w:val="1A584361"/>
    <w:rsid w:val="1A5C7169"/>
    <w:rsid w:val="1A5F56EF"/>
    <w:rsid w:val="1A6525DA"/>
    <w:rsid w:val="1A703458"/>
    <w:rsid w:val="1A91517D"/>
    <w:rsid w:val="1A99107D"/>
    <w:rsid w:val="1AB0160B"/>
    <w:rsid w:val="1AB07CF9"/>
    <w:rsid w:val="1AE96D67"/>
    <w:rsid w:val="1AEA2605"/>
    <w:rsid w:val="1B0A43E8"/>
    <w:rsid w:val="1B140288"/>
    <w:rsid w:val="1B1409C3"/>
    <w:rsid w:val="1B155DAE"/>
    <w:rsid w:val="1B184F4E"/>
    <w:rsid w:val="1B3E70B3"/>
    <w:rsid w:val="1B4A6BB9"/>
    <w:rsid w:val="1B4C578F"/>
    <w:rsid w:val="1B5746B9"/>
    <w:rsid w:val="1B593EEC"/>
    <w:rsid w:val="1B762CF0"/>
    <w:rsid w:val="1B777574"/>
    <w:rsid w:val="1B7900EB"/>
    <w:rsid w:val="1B965141"/>
    <w:rsid w:val="1B9C027D"/>
    <w:rsid w:val="1BB126C6"/>
    <w:rsid w:val="1BB3298E"/>
    <w:rsid w:val="1BC021BE"/>
    <w:rsid w:val="1BC252E7"/>
    <w:rsid w:val="1BD94FE4"/>
    <w:rsid w:val="1BE834C2"/>
    <w:rsid w:val="1BEE6D2B"/>
    <w:rsid w:val="1BF14125"/>
    <w:rsid w:val="1BF27E9D"/>
    <w:rsid w:val="1BFF3966"/>
    <w:rsid w:val="1C0A168B"/>
    <w:rsid w:val="1C3E1334"/>
    <w:rsid w:val="1C4A5F2B"/>
    <w:rsid w:val="1C4F3541"/>
    <w:rsid w:val="1C505D3B"/>
    <w:rsid w:val="1C5B1EE6"/>
    <w:rsid w:val="1C6C5516"/>
    <w:rsid w:val="1C6E5776"/>
    <w:rsid w:val="1C71378B"/>
    <w:rsid w:val="1C7535A2"/>
    <w:rsid w:val="1C795002"/>
    <w:rsid w:val="1C7A0F4E"/>
    <w:rsid w:val="1C7D1303"/>
    <w:rsid w:val="1C855C93"/>
    <w:rsid w:val="1C9025F9"/>
    <w:rsid w:val="1C9345C7"/>
    <w:rsid w:val="1CA94A00"/>
    <w:rsid w:val="1CAC31A1"/>
    <w:rsid w:val="1CAE0268"/>
    <w:rsid w:val="1CB25FAA"/>
    <w:rsid w:val="1CB515F6"/>
    <w:rsid w:val="1CC161ED"/>
    <w:rsid w:val="1CC668B1"/>
    <w:rsid w:val="1CCD6606"/>
    <w:rsid w:val="1CD66D67"/>
    <w:rsid w:val="1CF34999"/>
    <w:rsid w:val="1CF52D64"/>
    <w:rsid w:val="1D055C16"/>
    <w:rsid w:val="1D13456F"/>
    <w:rsid w:val="1D1A58FD"/>
    <w:rsid w:val="1D295B40"/>
    <w:rsid w:val="1D303373"/>
    <w:rsid w:val="1D3846D7"/>
    <w:rsid w:val="1D44297A"/>
    <w:rsid w:val="1D4D182F"/>
    <w:rsid w:val="1D5726AE"/>
    <w:rsid w:val="1D665FA9"/>
    <w:rsid w:val="1D6E17A5"/>
    <w:rsid w:val="1D70551D"/>
    <w:rsid w:val="1D743260"/>
    <w:rsid w:val="1D790876"/>
    <w:rsid w:val="1D831FDA"/>
    <w:rsid w:val="1D8611E5"/>
    <w:rsid w:val="1D8E3BF5"/>
    <w:rsid w:val="1D905BC0"/>
    <w:rsid w:val="1D9E4867"/>
    <w:rsid w:val="1DAA396C"/>
    <w:rsid w:val="1DAC618C"/>
    <w:rsid w:val="1DAC6C9D"/>
    <w:rsid w:val="1DB95116"/>
    <w:rsid w:val="1DD3020B"/>
    <w:rsid w:val="1DD71A40"/>
    <w:rsid w:val="1DDB7295"/>
    <w:rsid w:val="1DDE4A7F"/>
    <w:rsid w:val="1DDE4E51"/>
    <w:rsid w:val="1DEA1774"/>
    <w:rsid w:val="1DF253B8"/>
    <w:rsid w:val="1E074E3E"/>
    <w:rsid w:val="1E0C3498"/>
    <w:rsid w:val="1E1B36DB"/>
    <w:rsid w:val="1E1F222A"/>
    <w:rsid w:val="1E251E5D"/>
    <w:rsid w:val="1E2F362A"/>
    <w:rsid w:val="1E347D63"/>
    <w:rsid w:val="1E544E3F"/>
    <w:rsid w:val="1E594203"/>
    <w:rsid w:val="1E6F3A27"/>
    <w:rsid w:val="1E700D69"/>
    <w:rsid w:val="1E71779F"/>
    <w:rsid w:val="1E796654"/>
    <w:rsid w:val="1E8079E2"/>
    <w:rsid w:val="1E851A71"/>
    <w:rsid w:val="1E881686"/>
    <w:rsid w:val="1E896BC5"/>
    <w:rsid w:val="1EA062D6"/>
    <w:rsid w:val="1EA153C2"/>
    <w:rsid w:val="1EDD3086"/>
    <w:rsid w:val="1EE00B7D"/>
    <w:rsid w:val="1EE253E2"/>
    <w:rsid w:val="1EE53CE9"/>
    <w:rsid w:val="1EE57540"/>
    <w:rsid w:val="1EE660B3"/>
    <w:rsid w:val="1EEF4852"/>
    <w:rsid w:val="1EFC2612"/>
    <w:rsid w:val="1EFF124F"/>
    <w:rsid w:val="1F170346"/>
    <w:rsid w:val="1F1A1BE5"/>
    <w:rsid w:val="1F1C1F57"/>
    <w:rsid w:val="1F230A6B"/>
    <w:rsid w:val="1F292B74"/>
    <w:rsid w:val="1F591E2E"/>
    <w:rsid w:val="1F5F56C1"/>
    <w:rsid w:val="1F66307C"/>
    <w:rsid w:val="1F6B0EC5"/>
    <w:rsid w:val="1F707A57"/>
    <w:rsid w:val="1F7D3F22"/>
    <w:rsid w:val="1F8B4890"/>
    <w:rsid w:val="1F994C45"/>
    <w:rsid w:val="1F996A2B"/>
    <w:rsid w:val="1FA11673"/>
    <w:rsid w:val="1FAA11BB"/>
    <w:rsid w:val="1FAA3A2E"/>
    <w:rsid w:val="1FAB1DCF"/>
    <w:rsid w:val="1FAD64B5"/>
    <w:rsid w:val="1FC13517"/>
    <w:rsid w:val="1FC3402A"/>
    <w:rsid w:val="1FE04BDC"/>
    <w:rsid w:val="1FE11574"/>
    <w:rsid w:val="1FE37A81"/>
    <w:rsid w:val="1FE92A3C"/>
    <w:rsid w:val="1FEB6647"/>
    <w:rsid w:val="1FED72F9"/>
    <w:rsid w:val="1FF31585"/>
    <w:rsid w:val="1FF40688"/>
    <w:rsid w:val="1FF4715D"/>
    <w:rsid w:val="20156B19"/>
    <w:rsid w:val="20213E28"/>
    <w:rsid w:val="202763AC"/>
    <w:rsid w:val="20294DCB"/>
    <w:rsid w:val="202B4E25"/>
    <w:rsid w:val="202F346E"/>
    <w:rsid w:val="20362A4E"/>
    <w:rsid w:val="204E212C"/>
    <w:rsid w:val="2059281B"/>
    <w:rsid w:val="20651381"/>
    <w:rsid w:val="20657B97"/>
    <w:rsid w:val="206654F4"/>
    <w:rsid w:val="206B61FA"/>
    <w:rsid w:val="207812B9"/>
    <w:rsid w:val="207F2647"/>
    <w:rsid w:val="20800144"/>
    <w:rsid w:val="20803CC9"/>
    <w:rsid w:val="20880DD0"/>
    <w:rsid w:val="208A4B48"/>
    <w:rsid w:val="20947775"/>
    <w:rsid w:val="20B10327"/>
    <w:rsid w:val="20BE2A44"/>
    <w:rsid w:val="20C52024"/>
    <w:rsid w:val="20CD2825"/>
    <w:rsid w:val="20D109C9"/>
    <w:rsid w:val="20DA0A53"/>
    <w:rsid w:val="210C7C53"/>
    <w:rsid w:val="210D7CB6"/>
    <w:rsid w:val="2110165E"/>
    <w:rsid w:val="21244F9D"/>
    <w:rsid w:val="212925B3"/>
    <w:rsid w:val="21294361"/>
    <w:rsid w:val="213976FC"/>
    <w:rsid w:val="214178FD"/>
    <w:rsid w:val="214D58A5"/>
    <w:rsid w:val="2151225E"/>
    <w:rsid w:val="215836CF"/>
    <w:rsid w:val="215D17E7"/>
    <w:rsid w:val="21613AFB"/>
    <w:rsid w:val="21681071"/>
    <w:rsid w:val="219A700D"/>
    <w:rsid w:val="21AB746C"/>
    <w:rsid w:val="21B207FA"/>
    <w:rsid w:val="21B93CBD"/>
    <w:rsid w:val="21C8031E"/>
    <w:rsid w:val="21D267A7"/>
    <w:rsid w:val="21DF33F9"/>
    <w:rsid w:val="21E14C3C"/>
    <w:rsid w:val="21E32762"/>
    <w:rsid w:val="21E5472C"/>
    <w:rsid w:val="21FF13F2"/>
    <w:rsid w:val="220D5A31"/>
    <w:rsid w:val="22145011"/>
    <w:rsid w:val="222F1E4B"/>
    <w:rsid w:val="22301D39"/>
    <w:rsid w:val="22317971"/>
    <w:rsid w:val="22524C15"/>
    <w:rsid w:val="22590C76"/>
    <w:rsid w:val="226014A0"/>
    <w:rsid w:val="22714212"/>
    <w:rsid w:val="22752249"/>
    <w:rsid w:val="227F3992"/>
    <w:rsid w:val="228935B5"/>
    <w:rsid w:val="228C104B"/>
    <w:rsid w:val="229323DA"/>
    <w:rsid w:val="22990E79"/>
    <w:rsid w:val="229972C4"/>
    <w:rsid w:val="22AF0896"/>
    <w:rsid w:val="22B130E0"/>
    <w:rsid w:val="22B204FB"/>
    <w:rsid w:val="22B3482A"/>
    <w:rsid w:val="22BB5342"/>
    <w:rsid w:val="22BB723B"/>
    <w:rsid w:val="22CC1448"/>
    <w:rsid w:val="22CC58EC"/>
    <w:rsid w:val="22CD0827"/>
    <w:rsid w:val="22CF1D97"/>
    <w:rsid w:val="22E22A19"/>
    <w:rsid w:val="22E91835"/>
    <w:rsid w:val="22EE7610"/>
    <w:rsid w:val="22F35F45"/>
    <w:rsid w:val="230010F2"/>
    <w:rsid w:val="23071364"/>
    <w:rsid w:val="230943EB"/>
    <w:rsid w:val="231B5F2B"/>
    <w:rsid w:val="231E01E8"/>
    <w:rsid w:val="23261B35"/>
    <w:rsid w:val="233A2855"/>
    <w:rsid w:val="233D0598"/>
    <w:rsid w:val="23403BE4"/>
    <w:rsid w:val="235F406A"/>
    <w:rsid w:val="236E69A3"/>
    <w:rsid w:val="2375388E"/>
    <w:rsid w:val="238166D6"/>
    <w:rsid w:val="238416CC"/>
    <w:rsid w:val="23846CCE"/>
    <w:rsid w:val="23857987"/>
    <w:rsid w:val="239006C7"/>
    <w:rsid w:val="23906919"/>
    <w:rsid w:val="23943374"/>
    <w:rsid w:val="23AB2ECB"/>
    <w:rsid w:val="23B24AE2"/>
    <w:rsid w:val="23C24CAF"/>
    <w:rsid w:val="23C81A7D"/>
    <w:rsid w:val="23C81C42"/>
    <w:rsid w:val="23C834F6"/>
    <w:rsid w:val="23DA53BD"/>
    <w:rsid w:val="23DF164F"/>
    <w:rsid w:val="23F073B8"/>
    <w:rsid w:val="23FF341B"/>
    <w:rsid w:val="240F33C1"/>
    <w:rsid w:val="241430A6"/>
    <w:rsid w:val="24207DB5"/>
    <w:rsid w:val="24213A15"/>
    <w:rsid w:val="243C084F"/>
    <w:rsid w:val="24414A2E"/>
    <w:rsid w:val="24480FA2"/>
    <w:rsid w:val="24521E21"/>
    <w:rsid w:val="245F009A"/>
    <w:rsid w:val="24635DDC"/>
    <w:rsid w:val="24653902"/>
    <w:rsid w:val="246D6C5B"/>
    <w:rsid w:val="24765B0F"/>
    <w:rsid w:val="24877D1C"/>
    <w:rsid w:val="24967F5F"/>
    <w:rsid w:val="24A0493A"/>
    <w:rsid w:val="24B30B11"/>
    <w:rsid w:val="24C525F3"/>
    <w:rsid w:val="24C764FA"/>
    <w:rsid w:val="24CC3981"/>
    <w:rsid w:val="24D665AE"/>
    <w:rsid w:val="24D93E01"/>
    <w:rsid w:val="24F6082E"/>
    <w:rsid w:val="24FE5B05"/>
    <w:rsid w:val="250E3F9A"/>
    <w:rsid w:val="251142EB"/>
    <w:rsid w:val="251F6F2E"/>
    <w:rsid w:val="25207829"/>
    <w:rsid w:val="252C08C4"/>
    <w:rsid w:val="253A2EBB"/>
    <w:rsid w:val="253A4D8F"/>
    <w:rsid w:val="253D662D"/>
    <w:rsid w:val="25407ECB"/>
    <w:rsid w:val="25452669"/>
    <w:rsid w:val="254D363A"/>
    <w:rsid w:val="25513E86"/>
    <w:rsid w:val="25545725"/>
    <w:rsid w:val="255A5306"/>
    <w:rsid w:val="255D0A7D"/>
    <w:rsid w:val="2571284E"/>
    <w:rsid w:val="25910727"/>
    <w:rsid w:val="25C64874"/>
    <w:rsid w:val="25D30D3F"/>
    <w:rsid w:val="25E3789D"/>
    <w:rsid w:val="25ED1E01"/>
    <w:rsid w:val="25F74A2E"/>
    <w:rsid w:val="26013AFE"/>
    <w:rsid w:val="26031625"/>
    <w:rsid w:val="260F621B"/>
    <w:rsid w:val="261A783F"/>
    <w:rsid w:val="261D6D54"/>
    <w:rsid w:val="262D044F"/>
    <w:rsid w:val="262E2D8A"/>
    <w:rsid w:val="2638063E"/>
    <w:rsid w:val="263C68E5"/>
    <w:rsid w:val="26417192"/>
    <w:rsid w:val="26467763"/>
    <w:rsid w:val="264A7253"/>
    <w:rsid w:val="264B4D7A"/>
    <w:rsid w:val="26563B29"/>
    <w:rsid w:val="26575474"/>
    <w:rsid w:val="266100F9"/>
    <w:rsid w:val="266C13DC"/>
    <w:rsid w:val="267267AA"/>
    <w:rsid w:val="2681079B"/>
    <w:rsid w:val="26854CAF"/>
    <w:rsid w:val="268F6B3B"/>
    <w:rsid w:val="26903E07"/>
    <w:rsid w:val="26946721"/>
    <w:rsid w:val="26962499"/>
    <w:rsid w:val="26AD333E"/>
    <w:rsid w:val="26BE19EF"/>
    <w:rsid w:val="26D94133"/>
    <w:rsid w:val="26DB4A9E"/>
    <w:rsid w:val="26DB4FDA"/>
    <w:rsid w:val="26F30D56"/>
    <w:rsid w:val="26FE619E"/>
    <w:rsid w:val="270513CC"/>
    <w:rsid w:val="270524A4"/>
    <w:rsid w:val="27084A19"/>
    <w:rsid w:val="27121A95"/>
    <w:rsid w:val="272A5979"/>
    <w:rsid w:val="272F1FA5"/>
    <w:rsid w:val="274912B9"/>
    <w:rsid w:val="274A370B"/>
    <w:rsid w:val="275A1718"/>
    <w:rsid w:val="27871DE1"/>
    <w:rsid w:val="278C73F8"/>
    <w:rsid w:val="279462AC"/>
    <w:rsid w:val="279B763B"/>
    <w:rsid w:val="27B013E4"/>
    <w:rsid w:val="27B35B31"/>
    <w:rsid w:val="27C369CC"/>
    <w:rsid w:val="27C8308F"/>
    <w:rsid w:val="27D14EEF"/>
    <w:rsid w:val="27DA63B5"/>
    <w:rsid w:val="27E86D24"/>
    <w:rsid w:val="27F531EF"/>
    <w:rsid w:val="27F82CDF"/>
    <w:rsid w:val="28096C9A"/>
    <w:rsid w:val="280B47C0"/>
    <w:rsid w:val="283405D9"/>
    <w:rsid w:val="28345274"/>
    <w:rsid w:val="28365A5A"/>
    <w:rsid w:val="28470C14"/>
    <w:rsid w:val="2849353B"/>
    <w:rsid w:val="284F02AF"/>
    <w:rsid w:val="285717B4"/>
    <w:rsid w:val="285919DE"/>
    <w:rsid w:val="285B0CCF"/>
    <w:rsid w:val="286C4E29"/>
    <w:rsid w:val="287560DE"/>
    <w:rsid w:val="287A1946"/>
    <w:rsid w:val="288F53F1"/>
    <w:rsid w:val="28A349F9"/>
    <w:rsid w:val="28B27332"/>
    <w:rsid w:val="28BB6E33"/>
    <w:rsid w:val="28BC5645"/>
    <w:rsid w:val="28C47AA8"/>
    <w:rsid w:val="28C57065"/>
    <w:rsid w:val="28C82E9A"/>
    <w:rsid w:val="28E27451"/>
    <w:rsid w:val="28E82D54"/>
    <w:rsid w:val="28EA3CBF"/>
    <w:rsid w:val="28ED036A"/>
    <w:rsid w:val="28EF40E2"/>
    <w:rsid w:val="290B0DAB"/>
    <w:rsid w:val="290D6316"/>
    <w:rsid w:val="29176958"/>
    <w:rsid w:val="2927562A"/>
    <w:rsid w:val="29287BE8"/>
    <w:rsid w:val="29310257"/>
    <w:rsid w:val="2939535D"/>
    <w:rsid w:val="294361DC"/>
    <w:rsid w:val="294E705B"/>
    <w:rsid w:val="295403E9"/>
    <w:rsid w:val="295C53D2"/>
    <w:rsid w:val="297D798E"/>
    <w:rsid w:val="297F5466"/>
    <w:rsid w:val="298D50E5"/>
    <w:rsid w:val="29A529F3"/>
    <w:rsid w:val="29B03871"/>
    <w:rsid w:val="29B11398"/>
    <w:rsid w:val="29B14262"/>
    <w:rsid w:val="29B35110"/>
    <w:rsid w:val="29CC1639"/>
    <w:rsid w:val="29D17D78"/>
    <w:rsid w:val="29D60DFE"/>
    <w:rsid w:val="29D94E40"/>
    <w:rsid w:val="29DA6B40"/>
    <w:rsid w:val="29E7300B"/>
    <w:rsid w:val="29EB48A9"/>
    <w:rsid w:val="29F51284"/>
    <w:rsid w:val="2A0616E3"/>
    <w:rsid w:val="2A07545B"/>
    <w:rsid w:val="2A0C7C37"/>
    <w:rsid w:val="2A13795C"/>
    <w:rsid w:val="2A1606A4"/>
    <w:rsid w:val="2A2B593B"/>
    <w:rsid w:val="2A4346E5"/>
    <w:rsid w:val="2A4E4E38"/>
    <w:rsid w:val="2A526D77"/>
    <w:rsid w:val="2A575A1D"/>
    <w:rsid w:val="2A924D25"/>
    <w:rsid w:val="2A932D74"/>
    <w:rsid w:val="2A954815"/>
    <w:rsid w:val="2AA42CAA"/>
    <w:rsid w:val="2AB61C62"/>
    <w:rsid w:val="2AB9225B"/>
    <w:rsid w:val="2ACB70F6"/>
    <w:rsid w:val="2ACF0DFB"/>
    <w:rsid w:val="2AE13EFE"/>
    <w:rsid w:val="2AE17A5A"/>
    <w:rsid w:val="2AEE5BA8"/>
    <w:rsid w:val="2AF01FA9"/>
    <w:rsid w:val="2AF07E15"/>
    <w:rsid w:val="2AF21C68"/>
    <w:rsid w:val="2AF50EB8"/>
    <w:rsid w:val="2AFC2AE6"/>
    <w:rsid w:val="2B006133"/>
    <w:rsid w:val="2B404781"/>
    <w:rsid w:val="2B481888"/>
    <w:rsid w:val="2B5621F6"/>
    <w:rsid w:val="2B5E75DB"/>
    <w:rsid w:val="2B722141"/>
    <w:rsid w:val="2B7B2137"/>
    <w:rsid w:val="2B810508"/>
    <w:rsid w:val="2B895FC1"/>
    <w:rsid w:val="2B8A6344"/>
    <w:rsid w:val="2B9577C4"/>
    <w:rsid w:val="2B960048"/>
    <w:rsid w:val="2BB05DAB"/>
    <w:rsid w:val="2BB22E8F"/>
    <w:rsid w:val="2BB92AA7"/>
    <w:rsid w:val="2BC90C1A"/>
    <w:rsid w:val="2BCE4E62"/>
    <w:rsid w:val="2BD93992"/>
    <w:rsid w:val="2BE47802"/>
    <w:rsid w:val="2BF11F1F"/>
    <w:rsid w:val="2BF77448"/>
    <w:rsid w:val="2C0A4D8F"/>
    <w:rsid w:val="2C136023"/>
    <w:rsid w:val="2C1A3224"/>
    <w:rsid w:val="2C42277B"/>
    <w:rsid w:val="2C45359F"/>
    <w:rsid w:val="2C5524AE"/>
    <w:rsid w:val="2C725C4B"/>
    <w:rsid w:val="2C83595A"/>
    <w:rsid w:val="2C8B2374"/>
    <w:rsid w:val="2C8D005C"/>
    <w:rsid w:val="2C8E59C0"/>
    <w:rsid w:val="2C8F0789"/>
    <w:rsid w:val="2C907D44"/>
    <w:rsid w:val="2C91678D"/>
    <w:rsid w:val="2C952ED3"/>
    <w:rsid w:val="2C9B3193"/>
    <w:rsid w:val="2C9F3729"/>
    <w:rsid w:val="2CA86A82"/>
    <w:rsid w:val="2CAD477E"/>
    <w:rsid w:val="2CB12CAC"/>
    <w:rsid w:val="2CB1425F"/>
    <w:rsid w:val="2CB2345D"/>
    <w:rsid w:val="2CB644DC"/>
    <w:rsid w:val="2CB71D20"/>
    <w:rsid w:val="2CBE73F3"/>
    <w:rsid w:val="2CC5316C"/>
    <w:rsid w:val="2CDF7FCA"/>
    <w:rsid w:val="2CF47F19"/>
    <w:rsid w:val="2D0217A7"/>
    <w:rsid w:val="2D055D4A"/>
    <w:rsid w:val="2D095047"/>
    <w:rsid w:val="2D1328F3"/>
    <w:rsid w:val="2D142369"/>
    <w:rsid w:val="2D1F4EEA"/>
    <w:rsid w:val="2D214FC0"/>
    <w:rsid w:val="2D2C76B3"/>
    <w:rsid w:val="2D3B6454"/>
    <w:rsid w:val="2D4A18E7"/>
    <w:rsid w:val="2D684463"/>
    <w:rsid w:val="2D6F75A0"/>
    <w:rsid w:val="2D746EF7"/>
    <w:rsid w:val="2D7816A2"/>
    <w:rsid w:val="2DAA1E2B"/>
    <w:rsid w:val="2DAA2429"/>
    <w:rsid w:val="2DAC25A2"/>
    <w:rsid w:val="2DB16F26"/>
    <w:rsid w:val="2DB651CE"/>
    <w:rsid w:val="2DC07E8D"/>
    <w:rsid w:val="2DC1636A"/>
    <w:rsid w:val="2DE55F97"/>
    <w:rsid w:val="2DE7182C"/>
    <w:rsid w:val="2DE955A4"/>
    <w:rsid w:val="2DEA131C"/>
    <w:rsid w:val="2DEC556A"/>
    <w:rsid w:val="2DF45CF7"/>
    <w:rsid w:val="2DF67066"/>
    <w:rsid w:val="2DF857E7"/>
    <w:rsid w:val="2DF87FF1"/>
    <w:rsid w:val="2DFB7085"/>
    <w:rsid w:val="2DFC4FC4"/>
    <w:rsid w:val="2E0004FC"/>
    <w:rsid w:val="2E026EEF"/>
    <w:rsid w:val="2E0B6699"/>
    <w:rsid w:val="2E0E0B66"/>
    <w:rsid w:val="2E1F2D74"/>
    <w:rsid w:val="2E2727D1"/>
    <w:rsid w:val="2E3511E5"/>
    <w:rsid w:val="2E3F6F72"/>
    <w:rsid w:val="2E4B1DBB"/>
    <w:rsid w:val="2E582ABB"/>
    <w:rsid w:val="2E6120D2"/>
    <w:rsid w:val="2E634857"/>
    <w:rsid w:val="2E782484"/>
    <w:rsid w:val="2E862DF3"/>
    <w:rsid w:val="2E880CCD"/>
    <w:rsid w:val="2E895C66"/>
    <w:rsid w:val="2E9279E9"/>
    <w:rsid w:val="2E9372BE"/>
    <w:rsid w:val="2E96115E"/>
    <w:rsid w:val="2E9C43C4"/>
    <w:rsid w:val="2EA74B17"/>
    <w:rsid w:val="2ED3353A"/>
    <w:rsid w:val="2EDC2A13"/>
    <w:rsid w:val="2EDF69A7"/>
    <w:rsid w:val="2EE32B90"/>
    <w:rsid w:val="2EE43FBD"/>
    <w:rsid w:val="2EFB5E03"/>
    <w:rsid w:val="2EFE0BDB"/>
    <w:rsid w:val="2F010EAD"/>
    <w:rsid w:val="2F0B688B"/>
    <w:rsid w:val="2F210D6D"/>
    <w:rsid w:val="2F291C0E"/>
    <w:rsid w:val="2F2D7712"/>
    <w:rsid w:val="2F331C81"/>
    <w:rsid w:val="2F3F2FA2"/>
    <w:rsid w:val="2F4935F3"/>
    <w:rsid w:val="2F4C28B1"/>
    <w:rsid w:val="2F4F7689"/>
    <w:rsid w:val="2F56572B"/>
    <w:rsid w:val="2F572B0A"/>
    <w:rsid w:val="2F5E5DC9"/>
    <w:rsid w:val="2F642187"/>
    <w:rsid w:val="2F6D7B0F"/>
    <w:rsid w:val="2F8734F2"/>
    <w:rsid w:val="2F884949"/>
    <w:rsid w:val="2F9B28CE"/>
    <w:rsid w:val="2FA4032C"/>
    <w:rsid w:val="2FA554FB"/>
    <w:rsid w:val="2FB67708"/>
    <w:rsid w:val="2FB77BB1"/>
    <w:rsid w:val="2FB8225B"/>
    <w:rsid w:val="2FB90FA6"/>
    <w:rsid w:val="2FBE480E"/>
    <w:rsid w:val="2FC5797C"/>
    <w:rsid w:val="2FCA419D"/>
    <w:rsid w:val="2FD23E16"/>
    <w:rsid w:val="2FDB2CCA"/>
    <w:rsid w:val="2FEE50F3"/>
    <w:rsid w:val="2FF87D20"/>
    <w:rsid w:val="3002294D"/>
    <w:rsid w:val="300D4E4E"/>
    <w:rsid w:val="3011493E"/>
    <w:rsid w:val="30134003"/>
    <w:rsid w:val="30183F1E"/>
    <w:rsid w:val="30185CCC"/>
    <w:rsid w:val="301D7787"/>
    <w:rsid w:val="30204C54"/>
    <w:rsid w:val="30237A49"/>
    <w:rsid w:val="30330D58"/>
    <w:rsid w:val="304F5466"/>
    <w:rsid w:val="30640F12"/>
    <w:rsid w:val="30647164"/>
    <w:rsid w:val="307D0225"/>
    <w:rsid w:val="307D6477"/>
    <w:rsid w:val="30907F59"/>
    <w:rsid w:val="30A612CD"/>
    <w:rsid w:val="30AF7679"/>
    <w:rsid w:val="30B55B0F"/>
    <w:rsid w:val="30C13BC1"/>
    <w:rsid w:val="30C553F9"/>
    <w:rsid w:val="30CC4D09"/>
    <w:rsid w:val="30D45A5B"/>
    <w:rsid w:val="30D51CB9"/>
    <w:rsid w:val="30D84D1A"/>
    <w:rsid w:val="30DD21B4"/>
    <w:rsid w:val="30E16E50"/>
    <w:rsid w:val="30E31097"/>
    <w:rsid w:val="30E402A4"/>
    <w:rsid w:val="30EE09F9"/>
    <w:rsid w:val="30F009F7"/>
    <w:rsid w:val="30F37431"/>
    <w:rsid w:val="30F524B2"/>
    <w:rsid w:val="30F73B34"/>
    <w:rsid w:val="310224D9"/>
    <w:rsid w:val="31085D41"/>
    <w:rsid w:val="312132A7"/>
    <w:rsid w:val="31230DCD"/>
    <w:rsid w:val="312566B9"/>
    <w:rsid w:val="31290F1E"/>
    <w:rsid w:val="312C639A"/>
    <w:rsid w:val="313A786B"/>
    <w:rsid w:val="313E75E7"/>
    <w:rsid w:val="313F372D"/>
    <w:rsid w:val="31442AF1"/>
    <w:rsid w:val="315A0567"/>
    <w:rsid w:val="316136A3"/>
    <w:rsid w:val="318722F3"/>
    <w:rsid w:val="318C09EF"/>
    <w:rsid w:val="319B4653"/>
    <w:rsid w:val="319B4E07"/>
    <w:rsid w:val="31B4172D"/>
    <w:rsid w:val="31B5509D"/>
    <w:rsid w:val="31C83722"/>
    <w:rsid w:val="31F44517"/>
    <w:rsid w:val="31F91332"/>
    <w:rsid w:val="31FB58A6"/>
    <w:rsid w:val="31FF7992"/>
    <w:rsid w:val="32170A33"/>
    <w:rsid w:val="321D581C"/>
    <w:rsid w:val="321F0D6B"/>
    <w:rsid w:val="3227669B"/>
    <w:rsid w:val="322A618B"/>
    <w:rsid w:val="322D17D7"/>
    <w:rsid w:val="32444F88"/>
    <w:rsid w:val="324A2389"/>
    <w:rsid w:val="32551CB6"/>
    <w:rsid w:val="325D3990"/>
    <w:rsid w:val="32674CE9"/>
    <w:rsid w:val="32690A61"/>
    <w:rsid w:val="327159A9"/>
    <w:rsid w:val="3276317E"/>
    <w:rsid w:val="327E4A7B"/>
    <w:rsid w:val="32894C60"/>
    <w:rsid w:val="32897E4B"/>
    <w:rsid w:val="328B4E7C"/>
    <w:rsid w:val="3291620A"/>
    <w:rsid w:val="32932FD8"/>
    <w:rsid w:val="32963820"/>
    <w:rsid w:val="32A47CEB"/>
    <w:rsid w:val="32A93554"/>
    <w:rsid w:val="32A9641B"/>
    <w:rsid w:val="32B12408"/>
    <w:rsid w:val="32BD7B09"/>
    <w:rsid w:val="32CB5278"/>
    <w:rsid w:val="32CD0A69"/>
    <w:rsid w:val="32D80AF0"/>
    <w:rsid w:val="32FD11AA"/>
    <w:rsid w:val="330E785B"/>
    <w:rsid w:val="331035D3"/>
    <w:rsid w:val="332F59F9"/>
    <w:rsid w:val="333378C0"/>
    <w:rsid w:val="334868C9"/>
    <w:rsid w:val="33501C21"/>
    <w:rsid w:val="33582884"/>
    <w:rsid w:val="33833DA5"/>
    <w:rsid w:val="33843679"/>
    <w:rsid w:val="338B74B7"/>
    <w:rsid w:val="339A4C4A"/>
    <w:rsid w:val="33AD268B"/>
    <w:rsid w:val="33C00B55"/>
    <w:rsid w:val="33C315BD"/>
    <w:rsid w:val="33C37FB3"/>
    <w:rsid w:val="33C96523"/>
    <w:rsid w:val="33E56ED0"/>
    <w:rsid w:val="33E947D1"/>
    <w:rsid w:val="33F45EC1"/>
    <w:rsid w:val="33FB7DDF"/>
    <w:rsid w:val="33FD3B57"/>
    <w:rsid w:val="34056568"/>
    <w:rsid w:val="340845E2"/>
    <w:rsid w:val="340D18C0"/>
    <w:rsid w:val="341E3ACD"/>
    <w:rsid w:val="342804A8"/>
    <w:rsid w:val="342C1299"/>
    <w:rsid w:val="342F7A89"/>
    <w:rsid w:val="343339F8"/>
    <w:rsid w:val="34441786"/>
    <w:rsid w:val="344B1F9E"/>
    <w:rsid w:val="344C063B"/>
    <w:rsid w:val="348B6F28"/>
    <w:rsid w:val="348C6C89"/>
    <w:rsid w:val="34907028"/>
    <w:rsid w:val="34983880"/>
    <w:rsid w:val="34AC5432"/>
    <w:rsid w:val="34B01936"/>
    <w:rsid w:val="34BB24A6"/>
    <w:rsid w:val="34BD6E42"/>
    <w:rsid w:val="34BF705E"/>
    <w:rsid w:val="34CC52D7"/>
    <w:rsid w:val="34D50630"/>
    <w:rsid w:val="34D643A8"/>
    <w:rsid w:val="34DC25F5"/>
    <w:rsid w:val="34EA5463"/>
    <w:rsid w:val="34EE4E30"/>
    <w:rsid w:val="34FA3BF3"/>
    <w:rsid w:val="35040F15"/>
    <w:rsid w:val="350506BD"/>
    <w:rsid w:val="353B4319"/>
    <w:rsid w:val="35555780"/>
    <w:rsid w:val="355C1D39"/>
    <w:rsid w:val="356E638F"/>
    <w:rsid w:val="357C6CFE"/>
    <w:rsid w:val="35867B7C"/>
    <w:rsid w:val="359A7184"/>
    <w:rsid w:val="35A66C52"/>
    <w:rsid w:val="35B06A6E"/>
    <w:rsid w:val="35B923B1"/>
    <w:rsid w:val="35D244E9"/>
    <w:rsid w:val="35D817EB"/>
    <w:rsid w:val="35D94150"/>
    <w:rsid w:val="35E3431C"/>
    <w:rsid w:val="35F04FF6"/>
    <w:rsid w:val="35F5260C"/>
    <w:rsid w:val="35FA5E74"/>
    <w:rsid w:val="35FC7755"/>
    <w:rsid w:val="3606093C"/>
    <w:rsid w:val="36070CBD"/>
    <w:rsid w:val="361433DA"/>
    <w:rsid w:val="36160449"/>
    <w:rsid w:val="3640314C"/>
    <w:rsid w:val="36436556"/>
    <w:rsid w:val="365929CF"/>
    <w:rsid w:val="36603F29"/>
    <w:rsid w:val="36716136"/>
    <w:rsid w:val="367D2D2D"/>
    <w:rsid w:val="367F4CF7"/>
    <w:rsid w:val="36813DF9"/>
    <w:rsid w:val="368D6CE8"/>
    <w:rsid w:val="368E012F"/>
    <w:rsid w:val="36910587"/>
    <w:rsid w:val="369254F5"/>
    <w:rsid w:val="369938DF"/>
    <w:rsid w:val="369D6D6F"/>
    <w:rsid w:val="36A047C5"/>
    <w:rsid w:val="36AA33F6"/>
    <w:rsid w:val="36AD728B"/>
    <w:rsid w:val="36C941C4"/>
    <w:rsid w:val="36D51466"/>
    <w:rsid w:val="36D86E18"/>
    <w:rsid w:val="36E903C3"/>
    <w:rsid w:val="36F70534"/>
    <w:rsid w:val="36FF3742"/>
    <w:rsid w:val="37061D90"/>
    <w:rsid w:val="37133BC2"/>
    <w:rsid w:val="371B60A2"/>
    <w:rsid w:val="37293F0A"/>
    <w:rsid w:val="373F1628"/>
    <w:rsid w:val="374B7F7F"/>
    <w:rsid w:val="37682591"/>
    <w:rsid w:val="378C0D4E"/>
    <w:rsid w:val="37980D58"/>
    <w:rsid w:val="379A790F"/>
    <w:rsid w:val="37A95DA4"/>
    <w:rsid w:val="37B15BCB"/>
    <w:rsid w:val="37B564F7"/>
    <w:rsid w:val="37DA5F5D"/>
    <w:rsid w:val="37DF5322"/>
    <w:rsid w:val="37EA0AA2"/>
    <w:rsid w:val="37F73DA8"/>
    <w:rsid w:val="37F92528"/>
    <w:rsid w:val="380C759F"/>
    <w:rsid w:val="38184036"/>
    <w:rsid w:val="38196A86"/>
    <w:rsid w:val="382316B2"/>
    <w:rsid w:val="38267884"/>
    <w:rsid w:val="382D42DF"/>
    <w:rsid w:val="383E0B80"/>
    <w:rsid w:val="38474CAB"/>
    <w:rsid w:val="384C6E5B"/>
    <w:rsid w:val="384D0716"/>
    <w:rsid w:val="38641DE3"/>
    <w:rsid w:val="387154D4"/>
    <w:rsid w:val="387243E8"/>
    <w:rsid w:val="38746E9D"/>
    <w:rsid w:val="38877E93"/>
    <w:rsid w:val="38934A8A"/>
    <w:rsid w:val="38B33219"/>
    <w:rsid w:val="38B77CE5"/>
    <w:rsid w:val="38CC2531"/>
    <w:rsid w:val="38CC3AF8"/>
    <w:rsid w:val="38D0030D"/>
    <w:rsid w:val="38D94467"/>
    <w:rsid w:val="38E2331B"/>
    <w:rsid w:val="38FA68B7"/>
    <w:rsid w:val="39065299"/>
    <w:rsid w:val="390C7982"/>
    <w:rsid w:val="392576AC"/>
    <w:rsid w:val="392A6A70"/>
    <w:rsid w:val="39365415"/>
    <w:rsid w:val="393D2C48"/>
    <w:rsid w:val="393F076E"/>
    <w:rsid w:val="39407FC8"/>
    <w:rsid w:val="39495149"/>
    <w:rsid w:val="39495F16"/>
    <w:rsid w:val="395B1AB4"/>
    <w:rsid w:val="396E2E01"/>
    <w:rsid w:val="397B1112"/>
    <w:rsid w:val="398443D3"/>
    <w:rsid w:val="39924489"/>
    <w:rsid w:val="39A622D7"/>
    <w:rsid w:val="39B27192"/>
    <w:rsid w:val="39B300EB"/>
    <w:rsid w:val="39B76556"/>
    <w:rsid w:val="39C2503E"/>
    <w:rsid w:val="39CA23F6"/>
    <w:rsid w:val="39E60BE9"/>
    <w:rsid w:val="39E82BB3"/>
    <w:rsid w:val="39F046EE"/>
    <w:rsid w:val="39FA6443"/>
    <w:rsid w:val="39FE4185"/>
    <w:rsid w:val="3A055E7A"/>
    <w:rsid w:val="3A0E1EEE"/>
    <w:rsid w:val="3A1E5FF0"/>
    <w:rsid w:val="3A237814"/>
    <w:rsid w:val="3A2B43BC"/>
    <w:rsid w:val="3A377697"/>
    <w:rsid w:val="3A5026FF"/>
    <w:rsid w:val="3A591371"/>
    <w:rsid w:val="3A5B3385"/>
    <w:rsid w:val="3A601F3C"/>
    <w:rsid w:val="3A610E29"/>
    <w:rsid w:val="3A612EA0"/>
    <w:rsid w:val="3A791A66"/>
    <w:rsid w:val="3A7A4997"/>
    <w:rsid w:val="3A7C154E"/>
    <w:rsid w:val="3A8A4B40"/>
    <w:rsid w:val="3A9C6634"/>
    <w:rsid w:val="3ABD7BF1"/>
    <w:rsid w:val="3AE07D2F"/>
    <w:rsid w:val="3AEA295B"/>
    <w:rsid w:val="3B1A5974"/>
    <w:rsid w:val="3B1E43B3"/>
    <w:rsid w:val="3B304812"/>
    <w:rsid w:val="3B334302"/>
    <w:rsid w:val="3B3F4A55"/>
    <w:rsid w:val="3B420847"/>
    <w:rsid w:val="3B4B164C"/>
    <w:rsid w:val="3B53405D"/>
    <w:rsid w:val="3B5437ED"/>
    <w:rsid w:val="3B762441"/>
    <w:rsid w:val="3B824942"/>
    <w:rsid w:val="3B864B77"/>
    <w:rsid w:val="3B90705F"/>
    <w:rsid w:val="3B912DD7"/>
    <w:rsid w:val="3BA50921"/>
    <w:rsid w:val="3BB24745"/>
    <w:rsid w:val="3BB36270"/>
    <w:rsid w:val="3BB936A0"/>
    <w:rsid w:val="3BC44F5A"/>
    <w:rsid w:val="3BCC3E0F"/>
    <w:rsid w:val="3BCF6ED8"/>
    <w:rsid w:val="3BD056AD"/>
    <w:rsid w:val="3BDF0BC2"/>
    <w:rsid w:val="3BF84C04"/>
    <w:rsid w:val="3BFF6064"/>
    <w:rsid w:val="3C19136D"/>
    <w:rsid w:val="3C1E28BD"/>
    <w:rsid w:val="3C1F2433"/>
    <w:rsid w:val="3C261771"/>
    <w:rsid w:val="3C291261"/>
    <w:rsid w:val="3C2D39CC"/>
    <w:rsid w:val="3C3E7A98"/>
    <w:rsid w:val="3C3F2833"/>
    <w:rsid w:val="3C516CC1"/>
    <w:rsid w:val="3C5A141B"/>
    <w:rsid w:val="3C664263"/>
    <w:rsid w:val="3C734219"/>
    <w:rsid w:val="3C814BF9"/>
    <w:rsid w:val="3C860462"/>
    <w:rsid w:val="3C877D4A"/>
    <w:rsid w:val="3C892CF3"/>
    <w:rsid w:val="3C892D99"/>
    <w:rsid w:val="3C8B5A78"/>
    <w:rsid w:val="3C9546E1"/>
    <w:rsid w:val="3C9A4EFD"/>
    <w:rsid w:val="3CA42C54"/>
    <w:rsid w:val="3CAE210E"/>
    <w:rsid w:val="3CF10976"/>
    <w:rsid w:val="3CFE26EE"/>
    <w:rsid w:val="3D177A29"/>
    <w:rsid w:val="3D1A280D"/>
    <w:rsid w:val="3D1F7599"/>
    <w:rsid w:val="3D2E2FD3"/>
    <w:rsid w:val="3D2F28A7"/>
    <w:rsid w:val="3D31575C"/>
    <w:rsid w:val="3D4F555B"/>
    <w:rsid w:val="3D5347E8"/>
    <w:rsid w:val="3D6A38DF"/>
    <w:rsid w:val="3D711112"/>
    <w:rsid w:val="3D74475E"/>
    <w:rsid w:val="3D7B3D3F"/>
    <w:rsid w:val="3D8A3F82"/>
    <w:rsid w:val="3D9646D4"/>
    <w:rsid w:val="3DB96638"/>
    <w:rsid w:val="3DBA03C3"/>
    <w:rsid w:val="3DC4108B"/>
    <w:rsid w:val="3DC56D68"/>
    <w:rsid w:val="3DCE3E6E"/>
    <w:rsid w:val="3DD80FC1"/>
    <w:rsid w:val="3DE6565C"/>
    <w:rsid w:val="3DE81019"/>
    <w:rsid w:val="3DE90CA8"/>
    <w:rsid w:val="3DEB2C01"/>
    <w:rsid w:val="3DF64F0C"/>
    <w:rsid w:val="3DF71617"/>
    <w:rsid w:val="3DFF0876"/>
    <w:rsid w:val="3E1A70B4"/>
    <w:rsid w:val="3E1F46CA"/>
    <w:rsid w:val="3E3363C7"/>
    <w:rsid w:val="3E4E6E1C"/>
    <w:rsid w:val="3E5D3FEF"/>
    <w:rsid w:val="3E6F7E0C"/>
    <w:rsid w:val="3E8E35FE"/>
    <w:rsid w:val="3E995B0B"/>
    <w:rsid w:val="3EA352FB"/>
    <w:rsid w:val="3EA66B99"/>
    <w:rsid w:val="3EAC64D2"/>
    <w:rsid w:val="3EB76FF8"/>
    <w:rsid w:val="3EBE3B68"/>
    <w:rsid w:val="3EC80E22"/>
    <w:rsid w:val="3ECD05CA"/>
    <w:rsid w:val="3ECE6247"/>
    <w:rsid w:val="3EE80219"/>
    <w:rsid w:val="3F0C2731"/>
    <w:rsid w:val="3F0D6C18"/>
    <w:rsid w:val="3F125FDD"/>
    <w:rsid w:val="3F1D183A"/>
    <w:rsid w:val="3F23468E"/>
    <w:rsid w:val="3F283DC7"/>
    <w:rsid w:val="3F340649"/>
    <w:rsid w:val="3F4B0969"/>
    <w:rsid w:val="3F4D1EC6"/>
    <w:rsid w:val="3F604F9A"/>
    <w:rsid w:val="3F622C0F"/>
    <w:rsid w:val="3F740A45"/>
    <w:rsid w:val="3F7722E4"/>
    <w:rsid w:val="3F7C721A"/>
    <w:rsid w:val="3F80513D"/>
    <w:rsid w:val="3F88629F"/>
    <w:rsid w:val="3F8F49FD"/>
    <w:rsid w:val="3F8F587F"/>
    <w:rsid w:val="3F9E5AC2"/>
    <w:rsid w:val="3FAE0A8D"/>
    <w:rsid w:val="3FB86B84"/>
    <w:rsid w:val="3FC25C55"/>
    <w:rsid w:val="3FC65745"/>
    <w:rsid w:val="3FD31C10"/>
    <w:rsid w:val="3FD60CF3"/>
    <w:rsid w:val="3FE72F24"/>
    <w:rsid w:val="3FEB6F5A"/>
    <w:rsid w:val="3FF04570"/>
    <w:rsid w:val="400E2C48"/>
    <w:rsid w:val="40104C12"/>
    <w:rsid w:val="40354679"/>
    <w:rsid w:val="403C7EEA"/>
    <w:rsid w:val="403F1053"/>
    <w:rsid w:val="404067B4"/>
    <w:rsid w:val="405E416C"/>
    <w:rsid w:val="4061721C"/>
    <w:rsid w:val="40966C89"/>
    <w:rsid w:val="409969B6"/>
    <w:rsid w:val="40A23390"/>
    <w:rsid w:val="40B44F66"/>
    <w:rsid w:val="40B755A2"/>
    <w:rsid w:val="40BC6B48"/>
    <w:rsid w:val="40CC0682"/>
    <w:rsid w:val="40DA56D9"/>
    <w:rsid w:val="40DB5220"/>
    <w:rsid w:val="40DE086C"/>
    <w:rsid w:val="41004C87"/>
    <w:rsid w:val="4101455B"/>
    <w:rsid w:val="41014DAF"/>
    <w:rsid w:val="4104473A"/>
    <w:rsid w:val="410B53D9"/>
    <w:rsid w:val="412A3AB2"/>
    <w:rsid w:val="414D59F2"/>
    <w:rsid w:val="414F52C6"/>
    <w:rsid w:val="41563668"/>
    <w:rsid w:val="415A055F"/>
    <w:rsid w:val="415E375B"/>
    <w:rsid w:val="41605CE8"/>
    <w:rsid w:val="416361FC"/>
    <w:rsid w:val="416666BA"/>
    <w:rsid w:val="41720FB5"/>
    <w:rsid w:val="417911A4"/>
    <w:rsid w:val="418036D2"/>
    <w:rsid w:val="418331C2"/>
    <w:rsid w:val="41845E18"/>
    <w:rsid w:val="41850CE8"/>
    <w:rsid w:val="418A09F4"/>
    <w:rsid w:val="418B25A6"/>
    <w:rsid w:val="419E5E97"/>
    <w:rsid w:val="41A43864"/>
    <w:rsid w:val="41AE11D8"/>
    <w:rsid w:val="41B82E6B"/>
    <w:rsid w:val="41BE244C"/>
    <w:rsid w:val="41CA2B9F"/>
    <w:rsid w:val="41D028AB"/>
    <w:rsid w:val="41D63C39"/>
    <w:rsid w:val="41E719A3"/>
    <w:rsid w:val="41EA1493"/>
    <w:rsid w:val="41FB36A0"/>
    <w:rsid w:val="42090A52"/>
    <w:rsid w:val="42097B6B"/>
    <w:rsid w:val="420E33D3"/>
    <w:rsid w:val="423773F7"/>
    <w:rsid w:val="423A5F76"/>
    <w:rsid w:val="425C6909"/>
    <w:rsid w:val="425D13D7"/>
    <w:rsid w:val="425F45A6"/>
    <w:rsid w:val="4262727B"/>
    <w:rsid w:val="428A63BF"/>
    <w:rsid w:val="429258C2"/>
    <w:rsid w:val="429A4C67"/>
    <w:rsid w:val="42A1539E"/>
    <w:rsid w:val="42A81132"/>
    <w:rsid w:val="42B1647E"/>
    <w:rsid w:val="42B21126"/>
    <w:rsid w:val="42B70645"/>
    <w:rsid w:val="42B87377"/>
    <w:rsid w:val="42CE64FC"/>
    <w:rsid w:val="42DA32B5"/>
    <w:rsid w:val="42E21E28"/>
    <w:rsid w:val="42F04887"/>
    <w:rsid w:val="42FC6B12"/>
    <w:rsid w:val="43395F5E"/>
    <w:rsid w:val="43403EFC"/>
    <w:rsid w:val="4340580E"/>
    <w:rsid w:val="435412BA"/>
    <w:rsid w:val="43571A95"/>
    <w:rsid w:val="435E3EE6"/>
    <w:rsid w:val="436314FD"/>
    <w:rsid w:val="43635059"/>
    <w:rsid w:val="43683AB0"/>
    <w:rsid w:val="437234EE"/>
    <w:rsid w:val="437473DB"/>
    <w:rsid w:val="43792ACE"/>
    <w:rsid w:val="438B4C8D"/>
    <w:rsid w:val="439D0355"/>
    <w:rsid w:val="439F41C6"/>
    <w:rsid w:val="43B81849"/>
    <w:rsid w:val="43BB6C43"/>
    <w:rsid w:val="43BF2BD7"/>
    <w:rsid w:val="43D52525"/>
    <w:rsid w:val="43E22422"/>
    <w:rsid w:val="43EB52CE"/>
    <w:rsid w:val="43F263DD"/>
    <w:rsid w:val="43F765B0"/>
    <w:rsid w:val="43FB7987"/>
    <w:rsid w:val="441469B4"/>
    <w:rsid w:val="441A442D"/>
    <w:rsid w:val="441E4E7C"/>
    <w:rsid w:val="442073EE"/>
    <w:rsid w:val="44334FCB"/>
    <w:rsid w:val="44352E99"/>
    <w:rsid w:val="4441183E"/>
    <w:rsid w:val="44654E01"/>
    <w:rsid w:val="446C2633"/>
    <w:rsid w:val="447F2366"/>
    <w:rsid w:val="4493196E"/>
    <w:rsid w:val="44986068"/>
    <w:rsid w:val="44BB0A6F"/>
    <w:rsid w:val="44BC0EC5"/>
    <w:rsid w:val="44BD132E"/>
    <w:rsid w:val="44C71617"/>
    <w:rsid w:val="44CC6C2E"/>
    <w:rsid w:val="44D02BC2"/>
    <w:rsid w:val="44D12202"/>
    <w:rsid w:val="44D717C6"/>
    <w:rsid w:val="44DB7551"/>
    <w:rsid w:val="44E93C84"/>
    <w:rsid w:val="44EA30F8"/>
    <w:rsid w:val="44EC1201"/>
    <w:rsid w:val="44F3065E"/>
    <w:rsid w:val="45060392"/>
    <w:rsid w:val="451467E3"/>
    <w:rsid w:val="452627E2"/>
    <w:rsid w:val="452A0524"/>
    <w:rsid w:val="45386828"/>
    <w:rsid w:val="4554734F"/>
    <w:rsid w:val="4576138D"/>
    <w:rsid w:val="4577434B"/>
    <w:rsid w:val="45894929"/>
    <w:rsid w:val="458C4736"/>
    <w:rsid w:val="4597723C"/>
    <w:rsid w:val="459C74A1"/>
    <w:rsid w:val="45AD4854"/>
    <w:rsid w:val="45B978E7"/>
    <w:rsid w:val="45BB73CE"/>
    <w:rsid w:val="45CA7611"/>
    <w:rsid w:val="45D35976"/>
    <w:rsid w:val="45D64208"/>
    <w:rsid w:val="45D71210"/>
    <w:rsid w:val="45DB35CC"/>
    <w:rsid w:val="45DB537A"/>
    <w:rsid w:val="45E83F3B"/>
    <w:rsid w:val="45EA380F"/>
    <w:rsid w:val="45F72580"/>
    <w:rsid w:val="460021A2"/>
    <w:rsid w:val="460743C1"/>
    <w:rsid w:val="46174EA6"/>
    <w:rsid w:val="46190A3E"/>
    <w:rsid w:val="462036D5"/>
    <w:rsid w:val="4622744D"/>
    <w:rsid w:val="4628283B"/>
    <w:rsid w:val="462907DC"/>
    <w:rsid w:val="463F1DAD"/>
    <w:rsid w:val="46440B86"/>
    <w:rsid w:val="464B69A4"/>
    <w:rsid w:val="465F5FAB"/>
    <w:rsid w:val="46623CEE"/>
    <w:rsid w:val="46641988"/>
    <w:rsid w:val="466C691A"/>
    <w:rsid w:val="466E61EE"/>
    <w:rsid w:val="466F1F67"/>
    <w:rsid w:val="468266D9"/>
    <w:rsid w:val="468477C0"/>
    <w:rsid w:val="468D0CD2"/>
    <w:rsid w:val="46A41F76"/>
    <w:rsid w:val="46B1257F"/>
    <w:rsid w:val="46C027C2"/>
    <w:rsid w:val="46CF6D9E"/>
    <w:rsid w:val="46D249B8"/>
    <w:rsid w:val="46DA3884"/>
    <w:rsid w:val="46E93AC7"/>
    <w:rsid w:val="46EB5A91"/>
    <w:rsid w:val="470152B5"/>
    <w:rsid w:val="470D2FE4"/>
    <w:rsid w:val="4714323A"/>
    <w:rsid w:val="47173339"/>
    <w:rsid w:val="471B2A36"/>
    <w:rsid w:val="475C2918"/>
    <w:rsid w:val="475C75FC"/>
    <w:rsid w:val="476F0470"/>
    <w:rsid w:val="4774202F"/>
    <w:rsid w:val="477535AD"/>
    <w:rsid w:val="477F0E77"/>
    <w:rsid w:val="47841A42"/>
    <w:rsid w:val="4786248C"/>
    <w:rsid w:val="47946129"/>
    <w:rsid w:val="47B1458A"/>
    <w:rsid w:val="47BC742D"/>
    <w:rsid w:val="47C562E2"/>
    <w:rsid w:val="47CC58C3"/>
    <w:rsid w:val="47D03FFB"/>
    <w:rsid w:val="47D6229D"/>
    <w:rsid w:val="47F003AF"/>
    <w:rsid w:val="47F46BC7"/>
    <w:rsid w:val="47F75DFD"/>
    <w:rsid w:val="47F82926"/>
    <w:rsid w:val="480C3F11"/>
    <w:rsid w:val="480F57AF"/>
    <w:rsid w:val="481B23A6"/>
    <w:rsid w:val="481D256E"/>
    <w:rsid w:val="48237FC7"/>
    <w:rsid w:val="482C6361"/>
    <w:rsid w:val="48343251"/>
    <w:rsid w:val="4839282C"/>
    <w:rsid w:val="483E6094"/>
    <w:rsid w:val="48403BBB"/>
    <w:rsid w:val="48621D83"/>
    <w:rsid w:val="48631AE0"/>
    <w:rsid w:val="48693111"/>
    <w:rsid w:val="486C0E54"/>
    <w:rsid w:val="4885562E"/>
    <w:rsid w:val="488937B4"/>
    <w:rsid w:val="48945CB4"/>
    <w:rsid w:val="48A405ED"/>
    <w:rsid w:val="48A71E8C"/>
    <w:rsid w:val="48B12D0A"/>
    <w:rsid w:val="48BA1BBF"/>
    <w:rsid w:val="48D2291D"/>
    <w:rsid w:val="48D6720A"/>
    <w:rsid w:val="48DA28FB"/>
    <w:rsid w:val="48EA531D"/>
    <w:rsid w:val="48EC3D42"/>
    <w:rsid w:val="49064E04"/>
    <w:rsid w:val="491B5CF4"/>
    <w:rsid w:val="492C68B0"/>
    <w:rsid w:val="49314B9D"/>
    <w:rsid w:val="493C0D8C"/>
    <w:rsid w:val="493E2BFE"/>
    <w:rsid w:val="494B0A69"/>
    <w:rsid w:val="49520FBA"/>
    <w:rsid w:val="495A5150"/>
    <w:rsid w:val="495B1697"/>
    <w:rsid w:val="495D347B"/>
    <w:rsid w:val="495F4514"/>
    <w:rsid w:val="496F29A9"/>
    <w:rsid w:val="497F6965"/>
    <w:rsid w:val="498246A2"/>
    <w:rsid w:val="49861AA1"/>
    <w:rsid w:val="498B509D"/>
    <w:rsid w:val="499F2B63"/>
    <w:rsid w:val="49B34D65"/>
    <w:rsid w:val="49B900C8"/>
    <w:rsid w:val="49BC1967"/>
    <w:rsid w:val="49CD5922"/>
    <w:rsid w:val="49CF3448"/>
    <w:rsid w:val="49D7282A"/>
    <w:rsid w:val="49F7474D"/>
    <w:rsid w:val="49FD1664"/>
    <w:rsid w:val="4A02198F"/>
    <w:rsid w:val="4A023FA9"/>
    <w:rsid w:val="4A0746AD"/>
    <w:rsid w:val="4A0F7CE8"/>
    <w:rsid w:val="4A1B004A"/>
    <w:rsid w:val="4A1F1539"/>
    <w:rsid w:val="4A25740D"/>
    <w:rsid w:val="4A387440"/>
    <w:rsid w:val="4A3E6F41"/>
    <w:rsid w:val="4A4A2ACF"/>
    <w:rsid w:val="4A4C2CEB"/>
    <w:rsid w:val="4A604B4B"/>
    <w:rsid w:val="4A6242BC"/>
    <w:rsid w:val="4A6435BD"/>
    <w:rsid w:val="4A6F0787"/>
    <w:rsid w:val="4A6F4C2B"/>
    <w:rsid w:val="4A7B35D0"/>
    <w:rsid w:val="4A7D10F6"/>
    <w:rsid w:val="4A806D4B"/>
    <w:rsid w:val="4A88223C"/>
    <w:rsid w:val="4A8835F7"/>
    <w:rsid w:val="4A9A5138"/>
    <w:rsid w:val="4A9F2BDF"/>
    <w:rsid w:val="4AAB1697"/>
    <w:rsid w:val="4AB34B18"/>
    <w:rsid w:val="4AC5484B"/>
    <w:rsid w:val="4AC7411F"/>
    <w:rsid w:val="4AFB2F87"/>
    <w:rsid w:val="4AFF7D5D"/>
    <w:rsid w:val="4B005883"/>
    <w:rsid w:val="4B1D01E3"/>
    <w:rsid w:val="4B207100"/>
    <w:rsid w:val="4B5B4FE7"/>
    <w:rsid w:val="4B5C5B9F"/>
    <w:rsid w:val="4B5D4611"/>
    <w:rsid w:val="4B8464B4"/>
    <w:rsid w:val="4B8B2D95"/>
    <w:rsid w:val="4BC166C5"/>
    <w:rsid w:val="4BC845F3"/>
    <w:rsid w:val="4BCB5E91"/>
    <w:rsid w:val="4BCD6989"/>
    <w:rsid w:val="4BE6570A"/>
    <w:rsid w:val="4BEA27BB"/>
    <w:rsid w:val="4BF076A6"/>
    <w:rsid w:val="4BF75D7A"/>
    <w:rsid w:val="4BF7788F"/>
    <w:rsid w:val="4BF929FE"/>
    <w:rsid w:val="4BFC24EE"/>
    <w:rsid w:val="4C1415E6"/>
    <w:rsid w:val="4C1E4213"/>
    <w:rsid w:val="4C2006CA"/>
    <w:rsid w:val="4C2555A1"/>
    <w:rsid w:val="4C39104D"/>
    <w:rsid w:val="4C4D0CFD"/>
    <w:rsid w:val="4C523EBC"/>
    <w:rsid w:val="4C800A2A"/>
    <w:rsid w:val="4C944BBE"/>
    <w:rsid w:val="4C982022"/>
    <w:rsid w:val="4C9C53EB"/>
    <w:rsid w:val="4CA46E0E"/>
    <w:rsid w:val="4CB9218D"/>
    <w:rsid w:val="4CC37905"/>
    <w:rsid w:val="4CD15729"/>
    <w:rsid w:val="4CD62D3F"/>
    <w:rsid w:val="4CD90E06"/>
    <w:rsid w:val="4CE30FB8"/>
    <w:rsid w:val="4CEC2563"/>
    <w:rsid w:val="4CF22BB7"/>
    <w:rsid w:val="4CF2410A"/>
    <w:rsid w:val="4CF91C8E"/>
    <w:rsid w:val="4D160AD1"/>
    <w:rsid w:val="4D1675E0"/>
    <w:rsid w:val="4D1928EF"/>
    <w:rsid w:val="4D2B0644"/>
    <w:rsid w:val="4D425F0A"/>
    <w:rsid w:val="4D4B7289"/>
    <w:rsid w:val="4D4C3002"/>
    <w:rsid w:val="4D5819A6"/>
    <w:rsid w:val="4D6245D3"/>
    <w:rsid w:val="4D6E4D26"/>
    <w:rsid w:val="4D733668"/>
    <w:rsid w:val="4D7873BA"/>
    <w:rsid w:val="4D7F1BA5"/>
    <w:rsid w:val="4D97427D"/>
    <w:rsid w:val="4D9D560B"/>
    <w:rsid w:val="4DAD3AA0"/>
    <w:rsid w:val="4DB52955"/>
    <w:rsid w:val="4DD70B1D"/>
    <w:rsid w:val="4DEF73DF"/>
    <w:rsid w:val="4DF127BD"/>
    <w:rsid w:val="4DF36236"/>
    <w:rsid w:val="4DF86401"/>
    <w:rsid w:val="4DFF1E22"/>
    <w:rsid w:val="4E013DEC"/>
    <w:rsid w:val="4E047438"/>
    <w:rsid w:val="4E102281"/>
    <w:rsid w:val="4E125FF9"/>
    <w:rsid w:val="4E265601"/>
    <w:rsid w:val="4E2B70BB"/>
    <w:rsid w:val="4E2D7658"/>
    <w:rsid w:val="4E30647F"/>
    <w:rsid w:val="4E3466A4"/>
    <w:rsid w:val="4E3A10AC"/>
    <w:rsid w:val="4E3C04A7"/>
    <w:rsid w:val="4E4D5283"/>
    <w:rsid w:val="4E6C2EC0"/>
    <w:rsid w:val="4E7E543D"/>
    <w:rsid w:val="4E802F63"/>
    <w:rsid w:val="4E810A89"/>
    <w:rsid w:val="4E944C60"/>
    <w:rsid w:val="4E9C3B15"/>
    <w:rsid w:val="4EA053B3"/>
    <w:rsid w:val="4EAD77CC"/>
    <w:rsid w:val="4EB62E28"/>
    <w:rsid w:val="4EB8094F"/>
    <w:rsid w:val="4EB86BA1"/>
    <w:rsid w:val="4EB968F8"/>
    <w:rsid w:val="4ECD3F0F"/>
    <w:rsid w:val="4EDE5EDB"/>
    <w:rsid w:val="4EF94AC3"/>
    <w:rsid w:val="4EFC5E7F"/>
    <w:rsid w:val="4F0B0903"/>
    <w:rsid w:val="4F1418FD"/>
    <w:rsid w:val="4F277882"/>
    <w:rsid w:val="4F485139"/>
    <w:rsid w:val="4F5B3B44"/>
    <w:rsid w:val="4F766AE9"/>
    <w:rsid w:val="4F8545A9"/>
    <w:rsid w:val="4F8D612B"/>
    <w:rsid w:val="4FA669F9"/>
    <w:rsid w:val="4FB42A47"/>
    <w:rsid w:val="4FC0555D"/>
    <w:rsid w:val="4FC12BEA"/>
    <w:rsid w:val="4FC155E1"/>
    <w:rsid w:val="4FC6709B"/>
    <w:rsid w:val="4FF04118"/>
    <w:rsid w:val="4FF4200C"/>
    <w:rsid w:val="4FFF435B"/>
    <w:rsid w:val="50011E81"/>
    <w:rsid w:val="501222E0"/>
    <w:rsid w:val="501653B4"/>
    <w:rsid w:val="50175C6E"/>
    <w:rsid w:val="503009B9"/>
    <w:rsid w:val="50416722"/>
    <w:rsid w:val="504C6B6C"/>
    <w:rsid w:val="50775F4B"/>
    <w:rsid w:val="507E34D2"/>
    <w:rsid w:val="507F724A"/>
    <w:rsid w:val="508D1967"/>
    <w:rsid w:val="509251CF"/>
    <w:rsid w:val="509F7627"/>
    <w:rsid w:val="50A13664"/>
    <w:rsid w:val="50A2755B"/>
    <w:rsid w:val="50A4170A"/>
    <w:rsid w:val="50A53DD4"/>
    <w:rsid w:val="50A9329D"/>
    <w:rsid w:val="50AD2772"/>
    <w:rsid w:val="50C3182D"/>
    <w:rsid w:val="50D37CC2"/>
    <w:rsid w:val="50D70E34"/>
    <w:rsid w:val="50EF43D0"/>
    <w:rsid w:val="50F25C6E"/>
    <w:rsid w:val="51037E7B"/>
    <w:rsid w:val="510C31D4"/>
    <w:rsid w:val="510F6820"/>
    <w:rsid w:val="511D0F3D"/>
    <w:rsid w:val="5122205A"/>
    <w:rsid w:val="51450494"/>
    <w:rsid w:val="514E559A"/>
    <w:rsid w:val="514E7348"/>
    <w:rsid w:val="51557F81"/>
    <w:rsid w:val="51653062"/>
    <w:rsid w:val="51694E9A"/>
    <w:rsid w:val="51732164"/>
    <w:rsid w:val="517575E4"/>
    <w:rsid w:val="517A638F"/>
    <w:rsid w:val="5181117B"/>
    <w:rsid w:val="518E3BE9"/>
    <w:rsid w:val="51A406B5"/>
    <w:rsid w:val="51B00003"/>
    <w:rsid w:val="51B45A8B"/>
    <w:rsid w:val="51D75590"/>
    <w:rsid w:val="51EE4687"/>
    <w:rsid w:val="51F53C68"/>
    <w:rsid w:val="51FA3121"/>
    <w:rsid w:val="52073B85"/>
    <w:rsid w:val="521151CB"/>
    <w:rsid w:val="52137A87"/>
    <w:rsid w:val="52287B99"/>
    <w:rsid w:val="52306A4E"/>
    <w:rsid w:val="523429E2"/>
    <w:rsid w:val="524078CE"/>
    <w:rsid w:val="524644C3"/>
    <w:rsid w:val="526B3F2A"/>
    <w:rsid w:val="52741030"/>
    <w:rsid w:val="529749CF"/>
    <w:rsid w:val="529E7E5B"/>
    <w:rsid w:val="52A64F62"/>
    <w:rsid w:val="52A70A18"/>
    <w:rsid w:val="52AB5160"/>
    <w:rsid w:val="52AD337A"/>
    <w:rsid w:val="52D336BB"/>
    <w:rsid w:val="52F201A7"/>
    <w:rsid w:val="53047273"/>
    <w:rsid w:val="53146370"/>
    <w:rsid w:val="5320789E"/>
    <w:rsid w:val="532B0C3D"/>
    <w:rsid w:val="53313FC9"/>
    <w:rsid w:val="53603363"/>
    <w:rsid w:val="536E3CD2"/>
    <w:rsid w:val="537312E8"/>
    <w:rsid w:val="537A08C9"/>
    <w:rsid w:val="537D5CC3"/>
    <w:rsid w:val="537D749D"/>
    <w:rsid w:val="538232D9"/>
    <w:rsid w:val="53966CB7"/>
    <w:rsid w:val="539A267B"/>
    <w:rsid w:val="539F391C"/>
    <w:rsid w:val="53A21BCD"/>
    <w:rsid w:val="53A6303D"/>
    <w:rsid w:val="53AA2130"/>
    <w:rsid w:val="53AE0572"/>
    <w:rsid w:val="53BC2E44"/>
    <w:rsid w:val="53C75190"/>
    <w:rsid w:val="53DF697E"/>
    <w:rsid w:val="53E45D42"/>
    <w:rsid w:val="54051FE4"/>
    <w:rsid w:val="540B32CF"/>
    <w:rsid w:val="540B7B71"/>
    <w:rsid w:val="542720D3"/>
    <w:rsid w:val="542B0676"/>
    <w:rsid w:val="545B5E74"/>
    <w:rsid w:val="545C3B2A"/>
    <w:rsid w:val="54646E83"/>
    <w:rsid w:val="547075D6"/>
    <w:rsid w:val="5474356A"/>
    <w:rsid w:val="547B0FBC"/>
    <w:rsid w:val="5483555B"/>
    <w:rsid w:val="54905ECA"/>
    <w:rsid w:val="54992FD0"/>
    <w:rsid w:val="54A92AE8"/>
    <w:rsid w:val="54AD4386"/>
    <w:rsid w:val="54AF1AB8"/>
    <w:rsid w:val="54B43966"/>
    <w:rsid w:val="54BC0A6D"/>
    <w:rsid w:val="54BE5175"/>
    <w:rsid w:val="54C067AF"/>
    <w:rsid w:val="54CF69F2"/>
    <w:rsid w:val="54D47B64"/>
    <w:rsid w:val="54D55042"/>
    <w:rsid w:val="54D938C1"/>
    <w:rsid w:val="54D963A2"/>
    <w:rsid w:val="54ED2476"/>
    <w:rsid w:val="5511700B"/>
    <w:rsid w:val="551D59AF"/>
    <w:rsid w:val="55214D74"/>
    <w:rsid w:val="552D54C7"/>
    <w:rsid w:val="55472A2C"/>
    <w:rsid w:val="554B13FC"/>
    <w:rsid w:val="554D1BF6"/>
    <w:rsid w:val="555E1B24"/>
    <w:rsid w:val="556233C2"/>
    <w:rsid w:val="55627866"/>
    <w:rsid w:val="55654C60"/>
    <w:rsid w:val="55816C87"/>
    <w:rsid w:val="558772CD"/>
    <w:rsid w:val="558B5867"/>
    <w:rsid w:val="558F6675"/>
    <w:rsid w:val="5596306C"/>
    <w:rsid w:val="559D1850"/>
    <w:rsid w:val="55A41C2D"/>
    <w:rsid w:val="55A734CB"/>
    <w:rsid w:val="55C11C9D"/>
    <w:rsid w:val="55C71477"/>
    <w:rsid w:val="55C776C9"/>
    <w:rsid w:val="55D43305"/>
    <w:rsid w:val="55DC3585"/>
    <w:rsid w:val="55DF4BE8"/>
    <w:rsid w:val="55E72947"/>
    <w:rsid w:val="55FA340B"/>
    <w:rsid w:val="55FC4723"/>
    <w:rsid w:val="5604091D"/>
    <w:rsid w:val="56260894"/>
    <w:rsid w:val="56270168"/>
    <w:rsid w:val="562C553B"/>
    <w:rsid w:val="563B3C13"/>
    <w:rsid w:val="564A3645"/>
    <w:rsid w:val="564D4072"/>
    <w:rsid w:val="56513437"/>
    <w:rsid w:val="56665134"/>
    <w:rsid w:val="56705FB3"/>
    <w:rsid w:val="56777341"/>
    <w:rsid w:val="56786C15"/>
    <w:rsid w:val="56811F6E"/>
    <w:rsid w:val="568A3265"/>
    <w:rsid w:val="568D0913"/>
    <w:rsid w:val="569F23F4"/>
    <w:rsid w:val="569F48A1"/>
    <w:rsid w:val="56A619D5"/>
    <w:rsid w:val="56A872AA"/>
    <w:rsid w:val="56AE2637"/>
    <w:rsid w:val="56B754F8"/>
    <w:rsid w:val="56BF4B93"/>
    <w:rsid w:val="56C31D24"/>
    <w:rsid w:val="56D025AE"/>
    <w:rsid w:val="56D76394"/>
    <w:rsid w:val="56EA7B13"/>
    <w:rsid w:val="56FA2366"/>
    <w:rsid w:val="56FE7257"/>
    <w:rsid w:val="57007337"/>
    <w:rsid w:val="57062473"/>
    <w:rsid w:val="570A5ABF"/>
    <w:rsid w:val="570D1A54"/>
    <w:rsid w:val="57171E22"/>
    <w:rsid w:val="57203535"/>
    <w:rsid w:val="57212943"/>
    <w:rsid w:val="57292803"/>
    <w:rsid w:val="572B1EDA"/>
    <w:rsid w:val="572D5C52"/>
    <w:rsid w:val="57320348"/>
    <w:rsid w:val="57325016"/>
    <w:rsid w:val="5739542A"/>
    <w:rsid w:val="57596A47"/>
    <w:rsid w:val="57607DD5"/>
    <w:rsid w:val="57615985"/>
    <w:rsid w:val="57683EE4"/>
    <w:rsid w:val="576A0C54"/>
    <w:rsid w:val="576F6EEB"/>
    <w:rsid w:val="577279A8"/>
    <w:rsid w:val="57743881"/>
    <w:rsid w:val="578810DA"/>
    <w:rsid w:val="57882E88"/>
    <w:rsid w:val="57947A7F"/>
    <w:rsid w:val="57981ACA"/>
    <w:rsid w:val="57A04676"/>
    <w:rsid w:val="57B27F05"/>
    <w:rsid w:val="57B40121"/>
    <w:rsid w:val="57BD0D84"/>
    <w:rsid w:val="57E00F16"/>
    <w:rsid w:val="57E97DCB"/>
    <w:rsid w:val="57EC1669"/>
    <w:rsid w:val="57EC708C"/>
    <w:rsid w:val="57F14ED1"/>
    <w:rsid w:val="57FE314A"/>
    <w:rsid w:val="580A7D41"/>
    <w:rsid w:val="58103E66"/>
    <w:rsid w:val="5814296E"/>
    <w:rsid w:val="58226E39"/>
    <w:rsid w:val="58263884"/>
    <w:rsid w:val="582B3B78"/>
    <w:rsid w:val="582E1C82"/>
    <w:rsid w:val="583E5C4A"/>
    <w:rsid w:val="585273CC"/>
    <w:rsid w:val="58550FBC"/>
    <w:rsid w:val="585A4825"/>
    <w:rsid w:val="585F1E3B"/>
    <w:rsid w:val="58615BB3"/>
    <w:rsid w:val="58752C0C"/>
    <w:rsid w:val="587868EA"/>
    <w:rsid w:val="587F6039"/>
    <w:rsid w:val="58882378"/>
    <w:rsid w:val="588B70D4"/>
    <w:rsid w:val="58953AAF"/>
    <w:rsid w:val="589B5955"/>
    <w:rsid w:val="58B06B3A"/>
    <w:rsid w:val="58B33F35"/>
    <w:rsid w:val="58BE1257"/>
    <w:rsid w:val="58DD68BA"/>
    <w:rsid w:val="58E6255C"/>
    <w:rsid w:val="58EF1411"/>
    <w:rsid w:val="58F85DEC"/>
    <w:rsid w:val="58FC3E50"/>
    <w:rsid w:val="59011144"/>
    <w:rsid w:val="594159E5"/>
    <w:rsid w:val="594B0611"/>
    <w:rsid w:val="595B0854"/>
    <w:rsid w:val="597A6C93"/>
    <w:rsid w:val="597F3501"/>
    <w:rsid w:val="599124C8"/>
    <w:rsid w:val="59967FBF"/>
    <w:rsid w:val="59995821"/>
    <w:rsid w:val="59A02054"/>
    <w:rsid w:val="59B12B6A"/>
    <w:rsid w:val="59C4289D"/>
    <w:rsid w:val="59CF1EB8"/>
    <w:rsid w:val="59D6612D"/>
    <w:rsid w:val="59DB3E62"/>
    <w:rsid w:val="59DB6642"/>
    <w:rsid w:val="59E02120"/>
    <w:rsid w:val="59F14D15"/>
    <w:rsid w:val="5A0554BD"/>
    <w:rsid w:val="5A094754"/>
    <w:rsid w:val="5A117C06"/>
    <w:rsid w:val="5A291D65"/>
    <w:rsid w:val="5A347C21"/>
    <w:rsid w:val="5A457E3E"/>
    <w:rsid w:val="5A5B4884"/>
    <w:rsid w:val="5A670EED"/>
    <w:rsid w:val="5A6B0F6B"/>
    <w:rsid w:val="5A7229EA"/>
    <w:rsid w:val="5A751DEA"/>
    <w:rsid w:val="5A813D7F"/>
    <w:rsid w:val="5A8262B5"/>
    <w:rsid w:val="5A897643"/>
    <w:rsid w:val="5AA601F5"/>
    <w:rsid w:val="5AAD22B0"/>
    <w:rsid w:val="5ABA15AB"/>
    <w:rsid w:val="5ABE4A2C"/>
    <w:rsid w:val="5AC02939"/>
    <w:rsid w:val="5ACB1A0A"/>
    <w:rsid w:val="5ADA39FB"/>
    <w:rsid w:val="5ADB7654"/>
    <w:rsid w:val="5ADD34EB"/>
    <w:rsid w:val="5AE17D24"/>
    <w:rsid w:val="5AEB36A2"/>
    <w:rsid w:val="5AF27417"/>
    <w:rsid w:val="5AF32D0E"/>
    <w:rsid w:val="5AFC1BC3"/>
    <w:rsid w:val="5B0311A3"/>
    <w:rsid w:val="5B057B09"/>
    <w:rsid w:val="5B0B44FC"/>
    <w:rsid w:val="5B0E18F6"/>
    <w:rsid w:val="5B1419A0"/>
    <w:rsid w:val="5B19272E"/>
    <w:rsid w:val="5B1E7EE3"/>
    <w:rsid w:val="5B394BC5"/>
    <w:rsid w:val="5B3F7D02"/>
    <w:rsid w:val="5B442F2C"/>
    <w:rsid w:val="5B4525B5"/>
    <w:rsid w:val="5B4A560A"/>
    <w:rsid w:val="5B547C51"/>
    <w:rsid w:val="5B5C0035"/>
    <w:rsid w:val="5B610E2E"/>
    <w:rsid w:val="5B7639B9"/>
    <w:rsid w:val="5B8F47E5"/>
    <w:rsid w:val="5B94004E"/>
    <w:rsid w:val="5B9B039D"/>
    <w:rsid w:val="5BA5225B"/>
    <w:rsid w:val="5BBF0DE7"/>
    <w:rsid w:val="5BCD0EC8"/>
    <w:rsid w:val="5BD112A2"/>
    <w:rsid w:val="5BDE39BF"/>
    <w:rsid w:val="5BF31218"/>
    <w:rsid w:val="5BF907F8"/>
    <w:rsid w:val="5C072BE6"/>
    <w:rsid w:val="5C1E1E8A"/>
    <w:rsid w:val="5C25339C"/>
    <w:rsid w:val="5C2C297C"/>
    <w:rsid w:val="5C2C3E45"/>
    <w:rsid w:val="5C2C64D8"/>
    <w:rsid w:val="5C361105"/>
    <w:rsid w:val="5C4750C0"/>
    <w:rsid w:val="5C4C3475"/>
    <w:rsid w:val="5C4D40E3"/>
    <w:rsid w:val="5C584438"/>
    <w:rsid w:val="5C5D1629"/>
    <w:rsid w:val="5C6519EA"/>
    <w:rsid w:val="5C8131E8"/>
    <w:rsid w:val="5C82259C"/>
    <w:rsid w:val="5C930305"/>
    <w:rsid w:val="5C961BA3"/>
    <w:rsid w:val="5C9D73D6"/>
    <w:rsid w:val="5CA00C74"/>
    <w:rsid w:val="5CCA5F3D"/>
    <w:rsid w:val="5CF04196"/>
    <w:rsid w:val="5CF35248"/>
    <w:rsid w:val="5CF80AB0"/>
    <w:rsid w:val="5CFB5EAA"/>
    <w:rsid w:val="5D0336DD"/>
    <w:rsid w:val="5D047455"/>
    <w:rsid w:val="5D1F1AD6"/>
    <w:rsid w:val="5D2D075A"/>
    <w:rsid w:val="5D34259A"/>
    <w:rsid w:val="5D3513BC"/>
    <w:rsid w:val="5D3C6BEF"/>
    <w:rsid w:val="5D482D07"/>
    <w:rsid w:val="5D730D16"/>
    <w:rsid w:val="5D7F2F5B"/>
    <w:rsid w:val="5D8365CC"/>
    <w:rsid w:val="5D9E3405"/>
    <w:rsid w:val="5DA17EA4"/>
    <w:rsid w:val="5DAA1DAA"/>
    <w:rsid w:val="5DB612ED"/>
    <w:rsid w:val="5DC331FB"/>
    <w:rsid w:val="5DCA21B3"/>
    <w:rsid w:val="5E0771FD"/>
    <w:rsid w:val="5E0B5E29"/>
    <w:rsid w:val="5E113BD7"/>
    <w:rsid w:val="5E115985"/>
    <w:rsid w:val="5E1B2CA8"/>
    <w:rsid w:val="5E31427A"/>
    <w:rsid w:val="5E364C03"/>
    <w:rsid w:val="5E385608"/>
    <w:rsid w:val="5E3B1D61"/>
    <w:rsid w:val="5E4278C2"/>
    <w:rsid w:val="5E473A9D"/>
    <w:rsid w:val="5E4C2E61"/>
    <w:rsid w:val="5E5166CA"/>
    <w:rsid w:val="5E524689"/>
    <w:rsid w:val="5E581806"/>
    <w:rsid w:val="5E5D3AEF"/>
    <w:rsid w:val="5E6422A1"/>
    <w:rsid w:val="5E6C52B2"/>
    <w:rsid w:val="5E79352B"/>
    <w:rsid w:val="5E801A7A"/>
    <w:rsid w:val="5E802E34"/>
    <w:rsid w:val="5E850121"/>
    <w:rsid w:val="5E884785"/>
    <w:rsid w:val="5E9345EC"/>
    <w:rsid w:val="5E954384"/>
    <w:rsid w:val="5E96498E"/>
    <w:rsid w:val="5E9D36BD"/>
    <w:rsid w:val="5EA04F5B"/>
    <w:rsid w:val="5EA20CD3"/>
    <w:rsid w:val="5EAA50BA"/>
    <w:rsid w:val="5EB32EE1"/>
    <w:rsid w:val="5ED2780B"/>
    <w:rsid w:val="5ED725C3"/>
    <w:rsid w:val="5F0151E5"/>
    <w:rsid w:val="5F4253D5"/>
    <w:rsid w:val="5F4E112F"/>
    <w:rsid w:val="5F62787A"/>
    <w:rsid w:val="5F697A43"/>
    <w:rsid w:val="5F6D308F"/>
    <w:rsid w:val="5F70492E"/>
    <w:rsid w:val="5F77471A"/>
    <w:rsid w:val="5F7A1C50"/>
    <w:rsid w:val="5F8B5AC4"/>
    <w:rsid w:val="5F8F694B"/>
    <w:rsid w:val="5F9109D7"/>
    <w:rsid w:val="5F9C3975"/>
    <w:rsid w:val="5FA56176"/>
    <w:rsid w:val="5FA840C8"/>
    <w:rsid w:val="5FC03B07"/>
    <w:rsid w:val="5FC5376D"/>
    <w:rsid w:val="5FC66C44"/>
    <w:rsid w:val="5FCE189D"/>
    <w:rsid w:val="5FDC1FC3"/>
    <w:rsid w:val="5FF7504F"/>
    <w:rsid w:val="5FFC6A7A"/>
    <w:rsid w:val="60031743"/>
    <w:rsid w:val="6005151A"/>
    <w:rsid w:val="6018141E"/>
    <w:rsid w:val="60182BCB"/>
    <w:rsid w:val="601B0D3D"/>
    <w:rsid w:val="602110F2"/>
    <w:rsid w:val="602B6AA7"/>
    <w:rsid w:val="602C4CF9"/>
    <w:rsid w:val="602F47E9"/>
    <w:rsid w:val="60341DFF"/>
    <w:rsid w:val="604872BC"/>
    <w:rsid w:val="604A1623"/>
    <w:rsid w:val="604A6815"/>
    <w:rsid w:val="60597AB8"/>
    <w:rsid w:val="60613F15"/>
    <w:rsid w:val="606379E6"/>
    <w:rsid w:val="6065645C"/>
    <w:rsid w:val="6078661C"/>
    <w:rsid w:val="607D1B8A"/>
    <w:rsid w:val="607E751E"/>
    <w:rsid w:val="60A565DB"/>
    <w:rsid w:val="60A91BC8"/>
    <w:rsid w:val="60B23120"/>
    <w:rsid w:val="60BD1A8C"/>
    <w:rsid w:val="60BF5B6D"/>
    <w:rsid w:val="60C06ABF"/>
    <w:rsid w:val="60E2185B"/>
    <w:rsid w:val="60FC2464"/>
    <w:rsid w:val="60FF187C"/>
    <w:rsid w:val="60FF56E8"/>
    <w:rsid w:val="61005AF5"/>
    <w:rsid w:val="61023CAB"/>
    <w:rsid w:val="610E2650"/>
    <w:rsid w:val="610F0176"/>
    <w:rsid w:val="61100D8F"/>
    <w:rsid w:val="611D0AE5"/>
    <w:rsid w:val="61227EAA"/>
    <w:rsid w:val="612805C8"/>
    <w:rsid w:val="613A51F3"/>
    <w:rsid w:val="614119B8"/>
    <w:rsid w:val="6142054C"/>
    <w:rsid w:val="61464C13"/>
    <w:rsid w:val="61476841"/>
    <w:rsid w:val="614918DA"/>
    <w:rsid w:val="615C5A4F"/>
    <w:rsid w:val="6163767F"/>
    <w:rsid w:val="616B35FF"/>
    <w:rsid w:val="616D3BD5"/>
    <w:rsid w:val="617A1A94"/>
    <w:rsid w:val="618A56A4"/>
    <w:rsid w:val="61970898"/>
    <w:rsid w:val="61973DDE"/>
    <w:rsid w:val="61AE50A6"/>
    <w:rsid w:val="61B2122D"/>
    <w:rsid w:val="61B776FE"/>
    <w:rsid w:val="61CC16A6"/>
    <w:rsid w:val="61DA69D6"/>
    <w:rsid w:val="61DF5D9B"/>
    <w:rsid w:val="61EA4E6B"/>
    <w:rsid w:val="6200468F"/>
    <w:rsid w:val="620D3A12"/>
    <w:rsid w:val="62192902"/>
    <w:rsid w:val="622C52AD"/>
    <w:rsid w:val="62344338"/>
    <w:rsid w:val="623B7475"/>
    <w:rsid w:val="6247406C"/>
    <w:rsid w:val="624F4CCE"/>
    <w:rsid w:val="62666BB3"/>
    <w:rsid w:val="627209BD"/>
    <w:rsid w:val="62A7276E"/>
    <w:rsid w:val="62AA67A3"/>
    <w:rsid w:val="62B334AF"/>
    <w:rsid w:val="62C17277"/>
    <w:rsid w:val="62C92CD3"/>
    <w:rsid w:val="62D524B3"/>
    <w:rsid w:val="62D623F0"/>
    <w:rsid w:val="62DB47B4"/>
    <w:rsid w:val="62E419E6"/>
    <w:rsid w:val="62FA10DE"/>
    <w:rsid w:val="62FB30A8"/>
    <w:rsid w:val="631303F2"/>
    <w:rsid w:val="632055FF"/>
    <w:rsid w:val="633F11E7"/>
    <w:rsid w:val="637B1AF3"/>
    <w:rsid w:val="638B61DA"/>
    <w:rsid w:val="639E415F"/>
    <w:rsid w:val="63AB4186"/>
    <w:rsid w:val="63B33225"/>
    <w:rsid w:val="63BD210C"/>
    <w:rsid w:val="63C0121C"/>
    <w:rsid w:val="63C60484"/>
    <w:rsid w:val="63D97B78"/>
    <w:rsid w:val="63E470FE"/>
    <w:rsid w:val="63F0603D"/>
    <w:rsid w:val="63F7386F"/>
    <w:rsid w:val="63F84591"/>
    <w:rsid w:val="642D54E3"/>
    <w:rsid w:val="642D7291"/>
    <w:rsid w:val="642E6E96"/>
    <w:rsid w:val="64346872"/>
    <w:rsid w:val="64383165"/>
    <w:rsid w:val="645962D8"/>
    <w:rsid w:val="645E38EF"/>
    <w:rsid w:val="645E6F13"/>
    <w:rsid w:val="64607667"/>
    <w:rsid w:val="647E203D"/>
    <w:rsid w:val="64882719"/>
    <w:rsid w:val="649235DC"/>
    <w:rsid w:val="64964E36"/>
    <w:rsid w:val="64C23E7D"/>
    <w:rsid w:val="64C83E3F"/>
    <w:rsid w:val="64CC0858"/>
    <w:rsid w:val="64D43BB1"/>
    <w:rsid w:val="64D5512C"/>
    <w:rsid w:val="64EC0EFA"/>
    <w:rsid w:val="64F953C5"/>
    <w:rsid w:val="65124BE5"/>
    <w:rsid w:val="651975C8"/>
    <w:rsid w:val="651D10B4"/>
    <w:rsid w:val="652A5D1C"/>
    <w:rsid w:val="652B3FD1"/>
    <w:rsid w:val="652F7039"/>
    <w:rsid w:val="653A0624"/>
    <w:rsid w:val="654725D5"/>
    <w:rsid w:val="65491EA9"/>
    <w:rsid w:val="65545142"/>
    <w:rsid w:val="655B1BDC"/>
    <w:rsid w:val="656F190F"/>
    <w:rsid w:val="656F264B"/>
    <w:rsid w:val="658F2C45"/>
    <w:rsid w:val="659D7DD9"/>
    <w:rsid w:val="65A05841"/>
    <w:rsid w:val="65B732B6"/>
    <w:rsid w:val="65CD0EAE"/>
    <w:rsid w:val="65D74B1E"/>
    <w:rsid w:val="65E46E4F"/>
    <w:rsid w:val="65EE0CA2"/>
    <w:rsid w:val="65F362B8"/>
    <w:rsid w:val="65F8742B"/>
    <w:rsid w:val="660006C3"/>
    <w:rsid w:val="66065FEC"/>
    <w:rsid w:val="6608282B"/>
    <w:rsid w:val="661A1A97"/>
    <w:rsid w:val="661F70AE"/>
    <w:rsid w:val="66236B9E"/>
    <w:rsid w:val="66303069"/>
    <w:rsid w:val="66331170"/>
    <w:rsid w:val="663C1A0D"/>
    <w:rsid w:val="66415276"/>
    <w:rsid w:val="665614DC"/>
    <w:rsid w:val="665D4746"/>
    <w:rsid w:val="66644AC0"/>
    <w:rsid w:val="66682803"/>
    <w:rsid w:val="666863FC"/>
    <w:rsid w:val="666A11BE"/>
    <w:rsid w:val="666A3259"/>
    <w:rsid w:val="666D1D7D"/>
    <w:rsid w:val="667E5A02"/>
    <w:rsid w:val="6690176D"/>
    <w:rsid w:val="669C78E0"/>
    <w:rsid w:val="66A51361"/>
    <w:rsid w:val="66B617C0"/>
    <w:rsid w:val="66B9059D"/>
    <w:rsid w:val="66C35C8B"/>
    <w:rsid w:val="66D21383"/>
    <w:rsid w:val="66DE38B4"/>
    <w:rsid w:val="66F45E44"/>
    <w:rsid w:val="66FC2F4B"/>
    <w:rsid w:val="67112E9A"/>
    <w:rsid w:val="6712276E"/>
    <w:rsid w:val="671F55B7"/>
    <w:rsid w:val="672D1422"/>
    <w:rsid w:val="6732696D"/>
    <w:rsid w:val="673D3C8F"/>
    <w:rsid w:val="6740552D"/>
    <w:rsid w:val="674F1B70"/>
    <w:rsid w:val="674F332C"/>
    <w:rsid w:val="6751773B"/>
    <w:rsid w:val="675A5CEE"/>
    <w:rsid w:val="675D2BDF"/>
    <w:rsid w:val="67717495"/>
    <w:rsid w:val="677821B9"/>
    <w:rsid w:val="677F6056"/>
    <w:rsid w:val="67AE2497"/>
    <w:rsid w:val="67BD26DA"/>
    <w:rsid w:val="67BD7633"/>
    <w:rsid w:val="67BF46A4"/>
    <w:rsid w:val="67C56AB8"/>
    <w:rsid w:val="67CB3049"/>
    <w:rsid w:val="67D5734D"/>
    <w:rsid w:val="67D91E6B"/>
    <w:rsid w:val="67DE6B19"/>
    <w:rsid w:val="67E84AF3"/>
    <w:rsid w:val="680B1697"/>
    <w:rsid w:val="681F1498"/>
    <w:rsid w:val="68457D7B"/>
    <w:rsid w:val="68571A8C"/>
    <w:rsid w:val="68633281"/>
    <w:rsid w:val="687A4A6F"/>
    <w:rsid w:val="687B2EBE"/>
    <w:rsid w:val="687C2595"/>
    <w:rsid w:val="688356D2"/>
    <w:rsid w:val="689033D6"/>
    <w:rsid w:val="68924162"/>
    <w:rsid w:val="689773CF"/>
    <w:rsid w:val="68A044D6"/>
    <w:rsid w:val="68B24D22"/>
    <w:rsid w:val="68B65AA7"/>
    <w:rsid w:val="68BD260B"/>
    <w:rsid w:val="68BE582B"/>
    <w:rsid w:val="68CA3301"/>
    <w:rsid w:val="68CA50AF"/>
    <w:rsid w:val="68D17ED9"/>
    <w:rsid w:val="68D51CA5"/>
    <w:rsid w:val="68F6059A"/>
    <w:rsid w:val="6900563A"/>
    <w:rsid w:val="69012A9A"/>
    <w:rsid w:val="69265AF1"/>
    <w:rsid w:val="692E34FC"/>
    <w:rsid w:val="6951757E"/>
    <w:rsid w:val="695C4A78"/>
    <w:rsid w:val="69687DCA"/>
    <w:rsid w:val="69747710"/>
    <w:rsid w:val="697B45FB"/>
    <w:rsid w:val="69907036"/>
    <w:rsid w:val="69915BEE"/>
    <w:rsid w:val="69925ED5"/>
    <w:rsid w:val="699B2EEF"/>
    <w:rsid w:val="69A43B52"/>
    <w:rsid w:val="69B1626F"/>
    <w:rsid w:val="69B92ABB"/>
    <w:rsid w:val="69BF37A7"/>
    <w:rsid w:val="69C276EE"/>
    <w:rsid w:val="69DA6582"/>
    <w:rsid w:val="69E228CC"/>
    <w:rsid w:val="69E43356"/>
    <w:rsid w:val="69EF06FE"/>
    <w:rsid w:val="6A0E546F"/>
    <w:rsid w:val="6A10130C"/>
    <w:rsid w:val="6A1D3904"/>
    <w:rsid w:val="6A231C15"/>
    <w:rsid w:val="6A266C5C"/>
    <w:rsid w:val="6A3945F0"/>
    <w:rsid w:val="6A3C4A04"/>
    <w:rsid w:val="6A3F7D1E"/>
    <w:rsid w:val="6A6432E1"/>
    <w:rsid w:val="6A647785"/>
    <w:rsid w:val="6A7A6FA8"/>
    <w:rsid w:val="6A883473"/>
    <w:rsid w:val="6A8E1D90"/>
    <w:rsid w:val="6A9E21F4"/>
    <w:rsid w:val="6AA933EA"/>
    <w:rsid w:val="6AB46016"/>
    <w:rsid w:val="6ABA13F3"/>
    <w:rsid w:val="6AC61D07"/>
    <w:rsid w:val="6ACB7804"/>
    <w:rsid w:val="6AD20B92"/>
    <w:rsid w:val="6AD9782B"/>
    <w:rsid w:val="6AE6019A"/>
    <w:rsid w:val="6AF379E0"/>
    <w:rsid w:val="6AF6662F"/>
    <w:rsid w:val="6AF73BE8"/>
    <w:rsid w:val="6AF74BA6"/>
    <w:rsid w:val="6AFE7291"/>
    <w:rsid w:val="6B281CE1"/>
    <w:rsid w:val="6B405AFC"/>
    <w:rsid w:val="6B4078AA"/>
    <w:rsid w:val="6B4355EC"/>
    <w:rsid w:val="6B447428"/>
    <w:rsid w:val="6B4A24D7"/>
    <w:rsid w:val="6B4C4FC6"/>
    <w:rsid w:val="6B621F16"/>
    <w:rsid w:val="6B623CC4"/>
    <w:rsid w:val="6B673089"/>
    <w:rsid w:val="6B6D6888"/>
    <w:rsid w:val="6B8A53B5"/>
    <w:rsid w:val="6BA047ED"/>
    <w:rsid w:val="6BA73DCD"/>
    <w:rsid w:val="6BB00BD0"/>
    <w:rsid w:val="6BCE135A"/>
    <w:rsid w:val="6BDB5825"/>
    <w:rsid w:val="6BE20961"/>
    <w:rsid w:val="6BE97F42"/>
    <w:rsid w:val="6BFF1513"/>
    <w:rsid w:val="6C1A459F"/>
    <w:rsid w:val="6C1F538F"/>
    <w:rsid w:val="6C262291"/>
    <w:rsid w:val="6C270A6A"/>
    <w:rsid w:val="6C2E3BA6"/>
    <w:rsid w:val="6C312656"/>
    <w:rsid w:val="6C382C77"/>
    <w:rsid w:val="6C407A3D"/>
    <w:rsid w:val="6C4B29AA"/>
    <w:rsid w:val="6C524585"/>
    <w:rsid w:val="6C537BE6"/>
    <w:rsid w:val="6C6A0AC0"/>
    <w:rsid w:val="6C6E3958"/>
    <w:rsid w:val="6C713151"/>
    <w:rsid w:val="6C726189"/>
    <w:rsid w:val="6C755C79"/>
    <w:rsid w:val="6C97145E"/>
    <w:rsid w:val="6CAB169B"/>
    <w:rsid w:val="6CB67C6B"/>
    <w:rsid w:val="6CC8224D"/>
    <w:rsid w:val="6CCA7D73"/>
    <w:rsid w:val="6CDA5A16"/>
    <w:rsid w:val="6CF43042"/>
    <w:rsid w:val="6CFA1CDB"/>
    <w:rsid w:val="6D013069"/>
    <w:rsid w:val="6D01750D"/>
    <w:rsid w:val="6D1B720F"/>
    <w:rsid w:val="6D1C7EA3"/>
    <w:rsid w:val="6D25144D"/>
    <w:rsid w:val="6D2B458A"/>
    <w:rsid w:val="6D3E42BD"/>
    <w:rsid w:val="6D413DAD"/>
    <w:rsid w:val="6D45564C"/>
    <w:rsid w:val="6D4D62AE"/>
    <w:rsid w:val="6D596693"/>
    <w:rsid w:val="6D604192"/>
    <w:rsid w:val="6D7221B9"/>
    <w:rsid w:val="6D826F75"/>
    <w:rsid w:val="6DAC56CB"/>
    <w:rsid w:val="6DB63EA8"/>
    <w:rsid w:val="6DD349A2"/>
    <w:rsid w:val="6DE76703"/>
    <w:rsid w:val="6DF46804"/>
    <w:rsid w:val="6DFC62FA"/>
    <w:rsid w:val="6E041063"/>
    <w:rsid w:val="6E072901"/>
    <w:rsid w:val="6E162B44"/>
    <w:rsid w:val="6E176C2A"/>
    <w:rsid w:val="6E1B63AC"/>
    <w:rsid w:val="6E1F2194"/>
    <w:rsid w:val="6E22773B"/>
    <w:rsid w:val="6E243D04"/>
    <w:rsid w:val="6E3D27C7"/>
    <w:rsid w:val="6E4B6C92"/>
    <w:rsid w:val="6E5042A8"/>
    <w:rsid w:val="6E565636"/>
    <w:rsid w:val="6E5A5127"/>
    <w:rsid w:val="6E731D44"/>
    <w:rsid w:val="6EB36B66"/>
    <w:rsid w:val="6EBD03D3"/>
    <w:rsid w:val="6EBD296A"/>
    <w:rsid w:val="6ECE183D"/>
    <w:rsid w:val="6EDF2750"/>
    <w:rsid w:val="6EE60768"/>
    <w:rsid w:val="6EF03395"/>
    <w:rsid w:val="6EF0586D"/>
    <w:rsid w:val="6EF30BEF"/>
    <w:rsid w:val="6EFF08FB"/>
    <w:rsid w:val="6EFF7A7C"/>
    <w:rsid w:val="6F004781"/>
    <w:rsid w:val="6F02050D"/>
    <w:rsid w:val="6F0D03EB"/>
    <w:rsid w:val="6F136B3D"/>
    <w:rsid w:val="6F174DC6"/>
    <w:rsid w:val="6F2407A7"/>
    <w:rsid w:val="6F2E2B70"/>
    <w:rsid w:val="6F2F0361"/>
    <w:rsid w:val="6F3D0252"/>
    <w:rsid w:val="6F4A6F49"/>
    <w:rsid w:val="6F5067B8"/>
    <w:rsid w:val="6F5163A9"/>
    <w:rsid w:val="6F614293"/>
    <w:rsid w:val="6F6F4C02"/>
    <w:rsid w:val="6F743681"/>
    <w:rsid w:val="6F745D74"/>
    <w:rsid w:val="6F815360"/>
    <w:rsid w:val="6F81706F"/>
    <w:rsid w:val="6F841203"/>
    <w:rsid w:val="6F8C57B4"/>
    <w:rsid w:val="6F8D391A"/>
    <w:rsid w:val="6F9957DB"/>
    <w:rsid w:val="6F9E2093"/>
    <w:rsid w:val="6FAB550E"/>
    <w:rsid w:val="6FBC771B"/>
    <w:rsid w:val="6FBD4B3F"/>
    <w:rsid w:val="6FBE7937"/>
    <w:rsid w:val="6FD3238D"/>
    <w:rsid w:val="6FDB2297"/>
    <w:rsid w:val="6FE3114C"/>
    <w:rsid w:val="704716DB"/>
    <w:rsid w:val="704A26A8"/>
    <w:rsid w:val="70507CFA"/>
    <w:rsid w:val="705A23AF"/>
    <w:rsid w:val="705D3DEC"/>
    <w:rsid w:val="707F0E75"/>
    <w:rsid w:val="70903082"/>
    <w:rsid w:val="7093174E"/>
    <w:rsid w:val="709656FC"/>
    <w:rsid w:val="70991A26"/>
    <w:rsid w:val="70AD3C34"/>
    <w:rsid w:val="70B86135"/>
    <w:rsid w:val="70C66AA3"/>
    <w:rsid w:val="70C87A41"/>
    <w:rsid w:val="70CC1BE0"/>
    <w:rsid w:val="70D0143D"/>
    <w:rsid w:val="70D853C8"/>
    <w:rsid w:val="70DC62C7"/>
    <w:rsid w:val="70F8130E"/>
    <w:rsid w:val="70F84783"/>
    <w:rsid w:val="70FA04FB"/>
    <w:rsid w:val="70FC4273"/>
    <w:rsid w:val="71020071"/>
    <w:rsid w:val="71257C6E"/>
    <w:rsid w:val="712A5284"/>
    <w:rsid w:val="713211F7"/>
    <w:rsid w:val="7137642E"/>
    <w:rsid w:val="713A123F"/>
    <w:rsid w:val="714A65B6"/>
    <w:rsid w:val="71500A63"/>
    <w:rsid w:val="7175199E"/>
    <w:rsid w:val="71765410"/>
    <w:rsid w:val="71775FF0"/>
    <w:rsid w:val="717C28D5"/>
    <w:rsid w:val="717F172E"/>
    <w:rsid w:val="71A55281"/>
    <w:rsid w:val="71AB61CC"/>
    <w:rsid w:val="71AB7A47"/>
    <w:rsid w:val="71B0664C"/>
    <w:rsid w:val="71B27028"/>
    <w:rsid w:val="71D64AC4"/>
    <w:rsid w:val="71EA4A14"/>
    <w:rsid w:val="71EA67C2"/>
    <w:rsid w:val="71F25676"/>
    <w:rsid w:val="71F45307"/>
    <w:rsid w:val="71F45C1D"/>
    <w:rsid w:val="72121874"/>
    <w:rsid w:val="7229553C"/>
    <w:rsid w:val="723B1904"/>
    <w:rsid w:val="724539F8"/>
    <w:rsid w:val="724E341D"/>
    <w:rsid w:val="725105EF"/>
    <w:rsid w:val="725F5644"/>
    <w:rsid w:val="72691DDC"/>
    <w:rsid w:val="72807126"/>
    <w:rsid w:val="7289422C"/>
    <w:rsid w:val="729E5EDD"/>
    <w:rsid w:val="72AB5F51"/>
    <w:rsid w:val="72D2161A"/>
    <w:rsid w:val="72E43211"/>
    <w:rsid w:val="72EC6569"/>
    <w:rsid w:val="73022BD4"/>
    <w:rsid w:val="73027B3B"/>
    <w:rsid w:val="73134A6E"/>
    <w:rsid w:val="731D17F8"/>
    <w:rsid w:val="731F1D9D"/>
    <w:rsid w:val="732857F3"/>
    <w:rsid w:val="732D4979"/>
    <w:rsid w:val="733F6699"/>
    <w:rsid w:val="73504D4A"/>
    <w:rsid w:val="73506A2F"/>
    <w:rsid w:val="736305DA"/>
    <w:rsid w:val="73714DB7"/>
    <w:rsid w:val="73800FF4"/>
    <w:rsid w:val="73880040"/>
    <w:rsid w:val="738A025C"/>
    <w:rsid w:val="738B18DE"/>
    <w:rsid w:val="73906314"/>
    <w:rsid w:val="73A82490"/>
    <w:rsid w:val="73B07597"/>
    <w:rsid w:val="73EC4A73"/>
    <w:rsid w:val="73F00319"/>
    <w:rsid w:val="73F84905"/>
    <w:rsid w:val="74026044"/>
    <w:rsid w:val="74031DBD"/>
    <w:rsid w:val="74035919"/>
    <w:rsid w:val="74116287"/>
    <w:rsid w:val="74122000"/>
    <w:rsid w:val="741369A5"/>
    <w:rsid w:val="741B7106"/>
    <w:rsid w:val="741F0948"/>
    <w:rsid w:val="7420471D"/>
    <w:rsid w:val="7423420D"/>
    <w:rsid w:val="74273CFD"/>
    <w:rsid w:val="742E5647"/>
    <w:rsid w:val="743106D8"/>
    <w:rsid w:val="744A79EB"/>
    <w:rsid w:val="74586E1B"/>
    <w:rsid w:val="745A5011"/>
    <w:rsid w:val="745F621A"/>
    <w:rsid w:val="74626AE3"/>
    <w:rsid w:val="746E027C"/>
    <w:rsid w:val="749B0247"/>
    <w:rsid w:val="74A40EAA"/>
    <w:rsid w:val="74C0380A"/>
    <w:rsid w:val="74E13391"/>
    <w:rsid w:val="74E850B5"/>
    <w:rsid w:val="74EA36EE"/>
    <w:rsid w:val="74FF07D6"/>
    <w:rsid w:val="7507306C"/>
    <w:rsid w:val="75077270"/>
    <w:rsid w:val="750B717B"/>
    <w:rsid w:val="75151DA7"/>
    <w:rsid w:val="75232716"/>
    <w:rsid w:val="75260D61"/>
    <w:rsid w:val="752B1E77"/>
    <w:rsid w:val="75300C5C"/>
    <w:rsid w:val="75322959"/>
    <w:rsid w:val="753D12FE"/>
    <w:rsid w:val="75504B8E"/>
    <w:rsid w:val="757A7E5C"/>
    <w:rsid w:val="75812F99"/>
    <w:rsid w:val="758D5DE2"/>
    <w:rsid w:val="75B23A9A"/>
    <w:rsid w:val="75B54C4A"/>
    <w:rsid w:val="75CA6EAC"/>
    <w:rsid w:val="75CB1C77"/>
    <w:rsid w:val="75D87CA5"/>
    <w:rsid w:val="75E550A2"/>
    <w:rsid w:val="76143E0D"/>
    <w:rsid w:val="76285B0A"/>
    <w:rsid w:val="76322AE9"/>
    <w:rsid w:val="764566BC"/>
    <w:rsid w:val="764F227A"/>
    <w:rsid w:val="765E2B78"/>
    <w:rsid w:val="766421F1"/>
    <w:rsid w:val="766E5C13"/>
    <w:rsid w:val="76726D86"/>
    <w:rsid w:val="76B04A18"/>
    <w:rsid w:val="76B178AE"/>
    <w:rsid w:val="76D0185E"/>
    <w:rsid w:val="76E063E5"/>
    <w:rsid w:val="76E6521D"/>
    <w:rsid w:val="76F0071D"/>
    <w:rsid w:val="76FA1255"/>
    <w:rsid w:val="76FF686B"/>
    <w:rsid w:val="77057BFA"/>
    <w:rsid w:val="77067563"/>
    <w:rsid w:val="77202350"/>
    <w:rsid w:val="7727260D"/>
    <w:rsid w:val="77291B3A"/>
    <w:rsid w:val="77296E1D"/>
    <w:rsid w:val="773307DA"/>
    <w:rsid w:val="77364257"/>
    <w:rsid w:val="77494CCC"/>
    <w:rsid w:val="776641EE"/>
    <w:rsid w:val="77703F76"/>
    <w:rsid w:val="77764653"/>
    <w:rsid w:val="777F175A"/>
    <w:rsid w:val="77845610"/>
    <w:rsid w:val="77B53112"/>
    <w:rsid w:val="77B563EA"/>
    <w:rsid w:val="77B821E6"/>
    <w:rsid w:val="77DE2F50"/>
    <w:rsid w:val="77DF49A9"/>
    <w:rsid w:val="77EB14F6"/>
    <w:rsid w:val="78160310"/>
    <w:rsid w:val="782640CC"/>
    <w:rsid w:val="78327197"/>
    <w:rsid w:val="7843349B"/>
    <w:rsid w:val="784A1C60"/>
    <w:rsid w:val="78540433"/>
    <w:rsid w:val="78615304"/>
    <w:rsid w:val="78656868"/>
    <w:rsid w:val="787E5EB6"/>
    <w:rsid w:val="788B2847"/>
    <w:rsid w:val="789314F2"/>
    <w:rsid w:val="78962A96"/>
    <w:rsid w:val="78AA0A59"/>
    <w:rsid w:val="78C10C3E"/>
    <w:rsid w:val="78C57BA6"/>
    <w:rsid w:val="78C94EBB"/>
    <w:rsid w:val="78E51A91"/>
    <w:rsid w:val="78E84DF7"/>
    <w:rsid w:val="78F46B30"/>
    <w:rsid w:val="790243F1"/>
    <w:rsid w:val="7904460D"/>
    <w:rsid w:val="79080E1D"/>
    <w:rsid w:val="79143413"/>
    <w:rsid w:val="791B3704"/>
    <w:rsid w:val="794146B9"/>
    <w:rsid w:val="79425135"/>
    <w:rsid w:val="79561886"/>
    <w:rsid w:val="79674B9C"/>
    <w:rsid w:val="796C5D0E"/>
    <w:rsid w:val="797931C8"/>
    <w:rsid w:val="7984574E"/>
    <w:rsid w:val="79870D9A"/>
    <w:rsid w:val="79894B12"/>
    <w:rsid w:val="79982FA7"/>
    <w:rsid w:val="799D4F24"/>
    <w:rsid w:val="799F6187"/>
    <w:rsid w:val="79A449EC"/>
    <w:rsid w:val="79AB1B4E"/>
    <w:rsid w:val="79AD6A52"/>
    <w:rsid w:val="79AE4579"/>
    <w:rsid w:val="79C03E0A"/>
    <w:rsid w:val="79CA47AF"/>
    <w:rsid w:val="79CF4394"/>
    <w:rsid w:val="79DC10E6"/>
    <w:rsid w:val="79E17117"/>
    <w:rsid w:val="79EE2BC7"/>
    <w:rsid w:val="79F91C98"/>
    <w:rsid w:val="79FC3536"/>
    <w:rsid w:val="7A274B03"/>
    <w:rsid w:val="7A2E1215"/>
    <w:rsid w:val="7A337639"/>
    <w:rsid w:val="7A3D4D46"/>
    <w:rsid w:val="7A643CD7"/>
    <w:rsid w:val="7A65732D"/>
    <w:rsid w:val="7A661F28"/>
    <w:rsid w:val="7A680BCB"/>
    <w:rsid w:val="7A6B5D2A"/>
    <w:rsid w:val="7A772BBC"/>
    <w:rsid w:val="7A831561"/>
    <w:rsid w:val="7A993D82"/>
    <w:rsid w:val="7AA240DD"/>
    <w:rsid w:val="7AAB7B0D"/>
    <w:rsid w:val="7AAF67FA"/>
    <w:rsid w:val="7AB21E46"/>
    <w:rsid w:val="7AB4796D"/>
    <w:rsid w:val="7AD1601D"/>
    <w:rsid w:val="7AD54F81"/>
    <w:rsid w:val="7AF661D7"/>
    <w:rsid w:val="7B007056"/>
    <w:rsid w:val="7B130F00"/>
    <w:rsid w:val="7B203254"/>
    <w:rsid w:val="7B234AF2"/>
    <w:rsid w:val="7B302174"/>
    <w:rsid w:val="7B335D6A"/>
    <w:rsid w:val="7B492FBA"/>
    <w:rsid w:val="7B62300C"/>
    <w:rsid w:val="7B62561B"/>
    <w:rsid w:val="7B6A1B37"/>
    <w:rsid w:val="7B6E244B"/>
    <w:rsid w:val="7B7D06A6"/>
    <w:rsid w:val="7B810673"/>
    <w:rsid w:val="7B915F00"/>
    <w:rsid w:val="7B971768"/>
    <w:rsid w:val="7B9D2AF7"/>
    <w:rsid w:val="7B9E250D"/>
    <w:rsid w:val="7BA35002"/>
    <w:rsid w:val="7BB924A5"/>
    <w:rsid w:val="7BBC2F7D"/>
    <w:rsid w:val="7BC6204D"/>
    <w:rsid w:val="7BD302C6"/>
    <w:rsid w:val="7BE2675B"/>
    <w:rsid w:val="7BF85F7F"/>
    <w:rsid w:val="7C1903CF"/>
    <w:rsid w:val="7C1D11E6"/>
    <w:rsid w:val="7C2055C3"/>
    <w:rsid w:val="7C29438A"/>
    <w:rsid w:val="7C3125BB"/>
    <w:rsid w:val="7C374CF9"/>
    <w:rsid w:val="7C376AA7"/>
    <w:rsid w:val="7C3A78BD"/>
    <w:rsid w:val="7C3D3469"/>
    <w:rsid w:val="7C4A4E93"/>
    <w:rsid w:val="7C662F6B"/>
    <w:rsid w:val="7C6F7FEF"/>
    <w:rsid w:val="7CA20CDA"/>
    <w:rsid w:val="7CAB3E2D"/>
    <w:rsid w:val="7CAF2AE1"/>
    <w:rsid w:val="7CBE0F77"/>
    <w:rsid w:val="7CC16371"/>
    <w:rsid w:val="7CD67907"/>
    <w:rsid w:val="7CE701B0"/>
    <w:rsid w:val="7CED4F40"/>
    <w:rsid w:val="7CEF6F0D"/>
    <w:rsid w:val="7CF84488"/>
    <w:rsid w:val="7CF97D47"/>
    <w:rsid w:val="7D00333D"/>
    <w:rsid w:val="7D187ED9"/>
    <w:rsid w:val="7D2708CA"/>
    <w:rsid w:val="7D292894"/>
    <w:rsid w:val="7D3E3E65"/>
    <w:rsid w:val="7D4159FE"/>
    <w:rsid w:val="7D5B67C5"/>
    <w:rsid w:val="7D692C90"/>
    <w:rsid w:val="7D6D0DA6"/>
    <w:rsid w:val="7D755B05"/>
    <w:rsid w:val="7D780020"/>
    <w:rsid w:val="7D823D52"/>
    <w:rsid w:val="7D8B70AB"/>
    <w:rsid w:val="7D907539"/>
    <w:rsid w:val="7DF06B3F"/>
    <w:rsid w:val="7E0724A9"/>
    <w:rsid w:val="7E132BFC"/>
    <w:rsid w:val="7E33329E"/>
    <w:rsid w:val="7E392BF4"/>
    <w:rsid w:val="7E527BC8"/>
    <w:rsid w:val="7E5867D5"/>
    <w:rsid w:val="7E5A79EE"/>
    <w:rsid w:val="7E60058A"/>
    <w:rsid w:val="7E76738A"/>
    <w:rsid w:val="7E7676CE"/>
    <w:rsid w:val="7E8A7362"/>
    <w:rsid w:val="7E941F33"/>
    <w:rsid w:val="7EA719B1"/>
    <w:rsid w:val="7EC108AA"/>
    <w:rsid w:val="7ECE0986"/>
    <w:rsid w:val="7ECF746B"/>
    <w:rsid w:val="7ED56104"/>
    <w:rsid w:val="7EDC3936"/>
    <w:rsid w:val="7EDE320A"/>
    <w:rsid w:val="7EE34CC4"/>
    <w:rsid w:val="7EE527EB"/>
    <w:rsid w:val="7EE66563"/>
    <w:rsid w:val="7EF27EAD"/>
    <w:rsid w:val="7EF42A2E"/>
    <w:rsid w:val="7EFB0260"/>
    <w:rsid w:val="7F013DD8"/>
    <w:rsid w:val="7F0D4493"/>
    <w:rsid w:val="7F196938"/>
    <w:rsid w:val="7F26748A"/>
    <w:rsid w:val="7F480FCB"/>
    <w:rsid w:val="7F5C59BA"/>
    <w:rsid w:val="7F833DB1"/>
    <w:rsid w:val="7F8D69DE"/>
    <w:rsid w:val="7F9164CE"/>
    <w:rsid w:val="7F9F142B"/>
    <w:rsid w:val="7FA4611F"/>
    <w:rsid w:val="7FAE2F34"/>
    <w:rsid w:val="7FC56178"/>
    <w:rsid w:val="7FD64829"/>
    <w:rsid w:val="7FD73EBA"/>
    <w:rsid w:val="7FE11C54"/>
    <w:rsid w:val="7FE353A0"/>
    <w:rsid w:val="7FFF72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link w:val="60"/>
    <w:qFormat/>
    <w:uiPriority w:val="0"/>
    <w:pPr>
      <w:keepNext/>
      <w:keepLines/>
      <w:spacing w:before="260" w:beforeLines="0" w:after="260" w:afterLines="0" w:line="413" w:lineRule="auto"/>
      <w:outlineLvl w:val="2"/>
    </w:pPr>
    <w:rPr>
      <w:rFonts w:eastAsia="宋体"/>
      <w:b/>
      <w:bCs/>
      <w:sz w:val="32"/>
      <w:szCs w:val="32"/>
      <w:lang w:val="en-US" w:eastAsia="zh-CN" w:bidi="ar-SA"/>
    </w:rPr>
  </w:style>
  <w:style w:type="paragraph" w:styleId="7">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8">
    <w:name w:val="heading 5"/>
    <w:basedOn w:val="1"/>
    <w:next w:val="9"/>
    <w:qFormat/>
    <w:uiPriority w:val="0"/>
    <w:pPr>
      <w:keepNext/>
      <w:widowControl w:val="0"/>
      <w:autoSpaceDE w:val="0"/>
      <w:autoSpaceDN w:val="0"/>
      <w:adjustRightInd w:val="0"/>
      <w:snapToGrid w:val="0"/>
      <w:spacing w:before="280" w:beforeLines="0" w:after="290" w:afterLines="0" w:line="372" w:lineRule="auto"/>
      <w:jc w:val="both"/>
      <w:outlineLvl w:val="4"/>
    </w:pPr>
    <w:rPr>
      <w:rFonts w:ascii="宋体" w:cs="宋体"/>
      <w:b/>
      <w:color w:val="000000"/>
      <w:sz w:val="28"/>
    </w:rPr>
  </w:style>
  <w:style w:type="paragraph" w:styleId="10">
    <w:name w:val="heading 6"/>
    <w:basedOn w:val="1"/>
    <w:next w:val="9"/>
    <w:qFormat/>
    <w:uiPriority w:val="0"/>
    <w:pPr>
      <w:keepNext/>
      <w:widowControl w:val="0"/>
      <w:autoSpaceDE w:val="0"/>
      <w:autoSpaceDN w:val="0"/>
      <w:adjustRightInd w:val="0"/>
      <w:snapToGrid w:val="0"/>
      <w:spacing w:before="240" w:beforeLines="0" w:after="64" w:afterLines="0" w:line="317" w:lineRule="auto"/>
      <w:jc w:val="both"/>
      <w:outlineLvl w:val="5"/>
    </w:pPr>
    <w:rPr>
      <w:rFonts w:ascii="Arial" w:hAnsi="Arial" w:eastAsia="黑体"/>
      <w:b/>
      <w:color w:val="000000"/>
      <w:sz w:val="24"/>
    </w:rPr>
  </w:style>
  <w:style w:type="paragraph" w:styleId="11">
    <w:name w:val="heading 7"/>
    <w:basedOn w:val="1"/>
    <w:next w:val="9"/>
    <w:qFormat/>
    <w:uiPriority w:val="0"/>
    <w:pPr>
      <w:keepNext/>
      <w:widowControl w:val="0"/>
      <w:autoSpaceDE w:val="0"/>
      <w:autoSpaceDN w:val="0"/>
      <w:adjustRightInd w:val="0"/>
      <w:snapToGrid w:val="0"/>
      <w:spacing w:before="240" w:beforeLines="0" w:after="64" w:afterLines="0" w:line="317" w:lineRule="auto"/>
      <w:jc w:val="both"/>
      <w:outlineLvl w:val="6"/>
    </w:pPr>
    <w:rPr>
      <w:rFonts w:ascii="宋体"/>
      <w:b/>
      <w:color w:val="000000"/>
      <w:sz w:val="24"/>
    </w:rPr>
  </w:style>
  <w:style w:type="paragraph" w:styleId="12">
    <w:name w:val="heading 8"/>
    <w:basedOn w:val="1"/>
    <w:next w:val="9"/>
    <w:qFormat/>
    <w:uiPriority w:val="0"/>
    <w:pPr>
      <w:keepNext/>
      <w:widowControl w:val="0"/>
      <w:autoSpaceDE w:val="0"/>
      <w:autoSpaceDN w:val="0"/>
      <w:adjustRightInd w:val="0"/>
      <w:snapToGrid w:val="0"/>
      <w:spacing w:before="240" w:beforeLines="0" w:after="64" w:afterLines="0" w:line="317" w:lineRule="auto"/>
      <w:jc w:val="both"/>
      <w:outlineLvl w:val="7"/>
    </w:pPr>
    <w:rPr>
      <w:rFonts w:ascii="Arial" w:hAnsi="Arial" w:eastAsia="黑体"/>
      <w:color w:val="000000"/>
      <w:sz w:val="24"/>
    </w:rPr>
  </w:style>
  <w:style w:type="paragraph" w:styleId="13">
    <w:name w:val="heading 9"/>
    <w:basedOn w:val="1"/>
    <w:next w:val="9"/>
    <w:qFormat/>
    <w:uiPriority w:val="0"/>
    <w:pPr>
      <w:keepNext/>
      <w:widowControl w:val="0"/>
      <w:autoSpaceDE w:val="0"/>
      <w:autoSpaceDN w:val="0"/>
      <w:adjustRightInd w:val="0"/>
      <w:snapToGrid w:val="0"/>
      <w:spacing w:before="240" w:beforeLines="0" w:after="64" w:afterLines="0" w:line="317" w:lineRule="auto"/>
      <w:jc w:val="both"/>
      <w:outlineLvl w:val="8"/>
    </w:pPr>
    <w:rPr>
      <w:rFonts w:ascii="Arial" w:hAnsi="Arial" w:eastAsia="黑体"/>
      <w:color w:val="000000"/>
    </w:rPr>
  </w:style>
  <w:style w:type="character" w:default="1" w:styleId="51">
    <w:name w:val="Default Paragraph Font"/>
    <w:link w:val="52"/>
    <w:uiPriority w:val="0"/>
  </w:style>
  <w:style w:type="table" w:default="1" w:styleId="49">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9"/>
      <w:tblCellMar>
        <w:top w:w="0" w:type="dxa"/>
        <w:left w:w="108" w:type="dxa"/>
        <w:bottom w:w="0" w:type="dxa"/>
        <w:right w:w="108" w:type="dxa"/>
      </w:tblCellMar>
    </w:tblPr>
  </w:style>
  <w:style w:type="paragraph" w:styleId="2">
    <w:name w:val="Body Text First Indent 2"/>
    <w:basedOn w:val="3"/>
    <w:next w:val="1"/>
    <w:uiPriority w:val="0"/>
    <w:pPr>
      <w:widowControl w:val="0"/>
      <w:ind w:firstLine="420" w:firstLineChars="200"/>
      <w:jc w:val="both"/>
    </w:pPr>
    <w:rPr>
      <w:kern w:val="2"/>
    </w:rPr>
  </w:style>
  <w:style w:type="paragraph" w:styleId="3">
    <w:name w:val="Body Text Indent"/>
    <w:basedOn w:val="1"/>
    <w:next w:val="1"/>
    <w:uiPriority w:val="0"/>
    <w:pPr>
      <w:spacing w:after="120" w:afterLines="0"/>
      <w:ind w:left="420" w:leftChars="200"/>
    </w:pPr>
  </w:style>
  <w:style w:type="paragraph" w:styleId="9">
    <w:name w:val="Normal Indent"/>
    <w:basedOn w:val="1"/>
    <w:next w:val="1"/>
    <w:link w:val="61"/>
    <w:uiPriority w:val="0"/>
    <w:pPr>
      <w:ind w:firstLine="420"/>
    </w:pPr>
    <w:rPr>
      <w:rFonts w:eastAsia="宋体"/>
      <w:sz w:val="21"/>
      <w:lang w:val="en-US" w:eastAsia="zh-CN" w:bidi="ar-SA"/>
    </w:rPr>
  </w:style>
  <w:style w:type="paragraph" w:styleId="14">
    <w:name w:val="toc 7"/>
    <w:basedOn w:val="1"/>
    <w:next w:val="1"/>
    <w:uiPriority w:val="0"/>
    <w:pPr>
      <w:ind w:left="1260"/>
    </w:pPr>
    <w:rPr>
      <w:sz w:val="18"/>
      <w:szCs w:val="18"/>
    </w:rPr>
  </w:style>
  <w:style w:type="paragraph" w:styleId="15">
    <w:name w:val="List Number"/>
    <w:basedOn w:val="1"/>
    <w:uiPriority w:val="0"/>
    <w:pPr>
      <w:tabs>
        <w:tab w:val="left" w:pos="454"/>
        <w:tab w:val="left" w:pos="720"/>
      </w:tabs>
      <w:spacing w:after="156" w:afterLines="50"/>
      <w:ind w:left="454" w:hanging="284"/>
    </w:pPr>
    <w:rPr>
      <w:sz w:val="24"/>
    </w:rPr>
  </w:style>
  <w:style w:type="paragraph" w:styleId="16">
    <w:name w:val="caption"/>
    <w:basedOn w:val="1"/>
    <w:next w:val="1"/>
    <w:qFormat/>
    <w:uiPriority w:val="0"/>
    <w:pPr>
      <w:widowControl w:val="0"/>
      <w:jc w:val="both"/>
    </w:pPr>
    <w:rPr>
      <w:rFonts w:ascii="Arial" w:hAnsi="Arial" w:eastAsia="黑体" w:cs="Arial"/>
      <w:kern w:val="2"/>
      <w:sz w:val="20"/>
    </w:rPr>
  </w:style>
  <w:style w:type="paragraph" w:styleId="17">
    <w:name w:val="Document Map"/>
    <w:basedOn w:val="1"/>
    <w:uiPriority w:val="0"/>
    <w:pPr>
      <w:widowControl w:val="0"/>
      <w:shd w:val="clear" w:color="auto" w:fill="000080"/>
      <w:jc w:val="both"/>
    </w:pPr>
    <w:rPr>
      <w:kern w:val="2"/>
    </w:rPr>
  </w:style>
  <w:style w:type="paragraph" w:styleId="18">
    <w:name w:val="annotation text"/>
    <w:basedOn w:val="1"/>
    <w:link w:val="62"/>
    <w:uiPriority w:val="0"/>
    <w:rPr>
      <w:rFonts w:eastAsia="宋体"/>
      <w:sz w:val="21"/>
      <w:lang w:val="en-US" w:eastAsia="zh-CN" w:bidi="ar-SA"/>
    </w:rPr>
  </w:style>
  <w:style w:type="paragraph" w:styleId="19">
    <w:name w:val="Body Text 3"/>
    <w:basedOn w:val="1"/>
    <w:uiPriority w:val="0"/>
    <w:pPr>
      <w:spacing w:after="120" w:afterLines="0"/>
    </w:pPr>
    <w:rPr>
      <w:sz w:val="16"/>
      <w:szCs w:val="16"/>
    </w:rPr>
  </w:style>
  <w:style w:type="paragraph" w:styleId="20">
    <w:name w:val="Body Text"/>
    <w:basedOn w:val="1"/>
    <w:next w:val="21"/>
    <w:link w:val="63"/>
    <w:uiPriority w:val="0"/>
    <w:pPr>
      <w:spacing w:after="120" w:afterLines="0"/>
    </w:pPr>
  </w:style>
  <w:style w:type="paragraph" w:styleId="21">
    <w:name w:val="Body Text First Indent"/>
    <w:basedOn w:val="20"/>
    <w:next w:val="1"/>
    <w:uiPriority w:val="0"/>
    <w:pPr>
      <w:ind w:firstLine="420"/>
    </w:pPr>
    <w:rPr>
      <w:rFonts w:ascii="Times New Roman" w:hAnsi="Times New Roman"/>
      <w:color w:val="auto"/>
      <w:kern w:val="2"/>
      <w:szCs w:val="24"/>
    </w:rPr>
  </w:style>
  <w:style w:type="paragraph" w:styleId="22">
    <w:name w:val="List 2"/>
    <w:basedOn w:val="1"/>
    <w:uiPriority w:val="0"/>
    <w:pPr>
      <w:ind w:left="100" w:leftChars="200" w:hanging="200" w:hangingChars="200"/>
    </w:pPr>
  </w:style>
  <w:style w:type="paragraph" w:styleId="23">
    <w:name w:val="toc 5"/>
    <w:basedOn w:val="1"/>
    <w:next w:val="1"/>
    <w:uiPriority w:val="0"/>
    <w:pPr>
      <w:ind w:left="840"/>
    </w:pPr>
    <w:rPr>
      <w:sz w:val="18"/>
      <w:szCs w:val="18"/>
    </w:rPr>
  </w:style>
  <w:style w:type="paragraph" w:styleId="24">
    <w:name w:val="toc 3"/>
    <w:basedOn w:val="1"/>
    <w:next w:val="1"/>
    <w:uiPriority w:val="0"/>
    <w:pPr>
      <w:ind w:left="420"/>
    </w:pPr>
    <w:rPr>
      <w:i/>
      <w:iCs/>
      <w:sz w:val="20"/>
    </w:rPr>
  </w:style>
  <w:style w:type="paragraph" w:styleId="25">
    <w:name w:val="Plain Text"/>
    <w:basedOn w:val="1"/>
    <w:link w:val="71"/>
    <w:uiPriority w:val="0"/>
    <w:rPr>
      <w:rFonts w:ascii="宋体" w:hAnsi="Courier New" w:eastAsia="宋体"/>
      <w:kern w:val="2"/>
      <w:sz w:val="21"/>
      <w:lang w:val="en-US" w:eastAsia="zh-CN" w:bidi="ar-SA"/>
    </w:rPr>
  </w:style>
  <w:style w:type="paragraph" w:styleId="26">
    <w:name w:val="toc 8"/>
    <w:basedOn w:val="1"/>
    <w:next w:val="1"/>
    <w:uiPriority w:val="0"/>
    <w:pPr>
      <w:ind w:left="1470"/>
    </w:pPr>
    <w:rPr>
      <w:sz w:val="18"/>
      <w:szCs w:val="18"/>
    </w:rPr>
  </w:style>
  <w:style w:type="paragraph" w:styleId="27">
    <w:name w:val="Date"/>
    <w:basedOn w:val="1"/>
    <w:next w:val="1"/>
    <w:link w:val="65"/>
    <w:uiPriority w:val="0"/>
    <w:pPr>
      <w:ind w:left="100" w:leftChars="2500"/>
    </w:pPr>
    <w:rPr>
      <w:rFonts w:eastAsia="宋体"/>
      <w:sz w:val="21"/>
      <w:lang w:val="en-US" w:eastAsia="zh-CN" w:bidi="ar-SA"/>
    </w:rPr>
  </w:style>
  <w:style w:type="paragraph" w:styleId="28">
    <w:name w:val="Body Text Indent 2"/>
    <w:basedOn w:val="1"/>
    <w:uiPriority w:val="0"/>
    <w:pPr>
      <w:spacing w:after="120" w:afterLines="0" w:line="480" w:lineRule="auto"/>
      <w:ind w:left="420" w:leftChars="200"/>
    </w:pPr>
  </w:style>
  <w:style w:type="paragraph" w:styleId="29">
    <w:name w:val="Balloon Text"/>
    <w:basedOn w:val="1"/>
    <w:link w:val="66"/>
    <w:uiPriority w:val="0"/>
    <w:rPr>
      <w:rFonts w:eastAsia="宋体"/>
      <w:sz w:val="18"/>
      <w:szCs w:val="18"/>
      <w:lang w:val="en-US" w:eastAsia="zh-CN" w:bidi="ar-SA"/>
    </w:rPr>
  </w:style>
  <w:style w:type="paragraph" w:styleId="30">
    <w:name w:val="footer"/>
    <w:basedOn w:val="1"/>
    <w:link w:val="67"/>
    <w:uiPriority w:val="0"/>
    <w:pPr>
      <w:tabs>
        <w:tab w:val="center" w:pos="4153"/>
        <w:tab w:val="right" w:pos="8306"/>
      </w:tabs>
      <w:snapToGrid w:val="0"/>
    </w:pPr>
    <w:rPr>
      <w:rFonts w:eastAsia="宋体"/>
      <w:sz w:val="18"/>
      <w:lang w:val="en-US" w:eastAsia="zh-CN" w:bidi="ar-SA"/>
    </w:rPr>
  </w:style>
  <w:style w:type="paragraph" w:styleId="31">
    <w:name w:val="envelope return"/>
    <w:basedOn w:val="20"/>
    <w:uiPriority w:val="0"/>
    <w:pPr>
      <w:adjustRightInd w:val="0"/>
      <w:spacing w:after="0" w:afterLines="0" w:line="220" w:lineRule="atLeast"/>
      <w:ind w:firstLine="181"/>
      <w:textAlignment w:val="baseline"/>
    </w:pPr>
    <w:rPr>
      <w:rFonts w:ascii="Arial" w:hAnsi="Arial"/>
      <w:sz w:val="18"/>
    </w:rPr>
  </w:style>
  <w:style w:type="paragraph" w:styleId="32">
    <w:name w:val="header"/>
    <w:basedOn w:val="1"/>
    <w:link w:val="68"/>
    <w:uiPriority w:val="0"/>
    <w:pPr>
      <w:pBdr>
        <w:bottom w:val="single" w:color="auto" w:sz="6" w:space="1"/>
      </w:pBdr>
      <w:tabs>
        <w:tab w:val="center" w:pos="4153"/>
        <w:tab w:val="right" w:pos="8306"/>
      </w:tabs>
      <w:snapToGrid w:val="0"/>
      <w:jc w:val="center"/>
    </w:pPr>
    <w:rPr>
      <w:rFonts w:eastAsia="宋体"/>
      <w:sz w:val="18"/>
      <w:szCs w:val="18"/>
      <w:lang w:val="en-US" w:eastAsia="zh-CN" w:bidi="ar-SA"/>
    </w:rPr>
  </w:style>
  <w:style w:type="paragraph" w:styleId="33">
    <w:name w:val="Signature"/>
    <w:basedOn w:val="1"/>
    <w:next w:val="1"/>
    <w:link w:val="69"/>
    <w:uiPriority w:val="0"/>
    <w:pPr>
      <w:keepNext/>
      <w:adjustRightInd w:val="0"/>
      <w:spacing w:line="220" w:lineRule="atLeast"/>
      <w:jc w:val="right"/>
      <w:textAlignment w:val="baseline"/>
    </w:pPr>
    <w:rPr>
      <w:rFonts w:ascii="Arial" w:hAnsi="Arial"/>
      <w:spacing w:val="-5"/>
      <w:sz w:val="24"/>
    </w:rPr>
  </w:style>
  <w:style w:type="paragraph" w:styleId="34">
    <w:name w:val="toc 1"/>
    <w:basedOn w:val="1"/>
    <w:next w:val="1"/>
    <w:uiPriority w:val="0"/>
    <w:pPr>
      <w:tabs>
        <w:tab w:val="right" w:leader="dot" w:pos="9628"/>
      </w:tabs>
      <w:spacing w:before="120" w:beforeLines="0" w:after="120" w:afterLines="0"/>
    </w:pPr>
    <w:rPr>
      <w:b/>
      <w:bCs/>
      <w:caps/>
      <w:sz w:val="30"/>
    </w:rPr>
  </w:style>
  <w:style w:type="paragraph" w:styleId="35">
    <w:name w:val="toc 4"/>
    <w:basedOn w:val="1"/>
    <w:next w:val="1"/>
    <w:uiPriority w:val="0"/>
    <w:pPr>
      <w:ind w:left="630"/>
    </w:pPr>
    <w:rPr>
      <w:sz w:val="18"/>
      <w:szCs w:val="18"/>
    </w:rPr>
  </w:style>
  <w:style w:type="paragraph" w:styleId="36">
    <w:name w:val="index heading"/>
    <w:basedOn w:val="1"/>
    <w:next w:val="37"/>
    <w:uiPriority w:val="0"/>
    <w:pPr>
      <w:widowControl w:val="0"/>
      <w:jc w:val="both"/>
    </w:pPr>
    <w:rPr>
      <w:kern w:val="2"/>
    </w:rPr>
  </w:style>
  <w:style w:type="paragraph" w:styleId="37">
    <w:name w:val="index 1"/>
    <w:basedOn w:val="1"/>
    <w:next w:val="1"/>
    <w:uiPriority w:val="0"/>
  </w:style>
  <w:style w:type="paragraph" w:styleId="38">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9">
    <w:name w:val="List"/>
    <w:basedOn w:val="1"/>
    <w:uiPriority w:val="0"/>
    <w:pPr>
      <w:ind w:left="200" w:hanging="200" w:hangingChars="200"/>
    </w:pPr>
  </w:style>
  <w:style w:type="paragraph" w:styleId="40">
    <w:name w:val="toc 6"/>
    <w:basedOn w:val="1"/>
    <w:next w:val="1"/>
    <w:uiPriority w:val="0"/>
    <w:pPr>
      <w:ind w:left="1050"/>
    </w:pPr>
    <w:rPr>
      <w:sz w:val="18"/>
      <w:szCs w:val="18"/>
    </w:rPr>
  </w:style>
  <w:style w:type="paragraph" w:styleId="41">
    <w:name w:val="Body Text Indent 3"/>
    <w:basedOn w:val="1"/>
    <w:link w:val="70"/>
    <w:uiPriority w:val="0"/>
    <w:pPr>
      <w:spacing w:after="120" w:afterLines="0"/>
      <w:ind w:left="420" w:leftChars="200"/>
    </w:pPr>
    <w:rPr>
      <w:sz w:val="16"/>
      <w:szCs w:val="16"/>
    </w:rPr>
  </w:style>
  <w:style w:type="paragraph" w:styleId="42">
    <w:name w:val="toc 2"/>
    <w:basedOn w:val="1"/>
    <w:next w:val="1"/>
    <w:uiPriority w:val="0"/>
    <w:pPr>
      <w:ind w:left="210"/>
    </w:pPr>
    <w:rPr>
      <w:smallCaps/>
      <w:sz w:val="20"/>
    </w:rPr>
  </w:style>
  <w:style w:type="paragraph" w:styleId="43">
    <w:name w:val="toc 9"/>
    <w:basedOn w:val="1"/>
    <w:next w:val="1"/>
    <w:uiPriority w:val="0"/>
    <w:pPr>
      <w:ind w:left="1680"/>
    </w:pPr>
    <w:rPr>
      <w:sz w:val="18"/>
      <w:szCs w:val="18"/>
    </w:rPr>
  </w:style>
  <w:style w:type="paragraph" w:styleId="44">
    <w:name w:val="Body Text 2"/>
    <w:basedOn w:val="1"/>
    <w:uiPriority w:val="0"/>
    <w:pPr>
      <w:spacing w:after="120" w:afterLines="0" w:line="480" w:lineRule="auto"/>
    </w:pPr>
  </w:style>
  <w:style w:type="paragraph" w:styleId="45">
    <w:name w:val="HTML Preformatted"/>
    <w:basedOn w:val="1"/>
    <w:uiPriority w:val="0"/>
    <w:rPr>
      <w:rFonts w:ascii="黑体" w:hAnsi="Courier New" w:eastAsia="黑体" w:cs="Courier New"/>
      <w:sz w:val="20"/>
      <w:szCs w:val="21"/>
    </w:rPr>
  </w:style>
  <w:style w:type="paragraph" w:styleId="46">
    <w:name w:val="Normal (Web)"/>
    <w:basedOn w:val="1"/>
    <w:uiPriority w:val="0"/>
    <w:pPr>
      <w:spacing w:before="100" w:beforeLines="0" w:beforeAutospacing="1" w:after="100" w:afterLines="0" w:afterAutospacing="1"/>
    </w:pPr>
    <w:rPr>
      <w:rFonts w:ascii="宋体" w:hAnsi="宋体" w:cs="宋体"/>
      <w:sz w:val="24"/>
      <w:szCs w:val="24"/>
    </w:rPr>
  </w:style>
  <w:style w:type="paragraph" w:styleId="47">
    <w:name w:val="Title"/>
    <w:basedOn w:val="1"/>
    <w:next w:val="1"/>
    <w:qFormat/>
    <w:uiPriority w:val="0"/>
    <w:pPr>
      <w:widowControl w:val="0"/>
      <w:spacing w:before="240" w:beforeLines="0" w:after="60" w:afterLines="0"/>
      <w:jc w:val="center"/>
      <w:outlineLvl w:val="0"/>
    </w:pPr>
    <w:rPr>
      <w:rFonts w:ascii="Arial" w:hAnsi="Arial" w:eastAsia="隶书"/>
      <w:b/>
      <w:kern w:val="2"/>
      <w:sz w:val="32"/>
    </w:rPr>
  </w:style>
  <w:style w:type="paragraph" w:styleId="48">
    <w:name w:val="annotation subject"/>
    <w:basedOn w:val="18"/>
    <w:next w:val="18"/>
    <w:uiPriority w:val="0"/>
    <w:rPr>
      <w:b/>
      <w:bCs/>
    </w:rPr>
  </w:style>
  <w:style w:type="table" w:styleId="50">
    <w:name w:val="Table Grid"/>
    <w:basedOn w:val="49"/>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Char Char1 Char Char"/>
    <w:basedOn w:val="1"/>
    <w:link w:val="51"/>
    <w:uiPriority w:val="0"/>
    <w:pPr>
      <w:widowControl w:val="0"/>
      <w:jc w:val="both"/>
    </w:pPr>
  </w:style>
  <w:style w:type="character" w:styleId="53">
    <w:name w:val="Strong"/>
    <w:qFormat/>
    <w:uiPriority w:val="0"/>
    <w:rPr>
      <w:b/>
      <w:bCs/>
    </w:rPr>
  </w:style>
  <w:style w:type="character" w:styleId="54">
    <w:name w:val="page number"/>
    <w:uiPriority w:val="0"/>
  </w:style>
  <w:style w:type="character" w:styleId="55">
    <w:name w:val="FollowedHyperlink"/>
    <w:uiPriority w:val="0"/>
    <w:rPr>
      <w:color w:val="000000"/>
      <w:u w:val="none"/>
    </w:rPr>
  </w:style>
  <w:style w:type="character" w:styleId="56">
    <w:name w:val="Emphasis"/>
    <w:qFormat/>
    <w:uiPriority w:val="0"/>
    <w:rPr>
      <w:color w:val="CC0000"/>
      <w:sz w:val="24"/>
      <w:szCs w:val="24"/>
    </w:rPr>
  </w:style>
  <w:style w:type="character" w:styleId="57">
    <w:name w:val="Hyperlink"/>
    <w:uiPriority w:val="0"/>
    <w:rPr>
      <w:color w:val="000000"/>
      <w:u w:val="none"/>
    </w:rPr>
  </w:style>
  <w:style w:type="character" w:styleId="58">
    <w:name w:val="annotation reference"/>
    <w:uiPriority w:val="0"/>
    <w:rPr>
      <w:sz w:val="21"/>
      <w:szCs w:val="21"/>
    </w:rPr>
  </w:style>
  <w:style w:type="character" w:styleId="59">
    <w:name w:val="HTML Cite"/>
    <w:uiPriority w:val="0"/>
    <w:rPr>
      <w:sz w:val="24"/>
      <w:szCs w:val="24"/>
    </w:rPr>
  </w:style>
  <w:style w:type="character" w:customStyle="1" w:styleId="60">
    <w:name w:val="标题 3 字符"/>
    <w:link w:val="6"/>
    <w:uiPriority w:val="0"/>
    <w:rPr>
      <w:rFonts w:eastAsia="宋体"/>
      <w:b/>
      <w:bCs/>
      <w:sz w:val="32"/>
      <w:szCs w:val="32"/>
      <w:lang w:val="en-US" w:eastAsia="zh-CN" w:bidi="ar-SA"/>
    </w:rPr>
  </w:style>
  <w:style w:type="character" w:customStyle="1" w:styleId="61">
    <w:name w:val="正文缩进 字符"/>
    <w:link w:val="9"/>
    <w:uiPriority w:val="0"/>
    <w:rPr>
      <w:rFonts w:eastAsia="宋体"/>
      <w:sz w:val="21"/>
      <w:lang w:val="en-US" w:eastAsia="zh-CN" w:bidi="ar-SA"/>
    </w:rPr>
  </w:style>
  <w:style w:type="character" w:customStyle="1" w:styleId="62">
    <w:name w:val="批注文字 字符"/>
    <w:link w:val="18"/>
    <w:uiPriority w:val="0"/>
    <w:rPr>
      <w:rFonts w:eastAsia="宋体"/>
      <w:sz w:val="21"/>
      <w:lang w:val="en-US" w:eastAsia="zh-CN" w:bidi="ar-SA"/>
    </w:rPr>
  </w:style>
  <w:style w:type="character" w:customStyle="1" w:styleId="63">
    <w:name w:val="正文文本 字符"/>
    <w:link w:val="20"/>
    <w:uiPriority w:val="0"/>
    <w:rPr>
      <w:sz w:val="21"/>
    </w:rPr>
  </w:style>
  <w:style w:type="character" w:customStyle="1" w:styleId="64">
    <w:name w:val="纯文本 Char"/>
    <w:link w:val="25"/>
    <w:uiPriority w:val="0"/>
    <w:rPr>
      <w:rFonts w:hint="eastAsia" w:ascii="宋体" w:hAnsi="Courier New" w:eastAsia="宋体" w:cs="宋体"/>
      <w:kern w:val="2"/>
      <w:sz w:val="24"/>
    </w:rPr>
  </w:style>
  <w:style w:type="character" w:customStyle="1" w:styleId="65">
    <w:name w:val="日期 字符"/>
    <w:link w:val="27"/>
    <w:uiPriority w:val="0"/>
    <w:rPr>
      <w:rFonts w:eastAsia="宋体"/>
      <w:sz w:val="21"/>
      <w:lang w:val="en-US" w:eastAsia="zh-CN" w:bidi="ar-SA"/>
    </w:rPr>
  </w:style>
  <w:style w:type="character" w:customStyle="1" w:styleId="66">
    <w:name w:val="批注框文本 字符"/>
    <w:link w:val="29"/>
    <w:uiPriority w:val="0"/>
    <w:rPr>
      <w:rFonts w:eastAsia="宋体"/>
      <w:sz w:val="18"/>
      <w:szCs w:val="18"/>
      <w:lang w:val="en-US" w:eastAsia="zh-CN" w:bidi="ar-SA"/>
    </w:rPr>
  </w:style>
  <w:style w:type="character" w:customStyle="1" w:styleId="67">
    <w:name w:val="页脚 字符"/>
    <w:link w:val="30"/>
    <w:uiPriority w:val="0"/>
    <w:rPr>
      <w:rFonts w:eastAsia="宋体"/>
      <w:sz w:val="18"/>
      <w:lang w:val="en-US" w:eastAsia="zh-CN" w:bidi="ar-SA"/>
    </w:rPr>
  </w:style>
  <w:style w:type="character" w:customStyle="1" w:styleId="68">
    <w:name w:val="页眉 字符"/>
    <w:link w:val="32"/>
    <w:uiPriority w:val="0"/>
    <w:rPr>
      <w:rFonts w:eastAsia="宋体"/>
      <w:sz w:val="18"/>
      <w:szCs w:val="18"/>
      <w:lang w:val="en-US" w:eastAsia="zh-CN" w:bidi="ar-SA"/>
    </w:rPr>
  </w:style>
  <w:style w:type="character" w:customStyle="1" w:styleId="69">
    <w:name w:val="签名 字符"/>
    <w:link w:val="33"/>
    <w:uiPriority w:val="0"/>
    <w:rPr>
      <w:rFonts w:ascii="Arial" w:hAnsi="Arial"/>
      <w:spacing w:val="-5"/>
      <w:sz w:val="24"/>
    </w:rPr>
  </w:style>
  <w:style w:type="character" w:customStyle="1" w:styleId="70">
    <w:name w:val="正文文本缩进 3 字符"/>
    <w:link w:val="41"/>
    <w:uiPriority w:val="0"/>
    <w:rPr>
      <w:sz w:val="16"/>
      <w:szCs w:val="16"/>
    </w:rPr>
  </w:style>
  <w:style w:type="character" w:customStyle="1" w:styleId="71">
    <w:name w:val="纯文本 字符"/>
    <w:link w:val="25"/>
    <w:uiPriority w:val="0"/>
    <w:rPr>
      <w:rFonts w:hint="eastAsia" w:ascii="宋体" w:hAnsi="Courier New" w:eastAsia="宋体" w:cs="宋体"/>
      <w:kern w:val="2"/>
      <w:sz w:val="21"/>
    </w:rPr>
  </w:style>
  <w:style w:type="paragraph" w:customStyle="1" w:styleId="72">
    <w:name w:val="自动更正"/>
    <w:uiPriority w:val="0"/>
    <w:pPr>
      <w:widowControl w:val="0"/>
      <w:jc w:val="both"/>
    </w:pPr>
    <w:rPr>
      <w:kern w:val="2"/>
      <w:sz w:val="21"/>
      <w:lang w:val="en-US" w:eastAsia="zh-CN" w:bidi="ar-SA"/>
    </w:rPr>
  </w:style>
  <w:style w:type="character" w:customStyle="1" w:styleId="73">
    <w:name w:val="l3"/>
    <w:uiPriority w:val="0"/>
    <w:rPr>
      <w:b/>
    </w:rPr>
  </w:style>
  <w:style w:type="character" w:customStyle="1" w:styleId="74">
    <w:name w:val="r2"/>
    <w:uiPriority w:val="0"/>
  </w:style>
  <w:style w:type="character" w:customStyle="1" w:styleId="75">
    <w:name w:val="正文无缩进 Char Char Char"/>
    <w:uiPriority w:val="0"/>
    <w:rPr>
      <w:rFonts w:ascii="宋体" w:eastAsia="宋体"/>
      <w:color w:val="000000"/>
      <w:kern w:val="2"/>
      <w:sz w:val="24"/>
      <w:szCs w:val="24"/>
      <w:lang w:val="en-US" w:eastAsia="zh-CN" w:bidi="ar-SA"/>
    </w:rPr>
  </w:style>
  <w:style w:type="character" w:customStyle="1" w:styleId="76">
    <w:name w:val="title1"/>
    <w:uiPriority w:val="0"/>
    <w:rPr>
      <w:rFonts w:hint="default" w:ascii="ˎ̥" w:hAnsi="ˎ̥"/>
      <w:b/>
      <w:bCs/>
      <w:color w:val="525052"/>
      <w:sz w:val="21"/>
      <w:szCs w:val="21"/>
    </w:rPr>
  </w:style>
  <w:style w:type="character" w:customStyle="1" w:styleId="77">
    <w:name w:val="apple-converted-space"/>
    <w:uiPriority w:val="0"/>
  </w:style>
  <w:style w:type="character" w:customStyle="1" w:styleId="78">
    <w:name w:val="del"/>
    <w:uiPriority w:val="0"/>
  </w:style>
  <w:style w:type="character" w:customStyle="1" w:styleId="79">
    <w:name w:val="纯文本 Char1"/>
    <w:uiPriority w:val="0"/>
    <w:rPr>
      <w:rFonts w:ascii="宋体" w:hAnsi="Courier New" w:eastAsia="宋体"/>
      <w:kern w:val="2"/>
      <w:sz w:val="21"/>
      <w:lang w:val="en-US" w:eastAsia="zh-CN" w:bidi="ar-SA"/>
    </w:rPr>
  </w:style>
  <w:style w:type="character" w:customStyle="1" w:styleId="80">
    <w:name w:val="on"/>
    <w:uiPriority w:val="0"/>
    <w:rPr>
      <w:b/>
    </w:rPr>
  </w:style>
  <w:style w:type="character" w:customStyle="1" w:styleId="81">
    <w:name w:val="apple-style-span"/>
    <w:uiPriority w:val="0"/>
  </w:style>
  <w:style w:type="character" w:customStyle="1" w:styleId="82">
    <w:name w:val="l"/>
    <w:uiPriority w:val="0"/>
    <w:rPr>
      <w:b/>
    </w:rPr>
  </w:style>
  <w:style w:type="character" w:customStyle="1" w:styleId="83">
    <w:name w:val="样式 黑体 二号"/>
    <w:uiPriority w:val="0"/>
    <w:rPr>
      <w:rFonts w:hint="default" w:ascii="Arial" w:hAnsi="Arial" w:eastAsia="黑体" w:cs="Arial"/>
      <w:sz w:val="44"/>
    </w:rPr>
  </w:style>
  <w:style w:type="character" w:customStyle="1" w:styleId="84">
    <w:name w:val="l2"/>
    <w:uiPriority w:val="0"/>
    <w:rPr>
      <w:b/>
    </w:rPr>
  </w:style>
  <w:style w:type="character" w:customStyle="1" w:styleId="85">
    <w:name w:val="del3"/>
    <w:uiPriority w:val="0"/>
    <w:rPr>
      <w:vanish/>
    </w:rPr>
  </w:style>
  <w:style w:type="character" w:customStyle="1" w:styleId="86">
    <w:name w:val="wf1"/>
    <w:uiPriority w:val="0"/>
    <w:rPr>
      <w:rFonts w:hint="eastAsia" w:ascii="宋体" w:hAnsi="宋体" w:eastAsia="宋体"/>
      <w:sz w:val="24"/>
      <w:szCs w:val="24"/>
    </w:rPr>
  </w:style>
  <w:style w:type="character" w:customStyle="1" w:styleId="87">
    <w:name w:val="r1"/>
    <w:uiPriority w:val="0"/>
  </w:style>
  <w:style w:type="character" w:customStyle="1" w:styleId="88">
    <w:name w:val="r6"/>
    <w:uiPriority w:val="0"/>
    <w:rPr>
      <w:color w:val="6E6E6E"/>
    </w:rPr>
  </w:style>
  <w:style w:type="character" w:customStyle="1" w:styleId="89">
    <w:name w:val="maintxt11"/>
    <w:uiPriority w:val="0"/>
    <w:rPr>
      <w:rFonts w:hint="default" w:ascii="Arial" w:hAnsi="Arial" w:cs="Arial"/>
      <w:color w:val="000000"/>
      <w:sz w:val="18"/>
      <w:szCs w:val="18"/>
    </w:rPr>
  </w:style>
  <w:style w:type="character" w:customStyle="1" w:styleId="90">
    <w:name w:val="del1"/>
    <w:uiPriority w:val="0"/>
    <w:rPr>
      <w:vanish/>
      <w:color w:val="666666"/>
      <w:sz w:val="18"/>
      <w:szCs w:val="18"/>
      <w:u w:val="single"/>
    </w:rPr>
  </w:style>
  <w:style w:type="character" w:customStyle="1" w:styleId="91">
    <w:name w:val="4 Char Char"/>
    <w:link w:val="92"/>
    <w:uiPriority w:val="0"/>
    <w:rPr>
      <w:rFonts w:eastAsia="宋体"/>
      <w:kern w:val="2"/>
      <w:sz w:val="21"/>
      <w:szCs w:val="24"/>
      <w:lang w:val="en-US" w:eastAsia="zh-CN" w:bidi="ar-SA"/>
    </w:rPr>
  </w:style>
  <w:style w:type="paragraph" w:customStyle="1" w:styleId="92">
    <w:name w:val="4"/>
    <w:basedOn w:val="1"/>
    <w:next w:val="1"/>
    <w:link w:val="91"/>
    <w:uiPriority w:val="0"/>
    <w:pPr>
      <w:widowControl w:val="0"/>
      <w:jc w:val="both"/>
    </w:pPr>
    <w:rPr>
      <w:rFonts w:eastAsia="宋体"/>
      <w:kern w:val="2"/>
      <w:sz w:val="21"/>
      <w:szCs w:val="24"/>
      <w:lang w:val="en-US" w:eastAsia="zh-CN" w:bidi="ar-SA"/>
    </w:rPr>
  </w:style>
  <w:style w:type="character" w:customStyle="1" w:styleId="93">
    <w:name w:val="color99ca801"/>
    <w:uiPriority w:val="0"/>
    <w:rPr>
      <w:color w:val="99CA80"/>
    </w:rPr>
  </w:style>
  <w:style w:type="character" w:customStyle="1" w:styleId="94">
    <w:name w:val=" Char Char2"/>
    <w:uiPriority w:val="0"/>
    <w:rPr>
      <w:rFonts w:eastAsia="宋体"/>
      <w:sz w:val="21"/>
      <w:lang w:val="en-US" w:eastAsia="zh-CN" w:bidi="ar-SA"/>
    </w:rPr>
  </w:style>
  <w:style w:type="character" w:customStyle="1" w:styleId="95">
    <w:name w:val="p141"/>
    <w:uiPriority w:val="0"/>
    <w:rPr>
      <w:sz w:val="21"/>
      <w:szCs w:val="21"/>
    </w:rPr>
  </w:style>
  <w:style w:type="character" w:customStyle="1" w:styleId="96">
    <w:name w:val=" Char Char5"/>
    <w:uiPriority w:val="0"/>
    <w:rPr>
      <w:rFonts w:ascii="宋体" w:hAnsi="Courier New" w:eastAsia="宋体" w:cs="Courier New"/>
      <w:sz w:val="21"/>
      <w:szCs w:val="21"/>
      <w:lang w:val="en-US" w:eastAsia="zh-CN" w:bidi="ar-SA"/>
    </w:rPr>
  </w:style>
  <w:style w:type="character" w:customStyle="1" w:styleId="97">
    <w:name w:val="纯文本 Char Char Char"/>
    <w:uiPriority w:val="0"/>
    <w:rPr>
      <w:rFonts w:ascii="宋体" w:hAnsi="Courier New" w:eastAsia="宋体"/>
      <w:kern w:val="2"/>
      <w:sz w:val="21"/>
      <w:lang w:val="en-US" w:eastAsia="zh-CN" w:bidi="ar-SA"/>
    </w:rPr>
  </w:style>
  <w:style w:type="character" w:customStyle="1" w:styleId="98">
    <w:name w:val="ll1"/>
    <w:uiPriority w:val="0"/>
    <w:rPr>
      <w:spacing w:val="31680"/>
    </w:rPr>
  </w:style>
  <w:style w:type="character" w:customStyle="1" w:styleId="99">
    <w:name w:val="页脚 Char Char"/>
    <w:uiPriority w:val="0"/>
    <w:rPr>
      <w:rFonts w:eastAsia="黑体"/>
      <w:snapToGrid w:val="0"/>
      <w:kern w:val="2"/>
      <w:sz w:val="18"/>
      <w:szCs w:val="18"/>
    </w:rPr>
  </w:style>
  <w:style w:type="character" w:customStyle="1" w:styleId="100">
    <w:name w:val=" Char Char6"/>
    <w:uiPriority w:val="0"/>
    <w:rPr>
      <w:rFonts w:eastAsia="宋体"/>
      <w:sz w:val="18"/>
      <w:szCs w:val="18"/>
      <w:lang w:val="en-US" w:eastAsia="zh-CN" w:bidi="ar-SA"/>
    </w:rPr>
  </w:style>
  <w:style w:type="character" w:customStyle="1" w:styleId="101">
    <w:name w:val="纯文本 Char Char"/>
    <w:uiPriority w:val="0"/>
    <w:rPr>
      <w:rFonts w:ascii="宋体" w:hAnsi="Courier New" w:eastAsia="宋体"/>
      <w:kern w:val="2"/>
      <w:sz w:val="21"/>
      <w:lang w:val="en-US" w:eastAsia="zh-CN" w:bidi="ar-SA"/>
    </w:rPr>
  </w:style>
  <w:style w:type="character" w:customStyle="1" w:styleId="102">
    <w:name w:val="style1681"/>
    <w:uiPriority w:val="0"/>
    <w:rPr>
      <w:color w:val="000000"/>
      <w:sz w:val="23"/>
      <w:szCs w:val="23"/>
    </w:rPr>
  </w:style>
  <w:style w:type="character" w:customStyle="1" w:styleId="103">
    <w:name w:val="r"/>
    <w:uiPriority w:val="0"/>
  </w:style>
  <w:style w:type="character" w:customStyle="1" w:styleId="104">
    <w:name w:val="标题 1 Char Char"/>
    <w:uiPriority w:val="0"/>
    <w:rPr>
      <w:rFonts w:hint="eastAsia" w:ascii="宋体" w:hAnsi="宋体" w:eastAsia="宋体"/>
      <w:b/>
      <w:spacing w:val="-2"/>
      <w:sz w:val="24"/>
      <w:lang w:val="en-US" w:eastAsia="zh-CN" w:bidi="ar-SA"/>
    </w:rPr>
  </w:style>
  <w:style w:type="character" w:customStyle="1" w:styleId="105">
    <w:name w:val="font01"/>
    <w:uiPriority w:val="0"/>
    <w:rPr>
      <w:rFonts w:hint="eastAsia" w:ascii="宋体" w:hAnsi="宋体" w:eastAsia="宋体" w:cs="宋体"/>
      <w:color w:val="000000"/>
      <w:sz w:val="21"/>
      <w:szCs w:val="21"/>
      <w:u w:val="none"/>
    </w:rPr>
  </w:style>
  <w:style w:type="character" w:customStyle="1" w:styleId="106">
    <w:name w:val="正文无缩进 Char Char"/>
    <w:link w:val="107"/>
    <w:uiPriority w:val="0"/>
    <w:rPr>
      <w:rFonts w:ascii="宋体" w:eastAsia="宋体"/>
      <w:color w:val="000000"/>
      <w:kern w:val="2"/>
      <w:sz w:val="24"/>
      <w:szCs w:val="24"/>
      <w:lang w:val="en-US" w:eastAsia="zh-CN" w:bidi="ar-SA"/>
    </w:rPr>
  </w:style>
  <w:style w:type="paragraph" w:customStyle="1" w:styleId="107">
    <w:name w:val="正文无缩进"/>
    <w:basedOn w:val="1"/>
    <w:link w:val="106"/>
    <w:uiPriority w:val="0"/>
    <w:pPr>
      <w:widowControl w:val="0"/>
      <w:spacing w:line="360" w:lineRule="auto"/>
      <w:jc w:val="both"/>
    </w:pPr>
    <w:rPr>
      <w:rFonts w:ascii="宋体" w:eastAsia="宋体"/>
      <w:color w:val="000000"/>
      <w:kern w:val="2"/>
      <w:sz w:val="24"/>
      <w:szCs w:val="24"/>
      <w:lang w:val="en-US" w:eastAsia="zh-CN" w:bidi="ar-SA"/>
    </w:rPr>
  </w:style>
  <w:style w:type="character" w:customStyle="1" w:styleId="108">
    <w:name w:val="Emphasis"/>
    <w:uiPriority w:val="0"/>
    <w:rPr>
      <w:rFonts w:ascii="Arial Black" w:hAnsi="Arial Black" w:eastAsia="黑体"/>
      <w:b/>
      <w:spacing w:val="0"/>
      <w:sz w:val="21"/>
    </w:rPr>
  </w:style>
  <w:style w:type="character" w:customStyle="1" w:styleId="109">
    <w:name w:val="r4"/>
    <w:uiPriority w:val="0"/>
    <w:rPr>
      <w:color w:val="6E6E6E"/>
    </w:rPr>
  </w:style>
  <w:style w:type="character" w:customStyle="1" w:styleId="110">
    <w:name w:val="del2"/>
    <w:uiPriority w:val="0"/>
    <w:rPr>
      <w:vanish/>
    </w:rPr>
  </w:style>
  <w:style w:type="character" w:customStyle="1" w:styleId="111">
    <w:name w:val="r5"/>
    <w:uiPriority w:val="0"/>
  </w:style>
  <w:style w:type="character" w:customStyle="1" w:styleId="112">
    <w:name w:val="font11"/>
    <w:uiPriority w:val="0"/>
    <w:rPr>
      <w:rFonts w:ascii="Calibri" w:hAnsi="Calibri" w:cs="Calibri"/>
      <w:color w:val="000000"/>
      <w:sz w:val="21"/>
      <w:szCs w:val="21"/>
      <w:u w:val="none"/>
    </w:rPr>
  </w:style>
  <w:style w:type="character" w:customStyle="1" w:styleId="113">
    <w:name w:val="10"/>
    <w:uiPriority w:val="0"/>
    <w:rPr>
      <w:rFonts w:hint="default" w:ascii="Times New Roman" w:hAnsi="Times New Roman" w:cs="Times New Roman"/>
    </w:rPr>
  </w:style>
  <w:style w:type="character" w:customStyle="1" w:styleId="114">
    <w:name w:val="font21"/>
    <w:uiPriority w:val="0"/>
    <w:rPr>
      <w:rFonts w:hint="eastAsia" w:ascii="宋体" w:hAnsi="宋体" w:eastAsia="宋体" w:cs="宋体"/>
      <w:color w:val="000000"/>
      <w:sz w:val="21"/>
      <w:szCs w:val="21"/>
      <w:u w:val="none"/>
    </w:rPr>
  </w:style>
  <w:style w:type="character" w:customStyle="1" w:styleId="115">
    <w:name w:val="textfont1"/>
    <w:uiPriority w:val="0"/>
    <w:rPr>
      <w:sz w:val="22"/>
      <w:szCs w:val="22"/>
    </w:rPr>
  </w:style>
  <w:style w:type="character" w:customStyle="1" w:styleId="116">
    <w:name w:val="h Char Char"/>
    <w:uiPriority w:val="0"/>
    <w:rPr>
      <w:rFonts w:eastAsia="宋体"/>
      <w:sz w:val="18"/>
      <w:szCs w:val="18"/>
      <w:lang w:val="en-US" w:eastAsia="zh-CN" w:bidi="ar-SA"/>
    </w:rPr>
  </w:style>
  <w:style w:type="character" w:customStyle="1" w:styleId="117">
    <w:name w:val="l1"/>
    <w:uiPriority w:val="0"/>
    <w:rPr>
      <w:b/>
    </w:rPr>
  </w:style>
  <w:style w:type="character" w:customStyle="1" w:styleId="118">
    <w:name w:val="r3"/>
    <w:uiPriority w:val="0"/>
  </w:style>
  <w:style w:type="character" w:customStyle="1" w:styleId="119">
    <w:name w:val="15"/>
    <w:uiPriority w:val="0"/>
    <w:rPr>
      <w:rFonts w:hint="default" w:ascii="Times New Roman" w:hAnsi="Times New Roman" w:cs="Times New Roman"/>
    </w:rPr>
  </w:style>
  <w:style w:type="character" w:customStyle="1" w:styleId="120">
    <w:name w:val=" Char Char7"/>
    <w:uiPriority w:val="0"/>
    <w:rPr>
      <w:rFonts w:eastAsia="宋体"/>
      <w:b/>
      <w:bCs/>
      <w:sz w:val="32"/>
      <w:szCs w:val="32"/>
      <w:lang w:val="en-US" w:eastAsia="zh-CN" w:bidi="ar-SA"/>
    </w:rPr>
  </w:style>
  <w:style w:type="character" w:customStyle="1" w:styleId="121">
    <w:name w:val="l4"/>
    <w:uiPriority w:val="0"/>
  </w:style>
  <w:style w:type="character" w:customStyle="1" w:styleId="122">
    <w:name w:val=" Char Char3"/>
    <w:uiPriority w:val="0"/>
    <w:rPr>
      <w:kern w:val="2"/>
      <w:sz w:val="18"/>
      <w:szCs w:val="18"/>
    </w:rPr>
  </w:style>
  <w:style w:type="paragraph" w:customStyle="1" w:styleId="123">
    <w:name w:val="Normal1"/>
    <w:uiPriority w:val="0"/>
    <w:pPr>
      <w:widowControl w:val="0"/>
      <w:adjustRightInd w:val="0"/>
      <w:spacing w:line="315" w:lineRule="atLeast"/>
      <w:jc w:val="both"/>
      <w:textAlignment w:val="baseline"/>
    </w:pPr>
    <w:rPr>
      <w:rFonts w:ascii="宋体"/>
      <w:sz w:val="21"/>
      <w:lang w:val="en-US" w:eastAsia="zh-CN" w:bidi="ar-SA"/>
    </w:rPr>
  </w:style>
  <w:style w:type="paragraph" w:customStyle="1" w:styleId="124">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125">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6">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127">
    <w:name w:val="xl37"/>
    <w:basedOn w:val="1"/>
    <w:uiPriority w:val="0"/>
    <w:pPr>
      <w:pBdr>
        <w:top w:val="single" w:color="auto" w:sz="4" w:space="0"/>
        <w:left w:val="single" w:color="auto" w:sz="4" w:space="0"/>
        <w:bottom w:val="single" w:color="auto" w:sz="8"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28">
    <w:name w:val="xl2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29">
    <w:name w:val="xl35"/>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30">
    <w:name w:val="公司名"/>
    <w:basedOn w:val="1"/>
    <w:uiPriority w:val="0"/>
    <w:pPr>
      <w:adjustRightInd w:val="0"/>
      <w:spacing w:line="280" w:lineRule="atLeast"/>
      <w:textAlignment w:val="baseline"/>
    </w:pPr>
    <w:rPr>
      <w:rFonts w:ascii="Arial Black" w:hAnsi="Arial Black" w:eastAsia="楷体_GB2312"/>
      <w:spacing w:val="-25"/>
      <w:sz w:val="48"/>
    </w:rPr>
  </w:style>
  <w:style w:type="paragraph" w:customStyle="1" w:styleId="131">
    <w:name w:val="xl2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sz w:val="24"/>
      <w:szCs w:val="24"/>
    </w:rPr>
  </w:style>
  <w:style w:type="paragraph" w:customStyle="1" w:styleId="132">
    <w:name w:val="方框"/>
    <w:basedOn w:val="1"/>
    <w:uiPriority w:val="0"/>
    <w:pPr>
      <w:widowControl w:val="0"/>
      <w:adjustRightInd w:val="0"/>
      <w:spacing w:line="200" w:lineRule="exact"/>
      <w:ind w:firstLine="210"/>
      <w:textAlignment w:val="baseline"/>
    </w:pPr>
    <w:rPr>
      <w:rFonts w:ascii="Arial" w:hAnsi="Arial"/>
      <w:kern w:val="2"/>
      <w:sz w:val="15"/>
    </w:rPr>
  </w:style>
  <w:style w:type="paragraph" w:customStyle="1" w:styleId="133">
    <w:name w:val="正文1"/>
    <w:basedOn w:val="1"/>
    <w:next w:val="1"/>
    <w:uiPriority w:val="0"/>
    <w:pPr>
      <w:widowControl w:val="0"/>
      <w:numPr>
        <w:ilvl w:val="0"/>
        <w:numId w:val="1"/>
      </w:numPr>
      <w:tabs>
        <w:tab w:val="left" w:pos="360"/>
      </w:tabs>
      <w:spacing w:line="360" w:lineRule="auto"/>
      <w:ind w:left="357" w:hanging="357"/>
      <w:jc w:val="both"/>
    </w:pPr>
    <w:rPr>
      <w:rFonts w:ascii="宋体" w:hAnsi="宋体"/>
      <w:color w:val="FF0000"/>
      <w:kern w:val="2"/>
      <w:szCs w:val="24"/>
    </w:rPr>
  </w:style>
  <w:style w:type="paragraph" w:customStyle="1" w:styleId="134">
    <w:name w:val=" Char Char Char Char Char Char"/>
    <w:basedOn w:val="1"/>
    <w:uiPriority w:val="0"/>
    <w:pPr>
      <w:spacing w:after="160" w:afterLines="0" w:line="240" w:lineRule="exact"/>
    </w:pPr>
  </w:style>
  <w:style w:type="paragraph" w:customStyle="1" w:styleId="135">
    <w:name w:val="xl33"/>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36">
    <w:name w:val="主题行"/>
    <w:basedOn w:val="1"/>
    <w:next w:val="20"/>
    <w:uiPriority w:val="0"/>
    <w:pPr>
      <w:adjustRightInd w:val="0"/>
      <w:spacing w:after="220" w:afterLines="0" w:line="220" w:lineRule="atLeast"/>
      <w:textAlignment w:val="baseline"/>
    </w:pPr>
    <w:rPr>
      <w:rFonts w:ascii="Arial Black" w:hAnsi="Arial Black"/>
      <w:spacing w:val="-10"/>
      <w:sz w:val="20"/>
    </w:rPr>
  </w:style>
  <w:style w:type="paragraph" w:customStyle="1" w:styleId="137">
    <w:name w:val="font0"/>
    <w:basedOn w:val="1"/>
    <w:uiPriority w:val="0"/>
    <w:pPr>
      <w:spacing w:before="100" w:beforeLines="0" w:beforeAutospacing="1" w:after="100" w:afterLines="0" w:afterAutospacing="1"/>
    </w:pPr>
    <w:rPr>
      <w:rFonts w:ascii="宋体" w:hAnsi="宋体" w:cs="宋体"/>
      <w:sz w:val="24"/>
      <w:szCs w:val="24"/>
    </w:rPr>
  </w:style>
  <w:style w:type="paragraph" w:customStyle="1" w:styleId="138">
    <w:name w:val="1"/>
    <w:basedOn w:val="1"/>
    <w:next w:val="25"/>
    <w:uiPriority w:val="0"/>
    <w:pPr>
      <w:widowControl w:val="0"/>
      <w:jc w:val="both"/>
    </w:pPr>
    <w:rPr>
      <w:rFonts w:ascii="宋体" w:hAnsi="Courier New"/>
      <w:kern w:val="2"/>
    </w:rPr>
  </w:style>
  <w:style w:type="paragraph" w:customStyle="1" w:styleId="139">
    <w:name w:val="分手多日，近况如何？"/>
    <w:uiPriority w:val="0"/>
    <w:pPr>
      <w:widowControl w:val="0"/>
      <w:jc w:val="both"/>
    </w:pPr>
    <w:rPr>
      <w:kern w:val="2"/>
      <w:sz w:val="21"/>
      <w:lang w:val="en-US" w:eastAsia="zh-CN" w:bidi="ar-SA"/>
    </w:rPr>
  </w:style>
  <w:style w:type="paragraph" w:customStyle="1" w:styleId="140">
    <w:name w:val=" Char"/>
    <w:basedOn w:val="1"/>
    <w:uiPriority w:val="0"/>
    <w:pPr>
      <w:widowControl w:val="0"/>
      <w:jc w:val="both"/>
    </w:pPr>
    <w:rPr>
      <w:rFonts w:ascii="Tahoma" w:hAnsi="Tahoma"/>
      <w:kern w:val="2"/>
      <w:sz w:val="24"/>
    </w:rPr>
  </w:style>
  <w:style w:type="paragraph" w:customStyle="1" w:styleId="141">
    <w:name w:val="xl39"/>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textAlignment w:val="top"/>
    </w:pPr>
    <w:rPr>
      <w:rFonts w:ascii="宋体" w:hAnsi="宋体" w:cs="宋体"/>
      <w:sz w:val="24"/>
      <w:szCs w:val="24"/>
    </w:rPr>
  </w:style>
  <w:style w:type="paragraph" w:customStyle="1" w:styleId="142">
    <w:name w:val="Char"/>
    <w:basedOn w:val="1"/>
    <w:uiPriority w:val="0"/>
    <w:pPr>
      <w:spacing w:after="160" w:afterLines="0" w:line="240" w:lineRule="exact"/>
    </w:pPr>
    <w:rPr>
      <w:rFonts w:ascii="Verdana" w:hAnsi="Verdana"/>
      <w:lang w:eastAsia="en-US"/>
    </w:rPr>
  </w:style>
  <w:style w:type="paragraph" w:customStyle="1" w:styleId="143">
    <w:name w:val="表格文字"/>
    <w:basedOn w:val="1"/>
    <w:uiPriority w:val="0"/>
    <w:pPr>
      <w:widowControl w:val="0"/>
      <w:spacing w:before="25" w:beforeLines="0" w:after="25" w:afterLines="0"/>
    </w:pPr>
    <w:rPr>
      <w:bCs/>
      <w:spacing w:val="10"/>
      <w:sz w:val="24"/>
    </w:rPr>
  </w:style>
  <w:style w:type="paragraph" w:customStyle="1" w:styleId="144">
    <w:name w:val="Char Char Char Char Char Char"/>
    <w:basedOn w:val="1"/>
    <w:next w:val="4"/>
    <w:uiPriority w:val="0"/>
    <w:pPr>
      <w:spacing w:before="100" w:beforeLines="0" w:beforeAutospacing="1" w:after="100" w:afterLines="0" w:afterAutospacing="1" w:line="420" w:lineRule="auto"/>
      <w:textAlignment w:val="top"/>
    </w:pPr>
    <w:rPr>
      <w:kern w:val="2"/>
    </w:rPr>
  </w:style>
  <w:style w:type="paragraph" w:customStyle="1" w:styleId="145">
    <w:name w:val=" Char Char Char Char Char Char Char Char Char Char"/>
    <w:basedOn w:val="1"/>
    <w:uiPriority w:val="0"/>
    <w:pPr>
      <w:widowControl w:val="0"/>
      <w:jc w:val="both"/>
    </w:pPr>
    <w:rPr>
      <w:rFonts w:ascii="Tahoma" w:hAnsi="Tahoma"/>
      <w:kern w:val="2"/>
      <w:sz w:val="24"/>
    </w:rPr>
  </w:style>
  <w:style w:type="paragraph" w:customStyle="1" w:styleId="146">
    <w:name w:val="参考:"/>
    <w:uiPriority w:val="0"/>
    <w:pPr>
      <w:widowControl w:val="0"/>
      <w:jc w:val="both"/>
    </w:pPr>
    <w:rPr>
      <w:kern w:val="2"/>
      <w:sz w:val="21"/>
      <w:lang w:val="en-US" w:eastAsia="zh-CN" w:bidi="ar-SA"/>
    </w:rPr>
  </w:style>
  <w:style w:type="paragraph" w:customStyle="1" w:styleId="147">
    <w:name w:val="惠书敬悉，迟复为歉。"/>
    <w:uiPriority w:val="0"/>
    <w:pPr>
      <w:widowControl w:val="0"/>
      <w:jc w:val="both"/>
    </w:pPr>
    <w:rPr>
      <w:kern w:val="2"/>
      <w:sz w:val="21"/>
      <w:lang w:val="en-US" w:eastAsia="zh-CN" w:bidi="ar-SA"/>
    </w:rPr>
  </w:style>
  <w:style w:type="paragraph" w:customStyle="1" w:styleId="148">
    <w:name w:val="xl44"/>
    <w:basedOn w:val="1"/>
    <w:uiPriority w:val="0"/>
    <w:pPr>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49">
    <w:name w:val="Table Paragraph"/>
    <w:basedOn w:val="1"/>
    <w:qFormat/>
    <w:uiPriority w:val="1"/>
    <w:rPr>
      <w:rFonts w:ascii="宋体" w:hAnsi="宋体" w:eastAsia="宋体" w:cs="宋体"/>
      <w:lang w:val="zh-CN" w:eastAsia="zh-CN" w:bidi="zh-CN"/>
    </w:rPr>
  </w:style>
  <w:style w:type="paragraph" w:customStyle="1" w:styleId="150">
    <w:name w:val="xl2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51">
    <w:name w:val="奉读大示，心折殊深。"/>
    <w:uiPriority w:val="0"/>
    <w:pPr>
      <w:widowControl w:val="0"/>
      <w:jc w:val="both"/>
    </w:pPr>
    <w:rPr>
      <w:kern w:val="2"/>
      <w:sz w:val="21"/>
      <w:lang w:val="en-US" w:eastAsia="zh-CN" w:bidi="ar-SA"/>
    </w:rPr>
  </w:style>
  <w:style w:type="paragraph" w:customStyle="1" w:styleId="152">
    <w:name w:val="xl34"/>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53">
    <w:name w:val="O"/>
    <w:uiPriority w:val="0"/>
    <w:pPr>
      <w:widowControl w:val="0"/>
      <w:adjustRightInd w:val="0"/>
      <w:textAlignment w:val="baseline"/>
    </w:pPr>
    <w:rPr>
      <w:kern w:val="2"/>
      <w:sz w:val="24"/>
      <w:lang w:val="en-US" w:eastAsia="zh-CN" w:bidi="ar-SA"/>
    </w:rPr>
  </w:style>
  <w:style w:type="paragraph" w:customStyle="1" w:styleId="154">
    <w:name w:val="日期/注释"/>
    <w:basedOn w:val="1"/>
    <w:next w:val="155"/>
    <w:uiPriority w:val="0"/>
    <w:pPr>
      <w:adjustRightInd w:val="0"/>
      <w:spacing w:after="220" w:afterLines="0" w:line="220" w:lineRule="atLeast"/>
      <w:ind w:right="360"/>
      <w:jc w:val="right"/>
      <w:textAlignment w:val="baseline"/>
    </w:pPr>
    <w:rPr>
      <w:rFonts w:ascii="Arial" w:hAnsi="Arial"/>
      <w:spacing w:val="-5"/>
      <w:sz w:val="20"/>
    </w:rPr>
  </w:style>
  <w:style w:type="paragraph" w:customStyle="1" w:styleId="155">
    <w:name w:val="内部地址名"/>
    <w:basedOn w:val="156"/>
    <w:next w:val="156"/>
    <w:uiPriority w:val="0"/>
    <w:pPr>
      <w:spacing w:line="240" w:lineRule="exact"/>
    </w:pPr>
    <w:rPr>
      <w:rFonts w:ascii="Arial Black" w:hAnsi="Arial Black" w:eastAsia="中圆体"/>
      <w:spacing w:val="40"/>
      <w:sz w:val="24"/>
    </w:rPr>
  </w:style>
  <w:style w:type="paragraph" w:customStyle="1" w:styleId="156">
    <w:name w:val="内部地址"/>
    <w:basedOn w:val="1"/>
    <w:uiPriority w:val="0"/>
    <w:pPr>
      <w:adjustRightInd w:val="0"/>
      <w:spacing w:line="160" w:lineRule="atLeast"/>
      <w:textAlignment w:val="baseline"/>
    </w:pPr>
    <w:rPr>
      <w:rFonts w:ascii="Arial" w:hAnsi="Arial"/>
      <w:spacing w:val="-5"/>
      <w:sz w:val="20"/>
    </w:rPr>
  </w:style>
  <w:style w:type="paragraph" w:customStyle="1" w:styleId="157">
    <w:name w:val="回信地址"/>
    <w:basedOn w:val="1"/>
    <w:uiPriority w:val="0"/>
    <w:pPr>
      <w:keepLines/>
      <w:tabs>
        <w:tab w:val="left" w:pos="-18551"/>
      </w:tabs>
      <w:adjustRightInd w:val="0"/>
      <w:spacing w:line="160" w:lineRule="atLeast"/>
      <w:textAlignment w:val="baseline"/>
    </w:pPr>
    <w:rPr>
      <w:rFonts w:ascii="Arial" w:hAnsi="Arial"/>
      <w:sz w:val="18"/>
    </w:rPr>
  </w:style>
  <w:style w:type="paragraph" w:customStyle="1" w:styleId="158">
    <w:name w:val="xl40"/>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59">
    <w:name w:val="xl42"/>
    <w:basedOn w:val="1"/>
    <w:uiPriority w:val="0"/>
    <w:pPr>
      <w:spacing w:before="100" w:beforeLines="0" w:beforeAutospacing="1" w:after="100" w:afterLines="0" w:afterAutospacing="1"/>
      <w:textAlignment w:val="top"/>
    </w:pPr>
    <w:rPr>
      <w:rFonts w:ascii="宋体" w:hAnsi="宋体" w:cs="宋体"/>
      <w:sz w:val="24"/>
      <w:szCs w:val="24"/>
    </w:rPr>
  </w:style>
  <w:style w:type="paragraph" w:customStyle="1" w:styleId="160">
    <w:name w:val="正文段"/>
    <w:basedOn w:val="1"/>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161">
    <w:name w:val="文件名"/>
    <w:uiPriority w:val="0"/>
    <w:pPr>
      <w:widowControl w:val="0"/>
      <w:jc w:val="both"/>
    </w:pPr>
    <w:rPr>
      <w:kern w:val="2"/>
      <w:sz w:val="21"/>
      <w:lang w:val="en-US" w:eastAsia="zh-CN" w:bidi="ar-SA"/>
    </w:rPr>
  </w:style>
  <w:style w:type="paragraph" w:customStyle="1" w:styleId="162">
    <w:name w:val="Salutation"/>
    <w:basedOn w:val="1"/>
    <w:next w:val="1"/>
    <w:uiPriority w:val="0"/>
    <w:pPr>
      <w:adjustRightInd w:val="0"/>
      <w:textAlignment w:val="baseline"/>
    </w:pPr>
    <w:rPr>
      <w:rFonts w:ascii="Arial" w:hAnsi="Arial"/>
      <w:spacing w:val="-5"/>
      <w:sz w:val="24"/>
    </w:rPr>
  </w:style>
  <w:style w:type="paragraph" w:customStyle="1" w:styleId="163">
    <w:name w:val="150"/>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164">
    <w:name w:val="Char Char Char Char"/>
    <w:basedOn w:val="1"/>
    <w:uiPriority w:val="0"/>
    <w:pPr>
      <w:widowControl w:val="0"/>
      <w:tabs>
        <w:tab w:val="left" w:pos="420"/>
      </w:tabs>
      <w:ind w:left="420" w:hanging="420"/>
      <w:jc w:val="both"/>
    </w:pPr>
    <w:rPr>
      <w:kern w:val="2"/>
      <w:sz w:val="24"/>
      <w:szCs w:val="24"/>
    </w:rPr>
  </w:style>
  <w:style w:type="paragraph" w:customStyle="1" w:styleId="165">
    <w:name w:val="关于:"/>
    <w:uiPriority w:val="0"/>
    <w:pPr>
      <w:widowControl w:val="0"/>
      <w:jc w:val="both"/>
    </w:pPr>
    <w:rPr>
      <w:kern w:val="2"/>
      <w:sz w:val="21"/>
      <w:lang w:val="en-US" w:eastAsia="zh-CN" w:bidi="ar-SA"/>
    </w:rPr>
  </w:style>
  <w:style w:type="paragraph" w:customStyle="1" w:styleId="166">
    <w:name w:val=" Char Char Char Char Char Char Char Char Char1 Char Char Char Char"/>
    <w:basedOn w:val="1"/>
    <w:uiPriority w:val="0"/>
    <w:pPr>
      <w:widowControl w:val="0"/>
      <w:adjustRightInd w:val="0"/>
      <w:spacing w:line="360" w:lineRule="auto"/>
      <w:jc w:val="both"/>
    </w:pPr>
    <w:rPr>
      <w:sz w:val="24"/>
    </w:rPr>
  </w:style>
  <w:style w:type="paragraph" w:customStyle="1" w:styleId="167">
    <w:name w:val="音问久疏，唯愿一切康适。"/>
    <w:uiPriority w:val="0"/>
    <w:pPr>
      <w:widowControl w:val="0"/>
      <w:jc w:val="both"/>
    </w:pPr>
    <w:rPr>
      <w:kern w:val="2"/>
      <w:sz w:val="21"/>
      <w:lang w:val="en-US" w:eastAsia="zh-CN" w:bidi="ar-SA"/>
    </w:rPr>
  </w:style>
  <w:style w:type="paragraph" w:customStyle="1" w:styleId="168">
    <w:name w:val="List Paragraph"/>
    <w:basedOn w:val="1"/>
    <w:uiPriority w:val="0"/>
    <w:pPr>
      <w:widowControl w:val="0"/>
      <w:ind w:firstLine="420" w:firstLineChars="200"/>
      <w:jc w:val="both"/>
    </w:pPr>
    <w:rPr>
      <w:rFonts w:ascii="Calibri" w:hAnsi="Calibri"/>
      <w:kern w:val="2"/>
      <w:szCs w:val="22"/>
    </w:rPr>
  </w:style>
  <w:style w:type="paragraph" w:customStyle="1" w:styleId="169">
    <w:name w:val="f10"/>
    <w:basedOn w:val="1"/>
    <w:uiPriority w:val="0"/>
    <w:pPr>
      <w:spacing w:before="100" w:beforeLines="0" w:beforeAutospacing="1" w:after="100" w:afterLines="0" w:afterAutospacing="1" w:line="260" w:lineRule="atLeast"/>
    </w:pPr>
    <w:rPr>
      <w:rFonts w:ascii="_GB2312" w:hAnsi="_GB2312"/>
      <w:color w:val="000000"/>
      <w:sz w:val="18"/>
      <w:szCs w:val="18"/>
    </w:rPr>
  </w:style>
  <w:style w:type="paragraph" w:customStyle="1" w:styleId="170">
    <w:name w:val="题注4"/>
    <w:basedOn w:val="1"/>
    <w:next w:val="16"/>
    <w:uiPriority w:val="0"/>
    <w:pPr>
      <w:widowControl w:val="0"/>
      <w:ind w:left="-132" w:leftChars="-64" w:right="-105" w:rightChars="-50" w:hanging="2"/>
      <w:jc w:val="center"/>
    </w:pPr>
    <w:rPr>
      <w:b/>
      <w:color w:val="FF0000"/>
      <w:kern w:val="2"/>
      <w:szCs w:val="21"/>
      <w:lang w:val="en-GB"/>
    </w:rPr>
  </w:style>
  <w:style w:type="paragraph" w:customStyle="1" w:styleId="171">
    <w:name w:val="CL1"/>
    <w:uiPriority w:val="0"/>
    <w:pPr>
      <w:widowControl w:val="0"/>
      <w:adjustRightInd w:val="0"/>
      <w:textAlignment w:val="baseline"/>
    </w:pPr>
    <w:rPr>
      <w:kern w:val="2"/>
      <w:sz w:val="24"/>
      <w:lang w:val="en-US" w:eastAsia="zh-CN" w:bidi="ar-SA"/>
    </w:rPr>
  </w:style>
  <w:style w:type="paragraph" w:customStyle="1" w:styleId="172">
    <w:name w:val="称谓"/>
    <w:basedOn w:val="1"/>
    <w:next w:val="1"/>
    <w:uiPriority w:val="0"/>
    <w:pPr>
      <w:adjustRightInd w:val="0"/>
      <w:spacing w:before="220" w:beforeLines="0" w:after="220" w:afterLines="0" w:line="220" w:lineRule="atLeast"/>
      <w:textAlignment w:val="baseline"/>
    </w:pPr>
    <w:rPr>
      <w:rFonts w:ascii="Arial" w:hAnsi="Arial"/>
      <w:spacing w:val="-5"/>
      <w:sz w:val="24"/>
    </w:rPr>
  </w:style>
  <w:style w:type="paragraph" w:customStyle="1" w:styleId="173">
    <w:name w:val="内容"/>
    <w:basedOn w:val="1"/>
    <w:uiPriority w:val="0"/>
    <w:pPr>
      <w:widowControl w:val="0"/>
      <w:adjustRightInd w:val="0"/>
      <w:textAlignment w:val="baseline"/>
    </w:pPr>
    <w:rPr>
      <w:rFonts w:eastAsia="微软大黑体"/>
      <w:spacing w:val="40"/>
      <w:kern w:val="2"/>
      <w:sz w:val="32"/>
    </w:rPr>
  </w:style>
  <w:style w:type="paragraph" w:customStyle="1" w:styleId="174">
    <w:name w:val="签名 - 职位"/>
    <w:basedOn w:val="33"/>
    <w:next w:val="175"/>
    <w:uiPriority w:val="0"/>
    <w:pPr>
      <w:spacing w:before="880" w:beforeLines="0"/>
    </w:pPr>
    <w:rPr>
      <w:lang/>
    </w:rPr>
  </w:style>
  <w:style w:type="paragraph" w:customStyle="1" w:styleId="175">
    <w:name w:val="签名 - 公司"/>
    <w:basedOn w:val="33"/>
    <w:next w:val="1"/>
    <w:uiPriority w:val="0"/>
    <w:pPr>
      <w:ind w:right="360"/>
    </w:pPr>
  </w:style>
  <w:style w:type="paragraph" w:styleId="176">
    <w:name w:val=""/>
    <w:basedOn w:val="4"/>
    <w:next w:val="1"/>
    <w:qFormat/>
    <w:uiPriority w:val="0"/>
    <w:pPr>
      <w:spacing w:before="480" w:beforeLines="0" w:after="0" w:afterLines="0" w:line="276" w:lineRule="auto"/>
      <w:outlineLvl w:val="9"/>
    </w:pPr>
    <w:rPr>
      <w:rFonts w:ascii="Cambria" w:hAnsi="Cambria"/>
      <w:color w:val="365F91"/>
      <w:kern w:val="0"/>
      <w:sz w:val="28"/>
      <w:szCs w:val="28"/>
    </w:rPr>
  </w:style>
  <w:style w:type="paragraph" w:customStyle="1" w:styleId="177">
    <w:name w:val="叩请金安！"/>
    <w:uiPriority w:val="0"/>
    <w:pPr>
      <w:widowControl w:val="0"/>
      <w:jc w:val="both"/>
    </w:pPr>
    <w:rPr>
      <w:kern w:val="2"/>
      <w:sz w:val="21"/>
      <w:lang w:val="en-US" w:eastAsia="zh-CN" w:bidi="ar-SA"/>
    </w:rPr>
  </w:style>
  <w:style w:type="paragraph" w:customStyle="1" w:styleId="178">
    <w:name w:val="font5"/>
    <w:basedOn w:val="1"/>
    <w:uiPriority w:val="0"/>
    <w:pPr>
      <w:spacing w:before="100" w:beforeLines="0" w:beforeAutospacing="1" w:after="100" w:afterLines="0" w:afterAutospacing="1"/>
    </w:pPr>
    <w:rPr>
      <w:rFonts w:ascii="宋体" w:hAnsi="宋体" w:cs="宋体"/>
      <w:sz w:val="18"/>
      <w:szCs w:val="18"/>
    </w:rPr>
  </w:style>
  <w:style w:type="paragraph" w:customStyle="1" w:styleId="179">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180">
    <w:name w:val="f12pt1"/>
    <w:basedOn w:val="1"/>
    <w:uiPriority w:val="0"/>
    <w:pPr>
      <w:spacing w:before="100" w:beforeLines="0" w:beforeAutospacing="1" w:after="100" w:afterLines="0" w:afterAutospacing="1"/>
    </w:pPr>
    <w:rPr>
      <w:rFonts w:ascii="_GB2312" w:hAnsi="_GB2312"/>
      <w:color w:val="000000"/>
      <w:szCs w:val="21"/>
    </w:rPr>
  </w:style>
  <w:style w:type="paragraph" w:customStyle="1" w:styleId="181">
    <w:name w:val="顺颂商祺！"/>
    <w:uiPriority w:val="0"/>
    <w:pPr>
      <w:widowControl w:val="0"/>
      <w:jc w:val="both"/>
    </w:pPr>
    <w:rPr>
      <w:kern w:val="2"/>
      <w:sz w:val="21"/>
      <w:lang w:val="en-US" w:eastAsia="zh-CN" w:bidi="ar-SA"/>
    </w:rPr>
  </w:style>
  <w:style w:type="paragraph" w:customStyle="1" w:styleId="182">
    <w:name w:val="复选框1"/>
    <w:basedOn w:val="1"/>
    <w:uiPriority w:val="0"/>
    <w:pPr>
      <w:tabs>
        <w:tab w:val="left" w:pos="630"/>
      </w:tabs>
      <w:adjustRightInd w:val="0"/>
      <w:spacing w:line="240" w:lineRule="exact"/>
      <w:ind w:firstLine="357"/>
      <w:textAlignment w:val="baseline"/>
    </w:pPr>
    <w:rPr>
      <w:sz w:val="15"/>
    </w:rPr>
  </w:style>
  <w:style w:type="paragraph" w:customStyle="1" w:styleId="183">
    <w:name w:val="xl24"/>
    <w:basedOn w:val="1"/>
    <w:uiPriority w:val="0"/>
    <w:pPr>
      <w:spacing w:before="100" w:beforeLines="0" w:beforeAutospacing="1" w:after="100" w:afterLines="0" w:afterAutospacing="1"/>
      <w:jc w:val="center"/>
    </w:pPr>
    <w:rPr>
      <w:rFonts w:ascii="宋体" w:hAnsi="宋体" w:cs="宋体"/>
      <w:sz w:val="24"/>
      <w:szCs w:val="24"/>
    </w:rPr>
  </w:style>
  <w:style w:type="paragraph" w:customStyle="1" w:styleId="184">
    <w:name w:val="Char Char Char Char Char Char1 Char Char Char Char"/>
    <w:basedOn w:val="1"/>
    <w:uiPriority w:val="0"/>
    <w:pPr>
      <w:tabs>
        <w:tab w:val="left" w:pos="360"/>
      </w:tabs>
      <w:spacing w:after="160" w:afterLines="0" w:line="240" w:lineRule="exact"/>
    </w:pPr>
    <w:rPr>
      <w:kern w:val="2"/>
      <w:sz w:val="24"/>
      <w:szCs w:val="24"/>
    </w:rPr>
  </w:style>
  <w:style w:type="paragraph" w:customStyle="1" w:styleId="185">
    <w:name w:val="f11"/>
    <w:basedOn w:val="1"/>
    <w:uiPriority w:val="0"/>
    <w:pPr>
      <w:spacing w:before="100" w:beforeLines="0" w:beforeAutospacing="1" w:after="100" w:afterLines="0" w:afterAutospacing="1" w:line="320" w:lineRule="atLeast"/>
    </w:pPr>
    <w:rPr>
      <w:rFonts w:ascii="_GB2312" w:hAnsi="_GB2312"/>
      <w:color w:val="000000"/>
      <w:sz w:val="28"/>
      <w:szCs w:val="28"/>
    </w:rPr>
  </w:style>
  <w:style w:type="paragraph" w:customStyle="1" w:styleId="186">
    <w:name w:val="上次保存者"/>
    <w:uiPriority w:val="0"/>
    <w:pPr>
      <w:widowControl w:val="0"/>
      <w:jc w:val="both"/>
    </w:pPr>
    <w:rPr>
      <w:kern w:val="2"/>
      <w:sz w:val="21"/>
      <w:lang w:val="en-US" w:eastAsia="zh-CN" w:bidi="ar-SA"/>
    </w:rPr>
  </w:style>
  <w:style w:type="paragraph" w:customStyle="1" w:styleId="187">
    <w:name w:val="xl4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88">
    <w:name w:val="公司标题"/>
    <w:basedOn w:val="1"/>
    <w:uiPriority w:val="0"/>
    <w:pPr>
      <w:widowControl w:val="0"/>
      <w:adjustRightInd w:val="0"/>
      <w:textAlignment w:val="baseline"/>
    </w:pPr>
    <w:rPr>
      <w:rFonts w:eastAsia="微软大黑体"/>
      <w:kern w:val="2"/>
      <w:sz w:val="28"/>
    </w:rPr>
  </w:style>
  <w:style w:type="paragraph" w:customStyle="1" w:styleId="189">
    <w:name w:val="c03"/>
    <w:basedOn w:val="1"/>
    <w:uiPriority w:val="0"/>
    <w:pPr>
      <w:spacing w:before="100" w:beforeLines="0" w:beforeAutospacing="1" w:after="100" w:afterLines="0" w:afterAutospacing="1"/>
    </w:pPr>
    <w:rPr>
      <w:rFonts w:ascii="宋体" w:hAnsi="宋体"/>
      <w:color w:val="000000"/>
      <w:sz w:val="24"/>
      <w:szCs w:val="24"/>
    </w:rPr>
  </w:style>
  <w:style w:type="paragraph" w:customStyle="1" w:styleId="190">
    <w:name w:val="连续正文文字"/>
    <w:basedOn w:val="20"/>
    <w:uiPriority w:val="0"/>
    <w:pPr>
      <w:keepNext/>
      <w:adjustRightInd w:val="0"/>
      <w:spacing w:after="0" w:afterLines="0" w:line="220" w:lineRule="atLeast"/>
      <w:ind w:firstLine="181"/>
      <w:textAlignment w:val="baseline"/>
    </w:pPr>
    <w:rPr>
      <w:rFonts w:ascii="Arial" w:hAnsi="Arial"/>
      <w:sz w:val="18"/>
    </w:rPr>
  </w:style>
  <w:style w:type="paragraph" w:customStyle="1" w:styleId="191">
    <w:name w:val="创建日期"/>
    <w:uiPriority w:val="0"/>
    <w:pPr>
      <w:widowControl w:val="0"/>
      <w:jc w:val="both"/>
    </w:pPr>
    <w:rPr>
      <w:kern w:val="2"/>
      <w:sz w:val="21"/>
      <w:lang w:val="en-US" w:eastAsia="zh-CN" w:bidi="ar-SA"/>
    </w:rPr>
  </w:style>
  <w:style w:type="paragraph" w:customStyle="1" w:styleId="192">
    <w:name w:val="图"/>
    <w:basedOn w:val="1"/>
    <w:uiPriority w:val="0"/>
    <w:pPr>
      <w:keepNext/>
      <w:widowControl w:val="0"/>
      <w:adjustRightInd w:val="0"/>
      <w:spacing w:before="60" w:beforeLines="0" w:after="60" w:afterLines="0" w:line="300" w:lineRule="auto"/>
      <w:jc w:val="center"/>
      <w:textAlignment w:val="center"/>
    </w:pPr>
    <w:rPr>
      <w:snapToGrid w:val="0"/>
      <w:spacing w:val="20"/>
      <w:sz w:val="24"/>
      <w:lang/>
    </w:rPr>
  </w:style>
  <w:style w:type="paragraph" w:customStyle="1" w:styleId="193">
    <w:name w:val="xl43"/>
    <w:basedOn w:val="1"/>
    <w:uiPriority w:val="0"/>
    <w:pPr>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94">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195">
    <w:name w:val="需求书2"/>
    <w:basedOn w:val="1"/>
    <w:uiPriority w:val="0"/>
    <w:pPr>
      <w:widowControl w:val="0"/>
      <w:jc w:val="both"/>
    </w:pPr>
    <w:rPr>
      <w:rFonts w:ascii="宋体" w:hAnsi="宋体"/>
      <w:b/>
      <w:spacing w:val="10"/>
      <w:kern w:val="2"/>
      <w:sz w:val="24"/>
      <w:szCs w:val="24"/>
    </w:rPr>
  </w:style>
  <w:style w:type="paragraph" w:customStyle="1" w:styleId="196">
    <w:name w:val="前上一函，谅达雅鉴，迄今未闻复音。"/>
    <w:uiPriority w:val="0"/>
    <w:pPr>
      <w:widowControl w:val="0"/>
      <w:jc w:val="both"/>
    </w:pPr>
    <w:rPr>
      <w:kern w:val="2"/>
      <w:sz w:val="21"/>
      <w:lang w:val="en-US" w:eastAsia="zh-CN" w:bidi="ar-SA"/>
    </w:rPr>
  </w:style>
  <w:style w:type="paragraph" w:customStyle="1" w:styleId="197">
    <w:name w:val="上次打印时间"/>
    <w:uiPriority w:val="0"/>
    <w:pPr>
      <w:widowControl w:val="0"/>
      <w:jc w:val="both"/>
    </w:pPr>
    <w:rPr>
      <w:kern w:val="2"/>
      <w:sz w:val="21"/>
      <w:lang w:val="en-US" w:eastAsia="zh-CN" w:bidi="ar-SA"/>
    </w:rPr>
  </w:style>
  <w:style w:type="paragraph" w:customStyle="1" w:styleId="198">
    <w:name w:val="xl45"/>
    <w:basedOn w:val="1"/>
    <w:uiPriority w:val="0"/>
    <w:pPr>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99">
    <w:name w:val="纸短情长，再祈珍重！"/>
    <w:uiPriority w:val="0"/>
    <w:pPr>
      <w:widowControl w:val="0"/>
      <w:jc w:val="both"/>
    </w:pPr>
    <w:rPr>
      <w:kern w:val="2"/>
      <w:sz w:val="21"/>
      <w:lang w:val="en-US" w:eastAsia="zh-CN" w:bidi="ar-SA"/>
    </w:rPr>
  </w:style>
  <w:style w:type="paragraph" w:customStyle="1" w:styleId="200">
    <w:name w:val="font8"/>
    <w:basedOn w:val="1"/>
    <w:uiPriority w:val="0"/>
    <w:pPr>
      <w:spacing w:before="100" w:beforeLines="0" w:beforeAutospacing="1" w:after="100" w:afterLines="0" w:afterAutospacing="1"/>
    </w:pPr>
    <w:rPr>
      <w:b/>
      <w:bCs/>
      <w:sz w:val="36"/>
      <w:szCs w:val="36"/>
    </w:rPr>
  </w:style>
  <w:style w:type="paragraph" w:customStyle="1" w:styleId="201">
    <w:name w:val="xl4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02">
    <w:name w:val="奉恳之事，乞速复为荷。"/>
    <w:uiPriority w:val="0"/>
    <w:pPr>
      <w:widowControl w:val="0"/>
      <w:jc w:val="both"/>
    </w:pPr>
    <w:rPr>
      <w:kern w:val="2"/>
      <w:sz w:val="21"/>
      <w:lang w:val="en-US" w:eastAsia="zh-CN" w:bidi="ar-SA"/>
    </w:rPr>
  </w:style>
  <w:style w:type="paragraph" w:customStyle="1" w:styleId="203">
    <w:name w:val="近来寒暑不常，希自珍慰。"/>
    <w:uiPriority w:val="0"/>
    <w:pPr>
      <w:widowControl w:val="0"/>
      <w:jc w:val="both"/>
    </w:pPr>
    <w:rPr>
      <w:kern w:val="2"/>
      <w:sz w:val="21"/>
      <w:lang w:val="en-US" w:eastAsia="zh-CN" w:bidi="ar-SA"/>
    </w:rPr>
  </w:style>
  <w:style w:type="paragraph" w:customStyle="1" w:styleId="204">
    <w:name w:val="Char Char Char Char Char Char Char Char Char Char"/>
    <w:basedOn w:val="1"/>
    <w:uiPriority w:val="0"/>
    <w:pPr>
      <w:widowControl w:val="0"/>
      <w:jc w:val="both"/>
    </w:pPr>
    <w:rPr>
      <w:rFonts w:ascii="Tahoma" w:hAnsi="Tahoma"/>
      <w:kern w:val="2"/>
      <w:sz w:val="24"/>
    </w:rPr>
  </w:style>
  <w:style w:type="paragraph" w:customStyle="1" w:styleId="205">
    <w:name w:val="知尊恙复发，心甚念之。"/>
    <w:uiPriority w:val="0"/>
    <w:pPr>
      <w:widowControl w:val="0"/>
      <w:jc w:val="both"/>
    </w:pPr>
    <w:rPr>
      <w:kern w:val="2"/>
      <w:sz w:val="21"/>
      <w:lang w:val="en-US" w:eastAsia="zh-CN" w:bidi="ar-SA"/>
    </w:rPr>
  </w:style>
  <w:style w:type="paragraph" w:customStyle="1" w:styleId="206">
    <w:name w:val="亲启"/>
    <w:uiPriority w:val="0"/>
    <w:pPr>
      <w:widowControl w:val="0"/>
      <w:jc w:val="both"/>
    </w:pPr>
    <w:rPr>
      <w:kern w:val="2"/>
      <w:sz w:val="21"/>
      <w:lang w:val="en-US" w:eastAsia="zh-CN" w:bidi="ar-SA"/>
    </w:rPr>
  </w:style>
  <w:style w:type="paragraph" w:customStyle="1" w:styleId="207">
    <w:name w:val=" Char1"/>
    <w:basedOn w:val="1"/>
    <w:uiPriority w:val="0"/>
    <w:pPr>
      <w:widowControl w:val="0"/>
      <w:jc w:val="both"/>
    </w:pPr>
    <w:rPr>
      <w:kern w:val="2"/>
    </w:rPr>
  </w:style>
  <w:style w:type="paragraph" w:customStyle="1" w:styleId="208">
    <w:name w:val=" Char Char Char"/>
    <w:basedOn w:val="1"/>
    <w:uiPriority w:val="0"/>
    <w:pPr>
      <w:widowControl w:val="0"/>
      <w:jc w:val="both"/>
    </w:pPr>
    <w:rPr>
      <w:kern w:val="2"/>
    </w:rPr>
  </w:style>
  <w:style w:type="paragraph" w:customStyle="1" w:styleId="209">
    <w:name w:val="先生/女士："/>
    <w:uiPriority w:val="0"/>
    <w:pPr>
      <w:widowControl w:val="0"/>
      <w:jc w:val="both"/>
    </w:pPr>
    <w:rPr>
      <w:kern w:val="2"/>
      <w:sz w:val="21"/>
      <w:lang w:val="en-US" w:eastAsia="zh-CN" w:bidi="ar-SA"/>
    </w:rPr>
  </w:style>
  <w:style w:type="paragraph" w:customStyle="1" w:styleId="210">
    <w:name w:val="答复:"/>
    <w:uiPriority w:val="0"/>
    <w:pPr>
      <w:widowControl w:val="0"/>
      <w:jc w:val="both"/>
    </w:pPr>
    <w:rPr>
      <w:kern w:val="2"/>
      <w:sz w:val="21"/>
      <w:lang w:val="en-US" w:eastAsia="zh-CN" w:bidi="ar-SA"/>
    </w:rPr>
  </w:style>
  <w:style w:type="paragraph" w:customStyle="1" w:styleId="211">
    <w:name w:val=" Char Char1 Char Char Char Char Char Char"/>
    <w:basedOn w:val="1"/>
    <w:uiPriority w:val="0"/>
    <w:pPr>
      <w:spacing w:after="160" w:afterLines="0" w:line="240" w:lineRule="exact"/>
    </w:pPr>
    <w:rPr>
      <w:rFonts w:ascii="Verdana" w:hAnsi="Verdana" w:eastAsia="仿宋_GB2312"/>
      <w:sz w:val="24"/>
      <w:lang w:eastAsia="en-US"/>
    </w:rPr>
  </w:style>
  <w:style w:type="paragraph" w:customStyle="1" w:styleId="212">
    <w:name w:val="p16"/>
    <w:basedOn w:val="1"/>
    <w:uiPriority w:val="0"/>
    <w:pPr>
      <w:jc w:val="both"/>
    </w:pPr>
    <w:rPr>
      <w:szCs w:val="21"/>
    </w:rPr>
  </w:style>
  <w:style w:type="paragraph" w:customStyle="1" w:styleId="213">
    <w:name w:val="文件名和路径"/>
    <w:uiPriority w:val="0"/>
    <w:pPr>
      <w:widowControl w:val="0"/>
      <w:jc w:val="both"/>
    </w:pPr>
    <w:rPr>
      <w:kern w:val="2"/>
      <w:sz w:val="21"/>
      <w:lang w:val="en-US" w:eastAsia="zh-CN" w:bidi="ar-SA"/>
    </w:rPr>
  </w:style>
  <w:style w:type="paragraph" w:customStyle="1" w:styleId="214">
    <w:name w:val="机密、页码、日期"/>
    <w:uiPriority w:val="0"/>
    <w:pPr>
      <w:widowControl w:val="0"/>
      <w:jc w:val="both"/>
    </w:pPr>
    <w:rPr>
      <w:kern w:val="2"/>
      <w:sz w:val="21"/>
      <w:lang w:val="en-US" w:eastAsia="zh-CN" w:bidi="ar-SA"/>
    </w:rPr>
  </w:style>
  <w:style w:type="paragraph" w:customStyle="1" w:styleId="215">
    <w:name w:val="第 X 页 共 Y 页"/>
    <w:uiPriority w:val="0"/>
    <w:pPr>
      <w:widowControl w:val="0"/>
      <w:jc w:val="both"/>
    </w:pPr>
    <w:rPr>
      <w:kern w:val="2"/>
      <w:sz w:val="21"/>
      <w:lang w:val="en-US" w:eastAsia="zh-CN" w:bidi="ar-SA"/>
    </w:rPr>
  </w:style>
  <w:style w:type="paragraph" w:customStyle="1" w:styleId="216">
    <w:name w:val="xl2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17">
    <w:name w:val="主题:"/>
    <w:uiPriority w:val="0"/>
    <w:pPr>
      <w:widowControl w:val="0"/>
      <w:jc w:val="both"/>
    </w:pPr>
    <w:rPr>
      <w:kern w:val="2"/>
      <w:sz w:val="21"/>
      <w:lang w:val="en-US" w:eastAsia="zh-CN" w:bidi="ar-SA"/>
    </w:rPr>
  </w:style>
  <w:style w:type="paragraph" w:customStyle="1" w:styleId="218">
    <w:name w:val="130"/>
    <w:basedOn w:val="1"/>
    <w:uiPriority w:val="0"/>
    <w:pPr>
      <w:spacing w:before="100" w:beforeLines="0" w:beforeAutospacing="1" w:after="100" w:afterLines="0" w:afterAutospacing="1" w:line="324" w:lineRule="auto"/>
    </w:pPr>
    <w:rPr>
      <w:rFonts w:ascii="宋体" w:hAnsi="宋体"/>
      <w:color w:val="000000"/>
      <w:sz w:val="24"/>
      <w:szCs w:val="24"/>
    </w:rPr>
  </w:style>
  <w:style w:type="paragraph" w:customStyle="1" w:styleId="219">
    <w:name w:val="xl4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20">
    <w:name w:val="p0"/>
    <w:basedOn w:val="1"/>
    <w:uiPriority w:val="0"/>
    <w:pPr>
      <w:jc w:val="both"/>
    </w:pPr>
    <w:rPr>
      <w:szCs w:val="21"/>
    </w:rPr>
  </w:style>
  <w:style w:type="paragraph" w:customStyle="1" w:styleId="221">
    <w:name w:val="题注5"/>
    <w:basedOn w:val="1"/>
    <w:next w:val="16"/>
    <w:uiPriority w:val="0"/>
    <w:pPr>
      <w:widowControl w:val="0"/>
      <w:jc w:val="center"/>
    </w:pPr>
    <w:rPr>
      <w:b/>
      <w:color w:val="000000"/>
      <w:kern w:val="2"/>
      <w:sz w:val="24"/>
      <w:szCs w:val="21"/>
    </w:rPr>
  </w:style>
  <w:style w:type="paragraph" w:customStyle="1" w:styleId="222">
    <w:name w:val="xl25"/>
    <w:basedOn w:val="1"/>
    <w:uiPriority w:val="0"/>
    <w:pPr>
      <w:spacing w:before="100" w:beforeLines="0" w:beforeAutospacing="1" w:after="100" w:afterLines="0" w:afterAutospacing="1"/>
      <w:jc w:val="right"/>
    </w:pPr>
    <w:rPr>
      <w:sz w:val="24"/>
      <w:szCs w:val="24"/>
    </w:rPr>
  </w:style>
  <w:style w:type="paragraph" w:customStyle="1" w:styleId="223">
    <w:name w:val="xl3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sz w:val="24"/>
      <w:szCs w:val="24"/>
    </w:rPr>
  </w:style>
  <w:style w:type="paragraph" w:customStyle="1" w:styleId="224">
    <w:name w:val="尊意如何，请即示知。"/>
    <w:uiPriority w:val="0"/>
    <w:pPr>
      <w:widowControl w:val="0"/>
      <w:jc w:val="both"/>
    </w:pPr>
    <w:rPr>
      <w:kern w:val="2"/>
      <w:sz w:val="21"/>
      <w:lang w:val="en-US" w:eastAsia="zh-CN" w:bidi="ar-SA"/>
    </w:rPr>
  </w:style>
  <w:style w:type="paragraph" w:customStyle="1" w:styleId="225">
    <w:name w:val="小标题"/>
    <w:basedOn w:val="1"/>
    <w:uiPriority w:val="0"/>
    <w:pPr>
      <w:widowControl w:val="0"/>
      <w:adjustRightInd w:val="0"/>
      <w:spacing w:before="120" w:beforeLines="0" w:line="360" w:lineRule="auto"/>
      <w:jc w:val="center"/>
      <w:textAlignment w:val="baseline"/>
    </w:pPr>
    <w:rPr>
      <w:color w:val="0000FF"/>
      <w:sz w:val="24"/>
      <w:u w:val="double"/>
    </w:rPr>
  </w:style>
  <w:style w:type="paragraph" w:customStyle="1" w:styleId="226">
    <w:name w:val="久不通函，至以为念。"/>
    <w:uiPriority w:val="0"/>
    <w:pPr>
      <w:widowControl w:val="0"/>
      <w:jc w:val="both"/>
    </w:pPr>
    <w:rPr>
      <w:kern w:val="2"/>
      <w:sz w:val="21"/>
      <w:lang w:val="en-US" w:eastAsia="zh-CN" w:bidi="ar-SA"/>
    </w:rPr>
  </w:style>
  <w:style w:type="paragraph" w:customStyle="1" w:styleId="227">
    <w:name w:val="正文缩近"/>
    <w:basedOn w:val="1"/>
    <w:uiPriority w:val="0"/>
    <w:pPr>
      <w:widowControl w:val="0"/>
      <w:spacing w:line="360" w:lineRule="auto"/>
      <w:ind w:firstLine="200" w:firstLineChars="200"/>
      <w:jc w:val="both"/>
    </w:pPr>
    <w:rPr>
      <w:kern w:val="2"/>
      <w:sz w:val="24"/>
      <w:szCs w:val="24"/>
    </w:rPr>
  </w:style>
  <w:style w:type="paragraph" w:customStyle="1" w:styleId="228">
    <w:name w:val="作者、页码、日期"/>
    <w:uiPriority w:val="0"/>
    <w:pPr>
      <w:widowControl w:val="0"/>
      <w:jc w:val="both"/>
    </w:pPr>
    <w:rPr>
      <w:kern w:val="2"/>
      <w:sz w:val="21"/>
      <w:lang w:val="en-US" w:eastAsia="zh-CN" w:bidi="ar-SA"/>
    </w:rPr>
  </w:style>
  <w:style w:type="paragraph" w:customStyle="1" w:styleId="229">
    <w:name w:val="样式 表格正文 + 两端对齐"/>
    <w:basedOn w:val="1"/>
    <w:uiPriority w:val="0"/>
    <w:pPr>
      <w:widowControl w:val="0"/>
      <w:spacing w:line="300" w:lineRule="auto"/>
      <w:jc w:val="both"/>
    </w:pPr>
    <w:rPr>
      <w:kern w:val="2"/>
      <w:sz w:val="24"/>
    </w:rPr>
  </w:style>
  <w:style w:type="paragraph" w:customStyle="1" w:styleId="230">
    <w:name w:val="Bc"/>
    <w:uiPriority w:val="0"/>
    <w:pPr>
      <w:widowControl w:val="0"/>
      <w:adjustRightInd w:val="0"/>
      <w:spacing w:line="312" w:lineRule="atLeast"/>
      <w:jc w:val="both"/>
      <w:textAlignment w:val="baseline"/>
    </w:pPr>
    <w:rPr>
      <w:sz w:val="21"/>
      <w:lang w:val="en-US" w:eastAsia="zh-CN" w:bidi="ar-SA"/>
    </w:rPr>
  </w:style>
  <w:style w:type="paragraph" w:customStyle="1" w:styleId="231">
    <w:name w:val="敬启者："/>
    <w:uiPriority w:val="0"/>
    <w:pPr>
      <w:widowControl w:val="0"/>
      <w:jc w:val="both"/>
    </w:pPr>
    <w:rPr>
      <w:kern w:val="2"/>
      <w:sz w:val="21"/>
      <w:lang w:val="en-US" w:eastAsia="zh-CN" w:bidi="ar-SA"/>
    </w:rPr>
  </w:style>
  <w:style w:type="paragraph" w:customStyle="1" w:styleId="232">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233">
    <w:name w:val="作者"/>
    <w:uiPriority w:val="0"/>
    <w:pPr>
      <w:widowControl w:val="0"/>
      <w:jc w:val="both"/>
    </w:pPr>
    <w:rPr>
      <w:kern w:val="2"/>
      <w:sz w:val="21"/>
      <w:lang w:val="en-US" w:eastAsia="zh-CN" w:bidi="ar-SA"/>
    </w:rPr>
  </w:style>
  <w:style w:type="paragraph" w:customStyle="1" w:styleId="234">
    <w:name w:val="xl36"/>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35">
    <w:name w:val="xl30"/>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sz w:val="24"/>
      <w:szCs w:val="24"/>
    </w:rPr>
  </w:style>
  <w:style w:type="paragraph" w:customStyle="1" w:styleId="236">
    <w:name w:val="样式1"/>
    <w:basedOn w:val="5"/>
    <w:uiPriority w:val="0"/>
    <w:pPr>
      <w:tabs>
        <w:tab w:val="left" w:pos="420"/>
      </w:tabs>
      <w:adjustRightInd w:val="0"/>
      <w:snapToGrid w:val="0"/>
      <w:spacing w:before="0" w:beforeLines="0" w:after="0" w:afterLines="0" w:line="360" w:lineRule="auto"/>
      <w:ind w:left="420" w:hanging="420"/>
      <w:jc w:val="center"/>
    </w:pPr>
    <w:rPr>
      <w:rFonts w:ascii="宋体" w:eastAsia="宋体"/>
      <w:bCs w:val="0"/>
      <w:szCs w:val="20"/>
    </w:rPr>
  </w:style>
  <w:style w:type="paragraph" w:customStyle="1" w:styleId="237">
    <w:name w:val="135"/>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238">
    <w:name w:val="请勿折叠！"/>
    <w:uiPriority w:val="0"/>
    <w:pPr>
      <w:widowControl w:val="0"/>
      <w:jc w:val="both"/>
    </w:pPr>
    <w:rPr>
      <w:kern w:val="2"/>
      <w:sz w:val="21"/>
      <w:lang w:val="en-US" w:eastAsia="zh-CN" w:bidi="ar-SA"/>
    </w:rPr>
  </w:style>
  <w:style w:type="paragraph" w:customStyle="1" w:styleId="239">
    <w:name w:val="font7"/>
    <w:basedOn w:val="1"/>
    <w:uiPriority w:val="0"/>
    <w:pPr>
      <w:spacing w:before="100" w:beforeLines="0" w:beforeAutospacing="1" w:after="100" w:afterLines="0" w:afterAutospacing="1"/>
    </w:pPr>
    <w:rPr>
      <w:rFonts w:ascii="宋体" w:hAnsi="宋体" w:cs="宋体"/>
      <w:b/>
      <w:bCs/>
      <w:sz w:val="36"/>
      <w:szCs w:val="36"/>
    </w:rPr>
  </w:style>
  <w:style w:type="paragraph" w:customStyle="1" w:styleId="240">
    <w:name w:val="f12"/>
    <w:basedOn w:val="1"/>
    <w:uiPriority w:val="0"/>
    <w:pPr>
      <w:spacing w:before="100" w:beforeLines="0" w:beforeAutospacing="1" w:after="100" w:afterLines="0" w:afterAutospacing="1"/>
    </w:pPr>
    <w:rPr>
      <w:rFonts w:ascii="_GB2312" w:hAnsi="_GB2312"/>
      <w:color w:val="000000"/>
      <w:szCs w:val="21"/>
    </w:rPr>
  </w:style>
  <w:style w:type="paragraph" w:customStyle="1" w:styleId="241">
    <w:name w:val="xl41"/>
    <w:basedOn w:val="1"/>
    <w:uiPriority w:val="0"/>
    <w:pPr>
      <w:pBdr>
        <w:top w:val="single" w:color="auto" w:sz="4" w:space="0"/>
        <w:left w:val="single" w:color="auto" w:sz="8"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42">
    <w:name w:val=" Char Char Char Char Char1 Char"/>
    <w:basedOn w:val="1"/>
    <w:uiPriority w:val="0"/>
    <w:pPr>
      <w:widowControl w:val="0"/>
      <w:jc w:val="both"/>
    </w:pPr>
    <w:rPr>
      <w:rFonts w:ascii="Tahoma" w:hAnsi="Tahoma"/>
      <w:kern w:val="2"/>
      <w:sz w:val="24"/>
    </w:rPr>
  </w:style>
  <w:style w:type="paragraph" w:customStyle="1" w:styleId="243">
    <w:name w:val="匆此先复，余容后禀。"/>
    <w:uiPriority w:val="0"/>
    <w:pPr>
      <w:widowControl w:val="0"/>
      <w:jc w:val="both"/>
    </w:pPr>
    <w:rPr>
      <w:kern w:val="2"/>
      <w:sz w:val="21"/>
      <w:lang w:val="en-US" w:eastAsia="zh-CN" w:bidi="ar-SA"/>
    </w:rPr>
  </w:style>
  <w:style w:type="paragraph" w:customStyle="1" w:styleId="244">
    <w:name w:val="表格内容"/>
    <w:basedOn w:val="1"/>
    <w:uiPriority w:val="0"/>
    <w:pPr>
      <w:widowControl w:val="0"/>
      <w:adjustRightInd w:val="0"/>
      <w:spacing w:before="40" w:beforeLines="0"/>
      <w:textAlignment w:val="baseline"/>
    </w:pPr>
    <w:rPr>
      <w:kern w:val="2"/>
      <w:sz w:val="24"/>
    </w:rPr>
  </w:style>
  <w:style w:type="paragraph" w:customStyle="1" w:styleId="245">
    <w:name w:val="此正文"/>
    <w:basedOn w:val="1"/>
    <w:uiPriority w:val="0"/>
    <w:pPr>
      <w:widowControl w:val="0"/>
      <w:spacing w:line="360" w:lineRule="auto"/>
      <w:ind w:firstLine="200" w:firstLineChars="200"/>
      <w:jc w:val="both"/>
    </w:pPr>
    <w:rPr>
      <w:kern w:val="2"/>
      <w:sz w:val="24"/>
      <w:szCs w:val="24"/>
    </w:rPr>
  </w:style>
  <w:style w:type="paragraph" w:customStyle="1" w:styleId="246">
    <w:name w:val="xl31"/>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47">
    <w:name w:val="B6MHSANYO"/>
    <w:uiPriority w:val="0"/>
    <w:pPr>
      <w:widowControl w:val="0"/>
      <w:adjustRightInd w:val="0"/>
      <w:textAlignment w:val="baseline"/>
    </w:pPr>
    <w:rPr>
      <w:kern w:val="2"/>
      <w:sz w:val="24"/>
      <w:lang w:val="en-US" w:eastAsia="zh-CN" w:bidi="ar-SA"/>
    </w:rPr>
  </w:style>
  <w:style w:type="paragraph" w:customStyle="1" w:styleId="248">
    <w:name w:val="333"/>
    <w:basedOn w:val="1"/>
    <w:uiPriority w:val="0"/>
    <w:pPr>
      <w:widowControl w:val="0"/>
      <w:adjustRightInd w:val="0"/>
      <w:spacing w:line="312" w:lineRule="atLeast"/>
      <w:jc w:val="both"/>
      <w:textAlignment w:val="baseline"/>
    </w:pPr>
  </w:style>
  <w:style w:type="paragraph" w:customStyle="1" w:styleId="249">
    <w:name w:val="列出段落"/>
    <w:basedOn w:val="1"/>
    <w:uiPriority w:val="0"/>
    <w:pPr>
      <w:widowControl w:val="0"/>
      <w:ind w:firstLine="420" w:firstLineChars="200"/>
      <w:jc w:val="both"/>
    </w:pPr>
    <w:rPr>
      <w:rFonts w:ascii="Calibri" w:hAnsi="Calibri"/>
      <w:kern w:val="2"/>
      <w:szCs w:val="22"/>
    </w:rPr>
  </w:style>
  <w:style w:type="paragraph" w:customStyle="1" w:styleId="250">
    <w:name w:val="地址2"/>
    <w:basedOn w:val="126"/>
    <w:uiPriority w:val="0"/>
    <w:rPr>
      <w:rFonts w:ascii="Arial" w:hAnsi="Arial"/>
      <w:b/>
      <w:i/>
      <w:sz w:val="18"/>
    </w:rPr>
  </w:style>
  <w:style w:type="paragraph" w:customStyle="1" w:styleId="251">
    <w:name w:val="段"/>
    <w:uiPriority w:val="0"/>
    <w:pPr>
      <w:autoSpaceDE w:val="0"/>
      <w:autoSpaceDN w:val="0"/>
      <w:ind w:firstLine="200" w:firstLineChars="200"/>
      <w:jc w:val="both"/>
    </w:pPr>
    <w:rPr>
      <w:rFonts w:ascii="宋体"/>
      <w:sz w:val="21"/>
      <w:lang w:val="en-US" w:eastAsia="zh-CN" w:bidi="ar-SA"/>
    </w:rPr>
  </w:style>
  <w:style w:type="paragraph" w:customStyle="1" w:styleId="252">
    <w:name w:val="Proposals body"/>
    <w:basedOn w:val="1"/>
    <w:next w:val="1"/>
    <w:uiPriority w:val="0"/>
    <w:pPr>
      <w:spacing w:line="360" w:lineRule="auto"/>
    </w:pPr>
    <w:rPr>
      <w:rFonts w:ascii="宋体"/>
      <w:snapToGrid w:val="0"/>
      <w:color w:val="000000"/>
      <w:sz w:val="24"/>
    </w:rPr>
  </w:style>
  <w:style w:type="paragraph" w:customStyle="1" w:styleId="253">
    <w:name w:val="xl32"/>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54">
    <w:name w:val="- 页码 -"/>
    <w:uiPriority w:val="0"/>
    <w:pPr>
      <w:widowControl w:val="0"/>
      <w:jc w:val="both"/>
    </w:pPr>
    <w:rPr>
      <w:kern w:val="2"/>
      <w:sz w:val="21"/>
      <w:lang w:val="en-US" w:eastAsia="zh-CN" w:bidi="ar-SA"/>
    </w:rPr>
  </w:style>
  <w:style w:type="paragraph" w:customStyle="1" w:styleId="255">
    <w:name w:val="f14"/>
    <w:basedOn w:val="1"/>
    <w:uiPriority w:val="0"/>
    <w:pPr>
      <w:spacing w:before="100" w:beforeLines="0" w:beforeAutospacing="1" w:after="100" w:afterLines="0" w:afterAutospacing="1"/>
    </w:pPr>
    <w:rPr>
      <w:rFonts w:ascii="_GB2312" w:hAnsi="_GB2312"/>
      <w:color w:val="000000"/>
      <w:sz w:val="28"/>
      <w:szCs w:val="28"/>
    </w:rPr>
  </w:style>
  <w:style w:type="paragraph" w:customStyle="1" w:styleId="256">
    <w:name w:val="font6"/>
    <w:basedOn w:val="1"/>
    <w:uiPriority w:val="0"/>
    <w:pPr>
      <w:spacing w:before="100" w:beforeLines="0" w:beforeAutospacing="1" w:after="100" w:afterLines="0" w:afterAutospacing="1"/>
    </w:pPr>
    <w:rPr>
      <w:sz w:val="24"/>
      <w:szCs w:val="24"/>
    </w:rPr>
  </w:style>
  <w:style w:type="paragraph" w:customStyle="1" w:styleId="257">
    <w:name w:val="默认段落字体 Para Char Char Char Char"/>
    <w:basedOn w:val="1"/>
    <w:uiPriority w:val="0"/>
    <w:pPr>
      <w:widowControl w:val="0"/>
      <w:adjustRightInd w:val="0"/>
      <w:spacing w:line="360" w:lineRule="auto"/>
      <w:jc w:val="both"/>
    </w:pPr>
    <w:rPr>
      <w:sz w:val="24"/>
    </w:rPr>
  </w:style>
  <w:style w:type="paragraph" w:customStyle="1" w:styleId="258">
    <w:name w:val="xl4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59">
    <w:name w:val="临书仓促，不尽欲言。"/>
    <w:uiPriority w:val="0"/>
    <w:pPr>
      <w:widowControl w:val="0"/>
      <w:jc w:val="both"/>
    </w:pPr>
    <w:rPr>
      <w:kern w:val="2"/>
      <w:sz w:val="21"/>
      <w:lang w:val="en-US" w:eastAsia="zh-CN" w:bidi="ar-SA"/>
    </w:rPr>
  </w:style>
  <w:style w:type="paragraph" w:customStyle="1" w:styleId="260">
    <w:name w:val="默认段落字体 Para Char Char Char Char Char Char Char Char Char1 Char Char Char Char"/>
    <w:basedOn w:val="1"/>
    <w:uiPriority w:val="0"/>
    <w:pPr>
      <w:widowControl w:val="0"/>
      <w:jc w:val="both"/>
    </w:pPr>
    <w:rPr>
      <w:rFonts w:ascii="Tahoma" w:hAnsi="Tahoma"/>
      <w:kern w:val="2"/>
      <w:sz w:val="24"/>
    </w:rPr>
  </w:style>
  <w:style w:type="paragraph" w:customStyle="1" w:styleId="261">
    <w:name w:val="正文 "/>
    <w:basedOn w:val="1"/>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62">
    <w:name w:val="纯文本1"/>
    <w:basedOn w:val="133"/>
    <w:qFormat/>
    <w:uiPriority w:val="99"/>
    <w:pPr>
      <w:widowControl/>
      <w:jc w:val="left"/>
    </w:pPr>
    <w:rPr>
      <w:rFonts w:ascii="宋体" w:hAnsi="Courier New" w:cs="宋体"/>
    </w:rPr>
  </w:style>
  <w:style w:type="character" w:customStyle="1" w:styleId="263">
    <w:name w:val="正文文本首行缩进 字符"/>
    <w:uiPriority w:val="0"/>
    <w:rPr>
      <w:sz w:val="21"/>
    </w:rPr>
  </w:style>
  <w:style w:type="character" w:customStyle="1" w:styleId="264">
    <w:name w:val="font31"/>
    <w:uiPriority w:val="0"/>
    <w:rPr>
      <w:rFonts w:hint="eastAsia" w:ascii="宋体" w:hAnsi="宋体" w:eastAsia="宋体" w:cs="宋体"/>
      <w:color w:val="000000"/>
      <w:sz w:val="24"/>
      <w:szCs w:val="24"/>
      <w:u w:val="none"/>
    </w:rPr>
  </w:style>
  <w:style w:type="character" w:customStyle="1" w:styleId="265">
    <w:name w:val="font41"/>
    <w:uiPriority w:val="0"/>
    <w:rPr>
      <w:rFonts w:hint="default" w:ascii="Calibri" w:hAnsi="Calibri" w:cs="Calibri"/>
      <w:color w:val="000000"/>
      <w:sz w:val="22"/>
      <w:szCs w:val="22"/>
      <w:u w:val="none"/>
    </w:rPr>
  </w:style>
  <w:style w:type="character" w:customStyle="1" w:styleId="266">
    <w:name w:val="font51"/>
    <w:uiPriority w:val="0"/>
    <w:rPr>
      <w:rFonts w:hint="default" w:ascii="Calibri" w:hAnsi="Calibri" w:cs="Calibri"/>
      <w:color w:val="000000"/>
      <w:sz w:val="22"/>
      <w:szCs w:val="22"/>
      <w:u w:val="none"/>
    </w:rPr>
  </w:style>
  <w:style w:type="character" w:customStyle="1" w:styleId="267">
    <w:name w:val="标题 #7_"/>
    <w:link w:val="268"/>
    <w:unhideWhenUsed/>
    <w:qFormat/>
    <w:locked/>
    <w:uiPriority w:val="99"/>
    <w:rPr>
      <w:rFonts w:hint="eastAsia" w:ascii="MingLiU" w:hAnsi="MingLiU" w:eastAsia="MingLiU" w:cs="MingLiU"/>
      <w:sz w:val="22"/>
      <w:szCs w:val="22"/>
    </w:rPr>
  </w:style>
  <w:style w:type="paragraph" w:customStyle="1" w:styleId="268">
    <w:name w:val="标题 #7"/>
    <w:basedOn w:val="1"/>
    <w:link w:val="267"/>
    <w:unhideWhenUsed/>
    <w:qFormat/>
    <w:uiPriority w:val="99"/>
    <w:pPr>
      <w:shd w:val="clear" w:color="auto" w:fill="FFFFFF"/>
      <w:spacing w:before="60" w:beforeLines="0" w:after="300" w:afterLines="0" w:line="240" w:lineRule="atLeast"/>
      <w:jc w:val="distribute"/>
      <w:outlineLvl w:val="6"/>
    </w:pPr>
    <w:rPr>
      <w:rFonts w:hint="eastAsia" w:ascii="MingLiU" w:hAnsi="MingLiU" w:eastAsia="MingLiU" w:cs="MingLiU"/>
      <w:sz w:val="22"/>
      <w:szCs w:val="22"/>
    </w:rPr>
  </w:style>
  <w:style w:type="paragraph" w:customStyle="1" w:styleId="269">
    <w:name w:val="正文文本1"/>
    <w:basedOn w:val="1"/>
    <w:unhideWhenUsed/>
    <w:qFormat/>
    <w:uiPriority w:val="99"/>
    <w:pPr>
      <w:shd w:val="clear" w:color="auto" w:fill="FFFFFF"/>
      <w:spacing w:beforeLines="0" w:after="360" w:afterLines="0" w:line="240" w:lineRule="atLeast"/>
      <w:jc w:val="center"/>
    </w:pPr>
    <w:rPr>
      <w:rFonts w:hint="eastAsia" w:ascii="MingLiU" w:hAnsi="MingLiU" w:eastAsia="MingLiU" w:cs="MingLiU"/>
      <w:spacing w:val="10"/>
      <w:sz w:val="22"/>
      <w:szCs w:val="22"/>
    </w:rPr>
  </w:style>
  <w:style w:type="character" w:customStyle="1" w:styleId="270">
    <w:name w:val="正文文本 + 间距 0 pt"/>
    <w:unhideWhenUsed/>
    <w:qFormat/>
    <w:uiPriority w:val="99"/>
    <w:rPr>
      <w:rFonts w:hint="eastAsia"/>
      <w:spacing w:val="-10"/>
      <w:sz w:val="22"/>
      <w:szCs w:val="22"/>
    </w:rPr>
  </w:style>
  <w:style w:type="paragraph" w:customStyle="1" w:styleId="271">
    <w:name w:val="Normal Indent"/>
    <w:qFormat/>
    <w:uiPriority w:val="0"/>
    <w:pPr>
      <w:ind w:firstLine="420"/>
    </w:pPr>
    <w:rPr>
      <w:rFonts w:ascii="Times New Roman" w:hAnsi="Times New Roman" w:eastAsia="宋体" w:cs="Times New Roman"/>
      <w:sz w:val="21"/>
      <w:lang w:val="en-US" w:eastAsia="zh-CN" w:bidi="ar-SA"/>
    </w:rPr>
  </w:style>
  <w:style w:type="paragraph" w:customStyle="1" w:styleId="272">
    <w:name w:val="Normal_3"/>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footer6.xml" Type="http://schemas.openxmlformats.org/officeDocument/2006/relationships/footer"/><Relationship Id="rId15" Target="header7.xml" Type="http://schemas.openxmlformats.org/officeDocument/2006/relationships/header"/><Relationship Id="rId16" Target="header8.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27971</Words>
  <Characters>29200</Characters>
  <Lines>446</Lines>
  <Paragraphs>125</Paragraphs>
  <TotalTime>0</TotalTime>
  <ScaleCrop>false</ScaleCrop>
  <LinksUpToDate>false</LinksUpToDate>
  <CharactersWithSpaces>31878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2018-05-22T09:16:00Z</dcterms:created>
  <dc:creator>海曙区公共资源交易中心</dc:creator>
  <cp:lastModifiedBy>WPS_1701756769</cp:lastModifiedBy>
  <cp:lastPrinted>2022-04-24T03:24:00Z</cp:lastPrinted>
  <dcterms:modified xsi:type="dcterms:W3CDTF">2024-02-23T07:19:26Z</dcterms:modified>
  <cp:revision>3</cp:revision>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6C744EDC9EDC41109ADC2CFD3931EFC0_13</vt:lpwstr>
  </property>
</Properties>
</file>